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428AD" w14:textId="0913C2D3" w:rsidR="008467D5" w:rsidRPr="00CB6B09" w:rsidRDefault="00CF573F"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14:anchorId="5625CBC1" wp14:editId="03068050">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0065CB2"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1F1EF9B3" w14:textId="6EEE5F3D" w:rsidR="00D75295" w:rsidRPr="00CB6B09" w:rsidRDefault="00D32A41" w:rsidP="001873D9">
      <w:pPr>
        <w:pStyle w:val="ProductNumber"/>
        <w:outlineLvl w:val="0"/>
      </w:pPr>
      <w:r>
        <w:t>9B17M151</w:t>
      </w:r>
    </w:p>
    <w:p w14:paraId="025E0420" w14:textId="77777777" w:rsidR="00D75295" w:rsidRPr="00CB6B09" w:rsidRDefault="00D75295" w:rsidP="00D75295">
      <w:pPr>
        <w:jc w:val="right"/>
        <w:rPr>
          <w:rFonts w:ascii="Arial" w:hAnsi="Arial"/>
          <w:b/>
          <w:sz w:val="28"/>
          <w:szCs w:val="28"/>
        </w:rPr>
      </w:pPr>
    </w:p>
    <w:p w14:paraId="6BD0E6A9" w14:textId="77777777" w:rsidR="00866F6D" w:rsidRPr="00CB6B09" w:rsidRDefault="00866F6D" w:rsidP="00D75295">
      <w:pPr>
        <w:jc w:val="right"/>
        <w:rPr>
          <w:rFonts w:ascii="Arial" w:hAnsi="Arial"/>
          <w:b/>
          <w:sz w:val="28"/>
          <w:szCs w:val="28"/>
        </w:rPr>
      </w:pPr>
    </w:p>
    <w:p w14:paraId="482DD396" w14:textId="201F032C" w:rsidR="00013360" w:rsidRPr="00CB6B09" w:rsidRDefault="003215C8" w:rsidP="00013360">
      <w:pPr>
        <w:pStyle w:val="CaseTitle"/>
        <w:spacing w:after="0" w:line="240" w:lineRule="auto"/>
      </w:pPr>
      <w:r w:rsidRPr="003215C8">
        <w:t>HCL ENGINEERING R&amp;D SERVICES: FIRST FLIGHT INTO THE FUTURE</w:t>
      </w:r>
      <w:r w:rsidR="00356109">
        <w:rPr>
          <w:rStyle w:val="EndnoteReference"/>
        </w:rPr>
        <w:endnoteReference w:id="1"/>
      </w:r>
    </w:p>
    <w:p w14:paraId="211B0B85" w14:textId="77777777" w:rsidR="00013360" w:rsidRPr="00CB6B09" w:rsidRDefault="00013360" w:rsidP="00013360">
      <w:pPr>
        <w:pStyle w:val="CaseTitle"/>
        <w:spacing w:after="0" w:line="240" w:lineRule="auto"/>
        <w:rPr>
          <w:sz w:val="20"/>
          <w:szCs w:val="20"/>
        </w:rPr>
      </w:pPr>
    </w:p>
    <w:p w14:paraId="2595A19E" w14:textId="77777777" w:rsidR="00CA3976" w:rsidRPr="00CB6B09" w:rsidRDefault="00CA3976" w:rsidP="00013360">
      <w:pPr>
        <w:pStyle w:val="CaseTitle"/>
        <w:spacing w:after="0" w:line="240" w:lineRule="auto"/>
        <w:rPr>
          <w:sz w:val="20"/>
          <w:szCs w:val="20"/>
        </w:rPr>
      </w:pPr>
    </w:p>
    <w:p w14:paraId="7865FBFE" w14:textId="77777777" w:rsidR="00013360" w:rsidRPr="00CB6B09" w:rsidRDefault="00013360" w:rsidP="00013360">
      <w:pPr>
        <w:pStyle w:val="CaseTitle"/>
        <w:spacing w:after="0" w:line="240" w:lineRule="auto"/>
        <w:rPr>
          <w:sz w:val="20"/>
          <w:szCs w:val="20"/>
        </w:rPr>
      </w:pPr>
    </w:p>
    <w:p w14:paraId="7B81380E" w14:textId="20B939C3" w:rsidR="00013360" w:rsidRPr="00CB6B09" w:rsidRDefault="003215C8" w:rsidP="00104567">
      <w:pPr>
        <w:pStyle w:val="StyleCopyrightStatementAfter0ptBottomSinglesolidline1"/>
      </w:pPr>
      <w:r w:rsidRPr="003215C8">
        <w:t xml:space="preserve">Rahul </w:t>
      </w:r>
      <w:r w:rsidR="00342E2E">
        <w:t xml:space="preserve">Kumar </w:t>
      </w:r>
      <w:r w:rsidRPr="003215C8">
        <w:t>Sett</w:t>
      </w:r>
      <w:r w:rsidR="007E5921" w:rsidRPr="00CB6B09">
        <w:t xml:space="preserve"> wrote this case sol</w:t>
      </w:r>
      <w:r w:rsidR="00D75295" w:rsidRPr="00CB6B09">
        <w:t>ely to provide material for class discussion. The author do</w:t>
      </w:r>
      <w:r>
        <w:t>es</w:t>
      </w:r>
      <w:r w:rsidR="00D75295" w:rsidRPr="00CB6B09">
        <w:t xml:space="preserve"> not intend to illustrate either effective or ineffective handling of a managerial situation. The authors may have disguised certain names and other identifying information to protect confidentiality.</w:t>
      </w:r>
    </w:p>
    <w:p w14:paraId="275069CC" w14:textId="77777777" w:rsidR="00013360" w:rsidRPr="00CB6B09" w:rsidRDefault="00013360" w:rsidP="00104567">
      <w:pPr>
        <w:pStyle w:val="StyleCopyrightStatementAfter0ptBottomSinglesolidline1"/>
      </w:pPr>
    </w:p>
    <w:p w14:paraId="064E9682" w14:textId="77777777" w:rsidR="00CF573F" w:rsidRPr="00E23AB7" w:rsidRDefault="00CF573F" w:rsidP="00CF573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FF0BD7D" w14:textId="77777777" w:rsidR="00CF573F" w:rsidRPr="00E23AB7" w:rsidRDefault="00CF573F" w:rsidP="00CF573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54C0B5B1" w14:textId="47439B53" w:rsidR="003B7EF2" w:rsidRPr="00CB6B09" w:rsidRDefault="00CF573F" w:rsidP="00CF573F">
      <w:pPr>
        <w:pStyle w:val="StyleStyleCopyrightStatementAfter0ptBottomSinglesolid"/>
        <w:outlineLvl w:val="0"/>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3B7EF2" w:rsidRPr="00CB6B09">
        <w:t xml:space="preserve">Version: </w:t>
      </w:r>
      <w:r w:rsidR="00361C8E" w:rsidRPr="00CB6B09">
        <w:t>201</w:t>
      </w:r>
      <w:r w:rsidR="00DC15D4">
        <w:t>7</w:t>
      </w:r>
      <w:r w:rsidR="00361C8E" w:rsidRPr="00CB6B09">
        <w:t>-</w:t>
      </w:r>
      <w:r w:rsidR="00F13EC1">
        <w:t>09-</w:t>
      </w:r>
      <w:r w:rsidR="00E507FA">
        <w:t>29</w:t>
      </w:r>
    </w:p>
    <w:p w14:paraId="00073C6B" w14:textId="77777777" w:rsidR="003B7EF2" w:rsidRPr="00CB6B09" w:rsidRDefault="003B7EF2" w:rsidP="00104567">
      <w:pPr>
        <w:pStyle w:val="StyleCopyrightStatementAfter0ptBottomSinglesolidline1"/>
        <w:rPr>
          <w:rFonts w:ascii="Times New Roman" w:hAnsi="Times New Roman"/>
          <w:sz w:val="20"/>
        </w:rPr>
      </w:pPr>
    </w:p>
    <w:p w14:paraId="30A584AD" w14:textId="77777777" w:rsidR="003B7EF2" w:rsidRDefault="003B7EF2" w:rsidP="006F1D9E">
      <w:pPr>
        <w:pStyle w:val="Footnote"/>
      </w:pPr>
    </w:p>
    <w:p w14:paraId="58DFB657" w14:textId="759CC92C" w:rsidR="004C2798" w:rsidRPr="00E507FA" w:rsidRDefault="004C2798" w:rsidP="004C2798">
      <w:pPr>
        <w:pStyle w:val="BodyTextMain"/>
        <w:rPr>
          <w:b/>
          <w:spacing w:val="-2"/>
          <w:u w:val="single"/>
        </w:rPr>
      </w:pPr>
      <w:r w:rsidRPr="00E507FA">
        <w:rPr>
          <w:spacing w:val="-2"/>
        </w:rPr>
        <w:t xml:space="preserve">G. H. Rao, </w:t>
      </w:r>
      <w:r w:rsidR="00F15CBB" w:rsidRPr="00E507FA">
        <w:rPr>
          <w:spacing w:val="-2"/>
        </w:rPr>
        <w:t>p</w:t>
      </w:r>
      <w:r w:rsidRPr="00E507FA">
        <w:rPr>
          <w:spacing w:val="-2"/>
        </w:rPr>
        <w:t>resident of the Engineering and R</w:t>
      </w:r>
      <w:r w:rsidR="00F05122" w:rsidRPr="00E507FA">
        <w:rPr>
          <w:spacing w:val="-2"/>
        </w:rPr>
        <w:t>esearch and Development</w:t>
      </w:r>
      <w:r w:rsidRPr="00E507FA">
        <w:rPr>
          <w:spacing w:val="-2"/>
        </w:rPr>
        <w:t xml:space="preserve"> Services </w:t>
      </w:r>
      <w:r w:rsidR="00F05122" w:rsidRPr="00E507FA">
        <w:rPr>
          <w:spacing w:val="-2"/>
        </w:rPr>
        <w:t>(</w:t>
      </w:r>
      <w:r w:rsidRPr="00E507FA">
        <w:rPr>
          <w:spacing w:val="-2"/>
        </w:rPr>
        <w:t>ERS</w:t>
      </w:r>
      <w:r w:rsidR="00F05122" w:rsidRPr="00E507FA">
        <w:rPr>
          <w:spacing w:val="-2"/>
        </w:rPr>
        <w:t>)</w:t>
      </w:r>
      <w:r w:rsidRPr="00E507FA">
        <w:rPr>
          <w:spacing w:val="-2"/>
        </w:rPr>
        <w:t xml:space="preserve"> division and </w:t>
      </w:r>
      <w:r w:rsidR="00F05122" w:rsidRPr="00E507FA">
        <w:rPr>
          <w:spacing w:val="-2"/>
        </w:rPr>
        <w:t>s</w:t>
      </w:r>
      <w:r w:rsidRPr="00E507FA">
        <w:rPr>
          <w:spacing w:val="-2"/>
        </w:rPr>
        <w:t xml:space="preserve">enior </w:t>
      </w:r>
      <w:r w:rsidR="00F05122" w:rsidRPr="00E507FA">
        <w:rPr>
          <w:spacing w:val="-2"/>
        </w:rPr>
        <w:t>c</w:t>
      </w:r>
      <w:r w:rsidRPr="00E507FA">
        <w:rPr>
          <w:spacing w:val="-2"/>
        </w:rPr>
        <w:t xml:space="preserve">orporate </w:t>
      </w:r>
      <w:r w:rsidR="00F05122" w:rsidRPr="00E507FA">
        <w:rPr>
          <w:spacing w:val="-2"/>
        </w:rPr>
        <w:t>v</w:t>
      </w:r>
      <w:r w:rsidRPr="00E507FA">
        <w:rPr>
          <w:spacing w:val="-2"/>
        </w:rPr>
        <w:t xml:space="preserve">ice </w:t>
      </w:r>
      <w:r w:rsidR="00F05122" w:rsidRPr="00E507FA">
        <w:rPr>
          <w:spacing w:val="-2"/>
        </w:rPr>
        <w:t>p</w:t>
      </w:r>
      <w:r w:rsidRPr="00E507FA">
        <w:rPr>
          <w:spacing w:val="-2"/>
        </w:rPr>
        <w:t xml:space="preserve">resident at HCL Technologies Ltd. </w:t>
      </w:r>
      <w:r w:rsidR="00F05122" w:rsidRPr="00E507FA">
        <w:rPr>
          <w:spacing w:val="-2"/>
        </w:rPr>
        <w:t>(</w:t>
      </w:r>
      <w:r w:rsidRPr="00E507FA">
        <w:rPr>
          <w:spacing w:val="-2"/>
        </w:rPr>
        <w:t>HCL</w:t>
      </w:r>
      <w:r w:rsidR="00F05122" w:rsidRPr="00E507FA">
        <w:rPr>
          <w:spacing w:val="-2"/>
        </w:rPr>
        <w:t>)</w:t>
      </w:r>
      <w:r w:rsidR="00F15CBB" w:rsidRPr="00E507FA">
        <w:rPr>
          <w:spacing w:val="-2"/>
        </w:rPr>
        <w:t>,</w:t>
      </w:r>
      <w:r w:rsidRPr="00E507FA">
        <w:rPr>
          <w:spacing w:val="-2"/>
        </w:rPr>
        <w:t xml:space="preserve"> had every reason to be proud as he congratulated </w:t>
      </w:r>
      <w:r w:rsidR="00DD7D1D" w:rsidRPr="00E507FA">
        <w:rPr>
          <w:spacing w:val="-2"/>
        </w:rPr>
        <w:t>T</w:t>
      </w:r>
      <w:r w:rsidR="00F15CBB" w:rsidRPr="00E507FA">
        <w:rPr>
          <w:spacing w:val="-2"/>
        </w:rPr>
        <w:t xml:space="preserve">he </w:t>
      </w:r>
      <w:r w:rsidRPr="00E507FA">
        <w:rPr>
          <w:spacing w:val="-2"/>
        </w:rPr>
        <w:t>Boeing</w:t>
      </w:r>
      <w:r w:rsidR="00F15CBB" w:rsidRPr="00E507FA">
        <w:rPr>
          <w:spacing w:val="-2"/>
        </w:rPr>
        <w:t xml:space="preserve"> Company (Boeing)</w:t>
      </w:r>
      <w:r w:rsidRPr="00E507FA">
        <w:rPr>
          <w:spacing w:val="-2"/>
        </w:rPr>
        <w:t xml:space="preserve"> on </w:t>
      </w:r>
      <w:r w:rsidR="002C67E2" w:rsidRPr="00E507FA">
        <w:rPr>
          <w:spacing w:val="-2"/>
        </w:rPr>
        <w:t>the</w:t>
      </w:r>
      <w:r w:rsidRPr="00E507FA">
        <w:rPr>
          <w:spacing w:val="-2"/>
        </w:rPr>
        <w:t xml:space="preserve"> maiden flight of </w:t>
      </w:r>
      <w:r w:rsidR="002C67E2" w:rsidRPr="00E507FA">
        <w:rPr>
          <w:spacing w:val="-2"/>
        </w:rPr>
        <w:t>its</w:t>
      </w:r>
      <w:r w:rsidRPr="00E507FA">
        <w:rPr>
          <w:spacing w:val="-2"/>
        </w:rPr>
        <w:t xml:space="preserve"> 787 Dreamliner</w:t>
      </w:r>
      <w:r w:rsidR="002C67E2" w:rsidRPr="00E507FA">
        <w:rPr>
          <w:spacing w:val="-2"/>
        </w:rPr>
        <w:t xml:space="preserve"> jet airliner (Dreamliner)</w:t>
      </w:r>
      <w:r w:rsidRPr="00E507FA">
        <w:rPr>
          <w:spacing w:val="-2"/>
        </w:rPr>
        <w:t xml:space="preserve"> on December</w:t>
      </w:r>
      <w:r w:rsidR="001873D9" w:rsidRPr="00E507FA">
        <w:rPr>
          <w:spacing w:val="-2"/>
        </w:rPr>
        <w:t xml:space="preserve"> 15</w:t>
      </w:r>
      <w:r w:rsidRPr="00E507FA">
        <w:rPr>
          <w:spacing w:val="-2"/>
        </w:rPr>
        <w:t xml:space="preserve">, 2009. </w:t>
      </w:r>
      <w:r w:rsidR="00F007F4" w:rsidRPr="00E507FA">
        <w:rPr>
          <w:spacing w:val="-2"/>
        </w:rPr>
        <w:t>Out of the many companies working on the 787 Dreamliner project, HCL was the only Indian information technology (IT) services firm</w:t>
      </w:r>
      <w:r w:rsidR="00DD7D1D" w:rsidRPr="00E507FA">
        <w:rPr>
          <w:spacing w:val="-2"/>
        </w:rPr>
        <w:t xml:space="preserve"> </w:t>
      </w:r>
      <w:r w:rsidRPr="00E507FA">
        <w:rPr>
          <w:spacing w:val="-2"/>
        </w:rPr>
        <w:t xml:space="preserve">to be selected </w:t>
      </w:r>
      <w:r w:rsidR="00E23455" w:rsidRPr="00E507FA">
        <w:rPr>
          <w:spacing w:val="-2"/>
        </w:rPr>
        <w:t>for</w:t>
      </w:r>
      <w:r w:rsidRPr="00E507FA">
        <w:rPr>
          <w:spacing w:val="-2"/>
        </w:rPr>
        <w:t xml:space="preserve"> the project</w:t>
      </w:r>
      <w:r w:rsidR="000F0348" w:rsidRPr="00E507FA">
        <w:rPr>
          <w:spacing w:val="-2"/>
        </w:rPr>
        <w:t>.</w:t>
      </w:r>
      <w:r w:rsidRPr="00E507FA">
        <w:rPr>
          <w:rStyle w:val="EndnoteReference"/>
          <w:rFonts w:ascii="Times" w:hAnsi="Times"/>
          <w:spacing w:val="-2"/>
        </w:rPr>
        <w:endnoteReference w:id="2"/>
      </w:r>
      <w:r w:rsidRPr="00E507FA">
        <w:rPr>
          <w:spacing w:val="-2"/>
        </w:rPr>
        <w:t xml:space="preserve"> As part of the project, HCL worked closely with Boeing and some of Boeing’s </w:t>
      </w:r>
      <w:r w:rsidR="00054624" w:rsidRPr="00E507FA">
        <w:rPr>
          <w:spacing w:val="-2"/>
        </w:rPr>
        <w:t>tier-one</w:t>
      </w:r>
      <w:r w:rsidRPr="00E507FA">
        <w:rPr>
          <w:spacing w:val="-2"/>
        </w:rPr>
        <w:t xml:space="preserve"> suppliers in developing various onboard mission</w:t>
      </w:r>
      <w:r w:rsidR="0031678F" w:rsidRPr="00E507FA">
        <w:rPr>
          <w:spacing w:val="-2"/>
        </w:rPr>
        <w:t>-</w:t>
      </w:r>
      <w:r w:rsidRPr="00E507FA">
        <w:rPr>
          <w:spacing w:val="-2"/>
        </w:rPr>
        <w:t>critical software systems</w:t>
      </w:r>
      <w:r w:rsidR="0031678F" w:rsidRPr="00E507FA">
        <w:rPr>
          <w:spacing w:val="-2"/>
        </w:rPr>
        <w:t>, such as</w:t>
      </w:r>
      <w:r w:rsidRPr="00E507FA">
        <w:rPr>
          <w:spacing w:val="-2"/>
        </w:rPr>
        <w:t xml:space="preserve"> the electric</w:t>
      </w:r>
      <w:r w:rsidR="00FB4147" w:rsidRPr="00E507FA">
        <w:rPr>
          <w:spacing w:val="-2"/>
        </w:rPr>
        <w:t>al</w:t>
      </w:r>
      <w:r w:rsidRPr="00E507FA">
        <w:rPr>
          <w:spacing w:val="-2"/>
        </w:rPr>
        <w:t xml:space="preserve"> power generation and distribution system and the pilot controls</w:t>
      </w:r>
      <w:r w:rsidR="00F05122" w:rsidRPr="00E507FA">
        <w:rPr>
          <w:spacing w:val="-2"/>
        </w:rPr>
        <w:t>.</w:t>
      </w:r>
      <w:r w:rsidRPr="00E507FA">
        <w:rPr>
          <w:rStyle w:val="EndnoteReference"/>
          <w:rFonts w:ascii="Times" w:hAnsi="Times"/>
          <w:spacing w:val="-2"/>
        </w:rPr>
        <w:endnoteReference w:id="3"/>
      </w:r>
      <w:r w:rsidRPr="00E507FA">
        <w:rPr>
          <w:spacing w:val="-2"/>
        </w:rPr>
        <w:t xml:space="preserve"> The multi-million dollar deal</w:t>
      </w:r>
      <w:r w:rsidR="0031678F" w:rsidRPr="00E507FA">
        <w:rPr>
          <w:spacing w:val="-2"/>
        </w:rPr>
        <w:t xml:space="preserve"> between HCL and Boeing</w:t>
      </w:r>
      <w:r w:rsidRPr="00E507FA">
        <w:rPr>
          <w:spacing w:val="-2"/>
        </w:rPr>
        <w:t>, valued at approximately US</w:t>
      </w:r>
      <w:r w:rsidR="00223FD1" w:rsidRPr="00E507FA">
        <w:rPr>
          <w:spacing w:val="-2"/>
        </w:rPr>
        <w:t>$</w:t>
      </w:r>
      <w:r w:rsidRPr="00E507FA">
        <w:rPr>
          <w:spacing w:val="-2"/>
        </w:rPr>
        <w:t>110 million</w:t>
      </w:r>
      <w:r w:rsidR="00223FD1" w:rsidRPr="00E507FA">
        <w:rPr>
          <w:spacing w:val="-2"/>
        </w:rPr>
        <w:t>,</w:t>
      </w:r>
      <w:r w:rsidRPr="00E507FA">
        <w:rPr>
          <w:rStyle w:val="EndnoteReference"/>
          <w:rFonts w:ascii="Times" w:hAnsi="Times"/>
          <w:spacing w:val="-2"/>
        </w:rPr>
        <w:endnoteReference w:id="4"/>
      </w:r>
      <w:r w:rsidRPr="00E507FA">
        <w:rPr>
          <w:spacing w:val="-2"/>
        </w:rPr>
        <w:t xml:space="preserve"> marked a</w:t>
      </w:r>
      <w:r w:rsidR="0031678F" w:rsidRPr="00E507FA">
        <w:rPr>
          <w:spacing w:val="-2"/>
        </w:rPr>
        <w:t xml:space="preserve"> </w:t>
      </w:r>
      <w:r w:rsidRPr="00E507FA">
        <w:rPr>
          <w:spacing w:val="-2"/>
        </w:rPr>
        <w:t xml:space="preserve">significant point in </w:t>
      </w:r>
      <w:r w:rsidR="0031678F" w:rsidRPr="00E507FA">
        <w:rPr>
          <w:spacing w:val="-2"/>
        </w:rPr>
        <w:t xml:space="preserve">HCL’s </w:t>
      </w:r>
      <w:r w:rsidRPr="00E507FA">
        <w:rPr>
          <w:spacing w:val="-2"/>
        </w:rPr>
        <w:t>corporate history</w:t>
      </w:r>
      <w:r w:rsidR="0031678F" w:rsidRPr="00E507FA">
        <w:rPr>
          <w:spacing w:val="-2"/>
        </w:rPr>
        <w:t xml:space="preserve"> in that</w:t>
      </w:r>
      <w:r w:rsidRPr="00E507FA">
        <w:rPr>
          <w:spacing w:val="-2"/>
        </w:rPr>
        <w:t xml:space="preserve"> </w:t>
      </w:r>
      <w:r w:rsidR="0031678F" w:rsidRPr="00E507FA">
        <w:rPr>
          <w:spacing w:val="-2"/>
        </w:rPr>
        <w:t>it</w:t>
      </w:r>
      <w:r w:rsidRPr="00E507FA">
        <w:rPr>
          <w:spacing w:val="-2"/>
        </w:rPr>
        <w:t xml:space="preserve"> had important implications for HCL and its future in the </w:t>
      </w:r>
      <w:r w:rsidR="00223FD1" w:rsidRPr="00E507FA">
        <w:rPr>
          <w:spacing w:val="-2"/>
        </w:rPr>
        <w:t>$</w:t>
      </w:r>
      <w:r w:rsidRPr="00E507FA">
        <w:rPr>
          <w:spacing w:val="-2"/>
        </w:rPr>
        <w:t>644.3 billion aerospace and defen</w:t>
      </w:r>
      <w:r w:rsidR="0095390D" w:rsidRPr="00E507FA">
        <w:rPr>
          <w:spacing w:val="-2"/>
        </w:rPr>
        <w:t>c</w:t>
      </w:r>
      <w:r w:rsidRPr="00E507FA">
        <w:rPr>
          <w:spacing w:val="-2"/>
        </w:rPr>
        <w:t>e</w:t>
      </w:r>
      <w:r w:rsidR="000F6EBE" w:rsidRPr="00E507FA">
        <w:rPr>
          <w:spacing w:val="-2"/>
        </w:rPr>
        <w:t xml:space="preserve"> (A&amp;D)</w:t>
      </w:r>
      <w:r w:rsidRPr="00E507FA">
        <w:rPr>
          <w:spacing w:val="-2"/>
        </w:rPr>
        <w:t xml:space="preserve"> industry</w:t>
      </w:r>
      <w:r w:rsidR="00E62F8F" w:rsidRPr="00E507FA">
        <w:rPr>
          <w:spacing w:val="-2"/>
        </w:rPr>
        <w:t>.</w:t>
      </w:r>
      <w:r w:rsidRPr="00E507FA">
        <w:rPr>
          <w:rStyle w:val="EndnoteReference"/>
          <w:rFonts w:ascii="Times" w:hAnsi="Times"/>
          <w:spacing w:val="-2"/>
        </w:rPr>
        <w:endnoteReference w:id="5"/>
      </w:r>
    </w:p>
    <w:p w14:paraId="196318C0" w14:textId="77777777" w:rsidR="004C2798" w:rsidRDefault="004C2798" w:rsidP="004C2798">
      <w:pPr>
        <w:pStyle w:val="BodyTextMain"/>
      </w:pPr>
    </w:p>
    <w:p w14:paraId="09B93BDF" w14:textId="1ADE934D" w:rsidR="004C2798" w:rsidRDefault="004C2798" w:rsidP="004C2798">
      <w:pPr>
        <w:pStyle w:val="BodyTextMain"/>
      </w:pPr>
      <w:r w:rsidRPr="00740386">
        <w:t xml:space="preserve">After </w:t>
      </w:r>
      <w:r w:rsidR="00F05122">
        <w:t xml:space="preserve">4 </w:t>
      </w:r>
      <w:r w:rsidRPr="00740386">
        <w:t xml:space="preserve">million hours </w:t>
      </w:r>
      <w:r w:rsidR="006C2F86">
        <w:t xml:space="preserve">of engineering services </w:t>
      </w:r>
      <w:r w:rsidRPr="00740386">
        <w:t xml:space="preserve">that culminated in the successful </w:t>
      </w:r>
      <w:r>
        <w:t>fulfillment</w:t>
      </w:r>
      <w:r w:rsidRPr="00740386">
        <w:t xml:space="preserve"> of the requirements of the Dreamliner project</w:t>
      </w:r>
      <w:r w:rsidR="006C2F86">
        <w:t>,</w:t>
      </w:r>
      <w:r>
        <w:rPr>
          <w:rStyle w:val="EndnoteReference"/>
          <w:rFonts w:ascii="Times" w:hAnsi="Times"/>
        </w:rPr>
        <w:endnoteReference w:id="6"/>
      </w:r>
      <w:r w:rsidRPr="00740386">
        <w:t xml:space="preserve"> </w:t>
      </w:r>
      <w:r>
        <w:t xml:space="preserve">the time was ripe for </w:t>
      </w:r>
      <w:r w:rsidR="00F15CBB">
        <w:t>Rao</w:t>
      </w:r>
      <w:r w:rsidRPr="00C05211">
        <w:t xml:space="preserve"> </w:t>
      </w:r>
      <w:r>
        <w:t xml:space="preserve">to make </w:t>
      </w:r>
      <w:r w:rsidR="00B20A3D">
        <w:t>a crucial</w:t>
      </w:r>
      <w:r>
        <w:t xml:space="preserve"> strategic choice. </w:t>
      </w:r>
      <w:r w:rsidRPr="003E6BFB">
        <w:t xml:space="preserve">HCL </w:t>
      </w:r>
      <w:r>
        <w:t xml:space="preserve">ERS </w:t>
      </w:r>
      <w:r w:rsidRPr="003E6BFB">
        <w:t xml:space="preserve">could choose to continue to excel in offering </w:t>
      </w:r>
      <w:r>
        <w:t>great</w:t>
      </w:r>
      <w:r w:rsidRPr="003E6BFB">
        <w:t xml:space="preserve"> value to its customers by helping them </w:t>
      </w:r>
      <w:r>
        <w:t>optimize</w:t>
      </w:r>
      <w:r w:rsidRPr="003E6BFB">
        <w:t xml:space="preserve"> costs and improve delivery time, or</w:t>
      </w:r>
      <w:r w:rsidR="00B20A3D">
        <w:t xml:space="preserve"> it</w:t>
      </w:r>
      <w:r w:rsidR="0081200F">
        <w:t xml:space="preserve"> could</w:t>
      </w:r>
      <w:r w:rsidRPr="003E6BFB">
        <w:t xml:space="preserve"> </w:t>
      </w:r>
      <w:r>
        <w:t>move up the value chain by investing mor</w:t>
      </w:r>
      <w:r w:rsidRPr="003E6BFB">
        <w:t xml:space="preserve">e in </w:t>
      </w:r>
      <w:r w:rsidR="00F05122">
        <w:t>research and development (</w:t>
      </w:r>
      <w:r w:rsidRPr="003E6BFB">
        <w:t>R&amp;D</w:t>
      </w:r>
      <w:r w:rsidR="00F05122">
        <w:t>)</w:t>
      </w:r>
      <w:r w:rsidRPr="003E6BFB">
        <w:t xml:space="preserve"> capabilities</w:t>
      </w:r>
      <w:r>
        <w:t xml:space="preserve">, thereby emerging as a leader </w:t>
      </w:r>
      <w:r w:rsidR="00444828">
        <w:t>rather than</w:t>
      </w:r>
      <w:r>
        <w:t xml:space="preserve"> a follower in the highly complex and technology</w:t>
      </w:r>
      <w:r w:rsidR="00B20A3D">
        <w:t>-</w:t>
      </w:r>
      <w:r>
        <w:t xml:space="preserve">driven </w:t>
      </w:r>
      <w:r w:rsidR="00B20A3D">
        <w:t xml:space="preserve">A&amp;D </w:t>
      </w:r>
      <w:r>
        <w:t xml:space="preserve">industry. </w:t>
      </w:r>
    </w:p>
    <w:p w14:paraId="223A7D61" w14:textId="77777777" w:rsidR="00DB3C2D" w:rsidRDefault="00DB3C2D" w:rsidP="004C2798">
      <w:pPr>
        <w:pStyle w:val="BodyTextMain"/>
      </w:pPr>
    </w:p>
    <w:p w14:paraId="38E8C1E3" w14:textId="77777777" w:rsidR="00DB3C2D" w:rsidRPr="00B370C7" w:rsidRDefault="00DB3C2D" w:rsidP="00B370C7">
      <w:pPr>
        <w:pStyle w:val="BodyTextMain"/>
      </w:pPr>
    </w:p>
    <w:p w14:paraId="5462FE86" w14:textId="77777777" w:rsidR="004C2798" w:rsidRPr="00740386" w:rsidRDefault="004C2798" w:rsidP="001873D9">
      <w:pPr>
        <w:pStyle w:val="Casehead1"/>
        <w:outlineLvl w:val="0"/>
      </w:pPr>
      <w:r w:rsidRPr="00740386">
        <w:t>BACKGROUND AND COMPANY PROFILE</w:t>
      </w:r>
    </w:p>
    <w:p w14:paraId="74CB4B72" w14:textId="77777777" w:rsidR="00DB3C2D" w:rsidRDefault="00DB3C2D" w:rsidP="004C2798">
      <w:pPr>
        <w:pStyle w:val="BodyTextMain"/>
      </w:pPr>
    </w:p>
    <w:p w14:paraId="361A3C6A" w14:textId="34C96059" w:rsidR="004C2798" w:rsidRDefault="004C2798" w:rsidP="004C2798">
      <w:pPr>
        <w:pStyle w:val="BodyTextMain"/>
      </w:pPr>
      <w:r>
        <w:t xml:space="preserve">HCL was a </w:t>
      </w:r>
      <w:r w:rsidRPr="00740386">
        <w:t xml:space="preserve">large </w:t>
      </w:r>
      <w:r w:rsidR="00AB7F3A">
        <w:t>I</w:t>
      </w:r>
      <w:r>
        <w:t xml:space="preserve">ndian </w:t>
      </w:r>
      <w:r w:rsidRPr="00740386">
        <w:t>multi</w:t>
      </w:r>
      <w:r w:rsidR="005618ED">
        <w:t>-</w:t>
      </w:r>
      <w:r w:rsidRPr="00740386">
        <w:t>national IT services an</w:t>
      </w:r>
      <w:r>
        <w:t>d</w:t>
      </w:r>
      <w:r w:rsidRPr="00740386">
        <w:t xml:space="preserve"> product engineering solutions provider</w:t>
      </w:r>
      <w:r>
        <w:t>,</w:t>
      </w:r>
      <w:r w:rsidRPr="00740386">
        <w:t xml:space="preserve"> headquartered in </w:t>
      </w:r>
      <w:r>
        <w:t>Noida, India.</w:t>
      </w:r>
      <w:r w:rsidRPr="00740386">
        <w:t xml:space="preserve"> </w:t>
      </w:r>
      <w:r w:rsidR="00B20A3D">
        <w:t>The firm</w:t>
      </w:r>
      <w:r w:rsidRPr="00740386">
        <w:t xml:space="preserve"> was a subsidiary of the </w:t>
      </w:r>
      <w:r w:rsidR="00223FD1">
        <w:t>$</w:t>
      </w:r>
      <w:r w:rsidRPr="00740386">
        <w:t xml:space="preserve">5 billion HCL </w:t>
      </w:r>
      <w:r w:rsidR="00F3771B">
        <w:t>E</w:t>
      </w:r>
      <w:r w:rsidRPr="00740386">
        <w:t>nterprise</w:t>
      </w:r>
      <w:r w:rsidR="00CE2A18">
        <w:t>,</w:t>
      </w:r>
      <w:r w:rsidRPr="00740386">
        <w:t xml:space="preserve"> with </w:t>
      </w:r>
      <w:r w:rsidR="00223FD1">
        <w:t>$</w:t>
      </w:r>
      <w:r w:rsidRPr="00740386">
        <w:t>2.3 billion in consolidated revenues as of September 30, 2009 (</w:t>
      </w:r>
      <w:r w:rsidR="00CE2A18">
        <w:t xml:space="preserve">trailing 12 months; </w:t>
      </w:r>
      <w:r w:rsidRPr="00740386">
        <w:t xml:space="preserve">see </w:t>
      </w:r>
      <w:r w:rsidRPr="00E30E16">
        <w:t>Exhibit 1</w:t>
      </w:r>
      <w:r w:rsidRPr="00740386">
        <w:t xml:space="preserve">). </w:t>
      </w:r>
      <w:r>
        <w:t>Though HCL was primar</w:t>
      </w:r>
      <w:r w:rsidR="00444828">
        <w:t>il</w:t>
      </w:r>
      <w:r>
        <w:t xml:space="preserve">y an </w:t>
      </w:r>
      <w:r w:rsidR="00F05122">
        <w:t>e</w:t>
      </w:r>
      <w:r>
        <w:t xml:space="preserve">ngineering </w:t>
      </w:r>
      <w:r w:rsidR="00F05122">
        <w:t>s</w:t>
      </w:r>
      <w:r>
        <w:t xml:space="preserve">ervices </w:t>
      </w:r>
      <w:r w:rsidR="00F05122">
        <w:t>o</w:t>
      </w:r>
      <w:r>
        <w:t xml:space="preserve">utsourcing company, it </w:t>
      </w:r>
      <w:r w:rsidRPr="00740386">
        <w:t>positioned itself as a technology</w:t>
      </w:r>
      <w:r>
        <w:t xml:space="preserve"> enabler and brought</w:t>
      </w:r>
      <w:r w:rsidRPr="00740386">
        <w:t xml:space="preserve"> the end</w:t>
      </w:r>
      <w:r w:rsidR="0094351F">
        <w:t>-</w:t>
      </w:r>
      <w:r w:rsidRPr="00740386">
        <w:t>customer</w:t>
      </w:r>
      <w:r w:rsidR="00760A1C">
        <w:t>’s</w:t>
      </w:r>
      <w:r w:rsidRPr="00740386">
        <w:t xml:space="preserve"> </w:t>
      </w:r>
      <w:r>
        <w:t>experience to</w:t>
      </w:r>
      <w:r w:rsidRPr="00740386">
        <w:t xml:space="preserve"> the forefront</w:t>
      </w:r>
      <w:r w:rsidR="00CE2A18">
        <w:t xml:space="preserve"> of</w:t>
      </w:r>
      <w:r w:rsidRPr="00740386">
        <w:t xml:space="preserve"> its business. In 2009</w:t>
      </w:r>
      <w:r w:rsidR="00E57312">
        <w:t>,</w:t>
      </w:r>
      <w:r w:rsidRPr="00740386">
        <w:t xml:space="preserve"> HCL employed 54,443 </w:t>
      </w:r>
      <w:r>
        <w:t>individuals</w:t>
      </w:r>
      <w:r w:rsidRPr="00740386">
        <w:t xml:space="preserve"> and offered an integrated portfolio of services comprising software-led IT solutions, remote infrastructure management, engineering and R&amp;D services</w:t>
      </w:r>
      <w:r w:rsidR="00CE2A18">
        <w:t>,</w:t>
      </w:r>
      <w:r w:rsidRPr="00740386">
        <w:t xml:space="preserve"> and </w:t>
      </w:r>
      <w:r w:rsidR="008A40B7">
        <w:t>business process outsourcing</w:t>
      </w:r>
      <w:r w:rsidR="00DD5FDB">
        <w:t>,</w:t>
      </w:r>
      <w:r w:rsidR="000F0348" w:rsidRPr="000F0348">
        <w:t xml:space="preserve"> </w:t>
      </w:r>
      <w:r w:rsidR="000F0348" w:rsidRPr="00740386">
        <w:t>across five industry verticals: manufacturing, financial services, health</w:t>
      </w:r>
      <w:r w:rsidR="00F1238B">
        <w:t xml:space="preserve"> </w:t>
      </w:r>
      <w:r w:rsidR="000F0348" w:rsidRPr="00740386">
        <w:t>care, public services, and consumer services.</w:t>
      </w:r>
      <w:r w:rsidRPr="00740386">
        <w:rPr>
          <w:rStyle w:val="EndnoteReference"/>
          <w:rFonts w:ascii="Times" w:hAnsi="Times"/>
        </w:rPr>
        <w:endnoteReference w:id="7"/>
      </w:r>
      <w:r w:rsidRPr="00740386">
        <w:t xml:space="preserve"> </w:t>
      </w:r>
      <w:r w:rsidR="00E24416">
        <w:lastRenderedPageBreak/>
        <w:t>The firm</w:t>
      </w:r>
      <w:r>
        <w:t xml:space="preserve"> earned almost 21 </w:t>
      </w:r>
      <w:r w:rsidR="00223FD1">
        <w:t>per cent</w:t>
      </w:r>
      <w:r>
        <w:t xml:space="preserve"> of its revenues from engineering and R&amp;D services</w:t>
      </w:r>
      <w:r w:rsidR="00CE2A18">
        <w:t>.</w:t>
      </w:r>
      <w:r>
        <w:rPr>
          <w:rStyle w:val="EndnoteReference"/>
          <w:rFonts w:ascii="Times" w:hAnsi="Times"/>
        </w:rPr>
        <w:endnoteReference w:id="8"/>
      </w:r>
      <w:r>
        <w:t xml:space="preserve"> HCL was successful in establishing its reputation as a trusted partner </w:t>
      </w:r>
      <w:r w:rsidR="00CE2A18">
        <w:t xml:space="preserve">that could manage </w:t>
      </w:r>
      <w:r>
        <w:t>important research and development projects.</w:t>
      </w:r>
      <w:r w:rsidR="00E24416">
        <w:t xml:space="preserve"> When Boeing chose </w:t>
      </w:r>
      <w:r>
        <w:t xml:space="preserve">HCL </w:t>
      </w:r>
      <w:r w:rsidR="00E24416">
        <w:t>to</w:t>
      </w:r>
      <w:r>
        <w:t xml:space="preserve"> participat</w:t>
      </w:r>
      <w:r w:rsidR="00E24416">
        <w:t>e</w:t>
      </w:r>
      <w:r>
        <w:t xml:space="preserve"> in the</w:t>
      </w:r>
      <w:r w:rsidR="00E24416">
        <w:t xml:space="preserve"> </w:t>
      </w:r>
      <w:r>
        <w:t>Dreamliner project</w:t>
      </w:r>
      <w:r w:rsidR="00E24416">
        <w:t>, this choice</w:t>
      </w:r>
      <w:r>
        <w:t xml:space="preserve"> not only reinforced </w:t>
      </w:r>
      <w:r w:rsidR="00A1072A">
        <w:t xml:space="preserve">HCL’s reputation for reliability </w:t>
      </w:r>
      <w:r>
        <w:t xml:space="preserve">but also </w:t>
      </w:r>
      <w:r w:rsidR="00A1072A">
        <w:t xml:space="preserve">increased </w:t>
      </w:r>
      <w:r>
        <w:t xml:space="preserve">credibility </w:t>
      </w:r>
      <w:r w:rsidR="00A1072A">
        <w:t xml:space="preserve">about its </w:t>
      </w:r>
      <w:r>
        <w:t xml:space="preserve">overall competence. </w:t>
      </w:r>
    </w:p>
    <w:p w14:paraId="278C8CD8" w14:textId="77777777" w:rsidR="00E905B4" w:rsidRDefault="00E905B4" w:rsidP="004C2798">
      <w:pPr>
        <w:pStyle w:val="BodyTextMain"/>
      </w:pPr>
    </w:p>
    <w:p w14:paraId="2E69825A" w14:textId="09F6895A" w:rsidR="00B4527F" w:rsidRDefault="00A1072A" w:rsidP="004C2798">
      <w:pPr>
        <w:pStyle w:val="BodyTextMain"/>
      </w:pPr>
      <w:r>
        <w:t>In</w:t>
      </w:r>
      <w:r w:rsidR="004C2798">
        <w:t xml:space="preserve"> line with the entrepreneurial spirit that </w:t>
      </w:r>
      <w:r>
        <w:t>HCL</w:t>
      </w:r>
      <w:r w:rsidR="004C2798">
        <w:t xml:space="preserve"> strived to inculcate among its employees,</w:t>
      </w:r>
      <w:r>
        <w:t xml:space="preserve"> the company</w:t>
      </w:r>
      <w:r w:rsidR="004C2798">
        <w:t xml:space="preserve"> referred to its engineers as</w:t>
      </w:r>
      <w:r w:rsidR="004C2798" w:rsidRPr="00624780">
        <w:t xml:space="preserve"> </w:t>
      </w:r>
      <w:r w:rsidR="00624780">
        <w:t>“</w:t>
      </w:r>
      <w:r w:rsidR="004C2798" w:rsidRPr="00F3771B">
        <w:t>ideapreneurs</w:t>
      </w:r>
      <w:r w:rsidR="004C2798" w:rsidRPr="00624780">
        <w:t>.</w:t>
      </w:r>
      <w:r w:rsidR="00624780">
        <w:t>”</w:t>
      </w:r>
      <w:r w:rsidR="004C2798" w:rsidRPr="00624780">
        <w:t xml:space="preserve"> </w:t>
      </w:r>
      <w:r w:rsidR="004C2798">
        <w:t>Over the years</w:t>
      </w:r>
      <w:r>
        <w:t>,</w:t>
      </w:r>
      <w:r w:rsidR="004C2798">
        <w:t xml:space="preserve"> </w:t>
      </w:r>
      <w:r w:rsidR="004C2798" w:rsidRPr="00740386">
        <w:t>HCL was able to develop and establish a</w:t>
      </w:r>
      <w:r w:rsidR="004C2798">
        <w:t xml:space="preserve">n ecosystem and a </w:t>
      </w:r>
      <w:r w:rsidR="004C2798" w:rsidRPr="00740386">
        <w:t>corporate culture that allowed these employees to freely ideate and innovate</w:t>
      </w:r>
      <w:r w:rsidR="004C2798">
        <w:t xml:space="preserve">. </w:t>
      </w:r>
      <w:r w:rsidR="000C2ABA">
        <w:t>On</w:t>
      </w:r>
      <w:r w:rsidR="004C2798" w:rsidRPr="00740386">
        <w:t xml:space="preserve"> average</w:t>
      </w:r>
      <w:r w:rsidR="000C2ABA">
        <w:t>,</w:t>
      </w:r>
      <w:r w:rsidR="004C2798" w:rsidRPr="00740386">
        <w:t xml:space="preserve"> </w:t>
      </w:r>
      <w:r w:rsidR="004C2798">
        <w:t>HCL</w:t>
      </w:r>
      <w:r w:rsidR="000C2ABA">
        <w:t>’s</w:t>
      </w:r>
      <w:r w:rsidR="004C2798">
        <w:t xml:space="preserve"> e</w:t>
      </w:r>
      <w:r w:rsidR="004C2798" w:rsidRPr="00740386">
        <w:t xml:space="preserve">mployees </w:t>
      </w:r>
      <w:r w:rsidR="000C2ABA">
        <w:t>were older than those of</w:t>
      </w:r>
      <w:r w:rsidR="004C2798" w:rsidRPr="00740386">
        <w:t xml:space="preserve"> competitors like Infosys</w:t>
      </w:r>
      <w:r w:rsidR="00356109">
        <w:t xml:space="preserve"> Limited</w:t>
      </w:r>
      <w:r w:rsidR="004C2798">
        <w:t>,</w:t>
      </w:r>
      <w:r w:rsidR="004C2798" w:rsidRPr="00740386">
        <w:t xml:space="preserve"> </w:t>
      </w:r>
      <w:r w:rsidR="000C2ABA">
        <w:t>due</w:t>
      </w:r>
      <w:r w:rsidR="004C2798">
        <w:t xml:space="preserve"> to</w:t>
      </w:r>
      <w:r w:rsidR="004C2798" w:rsidRPr="00740386">
        <w:t xml:space="preserve"> HCL</w:t>
      </w:r>
      <w:r w:rsidR="004C2798">
        <w:t xml:space="preserve">’s policy of </w:t>
      </w:r>
      <w:r w:rsidR="004C2798" w:rsidRPr="00740386">
        <w:t>hiring</w:t>
      </w:r>
      <w:r w:rsidR="004C2798">
        <w:t xml:space="preserve"> mostly </w:t>
      </w:r>
      <w:r w:rsidR="004C2798" w:rsidRPr="00740386">
        <w:t xml:space="preserve">experienced engineers </w:t>
      </w:r>
      <w:r w:rsidR="00444828">
        <w:t>versus</w:t>
      </w:r>
      <w:r w:rsidR="004C2798">
        <w:t xml:space="preserve"> fresh engineering school graduates</w:t>
      </w:r>
      <w:r w:rsidR="004C2798" w:rsidRPr="00740386">
        <w:t xml:space="preserve">. Analysts estimated that almost 65 </w:t>
      </w:r>
      <w:r w:rsidR="00223FD1">
        <w:t>per cent</w:t>
      </w:r>
      <w:r w:rsidR="004C2798" w:rsidRPr="00740386">
        <w:t xml:space="preserve"> of HCL’s total workforce </w:t>
      </w:r>
      <w:r w:rsidR="00B4527F">
        <w:t>consisted</w:t>
      </w:r>
      <w:r w:rsidR="00B4527F" w:rsidRPr="00740386">
        <w:t xml:space="preserve"> </w:t>
      </w:r>
      <w:r w:rsidR="004C2798" w:rsidRPr="00740386">
        <w:t xml:space="preserve">of experienced </w:t>
      </w:r>
      <w:r w:rsidR="004C2798">
        <w:t xml:space="preserve">professionals. </w:t>
      </w:r>
      <w:r w:rsidR="00B4527F">
        <w:t>E</w:t>
      </w:r>
      <w:r w:rsidR="004C2798">
        <w:t xml:space="preserve">mployees received an average salary that was approximately 20 </w:t>
      </w:r>
      <w:r w:rsidR="00223FD1">
        <w:t>per cent</w:t>
      </w:r>
      <w:r w:rsidR="004C2798">
        <w:t xml:space="preserve"> higher </w:t>
      </w:r>
      <w:r w:rsidR="00B4527F">
        <w:t>than that offered by</w:t>
      </w:r>
      <w:r w:rsidR="004C2798">
        <w:t xml:space="preserve"> </w:t>
      </w:r>
      <w:r w:rsidR="004C2798" w:rsidRPr="002A482E">
        <w:t>competitors</w:t>
      </w:r>
      <w:r w:rsidR="000F0348">
        <w:t>.</w:t>
      </w:r>
      <w:r w:rsidR="004C2798" w:rsidRPr="002A482E">
        <w:rPr>
          <w:rStyle w:val="EndnoteReference"/>
          <w:rFonts w:ascii="Times" w:hAnsi="Times"/>
        </w:rPr>
        <w:endnoteReference w:id="9"/>
      </w:r>
      <w:r w:rsidR="004C2798" w:rsidRPr="002A482E">
        <w:t xml:space="preserve"> </w:t>
      </w:r>
    </w:p>
    <w:p w14:paraId="2BEC5B9F" w14:textId="77777777" w:rsidR="00B4527F" w:rsidRDefault="00B4527F" w:rsidP="004C2798">
      <w:pPr>
        <w:pStyle w:val="BodyTextMain"/>
      </w:pPr>
    </w:p>
    <w:p w14:paraId="5604083E" w14:textId="2C81FE57" w:rsidR="004C2798" w:rsidRDefault="004C2798" w:rsidP="004C2798">
      <w:pPr>
        <w:pStyle w:val="BodyTextMain"/>
      </w:pPr>
      <w:r w:rsidRPr="002A482E">
        <w:t xml:space="preserve">HCL’s global workforce </w:t>
      </w:r>
      <w:r w:rsidR="00B4527F">
        <w:t xml:space="preserve">mostly </w:t>
      </w:r>
      <w:r w:rsidRPr="002A482E">
        <w:t>comprised Indian nationals</w:t>
      </w:r>
      <w:r w:rsidR="00B4527F">
        <w:t>, but</w:t>
      </w:r>
      <w:r>
        <w:t xml:space="preserve"> the company expected to change this in the future by hiring more American citizens in order to allay fear</w:t>
      </w:r>
      <w:r w:rsidR="00B4527F">
        <w:t>s</w:t>
      </w:r>
      <w:r>
        <w:t xml:space="preserve"> of job migration and job loss among a section of the American public. In this regard</w:t>
      </w:r>
      <w:r w:rsidR="00B4527F">
        <w:t>,</w:t>
      </w:r>
      <w:r>
        <w:t xml:space="preserve"> HCL demonstrated </w:t>
      </w:r>
      <w:r w:rsidR="00B4527F">
        <w:t>its commitment to the plan</w:t>
      </w:r>
      <w:r>
        <w:t xml:space="preserve"> by opening</w:t>
      </w:r>
      <w:r w:rsidRPr="0036004B">
        <w:t xml:space="preserve"> a development and service </w:t>
      </w:r>
      <w:r w:rsidR="001873D9">
        <w:t>centre</w:t>
      </w:r>
      <w:r w:rsidRPr="0036004B">
        <w:t xml:space="preserve"> in Raleigh, North Carolina</w:t>
      </w:r>
      <w:r>
        <w:t xml:space="preserve"> in 2008. </w:t>
      </w:r>
      <w:r w:rsidR="00B4527F">
        <w:t>The company</w:t>
      </w:r>
      <w:r>
        <w:t xml:space="preserve"> planned to staff its Raleigh </w:t>
      </w:r>
      <w:r w:rsidR="001873D9">
        <w:t>centre</w:t>
      </w:r>
      <w:r>
        <w:t xml:space="preserve"> mainly </w:t>
      </w:r>
      <w:r w:rsidRPr="0036004B">
        <w:t>with fresh graduates from American en</w:t>
      </w:r>
      <w:r w:rsidRPr="00D06EC6">
        <w:t xml:space="preserve">gineering schools. </w:t>
      </w:r>
      <w:r w:rsidR="00014F3E">
        <w:t>However, by the end of 2009, HCL still had not fully staffed the centre</w:t>
      </w:r>
      <w:r w:rsidRPr="00D06EC6">
        <w:t xml:space="preserve">. </w:t>
      </w:r>
      <w:r>
        <w:t>Meanwhile HCL continued to deliver</w:t>
      </w:r>
      <w:r w:rsidRPr="002A482E">
        <w:t xml:space="preserve"> its services to its customers thro</w:t>
      </w:r>
      <w:r>
        <w:t xml:space="preserve">ugh a network of </w:t>
      </w:r>
      <w:r w:rsidRPr="002A482E">
        <w:t xml:space="preserve">offices in </w:t>
      </w:r>
      <w:r w:rsidR="00444828">
        <w:t>26</w:t>
      </w:r>
      <w:r w:rsidRPr="002A482E">
        <w:t xml:space="preserve"> countries across the world, with a strong presence in </w:t>
      </w:r>
      <w:r w:rsidR="00624780">
        <w:t>the United States</w:t>
      </w:r>
      <w:r w:rsidRPr="002A482E">
        <w:t>, Western Europe, and Asia</w:t>
      </w:r>
      <w:r w:rsidR="00624780">
        <w:t>.</w:t>
      </w:r>
      <w:r w:rsidRPr="002A482E">
        <w:rPr>
          <w:rStyle w:val="EndnoteReference"/>
          <w:rFonts w:ascii="Times" w:hAnsi="Times"/>
        </w:rPr>
        <w:endnoteReference w:id="10"/>
      </w:r>
    </w:p>
    <w:p w14:paraId="73BD2131" w14:textId="77777777" w:rsidR="00E905B4" w:rsidRDefault="00E905B4" w:rsidP="004C2798">
      <w:pPr>
        <w:pStyle w:val="BodyTextMain"/>
      </w:pPr>
    </w:p>
    <w:p w14:paraId="39AF3981" w14:textId="77777777" w:rsidR="00E905B4" w:rsidRDefault="00E905B4" w:rsidP="004C2798">
      <w:pPr>
        <w:pStyle w:val="BodyTextMain"/>
      </w:pPr>
    </w:p>
    <w:p w14:paraId="123DE880" w14:textId="77777777" w:rsidR="004C2798" w:rsidRPr="00740386" w:rsidRDefault="004C2798" w:rsidP="001873D9">
      <w:pPr>
        <w:pStyle w:val="Casehead1"/>
        <w:outlineLvl w:val="0"/>
      </w:pPr>
      <w:r w:rsidRPr="00740386">
        <w:t>ENGINEERING AND R&amp;D SERVICES DIVISION</w:t>
      </w:r>
    </w:p>
    <w:p w14:paraId="6C0D39C9" w14:textId="77777777" w:rsidR="00E905B4" w:rsidRDefault="00E905B4" w:rsidP="004C2798">
      <w:pPr>
        <w:pStyle w:val="BodyTextMain"/>
      </w:pPr>
    </w:p>
    <w:p w14:paraId="526EB234" w14:textId="5CFCFCCC" w:rsidR="004C2798" w:rsidRPr="009A5C55" w:rsidRDefault="004C2798" w:rsidP="004C2798">
      <w:pPr>
        <w:pStyle w:val="BodyTextMain"/>
        <w:rPr>
          <w:spacing w:val="-4"/>
        </w:rPr>
      </w:pPr>
      <w:r w:rsidRPr="009A5C55">
        <w:rPr>
          <w:spacing w:val="-4"/>
        </w:rPr>
        <w:t>The ERS division formed the core of R&amp;D at HCL. The division offered engineering and research and development services to its customers and remained unfailingly focused on the end</w:t>
      </w:r>
      <w:r w:rsidR="0094351F">
        <w:rPr>
          <w:spacing w:val="-4"/>
        </w:rPr>
        <w:t>-</w:t>
      </w:r>
      <w:r w:rsidRPr="009A5C55">
        <w:rPr>
          <w:spacing w:val="-4"/>
        </w:rPr>
        <w:t>consumer</w:t>
      </w:r>
      <w:r w:rsidR="00760A1C" w:rsidRPr="009A5C55">
        <w:rPr>
          <w:spacing w:val="-4"/>
        </w:rPr>
        <w:t>’</w:t>
      </w:r>
      <w:r w:rsidRPr="009A5C55">
        <w:rPr>
          <w:spacing w:val="-4"/>
        </w:rPr>
        <w:t xml:space="preserve">s product or service experience. Typical projects included complete reengineering of complex legacy flight test systems, </w:t>
      </w:r>
      <w:r w:rsidR="009A5C55" w:rsidRPr="009A5C55">
        <w:rPr>
          <w:spacing w:val="-4"/>
        </w:rPr>
        <w:t>reducing costs</w:t>
      </w:r>
      <w:r w:rsidRPr="009A5C55">
        <w:rPr>
          <w:spacing w:val="-4"/>
        </w:rPr>
        <w:t xml:space="preserve"> for </w:t>
      </w:r>
      <w:r w:rsidR="00054624" w:rsidRPr="009A5C55">
        <w:rPr>
          <w:spacing w:val="-4"/>
        </w:rPr>
        <w:t>tier-one</w:t>
      </w:r>
      <w:r w:rsidRPr="009A5C55">
        <w:rPr>
          <w:spacing w:val="-4"/>
        </w:rPr>
        <w:t xml:space="preserve"> automotive component suppliers, creating and maintaining customer</w:t>
      </w:r>
      <w:r w:rsidR="00760A1C" w:rsidRPr="009A5C55">
        <w:rPr>
          <w:spacing w:val="-4"/>
        </w:rPr>
        <w:t>-</w:t>
      </w:r>
      <w:r w:rsidRPr="009A5C55">
        <w:rPr>
          <w:spacing w:val="-4"/>
        </w:rPr>
        <w:t>facing software platforms for customers across a wide range of hi</w:t>
      </w:r>
      <w:r w:rsidR="000F0348" w:rsidRPr="009A5C55">
        <w:rPr>
          <w:spacing w:val="-4"/>
        </w:rPr>
        <w:t>gh</w:t>
      </w:r>
      <w:r w:rsidRPr="009A5C55">
        <w:rPr>
          <w:spacing w:val="-4"/>
        </w:rPr>
        <w:t>-tech industries and reducing the time to market for various industrial product manufacturers, thereby</w:t>
      </w:r>
      <w:r w:rsidR="00760A1C" w:rsidRPr="009A5C55">
        <w:rPr>
          <w:spacing w:val="-4"/>
        </w:rPr>
        <w:t xml:space="preserve"> </w:t>
      </w:r>
      <w:r w:rsidRPr="009A5C55">
        <w:rPr>
          <w:spacing w:val="-4"/>
        </w:rPr>
        <w:t xml:space="preserve">enabling these </w:t>
      </w:r>
      <w:r w:rsidR="001B31AB" w:rsidRPr="009A5C55">
        <w:rPr>
          <w:spacing w:val="-4"/>
        </w:rPr>
        <w:t>original equipment manufacturers (</w:t>
      </w:r>
      <w:r w:rsidRPr="009A5C55">
        <w:rPr>
          <w:spacing w:val="-4"/>
        </w:rPr>
        <w:t>OEMs</w:t>
      </w:r>
      <w:r w:rsidR="001B31AB" w:rsidRPr="009A5C55">
        <w:rPr>
          <w:spacing w:val="-4"/>
        </w:rPr>
        <w:t>)</w:t>
      </w:r>
      <w:r w:rsidRPr="009A5C55">
        <w:rPr>
          <w:spacing w:val="-4"/>
        </w:rPr>
        <w:t xml:space="preserve"> to deliver </w:t>
      </w:r>
      <w:r w:rsidR="00760A1C" w:rsidRPr="009A5C55">
        <w:rPr>
          <w:spacing w:val="-4"/>
        </w:rPr>
        <w:t xml:space="preserve">a </w:t>
      </w:r>
      <w:r w:rsidRPr="009A5C55">
        <w:rPr>
          <w:spacing w:val="-4"/>
        </w:rPr>
        <w:t>superior end</w:t>
      </w:r>
      <w:r w:rsidR="0094351F">
        <w:rPr>
          <w:spacing w:val="-4"/>
        </w:rPr>
        <w:t>-</w:t>
      </w:r>
      <w:r w:rsidRPr="009A5C55">
        <w:rPr>
          <w:spacing w:val="-4"/>
        </w:rPr>
        <w:t xml:space="preserve">customer experience. The ERS division </w:t>
      </w:r>
      <w:r w:rsidR="00760A1C" w:rsidRPr="009A5C55">
        <w:rPr>
          <w:spacing w:val="-4"/>
        </w:rPr>
        <w:t xml:space="preserve">endeavoured </w:t>
      </w:r>
      <w:r w:rsidRPr="009A5C55">
        <w:rPr>
          <w:spacing w:val="-4"/>
        </w:rPr>
        <w:t xml:space="preserve">to deliver this experience through a mix of three ingredients: faster delivery (acceleration), superior value creation </w:t>
      </w:r>
      <w:r w:rsidR="00760A1C" w:rsidRPr="009A5C55">
        <w:rPr>
          <w:spacing w:val="-4"/>
        </w:rPr>
        <w:t>(</w:t>
      </w:r>
      <w:r w:rsidRPr="009A5C55">
        <w:rPr>
          <w:spacing w:val="-4"/>
        </w:rPr>
        <w:t>by striking the right balance between costs and benefits</w:t>
      </w:r>
      <w:r w:rsidR="00760A1C" w:rsidRPr="009A5C55">
        <w:rPr>
          <w:spacing w:val="-4"/>
        </w:rPr>
        <w:t>)</w:t>
      </w:r>
      <w:r w:rsidRPr="009A5C55">
        <w:rPr>
          <w:spacing w:val="-4"/>
        </w:rPr>
        <w:t>, and access to advanced technology based on research and development</w:t>
      </w:r>
      <w:r w:rsidR="00624780" w:rsidRPr="009A5C55">
        <w:rPr>
          <w:spacing w:val="-4"/>
        </w:rPr>
        <w:t>.</w:t>
      </w:r>
      <w:r w:rsidRPr="009A5C55">
        <w:rPr>
          <w:rStyle w:val="EndnoteReference"/>
          <w:rFonts w:ascii="Times" w:hAnsi="Times"/>
          <w:spacing w:val="-4"/>
        </w:rPr>
        <w:endnoteReference w:id="11"/>
      </w:r>
    </w:p>
    <w:p w14:paraId="7BB75B2A" w14:textId="77777777" w:rsidR="00E905B4" w:rsidRPr="00740386" w:rsidRDefault="00E905B4" w:rsidP="004C2798">
      <w:pPr>
        <w:pStyle w:val="BodyTextMain"/>
      </w:pPr>
    </w:p>
    <w:p w14:paraId="44315823" w14:textId="707B0A01" w:rsidR="004C2798" w:rsidRPr="00015D21" w:rsidRDefault="004C2798" w:rsidP="004C2798">
      <w:pPr>
        <w:pStyle w:val="BodyTextMain"/>
      </w:pPr>
      <w:r w:rsidRPr="00015D21">
        <w:t xml:space="preserve">HCL ERS served </w:t>
      </w:r>
      <w:r w:rsidR="00760A1C" w:rsidRPr="00015D21">
        <w:t>10</w:t>
      </w:r>
      <w:r w:rsidRPr="00015D21">
        <w:t xml:space="preserve"> industry verticals, including aerospace, and offered six horizontal engineering solutions across these verticals (see Exhibit 2). In 2008, HCL earned </w:t>
      </w:r>
      <w:r w:rsidR="00223FD1" w:rsidRPr="00015D21">
        <w:t>$</w:t>
      </w:r>
      <w:r w:rsidRPr="00015D21">
        <w:t>1.9 billion from services. Out of this</w:t>
      </w:r>
      <w:r w:rsidR="00760A1C" w:rsidRPr="00015D21">
        <w:t xml:space="preserve"> figure,</w:t>
      </w:r>
      <w:r w:rsidRPr="00015D21">
        <w:t xml:space="preserve"> almost 25.2 </w:t>
      </w:r>
      <w:r w:rsidR="00223FD1" w:rsidRPr="00015D21">
        <w:t>per cent</w:t>
      </w:r>
      <w:r w:rsidRPr="00015D21">
        <w:t xml:space="preserve"> was earned by HCL ERS. The greatest share of revenues came from the telecommunication</w:t>
      </w:r>
      <w:r w:rsidR="00760A1C" w:rsidRPr="00015D21">
        <w:t>s</w:t>
      </w:r>
      <w:r w:rsidRPr="00015D21">
        <w:t xml:space="preserve"> and networking sector (38</w:t>
      </w:r>
      <w:r w:rsidR="00223FD1" w:rsidRPr="00015D21">
        <w:t xml:space="preserve"> per cent</w:t>
      </w:r>
      <w:r w:rsidRPr="00015D21">
        <w:t xml:space="preserve">), followed by the </w:t>
      </w:r>
      <w:r w:rsidR="000F6EBE" w:rsidRPr="00015D21">
        <w:t>A&amp;D</w:t>
      </w:r>
      <w:r w:rsidRPr="00015D21">
        <w:t xml:space="preserve"> sector (20</w:t>
      </w:r>
      <w:r w:rsidR="00223FD1" w:rsidRPr="00015D21">
        <w:t xml:space="preserve"> per cent</w:t>
      </w:r>
      <w:r w:rsidRPr="00015D21">
        <w:t xml:space="preserve">). Medical equipment accounted for 12 </w:t>
      </w:r>
      <w:r w:rsidR="00223FD1" w:rsidRPr="00015D21">
        <w:t>per cent</w:t>
      </w:r>
      <w:r w:rsidR="00760A1C" w:rsidRPr="00015D21">
        <w:t xml:space="preserve"> of revenue;</w:t>
      </w:r>
      <w:r w:rsidRPr="00015D21">
        <w:t xml:space="preserve"> computing hardware</w:t>
      </w:r>
      <w:r w:rsidR="0094351F">
        <w:t xml:space="preserve"> and </w:t>
      </w:r>
      <w:r w:rsidRPr="00015D21">
        <w:t>software, storage</w:t>
      </w:r>
      <w:r w:rsidR="00760A1C" w:rsidRPr="00015D21">
        <w:t>,</w:t>
      </w:r>
      <w:r w:rsidRPr="00015D21">
        <w:t xml:space="preserve"> and office automation accounted for 10 </w:t>
      </w:r>
      <w:r w:rsidR="00223FD1" w:rsidRPr="00015D21">
        <w:t>per cent</w:t>
      </w:r>
      <w:r w:rsidR="00760A1C" w:rsidRPr="00015D21">
        <w:t>;</w:t>
      </w:r>
      <w:r w:rsidRPr="00015D21">
        <w:t xml:space="preserve"> consumer electronics </w:t>
      </w:r>
      <w:r w:rsidR="00760A1C" w:rsidRPr="00015D21">
        <w:t xml:space="preserve">accounted for </w:t>
      </w:r>
      <w:r w:rsidRPr="00015D21">
        <w:t xml:space="preserve">7 </w:t>
      </w:r>
      <w:r w:rsidR="00223FD1" w:rsidRPr="00015D21">
        <w:t>per cent</w:t>
      </w:r>
      <w:r w:rsidR="00760A1C" w:rsidRPr="00015D21">
        <w:t>;</w:t>
      </w:r>
      <w:r w:rsidRPr="00015D21">
        <w:t xml:space="preserve"> automotive </w:t>
      </w:r>
      <w:r w:rsidR="00760A1C" w:rsidRPr="00015D21">
        <w:t xml:space="preserve">accounted for </w:t>
      </w:r>
      <w:r w:rsidRPr="00015D21">
        <w:t xml:space="preserve">5 </w:t>
      </w:r>
      <w:r w:rsidR="00223FD1" w:rsidRPr="00015D21">
        <w:t>per cent</w:t>
      </w:r>
      <w:r w:rsidR="00760A1C" w:rsidRPr="00015D21">
        <w:t>;</w:t>
      </w:r>
      <w:r w:rsidRPr="00015D21">
        <w:t xml:space="preserve"> and the remaining </w:t>
      </w:r>
      <w:r w:rsidR="00493839" w:rsidRPr="00015D21">
        <w:t>8</w:t>
      </w:r>
      <w:r w:rsidRPr="00015D21">
        <w:t xml:space="preserve"> </w:t>
      </w:r>
      <w:r w:rsidR="00223FD1" w:rsidRPr="00015D21">
        <w:t>per cent</w:t>
      </w:r>
      <w:r w:rsidRPr="00015D21">
        <w:t xml:space="preserve"> of revenue was earned from other sectors. </w:t>
      </w:r>
      <w:r w:rsidR="009523E3" w:rsidRPr="00015D21">
        <w:t>HCL’s a</w:t>
      </w:r>
      <w:r w:rsidR="004A47CC" w:rsidRPr="00015D21">
        <w:t>nnual i</w:t>
      </w:r>
      <w:r w:rsidRPr="00015D21">
        <w:t>nvestment in R&amp;D</w:t>
      </w:r>
      <w:r w:rsidR="00760A1C" w:rsidRPr="00015D21">
        <w:t>—</w:t>
      </w:r>
      <w:r w:rsidRPr="00015D21">
        <w:t>including infrastructure, product development, and intellectual propert</w:t>
      </w:r>
      <w:r w:rsidR="00760A1C" w:rsidRPr="00015D21">
        <w:t xml:space="preserve">y—had </w:t>
      </w:r>
      <w:r w:rsidRPr="00015D21">
        <w:t xml:space="preserve">remained at </w:t>
      </w:r>
      <w:r w:rsidR="00223FD1" w:rsidRPr="00015D21">
        <w:t>$</w:t>
      </w:r>
      <w:r w:rsidRPr="00015D21">
        <w:t>15 million since 2007</w:t>
      </w:r>
      <w:r w:rsidR="00223FD1" w:rsidRPr="00015D21">
        <w:t>.</w:t>
      </w:r>
      <w:r w:rsidRPr="00015D21">
        <w:rPr>
          <w:rStyle w:val="EndnoteReference"/>
          <w:rFonts w:ascii="Times" w:hAnsi="Times"/>
        </w:rPr>
        <w:endnoteReference w:id="12"/>
      </w:r>
    </w:p>
    <w:p w14:paraId="340F168D" w14:textId="77777777" w:rsidR="00E905B4" w:rsidRDefault="00E905B4" w:rsidP="004C2798">
      <w:pPr>
        <w:pStyle w:val="BodyTextMain"/>
      </w:pPr>
    </w:p>
    <w:p w14:paraId="41E0DEE9" w14:textId="77777777" w:rsidR="00E905B4" w:rsidRDefault="00E905B4" w:rsidP="004C2798">
      <w:pPr>
        <w:pStyle w:val="BodyTextMain"/>
      </w:pPr>
    </w:p>
    <w:p w14:paraId="6AD4799E" w14:textId="271CBA4C" w:rsidR="004C2798" w:rsidRPr="00740386" w:rsidRDefault="00043CB1" w:rsidP="00E507FA">
      <w:pPr>
        <w:pStyle w:val="Casehead2"/>
        <w:keepNext/>
        <w:outlineLvl w:val="0"/>
        <w:rPr>
          <w:i/>
        </w:rPr>
      </w:pPr>
      <w:r>
        <w:t>“</w:t>
      </w:r>
      <w:r w:rsidR="004C2798" w:rsidRPr="00740386">
        <w:t>Engineering Out of the Box</w:t>
      </w:r>
      <w:r>
        <w:t>”</w:t>
      </w:r>
    </w:p>
    <w:p w14:paraId="744A8E98" w14:textId="77777777" w:rsidR="00E905B4" w:rsidRDefault="00E905B4" w:rsidP="00E507FA">
      <w:pPr>
        <w:pStyle w:val="BodyTextMain"/>
        <w:keepNext/>
      </w:pPr>
    </w:p>
    <w:p w14:paraId="6B4D4225" w14:textId="7D065163" w:rsidR="004C2798" w:rsidRDefault="004C2798" w:rsidP="00E507FA">
      <w:pPr>
        <w:pStyle w:val="BodyTextMain"/>
        <w:keepNext/>
      </w:pPr>
      <w:r w:rsidRPr="007461E0">
        <w:t xml:space="preserve">Senior executives at HCL, including </w:t>
      </w:r>
      <w:r w:rsidR="00F15CBB">
        <w:t>Rao</w:t>
      </w:r>
      <w:r w:rsidRPr="007461E0">
        <w:t xml:space="preserve">, acknowledged the </w:t>
      </w:r>
      <w:r w:rsidR="00C72E6B">
        <w:t>need</w:t>
      </w:r>
      <w:r w:rsidR="00C72E6B" w:rsidRPr="007461E0">
        <w:t xml:space="preserve"> </w:t>
      </w:r>
      <w:r w:rsidRPr="007461E0">
        <w:t>for HCL to move up the value chain while creating greater value for end</w:t>
      </w:r>
      <w:r w:rsidR="0094351F">
        <w:t>-</w:t>
      </w:r>
      <w:r w:rsidRPr="007461E0">
        <w:t>consumers, their partners, and themselves</w:t>
      </w:r>
      <w:r w:rsidR="000F0348">
        <w:t>.</w:t>
      </w:r>
      <w:r w:rsidRPr="007461E0">
        <w:rPr>
          <w:rStyle w:val="EndnoteReference"/>
          <w:rFonts w:ascii="Times" w:hAnsi="Times"/>
        </w:rPr>
        <w:endnoteReference w:id="13"/>
      </w:r>
      <w:r w:rsidRPr="007461E0">
        <w:t xml:space="preserve"> With this</w:t>
      </w:r>
      <w:r w:rsidR="00C72E6B">
        <w:t xml:space="preserve"> goal</w:t>
      </w:r>
      <w:r w:rsidRPr="007461E0">
        <w:t xml:space="preserve"> in mind</w:t>
      </w:r>
      <w:r w:rsidR="00C72E6B">
        <w:t>,</w:t>
      </w:r>
      <w:r w:rsidRPr="007461E0">
        <w:t xml:space="preserve"> </w:t>
      </w:r>
      <w:r w:rsidRPr="007461E0">
        <w:lastRenderedPageBreak/>
        <w:t xml:space="preserve">HCL ERS initiated </w:t>
      </w:r>
      <w:r w:rsidR="00C72E6B">
        <w:t>its</w:t>
      </w:r>
      <w:r w:rsidRPr="007461E0">
        <w:t xml:space="preserve"> </w:t>
      </w:r>
      <w:r w:rsidR="000F0348">
        <w:t>“engineering out of the box” (</w:t>
      </w:r>
      <w:r w:rsidRPr="007461E0">
        <w:t>EOOTB</w:t>
      </w:r>
      <w:r w:rsidR="000F0348">
        <w:t>)</w:t>
      </w:r>
      <w:r w:rsidRPr="007461E0">
        <w:t xml:space="preserve"> philosophy and method of service delivery in 2009. EOOTB involved looking at products and services as enablers</w:t>
      </w:r>
      <w:r w:rsidR="00C72E6B">
        <w:t>,</w:t>
      </w:r>
      <w:r w:rsidRPr="007461E0">
        <w:t xml:space="preserve"> or as means to an end, as opposed to ends in themselves. </w:t>
      </w:r>
      <w:r>
        <w:t>EOO</w:t>
      </w:r>
      <w:r w:rsidR="00C72E6B">
        <w:t>T</w:t>
      </w:r>
      <w:r>
        <w:t xml:space="preserve">B </w:t>
      </w:r>
      <w:r w:rsidR="00C72E6B">
        <w:t>encompassed</w:t>
      </w:r>
      <w:r>
        <w:t xml:space="preserve"> a collection of offerings</w:t>
      </w:r>
      <w:r w:rsidR="00C72E6B">
        <w:t>,</w:t>
      </w:r>
      <w:r>
        <w:t xml:space="preserve"> termed </w:t>
      </w:r>
      <w:r w:rsidR="00C72E6B">
        <w:t>“</w:t>
      </w:r>
      <w:r>
        <w:t>productized solutions</w:t>
      </w:r>
      <w:r w:rsidR="00C72E6B">
        <w:t>,”</w:t>
      </w:r>
      <w:r>
        <w:t xml:space="preserve"> that were almost ready to be deployed. These solutions were subsequently customized to form a completely finished end product depending on specific customer requirements</w:t>
      </w:r>
      <w:r w:rsidR="000F0348">
        <w:t>.</w:t>
      </w:r>
      <w:r>
        <w:rPr>
          <w:rStyle w:val="EndnoteReference"/>
          <w:rFonts w:ascii="Times" w:hAnsi="Times"/>
        </w:rPr>
        <w:endnoteReference w:id="14"/>
      </w:r>
      <w:r>
        <w:t xml:space="preserve"> Productized solutions were designed for efficiency as well as customizability.</w:t>
      </w:r>
    </w:p>
    <w:p w14:paraId="0DEF790F" w14:textId="77777777" w:rsidR="005206F7" w:rsidRDefault="005206F7" w:rsidP="004C2798">
      <w:pPr>
        <w:pStyle w:val="BodyTextMain"/>
      </w:pPr>
    </w:p>
    <w:p w14:paraId="5488D23E" w14:textId="766D4C15" w:rsidR="004E067B" w:rsidRDefault="004C2798" w:rsidP="004C2798">
      <w:pPr>
        <w:pStyle w:val="BodyTextMain"/>
      </w:pPr>
      <w:r>
        <w:t xml:space="preserve">Apart from assisting </w:t>
      </w:r>
      <w:r w:rsidR="0027369E">
        <w:t xml:space="preserve">HCL customers </w:t>
      </w:r>
      <w:r>
        <w:t>in reducing the</w:t>
      </w:r>
      <w:r w:rsidR="0027369E">
        <w:t>ir</w:t>
      </w:r>
      <w:r>
        <w:t xml:space="preserve"> time to market, EOOTB provided a platform for creating meaningful differentiation</w:t>
      </w:r>
      <w:r w:rsidR="000F0348">
        <w:t>.</w:t>
      </w:r>
      <w:r>
        <w:rPr>
          <w:rStyle w:val="EndnoteReference"/>
          <w:rFonts w:ascii="Times" w:hAnsi="Times"/>
        </w:rPr>
        <w:endnoteReference w:id="15"/>
      </w:r>
      <w:r>
        <w:t xml:space="preserve"> </w:t>
      </w:r>
      <w:r w:rsidRPr="007461E0">
        <w:t xml:space="preserve">This philosophy of value creation </w:t>
      </w:r>
      <w:r>
        <w:t xml:space="preserve">and delivery </w:t>
      </w:r>
      <w:r w:rsidRPr="007461E0">
        <w:t>was ultimately</w:t>
      </w:r>
      <w:r w:rsidR="0027369E" w:rsidRPr="007461E0">
        <w:t xml:space="preserve"> driven</w:t>
      </w:r>
      <w:r w:rsidRPr="007461E0">
        <w:t xml:space="preserve"> by the increasing complexity and sophistication of the end</w:t>
      </w:r>
      <w:r w:rsidR="0094351F">
        <w:t>-</w:t>
      </w:r>
      <w:r w:rsidRPr="007461E0">
        <w:t>consumer</w:t>
      </w:r>
      <w:r w:rsidR="0027369E">
        <w:t>’s</w:t>
      </w:r>
      <w:r w:rsidRPr="007461E0">
        <w:t xml:space="preserve"> needs. </w:t>
      </w:r>
      <w:r w:rsidR="0027369E">
        <w:t xml:space="preserve">At </w:t>
      </w:r>
      <w:r w:rsidRPr="007461E0">
        <w:t>times</w:t>
      </w:r>
      <w:r w:rsidR="0027369E">
        <w:t>,</w:t>
      </w:r>
      <w:r w:rsidRPr="007461E0">
        <w:t xml:space="preserve"> </w:t>
      </w:r>
      <w:r>
        <w:t>technological innovations</w:t>
      </w:r>
      <w:r w:rsidRPr="007461E0">
        <w:t xml:space="preserve"> </w:t>
      </w:r>
      <w:r>
        <w:t xml:space="preserve">opened up the possibility of </w:t>
      </w:r>
      <w:r w:rsidRPr="007461E0">
        <w:t>cr</w:t>
      </w:r>
      <w:r>
        <w:t>eating</w:t>
      </w:r>
      <w:r w:rsidRPr="007461E0">
        <w:t xml:space="preserve"> and deliver</w:t>
      </w:r>
      <w:r>
        <w:t>ing</w:t>
      </w:r>
      <w:r w:rsidRPr="007461E0">
        <w:t xml:space="preserve"> value in ways</w:t>
      </w:r>
      <w:r w:rsidR="0027369E">
        <w:t xml:space="preserve"> that had been</w:t>
      </w:r>
      <w:r w:rsidRPr="007461E0">
        <w:t xml:space="preserve"> </w:t>
      </w:r>
      <w:r w:rsidR="0027369E">
        <w:t xml:space="preserve">previously </w:t>
      </w:r>
      <w:r w:rsidRPr="007461E0">
        <w:t>unimaginable. For instance, advancements in telematics made it possible for next</w:t>
      </w:r>
      <w:r w:rsidR="0027369E">
        <w:t>-</w:t>
      </w:r>
      <w:r w:rsidRPr="007461E0">
        <w:t>generation automobiles to communicate directly with</w:t>
      </w:r>
      <w:r w:rsidR="0027369E">
        <w:t xml:space="preserve"> consumers’ kitchen appliances, allowing customers to heat dinner during their drive </w:t>
      </w:r>
      <w:r w:rsidRPr="0027369E">
        <w:t>home from work</w:t>
      </w:r>
      <w:r w:rsidR="004E067B">
        <w:t>.</w:t>
      </w:r>
    </w:p>
    <w:p w14:paraId="4FDD0A73" w14:textId="77777777" w:rsidR="004E067B" w:rsidRDefault="004E067B" w:rsidP="004C2798">
      <w:pPr>
        <w:pStyle w:val="BodyTextMain"/>
      </w:pPr>
    </w:p>
    <w:p w14:paraId="3703F26A" w14:textId="48431F39" w:rsidR="004C2798" w:rsidRDefault="004C2798" w:rsidP="004C2798">
      <w:pPr>
        <w:pStyle w:val="BodyTextMain"/>
      </w:pPr>
      <w:r>
        <w:t xml:space="preserve">Further, as core products </w:t>
      </w:r>
      <w:r w:rsidR="008748FC">
        <w:t>became</w:t>
      </w:r>
      <w:r>
        <w:t xml:space="preserve"> increasingly commoditized and the technology matured, </w:t>
      </w:r>
      <w:r w:rsidR="00CB585D">
        <w:t>an</w:t>
      </w:r>
      <w:r>
        <w:t xml:space="preserve"> ecosystem </w:t>
      </w:r>
      <w:r w:rsidR="00CB585D">
        <w:t>perspective</w:t>
      </w:r>
      <w:r w:rsidR="008748FC">
        <w:t xml:space="preserve"> </w:t>
      </w:r>
      <w:r>
        <w:t xml:space="preserve">of products allowed firms to create value by looking at </w:t>
      </w:r>
      <w:r w:rsidR="00B33477">
        <w:t xml:space="preserve">how individual </w:t>
      </w:r>
      <w:r>
        <w:t>products</w:t>
      </w:r>
      <w:r w:rsidR="00B33477">
        <w:t xml:space="preserve"> functioned in</w:t>
      </w:r>
      <w:r>
        <w:t xml:space="preserve"> conjunction with other products or services</w:t>
      </w:r>
      <w:r w:rsidR="008748FC">
        <w:t xml:space="preserve">, </w:t>
      </w:r>
      <w:r w:rsidR="00B33477">
        <w:t>over and above their</w:t>
      </w:r>
      <w:r>
        <w:t xml:space="preserve"> standalone </w:t>
      </w:r>
      <w:r w:rsidR="00B33477">
        <w:t>functionalities</w:t>
      </w:r>
      <w:r>
        <w:t>. Consequently, how consumers used products in combination, or the overall end</w:t>
      </w:r>
      <w:r w:rsidR="0094351F">
        <w:t>-</w:t>
      </w:r>
      <w:r>
        <w:t>consumer experience, started to emerge</w:t>
      </w:r>
      <w:r w:rsidRPr="007461E0">
        <w:t xml:space="preserve"> as the most important factor in </w:t>
      </w:r>
      <w:r>
        <w:t>value creation</w:t>
      </w:r>
      <w:r w:rsidRPr="007461E0">
        <w:t xml:space="preserve">. With EOOTB as </w:t>
      </w:r>
      <w:r w:rsidR="004E067B">
        <w:t>its</w:t>
      </w:r>
      <w:r w:rsidRPr="007461E0">
        <w:t xml:space="preserve"> guiding principle, HCL considered the end</w:t>
      </w:r>
      <w:r w:rsidR="0094351F">
        <w:t>-</w:t>
      </w:r>
      <w:r w:rsidRPr="007461E0">
        <w:t>customer a</w:t>
      </w:r>
      <w:r w:rsidR="004E067B">
        <w:t>s</w:t>
      </w:r>
      <w:r w:rsidRPr="007461E0">
        <w:t xml:space="preserve"> part of a larger ecosystem </w:t>
      </w:r>
      <w:r w:rsidR="004E067B">
        <w:t>that included</w:t>
      </w:r>
      <w:r w:rsidRPr="007461E0">
        <w:t xml:space="preserve"> various products and services</w:t>
      </w:r>
      <w:r w:rsidR="004E067B">
        <w:t>,</w:t>
      </w:r>
      <w:r w:rsidRPr="007461E0">
        <w:t xml:space="preserve"> wherein the overall customer experience became central to designing solutions. Th</w:t>
      </w:r>
      <w:r w:rsidR="0058745D">
        <w:t>ough the</w:t>
      </w:r>
      <w:r w:rsidRPr="007461E0">
        <w:t xml:space="preserve"> possibilities were immense</w:t>
      </w:r>
      <w:r w:rsidR="004E067B">
        <w:t xml:space="preserve">, </w:t>
      </w:r>
      <w:r w:rsidRPr="007461E0">
        <w:t xml:space="preserve">the </w:t>
      </w:r>
      <w:r w:rsidR="004E067B">
        <w:t xml:space="preserve">key </w:t>
      </w:r>
      <w:r w:rsidRPr="007461E0">
        <w:t xml:space="preserve">question </w:t>
      </w:r>
      <w:r w:rsidR="0058745D">
        <w:t>remained</w:t>
      </w:r>
      <w:r w:rsidR="0058745D" w:rsidRPr="007461E0">
        <w:t xml:space="preserve"> </w:t>
      </w:r>
      <w:r w:rsidRPr="007461E0">
        <w:t>whether HCL was ready for the challenge.</w:t>
      </w:r>
    </w:p>
    <w:p w14:paraId="2D77AEAA" w14:textId="77777777" w:rsidR="005206F7" w:rsidRDefault="005206F7" w:rsidP="004C2798">
      <w:pPr>
        <w:pStyle w:val="BodyTextMain"/>
      </w:pPr>
    </w:p>
    <w:p w14:paraId="637487A6" w14:textId="77777777" w:rsidR="005206F7" w:rsidRDefault="005206F7" w:rsidP="004C2798">
      <w:pPr>
        <w:pStyle w:val="BodyTextMain"/>
      </w:pPr>
    </w:p>
    <w:p w14:paraId="0884C79F" w14:textId="77777777" w:rsidR="004C2798" w:rsidRPr="00740386" w:rsidRDefault="004C2798" w:rsidP="001873D9">
      <w:pPr>
        <w:pStyle w:val="Casehead1"/>
        <w:outlineLvl w:val="0"/>
      </w:pPr>
      <w:r w:rsidRPr="00740386">
        <w:t>BOEING AND THE DREAMLINER PROJECT</w:t>
      </w:r>
    </w:p>
    <w:p w14:paraId="68EAC9D8" w14:textId="77777777" w:rsidR="005206F7" w:rsidRDefault="005206F7" w:rsidP="004C2798">
      <w:pPr>
        <w:pStyle w:val="BodyTextMain"/>
      </w:pPr>
    </w:p>
    <w:p w14:paraId="237C5D80" w14:textId="5200098D" w:rsidR="00484FC1" w:rsidRPr="00015D21" w:rsidRDefault="004C2798" w:rsidP="004C2798">
      <w:pPr>
        <w:pStyle w:val="BodyTextMain"/>
        <w:rPr>
          <w:spacing w:val="-2"/>
        </w:rPr>
      </w:pPr>
      <w:r w:rsidRPr="00015D21">
        <w:rPr>
          <w:spacing w:val="-2"/>
        </w:rPr>
        <w:t>The Boeing 787 Dreamliner reflected a paradigm shift in the way Boeing manufactured aircraft</w:t>
      </w:r>
      <w:r w:rsidR="00FA3C0B" w:rsidRPr="00015D21">
        <w:rPr>
          <w:spacing w:val="-2"/>
        </w:rPr>
        <w:t>s</w:t>
      </w:r>
      <w:r w:rsidRPr="00015D21">
        <w:rPr>
          <w:spacing w:val="-2"/>
        </w:rPr>
        <w:t xml:space="preserve">. Deviating significantly from </w:t>
      </w:r>
      <w:r w:rsidR="008A5F05" w:rsidRPr="00015D21">
        <w:rPr>
          <w:spacing w:val="-2"/>
        </w:rPr>
        <w:t xml:space="preserve">its </w:t>
      </w:r>
      <w:r w:rsidRPr="00015D21">
        <w:rPr>
          <w:spacing w:val="-2"/>
        </w:rPr>
        <w:t xml:space="preserve">traditional approach of developing most of the components and subassemblies, Boeing outsourced almost 70 </w:t>
      </w:r>
      <w:r w:rsidR="00223FD1" w:rsidRPr="00015D21">
        <w:rPr>
          <w:spacing w:val="-2"/>
        </w:rPr>
        <w:t>per cent</w:t>
      </w:r>
      <w:r w:rsidRPr="00015D21">
        <w:rPr>
          <w:spacing w:val="-2"/>
        </w:rPr>
        <w:t xml:space="preserve"> of </w:t>
      </w:r>
      <w:r w:rsidR="00C3187A" w:rsidRPr="00015D21">
        <w:rPr>
          <w:spacing w:val="-2"/>
        </w:rPr>
        <w:t xml:space="preserve">its </w:t>
      </w:r>
      <w:r w:rsidR="002A51C4" w:rsidRPr="00015D21">
        <w:rPr>
          <w:spacing w:val="-2"/>
        </w:rPr>
        <w:t xml:space="preserve">aircraft </w:t>
      </w:r>
      <w:r w:rsidRPr="00015D21">
        <w:rPr>
          <w:spacing w:val="-2"/>
        </w:rPr>
        <w:t xml:space="preserve">production across </w:t>
      </w:r>
      <w:r w:rsidR="00444828" w:rsidRPr="00015D21">
        <w:rPr>
          <w:spacing w:val="-2"/>
        </w:rPr>
        <w:t>50</w:t>
      </w:r>
      <w:r w:rsidRPr="00015D21">
        <w:rPr>
          <w:spacing w:val="-2"/>
        </w:rPr>
        <w:t xml:space="preserve"> </w:t>
      </w:r>
      <w:r w:rsidR="00054624" w:rsidRPr="00015D21">
        <w:rPr>
          <w:spacing w:val="-2"/>
        </w:rPr>
        <w:t>tier-one</w:t>
      </w:r>
      <w:r w:rsidRPr="00015D21">
        <w:rPr>
          <w:spacing w:val="-2"/>
        </w:rPr>
        <w:t xml:space="preserve"> suppliers</w:t>
      </w:r>
      <w:r w:rsidR="00223FD1" w:rsidRPr="00015D21">
        <w:rPr>
          <w:spacing w:val="-2"/>
        </w:rPr>
        <w:t>.</w:t>
      </w:r>
      <w:r w:rsidRPr="00015D21">
        <w:rPr>
          <w:rStyle w:val="EndnoteReference"/>
          <w:rFonts w:ascii="Times" w:hAnsi="Times"/>
          <w:spacing w:val="-2"/>
        </w:rPr>
        <w:endnoteReference w:id="16"/>
      </w:r>
      <w:r w:rsidRPr="00015D21">
        <w:rPr>
          <w:spacing w:val="-2"/>
        </w:rPr>
        <w:t xml:space="preserve"> These primary suppliers were</w:t>
      </w:r>
      <w:r w:rsidR="00E1504C" w:rsidRPr="00015D21">
        <w:rPr>
          <w:spacing w:val="-2"/>
        </w:rPr>
        <w:t xml:space="preserve">, in turn, </w:t>
      </w:r>
      <w:r w:rsidRPr="00015D21">
        <w:rPr>
          <w:spacing w:val="-2"/>
        </w:rPr>
        <w:t xml:space="preserve">expected to integrate subsystems and subassemblies manufactured by </w:t>
      </w:r>
      <w:r w:rsidR="00054624" w:rsidRPr="00015D21">
        <w:rPr>
          <w:spacing w:val="-2"/>
        </w:rPr>
        <w:t>tier-two</w:t>
      </w:r>
      <w:r w:rsidRPr="00015D21">
        <w:rPr>
          <w:spacing w:val="-2"/>
        </w:rPr>
        <w:t xml:space="preserve"> and </w:t>
      </w:r>
      <w:r w:rsidR="00054624" w:rsidRPr="00015D21">
        <w:rPr>
          <w:spacing w:val="-2"/>
        </w:rPr>
        <w:t>tier-three</w:t>
      </w:r>
      <w:r w:rsidRPr="00015D21">
        <w:rPr>
          <w:spacing w:val="-2"/>
        </w:rPr>
        <w:t xml:space="preserve"> suppliers. Boeing </w:t>
      </w:r>
      <w:r w:rsidR="0093790E" w:rsidRPr="00015D21">
        <w:rPr>
          <w:spacing w:val="-2"/>
        </w:rPr>
        <w:t xml:space="preserve">restructured its role as </w:t>
      </w:r>
      <w:r w:rsidRPr="00015D21">
        <w:rPr>
          <w:spacing w:val="-2"/>
        </w:rPr>
        <w:t xml:space="preserve">the primary </w:t>
      </w:r>
      <w:r w:rsidR="0093790E" w:rsidRPr="00015D21">
        <w:rPr>
          <w:spacing w:val="-2"/>
        </w:rPr>
        <w:t xml:space="preserve">systems </w:t>
      </w:r>
      <w:r w:rsidRPr="00015D21">
        <w:rPr>
          <w:spacing w:val="-2"/>
        </w:rPr>
        <w:t xml:space="preserve">integrator. </w:t>
      </w:r>
      <w:r w:rsidR="005618ED" w:rsidRPr="00015D21">
        <w:rPr>
          <w:spacing w:val="-2"/>
        </w:rPr>
        <w:t>This</w:t>
      </w:r>
      <w:r w:rsidRPr="00015D21">
        <w:rPr>
          <w:spacing w:val="-2"/>
        </w:rPr>
        <w:t xml:space="preserve"> arrangement resulted in aircraft components being sourced from more than </w:t>
      </w:r>
      <w:r w:rsidR="00484FC1" w:rsidRPr="00015D21">
        <w:rPr>
          <w:spacing w:val="-2"/>
        </w:rPr>
        <w:t>100</w:t>
      </w:r>
      <w:r w:rsidRPr="00015D21">
        <w:rPr>
          <w:spacing w:val="-2"/>
        </w:rPr>
        <w:t xml:space="preserve"> suppliers spread across </w:t>
      </w:r>
      <w:r w:rsidR="00444828" w:rsidRPr="00015D21">
        <w:rPr>
          <w:spacing w:val="-2"/>
        </w:rPr>
        <w:t>12</w:t>
      </w:r>
      <w:r w:rsidRPr="00015D21">
        <w:rPr>
          <w:spacing w:val="-2"/>
        </w:rPr>
        <w:t xml:space="preserve"> countries</w:t>
      </w:r>
      <w:r w:rsidR="00223FD1" w:rsidRPr="00015D21">
        <w:rPr>
          <w:spacing w:val="-2"/>
        </w:rPr>
        <w:t>.</w:t>
      </w:r>
      <w:r w:rsidRPr="00015D21">
        <w:rPr>
          <w:rStyle w:val="EndnoteReference"/>
          <w:rFonts w:ascii="Times" w:hAnsi="Times"/>
          <w:spacing w:val="-2"/>
        </w:rPr>
        <w:endnoteReference w:id="17"/>
      </w:r>
      <w:r w:rsidRPr="00015D21">
        <w:rPr>
          <w:spacing w:val="-2"/>
        </w:rPr>
        <w:t xml:space="preserve"> The extent of outsourcing was not only unprecedented in the history of Boeing but also unheard of in the entire </w:t>
      </w:r>
      <w:r w:rsidR="007E6FE1" w:rsidRPr="00015D21">
        <w:rPr>
          <w:spacing w:val="-2"/>
        </w:rPr>
        <w:t>civil aviation</w:t>
      </w:r>
      <w:r w:rsidRPr="00015D21">
        <w:rPr>
          <w:spacing w:val="-2"/>
        </w:rPr>
        <w:t xml:space="preserve"> industry. While Boeing claimed to</w:t>
      </w:r>
      <w:r w:rsidR="00484FC1" w:rsidRPr="00015D21">
        <w:rPr>
          <w:spacing w:val="-2"/>
        </w:rPr>
        <w:t xml:space="preserve"> have</w:t>
      </w:r>
      <w:r w:rsidRPr="00015D21">
        <w:rPr>
          <w:spacing w:val="-2"/>
        </w:rPr>
        <w:t xml:space="preserve"> purchase</w:t>
      </w:r>
      <w:r w:rsidR="00484FC1" w:rsidRPr="00015D21">
        <w:rPr>
          <w:spacing w:val="-2"/>
        </w:rPr>
        <w:t>d</w:t>
      </w:r>
      <w:r w:rsidRPr="00015D21">
        <w:rPr>
          <w:spacing w:val="-2"/>
        </w:rPr>
        <w:t xml:space="preserve"> 65 </w:t>
      </w:r>
      <w:r w:rsidR="00223FD1" w:rsidRPr="00015D21">
        <w:rPr>
          <w:spacing w:val="-2"/>
        </w:rPr>
        <w:t>per cent</w:t>
      </w:r>
      <w:r w:rsidRPr="00015D21">
        <w:rPr>
          <w:spacing w:val="-2"/>
        </w:rPr>
        <w:t xml:space="preserve"> of the Dreamliner’s airframe from outside suppliers, Boeing’s major competitor</w:t>
      </w:r>
      <w:r w:rsidR="00484FC1" w:rsidRPr="00015D21">
        <w:rPr>
          <w:spacing w:val="-2"/>
        </w:rPr>
        <w:t>,</w:t>
      </w:r>
      <w:r w:rsidRPr="00015D21">
        <w:rPr>
          <w:spacing w:val="-2"/>
        </w:rPr>
        <w:t xml:space="preserve"> Airbus</w:t>
      </w:r>
      <w:r w:rsidR="00356109">
        <w:rPr>
          <w:spacing w:val="-2"/>
        </w:rPr>
        <w:t xml:space="preserve"> SAS</w:t>
      </w:r>
      <w:r w:rsidRPr="00015D21">
        <w:rPr>
          <w:spacing w:val="-2"/>
        </w:rPr>
        <w:t xml:space="preserve">, remained conservative, purchasing only 52 </w:t>
      </w:r>
      <w:r w:rsidR="00223FD1" w:rsidRPr="00015D21">
        <w:rPr>
          <w:spacing w:val="-2"/>
        </w:rPr>
        <w:t>per cent</w:t>
      </w:r>
      <w:r w:rsidRPr="00015D21">
        <w:rPr>
          <w:spacing w:val="-2"/>
        </w:rPr>
        <w:t xml:space="preserve"> of the airframe from outside vendors</w:t>
      </w:r>
      <w:r w:rsidR="00223FD1" w:rsidRPr="00015D21">
        <w:rPr>
          <w:spacing w:val="-2"/>
        </w:rPr>
        <w:t>.</w:t>
      </w:r>
      <w:r w:rsidRPr="00015D21">
        <w:rPr>
          <w:rStyle w:val="EndnoteReference"/>
          <w:rFonts w:ascii="Times" w:hAnsi="Times"/>
          <w:spacing w:val="-2"/>
        </w:rPr>
        <w:endnoteReference w:id="18"/>
      </w:r>
      <w:r w:rsidRPr="00015D21">
        <w:rPr>
          <w:spacing w:val="-2"/>
        </w:rPr>
        <w:t xml:space="preserve"> Reduction</w:t>
      </w:r>
      <w:r w:rsidR="00484FC1" w:rsidRPr="00015D21">
        <w:rPr>
          <w:spacing w:val="-2"/>
        </w:rPr>
        <w:t>s</w:t>
      </w:r>
      <w:r w:rsidRPr="00015D21">
        <w:rPr>
          <w:spacing w:val="-2"/>
        </w:rPr>
        <w:t xml:space="preserve"> in production costs and delivery time</w:t>
      </w:r>
      <w:r w:rsidR="00484FC1" w:rsidRPr="00015D21">
        <w:rPr>
          <w:spacing w:val="-2"/>
        </w:rPr>
        <w:t>s</w:t>
      </w:r>
      <w:r w:rsidRPr="00015D21">
        <w:rPr>
          <w:spacing w:val="-2"/>
        </w:rPr>
        <w:t xml:space="preserve"> were the most important factors that motivated outsourcing at Boeing. Other factors included expan</w:t>
      </w:r>
      <w:r w:rsidR="008D620C">
        <w:rPr>
          <w:spacing w:val="-2"/>
        </w:rPr>
        <w:t>ding</w:t>
      </w:r>
      <w:r w:rsidRPr="00015D21">
        <w:rPr>
          <w:spacing w:val="-2"/>
        </w:rPr>
        <w:t xml:space="preserve"> its global footprint in manufacturing and mitigating financial risk by tying supplier payments to aircraft sales. </w:t>
      </w:r>
    </w:p>
    <w:p w14:paraId="46C20DB5" w14:textId="77777777" w:rsidR="00484FC1" w:rsidRDefault="00484FC1" w:rsidP="004C2798">
      <w:pPr>
        <w:pStyle w:val="BodyTextMain"/>
      </w:pPr>
    </w:p>
    <w:p w14:paraId="124E4E52" w14:textId="3BEAFD14" w:rsidR="004C2798" w:rsidRDefault="004C2798" w:rsidP="004C2798">
      <w:pPr>
        <w:pStyle w:val="BodyTextMain"/>
      </w:pPr>
      <w:r w:rsidRPr="00740386">
        <w:t xml:space="preserve">While leveraging a global supply chain and offshoring engineering services had its benefits, </w:t>
      </w:r>
      <w:r w:rsidR="00712E65">
        <w:t>it posed</w:t>
      </w:r>
      <w:r w:rsidRPr="00740386">
        <w:t xml:space="preserve"> </w:t>
      </w:r>
      <w:r w:rsidR="000776C7">
        <w:t xml:space="preserve">significant </w:t>
      </w:r>
      <w:r w:rsidRPr="00740386">
        <w:t>challenges</w:t>
      </w:r>
      <w:r>
        <w:t xml:space="preserve">, </w:t>
      </w:r>
      <w:r w:rsidRPr="00740386">
        <w:t>especially for projects involving multi</w:t>
      </w:r>
      <w:r w:rsidR="005618ED">
        <w:t>-</w:t>
      </w:r>
      <w:r w:rsidRPr="00740386">
        <w:t>tier suppliers. With multiple layers of contracting, it was easy for OEMs like Boeing to lose visibility of the supply chain</w:t>
      </w:r>
      <w:r w:rsidR="005618ED">
        <w:t>,</w:t>
      </w:r>
      <w:r>
        <w:t xml:space="preserve"> resulting in </w:t>
      </w:r>
      <w:r w:rsidRPr="00836D90">
        <w:t xml:space="preserve">unprecedented delays, cost overruns, and quality </w:t>
      </w:r>
      <w:r>
        <w:t>problems</w:t>
      </w:r>
      <w:r w:rsidRPr="00836D90">
        <w:t xml:space="preserve">. </w:t>
      </w:r>
      <w:r>
        <w:t>Though</w:t>
      </w:r>
      <w:r w:rsidR="004E067B">
        <w:t xml:space="preserve"> it was</w:t>
      </w:r>
      <w:r w:rsidRPr="00836D90">
        <w:t xml:space="preserve"> hailed as a revolutionary approach towards</w:t>
      </w:r>
      <w:r>
        <w:t xml:space="preserve"> aircraft</w:t>
      </w:r>
      <w:r w:rsidRPr="00836D90">
        <w:t xml:space="preserve"> manufacturing</w:t>
      </w:r>
      <w:r>
        <w:t xml:space="preserve">, </w:t>
      </w:r>
      <w:r w:rsidRPr="00836D90">
        <w:t xml:space="preserve">the Dreamliner project cost Boeing </w:t>
      </w:r>
      <w:r w:rsidR="00223FD1">
        <w:t>$</w:t>
      </w:r>
      <w:r w:rsidRPr="00836D90">
        <w:t>32 billion</w:t>
      </w:r>
      <w:r w:rsidRPr="00836D90">
        <w:rPr>
          <w:rFonts w:cs="Arial"/>
          <w:i/>
          <w:iCs/>
          <w:color w:val="333333"/>
          <w:shd w:val="clear" w:color="auto" w:fill="FFFFFF"/>
        </w:rPr>
        <w:t>—</w:t>
      </w:r>
      <w:r w:rsidRPr="00836D90">
        <w:t xml:space="preserve">a figure that was grossly over </w:t>
      </w:r>
      <w:r w:rsidR="005618ED" w:rsidRPr="00836D90">
        <w:t>the initial</w:t>
      </w:r>
      <w:r w:rsidR="005618ED">
        <w:t>ly planned</w:t>
      </w:r>
      <w:r w:rsidR="005618ED" w:rsidRPr="00836D90">
        <w:t xml:space="preserve"> </w:t>
      </w:r>
      <w:r w:rsidR="005618ED">
        <w:t>budget of $</w:t>
      </w:r>
      <w:r w:rsidR="005618ED" w:rsidRPr="00836D90">
        <w:t>6 billion</w:t>
      </w:r>
      <w:r w:rsidRPr="00836D90">
        <w:t xml:space="preserve">. </w:t>
      </w:r>
      <w:r w:rsidR="004E067B">
        <w:t>Moreove</w:t>
      </w:r>
      <w:r w:rsidR="004E067B" w:rsidRPr="00836D90">
        <w:t>r</w:t>
      </w:r>
      <w:r w:rsidRPr="00836D90">
        <w:t xml:space="preserve">, </w:t>
      </w:r>
      <w:r>
        <w:t xml:space="preserve">the first test flight took </w:t>
      </w:r>
      <w:r w:rsidR="006D64D1">
        <w:t xml:space="preserve">off </w:t>
      </w:r>
      <w:r w:rsidRPr="00836D90">
        <w:t>t</w:t>
      </w:r>
      <w:r>
        <w:t>wo</w:t>
      </w:r>
      <w:r w:rsidRPr="00836D90">
        <w:t xml:space="preserve"> years behind schedule</w:t>
      </w:r>
      <w:r>
        <w:t>, following six delay announcements</w:t>
      </w:r>
      <w:r w:rsidR="00223FD1">
        <w:t>.</w:t>
      </w:r>
      <w:r w:rsidRPr="00836D90">
        <w:rPr>
          <w:rStyle w:val="EndnoteReference"/>
          <w:rFonts w:ascii="Times" w:hAnsi="Times"/>
        </w:rPr>
        <w:endnoteReference w:id="19"/>
      </w:r>
      <w:r w:rsidRPr="00740386">
        <w:t xml:space="preserve"> </w:t>
      </w:r>
    </w:p>
    <w:p w14:paraId="611F5403" w14:textId="77777777" w:rsidR="005206F7" w:rsidRPr="005206F7" w:rsidRDefault="005206F7" w:rsidP="005206F7">
      <w:pPr>
        <w:pStyle w:val="BodyTextMain"/>
      </w:pPr>
    </w:p>
    <w:p w14:paraId="09E6E816" w14:textId="5E6DED81" w:rsidR="004C2798" w:rsidRDefault="004C2798" w:rsidP="004C2798">
      <w:pPr>
        <w:pStyle w:val="BodyTextMain"/>
      </w:pPr>
      <w:r>
        <w:lastRenderedPageBreak/>
        <w:t>The production</w:t>
      </w:r>
      <w:r w:rsidRPr="00740386">
        <w:t xml:space="preserve"> process </w:t>
      </w:r>
      <w:r>
        <w:t>aside</w:t>
      </w:r>
      <w:r w:rsidRPr="00740386">
        <w:t>, the Dreamliner itself reflected major changes in</w:t>
      </w:r>
      <w:r w:rsidR="006F49F8">
        <w:t xml:space="preserve"> its</w:t>
      </w:r>
      <w:r w:rsidRPr="00740386">
        <w:t xml:space="preserve"> design and use of materials. For instance, a</w:t>
      </w:r>
      <w:r>
        <w:t xml:space="preserve">luminum, the material </w:t>
      </w:r>
      <w:r w:rsidRPr="00740386">
        <w:t xml:space="preserve">typically used to construct parts of </w:t>
      </w:r>
      <w:r>
        <w:t xml:space="preserve">the </w:t>
      </w:r>
      <w:r w:rsidRPr="00740386">
        <w:t xml:space="preserve">fuselage </w:t>
      </w:r>
      <w:r>
        <w:t>(</w:t>
      </w:r>
      <w:r w:rsidRPr="00740386">
        <w:t xml:space="preserve">skin and airframe) </w:t>
      </w:r>
      <w:r>
        <w:t xml:space="preserve">was replaced by </w:t>
      </w:r>
      <w:r w:rsidRPr="00740386">
        <w:t>much lighter and stronger composite</w:t>
      </w:r>
      <w:r>
        <w:t>s</w:t>
      </w:r>
      <w:r w:rsidR="00043CB1">
        <w:t>, which</w:t>
      </w:r>
      <w:r w:rsidRPr="00740386">
        <w:t xml:space="preserve"> not only reduced structure fatigue and</w:t>
      </w:r>
      <w:r w:rsidR="00462D98">
        <w:t xml:space="preserve">, </w:t>
      </w:r>
      <w:r>
        <w:t>consequently</w:t>
      </w:r>
      <w:r w:rsidR="00462D98">
        <w:t>,</w:t>
      </w:r>
      <w:r w:rsidRPr="00740386">
        <w:t xml:space="preserve"> maintenance cost, but also fuel consumption. </w:t>
      </w:r>
      <w:r>
        <w:t>Another</w:t>
      </w:r>
      <w:r w:rsidRPr="00740386">
        <w:t xml:space="preserve"> </w:t>
      </w:r>
      <w:r w:rsidR="00043CB1">
        <w:t>key</w:t>
      </w:r>
      <w:r w:rsidRPr="00740386">
        <w:t xml:space="preserve"> way Boeing reduced the Dreamliner’s fuel consumption was by replacing the mechanical systems on board the Dreamliner </w:t>
      </w:r>
      <w:r w:rsidR="005618ED">
        <w:t>with</w:t>
      </w:r>
      <w:r w:rsidRPr="00740386">
        <w:t xml:space="preserve"> electrical and electronic systems</w:t>
      </w:r>
      <w:r w:rsidR="00043CB1">
        <w:t>;</w:t>
      </w:r>
      <w:r w:rsidRPr="00740386">
        <w:t xml:space="preserve"> </w:t>
      </w:r>
      <w:r w:rsidR="00043CB1">
        <w:t>t</w:t>
      </w:r>
      <w:r w:rsidRPr="00740386">
        <w:t>his made the aircraft lighter by almost 907 k</w:t>
      </w:r>
      <w:r w:rsidR="00043CB1">
        <w:t>ilograms (2,000 pounds</w:t>
      </w:r>
      <w:r w:rsidRPr="00740386">
        <w:t>)</w:t>
      </w:r>
      <w:r w:rsidR="00043CB1">
        <w:t>.</w:t>
      </w:r>
      <w:r w:rsidRPr="00740386">
        <w:rPr>
          <w:rStyle w:val="EndnoteReference"/>
          <w:rFonts w:ascii="Times" w:hAnsi="Times"/>
        </w:rPr>
        <w:endnoteReference w:id="20"/>
      </w:r>
      <w:r w:rsidRPr="00740386">
        <w:t xml:space="preserve"> Boeing</w:t>
      </w:r>
      <w:r>
        <w:t>’s ultimate goal was to</w:t>
      </w:r>
      <w:r w:rsidRPr="00740386">
        <w:t xml:space="preserve"> reduce </w:t>
      </w:r>
      <w:r>
        <w:t xml:space="preserve">the </w:t>
      </w:r>
      <w:r w:rsidRPr="00740386">
        <w:t xml:space="preserve">fuel consumption of the Dreamliner by </w:t>
      </w:r>
      <w:r>
        <w:t xml:space="preserve">as much as </w:t>
      </w:r>
      <w:r w:rsidRPr="00740386">
        <w:t xml:space="preserve">20 </w:t>
      </w:r>
      <w:r w:rsidR="00223FD1">
        <w:t>per cent</w:t>
      </w:r>
      <w:r w:rsidRPr="00740386">
        <w:t xml:space="preserve"> </w:t>
      </w:r>
      <w:r w:rsidR="00444828">
        <w:t>versus</w:t>
      </w:r>
      <w:r w:rsidRPr="00740386">
        <w:t xml:space="preserve"> </w:t>
      </w:r>
      <w:r>
        <w:t>other</w:t>
      </w:r>
      <w:r w:rsidRPr="00740386">
        <w:t xml:space="preserve"> aircraft</w:t>
      </w:r>
      <w:r w:rsidR="000B272C">
        <w:t>s</w:t>
      </w:r>
      <w:r>
        <w:t xml:space="preserve"> in the same category</w:t>
      </w:r>
      <w:r w:rsidRPr="00740386">
        <w:t xml:space="preserve">. This reduction was </w:t>
      </w:r>
      <w:r w:rsidR="005618ED">
        <w:t>significant</w:t>
      </w:r>
      <w:r w:rsidRPr="00740386">
        <w:t>, given the higher cruising speed</w:t>
      </w:r>
      <w:r w:rsidR="005618ED" w:rsidRPr="005618ED">
        <w:t xml:space="preserve"> </w:t>
      </w:r>
      <w:r w:rsidR="005618ED">
        <w:t>that the Dreamliner was capable of flying at</w:t>
      </w:r>
      <w:r w:rsidRPr="00740386">
        <w:t xml:space="preserve"> </w:t>
      </w:r>
      <w:r w:rsidR="005618ED">
        <w:t>(</w:t>
      </w:r>
      <w:r w:rsidRPr="00740386">
        <w:t xml:space="preserve">Mach 0.85 and </w:t>
      </w:r>
      <w:r>
        <w:t>a t</w:t>
      </w:r>
      <w:r w:rsidRPr="00740386">
        <w:t>op speed of Mach 0.98</w:t>
      </w:r>
      <w:r w:rsidR="005618ED">
        <w:t>)</w:t>
      </w:r>
      <w:r w:rsidR="00A23D96">
        <w:rPr>
          <w:rStyle w:val="EndnoteReference"/>
        </w:rPr>
        <w:endnoteReference w:id="21"/>
      </w:r>
      <w:r>
        <w:t xml:space="preserve"> compared to other </w:t>
      </w:r>
      <w:r w:rsidR="00E62097">
        <w:t xml:space="preserve">similar </w:t>
      </w:r>
      <w:r>
        <w:t>aircraft</w:t>
      </w:r>
      <w:r w:rsidR="00821A43">
        <w:t>s</w:t>
      </w:r>
      <w:r w:rsidR="00043CB1">
        <w:t>.</w:t>
      </w:r>
      <w:r>
        <w:rPr>
          <w:rStyle w:val="EndnoteReference"/>
          <w:rFonts w:ascii="Times" w:hAnsi="Times"/>
        </w:rPr>
        <w:endnoteReference w:id="22"/>
      </w:r>
      <w:r>
        <w:t xml:space="preserve"> These speeds were </w:t>
      </w:r>
      <w:r w:rsidR="00C037A3">
        <w:t xml:space="preserve">close </w:t>
      </w:r>
      <w:r w:rsidR="00EC58F5">
        <w:t xml:space="preserve">not only </w:t>
      </w:r>
      <w:r>
        <w:t>to</w:t>
      </w:r>
      <w:r w:rsidR="00C40F4E">
        <w:t xml:space="preserve"> those of</w:t>
      </w:r>
      <w:r>
        <w:t xml:space="preserve"> </w:t>
      </w:r>
      <w:r w:rsidR="005618ED">
        <w:t>the Dreamliner’s</w:t>
      </w:r>
      <w:r>
        <w:t xml:space="preserve"> predecessor</w:t>
      </w:r>
      <w:r w:rsidR="008E2AC4">
        <w:t>,</w:t>
      </w:r>
      <w:r>
        <w:t xml:space="preserve"> the Boeing 767</w:t>
      </w:r>
      <w:r w:rsidR="008E2AC4">
        <w:t>,</w:t>
      </w:r>
      <w:r>
        <w:t xml:space="preserve"> and the </w:t>
      </w:r>
      <w:r w:rsidR="00B15EDD">
        <w:t xml:space="preserve">directly </w:t>
      </w:r>
      <w:r>
        <w:t>comparable Airbus A300</w:t>
      </w:r>
      <w:r w:rsidR="00AC420D">
        <w:t>,</w:t>
      </w:r>
      <w:r>
        <w:t xml:space="preserve"> but </w:t>
      </w:r>
      <w:r w:rsidR="00EC58F5">
        <w:t xml:space="preserve">also </w:t>
      </w:r>
      <w:r>
        <w:t>to th</w:t>
      </w:r>
      <w:r w:rsidR="00C40F4E">
        <w:t>ose</w:t>
      </w:r>
      <w:r>
        <w:t xml:space="preserve"> of larger aircraft</w:t>
      </w:r>
      <w:r w:rsidR="005760A2">
        <w:t>s</w:t>
      </w:r>
      <w:r w:rsidRPr="00740386">
        <w:t xml:space="preserve">. </w:t>
      </w:r>
      <w:r>
        <w:t>Further, the</w:t>
      </w:r>
      <w:r w:rsidRPr="00740386">
        <w:t xml:space="preserve"> new design improved passenger comfort by allowi</w:t>
      </w:r>
      <w:r>
        <w:t xml:space="preserve">ng better climate control and lowering </w:t>
      </w:r>
      <w:r w:rsidRPr="00740386">
        <w:t>cabin noise. The lighter weight also increased the operating range of the Dreamliner, thereby reducing layovers and improving passenger convenience. The Dreamliner had a range of approximately 15</w:t>
      </w:r>
      <w:r w:rsidR="001B31AB">
        <w:t>,</w:t>
      </w:r>
      <w:r w:rsidRPr="00740386">
        <w:t>279 k</w:t>
      </w:r>
      <w:r w:rsidR="001B31AB">
        <w:t>ilometres.</w:t>
      </w:r>
      <w:r w:rsidRPr="00740386">
        <w:rPr>
          <w:rStyle w:val="EndnoteReference"/>
          <w:rFonts w:ascii="Times" w:hAnsi="Times"/>
        </w:rPr>
        <w:endnoteReference w:id="23"/>
      </w:r>
    </w:p>
    <w:p w14:paraId="7A62442B" w14:textId="77777777" w:rsidR="005206F7" w:rsidRDefault="005206F7" w:rsidP="004C2798">
      <w:pPr>
        <w:pStyle w:val="BodyTextMain"/>
      </w:pPr>
    </w:p>
    <w:p w14:paraId="26DE1DF5" w14:textId="3B0ACD6E" w:rsidR="004C2798" w:rsidRDefault="004C2798" w:rsidP="004C2798">
      <w:pPr>
        <w:pStyle w:val="BodyTextMain"/>
      </w:pPr>
      <w:r w:rsidRPr="00455EFD">
        <w:t xml:space="preserve">Boeing was already thinking beyond the Dreamliner’s dimmable windows and its starry ceilings in </w:t>
      </w:r>
      <w:r w:rsidR="006F49F8">
        <w:t xml:space="preserve">terms of </w:t>
      </w:r>
      <w:r w:rsidRPr="00455EFD">
        <w:t xml:space="preserve">improving passengers’ flying experience. Both Boeing and Airbus were experimenting </w:t>
      </w:r>
      <w:r>
        <w:t>and</w:t>
      </w:r>
      <w:r w:rsidRPr="00455EFD">
        <w:t xml:space="preserve"> developing ideas </w:t>
      </w:r>
      <w:r>
        <w:t>involving</w:t>
      </w:r>
      <w:r w:rsidRPr="00455EFD">
        <w:t xml:space="preserve"> radical shifts in structural design, aircraft navigation and control, and avionics</w:t>
      </w:r>
      <w:r w:rsidR="00C037A3">
        <w:t>—</w:t>
      </w:r>
      <w:r w:rsidRPr="00455EFD">
        <w:t>all with the ultimate aim</w:t>
      </w:r>
      <w:r>
        <w:t>s</w:t>
      </w:r>
      <w:r w:rsidRPr="00455EFD">
        <w:t xml:space="preserve"> </w:t>
      </w:r>
      <w:r>
        <w:t>of improving operational efficiency,</w:t>
      </w:r>
      <w:r w:rsidRPr="00455EFD">
        <w:t xml:space="preserve"> augmenting the flying experience</w:t>
      </w:r>
      <w:r>
        <w:t>,</w:t>
      </w:r>
      <w:r w:rsidRPr="00455EFD">
        <w:t xml:space="preserve"> and </w:t>
      </w:r>
      <w:r>
        <w:t xml:space="preserve">increasing passenger </w:t>
      </w:r>
      <w:r w:rsidRPr="00455EFD">
        <w:t xml:space="preserve">safety. One of these concepts, for </w:t>
      </w:r>
      <w:r w:rsidR="005618ED">
        <w:t>example,</w:t>
      </w:r>
      <w:r w:rsidRPr="00455EFD">
        <w:t xml:space="preserve"> included windowless fuselages with </w:t>
      </w:r>
      <w:r w:rsidR="005618ED">
        <w:t>liquid-crystal display</w:t>
      </w:r>
      <w:r w:rsidRPr="00455EFD">
        <w:t xml:space="preserve"> panels</w:t>
      </w:r>
      <w:r w:rsidR="00441772">
        <w:t xml:space="preserve">, </w:t>
      </w:r>
      <w:r w:rsidRPr="00455EFD">
        <w:t xml:space="preserve">replacing the </w:t>
      </w:r>
      <w:r w:rsidR="00441772">
        <w:t xml:space="preserve">traditional smaller aircraft </w:t>
      </w:r>
      <w:r w:rsidRPr="00455EFD">
        <w:t xml:space="preserve">windows </w:t>
      </w:r>
      <w:r w:rsidR="00441772">
        <w:t xml:space="preserve">in order </w:t>
      </w:r>
      <w:r w:rsidRPr="00455EFD">
        <w:t xml:space="preserve">to present passengers </w:t>
      </w:r>
      <w:r w:rsidR="00441772">
        <w:t xml:space="preserve">with </w:t>
      </w:r>
      <w:r w:rsidRPr="00455EFD">
        <w:t>an interactive augmented reality experience</w:t>
      </w:r>
      <w:r w:rsidR="00043CB1">
        <w:t>.</w:t>
      </w:r>
      <w:r w:rsidRPr="00455EFD">
        <w:rPr>
          <w:rStyle w:val="EndnoteReference"/>
          <w:rFonts w:ascii="Times" w:hAnsi="Times"/>
        </w:rPr>
        <w:endnoteReference w:id="24"/>
      </w:r>
      <w:r w:rsidRPr="00455EFD">
        <w:t xml:space="preserve"> Boeing and Airbus were well on their way </w:t>
      </w:r>
      <w:r w:rsidR="005618ED">
        <w:t>to</w:t>
      </w:r>
      <w:r w:rsidR="00441772">
        <w:t>ward</w:t>
      </w:r>
      <w:r w:rsidRPr="00455EFD">
        <w:t xml:space="preserve"> patenting some of these innovations. </w:t>
      </w:r>
    </w:p>
    <w:p w14:paraId="32300F0E" w14:textId="77777777" w:rsidR="005206F7" w:rsidRDefault="005206F7" w:rsidP="004C2798">
      <w:pPr>
        <w:pStyle w:val="BodyTextMain"/>
      </w:pPr>
    </w:p>
    <w:p w14:paraId="78BE57C3" w14:textId="77777777" w:rsidR="005206F7" w:rsidRDefault="005206F7" w:rsidP="004C2798">
      <w:pPr>
        <w:pStyle w:val="BodyTextMain"/>
      </w:pPr>
    </w:p>
    <w:p w14:paraId="3939BF36" w14:textId="77777777" w:rsidR="004C2798" w:rsidRPr="00740386" w:rsidRDefault="004C2798" w:rsidP="001873D9">
      <w:pPr>
        <w:pStyle w:val="Casehead1"/>
        <w:outlineLvl w:val="0"/>
      </w:pPr>
      <w:r w:rsidRPr="00740386">
        <w:t>HCL, ROCKWELL COLLINS, INC., AND BOEING</w:t>
      </w:r>
    </w:p>
    <w:p w14:paraId="77695FB1" w14:textId="77777777" w:rsidR="005206F7" w:rsidRDefault="005206F7" w:rsidP="004C2798">
      <w:pPr>
        <w:pStyle w:val="BodyTextMain"/>
      </w:pPr>
    </w:p>
    <w:p w14:paraId="20890AC7" w14:textId="37AD9D71" w:rsidR="004C2798" w:rsidRPr="00E507FA" w:rsidRDefault="004C2798" w:rsidP="004C2798">
      <w:pPr>
        <w:pStyle w:val="BodyTextMain"/>
      </w:pPr>
      <w:r w:rsidRPr="00E507FA">
        <w:t xml:space="preserve">HCL was introduced to Boeing by Rockwell Collins, Inc. </w:t>
      </w:r>
      <w:r w:rsidR="006652FB" w:rsidRPr="00E507FA">
        <w:t xml:space="preserve">(Rockwell), </w:t>
      </w:r>
      <w:r w:rsidRPr="00E507FA">
        <w:t>an American corporation based out of Cedar Rapids, Iowa</w:t>
      </w:r>
      <w:r w:rsidR="005618ED" w:rsidRPr="00E507FA">
        <w:t xml:space="preserve">. Rockwell, which was a supplier of avionics and communications systems to the A&amp;D sector, was a tier-one supplier to Boeing, and had </w:t>
      </w:r>
      <w:r w:rsidRPr="00E507FA">
        <w:t xml:space="preserve">approximately </w:t>
      </w:r>
      <w:r w:rsidR="00223FD1" w:rsidRPr="00E507FA">
        <w:t>$</w:t>
      </w:r>
      <w:r w:rsidRPr="00E507FA">
        <w:t>4.4 billion in turnover in 2009</w:t>
      </w:r>
      <w:r w:rsidR="00043CB1" w:rsidRPr="00E507FA">
        <w:t>.</w:t>
      </w:r>
      <w:r w:rsidRPr="00E507FA">
        <w:rPr>
          <w:rStyle w:val="EndnoteReference"/>
          <w:rFonts w:ascii="Times" w:hAnsi="Times"/>
        </w:rPr>
        <w:endnoteReference w:id="25"/>
      </w:r>
      <w:r w:rsidRPr="00E507FA">
        <w:t xml:space="preserve"> Rockwell specialized in flight deck avionics, cabin electronics, mission communications, simulation and training, and information management</w:t>
      </w:r>
      <w:r w:rsidR="00D90648" w:rsidRPr="00E507FA">
        <w:t>.</w:t>
      </w:r>
      <w:r w:rsidRPr="00E507FA">
        <w:rPr>
          <w:rStyle w:val="EndnoteReference"/>
          <w:rFonts w:ascii="Times" w:hAnsi="Times"/>
        </w:rPr>
        <w:endnoteReference w:id="26"/>
      </w:r>
      <w:r w:rsidRPr="00E507FA">
        <w:t xml:space="preserve"> HCL’s association with Rockwell had begun in 2000, with a much smaller verification and validation project not specific to avionics. </w:t>
      </w:r>
      <w:r w:rsidR="005618ED" w:rsidRPr="00E507FA">
        <w:t>S</w:t>
      </w:r>
      <w:r w:rsidRPr="00E507FA">
        <w:t>ince</w:t>
      </w:r>
      <w:r w:rsidR="005618ED" w:rsidRPr="00E507FA">
        <w:t xml:space="preserve"> this partnership</w:t>
      </w:r>
      <w:r w:rsidRPr="00E507FA">
        <w:t>, HCL’s relationship with Rockwell had evolved</w:t>
      </w:r>
      <w:r w:rsidR="00771D29" w:rsidRPr="00E507FA">
        <w:t>, and</w:t>
      </w:r>
      <w:r w:rsidRPr="00E507FA">
        <w:t xml:space="preserve"> the two companies partner</w:t>
      </w:r>
      <w:r w:rsidR="00771D29" w:rsidRPr="00E507FA">
        <w:t>ed</w:t>
      </w:r>
      <w:r w:rsidRPr="00E507FA">
        <w:t xml:space="preserve"> in executing more complex </w:t>
      </w:r>
      <w:r w:rsidR="00771D29" w:rsidRPr="00E507FA">
        <w:t xml:space="preserve">and </w:t>
      </w:r>
      <w:r w:rsidRPr="00E507FA">
        <w:t>higher</w:t>
      </w:r>
      <w:r w:rsidR="00771D29" w:rsidRPr="00E507FA">
        <w:t>-</w:t>
      </w:r>
      <w:r w:rsidRPr="00E507FA">
        <w:t>valued projects. In 2007</w:t>
      </w:r>
      <w:r w:rsidR="00D90648" w:rsidRPr="00E507FA">
        <w:t>,</w:t>
      </w:r>
      <w:r w:rsidRPr="00E507FA">
        <w:t xml:space="preserve"> HCL and Rockwell set up</w:t>
      </w:r>
      <w:r w:rsidR="00771D29" w:rsidRPr="00E507FA">
        <w:t xml:space="preserve"> two</w:t>
      </w:r>
      <w:r w:rsidRPr="00E507FA">
        <w:t xml:space="preserve"> offshore design, development, and verification </w:t>
      </w:r>
      <w:r w:rsidR="001873D9" w:rsidRPr="00E507FA">
        <w:t>centre</w:t>
      </w:r>
      <w:r w:rsidR="00771D29" w:rsidRPr="00E507FA">
        <w:t>s</w:t>
      </w:r>
      <w:r w:rsidRPr="00E507FA">
        <w:t xml:space="preserve"> in the</w:t>
      </w:r>
      <w:r w:rsidR="00771D29" w:rsidRPr="00E507FA">
        <w:t xml:space="preserve"> Indian</w:t>
      </w:r>
      <w:r w:rsidRPr="00E507FA">
        <w:t xml:space="preserve"> cities of Bangalore and Chennai</w:t>
      </w:r>
      <w:r w:rsidR="00653F2C" w:rsidRPr="00E507FA">
        <w:t>—</w:t>
      </w:r>
      <w:r w:rsidR="003E6231" w:rsidRPr="00E507FA">
        <w:t>one in each city</w:t>
      </w:r>
      <w:r w:rsidR="00653F2C" w:rsidRPr="00E507FA">
        <w:t>—</w:t>
      </w:r>
      <w:r w:rsidRPr="00E507FA">
        <w:t xml:space="preserve">with the aim of developing high-value software and hardware design and verification services for the aerospace industry. The </w:t>
      </w:r>
      <w:r w:rsidR="001873D9" w:rsidRPr="00E507FA">
        <w:t>centre</w:t>
      </w:r>
      <w:r w:rsidR="00771D29" w:rsidRPr="00E507FA">
        <w:t>s</w:t>
      </w:r>
      <w:r w:rsidRPr="00E507FA">
        <w:t xml:space="preserve"> employed a dedicated team of HCL engineers who worked closely with their Rockwell counterparts.</w:t>
      </w:r>
    </w:p>
    <w:p w14:paraId="446F4956" w14:textId="77777777" w:rsidR="005206F7" w:rsidRDefault="005206F7" w:rsidP="004C2798">
      <w:pPr>
        <w:pStyle w:val="BodyTextMain"/>
      </w:pPr>
    </w:p>
    <w:p w14:paraId="7C5D484C" w14:textId="4C03A2F1" w:rsidR="004C2798" w:rsidRDefault="004C2798" w:rsidP="004C2798">
      <w:pPr>
        <w:pStyle w:val="BodyTextMain"/>
      </w:pPr>
      <w:r w:rsidRPr="00740386">
        <w:t xml:space="preserve">Rockwell served as the systems integrator for the Dreamliner’s flight deck displays, crew-alerting system, and the more critical pilot controls, communication and surveillance systems, and common data network for the </w:t>
      </w:r>
      <w:r w:rsidR="00771D29">
        <w:t>c</w:t>
      </w:r>
      <w:r w:rsidRPr="00740386">
        <w:t xml:space="preserve">ommon </w:t>
      </w:r>
      <w:r w:rsidR="00771D29">
        <w:t>c</w:t>
      </w:r>
      <w:r w:rsidRPr="00740386">
        <w:t xml:space="preserve">ore </w:t>
      </w:r>
      <w:r w:rsidR="00771D29">
        <w:t>s</w:t>
      </w:r>
      <w:r w:rsidRPr="00740386">
        <w:t xml:space="preserve">ystem. The </w:t>
      </w:r>
      <w:r w:rsidR="00EF4511">
        <w:t>i</w:t>
      </w:r>
      <w:r w:rsidRPr="00740386">
        <w:t xml:space="preserve">ntegrated </w:t>
      </w:r>
      <w:r w:rsidR="00EF4511">
        <w:t>s</w:t>
      </w:r>
      <w:r w:rsidRPr="00740386">
        <w:t xml:space="preserve">urveillance </w:t>
      </w:r>
      <w:r w:rsidR="00EF4511">
        <w:t>s</w:t>
      </w:r>
      <w:r w:rsidRPr="00740386">
        <w:t>ystem, which included critical functions like hazard detection, traffic alert</w:t>
      </w:r>
      <w:r w:rsidR="00EF4511">
        <w:t xml:space="preserve">s, </w:t>
      </w:r>
      <w:r w:rsidRPr="00740386">
        <w:t>collision avoidance, Mode S surveillance, and terrain avoidance and warning competencies, was certified for the first time by the</w:t>
      </w:r>
      <w:r>
        <w:t xml:space="preserve"> </w:t>
      </w:r>
      <w:r w:rsidRPr="00740386">
        <w:t xml:space="preserve">Federal Aviation Administration </w:t>
      </w:r>
      <w:r w:rsidR="001B31AB">
        <w:t>(</w:t>
      </w:r>
      <w:r w:rsidRPr="00740386">
        <w:t>FAA</w:t>
      </w:r>
      <w:r w:rsidR="001B31AB">
        <w:t>)</w:t>
      </w:r>
      <w:r>
        <w:t>, the</w:t>
      </w:r>
      <w:r w:rsidRPr="00740386">
        <w:t xml:space="preserve"> U</w:t>
      </w:r>
      <w:r w:rsidR="001B31AB">
        <w:t>.</w:t>
      </w:r>
      <w:r w:rsidRPr="00740386">
        <w:t>S</w:t>
      </w:r>
      <w:r w:rsidR="001B31AB">
        <w:t>.</w:t>
      </w:r>
      <w:r w:rsidRPr="00740386">
        <w:t xml:space="preserve"> regulator</w:t>
      </w:r>
      <w:r w:rsidR="00EF4511">
        <w:t>,</w:t>
      </w:r>
      <w:r w:rsidRPr="00740386">
        <w:t xml:space="preserve"> and its European counterpart, the European Aviation Safety Agency</w:t>
      </w:r>
      <w:r w:rsidR="00043CB1">
        <w:t>.</w:t>
      </w:r>
      <w:r w:rsidRPr="00740386">
        <w:rPr>
          <w:rStyle w:val="EndnoteReference"/>
          <w:rFonts w:ascii="Times" w:hAnsi="Times"/>
        </w:rPr>
        <w:endnoteReference w:id="27"/>
      </w:r>
      <w:r>
        <w:t xml:space="preserve"> </w:t>
      </w:r>
      <w:r w:rsidRPr="00740386">
        <w:t xml:space="preserve">A company spokesperson from Rockwell </w:t>
      </w:r>
      <w:r>
        <w:t>highlighted</w:t>
      </w:r>
      <w:r w:rsidRPr="00740386">
        <w:t xml:space="preserve"> the importance of </w:t>
      </w:r>
      <w:r w:rsidR="00EF4511">
        <w:t>the</w:t>
      </w:r>
      <w:r w:rsidRPr="00740386">
        <w:t xml:space="preserve"> company’s association with Boeing as part of the Dreamliner project</w:t>
      </w:r>
      <w:r w:rsidR="00EF4511">
        <w:t>;</w:t>
      </w:r>
      <w:r w:rsidRPr="00740386">
        <w:t xml:space="preserve"> </w:t>
      </w:r>
      <w:r w:rsidR="00EF4511">
        <w:t>s</w:t>
      </w:r>
      <w:r w:rsidRPr="00740386">
        <w:t>he emphasized that the project was considered to be a landmark</w:t>
      </w:r>
      <w:r w:rsidR="00EF4511">
        <w:t>,</w:t>
      </w:r>
      <w:r w:rsidRPr="00740386">
        <w:t xml:space="preserve"> given that none of </w:t>
      </w:r>
      <w:r w:rsidRPr="00740386">
        <w:lastRenderedPageBreak/>
        <w:t xml:space="preserve">Rockwell’s customers had </w:t>
      </w:r>
      <w:r>
        <w:t>previously</w:t>
      </w:r>
      <w:r w:rsidRPr="00740386">
        <w:t xml:space="preserve"> entrusted the company with a project of such scale and scope</w:t>
      </w:r>
      <w:r w:rsidR="00C11373">
        <w:t>.</w:t>
      </w:r>
      <w:r w:rsidRPr="00740386">
        <w:rPr>
          <w:rStyle w:val="EndnoteReference"/>
          <w:rFonts w:ascii="Times" w:hAnsi="Times"/>
        </w:rPr>
        <w:endnoteReference w:id="28"/>
      </w:r>
      <w:r w:rsidRPr="00740386">
        <w:t xml:space="preserve"> The </w:t>
      </w:r>
      <w:r>
        <w:t>project</w:t>
      </w:r>
      <w:r w:rsidRPr="00740386">
        <w:t xml:space="preserve"> was </w:t>
      </w:r>
      <w:r>
        <w:t xml:space="preserve">commissioned in 2004, and </w:t>
      </w:r>
      <w:r w:rsidRPr="00740386">
        <w:t>va</w:t>
      </w:r>
      <w:r>
        <w:t xml:space="preserve">lued at </w:t>
      </w:r>
      <w:r w:rsidR="00223FD1">
        <w:t>$</w:t>
      </w:r>
      <w:r>
        <w:t>3.5 billion over its</w:t>
      </w:r>
      <w:r w:rsidRPr="00740386">
        <w:t xml:space="preserve"> lifetime</w:t>
      </w:r>
      <w:r w:rsidR="00C11373">
        <w:t>.</w:t>
      </w:r>
      <w:r w:rsidR="00EB34CF">
        <w:rPr>
          <w:rStyle w:val="EndnoteReference"/>
        </w:rPr>
        <w:endnoteReference w:id="29"/>
      </w:r>
      <w:r w:rsidRPr="00740386">
        <w:t xml:space="preserve"> </w:t>
      </w:r>
    </w:p>
    <w:p w14:paraId="40FBC64D" w14:textId="77777777" w:rsidR="009B1D84" w:rsidRDefault="009B1D84" w:rsidP="004C2798">
      <w:pPr>
        <w:pStyle w:val="BodyTextMain"/>
      </w:pPr>
    </w:p>
    <w:p w14:paraId="2187037C" w14:textId="2877D59F" w:rsidR="00ED59F9" w:rsidRDefault="004C2798" w:rsidP="00653F2C">
      <w:pPr>
        <w:pStyle w:val="BodyTextMain"/>
      </w:pPr>
      <w:r w:rsidRPr="00740386">
        <w:t>Rockwell subcontracted a part of the project involving verification, design</w:t>
      </w:r>
      <w:r w:rsidR="00EF4511">
        <w:t>,</w:t>
      </w:r>
      <w:r w:rsidRPr="00740386">
        <w:t xml:space="preserve"> and development to HCL following Boeing’s approval in 2004. Specifically</w:t>
      </w:r>
      <w:r>
        <w:t>,</w:t>
      </w:r>
      <w:r w:rsidRPr="00740386">
        <w:t xml:space="preserve"> HCL was </w:t>
      </w:r>
      <w:r>
        <w:t>entrusted</w:t>
      </w:r>
      <w:r w:rsidRPr="00740386">
        <w:t xml:space="preserve"> </w:t>
      </w:r>
      <w:r>
        <w:t>with</w:t>
      </w:r>
      <w:r w:rsidRPr="00740386">
        <w:t xml:space="preserve"> developing the cabin software for the Dreamliner. Th</w:t>
      </w:r>
      <w:r>
        <w:t>is</w:t>
      </w:r>
      <w:r w:rsidRPr="00740386">
        <w:t xml:space="preserve"> association with Rockwell </w:t>
      </w:r>
      <w:r>
        <w:t>represented</w:t>
      </w:r>
      <w:r w:rsidRPr="00740386">
        <w:t xml:space="preserve"> HCL’s first aerospace engagement, a fact that underscored the strategic importance of the project</w:t>
      </w:r>
      <w:r>
        <w:t xml:space="preserve">. </w:t>
      </w:r>
      <w:r w:rsidRPr="00740386">
        <w:rPr>
          <w:rFonts w:cs="Times"/>
        </w:rPr>
        <w:t>Rockwell’s decision to subcontract was primarily driven by cost considerations</w:t>
      </w:r>
      <w:r>
        <w:rPr>
          <w:rFonts w:cs="Times"/>
        </w:rPr>
        <w:t>. Other strategic and operational concerns involved access to</w:t>
      </w:r>
      <w:r w:rsidRPr="00740386">
        <w:rPr>
          <w:rFonts w:cs="Times"/>
        </w:rPr>
        <w:t xml:space="preserve"> good engineering talent, and </w:t>
      </w:r>
      <w:r>
        <w:rPr>
          <w:rFonts w:cs="Times"/>
        </w:rPr>
        <w:t>Rockwell’s</w:t>
      </w:r>
      <w:r w:rsidRPr="00740386">
        <w:rPr>
          <w:rFonts w:cs="Times"/>
        </w:rPr>
        <w:t xml:space="preserve"> </w:t>
      </w:r>
      <w:r>
        <w:rPr>
          <w:rFonts w:cs="Times"/>
        </w:rPr>
        <w:t>motivation</w:t>
      </w:r>
      <w:r w:rsidRPr="00740386">
        <w:rPr>
          <w:rFonts w:cs="Times"/>
        </w:rPr>
        <w:t xml:space="preserve"> to expand its global footprint. </w:t>
      </w:r>
      <w:r w:rsidRPr="00740386">
        <w:t xml:space="preserve">Apart from HCL, Rockwell partnered with firms like the Aeronautical Computing Technique Research Institute from Xi’an, China, and the </w:t>
      </w:r>
      <w:r w:rsidRPr="00740386">
        <w:rPr>
          <w:bCs/>
          <w:iCs/>
        </w:rPr>
        <w:t>China Aeronautical Radio Electronics Research Institute Company in Shanghai</w:t>
      </w:r>
      <w:r w:rsidR="00C11373">
        <w:rPr>
          <w:bCs/>
          <w:iCs/>
        </w:rPr>
        <w:t>.</w:t>
      </w:r>
      <w:r w:rsidRPr="00740386">
        <w:rPr>
          <w:rStyle w:val="EndnoteReference"/>
          <w:rFonts w:ascii="Times" w:hAnsi="Times"/>
          <w:bCs/>
          <w:iCs/>
        </w:rPr>
        <w:endnoteReference w:id="30"/>
      </w:r>
      <w:r w:rsidRPr="00740386">
        <w:rPr>
          <w:b/>
          <w:bCs/>
          <w:i/>
          <w:iCs/>
        </w:rPr>
        <w:t xml:space="preserve"> </w:t>
      </w:r>
      <w:r w:rsidRPr="00740386">
        <w:t xml:space="preserve">Rockwell </w:t>
      </w:r>
      <w:r>
        <w:t xml:space="preserve">outsourced project components mainly to </w:t>
      </w:r>
      <w:r w:rsidRPr="00740386">
        <w:t>India and China. Rockwell’s</w:t>
      </w:r>
      <w:r>
        <w:t xml:space="preserve"> </w:t>
      </w:r>
      <w:r w:rsidR="004E067B">
        <w:t>p</w:t>
      </w:r>
      <w:r>
        <w:t xml:space="preserve">rincipal </w:t>
      </w:r>
      <w:r w:rsidR="004E067B">
        <w:t>e</w:t>
      </w:r>
      <w:r>
        <w:t xml:space="preserve">ngineering </w:t>
      </w:r>
      <w:r w:rsidR="004E067B">
        <w:t>m</w:t>
      </w:r>
      <w:r w:rsidRPr="00740386">
        <w:t>anager for Commercial Systems Engineering</w:t>
      </w:r>
      <w:r w:rsidR="00EF4511">
        <w:t xml:space="preserve"> (</w:t>
      </w:r>
      <w:r w:rsidRPr="00740386">
        <w:t>Design Support</w:t>
      </w:r>
      <w:r w:rsidR="00EF4511">
        <w:t>),</w:t>
      </w:r>
      <w:r w:rsidR="00EF4511" w:rsidRPr="00EF4511">
        <w:t xml:space="preserve"> </w:t>
      </w:r>
      <w:r w:rsidR="00EF4511" w:rsidRPr="00740386">
        <w:t>Roger French,</w:t>
      </w:r>
      <w:r w:rsidR="00EF4511">
        <w:t xml:space="preserve"> explained</w:t>
      </w:r>
      <w:r w:rsidRPr="00740386">
        <w:t>:</w:t>
      </w:r>
    </w:p>
    <w:p w14:paraId="594F135D" w14:textId="77777777" w:rsidR="00ED59F9" w:rsidRDefault="00ED59F9" w:rsidP="00653F2C">
      <w:pPr>
        <w:pStyle w:val="BodyTextMain"/>
      </w:pPr>
    </w:p>
    <w:p w14:paraId="0799F25D" w14:textId="0E8DE8E2" w:rsidR="004C2798" w:rsidRPr="003F3F9F" w:rsidRDefault="004C2798" w:rsidP="00356109">
      <w:pPr>
        <w:pStyle w:val="BodyTextMain"/>
        <w:ind w:left="720"/>
      </w:pPr>
      <w:r w:rsidRPr="003F3F9F">
        <w:t>Our overall strategy is to increase our customer value. For instance, our systems engineering and development skills are highly valued by our customers, but there are other things that we don’t necessarily have to do in-house, and those are the things we’re asking our subcontractors to assist us with.</w:t>
      </w:r>
      <w:r w:rsidRPr="00E62F8F">
        <w:rPr>
          <w:rStyle w:val="FootnoteReference"/>
        </w:rPr>
        <w:endnoteReference w:id="31"/>
      </w:r>
    </w:p>
    <w:p w14:paraId="37F38FE2" w14:textId="77777777" w:rsidR="005206F7" w:rsidRPr="00740386" w:rsidRDefault="005206F7" w:rsidP="004C2798">
      <w:pPr>
        <w:pStyle w:val="BodyTextMain"/>
        <w:rPr>
          <w:rFonts w:cs="Times"/>
          <w:color w:val="1F1C1D"/>
        </w:rPr>
      </w:pPr>
    </w:p>
    <w:p w14:paraId="15E3B07D" w14:textId="5E542E49" w:rsidR="004C2798" w:rsidRDefault="00EF4511" w:rsidP="004C2798">
      <w:pPr>
        <w:pStyle w:val="BodyTextMain"/>
      </w:pPr>
      <w:r>
        <w:t>Similarly, t</w:t>
      </w:r>
      <w:r w:rsidR="004C2798">
        <w:t xml:space="preserve">he </w:t>
      </w:r>
      <w:r w:rsidR="00043CB1">
        <w:t>v</w:t>
      </w:r>
      <w:r w:rsidR="004C2798">
        <w:t xml:space="preserve">ice </w:t>
      </w:r>
      <w:r w:rsidR="00043CB1">
        <w:t>p</w:t>
      </w:r>
      <w:r w:rsidR="004C2798" w:rsidRPr="00740386">
        <w:t>resident of Commercial Systems Engineering at Rockwell</w:t>
      </w:r>
      <w:r>
        <w:t>,</w:t>
      </w:r>
      <w:r w:rsidRPr="00EF4511">
        <w:t xml:space="preserve"> </w:t>
      </w:r>
      <w:r>
        <w:t>Steve Nieuwsma, also emphasized the benefits of outsourcing</w:t>
      </w:r>
      <w:r w:rsidR="004C2798" w:rsidRPr="00740386">
        <w:t xml:space="preserve">: </w:t>
      </w:r>
    </w:p>
    <w:p w14:paraId="5AF667A7" w14:textId="77777777" w:rsidR="005206F7" w:rsidRPr="00740386" w:rsidRDefault="005206F7" w:rsidP="004C2798">
      <w:pPr>
        <w:pStyle w:val="BodyTextMain"/>
      </w:pPr>
    </w:p>
    <w:p w14:paraId="39F34D02" w14:textId="139DAB35" w:rsidR="004C2798" w:rsidRPr="003F3F9F" w:rsidRDefault="004C2798" w:rsidP="003F3F9F">
      <w:pPr>
        <w:pStyle w:val="BodyTextMain"/>
        <w:ind w:left="720"/>
      </w:pPr>
      <w:r w:rsidRPr="003F3F9F">
        <w:t xml:space="preserve">We save about 50 cents on the dollar when we ship something offshore and have it done in India. Last year, we saved </w:t>
      </w:r>
      <w:r w:rsidR="00EF4511">
        <w:t>$</w:t>
      </w:r>
      <w:r w:rsidRPr="003F3F9F">
        <w:t>17 million and we put that back into our organization, which enabled us to chase new programs. Doing so ultimately leads to increased sales and revenues. It’s really a self-feeding economic engine for us</w:t>
      </w:r>
      <w:r w:rsidR="00C11373">
        <w:t>.</w:t>
      </w:r>
      <w:r w:rsidRPr="00E62F8F">
        <w:rPr>
          <w:rStyle w:val="FootnoteReference"/>
        </w:rPr>
        <w:endnoteReference w:id="32"/>
      </w:r>
      <w:r w:rsidRPr="003F3F9F">
        <w:t xml:space="preserve"> </w:t>
      </w:r>
    </w:p>
    <w:p w14:paraId="45DE0950" w14:textId="77777777" w:rsidR="005206F7" w:rsidRPr="00740386" w:rsidRDefault="005206F7" w:rsidP="004C2798">
      <w:pPr>
        <w:pStyle w:val="BodyTextMain"/>
      </w:pPr>
    </w:p>
    <w:p w14:paraId="721815C1" w14:textId="0E581FB4" w:rsidR="004C2798" w:rsidRDefault="004C2798" w:rsidP="004C2798">
      <w:pPr>
        <w:pStyle w:val="BodyTextMain"/>
      </w:pPr>
      <w:r w:rsidRPr="00740386">
        <w:t>In 2008</w:t>
      </w:r>
      <w:r w:rsidR="00043CB1">
        <w:t>,</w:t>
      </w:r>
      <w:r w:rsidRPr="00740386">
        <w:t xml:space="preserve"> Rockwell awarded </w:t>
      </w:r>
      <w:r w:rsidR="00EF4511">
        <w:t>its</w:t>
      </w:r>
      <w:r w:rsidR="005C2105">
        <w:t xml:space="preserve"> version of top pe</w:t>
      </w:r>
      <w:r w:rsidR="005C2105" w:rsidRPr="00740386">
        <w:t>rforming</w:t>
      </w:r>
      <w:r w:rsidRPr="00740386">
        <w:t xml:space="preserve"> </w:t>
      </w:r>
      <w:r w:rsidR="005C2105">
        <w:t>supplier award</w:t>
      </w:r>
      <w:r w:rsidRPr="00740386">
        <w:t xml:space="preserve"> to HCL in recognition of the services </w:t>
      </w:r>
      <w:r>
        <w:t>HCL</w:t>
      </w:r>
      <w:r w:rsidRPr="00740386">
        <w:t xml:space="preserve"> </w:t>
      </w:r>
      <w:r w:rsidR="00EF4511">
        <w:t xml:space="preserve">had </w:t>
      </w:r>
      <w:r w:rsidRPr="00740386">
        <w:t>provided</w:t>
      </w:r>
      <w:r w:rsidR="00BE10C5">
        <w:t xml:space="preserve"> as part of the Dreamliner project</w:t>
      </w:r>
      <w:r w:rsidRPr="00740386">
        <w:t xml:space="preserve">. </w:t>
      </w:r>
      <w:r w:rsidR="00EF4511">
        <w:t>Moreover, in</w:t>
      </w:r>
      <w:r w:rsidRPr="00740386">
        <w:t xml:space="preserve"> February 2009, HCL was awarded the </w:t>
      </w:r>
      <w:r w:rsidR="00A006D6">
        <w:t xml:space="preserve">gold standard (the highest level) </w:t>
      </w:r>
      <w:r w:rsidRPr="00740386">
        <w:t xml:space="preserve">Boeing </w:t>
      </w:r>
      <w:r w:rsidR="00EF4511">
        <w:t>“</w:t>
      </w:r>
      <w:r w:rsidRPr="00740386">
        <w:t>Performance Excellence</w:t>
      </w:r>
      <w:r w:rsidR="00EF4511">
        <w:t>”</w:t>
      </w:r>
      <w:r w:rsidRPr="00740386">
        <w:t xml:space="preserve"> award for exceptional services rendered to Boeing for the Dreamliner project</w:t>
      </w:r>
      <w:r w:rsidR="00EA59BD">
        <w:t>.</w:t>
      </w:r>
      <w:r w:rsidR="00FB4147">
        <w:t xml:space="preserve"> </w:t>
      </w:r>
      <w:r w:rsidR="00EA59BD">
        <w:t>HCL</w:t>
      </w:r>
      <w:r w:rsidR="00FB4147">
        <w:t xml:space="preserve"> was </w:t>
      </w:r>
      <w:r w:rsidR="00A006D6">
        <w:t xml:space="preserve">the only </w:t>
      </w:r>
      <w:r w:rsidR="00BE0788">
        <w:t>company</w:t>
      </w:r>
      <w:r w:rsidR="00A006D6">
        <w:t xml:space="preserve"> </w:t>
      </w:r>
      <w:r w:rsidR="0067061B">
        <w:t xml:space="preserve">to receive this award </w:t>
      </w:r>
      <w:r w:rsidR="00A006D6">
        <w:t>from among</w:t>
      </w:r>
      <w:r w:rsidR="00FB4147">
        <w:t xml:space="preserve"> the 86 suppliers that </w:t>
      </w:r>
      <w:r w:rsidR="00A006D6">
        <w:t>were recognized by Boeing</w:t>
      </w:r>
      <w:r w:rsidR="00043CB1">
        <w:t>.</w:t>
      </w:r>
      <w:r w:rsidRPr="00740386">
        <w:rPr>
          <w:rStyle w:val="EndnoteReference"/>
          <w:rFonts w:ascii="Times" w:hAnsi="Times"/>
        </w:rPr>
        <w:endnoteReference w:id="33"/>
      </w:r>
      <w:r w:rsidRPr="00740386">
        <w:t xml:space="preserve"> HCL achieved this </w:t>
      </w:r>
      <w:r w:rsidR="00FB4147">
        <w:t xml:space="preserve">standard </w:t>
      </w:r>
      <w:r w:rsidRPr="00740386">
        <w:t xml:space="preserve">by maintaining a </w:t>
      </w:r>
      <w:r w:rsidR="00FB4147">
        <w:t>g</w:t>
      </w:r>
      <w:r w:rsidRPr="00740386">
        <w:t>old</w:t>
      </w:r>
      <w:r w:rsidR="00EF4511">
        <w:t>-</w:t>
      </w:r>
      <w:r w:rsidRPr="00740386">
        <w:t xml:space="preserve">level performance composite rating for each </w:t>
      </w:r>
      <w:r w:rsidR="00FB4147">
        <w:t>12</w:t>
      </w:r>
      <w:r w:rsidRPr="00740386">
        <w:t>-month performance monitoring and measurement period, starting from October 1, 2007</w:t>
      </w:r>
      <w:r w:rsidR="00043CB1">
        <w:t>.</w:t>
      </w:r>
      <w:r w:rsidRPr="00740386">
        <w:rPr>
          <w:rStyle w:val="EndnoteReference"/>
          <w:rFonts w:ascii="Times" w:hAnsi="Times"/>
        </w:rPr>
        <w:endnoteReference w:id="34"/>
      </w:r>
      <w:r w:rsidRPr="00740386">
        <w:t xml:space="preserve"> </w:t>
      </w:r>
      <w:r w:rsidR="00FB4147">
        <w:t>Ultimately</w:t>
      </w:r>
      <w:r w:rsidR="005F203C">
        <w:t>,</w:t>
      </w:r>
      <w:r w:rsidRPr="00740386">
        <w:t xml:space="preserve"> HCL </w:t>
      </w:r>
      <w:r>
        <w:t>went on to beco</w:t>
      </w:r>
      <w:r w:rsidRPr="00740386">
        <w:t>me the first Indian company to acquire the stringent</w:t>
      </w:r>
      <w:r w:rsidR="00FB4147">
        <w:t>,</w:t>
      </w:r>
      <w:r w:rsidRPr="00740386">
        <w:t xml:space="preserve"> industry</w:t>
      </w:r>
      <w:r w:rsidR="00FB4147">
        <w:t>-</w:t>
      </w:r>
      <w:r w:rsidRPr="00740386">
        <w:t xml:space="preserve">specific AS9100 quality standard certification, awarded by the </w:t>
      </w:r>
      <w:r>
        <w:t>U</w:t>
      </w:r>
      <w:r w:rsidR="00136CDD">
        <w:t>.</w:t>
      </w:r>
      <w:r>
        <w:t>S</w:t>
      </w:r>
      <w:r w:rsidR="00136CDD">
        <w:t>.-</w:t>
      </w:r>
      <w:r>
        <w:t>based standards</w:t>
      </w:r>
      <w:r w:rsidR="00136CDD">
        <w:t>-</w:t>
      </w:r>
      <w:r>
        <w:t>developing organization</w:t>
      </w:r>
      <w:r w:rsidR="00136CDD">
        <w:t>,</w:t>
      </w:r>
      <w:r>
        <w:t xml:space="preserve"> </w:t>
      </w:r>
      <w:r w:rsidRPr="00740386">
        <w:t>SAE International</w:t>
      </w:r>
      <w:r w:rsidR="00136CDD">
        <w:t>.</w:t>
      </w:r>
      <w:r w:rsidRPr="00740386">
        <w:rPr>
          <w:rStyle w:val="EndnoteReference"/>
          <w:rFonts w:ascii="Times" w:hAnsi="Times"/>
        </w:rPr>
        <w:endnoteReference w:id="35"/>
      </w:r>
      <w:r w:rsidRPr="00740386">
        <w:t xml:space="preserve"> </w:t>
      </w:r>
    </w:p>
    <w:p w14:paraId="21078932" w14:textId="77777777" w:rsidR="005206F7" w:rsidRDefault="005206F7" w:rsidP="004C2798">
      <w:pPr>
        <w:pStyle w:val="BodyTextMain"/>
      </w:pPr>
    </w:p>
    <w:p w14:paraId="39271536" w14:textId="77777777" w:rsidR="005206F7" w:rsidRDefault="005206F7" w:rsidP="004C2798">
      <w:pPr>
        <w:pStyle w:val="BodyTextMain"/>
      </w:pPr>
    </w:p>
    <w:p w14:paraId="2B658E7D" w14:textId="77777777" w:rsidR="004C2798" w:rsidRPr="00740386" w:rsidRDefault="004C2798" w:rsidP="001873D9">
      <w:pPr>
        <w:pStyle w:val="Casehead1"/>
        <w:outlineLvl w:val="0"/>
      </w:pPr>
      <w:r w:rsidRPr="00740386">
        <w:t>HCL, HAMILTON SUNDSTRAND, AND BOEING</w:t>
      </w:r>
    </w:p>
    <w:p w14:paraId="72180B07" w14:textId="77777777" w:rsidR="005206F7" w:rsidRDefault="005206F7" w:rsidP="004C2798">
      <w:pPr>
        <w:pStyle w:val="BodyTextMain"/>
      </w:pPr>
    </w:p>
    <w:p w14:paraId="1F6BFF89" w14:textId="752BF00E" w:rsidR="004C2798" w:rsidRPr="00E507FA" w:rsidRDefault="004C2798" w:rsidP="004C2798">
      <w:pPr>
        <w:pStyle w:val="BodyTextMain"/>
      </w:pPr>
      <w:r w:rsidRPr="0055396C">
        <w:rPr>
          <w:spacing w:val="-2"/>
        </w:rPr>
        <w:t>Apart from Rockwell, HCL had close ties with Hamilton Sundstrand</w:t>
      </w:r>
      <w:r w:rsidR="00670FAA" w:rsidRPr="0055396C">
        <w:rPr>
          <w:spacing w:val="-2"/>
        </w:rPr>
        <w:t xml:space="preserve"> (Hamilton)</w:t>
      </w:r>
      <w:r w:rsidRPr="0055396C">
        <w:rPr>
          <w:spacing w:val="-2"/>
        </w:rPr>
        <w:t xml:space="preserve">, a subsidiary of United Technologies Corporation </w:t>
      </w:r>
      <w:r w:rsidR="001B31AB" w:rsidRPr="0055396C">
        <w:rPr>
          <w:spacing w:val="-2"/>
        </w:rPr>
        <w:t>(</w:t>
      </w:r>
      <w:r w:rsidRPr="0055396C">
        <w:rPr>
          <w:spacing w:val="-2"/>
        </w:rPr>
        <w:t>UTC</w:t>
      </w:r>
      <w:r w:rsidR="001B31AB" w:rsidRPr="0055396C">
        <w:rPr>
          <w:spacing w:val="-2"/>
        </w:rPr>
        <w:t>),</w:t>
      </w:r>
      <w:r w:rsidRPr="0055396C">
        <w:rPr>
          <w:spacing w:val="-2"/>
        </w:rPr>
        <w:t xml:space="preserve"> with headquarters in Windsor Locks, Connecticut.</w:t>
      </w:r>
      <w:r w:rsidR="000A22C0" w:rsidRPr="000A22C0">
        <w:rPr>
          <w:rStyle w:val="EndnoteReference"/>
          <w:rFonts w:ascii="Times" w:hAnsi="Times"/>
          <w:spacing w:val="-2"/>
        </w:rPr>
        <w:t xml:space="preserve"> </w:t>
      </w:r>
      <w:r w:rsidR="000A22C0" w:rsidRPr="0055396C">
        <w:rPr>
          <w:rStyle w:val="EndnoteReference"/>
          <w:rFonts w:ascii="Times" w:hAnsi="Times"/>
          <w:spacing w:val="-2"/>
        </w:rPr>
        <w:endnoteReference w:id="36"/>
      </w:r>
      <w:r w:rsidRPr="0055396C">
        <w:rPr>
          <w:spacing w:val="-2"/>
        </w:rPr>
        <w:t xml:space="preserve"> HCL had collaborated with Hamilton since 2002. Hamilton was a major contractor to the commercial aviation industry</w:t>
      </w:r>
      <w:r w:rsidR="00FB4147" w:rsidRPr="0055396C">
        <w:rPr>
          <w:spacing w:val="-2"/>
        </w:rPr>
        <w:t>,</w:t>
      </w:r>
      <w:r w:rsidRPr="0055396C">
        <w:rPr>
          <w:spacing w:val="-2"/>
        </w:rPr>
        <w:t xml:space="preserve"> as well as the defen</w:t>
      </w:r>
      <w:r w:rsidR="0095390D" w:rsidRPr="0055396C">
        <w:rPr>
          <w:spacing w:val="-2"/>
        </w:rPr>
        <w:t>c</w:t>
      </w:r>
      <w:r w:rsidRPr="0055396C">
        <w:rPr>
          <w:spacing w:val="-2"/>
        </w:rPr>
        <w:t>e and space sector</w:t>
      </w:r>
      <w:r w:rsidR="00867E4E">
        <w:rPr>
          <w:spacing w:val="-2"/>
        </w:rPr>
        <w:t>s</w:t>
      </w:r>
      <w:r w:rsidRPr="0055396C">
        <w:rPr>
          <w:spacing w:val="-2"/>
        </w:rPr>
        <w:t xml:space="preserve">. </w:t>
      </w:r>
      <w:r w:rsidR="00FB4147" w:rsidRPr="0055396C">
        <w:rPr>
          <w:spacing w:val="-2"/>
        </w:rPr>
        <w:t>The firm</w:t>
      </w:r>
      <w:r w:rsidRPr="0055396C">
        <w:rPr>
          <w:spacing w:val="-2"/>
        </w:rPr>
        <w:t xml:space="preserve"> supplied electrical power generation and distribution systems, engine accessories and control systems, flight control systems and pilot controls, and auxiliary power units</w:t>
      </w:r>
      <w:r w:rsidR="00FB4147" w:rsidRPr="0055396C">
        <w:rPr>
          <w:spacing w:val="-2"/>
        </w:rPr>
        <w:t xml:space="preserve"> (among other important systems) </w:t>
      </w:r>
      <w:r w:rsidRPr="0055396C">
        <w:rPr>
          <w:spacing w:val="-2"/>
        </w:rPr>
        <w:t>to OEMs like Boeing and Airbus</w:t>
      </w:r>
      <w:r w:rsidR="00FB4147" w:rsidRPr="0055396C">
        <w:rPr>
          <w:spacing w:val="-2"/>
        </w:rPr>
        <w:t>.</w:t>
      </w:r>
      <w:r w:rsidRPr="0055396C">
        <w:rPr>
          <w:spacing w:val="-2"/>
        </w:rPr>
        <w:t xml:space="preserve"> Further, Hamilton had a history of successful engagements with</w:t>
      </w:r>
      <w:r w:rsidR="00670FAA" w:rsidRPr="0055396C">
        <w:rPr>
          <w:spacing w:val="-2"/>
        </w:rPr>
        <w:t xml:space="preserve"> the National Aeronautics and Space Administration</w:t>
      </w:r>
      <w:r w:rsidRPr="0055396C">
        <w:rPr>
          <w:spacing w:val="-2"/>
        </w:rPr>
        <w:t xml:space="preserve"> </w:t>
      </w:r>
      <w:r w:rsidR="00670FAA" w:rsidRPr="0055396C">
        <w:rPr>
          <w:spacing w:val="-2"/>
        </w:rPr>
        <w:t>(</w:t>
      </w:r>
      <w:r w:rsidRPr="0055396C">
        <w:rPr>
          <w:spacing w:val="-2"/>
        </w:rPr>
        <w:t>NASA</w:t>
      </w:r>
      <w:r w:rsidR="00670FAA" w:rsidRPr="0055396C">
        <w:rPr>
          <w:spacing w:val="-2"/>
        </w:rPr>
        <w:t>)</w:t>
      </w:r>
      <w:r w:rsidRPr="0055396C">
        <w:rPr>
          <w:spacing w:val="-2"/>
        </w:rPr>
        <w:t xml:space="preserve"> </w:t>
      </w:r>
      <w:r w:rsidRPr="00E507FA">
        <w:t xml:space="preserve">spanning the </w:t>
      </w:r>
      <w:r w:rsidR="00670FAA" w:rsidRPr="00E507FA">
        <w:t xml:space="preserve">preceding </w:t>
      </w:r>
      <w:r w:rsidRPr="00E507FA">
        <w:t>five decades. In 2005</w:t>
      </w:r>
      <w:r w:rsidR="00FB4147" w:rsidRPr="00E507FA">
        <w:t>,</w:t>
      </w:r>
      <w:r w:rsidRPr="00E507FA">
        <w:t xml:space="preserve"> HCL strengthened its relationship with Hamilton by establishing a dedicated design </w:t>
      </w:r>
      <w:r w:rsidR="001873D9" w:rsidRPr="00E507FA">
        <w:t>centre</w:t>
      </w:r>
      <w:r w:rsidRPr="00E507FA">
        <w:t xml:space="preserve"> in Bangalore, India, with the aim of supporting Hamilton in its civil aviation projects by providing </w:t>
      </w:r>
      <w:r w:rsidRPr="00E507FA">
        <w:lastRenderedPageBreak/>
        <w:t>high</w:t>
      </w:r>
      <w:r w:rsidR="00FB4147" w:rsidRPr="00E507FA">
        <w:t>-</w:t>
      </w:r>
      <w:r w:rsidRPr="00E507FA">
        <w:t>quality product engineering services</w:t>
      </w:r>
      <w:r w:rsidR="001B31AB" w:rsidRPr="00E507FA">
        <w:t>.</w:t>
      </w:r>
      <w:r w:rsidRPr="00E507FA">
        <w:rPr>
          <w:rStyle w:val="EndnoteReference"/>
          <w:rFonts w:ascii="Times" w:hAnsi="Times"/>
        </w:rPr>
        <w:endnoteReference w:id="37"/>
      </w:r>
      <w:r w:rsidRPr="00E507FA">
        <w:t xml:space="preserve"> The leadership of both the companies duly acknowledged this development, and the news was carried in most of the major national newspapers in India. In 2009</w:t>
      </w:r>
      <w:r w:rsidR="00FB4147" w:rsidRPr="00E507FA">
        <w:t>,</w:t>
      </w:r>
      <w:r w:rsidRPr="00E507FA">
        <w:t xml:space="preserve"> Hamilton had a total turnover of </w:t>
      </w:r>
      <w:r w:rsidR="00223FD1" w:rsidRPr="00E507FA">
        <w:t>$</w:t>
      </w:r>
      <w:r w:rsidRPr="00E507FA">
        <w:t>6.5 billion</w:t>
      </w:r>
      <w:r w:rsidR="001B31AB" w:rsidRPr="00E507FA">
        <w:t>,</w:t>
      </w:r>
      <w:r w:rsidRPr="00E507FA">
        <w:rPr>
          <w:rStyle w:val="EndnoteReference"/>
          <w:rFonts w:ascii="Times" w:hAnsi="Times"/>
        </w:rPr>
        <w:endnoteReference w:id="38"/>
      </w:r>
      <w:r w:rsidRPr="00E507FA">
        <w:t xml:space="preserve"> while UTC</w:t>
      </w:r>
      <w:r w:rsidR="00FB4147" w:rsidRPr="00E507FA">
        <w:t>’s</w:t>
      </w:r>
      <w:r w:rsidRPr="00E507FA">
        <w:t xml:space="preserve"> was </w:t>
      </w:r>
      <w:r w:rsidR="00223FD1" w:rsidRPr="00E507FA">
        <w:t>$</w:t>
      </w:r>
      <w:r w:rsidRPr="00E507FA">
        <w:t>52.9 billion</w:t>
      </w:r>
      <w:r w:rsidR="001B31AB" w:rsidRPr="00E507FA">
        <w:t>.</w:t>
      </w:r>
      <w:r w:rsidRPr="00E507FA">
        <w:rPr>
          <w:rStyle w:val="EndnoteReference"/>
          <w:rFonts w:ascii="Times" w:hAnsi="Times"/>
        </w:rPr>
        <w:endnoteReference w:id="39"/>
      </w:r>
      <w:r w:rsidRPr="00E507FA">
        <w:t xml:space="preserve"> Hamilton employed a total of 16,469 individuals, and earned an operating profit of </w:t>
      </w:r>
      <w:r w:rsidR="00223FD1" w:rsidRPr="00E507FA">
        <w:t>$</w:t>
      </w:r>
      <w:r w:rsidRPr="00E507FA">
        <w:t>857 million in 2009</w:t>
      </w:r>
      <w:r w:rsidR="00CD5DD3" w:rsidRPr="00E507FA">
        <w:t>.</w:t>
      </w:r>
      <w:r w:rsidR="00102A8B" w:rsidRPr="00E507FA">
        <w:rPr>
          <w:rStyle w:val="EndnoteReference"/>
        </w:rPr>
        <w:endnoteReference w:id="40"/>
      </w:r>
      <w:r w:rsidRPr="00E507FA">
        <w:t xml:space="preserve"> </w:t>
      </w:r>
    </w:p>
    <w:p w14:paraId="0D36E524" w14:textId="77777777" w:rsidR="005206F7" w:rsidRPr="00E507FA" w:rsidRDefault="005206F7" w:rsidP="004C2798">
      <w:pPr>
        <w:pStyle w:val="BodyTextMain"/>
      </w:pPr>
    </w:p>
    <w:p w14:paraId="0E015CAA" w14:textId="31A52DA4" w:rsidR="004C2798" w:rsidRDefault="004C2798" w:rsidP="004C2798">
      <w:pPr>
        <w:pStyle w:val="BodyTextMain"/>
      </w:pPr>
      <w:r w:rsidRPr="00740386">
        <w:t xml:space="preserve">As a </w:t>
      </w:r>
      <w:r w:rsidR="00054624">
        <w:t>tier-one</w:t>
      </w:r>
      <w:r w:rsidRPr="00740386">
        <w:t xml:space="preserve"> supplier</w:t>
      </w:r>
      <w:r w:rsidR="00FB4147">
        <w:t>,</w:t>
      </w:r>
      <w:r w:rsidRPr="00740386">
        <w:t xml:space="preserve"> Hamilton supplied nine major system</w:t>
      </w:r>
      <w:r w:rsidR="00DF0FA9">
        <w:t>s—</w:t>
      </w:r>
      <w:r w:rsidRPr="00740386">
        <w:t xml:space="preserve">including the crucial onboard </w:t>
      </w:r>
      <w:r w:rsidR="00DF0FA9">
        <w:t>e</w:t>
      </w:r>
      <w:r w:rsidRPr="00740386">
        <w:t xml:space="preserve">lectrical </w:t>
      </w:r>
      <w:r w:rsidR="00DF0FA9">
        <w:t>s</w:t>
      </w:r>
      <w:r w:rsidRPr="00740386">
        <w:t xml:space="preserve">ystem </w:t>
      </w:r>
      <w:r w:rsidR="00DF0FA9">
        <w:t>(</w:t>
      </w:r>
      <w:r w:rsidRPr="00740386">
        <w:t>ES</w:t>
      </w:r>
      <w:r w:rsidR="00DF0FA9">
        <w:t>)—</w:t>
      </w:r>
      <w:r w:rsidRPr="00740386">
        <w:t xml:space="preserve">to Boeing as part of the Dreamliner project. Hamilton subcontracted a part of the software development work pertaining to the </w:t>
      </w:r>
      <w:r>
        <w:t>ES</w:t>
      </w:r>
      <w:r w:rsidRPr="00740386">
        <w:t xml:space="preserve"> to HCL. The main functionality of the ES involved distributing power to all other systems and components running on electricity onboard the </w:t>
      </w:r>
      <w:r>
        <w:t>Dreamliner</w:t>
      </w:r>
      <w:r w:rsidRPr="00740386">
        <w:t>. The ES was a vital component for the Dreamliner</w:t>
      </w:r>
      <w:r w:rsidR="00DF0FA9">
        <w:t>,</w:t>
      </w:r>
      <w:r w:rsidRPr="00740386">
        <w:t xml:space="preserve"> given that the Dreamliner represented a major change in aeronautical design</w:t>
      </w:r>
      <w:r w:rsidR="00DF0FA9">
        <w:t>,</w:t>
      </w:r>
      <w:r w:rsidRPr="00740386">
        <w:t xml:space="preserve"> wherein </w:t>
      </w:r>
      <w:r>
        <w:t xml:space="preserve">the legacy </w:t>
      </w:r>
      <w:r w:rsidRPr="00740386">
        <w:t>pneumatic systems</w:t>
      </w:r>
      <w:r>
        <w:t xml:space="preserve"> that were powered by compressed air from the aircraft’s jet engines (also known </w:t>
      </w:r>
      <w:r w:rsidRPr="00DF0FA9">
        <w:t xml:space="preserve">as </w:t>
      </w:r>
      <w:r w:rsidR="00DF0FA9">
        <w:t>“</w:t>
      </w:r>
      <w:r w:rsidRPr="0055396C">
        <w:t>bleed air</w:t>
      </w:r>
      <w:r w:rsidR="00DF0FA9">
        <w:t>”</w:t>
      </w:r>
      <w:r>
        <w:t xml:space="preserve"> in aerospace parlance)</w:t>
      </w:r>
      <w:r w:rsidRPr="00740386">
        <w:t xml:space="preserve"> were replaced by electrical systems</w:t>
      </w:r>
      <w:r>
        <w:t>,</w:t>
      </w:r>
      <w:r w:rsidRPr="00740386">
        <w:t xml:space="preserve"> guided by the overarching objectives of reducing fuel consumption and increasing operational efficiency.</w:t>
      </w:r>
      <w:r>
        <w:t xml:space="preserve"> </w:t>
      </w:r>
      <w:r w:rsidRPr="00740386">
        <w:t xml:space="preserve">This no-bleed </w:t>
      </w:r>
      <w:r w:rsidR="00DF0FA9">
        <w:t>ES</w:t>
      </w:r>
      <w:r w:rsidRPr="00740386">
        <w:t xml:space="preserve"> architecture resulted in almost </w:t>
      </w:r>
      <w:r w:rsidR="00DF0FA9">
        <w:t xml:space="preserve">3 </w:t>
      </w:r>
      <w:r w:rsidR="00223FD1">
        <w:t>per cent</w:t>
      </w:r>
      <w:r w:rsidRPr="00740386">
        <w:t xml:space="preserve"> savings in fuel consumption, efficient power distribution, significant reduction in maintenance costs, improved system reliability</w:t>
      </w:r>
      <w:r>
        <w:t>,</w:t>
      </w:r>
      <w:r w:rsidRPr="00740386">
        <w:t xml:space="preserve"> and </w:t>
      </w:r>
      <w:r w:rsidR="00DF0FA9">
        <w:t xml:space="preserve">thus, </w:t>
      </w:r>
      <w:r w:rsidRPr="00740386">
        <w:t>greater</w:t>
      </w:r>
      <w:r>
        <w:t xml:space="preserve"> operational efficacy and</w:t>
      </w:r>
      <w:r w:rsidRPr="00740386">
        <w:t xml:space="preserve"> passenger safety</w:t>
      </w:r>
      <w:r w:rsidR="00223FD1">
        <w:t>.</w:t>
      </w:r>
      <w:r w:rsidRPr="00740386">
        <w:rPr>
          <w:rStyle w:val="EndnoteReference"/>
          <w:rFonts w:ascii="Times" w:hAnsi="Times"/>
        </w:rPr>
        <w:endnoteReference w:id="41"/>
      </w:r>
      <w:r w:rsidRPr="00740386">
        <w:t xml:space="preserve"> </w:t>
      </w:r>
      <w:r w:rsidR="00DF0FA9">
        <w:t>Due to</w:t>
      </w:r>
      <w:r w:rsidR="00DF0FA9" w:rsidRPr="00740386">
        <w:t xml:space="preserve"> </w:t>
      </w:r>
      <w:r>
        <w:t>its importance</w:t>
      </w:r>
      <w:r w:rsidRPr="00740386">
        <w:t xml:space="preserve">, the ES was designated as a </w:t>
      </w:r>
      <w:r w:rsidR="00DF0FA9">
        <w:t>“</w:t>
      </w:r>
      <w:r w:rsidRPr="00740386">
        <w:t>Level</w:t>
      </w:r>
      <w:r w:rsidR="00DF0FA9">
        <w:t xml:space="preserve"> </w:t>
      </w:r>
      <w:r w:rsidRPr="00740386">
        <w:t>A</w:t>
      </w:r>
      <w:r w:rsidR="00DF0FA9">
        <w:t>”</w:t>
      </w:r>
      <w:r w:rsidRPr="00740386">
        <w:t xml:space="preserve"> system</w:t>
      </w:r>
      <w:r>
        <w:t>, a system mandated</w:t>
      </w:r>
      <w:r w:rsidRPr="00740386">
        <w:t xml:space="preserve"> </w:t>
      </w:r>
      <w:r w:rsidR="00444828">
        <w:t xml:space="preserve">for </w:t>
      </w:r>
      <w:r w:rsidRPr="00740386">
        <w:t xml:space="preserve">stringent testing before </w:t>
      </w:r>
      <w:r>
        <w:t>certification by</w:t>
      </w:r>
      <w:r w:rsidR="001B31AB">
        <w:t xml:space="preserve"> the</w:t>
      </w:r>
      <w:r>
        <w:t xml:space="preserve"> FAA</w:t>
      </w:r>
      <w:r w:rsidRPr="00740386">
        <w:t xml:space="preserve">. </w:t>
      </w:r>
    </w:p>
    <w:p w14:paraId="654C9D47" w14:textId="77777777" w:rsidR="005206F7" w:rsidRDefault="005206F7" w:rsidP="004C2798">
      <w:pPr>
        <w:pStyle w:val="BodyTextMain"/>
      </w:pPr>
    </w:p>
    <w:p w14:paraId="473A9D7C" w14:textId="0D55ADCC" w:rsidR="004C2798" w:rsidRDefault="00DF0FA9" w:rsidP="004C2798">
      <w:pPr>
        <w:pStyle w:val="BodyTextMain"/>
      </w:pPr>
      <w:r>
        <w:t>However, i</w:t>
      </w:r>
      <w:r w:rsidR="004C2798" w:rsidRPr="00740386">
        <w:t>n 2008, problems with the ES were reported</w:t>
      </w:r>
      <w:r>
        <w:t>:</w:t>
      </w:r>
      <w:r w:rsidR="004C2798" w:rsidRPr="00740386">
        <w:t xml:space="preserve"> </w:t>
      </w:r>
      <w:r w:rsidR="001B31AB">
        <w:t xml:space="preserve">the </w:t>
      </w:r>
      <w:r w:rsidR="004C2798" w:rsidRPr="00740386">
        <w:t xml:space="preserve">FAA refused to certify the ES and instructed Hamilton to rewrite the software code relating to </w:t>
      </w:r>
      <w:r>
        <w:t>it</w:t>
      </w:r>
      <w:r w:rsidR="004C2798" w:rsidRPr="00740386">
        <w:t xml:space="preserve">. HCL’s role in developing the ES was also </w:t>
      </w:r>
      <w:r w:rsidR="004C2798">
        <w:t>unf</w:t>
      </w:r>
      <w:r w:rsidR="00223FD1">
        <w:t>avour</w:t>
      </w:r>
      <w:r w:rsidR="004C2798">
        <w:t xml:space="preserve">ably </w:t>
      </w:r>
      <w:r w:rsidR="004C2798" w:rsidRPr="00740386">
        <w:t>highlighted in this context</w:t>
      </w:r>
      <w:r w:rsidR="00223FD1">
        <w:t>.</w:t>
      </w:r>
      <w:r w:rsidR="004C2798" w:rsidRPr="00740386">
        <w:rPr>
          <w:rStyle w:val="EndnoteReference"/>
          <w:rFonts w:ascii="Times" w:hAnsi="Times"/>
        </w:rPr>
        <w:endnoteReference w:id="42"/>
      </w:r>
      <w:r w:rsidR="004C2798" w:rsidRPr="00740386">
        <w:t xml:space="preserve"> </w:t>
      </w:r>
      <w:r>
        <w:t>N</w:t>
      </w:r>
      <w:r w:rsidR="004C2798">
        <w:t>evertheless,</w:t>
      </w:r>
      <w:r w:rsidR="004C2798" w:rsidRPr="00740386">
        <w:t xml:space="preserve"> </w:t>
      </w:r>
      <w:r>
        <w:t xml:space="preserve">Boeing </w:t>
      </w:r>
      <w:r w:rsidR="004C2798" w:rsidRPr="00740386">
        <w:t>refuted</w:t>
      </w:r>
      <w:r>
        <w:t xml:space="preserve"> claims of</w:t>
      </w:r>
      <w:r w:rsidR="004C2798" w:rsidRPr="00740386">
        <w:t xml:space="preserve"> any such major issues with the Dreamliner’s ES at that time. Later in 2008, </w:t>
      </w:r>
      <w:r w:rsidR="00BF6B13">
        <w:t>at Boe</w:t>
      </w:r>
      <w:r w:rsidR="00264783">
        <w:t xml:space="preserve">ing’s Everett facilities, </w:t>
      </w:r>
      <w:r w:rsidR="004C2798" w:rsidRPr="00740386">
        <w:t xml:space="preserve">Hamilton announced the successful start-up of </w:t>
      </w:r>
      <w:r w:rsidR="00043CB1">
        <w:t>its</w:t>
      </w:r>
      <w:r w:rsidR="004C2798" w:rsidRPr="00740386">
        <w:t xml:space="preserve"> APS 5000, the </w:t>
      </w:r>
      <w:r w:rsidR="001B31AB">
        <w:t>auxiliary power unit</w:t>
      </w:r>
      <w:r w:rsidR="004C2798" w:rsidRPr="00740386">
        <w:t xml:space="preserve"> system (a major component of the ES)</w:t>
      </w:r>
      <w:r w:rsidR="007D3C14">
        <w:t>,</w:t>
      </w:r>
      <w:r w:rsidR="004C2798" w:rsidRPr="00740386">
        <w:t xml:space="preserve"> onboard the Boeing ZA001, a prototype of the Boeing 787 Dreamliner</w:t>
      </w:r>
      <w:r w:rsidR="00223FD1">
        <w:t>.</w:t>
      </w:r>
      <w:r w:rsidR="004C2798" w:rsidRPr="00740386">
        <w:rPr>
          <w:rStyle w:val="EndnoteReference"/>
          <w:rFonts w:ascii="Times" w:hAnsi="Times"/>
        </w:rPr>
        <w:endnoteReference w:id="43"/>
      </w:r>
    </w:p>
    <w:p w14:paraId="2EB87F15" w14:textId="77777777" w:rsidR="005206F7" w:rsidRDefault="005206F7" w:rsidP="004C2798">
      <w:pPr>
        <w:pStyle w:val="BodyTextMain"/>
      </w:pPr>
    </w:p>
    <w:p w14:paraId="76F004B8" w14:textId="77777777" w:rsidR="005206F7" w:rsidRPr="00740386" w:rsidRDefault="005206F7" w:rsidP="004C2798">
      <w:pPr>
        <w:pStyle w:val="BodyTextMain"/>
      </w:pPr>
    </w:p>
    <w:p w14:paraId="70F1FA9B" w14:textId="77777777" w:rsidR="004C2798" w:rsidRPr="00740386" w:rsidRDefault="004C2798" w:rsidP="001873D9">
      <w:pPr>
        <w:pStyle w:val="Casehead1"/>
        <w:outlineLvl w:val="0"/>
      </w:pPr>
      <w:r w:rsidRPr="00740386">
        <w:t xml:space="preserve">BUILDING TRUST AMONG PARTNERS AND MITIGATING RISK AT HCL </w:t>
      </w:r>
    </w:p>
    <w:p w14:paraId="0E27FE94" w14:textId="77777777" w:rsidR="005206F7" w:rsidRDefault="005206F7" w:rsidP="004C2798">
      <w:pPr>
        <w:pStyle w:val="BodyTextMain"/>
      </w:pPr>
    </w:p>
    <w:p w14:paraId="2F5E2764" w14:textId="28D4BD6D" w:rsidR="004C2798" w:rsidRPr="0055396C" w:rsidRDefault="004C2798" w:rsidP="004C2798">
      <w:pPr>
        <w:pStyle w:val="BodyTextMain"/>
        <w:rPr>
          <w:spacing w:val="-4"/>
        </w:rPr>
      </w:pPr>
      <w:r w:rsidRPr="0055396C">
        <w:rPr>
          <w:spacing w:val="-4"/>
        </w:rPr>
        <w:t xml:space="preserve">Trust constituted the </w:t>
      </w:r>
      <w:r w:rsidR="00DF0FA9" w:rsidRPr="0055396C">
        <w:rPr>
          <w:spacing w:val="-4"/>
        </w:rPr>
        <w:t>essential</w:t>
      </w:r>
      <w:r w:rsidRPr="0055396C">
        <w:rPr>
          <w:spacing w:val="-4"/>
        </w:rPr>
        <w:t xml:space="preserve"> basis of long-term partnerships, especially in the </w:t>
      </w:r>
      <w:r w:rsidR="00FB64A6">
        <w:rPr>
          <w:spacing w:val="-4"/>
        </w:rPr>
        <w:t>A&amp;D</w:t>
      </w:r>
      <w:r w:rsidR="00FB64A6" w:rsidRPr="0055396C">
        <w:rPr>
          <w:spacing w:val="-4"/>
        </w:rPr>
        <w:t xml:space="preserve"> </w:t>
      </w:r>
      <w:r w:rsidRPr="0055396C">
        <w:rPr>
          <w:spacing w:val="-4"/>
        </w:rPr>
        <w:t>industry</w:t>
      </w:r>
      <w:r w:rsidR="00DF0FA9" w:rsidRPr="0055396C">
        <w:rPr>
          <w:spacing w:val="-4"/>
        </w:rPr>
        <w:t>,</w:t>
      </w:r>
      <w:r w:rsidRPr="0055396C">
        <w:rPr>
          <w:spacing w:val="-4"/>
        </w:rPr>
        <w:t xml:space="preserve"> given the complexity, scale</w:t>
      </w:r>
      <w:r w:rsidR="00933B98">
        <w:rPr>
          <w:spacing w:val="-4"/>
        </w:rPr>
        <w:t xml:space="preserve"> and </w:t>
      </w:r>
      <w:r w:rsidRPr="0055396C">
        <w:rPr>
          <w:spacing w:val="-4"/>
        </w:rPr>
        <w:t xml:space="preserve">scope, and duration of projects typical of the industry. As compared to its closest competitors </w:t>
      </w:r>
      <w:r w:rsidR="00DF0FA9" w:rsidRPr="0055396C">
        <w:rPr>
          <w:spacing w:val="-4"/>
        </w:rPr>
        <w:t xml:space="preserve">(e.g., </w:t>
      </w:r>
      <w:r w:rsidRPr="0055396C">
        <w:rPr>
          <w:spacing w:val="-4"/>
        </w:rPr>
        <w:t>Infosys, Tata Consultancy Services</w:t>
      </w:r>
      <w:r w:rsidR="003B45C4" w:rsidRPr="0055396C">
        <w:rPr>
          <w:spacing w:val="-4"/>
        </w:rPr>
        <w:t xml:space="preserve"> (TCS)</w:t>
      </w:r>
      <w:r w:rsidRPr="0055396C">
        <w:rPr>
          <w:spacing w:val="-4"/>
        </w:rPr>
        <w:t>, and Wipro</w:t>
      </w:r>
      <w:r w:rsidR="00DF0FA9" w:rsidRPr="0055396C">
        <w:rPr>
          <w:spacing w:val="-4"/>
        </w:rPr>
        <w:t>)</w:t>
      </w:r>
      <w:r w:rsidRPr="0055396C">
        <w:rPr>
          <w:spacing w:val="-4"/>
        </w:rPr>
        <w:t>, HCL laid greater emphasis on forging deep</w:t>
      </w:r>
      <w:r w:rsidR="00DF0FA9" w:rsidRPr="0055396C">
        <w:rPr>
          <w:spacing w:val="-4"/>
        </w:rPr>
        <w:t>,</w:t>
      </w:r>
      <w:r w:rsidRPr="0055396C">
        <w:rPr>
          <w:spacing w:val="-4"/>
        </w:rPr>
        <w:t xml:space="preserve"> long-term relationships with its partners</w:t>
      </w:r>
      <w:r w:rsidR="00DF0FA9" w:rsidRPr="0055396C">
        <w:rPr>
          <w:spacing w:val="-4"/>
        </w:rPr>
        <w:t>; the company</w:t>
      </w:r>
      <w:r w:rsidRPr="0055396C">
        <w:rPr>
          <w:spacing w:val="-4"/>
        </w:rPr>
        <w:t xml:space="preserve"> did this by looking beyond individual projects and consistently participating in larger projects that provided the scope for establishing long-term engagements. Though </w:t>
      </w:r>
      <w:r w:rsidR="00DF0FA9" w:rsidRPr="0055396C">
        <w:rPr>
          <w:spacing w:val="-4"/>
        </w:rPr>
        <w:t xml:space="preserve">this </w:t>
      </w:r>
      <w:r w:rsidRPr="0055396C">
        <w:rPr>
          <w:spacing w:val="-4"/>
        </w:rPr>
        <w:t xml:space="preserve">practice carried greater risk, it </w:t>
      </w:r>
      <w:r w:rsidR="00DF0FA9" w:rsidRPr="0055396C">
        <w:rPr>
          <w:spacing w:val="-4"/>
        </w:rPr>
        <w:t xml:space="preserve">also </w:t>
      </w:r>
      <w:r w:rsidRPr="0055396C">
        <w:rPr>
          <w:spacing w:val="-4"/>
        </w:rPr>
        <w:t>increased the chances for securing repeat business. Investments in building trust remained a continuous ende</w:t>
      </w:r>
      <w:r w:rsidR="00223FD1" w:rsidRPr="0055396C">
        <w:rPr>
          <w:spacing w:val="-4"/>
        </w:rPr>
        <w:t>avour</w:t>
      </w:r>
      <w:r w:rsidRPr="0055396C">
        <w:rPr>
          <w:spacing w:val="-4"/>
        </w:rPr>
        <w:t xml:space="preserve"> for vendors like HCL, given the inherent apprehension among </w:t>
      </w:r>
      <w:r w:rsidR="00054624" w:rsidRPr="0055396C">
        <w:rPr>
          <w:spacing w:val="-4"/>
        </w:rPr>
        <w:t>tier-one</w:t>
      </w:r>
      <w:r w:rsidRPr="0055396C">
        <w:rPr>
          <w:spacing w:val="-4"/>
        </w:rPr>
        <w:t xml:space="preserve"> suppliers about outsourcing larger and more complex work to their outsourcing partners. The</w:t>
      </w:r>
      <w:r w:rsidR="00DF0FA9" w:rsidRPr="0055396C">
        <w:rPr>
          <w:spacing w:val="-4"/>
        </w:rPr>
        <w:t xml:space="preserve"> suppliers’</w:t>
      </w:r>
      <w:r w:rsidRPr="0055396C">
        <w:rPr>
          <w:spacing w:val="-4"/>
        </w:rPr>
        <w:t xml:space="preserve"> concerns were mainly driven by quality concerns and the increased difficulty in monitoring outsourced projects. In order to alleviate these </w:t>
      </w:r>
      <w:r w:rsidR="002C389A" w:rsidRPr="0055396C">
        <w:rPr>
          <w:spacing w:val="-4"/>
        </w:rPr>
        <w:t xml:space="preserve">particular </w:t>
      </w:r>
      <w:r w:rsidRPr="0055396C">
        <w:rPr>
          <w:spacing w:val="-4"/>
        </w:rPr>
        <w:t>concerns, HCL came up with a pricing and joint investment model</w:t>
      </w:r>
      <w:r w:rsidR="002C389A" w:rsidRPr="0055396C">
        <w:rPr>
          <w:spacing w:val="-4"/>
        </w:rPr>
        <w:t>:</w:t>
      </w:r>
      <w:r w:rsidRPr="0055396C">
        <w:rPr>
          <w:spacing w:val="-4"/>
        </w:rPr>
        <w:t xml:space="preserve"> the Global Risk and Reward Partnership </w:t>
      </w:r>
      <w:r w:rsidR="002C389A" w:rsidRPr="0055396C">
        <w:rPr>
          <w:spacing w:val="-4"/>
        </w:rPr>
        <w:t>m</w:t>
      </w:r>
      <w:r w:rsidRPr="0055396C">
        <w:rPr>
          <w:spacing w:val="-4"/>
        </w:rPr>
        <w:t xml:space="preserve">odel </w:t>
      </w:r>
      <w:r w:rsidR="001B31AB" w:rsidRPr="0055396C">
        <w:rPr>
          <w:spacing w:val="-4"/>
        </w:rPr>
        <w:t>(</w:t>
      </w:r>
      <w:r w:rsidRPr="0055396C">
        <w:rPr>
          <w:spacing w:val="-4"/>
        </w:rPr>
        <w:t>GRRP</w:t>
      </w:r>
      <w:r w:rsidR="001B31AB" w:rsidRPr="0055396C">
        <w:rPr>
          <w:spacing w:val="-4"/>
        </w:rPr>
        <w:t>).</w:t>
      </w:r>
      <w:r w:rsidRPr="0055396C">
        <w:rPr>
          <w:rStyle w:val="EndnoteReference"/>
          <w:rFonts w:ascii="Times" w:hAnsi="Times"/>
          <w:spacing w:val="-4"/>
        </w:rPr>
        <w:endnoteReference w:id="44"/>
      </w:r>
      <w:r w:rsidRPr="0055396C">
        <w:rPr>
          <w:spacing w:val="-4"/>
        </w:rPr>
        <w:t xml:space="preserve"> As part of this initiative</w:t>
      </w:r>
      <w:r w:rsidR="002C389A" w:rsidRPr="0055396C">
        <w:rPr>
          <w:spacing w:val="-4"/>
        </w:rPr>
        <w:t>,</w:t>
      </w:r>
      <w:r w:rsidRPr="0055396C">
        <w:rPr>
          <w:spacing w:val="-4"/>
        </w:rPr>
        <w:t xml:space="preserve"> HCL agreed to share the financial risk associated with a given project by developing solutions on</w:t>
      </w:r>
      <w:r w:rsidR="002C389A" w:rsidRPr="0055396C">
        <w:rPr>
          <w:spacing w:val="-4"/>
        </w:rPr>
        <w:t xml:space="preserve"> its</w:t>
      </w:r>
      <w:r w:rsidRPr="0055396C">
        <w:rPr>
          <w:spacing w:val="-4"/>
        </w:rPr>
        <w:t xml:space="preserve"> balance sheet</w:t>
      </w:r>
      <w:r w:rsidR="002C389A" w:rsidRPr="0055396C">
        <w:rPr>
          <w:spacing w:val="-4"/>
        </w:rPr>
        <w:t xml:space="preserve"> without having its customers pay anything upfront.</w:t>
      </w:r>
      <w:r w:rsidRPr="0055396C">
        <w:rPr>
          <w:rStyle w:val="EndnoteReference"/>
          <w:rFonts w:ascii="Times" w:hAnsi="Times"/>
          <w:spacing w:val="-4"/>
        </w:rPr>
        <w:endnoteReference w:id="45"/>
      </w:r>
      <w:r w:rsidRPr="0055396C">
        <w:rPr>
          <w:spacing w:val="-4"/>
        </w:rPr>
        <w:t xml:space="preserve"> Further</w:t>
      </w:r>
      <w:r w:rsidR="002C389A" w:rsidRPr="0055396C">
        <w:rPr>
          <w:spacing w:val="-4"/>
        </w:rPr>
        <w:t>,</w:t>
      </w:r>
      <w:r w:rsidRPr="0055396C">
        <w:rPr>
          <w:spacing w:val="-4"/>
        </w:rPr>
        <w:t xml:space="preserve"> HCL agreed to link its rewards to the final sales of products and services, thereby sharing the demand</w:t>
      </w:r>
      <w:r w:rsidR="002C389A" w:rsidRPr="0055396C">
        <w:rPr>
          <w:spacing w:val="-4"/>
        </w:rPr>
        <w:t>-</w:t>
      </w:r>
      <w:r w:rsidRPr="0055396C">
        <w:rPr>
          <w:spacing w:val="-4"/>
        </w:rPr>
        <w:t xml:space="preserve">side risk with its customers as well. </w:t>
      </w:r>
    </w:p>
    <w:p w14:paraId="4A1A06F0" w14:textId="77777777" w:rsidR="005206F7" w:rsidRDefault="005206F7" w:rsidP="004C2798">
      <w:pPr>
        <w:pStyle w:val="BodyTextMain"/>
      </w:pPr>
    </w:p>
    <w:p w14:paraId="6388F655" w14:textId="000FEAAD" w:rsidR="004C2798" w:rsidRPr="00E507FA" w:rsidRDefault="004C2798" w:rsidP="004C2798">
      <w:pPr>
        <w:pStyle w:val="BodyTextMain"/>
      </w:pPr>
      <w:r w:rsidRPr="0055396C">
        <w:rPr>
          <w:spacing w:val="-2"/>
        </w:rPr>
        <w:t xml:space="preserve">For OEMs, GRRP </w:t>
      </w:r>
      <w:r w:rsidR="002C389A" w:rsidRPr="0055396C">
        <w:rPr>
          <w:spacing w:val="-2"/>
        </w:rPr>
        <w:t xml:space="preserve">presented </w:t>
      </w:r>
      <w:r w:rsidRPr="0055396C">
        <w:rPr>
          <w:spacing w:val="-2"/>
        </w:rPr>
        <w:t>additional benefits over and above risk mitigation and confidence building</w:t>
      </w:r>
      <w:r w:rsidRPr="0055396C">
        <w:rPr>
          <w:i/>
          <w:iCs/>
          <w:spacing w:val="-2"/>
        </w:rPr>
        <w:t>—</w:t>
      </w:r>
      <w:r w:rsidR="00C86F3A" w:rsidRPr="0055396C">
        <w:rPr>
          <w:spacing w:val="-2"/>
        </w:rPr>
        <w:t xml:space="preserve">the model </w:t>
      </w:r>
      <w:r w:rsidRPr="0055396C">
        <w:rPr>
          <w:spacing w:val="-2"/>
        </w:rPr>
        <w:t>enabled the</w:t>
      </w:r>
      <w:r w:rsidR="005E1D73" w:rsidRPr="0055396C">
        <w:rPr>
          <w:spacing w:val="-2"/>
        </w:rPr>
        <w:t xml:space="preserve">m </w:t>
      </w:r>
      <w:r w:rsidRPr="0055396C">
        <w:rPr>
          <w:spacing w:val="-2"/>
        </w:rPr>
        <w:t>to substantially reduce, or even avoid</w:t>
      </w:r>
      <w:r w:rsidR="005E1D73" w:rsidRPr="0055396C">
        <w:rPr>
          <w:spacing w:val="-2"/>
        </w:rPr>
        <w:t>,</w:t>
      </w:r>
      <w:r w:rsidRPr="0055396C">
        <w:rPr>
          <w:spacing w:val="-2"/>
        </w:rPr>
        <w:t xml:space="preserve"> the fixed and sunk costs associated with design and development. </w:t>
      </w:r>
      <w:r w:rsidR="005E1D73" w:rsidRPr="0055396C">
        <w:rPr>
          <w:spacing w:val="-2"/>
        </w:rPr>
        <w:t>Avoiding these costs</w:t>
      </w:r>
      <w:r w:rsidRPr="0055396C">
        <w:rPr>
          <w:spacing w:val="-2"/>
        </w:rPr>
        <w:t>, in turn, allowed the</w:t>
      </w:r>
      <w:r w:rsidR="005E1D73" w:rsidRPr="0055396C">
        <w:rPr>
          <w:spacing w:val="-2"/>
        </w:rPr>
        <w:t xml:space="preserve"> OEMs</w:t>
      </w:r>
      <w:r w:rsidRPr="0055396C">
        <w:rPr>
          <w:spacing w:val="-2"/>
        </w:rPr>
        <w:t xml:space="preserve"> to allocate their financial and </w:t>
      </w:r>
      <w:r w:rsidRPr="00E507FA">
        <w:t xml:space="preserve">managerial resources </w:t>
      </w:r>
      <w:r w:rsidR="005E1D73" w:rsidRPr="00E507FA">
        <w:t>towards</w:t>
      </w:r>
      <w:r w:rsidRPr="00E507FA">
        <w:t xml:space="preserve"> strengthening their core competencies. </w:t>
      </w:r>
      <w:r w:rsidR="005E1D73" w:rsidRPr="00E507FA">
        <w:t>At the same time,</w:t>
      </w:r>
      <w:r w:rsidRPr="00E507FA">
        <w:t xml:space="preserve"> deciding what part of the development effort to outsource was not a trivial decision for the OEMs; such decisions were often a matter of extensive deliberations</w:t>
      </w:r>
      <w:r w:rsidR="005E1D73" w:rsidRPr="00E507FA">
        <w:t>,</w:t>
      </w:r>
      <w:r w:rsidRPr="00E507FA">
        <w:t xml:space="preserve"> requiring foresight and</w:t>
      </w:r>
      <w:r w:rsidR="005E1D73" w:rsidRPr="00E507FA">
        <w:t xml:space="preserve"> a</w:t>
      </w:r>
      <w:r w:rsidRPr="00E507FA">
        <w:t xml:space="preserve"> deep understanding of </w:t>
      </w:r>
      <w:r w:rsidR="005E1D73" w:rsidRPr="00E507FA">
        <w:t>the OEM’s specific</w:t>
      </w:r>
      <w:r w:rsidRPr="00E507FA">
        <w:t xml:space="preserve"> business. In </w:t>
      </w:r>
      <w:r w:rsidRPr="00E507FA">
        <w:lastRenderedPageBreak/>
        <w:t>such circumstances</w:t>
      </w:r>
      <w:r w:rsidR="005E1D73" w:rsidRPr="00E507FA">
        <w:t>,</w:t>
      </w:r>
      <w:r w:rsidRPr="00E507FA">
        <w:t xml:space="preserve"> protection of intellectual property became a major concern </w:t>
      </w:r>
      <w:r w:rsidR="005E1D73" w:rsidRPr="00E507FA">
        <w:t>for</w:t>
      </w:r>
      <w:r w:rsidRPr="00E507FA">
        <w:t xml:space="preserve"> these </w:t>
      </w:r>
      <w:r w:rsidR="005E1D73" w:rsidRPr="00E507FA">
        <w:t>companies.</w:t>
      </w:r>
      <w:r w:rsidRPr="00E507FA">
        <w:t xml:space="preserve"> Unless otherwise stated, the clients owned the intellectual property pertaining to any project thus commissioned; the vendors were bound by tight non-disclosure agreements</w:t>
      </w:r>
      <w:r w:rsidR="00D95E2D" w:rsidRPr="00E507FA">
        <w:t>.</w:t>
      </w:r>
      <w:r w:rsidRPr="00E507FA">
        <w:rPr>
          <w:rStyle w:val="EndnoteReference"/>
          <w:rFonts w:ascii="Times" w:hAnsi="Times"/>
        </w:rPr>
        <w:endnoteReference w:id="46"/>
      </w:r>
      <w:r w:rsidRPr="00E507FA">
        <w:t xml:space="preserve"> HCL was not an exception in this </w:t>
      </w:r>
      <w:r w:rsidR="005E1D73" w:rsidRPr="00E507FA">
        <w:t>regard.</w:t>
      </w:r>
    </w:p>
    <w:p w14:paraId="185F1038" w14:textId="77777777" w:rsidR="005206F7" w:rsidRPr="00E507FA" w:rsidRDefault="005206F7" w:rsidP="004C2798">
      <w:pPr>
        <w:pStyle w:val="BodyTextMain"/>
      </w:pPr>
    </w:p>
    <w:p w14:paraId="24636010" w14:textId="77777777" w:rsidR="00D95E2D" w:rsidRDefault="00D95E2D" w:rsidP="004C2798">
      <w:pPr>
        <w:pStyle w:val="BodyTextMain"/>
      </w:pPr>
    </w:p>
    <w:p w14:paraId="11FDF90E" w14:textId="77777777" w:rsidR="004C2798" w:rsidRPr="004A398F" w:rsidRDefault="004C2798" w:rsidP="001873D9">
      <w:pPr>
        <w:pStyle w:val="Casehead1"/>
        <w:keepNext/>
        <w:outlineLvl w:val="0"/>
      </w:pPr>
      <w:r>
        <w:t xml:space="preserve">THE </w:t>
      </w:r>
      <w:r w:rsidRPr="004A398F">
        <w:t>GLOBAL ENGINEERING SERVICES OUTSOURCING INDUSTRY</w:t>
      </w:r>
    </w:p>
    <w:p w14:paraId="57485737" w14:textId="77777777" w:rsidR="003F3F9F" w:rsidRDefault="003F3F9F" w:rsidP="003F3F9F">
      <w:pPr>
        <w:pStyle w:val="BodyTextMain"/>
        <w:keepNext/>
      </w:pPr>
    </w:p>
    <w:p w14:paraId="0D46BD9D" w14:textId="6B34B301" w:rsidR="004C2798" w:rsidRPr="0055396C" w:rsidRDefault="004C2798" w:rsidP="003F3F9F">
      <w:pPr>
        <w:pStyle w:val="BodyTextMain"/>
        <w:keepNext/>
        <w:rPr>
          <w:spacing w:val="-2"/>
        </w:rPr>
      </w:pPr>
      <w:r w:rsidRPr="0055396C">
        <w:rPr>
          <w:spacing w:val="-2"/>
        </w:rPr>
        <w:t xml:space="preserve">The global engineering services outsourcing </w:t>
      </w:r>
      <w:r w:rsidR="001B31AB" w:rsidRPr="0055396C">
        <w:rPr>
          <w:spacing w:val="-2"/>
        </w:rPr>
        <w:t>(</w:t>
      </w:r>
      <w:r w:rsidRPr="0055396C">
        <w:rPr>
          <w:spacing w:val="-2"/>
        </w:rPr>
        <w:t>ESO</w:t>
      </w:r>
      <w:r w:rsidR="001B31AB" w:rsidRPr="0055396C">
        <w:rPr>
          <w:spacing w:val="-2"/>
        </w:rPr>
        <w:t>)</w:t>
      </w:r>
      <w:r w:rsidRPr="0055396C">
        <w:rPr>
          <w:spacing w:val="-2"/>
        </w:rPr>
        <w:t xml:space="preserve"> industry was valued at approximately </w:t>
      </w:r>
      <w:r w:rsidR="00223FD1" w:rsidRPr="0055396C">
        <w:rPr>
          <w:spacing w:val="-2"/>
        </w:rPr>
        <w:t>$</w:t>
      </w:r>
      <w:r w:rsidRPr="0055396C">
        <w:rPr>
          <w:spacing w:val="-2"/>
        </w:rPr>
        <w:t xml:space="preserve">1.8 billion in 2009 and was expected to grow to </w:t>
      </w:r>
      <w:r w:rsidR="003B45C4" w:rsidRPr="0055396C">
        <w:rPr>
          <w:spacing w:val="-2"/>
        </w:rPr>
        <w:t xml:space="preserve">about </w:t>
      </w:r>
      <w:r w:rsidR="00223FD1" w:rsidRPr="0055396C">
        <w:rPr>
          <w:spacing w:val="-2"/>
        </w:rPr>
        <w:t>$</w:t>
      </w:r>
      <w:r w:rsidRPr="0055396C">
        <w:rPr>
          <w:spacing w:val="-2"/>
        </w:rPr>
        <w:t xml:space="preserve">50 billion by 2020. Global </w:t>
      </w:r>
      <w:r w:rsidR="003B45C4" w:rsidRPr="0055396C">
        <w:rPr>
          <w:spacing w:val="-2"/>
        </w:rPr>
        <w:t>e</w:t>
      </w:r>
      <w:r w:rsidRPr="0055396C">
        <w:rPr>
          <w:spacing w:val="-2"/>
        </w:rPr>
        <w:t xml:space="preserve">ngineering R&amp;D spending grew from </w:t>
      </w:r>
      <w:r w:rsidR="00223FD1" w:rsidRPr="0055396C">
        <w:rPr>
          <w:spacing w:val="-2"/>
        </w:rPr>
        <w:t>$</w:t>
      </w:r>
      <w:r w:rsidRPr="0055396C">
        <w:rPr>
          <w:spacing w:val="-2"/>
        </w:rPr>
        <w:t xml:space="preserve">980 billion in 2008 to </w:t>
      </w:r>
      <w:r w:rsidR="00223FD1" w:rsidRPr="0055396C">
        <w:rPr>
          <w:spacing w:val="-2"/>
        </w:rPr>
        <w:t>$</w:t>
      </w:r>
      <w:r w:rsidRPr="0055396C">
        <w:rPr>
          <w:spacing w:val="-2"/>
        </w:rPr>
        <w:t xml:space="preserve">1.1 trillion in 2009, and was expected to reach approximately </w:t>
      </w:r>
      <w:r w:rsidR="00223FD1" w:rsidRPr="0055396C">
        <w:rPr>
          <w:spacing w:val="-2"/>
        </w:rPr>
        <w:t>$</w:t>
      </w:r>
      <w:r w:rsidRPr="0055396C">
        <w:rPr>
          <w:spacing w:val="-2"/>
        </w:rPr>
        <w:t>1.4 trillion by 2020</w:t>
      </w:r>
      <w:r w:rsidR="00043CB1" w:rsidRPr="0055396C">
        <w:rPr>
          <w:spacing w:val="-2"/>
        </w:rPr>
        <w:t>.</w:t>
      </w:r>
      <w:r w:rsidRPr="0055396C">
        <w:rPr>
          <w:rStyle w:val="EndnoteReference"/>
          <w:rFonts w:ascii="Times" w:hAnsi="Times"/>
          <w:spacing w:val="-2"/>
        </w:rPr>
        <w:endnoteReference w:id="47"/>
      </w:r>
    </w:p>
    <w:p w14:paraId="6DE4E156" w14:textId="77777777" w:rsidR="005206F7" w:rsidRPr="00740386" w:rsidRDefault="005206F7" w:rsidP="004C2798">
      <w:pPr>
        <w:pStyle w:val="BodyTextMain"/>
      </w:pPr>
    </w:p>
    <w:p w14:paraId="00A58E04" w14:textId="31E3747E" w:rsidR="004C2798" w:rsidRDefault="004C2798" w:rsidP="004C2798">
      <w:pPr>
        <w:pStyle w:val="BodyTextMain"/>
      </w:pPr>
      <w:r w:rsidRPr="00740386">
        <w:t>There was a steady change in the portfolio of services and processes being outsourced</w:t>
      </w:r>
      <w:r w:rsidR="003B45C4">
        <w:rPr>
          <w:rFonts w:cs="Arial"/>
          <w:iCs/>
          <w:color w:val="333333"/>
          <w:shd w:val="clear" w:color="auto" w:fill="FFFFFF"/>
        </w:rPr>
        <w:t xml:space="preserve">: </w:t>
      </w:r>
      <w:r w:rsidRPr="00740386">
        <w:rPr>
          <w:rFonts w:cs="Arial"/>
          <w:iCs/>
          <w:color w:val="333333"/>
          <w:shd w:val="clear" w:color="auto" w:fill="FFFFFF"/>
        </w:rPr>
        <w:t xml:space="preserve">while in 2006, simpler and standardized services constituted almost 70 </w:t>
      </w:r>
      <w:r w:rsidR="00223FD1">
        <w:rPr>
          <w:rFonts w:cs="Arial"/>
          <w:iCs/>
          <w:color w:val="333333"/>
          <w:shd w:val="clear" w:color="auto" w:fill="FFFFFF"/>
        </w:rPr>
        <w:t>per cent</w:t>
      </w:r>
      <w:r w:rsidRPr="00740386">
        <w:rPr>
          <w:rFonts w:cs="Arial"/>
          <w:iCs/>
          <w:color w:val="333333"/>
          <w:shd w:val="clear" w:color="auto" w:fill="FFFFFF"/>
        </w:rPr>
        <w:t xml:space="preserve"> of the portfolio of business for companies like HCL, the share of such services</w:t>
      </w:r>
      <w:r w:rsidR="003B45C4">
        <w:rPr>
          <w:rFonts w:cs="Arial"/>
          <w:iCs/>
          <w:color w:val="333333"/>
          <w:shd w:val="clear" w:color="auto" w:fill="FFFFFF"/>
        </w:rPr>
        <w:t xml:space="preserve"> dropped</w:t>
      </w:r>
      <w:r>
        <w:rPr>
          <w:rFonts w:cs="Arial"/>
          <w:iCs/>
          <w:color w:val="333333"/>
          <w:shd w:val="clear" w:color="auto" w:fill="FFFFFF"/>
        </w:rPr>
        <w:t xml:space="preserve"> to</w:t>
      </w:r>
      <w:r w:rsidRPr="00740386">
        <w:rPr>
          <w:rFonts w:cs="Arial"/>
          <w:iCs/>
          <w:color w:val="333333"/>
          <w:shd w:val="clear" w:color="auto" w:fill="FFFFFF"/>
        </w:rPr>
        <w:t xml:space="preserve"> 50 </w:t>
      </w:r>
      <w:r w:rsidR="00223FD1">
        <w:rPr>
          <w:rFonts w:cs="Arial"/>
          <w:iCs/>
          <w:color w:val="333333"/>
          <w:shd w:val="clear" w:color="auto" w:fill="FFFFFF"/>
        </w:rPr>
        <w:t>per cent</w:t>
      </w:r>
      <w:r w:rsidRPr="00740386">
        <w:rPr>
          <w:rFonts w:cs="Arial"/>
          <w:iCs/>
          <w:color w:val="333333"/>
          <w:shd w:val="clear" w:color="auto" w:fill="FFFFFF"/>
        </w:rPr>
        <w:t xml:space="preserve"> in 2009. This share was expected to drop </w:t>
      </w:r>
      <w:r>
        <w:rPr>
          <w:rFonts w:cs="Arial"/>
          <w:iCs/>
          <w:color w:val="333333"/>
          <w:shd w:val="clear" w:color="auto" w:fill="FFFFFF"/>
        </w:rPr>
        <w:t xml:space="preserve">even further </w:t>
      </w:r>
      <w:r w:rsidRPr="00740386">
        <w:rPr>
          <w:rFonts w:cs="Arial"/>
          <w:iCs/>
          <w:color w:val="333333"/>
          <w:shd w:val="clear" w:color="auto" w:fill="FFFFFF"/>
        </w:rPr>
        <w:t xml:space="preserve">to 40 </w:t>
      </w:r>
      <w:r w:rsidR="00223FD1">
        <w:rPr>
          <w:rFonts w:cs="Arial"/>
          <w:iCs/>
          <w:color w:val="333333"/>
          <w:shd w:val="clear" w:color="auto" w:fill="FFFFFF"/>
        </w:rPr>
        <w:t>per cent</w:t>
      </w:r>
      <w:r w:rsidRPr="00740386">
        <w:rPr>
          <w:rFonts w:cs="Arial"/>
          <w:iCs/>
          <w:color w:val="333333"/>
          <w:shd w:val="clear" w:color="auto" w:fill="FFFFFF"/>
        </w:rPr>
        <w:t xml:space="preserve"> by 2020</w:t>
      </w:r>
      <w:r w:rsidR="00043CB1">
        <w:rPr>
          <w:rFonts w:cs="Arial"/>
          <w:iCs/>
          <w:color w:val="333333"/>
          <w:shd w:val="clear" w:color="auto" w:fill="FFFFFF"/>
        </w:rPr>
        <w:t>.</w:t>
      </w:r>
      <w:r w:rsidRPr="00740386">
        <w:rPr>
          <w:rStyle w:val="EndnoteReference"/>
          <w:rFonts w:ascii="Times" w:hAnsi="Times" w:cs="Arial"/>
          <w:iCs/>
          <w:color w:val="333333"/>
          <w:shd w:val="clear" w:color="auto" w:fill="FFFFFF"/>
        </w:rPr>
        <w:endnoteReference w:id="48"/>
      </w:r>
      <w:r>
        <w:rPr>
          <w:rFonts w:cs="Arial"/>
          <w:iCs/>
          <w:color w:val="333333"/>
          <w:shd w:val="clear" w:color="auto" w:fill="FFFFFF"/>
        </w:rPr>
        <w:t xml:space="preserve"> </w:t>
      </w:r>
      <w:r w:rsidR="00A400EC">
        <w:t>Specifically,</w:t>
      </w:r>
      <w:r w:rsidRPr="005412B2">
        <w:t xml:space="preserve"> the </w:t>
      </w:r>
      <w:r w:rsidR="00EA4A71">
        <w:t>commercial aviation</w:t>
      </w:r>
      <w:r>
        <w:t xml:space="preserve"> </w:t>
      </w:r>
      <w:r w:rsidRPr="005412B2">
        <w:t>industry witnessed a slow but steady value migration from OEMs like Boeing and Airbus to</w:t>
      </w:r>
      <w:r>
        <w:t xml:space="preserve"> their suppliers (see Exhibit 3</w:t>
      </w:r>
      <w:r w:rsidRPr="005412B2">
        <w:t>).</w:t>
      </w:r>
    </w:p>
    <w:p w14:paraId="6A45E6F9" w14:textId="77777777" w:rsidR="005206F7" w:rsidRPr="004F63BB" w:rsidRDefault="005206F7" w:rsidP="004C2798">
      <w:pPr>
        <w:pStyle w:val="BodyTextMain"/>
      </w:pPr>
    </w:p>
    <w:p w14:paraId="16BACF27" w14:textId="015A64C7" w:rsidR="004C2798" w:rsidRPr="00127B56" w:rsidRDefault="004C2798" w:rsidP="004C2798">
      <w:pPr>
        <w:pStyle w:val="BodyTextMain"/>
      </w:pPr>
      <w:r w:rsidRPr="00127B56">
        <w:t xml:space="preserve">In 2009, HCL was second </w:t>
      </w:r>
      <w:r w:rsidR="003B45C4" w:rsidRPr="00127B56">
        <w:t xml:space="preserve">only </w:t>
      </w:r>
      <w:r w:rsidRPr="00127B56">
        <w:t>to Wipro, but ahead of TCS and Infosys, in terms of revenues. In the last quarter of 2009</w:t>
      </w:r>
      <w:r w:rsidR="002A4DDB" w:rsidRPr="00127B56">
        <w:t>,</w:t>
      </w:r>
      <w:r w:rsidRPr="00127B56">
        <w:t xml:space="preserve"> HCL ERS had a turnover of approximately </w:t>
      </w:r>
      <w:r w:rsidR="00223FD1" w:rsidRPr="00127B56">
        <w:t>$</w:t>
      </w:r>
      <w:r w:rsidRPr="00127B56">
        <w:t xml:space="preserve">121 million, while Wipro </w:t>
      </w:r>
      <w:r w:rsidR="003B45C4" w:rsidRPr="00127B56">
        <w:t>achieved</w:t>
      </w:r>
      <w:r w:rsidRPr="00127B56">
        <w:t xml:space="preserve"> revenue of </w:t>
      </w:r>
      <w:r w:rsidR="00223FD1" w:rsidRPr="00127B56">
        <w:t>$</w:t>
      </w:r>
      <w:r w:rsidRPr="00127B56">
        <w:t>163 million from its ESO business</w:t>
      </w:r>
      <w:r w:rsidR="003B45C4" w:rsidRPr="00127B56">
        <w:t>;</w:t>
      </w:r>
      <w:r w:rsidRPr="00127B56">
        <w:t xml:space="preserve"> </w:t>
      </w:r>
      <w:r w:rsidR="003B45C4" w:rsidRPr="00127B56">
        <w:t>during the same period,</w:t>
      </w:r>
      <w:r w:rsidR="003B45C4" w:rsidRPr="00127B56" w:rsidDel="003B45C4">
        <w:t xml:space="preserve"> </w:t>
      </w:r>
      <w:r w:rsidR="003B45C4" w:rsidRPr="00127B56">
        <w:t>t</w:t>
      </w:r>
      <w:r w:rsidRPr="00127B56">
        <w:t xml:space="preserve">he corresponding figures for TCS and Infosys were </w:t>
      </w:r>
      <w:r w:rsidR="00223FD1" w:rsidRPr="00127B56">
        <w:t>$</w:t>
      </w:r>
      <w:r w:rsidRPr="00127B56">
        <w:t xml:space="preserve">76 million and </w:t>
      </w:r>
      <w:r w:rsidR="00223FD1" w:rsidRPr="00127B56">
        <w:t>$</w:t>
      </w:r>
      <w:r w:rsidRPr="00127B56">
        <w:t>25 million</w:t>
      </w:r>
      <w:r w:rsidR="003B45C4" w:rsidRPr="00127B56">
        <w:t>,</w:t>
      </w:r>
      <w:r w:rsidRPr="00127B56">
        <w:t xml:space="preserve"> respectively. Wipro and HCL dominated the ESO market with 72 </w:t>
      </w:r>
      <w:r w:rsidR="00223FD1" w:rsidRPr="00127B56">
        <w:t>per cent</w:t>
      </w:r>
      <w:r w:rsidRPr="00127B56">
        <w:t xml:space="preserve"> market share between them (Wipro: 42 </w:t>
      </w:r>
      <w:r w:rsidR="00223FD1" w:rsidRPr="00127B56">
        <w:t>per cent</w:t>
      </w:r>
      <w:r w:rsidRPr="00127B56">
        <w:t xml:space="preserve">; HCL: 30 </w:t>
      </w:r>
      <w:r w:rsidR="00223FD1" w:rsidRPr="00127B56">
        <w:t>per cent</w:t>
      </w:r>
      <w:r w:rsidRPr="00127B56">
        <w:t>)</w:t>
      </w:r>
      <w:r w:rsidR="00014B15">
        <w:t>;</w:t>
      </w:r>
      <w:r w:rsidRPr="00127B56">
        <w:t xml:space="preserve"> TCS and Infosys retained a market share of 20 </w:t>
      </w:r>
      <w:r w:rsidR="00223FD1" w:rsidRPr="00127B56">
        <w:t>per cent</w:t>
      </w:r>
      <w:r w:rsidR="0023737A" w:rsidRPr="00127B56">
        <w:t xml:space="preserve"> </w:t>
      </w:r>
      <w:r w:rsidRPr="00127B56">
        <w:t xml:space="preserve">and 8 </w:t>
      </w:r>
      <w:r w:rsidR="00223FD1" w:rsidRPr="00127B56">
        <w:t>per cent</w:t>
      </w:r>
      <w:r w:rsidRPr="00127B56">
        <w:t xml:space="preserve">, respectively. While the ESO market grew by a </w:t>
      </w:r>
      <w:r w:rsidR="0023737A" w:rsidRPr="00127B56">
        <w:t>compound annual growth rate</w:t>
      </w:r>
      <w:r w:rsidRPr="00127B56">
        <w:t xml:space="preserve"> of 10.7 </w:t>
      </w:r>
      <w:r w:rsidR="00223FD1" w:rsidRPr="00127B56">
        <w:t>per cent</w:t>
      </w:r>
      <w:r w:rsidRPr="00127B56">
        <w:t xml:space="preserve"> from 2007 </w:t>
      </w:r>
      <w:r w:rsidR="0023737A" w:rsidRPr="00127B56">
        <w:t xml:space="preserve">to </w:t>
      </w:r>
      <w:r w:rsidRPr="00127B56">
        <w:t>2009, HCL ERS grew by approximately 14</w:t>
      </w:r>
      <w:r>
        <w:rPr>
          <w:rFonts w:cs="Arial"/>
          <w:iCs/>
          <w:color w:val="333333"/>
          <w:shd w:val="clear" w:color="auto" w:fill="FFFFFF"/>
        </w:rPr>
        <w:t xml:space="preserve"> </w:t>
      </w:r>
      <w:r w:rsidR="00223FD1" w:rsidRPr="00127B56">
        <w:t>per cent</w:t>
      </w:r>
      <w:r w:rsidRPr="00127B56">
        <w:t xml:space="preserve"> y</w:t>
      </w:r>
      <w:r w:rsidR="00672046" w:rsidRPr="00127B56">
        <w:t>ear</w:t>
      </w:r>
      <w:r w:rsidRPr="00127B56">
        <w:t>-o</w:t>
      </w:r>
      <w:r w:rsidR="00672046" w:rsidRPr="00127B56">
        <w:t>ver</w:t>
      </w:r>
      <w:r w:rsidRPr="00127B56">
        <w:t>-y</w:t>
      </w:r>
      <w:r w:rsidR="00672046" w:rsidRPr="00127B56">
        <w:t>ear</w:t>
      </w:r>
      <w:r w:rsidRPr="00127B56">
        <w:t xml:space="preserve"> since 2007</w:t>
      </w:r>
      <w:r w:rsidR="00672046" w:rsidRPr="00127B56">
        <w:t>.</w:t>
      </w:r>
      <w:r w:rsidRPr="00127B56">
        <w:rPr>
          <w:vertAlign w:val="superscript"/>
        </w:rPr>
        <w:endnoteReference w:id="49"/>
      </w:r>
      <w:r w:rsidRPr="00127B56">
        <w:rPr>
          <w:vertAlign w:val="superscript"/>
        </w:rPr>
        <w:t xml:space="preserve"> </w:t>
      </w:r>
      <w:r w:rsidRPr="00127B56">
        <w:t xml:space="preserve">Though affected by the </w:t>
      </w:r>
      <w:r w:rsidR="0023737A" w:rsidRPr="00127B56">
        <w:t xml:space="preserve">2008 </w:t>
      </w:r>
      <w:r w:rsidRPr="00127B56">
        <w:t xml:space="preserve">financial crisis, the global ESO industry was expected to revive in the near future according to NASSCOM, the trade association representing the Indian IT and </w:t>
      </w:r>
      <w:r w:rsidR="008A40B7" w:rsidRPr="00127B56">
        <w:t>business process outsourcing</w:t>
      </w:r>
      <w:r w:rsidRPr="00127B56">
        <w:t xml:space="preserve"> industr</w:t>
      </w:r>
      <w:r w:rsidR="008A40B7" w:rsidRPr="00127B56">
        <w:t>ies</w:t>
      </w:r>
      <w:r w:rsidR="00672046" w:rsidRPr="00127B56">
        <w:t>.</w:t>
      </w:r>
      <w:r w:rsidRPr="00127B56">
        <w:rPr>
          <w:vertAlign w:val="superscript"/>
        </w:rPr>
        <w:endnoteReference w:id="50"/>
      </w:r>
    </w:p>
    <w:p w14:paraId="17A9D14E" w14:textId="77777777" w:rsidR="005206F7" w:rsidRDefault="005206F7" w:rsidP="004C2798">
      <w:pPr>
        <w:pStyle w:val="BodyTextMain"/>
        <w:rPr>
          <w:rFonts w:cs="Arial"/>
          <w:iCs/>
          <w:color w:val="333333"/>
          <w:shd w:val="clear" w:color="auto" w:fill="FFFFFF"/>
        </w:rPr>
      </w:pPr>
    </w:p>
    <w:p w14:paraId="68CF5169" w14:textId="77777777" w:rsidR="005206F7" w:rsidRDefault="005206F7" w:rsidP="004C2798">
      <w:pPr>
        <w:pStyle w:val="BodyTextMain"/>
        <w:rPr>
          <w:rFonts w:cs="Arial"/>
          <w:iCs/>
          <w:color w:val="333333"/>
          <w:shd w:val="clear" w:color="auto" w:fill="FFFFFF"/>
        </w:rPr>
      </w:pPr>
    </w:p>
    <w:p w14:paraId="74730C32" w14:textId="77777777" w:rsidR="004C2798" w:rsidRPr="00740386" w:rsidRDefault="004C2798" w:rsidP="001873D9">
      <w:pPr>
        <w:pStyle w:val="Casehead1"/>
        <w:outlineLvl w:val="0"/>
      </w:pPr>
      <w:r>
        <w:t xml:space="preserve">THE </w:t>
      </w:r>
      <w:r w:rsidRPr="00740386">
        <w:t>GLOBAL COMMERCIAL AVIATION INDUSTRY</w:t>
      </w:r>
    </w:p>
    <w:p w14:paraId="7CA7DF4F" w14:textId="77777777" w:rsidR="005206F7" w:rsidRDefault="005206F7" w:rsidP="004C2798">
      <w:pPr>
        <w:pStyle w:val="BodyTextMain"/>
      </w:pPr>
    </w:p>
    <w:p w14:paraId="4F2ED15C" w14:textId="31AE462A" w:rsidR="004C2798" w:rsidRPr="0055396C" w:rsidRDefault="004C2798" w:rsidP="004C2798">
      <w:pPr>
        <w:pStyle w:val="BodyTextMain"/>
        <w:rPr>
          <w:spacing w:val="-2"/>
        </w:rPr>
      </w:pPr>
      <w:r w:rsidRPr="0055396C">
        <w:rPr>
          <w:spacing w:val="-2"/>
        </w:rPr>
        <w:t>The Boeing 787 Dreamliner was the fastest</w:t>
      </w:r>
      <w:r w:rsidR="0023737A" w:rsidRPr="0055396C">
        <w:rPr>
          <w:spacing w:val="-2"/>
        </w:rPr>
        <w:t>-</w:t>
      </w:r>
      <w:r w:rsidRPr="0055396C">
        <w:rPr>
          <w:spacing w:val="-2"/>
        </w:rPr>
        <w:t xml:space="preserve">selling aircraft in the history of </w:t>
      </w:r>
      <w:r w:rsidR="009B55ED">
        <w:rPr>
          <w:spacing w:val="-2"/>
        </w:rPr>
        <w:t>civil aviation</w:t>
      </w:r>
      <w:r w:rsidR="00653F2C">
        <w:rPr>
          <w:spacing w:val="-2"/>
        </w:rPr>
        <w:t>.</w:t>
      </w:r>
      <w:r w:rsidR="00B15800">
        <w:rPr>
          <w:rStyle w:val="EndnoteReference"/>
          <w:spacing w:val="-2"/>
        </w:rPr>
        <w:endnoteReference w:id="51"/>
      </w:r>
      <w:r w:rsidRPr="0055396C">
        <w:rPr>
          <w:spacing w:val="-2"/>
        </w:rPr>
        <w:t xml:space="preserve"> With a list price of </w:t>
      </w:r>
      <w:r w:rsidR="00223FD1" w:rsidRPr="0055396C">
        <w:rPr>
          <w:spacing w:val="-2"/>
        </w:rPr>
        <w:t>$</w:t>
      </w:r>
      <w:r w:rsidRPr="0055396C">
        <w:rPr>
          <w:spacing w:val="-2"/>
        </w:rPr>
        <w:t xml:space="preserve">162 million per aircraft, and the number of orders on book </w:t>
      </w:r>
      <w:r w:rsidR="0023737A" w:rsidRPr="0055396C">
        <w:rPr>
          <w:spacing w:val="-2"/>
        </w:rPr>
        <w:t xml:space="preserve">at </w:t>
      </w:r>
      <w:r w:rsidRPr="0055396C">
        <w:rPr>
          <w:spacing w:val="-2"/>
        </w:rPr>
        <w:t>671 aircraft</w:t>
      </w:r>
      <w:r w:rsidR="001C211A">
        <w:rPr>
          <w:spacing w:val="-2"/>
        </w:rPr>
        <w:t>s</w:t>
      </w:r>
      <w:r w:rsidRPr="0055396C">
        <w:rPr>
          <w:spacing w:val="-2"/>
        </w:rPr>
        <w:t xml:space="preserve">, Boeing had almost </w:t>
      </w:r>
      <w:r w:rsidR="00223FD1" w:rsidRPr="0055396C">
        <w:rPr>
          <w:spacing w:val="-2"/>
        </w:rPr>
        <w:t>$</w:t>
      </w:r>
      <w:r w:rsidRPr="0055396C">
        <w:rPr>
          <w:spacing w:val="-2"/>
        </w:rPr>
        <w:t xml:space="preserve">109 billion worth of business </w:t>
      </w:r>
      <w:r w:rsidR="006A7168">
        <w:rPr>
          <w:spacing w:val="-2"/>
        </w:rPr>
        <w:t>in the pipeline</w:t>
      </w:r>
      <w:r w:rsidR="00476186">
        <w:rPr>
          <w:spacing w:val="-2"/>
        </w:rPr>
        <w:t xml:space="preserve"> </w:t>
      </w:r>
      <w:r w:rsidR="00476186" w:rsidRPr="0055396C">
        <w:rPr>
          <w:spacing w:val="-2"/>
        </w:rPr>
        <w:t>in 2009</w:t>
      </w:r>
      <w:r w:rsidR="009F653A" w:rsidRPr="0055396C">
        <w:rPr>
          <w:spacing w:val="-2"/>
        </w:rPr>
        <w:t>.</w:t>
      </w:r>
      <w:r w:rsidRPr="0055396C">
        <w:rPr>
          <w:rStyle w:val="EndnoteReference"/>
          <w:rFonts w:ascii="Times" w:hAnsi="Times"/>
          <w:spacing w:val="-2"/>
        </w:rPr>
        <w:endnoteReference w:id="52"/>
      </w:r>
      <w:r w:rsidRPr="0055396C">
        <w:rPr>
          <w:spacing w:val="-2"/>
        </w:rPr>
        <w:t xml:space="preserve"> However, sluggish market conditions in 2008 and 2009 saw net orders of aircraft dipping sharply from the pre-crisis level due to cancellations or deferrals (see Exhibits 4A </w:t>
      </w:r>
      <w:r w:rsidR="009F653A" w:rsidRPr="0055396C">
        <w:rPr>
          <w:spacing w:val="-2"/>
        </w:rPr>
        <w:t>and</w:t>
      </w:r>
      <w:r w:rsidRPr="0055396C">
        <w:rPr>
          <w:spacing w:val="-2"/>
        </w:rPr>
        <w:t xml:space="preserve"> 4B). </w:t>
      </w:r>
      <w:r w:rsidR="0023737A" w:rsidRPr="0055396C">
        <w:rPr>
          <w:spacing w:val="-2"/>
        </w:rPr>
        <w:t xml:space="preserve">In addition, </w:t>
      </w:r>
      <w:r w:rsidRPr="0055396C">
        <w:rPr>
          <w:spacing w:val="-2"/>
        </w:rPr>
        <w:t xml:space="preserve">the economic crisis resulted in a dramatic decline in industry profitability and put </w:t>
      </w:r>
      <w:r w:rsidR="0023737A" w:rsidRPr="0055396C">
        <w:rPr>
          <w:spacing w:val="-2"/>
        </w:rPr>
        <w:t>increased</w:t>
      </w:r>
      <w:r w:rsidRPr="0055396C">
        <w:rPr>
          <w:spacing w:val="-2"/>
        </w:rPr>
        <w:t xml:space="preserve"> pressure on manufacturers as well as airliners to optimize cost</w:t>
      </w:r>
      <w:r w:rsidR="0023737A" w:rsidRPr="0055396C">
        <w:rPr>
          <w:spacing w:val="-2"/>
        </w:rPr>
        <w:t>s</w:t>
      </w:r>
      <w:r w:rsidRPr="0055396C">
        <w:rPr>
          <w:spacing w:val="-2"/>
        </w:rPr>
        <w:t xml:space="preserve"> and focus </w:t>
      </w:r>
      <w:r w:rsidR="0023737A" w:rsidRPr="0055396C">
        <w:rPr>
          <w:spacing w:val="-2"/>
        </w:rPr>
        <w:t xml:space="preserve">on </w:t>
      </w:r>
      <w:r w:rsidRPr="0055396C">
        <w:rPr>
          <w:spacing w:val="-2"/>
        </w:rPr>
        <w:t>higher</w:t>
      </w:r>
      <w:r w:rsidR="0023737A" w:rsidRPr="0055396C">
        <w:rPr>
          <w:spacing w:val="-2"/>
        </w:rPr>
        <w:t>-</w:t>
      </w:r>
      <w:r w:rsidRPr="0055396C">
        <w:rPr>
          <w:spacing w:val="-2"/>
        </w:rPr>
        <w:t>growth emerging markets</w:t>
      </w:r>
      <w:r w:rsidR="0023737A" w:rsidRPr="0055396C">
        <w:rPr>
          <w:spacing w:val="-2"/>
        </w:rPr>
        <w:t xml:space="preserve"> (see Exhibit 5)</w:t>
      </w:r>
      <w:r w:rsidRPr="0055396C">
        <w:rPr>
          <w:spacing w:val="-2"/>
        </w:rPr>
        <w:t xml:space="preserve">. The industry also witnessed concomitant decline in air travel during the same period though the long-term projections </w:t>
      </w:r>
      <w:r w:rsidR="0023737A" w:rsidRPr="0055396C">
        <w:rPr>
          <w:spacing w:val="-2"/>
        </w:rPr>
        <w:t xml:space="preserve">were </w:t>
      </w:r>
      <w:r w:rsidRPr="0055396C">
        <w:rPr>
          <w:spacing w:val="-2"/>
        </w:rPr>
        <w:t>positive (see Exhibit 5).</w:t>
      </w:r>
      <w:r w:rsidRPr="0055396C">
        <w:rPr>
          <w:rFonts w:cs="Arial"/>
          <w:iCs/>
          <w:color w:val="333333"/>
          <w:spacing w:val="-2"/>
          <w:shd w:val="clear" w:color="auto" w:fill="FFFFFF"/>
        </w:rPr>
        <w:t xml:space="preserve"> </w:t>
      </w:r>
      <w:r w:rsidRPr="0055396C">
        <w:rPr>
          <w:spacing w:val="-2"/>
        </w:rPr>
        <w:t xml:space="preserve">Production of aircraft </w:t>
      </w:r>
      <w:r w:rsidR="00ED358A" w:rsidRPr="0055396C">
        <w:rPr>
          <w:spacing w:val="-2"/>
        </w:rPr>
        <w:t xml:space="preserve">was </w:t>
      </w:r>
      <w:r w:rsidRPr="0055396C">
        <w:rPr>
          <w:spacing w:val="-2"/>
        </w:rPr>
        <w:t>relatively unaffected, given the characteristically long lead times in this industry (see Exhibit 4A). Overall, analysts remained positive about a quick recovery</w:t>
      </w:r>
      <w:r w:rsidR="0023737A" w:rsidRPr="0055396C">
        <w:rPr>
          <w:spacing w:val="-2"/>
        </w:rPr>
        <w:t>,</w:t>
      </w:r>
      <w:r w:rsidRPr="0055396C">
        <w:rPr>
          <w:spacing w:val="-2"/>
        </w:rPr>
        <w:t xml:space="preserve"> given the industry’s historical resilience against economic crises</w:t>
      </w:r>
      <w:r w:rsidR="009F653A" w:rsidRPr="0055396C">
        <w:rPr>
          <w:spacing w:val="-2"/>
        </w:rPr>
        <w:t>.</w:t>
      </w:r>
      <w:r w:rsidRPr="0055396C">
        <w:rPr>
          <w:rStyle w:val="EndnoteReference"/>
          <w:rFonts w:ascii="Times" w:hAnsi="Times"/>
          <w:spacing w:val="-2"/>
        </w:rPr>
        <w:endnoteReference w:id="53"/>
      </w:r>
    </w:p>
    <w:p w14:paraId="52229368" w14:textId="77777777" w:rsidR="005206F7" w:rsidRPr="0055396C" w:rsidRDefault="005206F7" w:rsidP="004C2798">
      <w:pPr>
        <w:pStyle w:val="BodyTextMain"/>
        <w:rPr>
          <w:rFonts w:cs="Arial"/>
          <w:iCs/>
          <w:color w:val="333333"/>
          <w:spacing w:val="-2"/>
          <w:shd w:val="clear" w:color="auto" w:fill="FFFFFF"/>
        </w:rPr>
      </w:pPr>
    </w:p>
    <w:p w14:paraId="137DE695" w14:textId="5764D33E" w:rsidR="004C2798" w:rsidRDefault="004C2798" w:rsidP="004C2798">
      <w:pPr>
        <w:pStyle w:val="BodyTextMain"/>
      </w:pPr>
      <w:r w:rsidRPr="0055396C">
        <w:t>Further</w:t>
      </w:r>
      <w:r w:rsidR="0023737A" w:rsidRPr="0055396C">
        <w:t>,</w:t>
      </w:r>
      <w:r w:rsidRPr="0055396C">
        <w:t xml:space="preserve"> labo</w:t>
      </w:r>
      <w:r w:rsidR="008D1A70" w:rsidRPr="0055396C">
        <w:t>u</w:t>
      </w:r>
      <w:r w:rsidRPr="0055396C">
        <w:t xml:space="preserve">r cost as a </w:t>
      </w:r>
      <w:r w:rsidR="00D95E2D" w:rsidRPr="0055396C">
        <w:t>per</w:t>
      </w:r>
      <w:r w:rsidR="00223FD1" w:rsidRPr="0055396C">
        <w:t>cent</w:t>
      </w:r>
      <w:r w:rsidRPr="0055396C">
        <w:t xml:space="preserve">age of the total operating cost of an aircraft continued to decline, and fuel costs as a </w:t>
      </w:r>
      <w:r w:rsidR="00D95E2D" w:rsidRPr="0055396C">
        <w:t>per</w:t>
      </w:r>
      <w:r w:rsidR="00223FD1" w:rsidRPr="0055396C">
        <w:t>cent</w:t>
      </w:r>
      <w:r w:rsidRPr="0055396C">
        <w:t>age of the same continued to increase (see Exhibit 6). At the 2008 average</w:t>
      </w:r>
      <w:r w:rsidRPr="00916F93">
        <w:t xml:space="preserve"> price level of crude oil in the international market, fuel expenses represented almost 34.2 </w:t>
      </w:r>
      <w:r w:rsidR="00223FD1">
        <w:t>per cent</w:t>
      </w:r>
      <w:r w:rsidRPr="00916F93">
        <w:t xml:space="preserve"> of the total operating cost of a passenger airline. </w:t>
      </w:r>
      <w:r w:rsidR="0023737A">
        <w:t>I</w:t>
      </w:r>
      <w:r w:rsidRPr="00916F93">
        <w:t>n comparison</w:t>
      </w:r>
      <w:r w:rsidR="0023737A">
        <w:t>, labour costs</w:t>
      </w:r>
      <w:r w:rsidRPr="00916F93">
        <w:t xml:space="preserve"> represente</w:t>
      </w:r>
      <w:r>
        <w:t xml:space="preserve">d 21.5 </w:t>
      </w:r>
      <w:r w:rsidR="00223FD1" w:rsidRPr="0055396C">
        <w:t>per cent</w:t>
      </w:r>
      <w:r w:rsidRPr="0055396C">
        <w:t xml:space="preserve"> of the same</w:t>
      </w:r>
      <w:r w:rsidR="009F653A" w:rsidRPr="0055396C">
        <w:t>.</w:t>
      </w:r>
      <w:r w:rsidRPr="0055396C">
        <w:rPr>
          <w:rStyle w:val="EndnoteReference"/>
          <w:rFonts w:ascii="Times" w:hAnsi="Times"/>
        </w:rPr>
        <w:endnoteReference w:id="54"/>
      </w:r>
      <w:r w:rsidRPr="0055396C">
        <w:t xml:space="preserve"> </w:t>
      </w:r>
      <w:r w:rsidR="0023737A" w:rsidRPr="0055396C">
        <w:t>On the one hand, i</w:t>
      </w:r>
      <w:r w:rsidRPr="0055396C">
        <w:t>ndustry profitability was highly sensitive to fuel costs</w:t>
      </w:r>
      <w:r w:rsidR="0023737A" w:rsidRPr="0055396C">
        <w:t>,</w:t>
      </w:r>
      <w:r w:rsidRPr="0055396C">
        <w:t xml:space="preserve"> and airlines tried to actively hedge against the risk of fluctuating international crude prices</w:t>
      </w:r>
      <w:r w:rsidR="0023737A" w:rsidRPr="0055396C">
        <w:t xml:space="preserve"> (see Exhibit 7)</w:t>
      </w:r>
      <w:r w:rsidRPr="0055396C">
        <w:t xml:space="preserve">. </w:t>
      </w:r>
      <w:r w:rsidR="009F653A" w:rsidRPr="0055396C">
        <w:t>After the terrorist attacks in the United</w:t>
      </w:r>
      <w:r w:rsidR="009F653A">
        <w:t xml:space="preserve"> States on September 11, 2001,</w:t>
      </w:r>
      <w:r>
        <w:t xml:space="preserve"> crude price volatility increased manifold</w:t>
      </w:r>
      <w:r w:rsidR="0023737A">
        <w:t xml:space="preserve"> due to</w:t>
      </w:r>
      <w:r>
        <w:t xml:space="preserve"> </w:t>
      </w:r>
      <w:r w:rsidR="0023737A">
        <w:t>subsequent</w:t>
      </w:r>
      <w:r>
        <w:t xml:space="preserve"> geopolitical </w:t>
      </w:r>
      <w:r>
        <w:lastRenderedPageBreak/>
        <w:t>developments</w:t>
      </w:r>
      <w:r w:rsidR="009F653A">
        <w:t>.</w:t>
      </w:r>
      <w:r>
        <w:rPr>
          <w:rStyle w:val="EndnoteReference"/>
          <w:rFonts w:ascii="Times" w:hAnsi="Times"/>
        </w:rPr>
        <w:endnoteReference w:id="55"/>
      </w:r>
      <w:r>
        <w:t xml:space="preserve"> On the other </w:t>
      </w:r>
      <w:r w:rsidR="00466335">
        <w:t>hand,</w:t>
      </w:r>
      <w:r>
        <w:t xml:space="preserve"> </w:t>
      </w:r>
      <w:r w:rsidRPr="00740386">
        <w:t xml:space="preserve">climate change </w:t>
      </w:r>
      <w:r>
        <w:t>activism, spearheaded by notable personalities like Al Gore, continued to put significant pressure on airliners</w:t>
      </w:r>
      <w:r w:rsidRPr="00740386">
        <w:t xml:space="preserve"> </w:t>
      </w:r>
      <w:r w:rsidR="0023737A">
        <w:t>and</w:t>
      </w:r>
      <w:r w:rsidRPr="00740386">
        <w:t xml:space="preserve"> manufacturers to </w:t>
      </w:r>
      <w:r w:rsidR="0023737A">
        <w:t>reduce</w:t>
      </w:r>
      <w:r>
        <w:t xml:space="preserve"> their carbon footprints</w:t>
      </w:r>
      <w:r w:rsidRPr="00740386">
        <w:t xml:space="preserve">. </w:t>
      </w:r>
      <w:r>
        <w:t xml:space="preserve">Partly </w:t>
      </w:r>
      <w:r w:rsidR="0023737A">
        <w:t>because of</w:t>
      </w:r>
      <w:r>
        <w:t xml:space="preserve"> this</w:t>
      </w:r>
      <w:r w:rsidR="0023737A">
        <w:t xml:space="preserve"> environmental pressure</w:t>
      </w:r>
      <w:r>
        <w:t xml:space="preserve">, aircraft manufacturers </w:t>
      </w:r>
      <w:r w:rsidR="0023737A">
        <w:t xml:space="preserve">began to </w:t>
      </w:r>
      <w:r>
        <w:t>gravitate towards cleaner and efficient propulsion technologies</w:t>
      </w:r>
      <w:r w:rsidR="0023737A">
        <w:t>,</w:t>
      </w:r>
      <w:r>
        <w:t xml:space="preserve"> as well as electrification of flight control systems and actuators. </w:t>
      </w:r>
    </w:p>
    <w:p w14:paraId="4AC5E8C2" w14:textId="77777777" w:rsidR="00F15CBB" w:rsidRDefault="00F15CBB" w:rsidP="004C2798">
      <w:pPr>
        <w:pStyle w:val="BodyTextMain"/>
      </w:pPr>
    </w:p>
    <w:p w14:paraId="6003A7E3" w14:textId="67F43589" w:rsidR="004C2798" w:rsidRDefault="004C2798" w:rsidP="004C2798">
      <w:pPr>
        <w:pStyle w:val="BodyTextMain"/>
      </w:pPr>
      <w:r w:rsidRPr="00740386">
        <w:t>Overall</w:t>
      </w:r>
      <w:r>
        <w:t xml:space="preserve"> </w:t>
      </w:r>
      <w:r w:rsidRPr="00740386">
        <w:t xml:space="preserve">R&amp;D spending by major </w:t>
      </w:r>
      <w:r w:rsidR="000F6EBE">
        <w:t>A&amp;D</w:t>
      </w:r>
      <w:r w:rsidRPr="00740386">
        <w:t xml:space="preserve"> </w:t>
      </w:r>
      <w:r>
        <w:t>contractors was expected</w:t>
      </w:r>
      <w:r w:rsidRPr="00740386">
        <w:t xml:space="preserve"> to rise</w:t>
      </w:r>
      <w:r w:rsidR="0023737A">
        <w:t>,</w:t>
      </w:r>
      <w:r w:rsidRPr="00740386">
        <w:t xml:space="preserve"> </w:t>
      </w:r>
      <w:r w:rsidR="0023737A">
        <w:t xml:space="preserve">despite </w:t>
      </w:r>
      <w:r w:rsidRPr="00740386">
        <w:t xml:space="preserve">a decline of 3.7 </w:t>
      </w:r>
      <w:r w:rsidR="00223FD1">
        <w:t>per cent</w:t>
      </w:r>
      <w:r w:rsidRPr="00740386">
        <w:t xml:space="preserve"> in 2009</w:t>
      </w:r>
      <w:r w:rsidR="00F15CBB">
        <w:t>.</w:t>
      </w:r>
      <w:r>
        <w:rPr>
          <w:rStyle w:val="EndnoteReference"/>
          <w:rFonts w:ascii="Times" w:hAnsi="Times"/>
        </w:rPr>
        <w:endnoteReference w:id="56"/>
      </w:r>
      <w:r w:rsidRPr="00740386">
        <w:t xml:space="preserve"> </w:t>
      </w:r>
      <w:r>
        <w:t xml:space="preserve">This decrement was supplemented by a sharp increase in investments in manufacturing in 2009 </w:t>
      </w:r>
      <w:r w:rsidRPr="00740386">
        <w:t xml:space="preserve">(see </w:t>
      </w:r>
      <w:r w:rsidRPr="0076792A">
        <w:t xml:space="preserve">Exhibit </w:t>
      </w:r>
      <w:r>
        <w:t xml:space="preserve">8). </w:t>
      </w:r>
      <w:r w:rsidRPr="00740386">
        <w:t xml:space="preserve">Boeing continued to make technological advancements with </w:t>
      </w:r>
      <w:r>
        <w:t>the</w:t>
      </w:r>
      <w:r w:rsidRPr="00740386">
        <w:t xml:space="preserve"> Dreamliner and</w:t>
      </w:r>
      <w:r>
        <w:t xml:space="preserve"> other</w:t>
      </w:r>
      <w:r w:rsidRPr="00740386">
        <w:t xml:space="preserve"> next</w:t>
      </w:r>
      <w:r w:rsidR="0023737A">
        <w:t>-</w:t>
      </w:r>
      <w:r w:rsidRPr="00740386">
        <w:t xml:space="preserve">generation aircraft as part of its ambitious </w:t>
      </w:r>
      <w:r w:rsidR="00ED358A">
        <w:t>“</w:t>
      </w:r>
      <w:r w:rsidRPr="00740386">
        <w:t>Yellowstone</w:t>
      </w:r>
      <w:r w:rsidR="00ED358A">
        <w:t>”</w:t>
      </w:r>
      <w:r w:rsidRPr="00740386">
        <w:t xml:space="preserve"> project</w:t>
      </w:r>
      <w:r>
        <w:t xml:space="preserve">, </w:t>
      </w:r>
      <w:r w:rsidR="00ED358A">
        <w:t xml:space="preserve">which was </w:t>
      </w:r>
      <w:r w:rsidRPr="00740386">
        <w:t xml:space="preserve">aimed </w:t>
      </w:r>
      <w:r>
        <w:t>at replacing</w:t>
      </w:r>
      <w:r w:rsidRPr="00740386">
        <w:t xml:space="preserve"> all Boeing commercial aircraft</w:t>
      </w:r>
      <w:r>
        <w:t xml:space="preserve"> </w:t>
      </w:r>
      <w:r w:rsidRPr="00740386">
        <w:t>with technolog</w:t>
      </w:r>
      <w:r>
        <w:t>ically advanced</w:t>
      </w:r>
      <w:r w:rsidR="00ED358A">
        <w:t>,</w:t>
      </w:r>
      <w:r>
        <w:t xml:space="preserve"> fuel</w:t>
      </w:r>
      <w:r w:rsidR="00ED358A">
        <w:t>-</w:t>
      </w:r>
      <w:r>
        <w:t>efficient next</w:t>
      </w:r>
      <w:r w:rsidR="00ED358A">
        <w:t>-</w:t>
      </w:r>
      <w:r>
        <w:t>generation one</w:t>
      </w:r>
      <w:r w:rsidRPr="00740386">
        <w:t>s</w:t>
      </w:r>
      <w:r>
        <w:t xml:space="preserve"> over time</w:t>
      </w:r>
      <w:r w:rsidR="009F653A">
        <w:t>.</w:t>
      </w:r>
      <w:r>
        <w:rPr>
          <w:rStyle w:val="EndnoteReference"/>
          <w:rFonts w:ascii="Times" w:hAnsi="Times"/>
        </w:rPr>
        <w:endnoteReference w:id="57"/>
      </w:r>
      <w:r w:rsidRPr="00740386">
        <w:t xml:space="preserve"> Public investment in R&amp;D </w:t>
      </w:r>
      <w:r>
        <w:t>played a crucial role in achieving technological advancement and leadership in this industry</w:t>
      </w:r>
      <w:r w:rsidRPr="00740386">
        <w:t xml:space="preserve">. </w:t>
      </w:r>
      <w:r>
        <w:t>While the</w:t>
      </w:r>
      <w:r w:rsidRPr="00740386">
        <w:t xml:space="preserve"> Government of India </w:t>
      </w:r>
      <w:r>
        <w:t xml:space="preserve">planned to invest heavily in upgrading and developing infrastructure pertaining to the </w:t>
      </w:r>
      <w:r w:rsidR="000F6EBE">
        <w:t>A&amp;D</w:t>
      </w:r>
      <w:r>
        <w:t xml:space="preserve"> sector, public spending in R&amp;D in </w:t>
      </w:r>
      <w:r w:rsidR="00F15CBB">
        <w:t>s</w:t>
      </w:r>
      <w:r>
        <w:t xml:space="preserve">cience and </w:t>
      </w:r>
      <w:r w:rsidR="00F15CBB">
        <w:t>t</w:t>
      </w:r>
      <w:r>
        <w:t xml:space="preserve">echnology continued to dwindle below 1 </w:t>
      </w:r>
      <w:r w:rsidR="00223FD1">
        <w:t>per cent</w:t>
      </w:r>
      <w:r>
        <w:t xml:space="preserve"> of the national </w:t>
      </w:r>
      <w:r w:rsidR="00F15CBB">
        <w:t>gross domestic product.</w:t>
      </w:r>
      <w:r w:rsidRPr="00740386">
        <w:rPr>
          <w:rStyle w:val="EndnoteReference"/>
          <w:rFonts w:ascii="Times" w:hAnsi="Times"/>
        </w:rPr>
        <w:endnoteReference w:id="58"/>
      </w:r>
      <w:r w:rsidRPr="00740386">
        <w:t xml:space="preserve"> </w:t>
      </w:r>
      <w:r w:rsidR="00E17787">
        <w:t>Naturally</w:t>
      </w:r>
      <w:r w:rsidR="00C05906">
        <w:t>,</w:t>
      </w:r>
      <w:r w:rsidR="00DF1DF2">
        <w:t xml:space="preserve"> t</w:t>
      </w:r>
      <w:r>
        <w:t xml:space="preserve">his </w:t>
      </w:r>
      <w:r w:rsidR="00DF1DF2">
        <w:t xml:space="preserve">was a matter of concern for </w:t>
      </w:r>
      <w:r>
        <w:t xml:space="preserve">both scientists as well as industry veterans like </w:t>
      </w:r>
      <w:r w:rsidR="00F15CBB">
        <w:t>Rao</w:t>
      </w:r>
      <w:r w:rsidRPr="00740386">
        <w:t xml:space="preserve">. </w:t>
      </w:r>
    </w:p>
    <w:p w14:paraId="074C8D6E" w14:textId="77777777" w:rsidR="005206F7" w:rsidRDefault="005206F7" w:rsidP="004C2798">
      <w:pPr>
        <w:pStyle w:val="BodyTextMain"/>
      </w:pPr>
    </w:p>
    <w:p w14:paraId="1EDA5FE6" w14:textId="77777777" w:rsidR="005206F7" w:rsidRDefault="005206F7" w:rsidP="004C2798">
      <w:pPr>
        <w:pStyle w:val="BodyTextMain"/>
      </w:pPr>
    </w:p>
    <w:p w14:paraId="3A9DB11A" w14:textId="77777777" w:rsidR="004C2798" w:rsidRPr="00740386" w:rsidRDefault="004C2798" w:rsidP="001873D9">
      <w:pPr>
        <w:pStyle w:val="Casehead1"/>
        <w:outlineLvl w:val="0"/>
      </w:pPr>
      <w:r w:rsidRPr="00740386">
        <w:t>FIRST FLIGHT INTO THE FUTURE</w:t>
      </w:r>
    </w:p>
    <w:p w14:paraId="4EA01546" w14:textId="77777777" w:rsidR="005206F7" w:rsidRDefault="005206F7" w:rsidP="004C2798">
      <w:pPr>
        <w:pStyle w:val="BodyTextMain"/>
      </w:pPr>
    </w:p>
    <w:p w14:paraId="56F78972" w14:textId="7BED554A" w:rsidR="004C2798" w:rsidRDefault="004C2798" w:rsidP="00F3771B">
      <w:pPr>
        <w:pStyle w:val="BodyTextMain"/>
      </w:pPr>
      <w:r w:rsidRPr="00EE5ACD">
        <w:t>In the technology-intensive engineering R</w:t>
      </w:r>
      <w:r>
        <w:t>&amp;D services industry</w:t>
      </w:r>
      <w:r w:rsidR="00ED358A">
        <w:t>,</w:t>
      </w:r>
      <w:r>
        <w:t xml:space="preserve"> change </w:t>
      </w:r>
      <w:r w:rsidRPr="00EE5ACD">
        <w:t>represented both opportunity and risk</w:t>
      </w:r>
      <w:r>
        <w:t>, and</w:t>
      </w:r>
      <w:r w:rsidRPr="00EE5ACD">
        <w:t xml:space="preserve"> there remained a high premium on preparedness and quick response. </w:t>
      </w:r>
      <w:r w:rsidR="00F15CBB">
        <w:t>Rao</w:t>
      </w:r>
      <w:r w:rsidRPr="00EE5ACD">
        <w:t xml:space="preserve"> and his ERS division </w:t>
      </w:r>
      <w:r w:rsidR="00ED358A">
        <w:t>had been tasked with</w:t>
      </w:r>
      <w:r w:rsidRPr="00EE5ACD">
        <w:t xml:space="preserve"> </w:t>
      </w:r>
      <w:r>
        <w:t>navigat</w:t>
      </w:r>
      <w:r w:rsidR="00ED358A">
        <w:t>ing</w:t>
      </w:r>
      <w:r>
        <w:t xml:space="preserve"> HCL through </w:t>
      </w:r>
      <w:r w:rsidR="00ED358A">
        <w:t>some difficult and important decisions</w:t>
      </w:r>
      <w:r w:rsidRPr="00EE5ACD">
        <w:t xml:space="preserve">. Was HCL prepared for what lay ahead? </w:t>
      </w:r>
      <w:r>
        <w:t xml:space="preserve">Following the Dreamliner </w:t>
      </w:r>
      <w:r w:rsidRPr="00F3771B">
        <w:t>project, what should HCL ERS</w:t>
      </w:r>
      <w:r w:rsidR="00ED358A" w:rsidRPr="00F3771B">
        <w:t xml:space="preserve">’s next steps be? What </w:t>
      </w:r>
      <w:r w:rsidRPr="00F3771B">
        <w:t xml:space="preserve">implications </w:t>
      </w:r>
      <w:r w:rsidR="00ED358A" w:rsidRPr="00F3771B">
        <w:t>could these</w:t>
      </w:r>
      <w:r w:rsidRPr="00F3771B">
        <w:t xml:space="preserve"> steps have</w:t>
      </w:r>
      <w:r w:rsidRPr="00EE5ACD">
        <w:t xml:space="preserve"> </w:t>
      </w:r>
      <w:r w:rsidR="00ED358A">
        <w:t>for</w:t>
      </w:r>
      <w:r w:rsidRPr="00EE5ACD">
        <w:t xml:space="preserve"> the long-term profitability of the </w:t>
      </w:r>
      <w:r>
        <w:t>firm?</w:t>
      </w:r>
      <w:r w:rsidRPr="00EE5ACD">
        <w:t xml:space="preserve"> </w:t>
      </w:r>
      <w:r>
        <w:t>More specifically, should HCL continue to improve upon its existing capabilities, or should</w:t>
      </w:r>
      <w:r w:rsidR="00ED358A">
        <w:t xml:space="preserve"> it</w:t>
      </w:r>
      <w:r>
        <w:t xml:space="preserve"> venture into building stronger R&amp;D capabilities? </w:t>
      </w:r>
      <w:r w:rsidR="00356109">
        <w:t>The</w:t>
      </w:r>
      <w:r w:rsidR="00ED358A">
        <w:t xml:space="preserve"> answers to these questions </w:t>
      </w:r>
      <w:r w:rsidR="00356109">
        <w:t>c</w:t>
      </w:r>
      <w:r w:rsidR="00ED358A">
        <w:t xml:space="preserve">ould </w:t>
      </w:r>
      <w:r w:rsidR="009B0971">
        <w:t xml:space="preserve">determine </w:t>
      </w:r>
      <w:r w:rsidR="00ED358A">
        <w:t>the company’s future.</w:t>
      </w:r>
      <w:r>
        <w:br w:type="page"/>
      </w:r>
    </w:p>
    <w:p w14:paraId="7160CE3F" w14:textId="77777777" w:rsidR="004F77BE" w:rsidRDefault="004F77BE" w:rsidP="001873D9">
      <w:pPr>
        <w:pStyle w:val="ExhibitHeading"/>
        <w:outlineLvl w:val="0"/>
      </w:pPr>
      <w:r w:rsidRPr="0063428A">
        <w:lastRenderedPageBreak/>
        <w:t>E</w:t>
      </w:r>
      <w:r>
        <w:t>XHIBIT</w:t>
      </w:r>
      <w:r w:rsidRPr="0063428A">
        <w:t xml:space="preserve"> 1</w:t>
      </w:r>
      <w:r>
        <w:t>:</w:t>
      </w:r>
      <w:r w:rsidRPr="0063428A">
        <w:t xml:space="preserve"> HCL TECHNOLOGIES </w:t>
      </w:r>
      <w:r>
        <w:t>LTD</w:t>
      </w:r>
      <w:r w:rsidRPr="0063428A">
        <w:t>. FINANCIAL STATEMENTS</w:t>
      </w:r>
    </w:p>
    <w:p w14:paraId="29D52CF1" w14:textId="77777777" w:rsidR="00AD7C3F" w:rsidRDefault="00AD7C3F" w:rsidP="004F77BE">
      <w:pPr>
        <w:jc w:val="center"/>
        <w:rPr>
          <w:rFonts w:ascii="Times" w:hAnsi="Times"/>
          <w:sz w:val="22"/>
          <w:szCs w:val="22"/>
        </w:rPr>
      </w:pPr>
    </w:p>
    <w:p w14:paraId="7229DC4F" w14:textId="0C6DDF46" w:rsidR="004F77BE" w:rsidRDefault="004F77BE" w:rsidP="00AD7C3F">
      <w:pPr>
        <w:pStyle w:val="ExhibitNumber"/>
        <w:ind w:right="900" w:firstLine="810"/>
      </w:pPr>
      <w:r w:rsidRPr="000859B7">
        <w:t>HCL Technologies Ltd. and Subsidiaries Consolidated Balance Sheets</w:t>
      </w:r>
      <w:r w:rsidR="00E17B5B">
        <w:t>,</w:t>
      </w:r>
      <w:r>
        <w:t xml:space="preserve"> June 30, 2008 and 2009 (in </w:t>
      </w:r>
      <w:r w:rsidR="00B86C7C">
        <w:t>US</w:t>
      </w:r>
      <w:r w:rsidR="00223FD1">
        <w:t>$</w:t>
      </w:r>
      <w:r w:rsidR="00FC4AD7">
        <w:t xml:space="preserve"> </w:t>
      </w:r>
      <w:r w:rsidRPr="009279C6">
        <w:t>'</w:t>
      </w:r>
      <w:r>
        <w:t>000)</w:t>
      </w:r>
    </w:p>
    <w:p w14:paraId="4AF5BCD5" w14:textId="77777777" w:rsidR="00AD7C3F" w:rsidRPr="003C7741" w:rsidRDefault="00AD7C3F" w:rsidP="00AD7C3F">
      <w:pPr>
        <w:pStyle w:val="ExhibitNumber"/>
      </w:pPr>
    </w:p>
    <w:tbl>
      <w:tblPr>
        <w:tblW w:w="8480" w:type="dxa"/>
        <w:tblInd w:w="93" w:type="dxa"/>
        <w:tblLook w:val="04A0" w:firstRow="1" w:lastRow="0" w:firstColumn="1" w:lastColumn="0" w:noHBand="0" w:noVBand="1"/>
      </w:tblPr>
      <w:tblGrid>
        <w:gridCol w:w="5880"/>
        <w:gridCol w:w="1300"/>
        <w:gridCol w:w="1300"/>
      </w:tblGrid>
      <w:tr w:rsidR="004F77BE" w:rsidRPr="00AD7C3F" w14:paraId="1A77D9CF" w14:textId="77777777" w:rsidTr="00AD7C3F">
        <w:trPr>
          <w:trHeight w:val="89"/>
        </w:trPr>
        <w:tc>
          <w:tcPr>
            <w:tcW w:w="5880" w:type="dxa"/>
            <w:tcBorders>
              <w:top w:val="single" w:sz="4" w:space="0" w:color="auto"/>
              <w:left w:val="nil"/>
              <w:bottom w:val="single" w:sz="4" w:space="0" w:color="auto"/>
              <w:right w:val="nil"/>
            </w:tcBorders>
            <w:shd w:val="clear" w:color="auto" w:fill="auto"/>
            <w:noWrap/>
            <w:vAlign w:val="bottom"/>
            <w:hideMark/>
          </w:tcPr>
          <w:p w14:paraId="505A1437" w14:textId="77777777" w:rsidR="004F77BE" w:rsidRPr="00AD7C3F" w:rsidRDefault="004F77BE" w:rsidP="00E62F8F">
            <w:pPr>
              <w:jc w:val="center"/>
              <w:rPr>
                <w:rFonts w:ascii="Arial" w:hAnsi="Arial" w:cs="Arial"/>
                <w:b/>
                <w:bCs/>
                <w:color w:val="000000"/>
                <w:sz w:val="19"/>
                <w:szCs w:val="19"/>
              </w:rPr>
            </w:pPr>
            <w:r w:rsidRPr="00AD7C3F">
              <w:rPr>
                <w:rFonts w:ascii="Arial" w:hAnsi="Arial" w:cs="Arial"/>
                <w:b/>
                <w:bCs/>
                <w:color w:val="000000"/>
                <w:sz w:val="19"/>
                <w:szCs w:val="19"/>
              </w:rPr>
              <w:t>ASSETS</w:t>
            </w:r>
          </w:p>
        </w:tc>
        <w:tc>
          <w:tcPr>
            <w:tcW w:w="1300" w:type="dxa"/>
            <w:tcBorders>
              <w:top w:val="single" w:sz="4" w:space="0" w:color="auto"/>
              <w:left w:val="nil"/>
              <w:bottom w:val="single" w:sz="4" w:space="0" w:color="auto"/>
              <w:right w:val="nil"/>
            </w:tcBorders>
            <w:shd w:val="clear" w:color="auto" w:fill="auto"/>
            <w:noWrap/>
            <w:vAlign w:val="bottom"/>
            <w:hideMark/>
          </w:tcPr>
          <w:p w14:paraId="2AC65DD8" w14:textId="77777777" w:rsidR="004F77BE" w:rsidRPr="00AD7C3F" w:rsidRDefault="004F77BE" w:rsidP="00E62F8F">
            <w:pPr>
              <w:jc w:val="right"/>
              <w:rPr>
                <w:rFonts w:ascii="Arial" w:hAnsi="Arial" w:cs="Arial"/>
                <w:b/>
                <w:bCs/>
                <w:color w:val="000000"/>
                <w:sz w:val="19"/>
                <w:szCs w:val="19"/>
              </w:rPr>
            </w:pPr>
            <w:r w:rsidRPr="00AD7C3F">
              <w:rPr>
                <w:rFonts w:ascii="Arial" w:hAnsi="Arial" w:cs="Arial"/>
                <w:b/>
                <w:bCs/>
                <w:color w:val="000000"/>
                <w:sz w:val="19"/>
                <w:szCs w:val="19"/>
              </w:rPr>
              <w:t>2008</w:t>
            </w:r>
          </w:p>
        </w:tc>
        <w:tc>
          <w:tcPr>
            <w:tcW w:w="1300" w:type="dxa"/>
            <w:tcBorders>
              <w:top w:val="single" w:sz="4" w:space="0" w:color="auto"/>
              <w:left w:val="nil"/>
              <w:bottom w:val="single" w:sz="4" w:space="0" w:color="auto"/>
              <w:right w:val="nil"/>
            </w:tcBorders>
            <w:shd w:val="clear" w:color="auto" w:fill="auto"/>
            <w:noWrap/>
            <w:vAlign w:val="bottom"/>
            <w:hideMark/>
          </w:tcPr>
          <w:p w14:paraId="170AF579" w14:textId="77777777" w:rsidR="004F77BE" w:rsidRPr="00AD7C3F" w:rsidRDefault="004F77BE" w:rsidP="00E62F8F">
            <w:pPr>
              <w:jc w:val="right"/>
              <w:rPr>
                <w:rFonts w:ascii="Arial" w:hAnsi="Arial" w:cs="Arial"/>
                <w:b/>
                <w:bCs/>
                <w:color w:val="000000"/>
                <w:sz w:val="19"/>
                <w:szCs w:val="19"/>
              </w:rPr>
            </w:pPr>
            <w:r w:rsidRPr="00AD7C3F">
              <w:rPr>
                <w:rFonts w:ascii="Arial" w:hAnsi="Arial" w:cs="Arial"/>
                <w:b/>
                <w:bCs/>
                <w:color w:val="000000"/>
                <w:sz w:val="19"/>
                <w:szCs w:val="19"/>
              </w:rPr>
              <w:t>2009</w:t>
            </w:r>
          </w:p>
        </w:tc>
      </w:tr>
      <w:tr w:rsidR="004F77BE" w:rsidRPr="00AD7C3F" w14:paraId="0B16FAEE" w14:textId="77777777" w:rsidTr="00AD7C3F">
        <w:trPr>
          <w:trHeight w:val="125"/>
        </w:trPr>
        <w:tc>
          <w:tcPr>
            <w:tcW w:w="5880" w:type="dxa"/>
            <w:tcBorders>
              <w:top w:val="nil"/>
              <w:left w:val="nil"/>
              <w:bottom w:val="nil"/>
              <w:right w:val="nil"/>
            </w:tcBorders>
            <w:shd w:val="clear" w:color="auto" w:fill="auto"/>
            <w:noWrap/>
            <w:vAlign w:val="bottom"/>
            <w:hideMark/>
          </w:tcPr>
          <w:p w14:paraId="02EB8C2E" w14:textId="77777777" w:rsidR="004F77BE" w:rsidRPr="00AD7C3F" w:rsidRDefault="004F77BE" w:rsidP="00E62F8F">
            <w:pPr>
              <w:rPr>
                <w:rFonts w:ascii="Arial" w:hAnsi="Arial" w:cs="Arial"/>
                <w:b/>
                <w:bCs/>
                <w:color w:val="000000"/>
                <w:sz w:val="19"/>
                <w:szCs w:val="19"/>
              </w:rPr>
            </w:pPr>
            <w:r w:rsidRPr="00AD7C3F">
              <w:rPr>
                <w:rFonts w:ascii="Arial" w:hAnsi="Arial" w:cs="Arial"/>
                <w:b/>
                <w:bCs/>
                <w:color w:val="000000"/>
                <w:sz w:val="19"/>
                <w:szCs w:val="19"/>
              </w:rPr>
              <w:t>Current Assets</w:t>
            </w:r>
          </w:p>
        </w:tc>
        <w:tc>
          <w:tcPr>
            <w:tcW w:w="1300" w:type="dxa"/>
            <w:tcBorders>
              <w:top w:val="nil"/>
              <w:left w:val="nil"/>
              <w:bottom w:val="nil"/>
              <w:right w:val="nil"/>
            </w:tcBorders>
            <w:shd w:val="clear" w:color="auto" w:fill="auto"/>
            <w:noWrap/>
            <w:vAlign w:val="bottom"/>
            <w:hideMark/>
          </w:tcPr>
          <w:p w14:paraId="216D7A1C" w14:textId="77777777" w:rsidR="004F77BE" w:rsidRPr="00AD7C3F" w:rsidRDefault="004F77BE" w:rsidP="00E62F8F">
            <w:pPr>
              <w:rPr>
                <w:rFonts w:ascii="Arial" w:hAnsi="Arial" w:cs="Arial"/>
                <w:color w:val="000000"/>
                <w:sz w:val="19"/>
                <w:szCs w:val="19"/>
              </w:rPr>
            </w:pPr>
          </w:p>
        </w:tc>
        <w:tc>
          <w:tcPr>
            <w:tcW w:w="1300" w:type="dxa"/>
            <w:tcBorders>
              <w:top w:val="nil"/>
              <w:left w:val="nil"/>
              <w:bottom w:val="nil"/>
              <w:right w:val="nil"/>
            </w:tcBorders>
            <w:shd w:val="clear" w:color="auto" w:fill="auto"/>
            <w:noWrap/>
            <w:vAlign w:val="bottom"/>
            <w:hideMark/>
          </w:tcPr>
          <w:p w14:paraId="7FF23CE4" w14:textId="77777777" w:rsidR="004F77BE" w:rsidRPr="00AD7C3F" w:rsidRDefault="004F77BE" w:rsidP="00E62F8F">
            <w:pPr>
              <w:rPr>
                <w:rFonts w:ascii="Arial" w:hAnsi="Arial" w:cs="Arial"/>
                <w:color w:val="000000"/>
                <w:sz w:val="19"/>
                <w:szCs w:val="19"/>
              </w:rPr>
            </w:pPr>
          </w:p>
        </w:tc>
      </w:tr>
      <w:tr w:rsidR="004F77BE" w:rsidRPr="00AD7C3F" w14:paraId="6C70439E" w14:textId="77777777" w:rsidTr="00AD7C3F">
        <w:trPr>
          <w:trHeight w:val="90"/>
        </w:trPr>
        <w:tc>
          <w:tcPr>
            <w:tcW w:w="5880" w:type="dxa"/>
            <w:tcBorders>
              <w:top w:val="nil"/>
              <w:left w:val="nil"/>
              <w:bottom w:val="nil"/>
              <w:right w:val="nil"/>
            </w:tcBorders>
            <w:shd w:val="clear" w:color="auto" w:fill="auto"/>
            <w:noWrap/>
            <w:vAlign w:val="bottom"/>
            <w:hideMark/>
          </w:tcPr>
          <w:p w14:paraId="0BA538EE"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 xml:space="preserve">Cash and Cash Equivalents </w:t>
            </w:r>
          </w:p>
        </w:tc>
        <w:tc>
          <w:tcPr>
            <w:tcW w:w="1300" w:type="dxa"/>
            <w:tcBorders>
              <w:top w:val="nil"/>
              <w:left w:val="nil"/>
              <w:bottom w:val="nil"/>
              <w:right w:val="nil"/>
            </w:tcBorders>
            <w:shd w:val="clear" w:color="auto" w:fill="auto"/>
            <w:noWrap/>
            <w:vAlign w:val="bottom"/>
            <w:hideMark/>
          </w:tcPr>
          <w:p w14:paraId="5C85CC57" w14:textId="3ADA8A3E"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108,154 </w:t>
            </w:r>
          </w:p>
        </w:tc>
        <w:tc>
          <w:tcPr>
            <w:tcW w:w="1300" w:type="dxa"/>
            <w:tcBorders>
              <w:top w:val="nil"/>
              <w:left w:val="nil"/>
              <w:bottom w:val="nil"/>
              <w:right w:val="nil"/>
            </w:tcBorders>
            <w:shd w:val="clear" w:color="auto" w:fill="auto"/>
            <w:noWrap/>
            <w:vAlign w:val="bottom"/>
            <w:hideMark/>
          </w:tcPr>
          <w:p w14:paraId="13FD0332"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87,741 </w:t>
            </w:r>
          </w:p>
        </w:tc>
      </w:tr>
      <w:tr w:rsidR="004F77BE" w:rsidRPr="00AD7C3F" w14:paraId="4DE7A4C2" w14:textId="77777777" w:rsidTr="00AD7C3F">
        <w:trPr>
          <w:trHeight w:val="135"/>
        </w:trPr>
        <w:tc>
          <w:tcPr>
            <w:tcW w:w="5880" w:type="dxa"/>
            <w:tcBorders>
              <w:top w:val="nil"/>
              <w:left w:val="nil"/>
              <w:bottom w:val="nil"/>
              <w:right w:val="nil"/>
            </w:tcBorders>
            <w:shd w:val="clear" w:color="auto" w:fill="auto"/>
            <w:noWrap/>
            <w:vAlign w:val="bottom"/>
            <w:hideMark/>
          </w:tcPr>
          <w:p w14:paraId="29DEF5EB" w14:textId="6E1B4091"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Short</w:t>
            </w:r>
            <w:r w:rsidR="00E17B5B">
              <w:rPr>
                <w:rFonts w:ascii="Arial" w:hAnsi="Arial" w:cs="Arial"/>
                <w:color w:val="000000"/>
                <w:sz w:val="19"/>
                <w:szCs w:val="19"/>
              </w:rPr>
              <w:t>-</w:t>
            </w:r>
            <w:r w:rsidRPr="00AD7C3F">
              <w:rPr>
                <w:rFonts w:ascii="Arial" w:hAnsi="Arial" w:cs="Arial"/>
                <w:color w:val="000000"/>
                <w:sz w:val="19"/>
                <w:szCs w:val="19"/>
              </w:rPr>
              <w:t xml:space="preserve">Term Deposits with Banks </w:t>
            </w:r>
          </w:p>
        </w:tc>
        <w:tc>
          <w:tcPr>
            <w:tcW w:w="1300" w:type="dxa"/>
            <w:tcBorders>
              <w:top w:val="nil"/>
              <w:left w:val="nil"/>
              <w:bottom w:val="nil"/>
              <w:right w:val="nil"/>
            </w:tcBorders>
            <w:shd w:val="clear" w:color="auto" w:fill="auto"/>
            <w:noWrap/>
            <w:vAlign w:val="bottom"/>
            <w:hideMark/>
          </w:tcPr>
          <w:p w14:paraId="698CF30A" w14:textId="53A873DE"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1</w:t>
            </w:r>
            <w:r w:rsidR="004F77BE" w:rsidRPr="00AD7C3F">
              <w:rPr>
                <w:rFonts w:ascii="Arial" w:hAnsi="Arial" w:cs="Arial"/>
                <w:color w:val="000000"/>
                <w:sz w:val="19"/>
                <w:szCs w:val="19"/>
              </w:rPr>
              <w:t xml:space="preserve">25,505 </w:t>
            </w:r>
          </w:p>
        </w:tc>
        <w:tc>
          <w:tcPr>
            <w:tcW w:w="1300" w:type="dxa"/>
            <w:tcBorders>
              <w:top w:val="nil"/>
              <w:left w:val="nil"/>
              <w:bottom w:val="nil"/>
              <w:right w:val="nil"/>
            </w:tcBorders>
            <w:shd w:val="clear" w:color="auto" w:fill="auto"/>
            <w:noWrap/>
            <w:vAlign w:val="bottom"/>
            <w:hideMark/>
          </w:tcPr>
          <w:p w14:paraId="5F54A916" w14:textId="1CDA2F52"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3</w:t>
            </w:r>
            <w:r w:rsidR="004F77BE" w:rsidRPr="00AD7C3F">
              <w:rPr>
                <w:rFonts w:ascii="Arial" w:hAnsi="Arial" w:cs="Arial"/>
                <w:color w:val="000000"/>
                <w:sz w:val="19"/>
                <w:szCs w:val="19"/>
              </w:rPr>
              <w:t xml:space="preserve">03,949 </w:t>
            </w:r>
          </w:p>
        </w:tc>
      </w:tr>
      <w:tr w:rsidR="004F77BE" w:rsidRPr="00AD7C3F" w14:paraId="15BB6F45" w14:textId="77777777" w:rsidTr="00AD7C3F">
        <w:trPr>
          <w:trHeight w:val="198"/>
        </w:trPr>
        <w:tc>
          <w:tcPr>
            <w:tcW w:w="5880" w:type="dxa"/>
            <w:tcBorders>
              <w:top w:val="nil"/>
              <w:left w:val="nil"/>
              <w:bottom w:val="nil"/>
              <w:right w:val="nil"/>
            </w:tcBorders>
            <w:shd w:val="clear" w:color="auto" w:fill="auto"/>
            <w:noWrap/>
            <w:vAlign w:val="bottom"/>
            <w:hideMark/>
          </w:tcPr>
          <w:p w14:paraId="4AA8724E"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 xml:space="preserve">Account Receivables, Net of Allowances </w:t>
            </w:r>
          </w:p>
        </w:tc>
        <w:tc>
          <w:tcPr>
            <w:tcW w:w="1300" w:type="dxa"/>
            <w:tcBorders>
              <w:top w:val="nil"/>
              <w:left w:val="nil"/>
              <w:bottom w:val="nil"/>
              <w:right w:val="nil"/>
            </w:tcBorders>
            <w:shd w:val="clear" w:color="auto" w:fill="auto"/>
            <w:noWrap/>
            <w:vAlign w:val="bottom"/>
            <w:hideMark/>
          </w:tcPr>
          <w:p w14:paraId="3B35ED48" w14:textId="1FE75279"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3</w:t>
            </w:r>
            <w:r w:rsidR="004F77BE" w:rsidRPr="00AD7C3F">
              <w:rPr>
                <w:rFonts w:ascii="Arial" w:hAnsi="Arial" w:cs="Arial"/>
                <w:color w:val="000000"/>
                <w:sz w:val="19"/>
                <w:szCs w:val="19"/>
              </w:rPr>
              <w:t xml:space="preserve">64,303 </w:t>
            </w:r>
          </w:p>
        </w:tc>
        <w:tc>
          <w:tcPr>
            <w:tcW w:w="1300" w:type="dxa"/>
            <w:tcBorders>
              <w:top w:val="nil"/>
              <w:left w:val="nil"/>
              <w:bottom w:val="nil"/>
              <w:right w:val="nil"/>
            </w:tcBorders>
            <w:shd w:val="clear" w:color="auto" w:fill="auto"/>
            <w:noWrap/>
            <w:vAlign w:val="bottom"/>
            <w:hideMark/>
          </w:tcPr>
          <w:p w14:paraId="1EDCBFEB" w14:textId="525D93DD"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4</w:t>
            </w:r>
            <w:r w:rsidR="004F77BE" w:rsidRPr="00AD7C3F">
              <w:rPr>
                <w:rFonts w:ascii="Arial" w:hAnsi="Arial" w:cs="Arial"/>
                <w:color w:val="000000"/>
                <w:sz w:val="19"/>
                <w:szCs w:val="19"/>
              </w:rPr>
              <w:t xml:space="preserve">49,746 </w:t>
            </w:r>
          </w:p>
        </w:tc>
      </w:tr>
      <w:tr w:rsidR="004F77BE" w:rsidRPr="00AD7C3F" w14:paraId="4668626E" w14:textId="77777777" w:rsidTr="00AD7C3F">
        <w:trPr>
          <w:trHeight w:val="153"/>
        </w:trPr>
        <w:tc>
          <w:tcPr>
            <w:tcW w:w="5880" w:type="dxa"/>
            <w:tcBorders>
              <w:top w:val="nil"/>
              <w:left w:val="nil"/>
              <w:bottom w:val="nil"/>
              <w:right w:val="nil"/>
            </w:tcBorders>
            <w:shd w:val="clear" w:color="auto" w:fill="auto"/>
            <w:noWrap/>
            <w:vAlign w:val="bottom"/>
            <w:hideMark/>
          </w:tcPr>
          <w:p w14:paraId="52A855D3"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Unbilled Revenue</w:t>
            </w:r>
          </w:p>
        </w:tc>
        <w:tc>
          <w:tcPr>
            <w:tcW w:w="1300" w:type="dxa"/>
            <w:tcBorders>
              <w:top w:val="nil"/>
              <w:left w:val="nil"/>
              <w:bottom w:val="nil"/>
              <w:right w:val="nil"/>
            </w:tcBorders>
            <w:shd w:val="clear" w:color="auto" w:fill="auto"/>
            <w:noWrap/>
            <w:vAlign w:val="bottom"/>
            <w:hideMark/>
          </w:tcPr>
          <w:p w14:paraId="1EF15C7E"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72,994 </w:t>
            </w:r>
          </w:p>
        </w:tc>
        <w:tc>
          <w:tcPr>
            <w:tcW w:w="1300" w:type="dxa"/>
            <w:tcBorders>
              <w:top w:val="nil"/>
              <w:left w:val="nil"/>
              <w:bottom w:val="nil"/>
              <w:right w:val="nil"/>
            </w:tcBorders>
            <w:shd w:val="clear" w:color="auto" w:fill="auto"/>
            <w:noWrap/>
            <w:vAlign w:val="bottom"/>
            <w:hideMark/>
          </w:tcPr>
          <w:p w14:paraId="2C760346" w14:textId="714EDC80"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1</w:t>
            </w:r>
            <w:r w:rsidR="004F77BE" w:rsidRPr="00AD7C3F">
              <w:rPr>
                <w:rFonts w:ascii="Arial" w:hAnsi="Arial" w:cs="Arial"/>
                <w:color w:val="000000"/>
                <w:sz w:val="19"/>
                <w:szCs w:val="19"/>
              </w:rPr>
              <w:t xml:space="preserve">13,620 </w:t>
            </w:r>
          </w:p>
        </w:tc>
      </w:tr>
      <w:tr w:rsidR="004F77BE" w:rsidRPr="00AD7C3F" w14:paraId="6BCF2BBA" w14:textId="77777777" w:rsidTr="00AD7C3F">
        <w:trPr>
          <w:trHeight w:val="207"/>
        </w:trPr>
        <w:tc>
          <w:tcPr>
            <w:tcW w:w="5880" w:type="dxa"/>
            <w:tcBorders>
              <w:top w:val="nil"/>
              <w:left w:val="nil"/>
              <w:bottom w:val="nil"/>
              <w:right w:val="nil"/>
            </w:tcBorders>
            <w:shd w:val="clear" w:color="auto" w:fill="auto"/>
            <w:noWrap/>
            <w:vAlign w:val="bottom"/>
            <w:hideMark/>
          </w:tcPr>
          <w:p w14:paraId="2D94F32C"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Investment Securities, Available for Sale</w:t>
            </w:r>
          </w:p>
        </w:tc>
        <w:tc>
          <w:tcPr>
            <w:tcW w:w="1300" w:type="dxa"/>
            <w:tcBorders>
              <w:top w:val="nil"/>
              <w:left w:val="nil"/>
              <w:bottom w:val="nil"/>
              <w:right w:val="nil"/>
            </w:tcBorders>
            <w:shd w:val="clear" w:color="auto" w:fill="auto"/>
            <w:noWrap/>
            <w:vAlign w:val="bottom"/>
            <w:hideMark/>
          </w:tcPr>
          <w:p w14:paraId="4641B753" w14:textId="718EE459"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3</w:t>
            </w:r>
            <w:r w:rsidR="004F77BE" w:rsidRPr="00AD7C3F">
              <w:rPr>
                <w:rFonts w:ascii="Arial" w:hAnsi="Arial" w:cs="Arial"/>
                <w:color w:val="000000"/>
                <w:sz w:val="19"/>
                <w:szCs w:val="19"/>
              </w:rPr>
              <w:t xml:space="preserve">35,564 </w:t>
            </w:r>
          </w:p>
        </w:tc>
        <w:tc>
          <w:tcPr>
            <w:tcW w:w="1300" w:type="dxa"/>
            <w:tcBorders>
              <w:top w:val="nil"/>
              <w:left w:val="nil"/>
              <w:bottom w:val="nil"/>
              <w:right w:val="nil"/>
            </w:tcBorders>
            <w:shd w:val="clear" w:color="auto" w:fill="auto"/>
            <w:noWrap/>
            <w:vAlign w:val="bottom"/>
            <w:hideMark/>
          </w:tcPr>
          <w:p w14:paraId="6222CAE9"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4,841 </w:t>
            </w:r>
          </w:p>
        </w:tc>
      </w:tr>
      <w:tr w:rsidR="004F77BE" w:rsidRPr="00AD7C3F" w14:paraId="7A6981C2" w14:textId="77777777" w:rsidTr="00AD7C3F">
        <w:trPr>
          <w:trHeight w:val="171"/>
        </w:trPr>
        <w:tc>
          <w:tcPr>
            <w:tcW w:w="5880" w:type="dxa"/>
            <w:tcBorders>
              <w:top w:val="nil"/>
              <w:left w:val="nil"/>
              <w:bottom w:val="nil"/>
              <w:right w:val="nil"/>
            </w:tcBorders>
            <w:shd w:val="clear" w:color="auto" w:fill="auto"/>
            <w:noWrap/>
            <w:vAlign w:val="bottom"/>
            <w:hideMark/>
          </w:tcPr>
          <w:p w14:paraId="05CD6BAB"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Due from Related Parties</w:t>
            </w:r>
          </w:p>
        </w:tc>
        <w:tc>
          <w:tcPr>
            <w:tcW w:w="1300" w:type="dxa"/>
            <w:tcBorders>
              <w:top w:val="nil"/>
              <w:left w:val="nil"/>
              <w:bottom w:val="nil"/>
              <w:right w:val="nil"/>
            </w:tcBorders>
            <w:shd w:val="clear" w:color="auto" w:fill="auto"/>
            <w:noWrap/>
            <w:vAlign w:val="bottom"/>
            <w:hideMark/>
          </w:tcPr>
          <w:p w14:paraId="34A84495"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2,815 </w:t>
            </w:r>
          </w:p>
        </w:tc>
        <w:tc>
          <w:tcPr>
            <w:tcW w:w="1300" w:type="dxa"/>
            <w:tcBorders>
              <w:top w:val="nil"/>
              <w:left w:val="nil"/>
              <w:bottom w:val="nil"/>
              <w:right w:val="nil"/>
            </w:tcBorders>
            <w:shd w:val="clear" w:color="auto" w:fill="auto"/>
            <w:noWrap/>
            <w:vAlign w:val="bottom"/>
            <w:hideMark/>
          </w:tcPr>
          <w:p w14:paraId="365BCA37"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2,039 </w:t>
            </w:r>
          </w:p>
        </w:tc>
      </w:tr>
      <w:tr w:rsidR="004F77BE" w:rsidRPr="00AD7C3F" w14:paraId="124D6E69" w14:textId="77777777" w:rsidTr="00AD7C3F">
        <w:trPr>
          <w:trHeight w:val="216"/>
        </w:trPr>
        <w:tc>
          <w:tcPr>
            <w:tcW w:w="5880" w:type="dxa"/>
            <w:tcBorders>
              <w:top w:val="nil"/>
              <w:left w:val="nil"/>
              <w:bottom w:val="nil"/>
              <w:right w:val="nil"/>
            </w:tcBorders>
            <w:shd w:val="clear" w:color="auto" w:fill="auto"/>
            <w:noWrap/>
            <w:vAlign w:val="bottom"/>
            <w:hideMark/>
          </w:tcPr>
          <w:p w14:paraId="3CA3F141"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Inventories</w:t>
            </w:r>
          </w:p>
        </w:tc>
        <w:tc>
          <w:tcPr>
            <w:tcW w:w="1300" w:type="dxa"/>
            <w:tcBorders>
              <w:top w:val="nil"/>
              <w:left w:val="nil"/>
              <w:bottom w:val="nil"/>
              <w:right w:val="nil"/>
            </w:tcBorders>
            <w:shd w:val="clear" w:color="auto" w:fill="auto"/>
            <w:noWrap/>
            <w:vAlign w:val="bottom"/>
            <w:hideMark/>
          </w:tcPr>
          <w:p w14:paraId="786B152A"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17,668 </w:t>
            </w:r>
          </w:p>
        </w:tc>
        <w:tc>
          <w:tcPr>
            <w:tcW w:w="1300" w:type="dxa"/>
            <w:tcBorders>
              <w:top w:val="nil"/>
              <w:left w:val="nil"/>
              <w:bottom w:val="nil"/>
              <w:right w:val="nil"/>
            </w:tcBorders>
            <w:shd w:val="clear" w:color="auto" w:fill="auto"/>
            <w:noWrap/>
            <w:vAlign w:val="bottom"/>
            <w:hideMark/>
          </w:tcPr>
          <w:p w14:paraId="3F17E232"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36,156 </w:t>
            </w:r>
          </w:p>
        </w:tc>
      </w:tr>
      <w:tr w:rsidR="004F77BE" w:rsidRPr="00AD7C3F" w14:paraId="54E466CD" w14:textId="77777777" w:rsidTr="00AD7C3F">
        <w:trPr>
          <w:trHeight w:val="180"/>
        </w:trPr>
        <w:tc>
          <w:tcPr>
            <w:tcW w:w="5880" w:type="dxa"/>
            <w:tcBorders>
              <w:top w:val="nil"/>
              <w:left w:val="nil"/>
              <w:bottom w:val="nil"/>
              <w:right w:val="nil"/>
            </w:tcBorders>
            <w:shd w:val="clear" w:color="auto" w:fill="auto"/>
            <w:noWrap/>
            <w:vAlign w:val="bottom"/>
            <w:hideMark/>
          </w:tcPr>
          <w:p w14:paraId="3F91683E"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Employee Receivables</w:t>
            </w:r>
          </w:p>
        </w:tc>
        <w:tc>
          <w:tcPr>
            <w:tcW w:w="1300" w:type="dxa"/>
            <w:tcBorders>
              <w:top w:val="nil"/>
              <w:left w:val="nil"/>
              <w:bottom w:val="nil"/>
              <w:right w:val="nil"/>
            </w:tcBorders>
            <w:shd w:val="clear" w:color="auto" w:fill="auto"/>
            <w:noWrap/>
            <w:vAlign w:val="bottom"/>
            <w:hideMark/>
          </w:tcPr>
          <w:p w14:paraId="4858F1E8"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13,958 </w:t>
            </w:r>
          </w:p>
        </w:tc>
        <w:tc>
          <w:tcPr>
            <w:tcW w:w="1300" w:type="dxa"/>
            <w:tcBorders>
              <w:top w:val="nil"/>
              <w:left w:val="nil"/>
              <w:bottom w:val="nil"/>
              <w:right w:val="nil"/>
            </w:tcBorders>
            <w:shd w:val="clear" w:color="auto" w:fill="auto"/>
            <w:noWrap/>
            <w:vAlign w:val="bottom"/>
            <w:hideMark/>
          </w:tcPr>
          <w:p w14:paraId="174533E4"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8,210 </w:t>
            </w:r>
          </w:p>
        </w:tc>
      </w:tr>
      <w:tr w:rsidR="004F77BE" w:rsidRPr="00AD7C3F" w14:paraId="78DE38C1" w14:textId="77777777" w:rsidTr="00AD7C3F">
        <w:trPr>
          <w:trHeight w:val="144"/>
        </w:trPr>
        <w:tc>
          <w:tcPr>
            <w:tcW w:w="5880" w:type="dxa"/>
            <w:tcBorders>
              <w:top w:val="nil"/>
              <w:left w:val="nil"/>
              <w:bottom w:val="nil"/>
              <w:right w:val="nil"/>
            </w:tcBorders>
            <w:shd w:val="clear" w:color="auto" w:fill="auto"/>
            <w:noWrap/>
            <w:vAlign w:val="bottom"/>
            <w:hideMark/>
          </w:tcPr>
          <w:p w14:paraId="5948B06C"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Deferred Income Taxes</w:t>
            </w:r>
          </w:p>
        </w:tc>
        <w:tc>
          <w:tcPr>
            <w:tcW w:w="1300" w:type="dxa"/>
            <w:tcBorders>
              <w:top w:val="nil"/>
              <w:left w:val="nil"/>
              <w:bottom w:val="nil"/>
              <w:right w:val="nil"/>
            </w:tcBorders>
            <w:shd w:val="clear" w:color="auto" w:fill="auto"/>
            <w:noWrap/>
            <w:vAlign w:val="bottom"/>
            <w:hideMark/>
          </w:tcPr>
          <w:p w14:paraId="54A4F2EE"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13,384 </w:t>
            </w:r>
          </w:p>
        </w:tc>
        <w:tc>
          <w:tcPr>
            <w:tcW w:w="1300" w:type="dxa"/>
            <w:tcBorders>
              <w:top w:val="nil"/>
              <w:left w:val="nil"/>
              <w:bottom w:val="nil"/>
              <w:right w:val="nil"/>
            </w:tcBorders>
            <w:shd w:val="clear" w:color="auto" w:fill="auto"/>
            <w:noWrap/>
            <w:vAlign w:val="bottom"/>
            <w:hideMark/>
          </w:tcPr>
          <w:p w14:paraId="57086A2E"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44,049 </w:t>
            </w:r>
          </w:p>
        </w:tc>
      </w:tr>
      <w:tr w:rsidR="004F77BE" w:rsidRPr="00AD7C3F" w14:paraId="7515209A" w14:textId="77777777" w:rsidTr="00AD7C3F">
        <w:trPr>
          <w:trHeight w:val="108"/>
        </w:trPr>
        <w:tc>
          <w:tcPr>
            <w:tcW w:w="5880" w:type="dxa"/>
            <w:tcBorders>
              <w:top w:val="nil"/>
              <w:left w:val="nil"/>
              <w:bottom w:val="nil"/>
              <w:right w:val="nil"/>
            </w:tcBorders>
            <w:shd w:val="clear" w:color="auto" w:fill="auto"/>
            <w:noWrap/>
            <w:vAlign w:val="bottom"/>
            <w:hideMark/>
          </w:tcPr>
          <w:p w14:paraId="00344059"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Other Current Assets</w:t>
            </w:r>
          </w:p>
        </w:tc>
        <w:tc>
          <w:tcPr>
            <w:tcW w:w="1300" w:type="dxa"/>
            <w:tcBorders>
              <w:top w:val="nil"/>
              <w:left w:val="nil"/>
              <w:bottom w:val="nil"/>
              <w:right w:val="nil"/>
            </w:tcBorders>
            <w:shd w:val="clear" w:color="auto" w:fill="auto"/>
            <w:noWrap/>
            <w:vAlign w:val="bottom"/>
            <w:hideMark/>
          </w:tcPr>
          <w:p w14:paraId="6F955019"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60,732 </w:t>
            </w:r>
          </w:p>
        </w:tc>
        <w:tc>
          <w:tcPr>
            <w:tcW w:w="1300" w:type="dxa"/>
            <w:tcBorders>
              <w:top w:val="nil"/>
              <w:left w:val="nil"/>
              <w:bottom w:val="nil"/>
              <w:right w:val="nil"/>
            </w:tcBorders>
            <w:shd w:val="clear" w:color="auto" w:fill="auto"/>
            <w:noWrap/>
            <w:vAlign w:val="bottom"/>
            <w:hideMark/>
          </w:tcPr>
          <w:p w14:paraId="4E2ED102" w14:textId="63C2959A" w:rsidR="004F77BE" w:rsidRPr="00AD7C3F" w:rsidRDefault="004078F0" w:rsidP="00E62F8F">
            <w:pPr>
              <w:jc w:val="right"/>
              <w:rPr>
                <w:rFonts w:ascii="Arial" w:hAnsi="Arial" w:cs="Arial"/>
                <w:color w:val="000000"/>
                <w:sz w:val="19"/>
                <w:szCs w:val="19"/>
              </w:rPr>
            </w:pPr>
            <w:r>
              <w:rPr>
                <w:rFonts w:ascii="Arial" w:hAnsi="Arial" w:cs="Arial"/>
                <w:color w:val="000000"/>
                <w:sz w:val="19"/>
                <w:szCs w:val="19"/>
              </w:rPr>
              <w:t>1</w:t>
            </w:r>
            <w:r w:rsidR="004F77BE" w:rsidRPr="00AD7C3F">
              <w:rPr>
                <w:rFonts w:ascii="Arial" w:hAnsi="Arial" w:cs="Arial"/>
                <w:color w:val="000000"/>
                <w:sz w:val="19"/>
                <w:szCs w:val="19"/>
              </w:rPr>
              <w:t xml:space="preserve">34,944 </w:t>
            </w:r>
          </w:p>
        </w:tc>
      </w:tr>
      <w:tr w:rsidR="004F77BE" w:rsidRPr="00AD7C3F" w14:paraId="055B0149" w14:textId="77777777" w:rsidTr="00AD7C3F">
        <w:trPr>
          <w:trHeight w:val="57"/>
        </w:trPr>
        <w:tc>
          <w:tcPr>
            <w:tcW w:w="5880" w:type="dxa"/>
            <w:tcBorders>
              <w:top w:val="single" w:sz="4" w:space="0" w:color="auto"/>
              <w:left w:val="nil"/>
              <w:bottom w:val="single" w:sz="4" w:space="0" w:color="auto"/>
              <w:right w:val="nil"/>
            </w:tcBorders>
            <w:shd w:val="clear" w:color="auto" w:fill="auto"/>
            <w:noWrap/>
            <w:vAlign w:val="bottom"/>
            <w:hideMark/>
          </w:tcPr>
          <w:p w14:paraId="46909CD8" w14:textId="77777777" w:rsidR="004F77BE" w:rsidRPr="00AD7C3F" w:rsidRDefault="004F77BE" w:rsidP="00E62F8F">
            <w:pPr>
              <w:rPr>
                <w:rFonts w:ascii="Arial" w:hAnsi="Arial" w:cs="Arial"/>
                <w:b/>
                <w:bCs/>
                <w:color w:val="000000"/>
                <w:sz w:val="19"/>
                <w:szCs w:val="19"/>
              </w:rPr>
            </w:pPr>
            <w:r w:rsidRPr="00AD7C3F">
              <w:rPr>
                <w:rFonts w:ascii="Arial" w:hAnsi="Arial" w:cs="Arial"/>
                <w:b/>
                <w:bCs/>
                <w:color w:val="000000"/>
                <w:sz w:val="19"/>
                <w:szCs w:val="19"/>
              </w:rPr>
              <w:t>Total Current Assets</w:t>
            </w:r>
          </w:p>
        </w:tc>
        <w:tc>
          <w:tcPr>
            <w:tcW w:w="1300" w:type="dxa"/>
            <w:tcBorders>
              <w:top w:val="single" w:sz="4" w:space="0" w:color="auto"/>
              <w:left w:val="nil"/>
              <w:bottom w:val="single" w:sz="4" w:space="0" w:color="auto"/>
              <w:right w:val="nil"/>
            </w:tcBorders>
            <w:shd w:val="clear" w:color="auto" w:fill="auto"/>
            <w:noWrap/>
            <w:vAlign w:val="bottom"/>
            <w:hideMark/>
          </w:tcPr>
          <w:p w14:paraId="34DDEFB3" w14:textId="1A68E699" w:rsidR="004F77BE" w:rsidRPr="00AD7C3F" w:rsidRDefault="004078F0" w:rsidP="00E62F8F">
            <w:pPr>
              <w:jc w:val="right"/>
              <w:rPr>
                <w:rFonts w:ascii="Arial" w:hAnsi="Arial" w:cs="Arial"/>
                <w:b/>
                <w:bCs/>
                <w:color w:val="000000"/>
                <w:sz w:val="19"/>
                <w:szCs w:val="19"/>
              </w:rPr>
            </w:pPr>
            <w:r>
              <w:rPr>
                <w:rFonts w:ascii="Arial" w:hAnsi="Arial" w:cs="Arial"/>
                <w:b/>
                <w:bCs/>
                <w:color w:val="000000"/>
                <w:sz w:val="19"/>
                <w:szCs w:val="19"/>
              </w:rPr>
              <w:t>1,1</w:t>
            </w:r>
            <w:r w:rsidR="004F77BE" w:rsidRPr="00AD7C3F">
              <w:rPr>
                <w:rFonts w:ascii="Arial" w:hAnsi="Arial" w:cs="Arial"/>
                <w:b/>
                <w:bCs/>
                <w:color w:val="000000"/>
                <w:sz w:val="19"/>
                <w:szCs w:val="19"/>
              </w:rPr>
              <w:t xml:space="preserve">15,077 </w:t>
            </w:r>
          </w:p>
        </w:tc>
        <w:tc>
          <w:tcPr>
            <w:tcW w:w="1300" w:type="dxa"/>
            <w:tcBorders>
              <w:top w:val="single" w:sz="4" w:space="0" w:color="auto"/>
              <w:left w:val="nil"/>
              <w:bottom w:val="single" w:sz="4" w:space="0" w:color="auto"/>
              <w:right w:val="nil"/>
            </w:tcBorders>
            <w:shd w:val="clear" w:color="auto" w:fill="auto"/>
            <w:noWrap/>
            <w:vAlign w:val="bottom"/>
            <w:hideMark/>
          </w:tcPr>
          <w:p w14:paraId="414168B7" w14:textId="34CDEAFE" w:rsidR="004F77BE" w:rsidRPr="00AD7C3F" w:rsidRDefault="004078F0" w:rsidP="00E62F8F">
            <w:pPr>
              <w:jc w:val="right"/>
              <w:rPr>
                <w:rFonts w:ascii="Arial" w:hAnsi="Arial" w:cs="Arial"/>
                <w:b/>
                <w:bCs/>
                <w:color w:val="000000"/>
                <w:sz w:val="19"/>
                <w:szCs w:val="19"/>
              </w:rPr>
            </w:pPr>
            <w:r>
              <w:rPr>
                <w:rFonts w:ascii="Arial" w:hAnsi="Arial" w:cs="Arial"/>
                <w:b/>
                <w:bCs/>
                <w:color w:val="000000"/>
                <w:sz w:val="19"/>
                <w:szCs w:val="19"/>
              </w:rPr>
              <w:t>1,1</w:t>
            </w:r>
            <w:r w:rsidR="004F77BE" w:rsidRPr="00AD7C3F">
              <w:rPr>
                <w:rFonts w:ascii="Arial" w:hAnsi="Arial" w:cs="Arial"/>
                <w:b/>
                <w:bCs/>
                <w:color w:val="000000"/>
                <w:sz w:val="19"/>
                <w:szCs w:val="19"/>
              </w:rPr>
              <w:t xml:space="preserve">85,295 </w:t>
            </w:r>
          </w:p>
        </w:tc>
      </w:tr>
      <w:tr w:rsidR="004F77BE" w:rsidRPr="00AD7C3F" w14:paraId="445B9B70" w14:textId="77777777" w:rsidTr="00AD7C3F">
        <w:trPr>
          <w:trHeight w:val="98"/>
        </w:trPr>
        <w:tc>
          <w:tcPr>
            <w:tcW w:w="5880" w:type="dxa"/>
            <w:tcBorders>
              <w:top w:val="nil"/>
              <w:left w:val="nil"/>
              <w:bottom w:val="nil"/>
              <w:right w:val="nil"/>
            </w:tcBorders>
            <w:shd w:val="clear" w:color="auto" w:fill="auto"/>
            <w:noWrap/>
            <w:vAlign w:val="bottom"/>
            <w:hideMark/>
          </w:tcPr>
          <w:p w14:paraId="0F4D07F8"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Employee Receivables</w:t>
            </w:r>
          </w:p>
        </w:tc>
        <w:tc>
          <w:tcPr>
            <w:tcW w:w="1300" w:type="dxa"/>
            <w:tcBorders>
              <w:top w:val="nil"/>
              <w:left w:val="nil"/>
              <w:bottom w:val="nil"/>
              <w:right w:val="nil"/>
            </w:tcBorders>
            <w:shd w:val="clear" w:color="auto" w:fill="auto"/>
            <w:noWrap/>
            <w:vAlign w:val="bottom"/>
            <w:hideMark/>
          </w:tcPr>
          <w:p w14:paraId="19375C49"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304 </w:t>
            </w:r>
          </w:p>
        </w:tc>
        <w:tc>
          <w:tcPr>
            <w:tcW w:w="1300" w:type="dxa"/>
            <w:tcBorders>
              <w:top w:val="nil"/>
              <w:left w:val="nil"/>
              <w:bottom w:val="nil"/>
              <w:right w:val="nil"/>
            </w:tcBorders>
            <w:shd w:val="clear" w:color="auto" w:fill="auto"/>
            <w:noWrap/>
            <w:vAlign w:val="bottom"/>
            <w:hideMark/>
          </w:tcPr>
          <w:p w14:paraId="7BDC0FEB"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292 </w:t>
            </w:r>
          </w:p>
        </w:tc>
      </w:tr>
      <w:tr w:rsidR="004F77BE" w:rsidRPr="00AD7C3F" w14:paraId="7D0E155F" w14:textId="77777777" w:rsidTr="00AD7C3F">
        <w:trPr>
          <w:trHeight w:val="144"/>
        </w:trPr>
        <w:tc>
          <w:tcPr>
            <w:tcW w:w="5880" w:type="dxa"/>
            <w:tcBorders>
              <w:top w:val="nil"/>
              <w:left w:val="nil"/>
              <w:bottom w:val="nil"/>
              <w:right w:val="nil"/>
            </w:tcBorders>
            <w:shd w:val="clear" w:color="auto" w:fill="auto"/>
            <w:noWrap/>
            <w:vAlign w:val="bottom"/>
            <w:hideMark/>
          </w:tcPr>
          <w:p w14:paraId="0966F547"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Deferred Income Taxes</w:t>
            </w:r>
          </w:p>
        </w:tc>
        <w:tc>
          <w:tcPr>
            <w:tcW w:w="1300" w:type="dxa"/>
            <w:tcBorders>
              <w:top w:val="nil"/>
              <w:left w:val="nil"/>
              <w:bottom w:val="nil"/>
              <w:right w:val="nil"/>
            </w:tcBorders>
            <w:shd w:val="clear" w:color="auto" w:fill="auto"/>
            <w:noWrap/>
            <w:vAlign w:val="bottom"/>
            <w:hideMark/>
          </w:tcPr>
          <w:p w14:paraId="4DDC533F"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70,027 </w:t>
            </w:r>
          </w:p>
        </w:tc>
        <w:tc>
          <w:tcPr>
            <w:tcW w:w="1300" w:type="dxa"/>
            <w:tcBorders>
              <w:top w:val="nil"/>
              <w:left w:val="nil"/>
              <w:bottom w:val="nil"/>
              <w:right w:val="nil"/>
            </w:tcBorders>
            <w:shd w:val="clear" w:color="auto" w:fill="auto"/>
            <w:noWrap/>
            <w:vAlign w:val="bottom"/>
            <w:hideMark/>
          </w:tcPr>
          <w:p w14:paraId="18728968"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79,635 </w:t>
            </w:r>
          </w:p>
        </w:tc>
      </w:tr>
      <w:tr w:rsidR="004F77BE" w:rsidRPr="00AD7C3F" w14:paraId="5DC0D686" w14:textId="77777777" w:rsidTr="00AD7C3F">
        <w:trPr>
          <w:trHeight w:val="67"/>
        </w:trPr>
        <w:tc>
          <w:tcPr>
            <w:tcW w:w="5880" w:type="dxa"/>
            <w:tcBorders>
              <w:top w:val="nil"/>
              <w:left w:val="nil"/>
              <w:bottom w:val="nil"/>
              <w:right w:val="nil"/>
            </w:tcBorders>
            <w:shd w:val="clear" w:color="auto" w:fill="auto"/>
            <w:noWrap/>
            <w:vAlign w:val="bottom"/>
            <w:hideMark/>
          </w:tcPr>
          <w:p w14:paraId="2056DF5D"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Investment Securities, Held to Maturity</w:t>
            </w:r>
          </w:p>
        </w:tc>
        <w:tc>
          <w:tcPr>
            <w:tcW w:w="1300" w:type="dxa"/>
            <w:tcBorders>
              <w:top w:val="nil"/>
              <w:left w:val="nil"/>
              <w:bottom w:val="nil"/>
              <w:right w:val="nil"/>
            </w:tcBorders>
            <w:shd w:val="clear" w:color="auto" w:fill="auto"/>
            <w:noWrap/>
            <w:vAlign w:val="bottom"/>
            <w:hideMark/>
          </w:tcPr>
          <w:p w14:paraId="3FC3C462"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2,788 </w:t>
            </w:r>
          </w:p>
        </w:tc>
        <w:tc>
          <w:tcPr>
            <w:tcW w:w="1300" w:type="dxa"/>
            <w:tcBorders>
              <w:top w:val="nil"/>
              <w:left w:val="nil"/>
              <w:bottom w:val="nil"/>
              <w:right w:val="nil"/>
            </w:tcBorders>
            <w:shd w:val="clear" w:color="auto" w:fill="auto"/>
            <w:noWrap/>
            <w:vAlign w:val="bottom"/>
            <w:hideMark/>
          </w:tcPr>
          <w:p w14:paraId="5451B606"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4,175 </w:t>
            </w:r>
          </w:p>
        </w:tc>
      </w:tr>
      <w:tr w:rsidR="004F77BE" w:rsidRPr="00AD7C3F" w14:paraId="686972E1" w14:textId="77777777" w:rsidTr="00AD7C3F">
        <w:trPr>
          <w:trHeight w:val="162"/>
        </w:trPr>
        <w:tc>
          <w:tcPr>
            <w:tcW w:w="5880" w:type="dxa"/>
            <w:tcBorders>
              <w:top w:val="nil"/>
              <w:left w:val="nil"/>
              <w:bottom w:val="nil"/>
              <w:right w:val="nil"/>
            </w:tcBorders>
            <w:shd w:val="clear" w:color="auto" w:fill="auto"/>
            <w:noWrap/>
            <w:vAlign w:val="bottom"/>
            <w:hideMark/>
          </w:tcPr>
          <w:p w14:paraId="49F2C46C"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Investments in Affiliates</w:t>
            </w:r>
          </w:p>
        </w:tc>
        <w:tc>
          <w:tcPr>
            <w:tcW w:w="1300" w:type="dxa"/>
            <w:tcBorders>
              <w:top w:val="nil"/>
              <w:left w:val="nil"/>
              <w:bottom w:val="nil"/>
              <w:right w:val="nil"/>
            </w:tcBorders>
            <w:shd w:val="clear" w:color="auto" w:fill="auto"/>
            <w:noWrap/>
            <w:vAlign w:val="bottom"/>
            <w:hideMark/>
          </w:tcPr>
          <w:p w14:paraId="016632BD"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2,354 </w:t>
            </w:r>
          </w:p>
        </w:tc>
        <w:tc>
          <w:tcPr>
            <w:tcW w:w="1300" w:type="dxa"/>
            <w:tcBorders>
              <w:top w:val="nil"/>
              <w:left w:val="nil"/>
              <w:bottom w:val="nil"/>
              <w:right w:val="nil"/>
            </w:tcBorders>
            <w:shd w:val="clear" w:color="auto" w:fill="auto"/>
            <w:noWrap/>
            <w:vAlign w:val="bottom"/>
            <w:hideMark/>
          </w:tcPr>
          <w:p w14:paraId="48B5256C"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3,520 </w:t>
            </w:r>
          </w:p>
        </w:tc>
      </w:tr>
      <w:tr w:rsidR="004F77BE" w:rsidRPr="00AD7C3F" w14:paraId="5EB9C8CF" w14:textId="77777777" w:rsidTr="00AD7C3F">
        <w:trPr>
          <w:trHeight w:val="117"/>
        </w:trPr>
        <w:tc>
          <w:tcPr>
            <w:tcW w:w="5880" w:type="dxa"/>
            <w:tcBorders>
              <w:top w:val="nil"/>
              <w:left w:val="nil"/>
              <w:bottom w:val="nil"/>
              <w:right w:val="nil"/>
            </w:tcBorders>
            <w:shd w:val="clear" w:color="auto" w:fill="auto"/>
            <w:noWrap/>
            <w:vAlign w:val="bottom"/>
            <w:hideMark/>
          </w:tcPr>
          <w:p w14:paraId="30691474"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Property and Equipment, Net</w:t>
            </w:r>
          </w:p>
        </w:tc>
        <w:tc>
          <w:tcPr>
            <w:tcW w:w="1300" w:type="dxa"/>
            <w:tcBorders>
              <w:top w:val="nil"/>
              <w:left w:val="nil"/>
              <w:bottom w:val="nil"/>
              <w:right w:val="nil"/>
            </w:tcBorders>
            <w:shd w:val="clear" w:color="auto" w:fill="auto"/>
            <w:noWrap/>
            <w:vAlign w:val="bottom"/>
            <w:hideMark/>
          </w:tcPr>
          <w:p w14:paraId="4A428380" w14:textId="2F2D04AE" w:rsidR="004F77BE" w:rsidRPr="00AD7C3F" w:rsidRDefault="001E1B07" w:rsidP="00E62F8F">
            <w:pPr>
              <w:jc w:val="right"/>
              <w:rPr>
                <w:rFonts w:ascii="Arial" w:hAnsi="Arial" w:cs="Arial"/>
                <w:color w:val="000000"/>
                <w:sz w:val="19"/>
                <w:szCs w:val="19"/>
              </w:rPr>
            </w:pPr>
            <w:r>
              <w:rPr>
                <w:rFonts w:ascii="Arial" w:hAnsi="Arial" w:cs="Arial"/>
                <w:color w:val="000000"/>
                <w:sz w:val="19"/>
                <w:szCs w:val="19"/>
              </w:rPr>
              <w:t>3</w:t>
            </w:r>
            <w:r w:rsidR="004F77BE" w:rsidRPr="00AD7C3F">
              <w:rPr>
                <w:rFonts w:ascii="Arial" w:hAnsi="Arial" w:cs="Arial"/>
                <w:color w:val="000000"/>
                <w:sz w:val="19"/>
                <w:szCs w:val="19"/>
              </w:rPr>
              <w:t xml:space="preserve">09,453 </w:t>
            </w:r>
          </w:p>
        </w:tc>
        <w:tc>
          <w:tcPr>
            <w:tcW w:w="1300" w:type="dxa"/>
            <w:tcBorders>
              <w:top w:val="nil"/>
              <w:left w:val="nil"/>
              <w:bottom w:val="nil"/>
              <w:right w:val="nil"/>
            </w:tcBorders>
            <w:shd w:val="clear" w:color="auto" w:fill="auto"/>
            <w:noWrap/>
            <w:vAlign w:val="bottom"/>
            <w:hideMark/>
          </w:tcPr>
          <w:p w14:paraId="74BBABC6" w14:textId="6DE77AE9" w:rsidR="004F77BE" w:rsidRPr="00AD7C3F" w:rsidRDefault="001E1B07" w:rsidP="00E62F8F">
            <w:pPr>
              <w:jc w:val="right"/>
              <w:rPr>
                <w:rFonts w:ascii="Arial" w:hAnsi="Arial" w:cs="Arial"/>
                <w:color w:val="000000"/>
                <w:sz w:val="19"/>
                <w:szCs w:val="19"/>
              </w:rPr>
            </w:pPr>
            <w:r>
              <w:rPr>
                <w:rFonts w:ascii="Arial" w:hAnsi="Arial" w:cs="Arial"/>
                <w:color w:val="000000"/>
                <w:sz w:val="19"/>
                <w:szCs w:val="19"/>
              </w:rPr>
              <w:t>3</w:t>
            </w:r>
            <w:r w:rsidR="004F77BE" w:rsidRPr="00AD7C3F">
              <w:rPr>
                <w:rFonts w:ascii="Arial" w:hAnsi="Arial" w:cs="Arial"/>
                <w:color w:val="000000"/>
                <w:sz w:val="19"/>
                <w:szCs w:val="19"/>
              </w:rPr>
              <w:t xml:space="preserve">31,145 </w:t>
            </w:r>
          </w:p>
        </w:tc>
      </w:tr>
      <w:tr w:rsidR="004F77BE" w:rsidRPr="00AD7C3F" w14:paraId="0E83BF05" w14:textId="77777777" w:rsidTr="00AD7C3F">
        <w:trPr>
          <w:trHeight w:val="90"/>
        </w:trPr>
        <w:tc>
          <w:tcPr>
            <w:tcW w:w="5880" w:type="dxa"/>
            <w:tcBorders>
              <w:top w:val="nil"/>
              <w:left w:val="nil"/>
              <w:bottom w:val="nil"/>
              <w:right w:val="nil"/>
            </w:tcBorders>
            <w:shd w:val="clear" w:color="auto" w:fill="auto"/>
            <w:noWrap/>
            <w:vAlign w:val="bottom"/>
            <w:hideMark/>
          </w:tcPr>
          <w:p w14:paraId="18598D09"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Intangible Assets, Net</w:t>
            </w:r>
          </w:p>
        </w:tc>
        <w:tc>
          <w:tcPr>
            <w:tcW w:w="1300" w:type="dxa"/>
            <w:tcBorders>
              <w:top w:val="nil"/>
              <w:left w:val="nil"/>
              <w:bottom w:val="nil"/>
              <w:right w:val="nil"/>
            </w:tcBorders>
            <w:shd w:val="clear" w:color="auto" w:fill="auto"/>
            <w:noWrap/>
            <w:vAlign w:val="bottom"/>
            <w:hideMark/>
          </w:tcPr>
          <w:p w14:paraId="3E8451F6"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8,472 </w:t>
            </w:r>
          </w:p>
        </w:tc>
        <w:tc>
          <w:tcPr>
            <w:tcW w:w="1300" w:type="dxa"/>
            <w:tcBorders>
              <w:top w:val="nil"/>
              <w:left w:val="nil"/>
              <w:bottom w:val="nil"/>
              <w:right w:val="nil"/>
            </w:tcBorders>
            <w:shd w:val="clear" w:color="auto" w:fill="auto"/>
            <w:noWrap/>
            <w:vAlign w:val="bottom"/>
            <w:hideMark/>
          </w:tcPr>
          <w:p w14:paraId="75490CFA" w14:textId="17083819" w:rsidR="004F77BE" w:rsidRPr="00AD7C3F" w:rsidRDefault="001E1B07" w:rsidP="00E62F8F">
            <w:pPr>
              <w:jc w:val="right"/>
              <w:rPr>
                <w:rFonts w:ascii="Arial" w:hAnsi="Arial" w:cs="Arial"/>
                <w:color w:val="000000"/>
                <w:sz w:val="19"/>
                <w:szCs w:val="19"/>
              </w:rPr>
            </w:pPr>
            <w:r>
              <w:rPr>
                <w:rFonts w:ascii="Arial" w:hAnsi="Arial" w:cs="Arial"/>
                <w:color w:val="000000"/>
                <w:sz w:val="19"/>
                <w:szCs w:val="19"/>
              </w:rPr>
              <w:t>1</w:t>
            </w:r>
            <w:r w:rsidR="004F77BE" w:rsidRPr="00AD7C3F">
              <w:rPr>
                <w:rFonts w:ascii="Arial" w:hAnsi="Arial" w:cs="Arial"/>
                <w:color w:val="000000"/>
                <w:sz w:val="19"/>
                <w:szCs w:val="19"/>
              </w:rPr>
              <w:t xml:space="preserve">25,043 </w:t>
            </w:r>
          </w:p>
        </w:tc>
      </w:tr>
      <w:tr w:rsidR="004F77BE" w:rsidRPr="00AD7C3F" w14:paraId="0DE020D2" w14:textId="77777777" w:rsidTr="00AD7C3F">
        <w:trPr>
          <w:trHeight w:val="135"/>
        </w:trPr>
        <w:tc>
          <w:tcPr>
            <w:tcW w:w="5880" w:type="dxa"/>
            <w:tcBorders>
              <w:top w:val="nil"/>
              <w:left w:val="nil"/>
              <w:bottom w:val="nil"/>
              <w:right w:val="nil"/>
            </w:tcBorders>
            <w:shd w:val="clear" w:color="auto" w:fill="auto"/>
            <w:noWrap/>
            <w:vAlign w:val="bottom"/>
            <w:hideMark/>
          </w:tcPr>
          <w:p w14:paraId="6F43E161"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Goodwill</w:t>
            </w:r>
          </w:p>
        </w:tc>
        <w:tc>
          <w:tcPr>
            <w:tcW w:w="1300" w:type="dxa"/>
            <w:tcBorders>
              <w:top w:val="nil"/>
              <w:left w:val="nil"/>
              <w:bottom w:val="nil"/>
              <w:right w:val="nil"/>
            </w:tcBorders>
            <w:shd w:val="clear" w:color="auto" w:fill="auto"/>
            <w:noWrap/>
            <w:vAlign w:val="bottom"/>
            <w:hideMark/>
          </w:tcPr>
          <w:p w14:paraId="1A2A39C8" w14:textId="5A1F8BFA" w:rsidR="004F77BE" w:rsidRPr="00AD7C3F" w:rsidRDefault="001E1B07" w:rsidP="00E62F8F">
            <w:pPr>
              <w:jc w:val="right"/>
              <w:rPr>
                <w:rFonts w:ascii="Arial" w:hAnsi="Arial" w:cs="Arial"/>
                <w:color w:val="000000"/>
                <w:sz w:val="19"/>
                <w:szCs w:val="19"/>
              </w:rPr>
            </w:pPr>
            <w:r>
              <w:rPr>
                <w:rFonts w:ascii="Arial" w:hAnsi="Arial" w:cs="Arial"/>
                <w:color w:val="000000"/>
                <w:sz w:val="19"/>
                <w:szCs w:val="19"/>
              </w:rPr>
              <w:t>2</w:t>
            </w:r>
            <w:r w:rsidR="004F77BE" w:rsidRPr="00AD7C3F">
              <w:rPr>
                <w:rFonts w:ascii="Arial" w:hAnsi="Arial" w:cs="Arial"/>
                <w:color w:val="000000"/>
                <w:sz w:val="19"/>
                <w:szCs w:val="19"/>
              </w:rPr>
              <w:t xml:space="preserve">14,246 </w:t>
            </w:r>
          </w:p>
        </w:tc>
        <w:tc>
          <w:tcPr>
            <w:tcW w:w="1300" w:type="dxa"/>
            <w:tcBorders>
              <w:top w:val="nil"/>
              <w:left w:val="nil"/>
              <w:bottom w:val="nil"/>
              <w:right w:val="nil"/>
            </w:tcBorders>
            <w:shd w:val="clear" w:color="auto" w:fill="auto"/>
            <w:noWrap/>
            <w:vAlign w:val="bottom"/>
            <w:hideMark/>
          </w:tcPr>
          <w:p w14:paraId="60F764BA" w14:textId="6991AE6F" w:rsidR="004F77BE" w:rsidRPr="00AD7C3F" w:rsidRDefault="001E1B07" w:rsidP="00E62F8F">
            <w:pPr>
              <w:jc w:val="right"/>
              <w:rPr>
                <w:rFonts w:ascii="Arial" w:hAnsi="Arial" w:cs="Arial"/>
                <w:color w:val="000000"/>
                <w:sz w:val="19"/>
                <w:szCs w:val="19"/>
              </w:rPr>
            </w:pPr>
            <w:r>
              <w:rPr>
                <w:rFonts w:ascii="Arial" w:hAnsi="Arial" w:cs="Arial"/>
                <w:color w:val="000000"/>
                <w:sz w:val="19"/>
                <w:szCs w:val="19"/>
              </w:rPr>
              <w:t>8</w:t>
            </w:r>
            <w:r w:rsidR="004F77BE" w:rsidRPr="00AD7C3F">
              <w:rPr>
                <w:rFonts w:ascii="Arial" w:hAnsi="Arial" w:cs="Arial"/>
                <w:color w:val="000000"/>
                <w:sz w:val="19"/>
                <w:szCs w:val="19"/>
              </w:rPr>
              <w:t xml:space="preserve">21,191 </w:t>
            </w:r>
          </w:p>
        </w:tc>
      </w:tr>
      <w:tr w:rsidR="004F77BE" w:rsidRPr="00AD7C3F" w14:paraId="07FE64FE" w14:textId="77777777" w:rsidTr="00AD7C3F">
        <w:trPr>
          <w:trHeight w:val="67"/>
        </w:trPr>
        <w:tc>
          <w:tcPr>
            <w:tcW w:w="5880" w:type="dxa"/>
            <w:tcBorders>
              <w:top w:val="nil"/>
              <w:left w:val="nil"/>
              <w:bottom w:val="nil"/>
              <w:right w:val="nil"/>
            </w:tcBorders>
            <w:shd w:val="clear" w:color="auto" w:fill="auto"/>
            <w:noWrap/>
            <w:vAlign w:val="bottom"/>
            <w:hideMark/>
          </w:tcPr>
          <w:p w14:paraId="6A57C552" w14:textId="77777777" w:rsidR="004F77BE" w:rsidRPr="00AD7C3F" w:rsidRDefault="004F77BE" w:rsidP="00E62F8F">
            <w:pPr>
              <w:rPr>
                <w:rFonts w:ascii="Arial" w:hAnsi="Arial" w:cs="Arial"/>
                <w:color w:val="000000"/>
                <w:sz w:val="19"/>
                <w:szCs w:val="19"/>
              </w:rPr>
            </w:pPr>
            <w:r w:rsidRPr="00AD7C3F">
              <w:rPr>
                <w:rFonts w:ascii="Arial" w:hAnsi="Arial" w:cs="Arial"/>
                <w:color w:val="000000"/>
                <w:sz w:val="19"/>
                <w:szCs w:val="19"/>
              </w:rPr>
              <w:t>Other Assets</w:t>
            </w:r>
          </w:p>
        </w:tc>
        <w:tc>
          <w:tcPr>
            <w:tcW w:w="1300" w:type="dxa"/>
            <w:tcBorders>
              <w:top w:val="nil"/>
              <w:left w:val="nil"/>
              <w:bottom w:val="nil"/>
              <w:right w:val="nil"/>
            </w:tcBorders>
            <w:shd w:val="clear" w:color="auto" w:fill="auto"/>
            <w:noWrap/>
            <w:vAlign w:val="bottom"/>
            <w:hideMark/>
          </w:tcPr>
          <w:p w14:paraId="4439BAFF"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47,323 </w:t>
            </w:r>
          </w:p>
        </w:tc>
        <w:tc>
          <w:tcPr>
            <w:tcW w:w="1300" w:type="dxa"/>
            <w:tcBorders>
              <w:top w:val="nil"/>
              <w:left w:val="nil"/>
              <w:bottom w:val="nil"/>
              <w:right w:val="nil"/>
            </w:tcBorders>
            <w:shd w:val="clear" w:color="auto" w:fill="auto"/>
            <w:noWrap/>
            <w:vAlign w:val="bottom"/>
            <w:hideMark/>
          </w:tcPr>
          <w:p w14:paraId="75C7AB2A" w14:textId="77777777" w:rsidR="004F77BE" w:rsidRPr="00AD7C3F" w:rsidRDefault="004F77BE" w:rsidP="00E62F8F">
            <w:pPr>
              <w:jc w:val="right"/>
              <w:rPr>
                <w:rFonts w:ascii="Arial" w:hAnsi="Arial" w:cs="Arial"/>
                <w:color w:val="000000"/>
                <w:sz w:val="19"/>
                <w:szCs w:val="19"/>
              </w:rPr>
            </w:pPr>
            <w:r w:rsidRPr="00AD7C3F">
              <w:rPr>
                <w:rFonts w:ascii="Arial" w:hAnsi="Arial" w:cs="Arial"/>
                <w:color w:val="000000"/>
                <w:sz w:val="19"/>
                <w:szCs w:val="19"/>
              </w:rPr>
              <w:t xml:space="preserve">99,788 </w:t>
            </w:r>
          </w:p>
        </w:tc>
      </w:tr>
      <w:tr w:rsidR="004F77BE" w:rsidRPr="00AD7C3F" w14:paraId="4059E981" w14:textId="77777777" w:rsidTr="00AD7C3F">
        <w:trPr>
          <w:trHeight w:val="57"/>
        </w:trPr>
        <w:tc>
          <w:tcPr>
            <w:tcW w:w="5880" w:type="dxa"/>
            <w:tcBorders>
              <w:top w:val="single" w:sz="4" w:space="0" w:color="auto"/>
              <w:left w:val="nil"/>
              <w:bottom w:val="single" w:sz="4" w:space="0" w:color="auto"/>
              <w:right w:val="nil"/>
            </w:tcBorders>
            <w:shd w:val="clear" w:color="auto" w:fill="auto"/>
            <w:noWrap/>
            <w:vAlign w:val="bottom"/>
            <w:hideMark/>
          </w:tcPr>
          <w:p w14:paraId="45752C21" w14:textId="77777777" w:rsidR="004F77BE" w:rsidRPr="00AD7C3F" w:rsidRDefault="004F77BE" w:rsidP="00E62F8F">
            <w:pPr>
              <w:rPr>
                <w:rFonts w:ascii="Arial" w:hAnsi="Arial" w:cs="Arial"/>
                <w:b/>
                <w:bCs/>
                <w:color w:val="000000"/>
                <w:sz w:val="19"/>
                <w:szCs w:val="19"/>
              </w:rPr>
            </w:pPr>
            <w:r w:rsidRPr="00AD7C3F">
              <w:rPr>
                <w:rFonts w:ascii="Arial" w:hAnsi="Arial" w:cs="Arial"/>
                <w:b/>
                <w:bCs/>
                <w:color w:val="000000"/>
                <w:sz w:val="19"/>
                <w:szCs w:val="19"/>
              </w:rPr>
              <w:t>Total Assets</w:t>
            </w:r>
          </w:p>
        </w:tc>
        <w:tc>
          <w:tcPr>
            <w:tcW w:w="1300" w:type="dxa"/>
            <w:tcBorders>
              <w:top w:val="single" w:sz="4" w:space="0" w:color="auto"/>
              <w:left w:val="nil"/>
              <w:bottom w:val="single" w:sz="4" w:space="0" w:color="auto"/>
              <w:right w:val="nil"/>
            </w:tcBorders>
            <w:shd w:val="clear" w:color="auto" w:fill="auto"/>
            <w:noWrap/>
            <w:vAlign w:val="bottom"/>
            <w:hideMark/>
          </w:tcPr>
          <w:p w14:paraId="3B2ACF3F" w14:textId="181201EA" w:rsidR="004F77BE" w:rsidRPr="00AD7C3F" w:rsidRDefault="001E1B07" w:rsidP="00E62F8F">
            <w:pPr>
              <w:jc w:val="right"/>
              <w:rPr>
                <w:rFonts w:ascii="Arial" w:hAnsi="Arial" w:cs="Arial"/>
                <w:b/>
                <w:bCs/>
                <w:color w:val="000000"/>
                <w:sz w:val="19"/>
                <w:szCs w:val="19"/>
              </w:rPr>
            </w:pPr>
            <w:r>
              <w:rPr>
                <w:rFonts w:ascii="Arial" w:hAnsi="Arial" w:cs="Arial"/>
                <w:b/>
                <w:bCs/>
                <w:color w:val="000000"/>
                <w:sz w:val="19"/>
                <w:szCs w:val="19"/>
              </w:rPr>
              <w:t>1,7</w:t>
            </w:r>
            <w:r w:rsidR="004F77BE" w:rsidRPr="00AD7C3F">
              <w:rPr>
                <w:rFonts w:ascii="Arial" w:hAnsi="Arial" w:cs="Arial"/>
                <w:b/>
                <w:bCs/>
                <w:color w:val="000000"/>
                <w:sz w:val="19"/>
                <w:szCs w:val="19"/>
              </w:rPr>
              <w:t xml:space="preserve">70,044 </w:t>
            </w:r>
          </w:p>
        </w:tc>
        <w:tc>
          <w:tcPr>
            <w:tcW w:w="1300" w:type="dxa"/>
            <w:tcBorders>
              <w:top w:val="single" w:sz="4" w:space="0" w:color="auto"/>
              <w:left w:val="nil"/>
              <w:bottom w:val="single" w:sz="4" w:space="0" w:color="auto"/>
              <w:right w:val="nil"/>
            </w:tcBorders>
            <w:shd w:val="clear" w:color="auto" w:fill="auto"/>
            <w:noWrap/>
            <w:vAlign w:val="bottom"/>
            <w:hideMark/>
          </w:tcPr>
          <w:p w14:paraId="745D74E2" w14:textId="1866D9A6" w:rsidR="004F77BE" w:rsidRPr="00AD7C3F" w:rsidRDefault="001E1B07" w:rsidP="00E62F8F">
            <w:pPr>
              <w:jc w:val="right"/>
              <w:rPr>
                <w:rFonts w:ascii="Arial" w:hAnsi="Arial" w:cs="Arial"/>
                <w:b/>
                <w:bCs/>
                <w:color w:val="000000"/>
                <w:sz w:val="19"/>
                <w:szCs w:val="19"/>
              </w:rPr>
            </w:pPr>
            <w:r>
              <w:rPr>
                <w:rFonts w:ascii="Arial" w:hAnsi="Arial" w:cs="Arial"/>
                <w:b/>
                <w:bCs/>
                <w:color w:val="000000"/>
                <w:sz w:val="19"/>
                <w:szCs w:val="19"/>
              </w:rPr>
              <w:t>2,6</w:t>
            </w:r>
            <w:r w:rsidR="004F77BE" w:rsidRPr="00AD7C3F">
              <w:rPr>
                <w:rFonts w:ascii="Arial" w:hAnsi="Arial" w:cs="Arial"/>
                <w:b/>
                <w:bCs/>
                <w:color w:val="000000"/>
                <w:sz w:val="19"/>
                <w:szCs w:val="19"/>
              </w:rPr>
              <w:t xml:space="preserve">50,084 </w:t>
            </w:r>
          </w:p>
        </w:tc>
      </w:tr>
    </w:tbl>
    <w:p w14:paraId="545FC6D0" w14:textId="77777777" w:rsidR="004F77BE" w:rsidRDefault="004F77BE" w:rsidP="004F77BE">
      <w:pPr>
        <w:rPr>
          <w:rFonts w:ascii="Times" w:hAnsi="Times"/>
          <w:b/>
        </w:rPr>
      </w:pPr>
    </w:p>
    <w:tbl>
      <w:tblPr>
        <w:tblW w:w="8480" w:type="dxa"/>
        <w:tblInd w:w="93" w:type="dxa"/>
        <w:tblLook w:val="04A0" w:firstRow="1" w:lastRow="0" w:firstColumn="1" w:lastColumn="0" w:noHBand="0" w:noVBand="1"/>
      </w:tblPr>
      <w:tblGrid>
        <w:gridCol w:w="5880"/>
        <w:gridCol w:w="1300"/>
        <w:gridCol w:w="1300"/>
      </w:tblGrid>
      <w:tr w:rsidR="004F77BE" w:rsidRPr="00981846" w14:paraId="4D2FBD0E" w14:textId="77777777" w:rsidTr="00981846">
        <w:trPr>
          <w:trHeight w:val="215"/>
        </w:trPr>
        <w:tc>
          <w:tcPr>
            <w:tcW w:w="5880" w:type="dxa"/>
            <w:tcBorders>
              <w:top w:val="single" w:sz="4" w:space="0" w:color="auto"/>
              <w:left w:val="nil"/>
              <w:bottom w:val="single" w:sz="4" w:space="0" w:color="auto"/>
              <w:right w:val="nil"/>
            </w:tcBorders>
            <w:shd w:val="clear" w:color="auto" w:fill="auto"/>
            <w:noWrap/>
            <w:vAlign w:val="bottom"/>
            <w:hideMark/>
          </w:tcPr>
          <w:p w14:paraId="795B084E" w14:textId="6854710A" w:rsidR="004F77BE" w:rsidRPr="00981846" w:rsidRDefault="004F77BE" w:rsidP="00E62F8F">
            <w:pPr>
              <w:jc w:val="center"/>
              <w:rPr>
                <w:rFonts w:ascii="Arial" w:hAnsi="Arial" w:cs="Arial"/>
                <w:b/>
                <w:bCs/>
                <w:color w:val="000000"/>
                <w:sz w:val="19"/>
                <w:szCs w:val="19"/>
              </w:rPr>
            </w:pPr>
            <w:r w:rsidRPr="00981846">
              <w:rPr>
                <w:rFonts w:ascii="Arial" w:hAnsi="Arial" w:cs="Arial"/>
                <w:b/>
                <w:bCs/>
                <w:color w:val="000000"/>
                <w:sz w:val="19"/>
                <w:szCs w:val="19"/>
              </w:rPr>
              <w:t>LIABILIT</w:t>
            </w:r>
            <w:r w:rsidR="00F04478">
              <w:rPr>
                <w:rFonts w:ascii="Arial" w:hAnsi="Arial" w:cs="Arial"/>
                <w:b/>
                <w:bCs/>
                <w:color w:val="000000"/>
                <w:sz w:val="19"/>
                <w:szCs w:val="19"/>
              </w:rPr>
              <w:t>I</w:t>
            </w:r>
            <w:r w:rsidRPr="00981846">
              <w:rPr>
                <w:rFonts w:ascii="Arial" w:hAnsi="Arial" w:cs="Arial"/>
                <w:b/>
                <w:bCs/>
                <w:color w:val="000000"/>
                <w:sz w:val="19"/>
                <w:szCs w:val="19"/>
              </w:rPr>
              <w:t>ES</w:t>
            </w:r>
          </w:p>
        </w:tc>
        <w:tc>
          <w:tcPr>
            <w:tcW w:w="1300" w:type="dxa"/>
            <w:tcBorders>
              <w:top w:val="single" w:sz="4" w:space="0" w:color="auto"/>
              <w:left w:val="nil"/>
              <w:bottom w:val="single" w:sz="4" w:space="0" w:color="auto"/>
              <w:right w:val="nil"/>
            </w:tcBorders>
            <w:shd w:val="clear" w:color="auto" w:fill="auto"/>
            <w:noWrap/>
            <w:vAlign w:val="bottom"/>
            <w:hideMark/>
          </w:tcPr>
          <w:p w14:paraId="345A8402" w14:textId="77777777" w:rsidR="004F77BE" w:rsidRPr="00981846" w:rsidRDefault="004F77BE" w:rsidP="00E62F8F">
            <w:pPr>
              <w:jc w:val="right"/>
              <w:rPr>
                <w:rFonts w:ascii="Arial" w:hAnsi="Arial" w:cs="Arial"/>
                <w:b/>
                <w:bCs/>
                <w:color w:val="000000"/>
                <w:sz w:val="19"/>
                <w:szCs w:val="19"/>
              </w:rPr>
            </w:pPr>
            <w:r w:rsidRPr="00981846">
              <w:rPr>
                <w:rFonts w:ascii="Arial" w:hAnsi="Arial" w:cs="Arial"/>
                <w:b/>
                <w:bCs/>
                <w:color w:val="000000"/>
                <w:sz w:val="19"/>
                <w:szCs w:val="19"/>
              </w:rPr>
              <w:t>2008</w:t>
            </w:r>
          </w:p>
        </w:tc>
        <w:tc>
          <w:tcPr>
            <w:tcW w:w="1300" w:type="dxa"/>
            <w:tcBorders>
              <w:top w:val="single" w:sz="4" w:space="0" w:color="auto"/>
              <w:left w:val="nil"/>
              <w:bottom w:val="single" w:sz="4" w:space="0" w:color="auto"/>
              <w:right w:val="nil"/>
            </w:tcBorders>
            <w:shd w:val="clear" w:color="auto" w:fill="auto"/>
            <w:noWrap/>
            <w:vAlign w:val="bottom"/>
            <w:hideMark/>
          </w:tcPr>
          <w:p w14:paraId="0F871B51" w14:textId="77777777" w:rsidR="004F77BE" w:rsidRPr="00981846" w:rsidRDefault="004F77BE" w:rsidP="00E62F8F">
            <w:pPr>
              <w:jc w:val="right"/>
              <w:rPr>
                <w:rFonts w:ascii="Arial" w:hAnsi="Arial" w:cs="Arial"/>
                <w:b/>
                <w:bCs/>
                <w:color w:val="000000"/>
                <w:sz w:val="19"/>
                <w:szCs w:val="19"/>
              </w:rPr>
            </w:pPr>
            <w:r w:rsidRPr="00981846">
              <w:rPr>
                <w:rFonts w:ascii="Arial" w:hAnsi="Arial" w:cs="Arial"/>
                <w:b/>
                <w:bCs/>
                <w:color w:val="000000"/>
                <w:sz w:val="19"/>
                <w:szCs w:val="19"/>
              </w:rPr>
              <w:t>2009</w:t>
            </w:r>
          </w:p>
        </w:tc>
      </w:tr>
      <w:tr w:rsidR="004F77BE" w:rsidRPr="00981846" w14:paraId="287EA650" w14:textId="77777777" w:rsidTr="00981846">
        <w:trPr>
          <w:trHeight w:val="161"/>
        </w:trPr>
        <w:tc>
          <w:tcPr>
            <w:tcW w:w="5880" w:type="dxa"/>
            <w:tcBorders>
              <w:top w:val="nil"/>
              <w:left w:val="nil"/>
              <w:bottom w:val="nil"/>
              <w:right w:val="nil"/>
            </w:tcBorders>
            <w:shd w:val="clear" w:color="auto" w:fill="auto"/>
            <w:noWrap/>
            <w:vAlign w:val="bottom"/>
            <w:hideMark/>
          </w:tcPr>
          <w:p w14:paraId="3B7498A1"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Current Liabilities</w:t>
            </w:r>
          </w:p>
        </w:tc>
        <w:tc>
          <w:tcPr>
            <w:tcW w:w="1300" w:type="dxa"/>
            <w:tcBorders>
              <w:top w:val="nil"/>
              <w:left w:val="nil"/>
              <w:bottom w:val="nil"/>
              <w:right w:val="nil"/>
            </w:tcBorders>
            <w:shd w:val="clear" w:color="auto" w:fill="auto"/>
            <w:noWrap/>
            <w:vAlign w:val="bottom"/>
            <w:hideMark/>
          </w:tcPr>
          <w:p w14:paraId="03102A77" w14:textId="77777777" w:rsidR="004F77BE" w:rsidRPr="00981846" w:rsidRDefault="004F77BE" w:rsidP="00E62F8F">
            <w:pPr>
              <w:rPr>
                <w:rFonts w:ascii="Arial" w:hAnsi="Arial" w:cs="Arial"/>
                <w:color w:val="000000"/>
                <w:sz w:val="19"/>
                <w:szCs w:val="19"/>
              </w:rPr>
            </w:pPr>
          </w:p>
        </w:tc>
        <w:tc>
          <w:tcPr>
            <w:tcW w:w="1300" w:type="dxa"/>
            <w:tcBorders>
              <w:top w:val="nil"/>
              <w:left w:val="nil"/>
              <w:bottom w:val="nil"/>
              <w:right w:val="nil"/>
            </w:tcBorders>
            <w:shd w:val="clear" w:color="auto" w:fill="auto"/>
            <w:noWrap/>
            <w:vAlign w:val="bottom"/>
            <w:hideMark/>
          </w:tcPr>
          <w:p w14:paraId="1E39BFC5" w14:textId="77777777" w:rsidR="004F77BE" w:rsidRPr="00981846" w:rsidRDefault="004F77BE" w:rsidP="00E62F8F">
            <w:pPr>
              <w:rPr>
                <w:rFonts w:ascii="Arial" w:hAnsi="Arial" w:cs="Arial"/>
                <w:color w:val="000000"/>
                <w:sz w:val="19"/>
                <w:szCs w:val="19"/>
              </w:rPr>
            </w:pPr>
          </w:p>
        </w:tc>
      </w:tr>
      <w:tr w:rsidR="004F77BE" w:rsidRPr="00981846" w14:paraId="2FF1907B" w14:textId="77777777" w:rsidTr="00981846">
        <w:trPr>
          <w:trHeight w:val="216"/>
        </w:trPr>
        <w:tc>
          <w:tcPr>
            <w:tcW w:w="5880" w:type="dxa"/>
            <w:tcBorders>
              <w:top w:val="nil"/>
              <w:left w:val="nil"/>
              <w:bottom w:val="nil"/>
              <w:right w:val="nil"/>
            </w:tcBorders>
            <w:shd w:val="clear" w:color="auto" w:fill="auto"/>
            <w:noWrap/>
            <w:vAlign w:val="bottom"/>
            <w:hideMark/>
          </w:tcPr>
          <w:p w14:paraId="1DBF08F5"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Current Portion of Capital Lease Obligations</w:t>
            </w:r>
          </w:p>
        </w:tc>
        <w:tc>
          <w:tcPr>
            <w:tcW w:w="1300" w:type="dxa"/>
            <w:tcBorders>
              <w:top w:val="nil"/>
              <w:left w:val="nil"/>
              <w:bottom w:val="nil"/>
              <w:right w:val="nil"/>
            </w:tcBorders>
            <w:shd w:val="clear" w:color="auto" w:fill="auto"/>
            <w:noWrap/>
            <w:vAlign w:val="bottom"/>
            <w:hideMark/>
          </w:tcPr>
          <w:p w14:paraId="44C753D4"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2,393 </w:t>
            </w:r>
          </w:p>
        </w:tc>
        <w:tc>
          <w:tcPr>
            <w:tcW w:w="1300" w:type="dxa"/>
            <w:tcBorders>
              <w:top w:val="nil"/>
              <w:left w:val="nil"/>
              <w:bottom w:val="nil"/>
              <w:right w:val="nil"/>
            </w:tcBorders>
            <w:shd w:val="clear" w:color="auto" w:fill="auto"/>
            <w:noWrap/>
            <w:vAlign w:val="bottom"/>
            <w:hideMark/>
          </w:tcPr>
          <w:p w14:paraId="2DE7C807"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3,135 </w:t>
            </w:r>
          </w:p>
        </w:tc>
      </w:tr>
      <w:tr w:rsidR="004F77BE" w:rsidRPr="00981846" w14:paraId="5BAA8909" w14:textId="77777777" w:rsidTr="00981846">
        <w:trPr>
          <w:trHeight w:val="180"/>
        </w:trPr>
        <w:tc>
          <w:tcPr>
            <w:tcW w:w="5880" w:type="dxa"/>
            <w:tcBorders>
              <w:top w:val="nil"/>
              <w:left w:val="nil"/>
              <w:bottom w:val="nil"/>
              <w:right w:val="nil"/>
            </w:tcBorders>
            <w:shd w:val="clear" w:color="auto" w:fill="auto"/>
            <w:noWrap/>
            <w:vAlign w:val="bottom"/>
            <w:hideMark/>
          </w:tcPr>
          <w:p w14:paraId="614093A7"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Accounts Payable</w:t>
            </w:r>
          </w:p>
        </w:tc>
        <w:tc>
          <w:tcPr>
            <w:tcW w:w="1300" w:type="dxa"/>
            <w:tcBorders>
              <w:top w:val="nil"/>
              <w:left w:val="nil"/>
              <w:bottom w:val="nil"/>
              <w:right w:val="nil"/>
            </w:tcBorders>
            <w:shd w:val="clear" w:color="auto" w:fill="auto"/>
            <w:noWrap/>
            <w:vAlign w:val="bottom"/>
            <w:hideMark/>
          </w:tcPr>
          <w:p w14:paraId="056D46C3"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43,607 </w:t>
            </w:r>
          </w:p>
        </w:tc>
        <w:tc>
          <w:tcPr>
            <w:tcW w:w="1300" w:type="dxa"/>
            <w:tcBorders>
              <w:top w:val="nil"/>
              <w:left w:val="nil"/>
              <w:bottom w:val="nil"/>
              <w:right w:val="nil"/>
            </w:tcBorders>
            <w:shd w:val="clear" w:color="auto" w:fill="auto"/>
            <w:noWrap/>
            <w:vAlign w:val="bottom"/>
            <w:hideMark/>
          </w:tcPr>
          <w:p w14:paraId="4C405931"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96,710 </w:t>
            </w:r>
          </w:p>
        </w:tc>
      </w:tr>
      <w:tr w:rsidR="004F77BE" w:rsidRPr="00981846" w14:paraId="6D532265" w14:textId="77777777" w:rsidTr="00981846">
        <w:trPr>
          <w:trHeight w:val="144"/>
        </w:trPr>
        <w:tc>
          <w:tcPr>
            <w:tcW w:w="5880" w:type="dxa"/>
            <w:tcBorders>
              <w:top w:val="nil"/>
              <w:left w:val="nil"/>
              <w:bottom w:val="nil"/>
              <w:right w:val="nil"/>
            </w:tcBorders>
            <w:shd w:val="clear" w:color="auto" w:fill="auto"/>
            <w:noWrap/>
            <w:vAlign w:val="bottom"/>
            <w:hideMark/>
          </w:tcPr>
          <w:p w14:paraId="38580F1D"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Due to Related Parties</w:t>
            </w:r>
          </w:p>
        </w:tc>
        <w:tc>
          <w:tcPr>
            <w:tcW w:w="1300" w:type="dxa"/>
            <w:tcBorders>
              <w:top w:val="nil"/>
              <w:left w:val="nil"/>
              <w:bottom w:val="nil"/>
              <w:right w:val="nil"/>
            </w:tcBorders>
            <w:shd w:val="clear" w:color="auto" w:fill="auto"/>
            <w:noWrap/>
            <w:vAlign w:val="bottom"/>
            <w:hideMark/>
          </w:tcPr>
          <w:p w14:paraId="25489425"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1,446 </w:t>
            </w:r>
          </w:p>
        </w:tc>
        <w:tc>
          <w:tcPr>
            <w:tcW w:w="1300" w:type="dxa"/>
            <w:tcBorders>
              <w:top w:val="nil"/>
              <w:left w:val="nil"/>
              <w:bottom w:val="nil"/>
              <w:right w:val="nil"/>
            </w:tcBorders>
            <w:shd w:val="clear" w:color="auto" w:fill="auto"/>
            <w:noWrap/>
            <w:vAlign w:val="bottom"/>
            <w:hideMark/>
          </w:tcPr>
          <w:p w14:paraId="6C68034A"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2,120 </w:t>
            </w:r>
          </w:p>
        </w:tc>
      </w:tr>
      <w:tr w:rsidR="004F77BE" w:rsidRPr="00981846" w14:paraId="1E174531" w14:textId="77777777" w:rsidTr="00981846">
        <w:trPr>
          <w:trHeight w:val="189"/>
        </w:trPr>
        <w:tc>
          <w:tcPr>
            <w:tcW w:w="5880" w:type="dxa"/>
            <w:tcBorders>
              <w:top w:val="nil"/>
              <w:left w:val="nil"/>
              <w:bottom w:val="nil"/>
              <w:right w:val="nil"/>
            </w:tcBorders>
            <w:shd w:val="clear" w:color="auto" w:fill="auto"/>
            <w:noWrap/>
            <w:vAlign w:val="bottom"/>
            <w:hideMark/>
          </w:tcPr>
          <w:p w14:paraId="295B67EA" w14:textId="2688E719"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Short</w:t>
            </w:r>
            <w:r w:rsidR="00E17B5B">
              <w:rPr>
                <w:rFonts w:ascii="Arial" w:hAnsi="Arial" w:cs="Arial"/>
                <w:color w:val="000000"/>
                <w:sz w:val="19"/>
                <w:szCs w:val="19"/>
              </w:rPr>
              <w:t>-</w:t>
            </w:r>
            <w:r w:rsidRPr="00981846">
              <w:rPr>
                <w:rFonts w:ascii="Arial" w:hAnsi="Arial" w:cs="Arial"/>
                <w:color w:val="000000"/>
                <w:sz w:val="19"/>
                <w:szCs w:val="19"/>
              </w:rPr>
              <w:t>Term Loans</w:t>
            </w:r>
          </w:p>
        </w:tc>
        <w:tc>
          <w:tcPr>
            <w:tcW w:w="1300" w:type="dxa"/>
            <w:tcBorders>
              <w:top w:val="nil"/>
              <w:left w:val="nil"/>
              <w:bottom w:val="nil"/>
              <w:right w:val="nil"/>
            </w:tcBorders>
            <w:shd w:val="clear" w:color="auto" w:fill="auto"/>
            <w:noWrap/>
            <w:vAlign w:val="bottom"/>
            <w:hideMark/>
          </w:tcPr>
          <w:p w14:paraId="32AE5327"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4,962 </w:t>
            </w:r>
          </w:p>
        </w:tc>
        <w:tc>
          <w:tcPr>
            <w:tcW w:w="1300" w:type="dxa"/>
            <w:tcBorders>
              <w:top w:val="nil"/>
              <w:left w:val="nil"/>
              <w:bottom w:val="nil"/>
              <w:right w:val="nil"/>
            </w:tcBorders>
            <w:shd w:val="clear" w:color="auto" w:fill="auto"/>
            <w:noWrap/>
            <w:vAlign w:val="bottom"/>
            <w:hideMark/>
          </w:tcPr>
          <w:p w14:paraId="64B8BC28" w14:textId="56E1BE14" w:rsidR="004F77BE" w:rsidRPr="00981846" w:rsidRDefault="00883BE5" w:rsidP="00E62F8F">
            <w:pPr>
              <w:jc w:val="right"/>
              <w:rPr>
                <w:rFonts w:ascii="Arial" w:hAnsi="Arial" w:cs="Arial"/>
                <w:color w:val="000000"/>
                <w:sz w:val="19"/>
                <w:szCs w:val="19"/>
              </w:rPr>
            </w:pPr>
            <w:r>
              <w:rPr>
                <w:rFonts w:ascii="Arial" w:hAnsi="Arial" w:cs="Arial"/>
                <w:color w:val="000000"/>
                <w:sz w:val="19"/>
                <w:szCs w:val="19"/>
              </w:rPr>
              <w:t>6</w:t>
            </w:r>
            <w:r w:rsidR="004F77BE" w:rsidRPr="00981846">
              <w:rPr>
                <w:rFonts w:ascii="Arial" w:hAnsi="Arial" w:cs="Arial"/>
                <w:color w:val="000000"/>
                <w:sz w:val="19"/>
                <w:szCs w:val="19"/>
              </w:rPr>
              <w:t xml:space="preserve">10,642 </w:t>
            </w:r>
          </w:p>
        </w:tc>
      </w:tr>
      <w:tr w:rsidR="004F77BE" w:rsidRPr="00981846" w14:paraId="7B6E94BE" w14:textId="77777777" w:rsidTr="00981846">
        <w:trPr>
          <w:trHeight w:val="67"/>
        </w:trPr>
        <w:tc>
          <w:tcPr>
            <w:tcW w:w="5880" w:type="dxa"/>
            <w:tcBorders>
              <w:top w:val="nil"/>
              <w:left w:val="nil"/>
              <w:bottom w:val="nil"/>
              <w:right w:val="nil"/>
            </w:tcBorders>
            <w:shd w:val="clear" w:color="auto" w:fill="auto"/>
            <w:noWrap/>
            <w:vAlign w:val="bottom"/>
            <w:hideMark/>
          </w:tcPr>
          <w:p w14:paraId="7DC62989"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Accrued Employee Costs</w:t>
            </w:r>
          </w:p>
        </w:tc>
        <w:tc>
          <w:tcPr>
            <w:tcW w:w="1300" w:type="dxa"/>
            <w:tcBorders>
              <w:top w:val="nil"/>
              <w:left w:val="nil"/>
              <w:bottom w:val="nil"/>
              <w:right w:val="nil"/>
            </w:tcBorders>
            <w:shd w:val="clear" w:color="auto" w:fill="auto"/>
            <w:noWrap/>
            <w:vAlign w:val="bottom"/>
            <w:hideMark/>
          </w:tcPr>
          <w:p w14:paraId="36346A93"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63,953 </w:t>
            </w:r>
          </w:p>
        </w:tc>
        <w:tc>
          <w:tcPr>
            <w:tcW w:w="1300" w:type="dxa"/>
            <w:tcBorders>
              <w:top w:val="nil"/>
              <w:left w:val="nil"/>
              <w:bottom w:val="nil"/>
              <w:right w:val="nil"/>
            </w:tcBorders>
            <w:shd w:val="clear" w:color="auto" w:fill="auto"/>
            <w:noWrap/>
            <w:vAlign w:val="bottom"/>
            <w:hideMark/>
          </w:tcPr>
          <w:p w14:paraId="13E96258" w14:textId="07BCD84D" w:rsidR="004F77BE" w:rsidRPr="00981846" w:rsidRDefault="00883BE5" w:rsidP="00E62F8F">
            <w:pPr>
              <w:jc w:val="right"/>
              <w:rPr>
                <w:rFonts w:ascii="Arial" w:hAnsi="Arial" w:cs="Arial"/>
                <w:color w:val="000000"/>
                <w:sz w:val="19"/>
                <w:szCs w:val="19"/>
              </w:rPr>
            </w:pPr>
            <w:r>
              <w:rPr>
                <w:rFonts w:ascii="Arial" w:hAnsi="Arial" w:cs="Arial"/>
                <w:color w:val="000000"/>
                <w:sz w:val="19"/>
                <w:szCs w:val="19"/>
              </w:rPr>
              <w:t>1</w:t>
            </w:r>
            <w:r w:rsidR="004F77BE" w:rsidRPr="00981846">
              <w:rPr>
                <w:rFonts w:ascii="Arial" w:hAnsi="Arial" w:cs="Arial"/>
                <w:color w:val="000000"/>
                <w:sz w:val="19"/>
                <w:szCs w:val="19"/>
              </w:rPr>
              <w:t xml:space="preserve">06,307 </w:t>
            </w:r>
          </w:p>
        </w:tc>
      </w:tr>
      <w:tr w:rsidR="004F77BE" w:rsidRPr="00981846" w14:paraId="6CEDA46A" w14:textId="77777777" w:rsidTr="00981846">
        <w:trPr>
          <w:trHeight w:val="117"/>
        </w:trPr>
        <w:tc>
          <w:tcPr>
            <w:tcW w:w="5880" w:type="dxa"/>
            <w:tcBorders>
              <w:top w:val="nil"/>
              <w:left w:val="nil"/>
              <w:bottom w:val="nil"/>
              <w:right w:val="nil"/>
            </w:tcBorders>
            <w:shd w:val="clear" w:color="auto" w:fill="auto"/>
            <w:noWrap/>
            <w:vAlign w:val="bottom"/>
            <w:hideMark/>
          </w:tcPr>
          <w:p w14:paraId="5C4D47DD"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Deferred Revenue</w:t>
            </w:r>
          </w:p>
        </w:tc>
        <w:tc>
          <w:tcPr>
            <w:tcW w:w="1300" w:type="dxa"/>
            <w:tcBorders>
              <w:top w:val="nil"/>
              <w:left w:val="nil"/>
              <w:bottom w:val="nil"/>
              <w:right w:val="nil"/>
            </w:tcBorders>
            <w:shd w:val="clear" w:color="auto" w:fill="auto"/>
            <w:noWrap/>
            <w:vAlign w:val="bottom"/>
            <w:hideMark/>
          </w:tcPr>
          <w:p w14:paraId="1BCAD975"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45,074 </w:t>
            </w:r>
          </w:p>
        </w:tc>
        <w:tc>
          <w:tcPr>
            <w:tcW w:w="1300" w:type="dxa"/>
            <w:tcBorders>
              <w:top w:val="nil"/>
              <w:left w:val="nil"/>
              <w:bottom w:val="nil"/>
              <w:right w:val="nil"/>
            </w:tcBorders>
            <w:shd w:val="clear" w:color="auto" w:fill="auto"/>
            <w:noWrap/>
            <w:vAlign w:val="bottom"/>
            <w:hideMark/>
          </w:tcPr>
          <w:p w14:paraId="50050DC2"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88,453 </w:t>
            </w:r>
          </w:p>
        </w:tc>
      </w:tr>
      <w:tr w:rsidR="004F77BE" w:rsidRPr="00981846" w14:paraId="2381780E" w14:textId="77777777" w:rsidTr="00981846">
        <w:trPr>
          <w:trHeight w:val="81"/>
        </w:trPr>
        <w:tc>
          <w:tcPr>
            <w:tcW w:w="5880" w:type="dxa"/>
            <w:tcBorders>
              <w:top w:val="nil"/>
              <w:left w:val="nil"/>
              <w:bottom w:val="nil"/>
              <w:right w:val="nil"/>
            </w:tcBorders>
            <w:shd w:val="clear" w:color="auto" w:fill="auto"/>
            <w:noWrap/>
            <w:vAlign w:val="bottom"/>
            <w:hideMark/>
          </w:tcPr>
          <w:p w14:paraId="73C967A6"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Deferred Income Taxes</w:t>
            </w:r>
          </w:p>
        </w:tc>
        <w:tc>
          <w:tcPr>
            <w:tcW w:w="1300" w:type="dxa"/>
            <w:tcBorders>
              <w:top w:val="nil"/>
              <w:left w:val="nil"/>
              <w:bottom w:val="nil"/>
              <w:right w:val="nil"/>
            </w:tcBorders>
            <w:shd w:val="clear" w:color="auto" w:fill="auto"/>
            <w:noWrap/>
            <w:vAlign w:val="bottom"/>
            <w:hideMark/>
          </w:tcPr>
          <w:p w14:paraId="109A2FF0"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1,255 </w:t>
            </w:r>
          </w:p>
        </w:tc>
        <w:tc>
          <w:tcPr>
            <w:tcW w:w="1300" w:type="dxa"/>
            <w:tcBorders>
              <w:top w:val="nil"/>
              <w:left w:val="nil"/>
              <w:bottom w:val="nil"/>
              <w:right w:val="nil"/>
            </w:tcBorders>
            <w:shd w:val="clear" w:color="auto" w:fill="auto"/>
            <w:noWrap/>
            <w:vAlign w:val="bottom"/>
            <w:hideMark/>
          </w:tcPr>
          <w:p w14:paraId="062DBB92"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10,649 </w:t>
            </w:r>
          </w:p>
        </w:tc>
      </w:tr>
      <w:tr w:rsidR="004F77BE" w:rsidRPr="00981846" w14:paraId="555A1202" w14:textId="77777777" w:rsidTr="00981846">
        <w:trPr>
          <w:trHeight w:val="67"/>
        </w:trPr>
        <w:tc>
          <w:tcPr>
            <w:tcW w:w="5880" w:type="dxa"/>
            <w:tcBorders>
              <w:top w:val="nil"/>
              <w:left w:val="nil"/>
              <w:bottom w:val="nil"/>
              <w:right w:val="nil"/>
            </w:tcBorders>
            <w:shd w:val="clear" w:color="auto" w:fill="auto"/>
            <w:noWrap/>
            <w:vAlign w:val="bottom"/>
            <w:hideMark/>
          </w:tcPr>
          <w:p w14:paraId="38E7646A"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Income Tax Payable</w:t>
            </w:r>
          </w:p>
        </w:tc>
        <w:tc>
          <w:tcPr>
            <w:tcW w:w="1300" w:type="dxa"/>
            <w:tcBorders>
              <w:top w:val="nil"/>
              <w:left w:val="nil"/>
              <w:bottom w:val="nil"/>
              <w:right w:val="nil"/>
            </w:tcBorders>
            <w:shd w:val="clear" w:color="auto" w:fill="auto"/>
            <w:noWrap/>
            <w:vAlign w:val="bottom"/>
            <w:hideMark/>
          </w:tcPr>
          <w:p w14:paraId="2003FA3F"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31,463 </w:t>
            </w:r>
          </w:p>
        </w:tc>
        <w:tc>
          <w:tcPr>
            <w:tcW w:w="1300" w:type="dxa"/>
            <w:tcBorders>
              <w:top w:val="nil"/>
              <w:left w:val="nil"/>
              <w:bottom w:val="nil"/>
              <w:right w:val="nil"/>
            </w:tcBorders>
            <w:shd w:val="clear" w:color="auto" w:fill="auto"/>
            <w:noWrap/>
            <w:vAlign w:val="bottom"/>
            <w:hideMark/>
          </w:tcPr>
          <w:p w14:paraId="53A3FE27"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48,097 </w:t>
            </w:r>
          </w:p>
        </w:tc>
      </w:tr>
      <w:tr w:rsidR="004F77BE" w:rsidRPr="00981846" w14:paraId="2ED48360" w14:textId="77777777" w:rsidTr="00981846">
        <w:trPr>
          <w:trHeight w:val="67"/>
        </w:trPr>
        <w:tc>
          <w:tcPr>
            <w:tcW w:w="5880" w:type="dxa"/>
            <w:tcBorders>
              <w:top w:val="nil"/>
              <w:left w:val="nil"/>
              <w:bottom w:val="nil"/>
              <w:right w:val="nil"/>
            </w:tcBorders>
            <w:shd w:val="clear" w:color="auto" w:fill="auto"/>
            <w:noWrap/>
            <w:vAlign w:val="bottom"/>
            <w:hideMark/>
          </w:tcPr>
          <w:p w14:paraId="7B71A985"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 xml:space="preserve">Other Current Liabilities </w:t>
            </w:r>
          </w:p>
        </w:tc>
        <w:tc>
          <w:tcPr>
            <w:tcW w:w="1300" w:type="dxa"/>
            <w:tcBorders>
              <w:top w:val="nil"/>
              <w:left w:val="nil"/>
              <w:bottom w:val="nil"/>
              <w:right w:val="nil"/>
            </w:tcBorders>
            <w:shd w:val="clear" w:color="auto" w:fill="auto"/>
            <w:noWrap/>
            <w:vAlign w:val="bottom"/>
            <w:hideMark/>
          </w:tcPr>
          <w:p w14:paraId="52814881" w14:textId="3CED34C3" w:rsidR="004F77BE" w:rsidRPr="00981846" w:rsidRDefault="00883BE5" w:rsidP="00E62F8F">
            <w:pPr>
              <w:jc w:val="right"/>
              <w:rPr>
                <w:rFonts w:ascii="Arial" w:hAnsi="Arial" w:cs="Arial"/>
                <w:color w:val="000000"/>
                <w:sz w:val="19"/>
                <w:szCs w:val="19"/>
              </w:rPr>
            </w:pPr>
            <w:r>
              <w:rPr>
                <w:rFonts w:ascii="Arial" w:hAnsi="Arial" w:cs="Arial"/>
                <w:color w:val="000000"/>
                <w:sz w:val="19"/>
                <w:szCs w:val="19"/>
              </w:rPr>
              <w:t>2</w:t>
            </w:r>
            <w:r w:rsidR="004F77BE" w:rsidRPr="00981846">
              <w:rPr>
                <w:rFonts w:ascii="Arial" w:hAnsi="Arial" w:cs="Arial"/>
                <w:color w:val="000000"/>
                <w:sz w:val="19"/>
                <w:szCs w:val="19"/>
              </w:rPr>
              <w:t xml:space="preserve">22,318 </w:t>
            </w:r>
          </w:p>
        </w:tc>
        <w:tc>
          <w:tcPr>
            <w:tcW w:w="1300" w:type="dxa"/>
            <w:tcBorders>
              <w:top w:val="nil"/>
              <w:left w:val="nil"/>
              <w:bottom w:val="nil"/>
              <w:right w:val="nil"/>
            </w:tcBorders>
            <w:shd w:val="clear" w:color="auto" w:fill="auto"/>
            <w:noWrap/>
            <w:vAlign w:val="bottom"/>
            <w:hideMark/>
          </w:tcPr>
          <w:p w14:paraId="44C75A00" w14:textId="6A96FFCA" w:rsidR="004F77BE" w:rsidRPr="00981846" w:rsidRDefault="00883BE5" w:rsidP="00E62F8F">
            <w:pPr>
              <w:jc w:val="right"/>
              <w:rPr>
                <w:rFonts w:ascii="Arial" w:hAnsi="Arial" w:cs="Arial"/>
                <w:color w:val="000000"/>
                <w:sz w:val="19"/>
                <w:szCs w:val="19"/>
              </w:rPr>
            </w:pPr>
            <w:r>
              <w:rPr>
                <w:rFonts w:ascii="Arial" w:hAnsi="Arial" w:cs="Arial"/>
                <w:color w:val="000000"/>
                <w:sz w:val="19"/>
                <w:szCs w:val="19"/>
              </w:rPr>
              <w:t>3</w:t>
            </w:r>
            <w:r w:rsidR="004F77BE" w:rsidRPr="00981846">
              <w:rPr>
                <w:rFonts w:ascii="Arial" w:hAnsi="Arial" w:cs="Arial"/>
                <w:color w:val="000000"/>
                <w:sz w:val="19"/>
                <w:szCs w:val="19"/>
              </w:rPr>
              <w:t xml:space="preserve">26,672 </w:t>
            </w:r>
          </w:p>
        </w:tc>
      </w:tr>
      <w:tr w:rsidR="004F77BE" w:rsidRPr="00981846" w14:paraId="017EE988" w14:textId="77777777" w:rsidTr="00981846">
        <w:trPr>
          <w:trHeight w:val="57"/>
        </w:trPr>
        <w:tc>
          <w:tcPr>
            <w:tcW w:w="5880" w:type="dxa"/>
            <w:tcBorders>
              <w:top w:val="single" w:sz="4" w:space="0" w:color="auto"/>
              <w:left w:val="nil"/>
              <w:bottom w:val="single" w:sz="4" w:space="0" w:color="auto"/>
              <w:right w:val="nil"/>
            </w:tcBorders>
            <w:shd w:val="clear" w:color="auto" w:fill="auto"/>
            <w:noWrap/>
            <w:vAlign w:val="bottom"/>
            <w:hideMark/>
          </w:tcPr>
          <w:p w14:paraId="29C0B765"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Total Current Liabilities</w:t>
            </w:r>
          </w:p>
        </w:tc>
        <w:tc>
          <w:tcPr>
            <w:tcW w:w="1300" w:type="dxa"/>
            <w:tcBorders>
              <w:top w:val="single" w:sz="4" w:space="0" w:color="auto"/>
              <w:left w:val="nil"/>
              <w:bottom w:val="single" w:sz="4" w:space="0" w:color="auto"/>
              <w:right w:val="nil"/>
            </w:tcBorders>
            <w:shd w:val="clear" w:color="auto" w:fill="auto"/>
            <w:noWrap/>
            <w:vAlign w:val="bottom"/>
            <w:hideMark/>
          </w:tcPr>
          <w:p w14:paraId="61485609" w14:textId="0712E225" w:rsidR="004F77BE" w:rsidRPr="00981846" w:rsidRDefault="00883BE5" w:rsidP="00E62F8F">
            <w:pPr>
              <w:jc w:val="right"/>
              <w:rPr>
                <w:rFonts w:ascii="Arial" w:hAnsi="Arial" w:cs="Arial"/>
                <w:b/>
                <w:bCs/>
                <w:color w:val="000000"/>
                <w:sz w:val="19"/>
                <w:szCs w:val="19"/>
              </w:rPr>
            </w:pPr>
            <w:r>
              <w:rPr>
                <w:rFonts w:ascii="Arial" w:hAnsi="Arial" w:cs="Arial"/>
                <w:b/>
                <w:bCs/>
                <w:color w:val="000000"/>
                <w:sz w:val="19"/>
                <w:szCs w:val="19"/>
              </w:rPr>
              <w:t>4</w:t>
            </w:r>
            <w:r w:rsidR="004F77BE" w:rsidRPr="00981846">
              <w:rPr>
                <w:rFonts w:ascii="Arial" w:hAnsi="Arial" w:cs="Arial"/>
                <w:b/>
                <w:bCs/>
                <w:color w:val="000000"/>
                <w:sz w:val="19"/>
                <w:szCs w:val="19"/>
              </w:rPr>
              <w:t xml:space="preserve">16,471 </w:t>
            </w:r>
          </w:p>
        </w:tc>
        <w:tc>
          <w:tcPr>
            <w:tcW w:w="1300" w:type="dxa"/>
            <w:tcBorders>
              <w:top w:val="single" w:sz="4" w:space="0" w:color="auto"/>
              <w:left w:val="nil"/>
              <w:bottom w:val="single" w:sz="4" w:space="0" w:color="auto"/>
              <w:right w:val="nil"/>
            </w:tcBorders>
            <w:shd w:val="clear" w:color="auto" w:fill="auto"/>
            <w:noWrap/>
            <w:vAlign w:val="bottom"/>
            <w:hideMark/>
          </w:tcPr>
          <w:p w14:paraId="2F1987E3" w14:textId="347721BF" w:rsidR="004F77BE" w:rsidRPr="00981846" w:rsidRDefault="00883BE5" w:rsidP="00E62F8F">
            <w:pPr>
              <w:jc w:val="right"/>
              <w:rPr>
                <w:rFonts w:ascii="Arial" w:hAnsi="Arial" w:cs="Arial"/>
                <w:b/>
                <w:bCs/>
                <w:color w:val="000000"/>
                <w:sz w:val="19"/>
                <w:szCs w:val="19"/>
              </w:rPr>
            </w:pPr>
            <w:r>
              <w:rPr>
                <w:rFonts w:ascii="Arial" w:hAnsi="Arial" w:cs="Arial"/>
                <w:b/>
                <w:bCs/>
                <w:color w:val="000000"/>
                <w:sz w:val="19"/>
                <w:szCs w:val="19"/>
              </w:rPr>
              <w:t>1,2</w:t>
            </w:r>
            <w:r w:rsidR="004F77BE" w:rsidRPr="00981846">
              <w:rPr>
                <w:rFonts w:ascii="Arial" w:hAnsi="Arial" w:cs="Arial"/>
                <w:b/>
                <w:bCs/>
                <w:color w:val="000000"/>
                <w:sz w:val="19"/>
                <w:szCs w:val="19"/>
              </w:rPr>
              <w:t xml:space="preserve">92,785 </w:t>
            </w:r>
          </w:p>
        </w:tc>
      </w:tr>
      <w:tr w:rsidR="004F77BE" w:rsidRPr="00981846" w14:paraId="1F2C5B92" w14:textId="77777777" w:rsidTr="00981846">
        <w:trPr>
          <w:trHeight w:val="57"/>
        </w:trPr>
        <w:tc>
          <w:tcPr>
            <w:tcW w:w="5880" w:type="dxa"/>
            <w:tcBorders>
              <w:top w:val="nil"/>
              <w:left w:val="nil"/>
              <w:bottom w:val="nil"/>
              <w:right w:val="nil"/>
            </w:tcBorders>
            <w:shd w:val="clear" w:color="auto" w:fill="auto"/>
            <w:noWrap/>
            <w:vAlign w:val="bottom"/>
            <w:hideMark/>
          </w:tcPr>
          <w:p w14:paraId="7CD1C69E" w14:textId="6D167DA0"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Long</w:t>
            </w:r>
            <w:r w:rsidR="00E17B5B">
              <w:rPr>
                <w:rFonts w:ascii="Arial" w:hAnsi="Arial" w:cs="Arial"/>
                <w:color w:val="000000"/>
                <w:sz w:val="19"/>
                <w:szCs w:val="19"/>
              </w:rPr>
              <w:t>-</w:t>
            </w:r>
            <w:r w:rsidRPr="00981846">
              <w:rPr>
                <w:rFonts w:ascii="Arial" w:hAnsi="Arial" w:cs="Arial"/>
                <w:color w:val="000000"/>
                <w:sz w:val="19"/>
                <w:szCs w:val="19"/>
              </w:rPr>
              <w:t>Term Debt</w:t>
            </w:r>
          </w:p>
        </w:tc>
        <w:tc>
          <w:tcPr>
            <w:tcW w:w="1300" w:type="dxa"/>
            <w:tcBorders>
              <w:top w:val="nil"/>
              <w:left w:val="nil"/>
              <w:bottom w:val="nil"/>
              <w:right w:val="nil"/>
            </w:tcBorders>
            <w:shd w:val="clear" w:color="auto" w:fill="auto"/>
            <w:noWrap/>
            <w:vAlign w:val="bottom"/>
            <w:hideMark/>
          </w:tcPr>
          <w:p w14:paraId="16BD8ECB"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1,390 </w:t>
            </w:r>
          </w:p>
        </w:tc>
        <w:tc>
          <w:tcPr>
            <w:tcW w:w="1300" w:type="dxa"/>
            <w:tcBorders>
              <w:top w:val="nil"/>
              <w:left w:val="nil"/>
              <w:bottom w:val="nil"/>
              <w:right w:val="nil"/>
            </w:tcBorders>
            <w:shd w:val="clear" w:color="auto" w:fill="auto"/>
            <w:noWrap/>
            <w:vAlign w:val="bottom"/>
            <w:hideMark/>
          </w:tcPr>
          <w:p w14:paraId="011BB646"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10,885 </w:t>
            </w:r>
          </w:p>
        </w:tc>
      </w:tr>
      <w:tr w:rsidR="004F77BE" w:rsidRPr="00981846" w14:paraId="77A6BDB7" w14:textId="77777777" w:rsidTr="00981846">
        <w:trPr>
          <w:trHeight w:val="67"/>
        </w:trPr>
        <w:tc>
          <w:tcPr>
            <w:tcW w:w="5880" w:type="dxa"/>
            <w:tcBorders>
              <w:top w:val="nil"/>
              <w:left w:val="nil"/>
              <w:bottom w:val="nil"/>
              <w:right w:val="nil"/>
            </w:tcBorders>
            <w:shd w:val="clear" w:color="auto" w:fill="auto"/>
            <w:noWrap/>
            <w:vAlign w:val="bottom"/>
            <w:hideMark/>
          </w:tcPr>
          <w:p w14:paraId="03C1B61A"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Capital Lease Obligations, Excluding Current Portion</w:t>
            </w:r>
          </w:p>
        </w:tc>
        <w:tc>
          <w:tcPr>
            <w:tcW w:w="1300" w:type="dxa"/>
            <w:tcBorders>
              <w:top w:val="nil"/>
              <w:left w:val="nil"/>
              <w:bottom w:val="nil"/>
              <w:right w:val="nil"/>
            </w:tcBorders>
            <w:shd w:val="clear" w:color="auto" w:fill="auto"/>
            <w:noWrap/>
            <w:vAlign w:val="bottom"/>
            <w:hideMark/>
          </w:tcPr>
          <w:p w14:paraId="3973BC0E"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4,040 </w:t>
            </w:r>
          </w:p>
        </w:tc>
        <w:tc>
          <w:tcPr>
            <w:tcW w:w="1300" w:type="dxa"/>
            <w:tcBorders>
              <w:top w:val="nil"/>
              <w:left w:val="nil"/>
              <w:bottom w:val="nil"/>
              <w:right w:val="nil"/>
            </w:tcBorders>
            <w:shd w:val="clear" w:color="auto" w:fill="auto"/>
            <w:noWrap/>
            <w:vAlign w:val="bottom"/>
            <w:hideMark/>
          </w:tcPr>
          <w:p w14:paraId="2802348D"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5,029 </w:t>
            </w:r>
          </w:p>
        </w:tc>
      </w:tr>
      <w:tr w:rsidR="004F77BE" w:rsidRPr="00981846" w14:paraId="45FFE573" w14:textId="77777777" w:rsidTr="00981846">
        <w:trPr>
          <w:trHeight w:val="67"/>
        </w:trPr>
        <w:tc>
          <w:tcPr>
            <w:tcW w:w="5880" w:type="dxa"/>
            <w:tcBorders>
              <w:top w:val="nil"/>
              <w:left w:val="nil"/>
              <w:bottom w:val="nil"/>
              <w:right w:val="nil"/>
            </w:tcBorders>
            <w:shd w:val="clear" w:color="auto" w:fill="auto"/>
            <w:noWrap/>
            <w:vAlign w:val="bottom"/>
            <w:hideMark/>
          </w:tcPr>
          <w:p w14:paraId="52C91409"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Deferred Income Taxes</w:t>
            </w:r>
          </w:p>
        </w:tc>
        <w:tc>
          <w:tcPr>
            <w:tcW w:w="1300" w:type="dxa"/>
            <w:tcBorders>
              <w:top w:val="nil"/>
              <w:left w:val="nil"/>
              <w:bottom w:val="nil"/>
              <w:right w:val="nil"/>
            </w:tcBorders>
            <w:shd w:val="clear" w:color="auto" w:fill="auto"/>
            <w:noWrap/>
            <w:vAlign w:val="bottom"/>
            <w:hideMark/>
          </w:tcPr>
          <w:p w14:paraId="07126F2C"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3,272 </w:t>
            </w:r>
          </w:p>
        </w:tc>
        <w:tc>
          <w:tcPr>
            <w:tcW w:w="1300" w:type="dxa"/>
            <w:tcBorders>
              <w:top w:val="nil"/>
              <w:left w:val="nil"/>
              <w:bottom w:val="nil"/>
              <w:right w:val="nil"/>
            </w:tcBorders>
            <w:shd w:val="clear" w:color="auto" w:fill="auto"/>
            <w:noWrap/>
            <w:vAlign w:val="bottom"/>
            <w:hideMark/>
          </w:tcPr>
          <w:p w14:paraId="693F8C8D"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34,518 </w:t>
            </w:r>
          </w:p>
        </w:tc>
      </w:tr>
      <w:tr w:rsidR="004F77BE" w:rsidRPr="00981846" w14:paraId="185BD99C" w14:textId="77777777" w:rsidTr="00981846">
        <w:trPr>
          <w:trHeight w:val="67"/>
        </w:trPr>
        <w:tc>
          <w:tcPr>
            <w:tcW w:w="5880" w:type="dxa"/>
            <w:tcBorders>
              <w:top w:val="nil"/>
              <w:left w:val="nil"/>
              <w:bottom w:val="nil"/>
              <w:right w:val="nil"/>
            </w:tcBorders>
            <w:shd w:val="clear" w:color="auto" w:fill="auto"/>
            <w:noWrap/>
            <w:vAlign w:val="bottom"/>
            <w:hideMark/>
          </w:tcPr>
          <w:p w14:paraId="051239A8"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Other Liabilities</w:t>
            </w:r>
          </w:p>
        </w:tc>
        <w:tc>
          <w:tcPr>
            <w:tcW w:w="1300" w:type="dxa"/>
            <w:tcBorders>
              <w:top w:val="nil"/>
              <w:left w:val="nil"/>
              <w:bottom w:val="nil"/>
              <w:right w:val="nil"/>
            </w:tcBorders>
            <w:shd w:val="clear" w:color="auto" w:fill="auto"/>
            <w:noWrap/>
            <w:vAlign w:val="bottom"/>
            <w:hideMark/>
          </w:tcPr>
          <w:p w14:paraId="273AA372" w14:textId="50438335" w:rsidR="004F77BE" w:rsidRPr="00981846" w:rsidRDefault="00266AE8" w:rsidP="00E62F8F">
            <w:pPr>
              <w:jc w:val="right"/>
              <w:rPr>
                <w:rFonts w:ascii="Arial" w:hAnsi="Arial" w:cs="Arial"/>
                <w:color w:val="000000"/>
                <w:sz w:val="19"/>
                <w:szCs w:val="19"/>
              </w:rPr>
            </w:pPr>
            <w:r>
              <w:rPr>
                <w:rFonts w:ascii="Arial" w:hAnsi="Arial" w:cs="Arial"/>
                <w:color w:val="000000"/>
                <w:sz w:val="19"/>
                <w:szCs w:val="19"/>
              </w:rPr>
              <w:t>1</w:t>
            </w:r>
            <w:r w:rsidR="004F77BE" w:rsidRPr="00981846">
              <w:rPr>
                <w:rFonts w:ascii="Arial" w:hAnsi="Arial" w:cs="Arial"/>
                <w:color w:val="000000"/>
                <w:sz w:val="19"/>
                <w:szCs w:val="19"/>
              </w:rPr>
              <w:t xml:space="preserve">31,138 </w:t>
            </w:r>
          </w:p>
        </w:tc>
        <w:tc>
          <w:tcPr>
            <w:tcW w:w="1300" w:type="dxa"/>
            <w:tcBorders>
              <w:top w:val="nil"/>
              <w:left w:val="nil"/>
              <w:bottom w:val="nil"/>
              <w:right w:val="nil"/>
            </w:tcBorders>
            <w:shd w:val="clear" w:color="auto" w:fill="auto"/>
            <w:noWrap/>
            <w:vAlign w:val="bottom"/>
            <w:hideMark/>
          </w:tcPr>
          <w:p w14:paraId="0F9D15D9" w14:textId="66FA1CAB" w:rsidR="004F77BE" w:rsidRPr="00981846" w:rsidRDefault="00266AE8" w:rsidP="00E62F8F">
            <w:pPr>
              <w:jc w:val="right"/>
              <w:rPr>
                <w:rFonts w:ascii="Arial" w:hAnsi="Arial" w:cs="Arial"/>
                <w:color w:val="000000"/>
                <w:sz w:val="19"/>
                <w:szCs w:val="19"/>
              </w:rPr>
            </w:pPr>
            <w:r>
              <w:rPr>
                <w:rFonts w:ascii="Arial" w:hAnsi="Arial" w:cs="Arial"/>
                <w:color w:val="000000"/>
                <w:sz w:val="19"/>
                <w:szCs w:val="19"/>
              </w:rPr>
              <w:t>1</w:t>
            </w:r>
            <w:r w:rsidR="004F77BE" w:rsidRPr="00981846">
              <w:rPr>
                <w:rFonts w:ascii="Arial" w:hAnsi="Arial" w:cs="Arial"/>
                <w:color w:val="000000"/>
                <w:sz w:val="19"/>
                <w:szCs w:val="19"/>
              </w:rPr>
              <w:t xml:space="preserve">19,829 </w:t>
            </w:r>
          </w:p>
        </w:tc>
      </w:tr>
      <w:tr w:rsidR="004F77BE" w:rsidRPr="00981846" w14:paraId="4BA2DEAB" w14:textId="77777777" w:rsidTr="00981846">
        <w:trPr>
          <w:trHeight w:val="57"/>
        </w:trPr>
        <w:tc>
          <w:tcPr>
            <w:tcW w:w="5880" w:type="dxa"/>
            <w:tcBorders>
              <w:top w:val="single" w:sz="4" w:space="0" w:color="auto"/>
              <w:left w:val="nil"/>
              <w:bottom w:val="single" w:sz="4" w:space="0" w:color="auto"/>
              <w:right w:val="nil"/>
            </w:tcBorders>
            <w:shd w:val="clear" w:color="auto" w:fill="auto"/>
            <w:noWrap/>
            <w:vAlign w:val="bottom"/>
            <w:hideMark/>
          </w:tcPr>
          <w:p w14:paraId="16B7FCDB"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Total Liabilities</w:t>
            </w:r>
          </w:p>
        </w:tc>
        <w:tc>
          <w:tcPr>
            <w:tcW w:w="1300" w:type="dxa"/>
            <w:tcBorders>
              <w:top w:val="single" w:sz="4" w:space="0" w:color="auto"/>
              <w:left w:val="nil"/>
              <w:bottom w:val="single" w:sz="4" w:space="0" w:color="auto"/>
              <w:right w:val="nil"/>
            </w:tcBorders>
            <w:shd w:val="clear" w:color="auto" w:fill="auto"/>
            <w:noWrap/>
            <w:vAlign w:val="bottom"/>
            <w:hideMark/>
          </w:tcPr>
          <w:p w14:paraId="2B6C2677" w14:textId="09422C54" w:rsidR="004F77BE" w:rsidRPr="00981846" w:rsidRDefault="00266AE8" w:rsidP="00E62F8F">
            <w:pPr>
              <w:jc w:val="right"/>
              <w:rPr>
                <w:rFonts w:ascii="Arial" w:hAnsi="Arial" w:cs="Arial"/>
                <w:b/>
                <w:bCs/>
                <w:color w:val="000000"/>
                <w:sz w:val="19"/>
                <w:szCs w:val="19"/>
              </w:rPr>
            </w:pPr>
            <w:r>
              <w:rPr>
                <w:rFonts w:ascii="Arial" w:hAnsi="Arial" w:cs="Arial"/>
                <w:b/>
                <w:bCs/>
                <w:color w:val="000000"/>
                <w:sz w:val="19"/>
                <w:szCs w:val="19"/>
              </w:rPr>
              <w:t>5</w:t>
            </w:r>
            <w:r w:rsidR="004F77BE" w:rsidRPr="00981846">
              <w:rPr>
                <w:rFonts w:ascii="Arial" w:hAnsi="Arial" w:cs="Arial"/>
                <w:b/>
                <w:bCs/>
                <w:color w:val="000000"/>
                <w:sz w:val="19"/>
                <w:szCs w:val="19"/>
              </w:rPr>
              <w:t xml:space="preserve">56,311 </w:t>
            </w:r>
          </w:p>
        </w:tc>
        <w:tc>
          <w:tcPr>
            <w:tcW w:w="1300" w:type="dxa"/>
            <w:tcBorders>
              <w:top w:val="single" w:sz="4" w:space="0" w:color="auto"/>
              <w:left w:val="nil"/>
              <w:bottom w:val="single" w:sz="4" w:space="0" w:color="auto"/>
              <w:right w:val="nil"/>
            </w:tcBorders>
            <w:shd w:val="clear" w:color="auto" w:fill="auto"/>
            <w:noWrap/>
            <w:vAlign w:val="bottom"/>
            <w:hideMark/>
          </w:tcPr>
          <w:p w14:paraId="6F0C72F4" w14:textId="11EDA636" w:rsidR="004F77BE" w:rsidRPr="00981846" w:rsidRDefault="00266AE8" w:rsidP="00E62F8F">
            <w:pPr>
              <w:jc w:val="right"/>
              <w:rPr>
                <w:rFonts w:ascii="Arial" w:hAnsi="Arial" w:cs="Arial"/>
                <w:b/>
                <w:bCs/>
                <w:color w:val="000000"/>
                <w:sz w:val="19"/>
                <w:szCs w:val="19"/>
              </w:rPr>
            </w:pPr>
            <w:r>
              <w:rPr>
                <w:rFonts w:ascii="Arial" w:hAnsi="Arial" w:cs="Arial"/>
                <w:b/>
                <w:bCs/>
                <w:color w:val="000000"/>
                <w:sz w:val="19"/>
                <w:szCs w:val="19"/>
              </w:rPr>
              <w:t>1,4</w:t>
            </w:r>
            <w:r w:rsidR="004F77BE" w:rsidRPr="00981846">
              <w:rPr>
                <w:rFonts w:ascii="Arial" w:hAnsi="Arial" w:cs="Arial"/>
                <w:b/>
                <w:bCs/>
                <w:color w:val="000000"/>
                <w:sz w:val="19"/>
                <w:szCs w:val="19"/>
              </w:rPr>
              <w:t xml:space="preserve">63,046 </w:t>
            </w:r>
          </w:p>
        </w:tc>
      </w:tr>
      <w:tr w:rsidR="004F77BE" w:rsidRPr="00981846" w14:paraId="415FFE94" w14:textId="77777777" w:rsidTr="00981846">
        <w:trPr>
          <w:trHeight w:val="57"/>
        </w:trPr>
        <w:tc>
          <w:tcPr>
            <w:tcW w:w="5880" w:type="dxa"/>
            <w:tcBorders>
              <w:top w:val="nil"/>
              <w:left w:val="nil"/>
              <w:bottom w:val="nil"/>
              <w:right w:val="nil"/>
            </w:tcBorders>
            <w:shd w:val="clear" w:color="auto" w:fill="auto"/>
            <w:noWrap/>
            <w:vAlign w:val="bottom"/>
            <w:hideMark/>
          </w:tcPr>
          <w:p w14:paraId="424532D8"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Minority Interest</w:t>
            </w:r>
          </w:p>
        </w:tc>
        <w:tc>
          <w:tcPr>
            <w:tcW w:w="1300" w:type="dxa"/>
            <w:tcBorders>
              <w:top w:val="nil"/>
              <w:left w:val="nil"/>
              <w:bottom w:val="nil"/>
              <w:right w:val="nil"/>
            </w:tcBorders>
            <w:shd w:val="clear" w:color="auto" w:fill="auto"/>
            <w:noWrap/>
            <w:vAlign w:val="bottom"/>
            <w:hideMark/>
          </w:tcPr>
          <w:p w14:paraId="73BC5172"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1,313 </w:t>
            </w:r>
          </w:p>
        </w:tc>
        <w:tc>
          <w:tcPr>
            <w:tcW w:w="1300" w:type="dxa"/>
            <w:tcBorders>
              <w:top w:val="nil"/>
              <w:left w:val="nil"/>
              <w:bottom w:val="nil"/>
              <w:right w:val="nil"/>
            </w:tcBorders>
            <w:shd w:val="clear" w:color="auto" w:fill="auto"/>
            <w:noWrap/>
            <w:vAlign w:val="bottom"/>
            <w:hideMark/>
          </w:tcPr>
          <w:p w14:paraId="1A8D7F79" w14:textId="77777777" w:rsidR="004F77BE" w:rsidRPr="00981846" w:rsidRDefault="004F77BE" w:rsidP="00E62F8F">
            <w:pPr>
              <w:jc w:val="right"/>
              <w:rPr>
                <w:rFonts w:ascii="Arial" w:hAnsi="Arial" w:cs="Arial"/>
                <w:color w:val="000000"/>
                <w:sz w:val="19"/>
                <w:szCs w:val="19"/>
              </w:rPr>
            </w:pPr>
            <w:r w:rsidRPr="00981846">
              <w:rPr>
                <w:rFonts w:ascii="Arial" w:hAnsi="Arial" w:cs="Arial"/>
                <w:color w:val="000000"/>
                <w:sz w:val="19"/>
                <w:szCs w:val="19"/>
              </w:rPr>
              <w:t xml:space="preserve">343 </w:t>
            </w:r>
          </w:p>
        </w:tc>
      </w:tr>
      <w:tr w:rsidR="004F77BE" w:rsidRPr="00981846" w14:paraId="6987C693" w14:textId="77777777" w:rsidTr="00981846">
        <w:trPr>
          <w:trHeight w:val="67"/>
        </w:trPr>
        <w:tc>
          <w:tcPr>
            <w:tcW w:w="5880" w:type="dxa"/>
            <w:tcBorders>
              <w:top w:val="nil"/>
              <w:left w:val="nil"/>
              <w:bottom w:val="nil"/>
              <w:right w:val="nil"/>
            </w:tcBorders>
            <w:shd w:val="clear" w:color="auto" w:fill="auto"/>
            <w:noWrap/>
            <w:vAlign w:val="bottom"/>
            <w:hideMark/>
          </w:tcPr>
          <w:p w14:paraId="1AB64165"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Total Stockholders' Equity</w:t>
            </w:r>
          </w:p>
        </w:tc>
        <w:tc>
          <w:tcPr>
            <w:tcW w:w="1300" w:type="dxa"/>
            <w:tcBorders>
              <w:top w:val="nil"/>
              <w:left w:val="nil"/>
              <w:bottom w:val="nil"/>
              <w:right w:val="nil"/>
            </w:tcBorders>
            <w:shd w:val="clear" w:color="auto" w:fill="auto"/>
            <w:noWrap/>
            <w:vAlign w:val="bottom"/>
            <w:hideMark/>
          </w:tcPr>
          <w:p w14:paraId="5CF77A0F" w14:textId="0B832D8E" w:rsidR="004F77BE" w:rsidRPr="00981846" w:rsidRDefault="00266AE8" w:rsidP="00E62F8F">
            <w:pPr>
              <w:jc w:val="right"/>
              <w:rPr>
                <w:rFonts w:ascii="Arial" w:hAnsi="Arial" w:cs="Arial"/>
                <w:color w:val="000000"/>
                <w:sz w:val="19"/>
                <w:szCs w:val="19"/>
              </w:rPr>
            </w:pPr>
            <w:r>
              <w:rPr>
                <w:rFonts w:ascii="Arial" w:hAnsi="Arial" w:cs="Arial"/>
                <w:color w:val="000000"/>
                <w:sz w:val="19"/>
                <w:szCs w:val="19"/>
              </w:rPr>
              <w:t>1,2</w:t>
            </w:r>
            <w:r w:rsidR="004F77BE" w:rsidRPr="00981846">
              <w:rPr>
                <w:rFonts w:ascii="Arial" w:hAnsi="Arial" w:cs="Arial"/>
                <w:color w:val="000000"/>
                <w:sz w:val="19"/>
                <w:szCs w:val="19"/>
              </w:rPr>
              <w:t xml:space="preserve">12,420 </w:t>
            </w:r>
          </w:p>
        </w:tc>
        <w:tc>
          <w:tcPr>
            <w:tcW w:w="1300" w:type="dxa"/>
            <w:tcBorders>
              <w:top w:val="nil"/>
              <w:left w:val="nil"/>
              <w:bottom w:val="nil"/>
              <w:right w:val="nil"/>
            </w:tcBorders>
            <w:shd w:val="clear" w:color="auto" w:fill="auto"/>
            <w:noWrap/>
            <w:vAlign w:val="bottom"/>
            <w:hideMark/>
          </w:tcPr>
          <w:p w14:paraId="1D127E66" w14:textId="7F279FEC" w:rsidR="004F77BE" w:rsidRPr="00981846" w:rsidRDefault="00266AE8" w:rsidP="00E62F8F">
            <w:pPr>
              <w:jc w:val="right"/>
              <w:rPr>
                <w:rFonts w:ascii="Arial" w:hAnsi="Arial" w:cs="Arial"/>
                <w:color w:val="000000"/>
                <w:sz w:val="19"/>
                <w:szCs w:val="19"/>
              </w:rPr>
            </w:pPr>
            <w:r>
              <w:rPr>
                <w:rFonts w:ascii="Arial" w:hAnsi="Arial" w:cs="Arial"/>
                <w:color w:val="000000"/>
                <w:sz w:val="19"/>
                <w:szCs w:val="19"/>
              </w:rPr>
              <w:t>1,1</w:t>
            </w:r>
            <w:r w:rsidR="004F77BE" w:rsidRPr="00981846">
              <w:rPr>
                <w:rFonts w:ascii="Arial" w:hAnsi="Arial" w:cs="Arial"/>
                <w:color w:val="000000"/>
                <w:sz w:val="19"/>
                <w:szCs w:val="19"/>
              </w:rPr>
              <w:t xml:space="preserve">86,695 </w:t>
            </w:r>
          </w:p>
        </w:tc>
      </w:tr>
      <w:tr w:rsidR="004F77BE" w:rsidRPr="00981846" w14:paraId="225C45CF" w14:textId="77777777" w:rsidTr="00981846">
        <w:trPr>
          <w:trHeight w:val="57"/>
        </w:trPr>
        <w:tc>
          <w:tcPr>
            <w:tcW w:w="5880" w:type="dxa"/>
            <w:tcBorders>
              <w:top w:val="single" w:sz="4" w:space="0" w:color="auto"/>
              <w:left w:val="nil"/>
              <w:bottom w:val="single" w:sz="4" w:space="0" w:color="auto"/>
              <w:right w:val="nil"/>
            </w:tcBorders>
            <w:shd w:val="clear" w:color="auto" w:fill="auto"/>
            <w:noWrap/>
            <w:vAlign w:val="bottom"/>
            <w:hideMark/>
          </w:tcPr>
          <w:p w14:paraId="18D9E619" w14:textId="75F776EA" w:rsidR="004F77BE" w:rsidRPr="00981846" w:rsidRDefault="004F77BE" w:rsidP="00356109">
            <w:pPr>
              <w:rPr>
                <w:rFonts w:ascii="Arial" w:hAnsi="Arial" w:cs="Arial"/>
                <w:b/>
                <w:bCs/>
                <w:color w:val="000000"/>
                <w:sz w:val="19"/>
                <w:szCs w:val="19"/>
              </w:rPr>
            </w:pPr>
            <w:r w:rsidRPr="00981846">
              <w:rPr>
                <w:rFonts w:ascii="Arial" w:hAnsi="Arial" w:cs="Arial"/>
                <w:b/>
                <w:bCs/>
                <w:color w:val="000000"/>
                <w:sz w:val="19"/>
                <w:szCs w:val="19"/>
              </w:rPr>
              <w:t xml:space="preserve">Total Liabilities, Minority Interest, </w:t>
            </w:r>
            <w:r w:rsidR="00FC4AD7">
              <w:rPr>
                <w:rFonts w:ascii="Arial" w:hAnsi="Arial" w:cs="Arial"/>
                <w:b/>
                <w:bCs/>
                <w:color w:val="000000"/>
                <w:sz w:val="19"/>
                <w:szCs w:val="19"/>
              </w:rPr>
              <w:t>and</w:t>
            </w:r>
            <w:r w:rsidRPr="00981846">
              <w:rPr>
                <w:rFonts w:ascii="Arial" w:hAnsi="Arial" w:cs="Arial"/>
                <w:b/>
                <w:bCs/>
                <w:color w:val="000000"/>
                <w:sz w:val="19"/>
                <w:szCs w:val="19"/>
              </w:rPr>
              <w:t xml:space="preserve"> Stockholders</w:t>
            </w:r>
            <w:r w:rsidR="00356109">
              <w:rPr>
                <w:rFonts w:ascii="Arial" w:hAnsi="Arial" w:cs="Arial"/>
                <w:b/>
                <w:bCs/>
                <w:color w:val="000000"/>
                <w:sz w:val="19"/>
                <w:szCs w:val="19"/>
              </w:rPr>
              <w:t>’</w:t>
            </w:r>
            <w:r w:rsidRPr="00981846">
              <w:rPr>
                <w:rFonts w:ascii="Arial" w:hAnsi="Arial" w:cs="Arial"/>
                <w:b/>
                <w:bCs/>
                <w:color w:val="000000"/>
                <w:sz w:val="19"/>
                <w:szCs w:val="19"/>
              </w:rPr>
              <w:t xml:space="preserve"> Equity</w:t>
            </w:r>
          </w:p>
        </w:tc>
        <w:tc>
          <w:tcPr>
            <w:tcW w:w="1300" w:type="dxa"/>
            <w:tcBorders>
              <w:top w:val="single" w:sz="4" w:space="0" w:color="auto"/>
              <w:left w:val="nil"/>
              <w:bottom w:val="single" w:sz="4" w:space="0" w:color="auto"/>
              <w:right w:val="nil"/>
            </w:tcBorders>
            <w:shd w:val="clear" w:color="auto" w:fill="auto"/>
            <w:noWrap/>
            <w:vAlign w:val="bottom"/>
            <w:hideMark/>
          </w:tcPr>
          <w:p w14:paraId="7A5D07BF" w14:textId="496E7F83" w:rsidR="004F77BE" w:rsidRPr="00981846" w:rsidRDefault="00266AE8" w:rsidP="00E62F8F">
            <w:pPr>
              <w:jc w:val="right"/>
              <w:rPr>
                <w:rFonts w:ascii="Arial" w:hAnsi="Arial" w:cs="Arial"/>
                <w:b/>
                <w:bCs/>
                <w:color w:val="000000"/>
                <w:sz w:val="19"/>
                <w:szCs w:val="19"/>
              </w:rPr>
            </w:pPr>
            <w:r>
              <w:rPr>
                <w:rFonts w:ascii="Arial" w:hAnsi="Arial" w:cs="Arial"/>
                <w:b/>
                <w:bCs/>
                <w:color w:val="000000"/>
                <w:sz w:val="19"/>
                <w:szCs w:val="19"/>
              </w:rPr>
              <w:t>1,7</w:t>
            </w:r>
            <w:r w:rsidR="004F77BE" w:rsidRPr="00981846">
              <w:rPr>
                <w:rFonts w:ascii="Arial" w:hAnsi="Arial" w:cs="Arial"/>
                <w:b/>
                <w:bCs/>
                <w:color w:val="000000"/>
                <w:sz w:val="19"/>
                <w:szCs w:val="19"/>
              </w:rPr>
              <w:t xml:space="preserve">70,044 </w:t>
            </w:r>
          </w:p>
        </w:tc>
        <w:tc>
          <w:tcPr>
            <w:tcW w:w="1300" w:type="dxa"/>
            <w:tcBorders>
              <w:top w:val="single" w:sz="4" w:space="0" w:color="auto"/>
              <w:left w:val="nil"/>
              <w:bottom w:val="single" w:sz="4" w:space="0" w:color="auto"/>
              <w:right w:val="nil"/>
            </w:tcBorders>
            <w:shd w:val="clear" w:color="auto" w:fill="auto"/>
            <w:noWrap/>
            <w:vAlign w:val="bottom"/>
            <w:hideMark/>
          </w:tcPr>
          <w:p w14:paraId="5DFF3334" w14:textId="37DED5BE" w:rsidR="004F77BE" w:rsidRPr="00981846" w:rsidRDefault="00266AE8" w:rsidP="00E62F8F">
            <w:pPr>
              <w:jc w:val="right"/>
              <w:rPr>
                <w:rFonts w:ascii="Arial" w:hAnsi="Arial" w:cs="Arial"/>
                <w:b/>
                <w:bCs/>
                <w:color w:val="000000"/>
                <w:sz w:val="19"/>
                <w:szCs w:val="19"/>
              </w:rPr>
            </w:pPr>
            <w:r>
              <w:rPr>
                <w:rFonts w:ascii="Arial" w:hAnsi="Arial" w:cs="Arial"/>
                <w:b/>
                <w:bCs/>
                <w:color w:val="000000"/>
                <w:sz w:val="19"/>
                <w:szCs w:val="19"/>
              </w:rPr>
              <w:t>2,6</w:t>
            </w:r>
            <w:r w:rsidR="004F77BE" w:rsidRPr="00981846">
              <w:rPr>
                <w:rFonts w:ascii="Arial" w:hAnsi="Arial" w:cs="Arial"/>
                <w:b/>
                <w:bCs/>
                <w:color w:val="000000"/>
                <w:sz w:val="19"/>
                <w:szCs w:val="19"/>
              </w:rPr>
              <w:t xml:space="preserve">50,084 </w:t>
            </w:r>
          </w:p>
        </w:tc>
      </w:tr>
    </w:tbl>
    <w:p w14:paraId="48EEC99A" w14:textId="77777777" w:rsidR="00981846" w:rsidRDefault="00981846" w:rsidP="004F77BE">
      <w:pPr>
        <w:jc w:val="center"/>
        <w:rPr>
          <w:rFonts w:ascii="Times" w:hAnsi="Times"/>
          <w:sz w:val="22"/>
          <w:szCs w:val="22"/>
        </w:rPr>
      </w:pPr>
    </w:p>
    <w:p w14:paraId="0BB8E3A7" w14:textId="77777777" w:rsidR="00981846" w:rsidRDefault="00981846">
      <w:pPr>
        <w:spacing w:after="200" w:line="276" w:lineRule="auto"/>
        <w:rPr>
          <w:rFonts w:ascii="Times" w:hAnsi="Times"/>
          <w:sz w:val="22"/>
          <w:szCs w:val="22"/>
        </w:rPr>
      </w:pPr>
      <w:r>
        <w:rPr>
          <w:rFonts w:ascii="Times" w:hAnsi="Times"/>
          <w:sz w:val="22"/>
          <w:szCs w:val="22"/>
        </w:rPr>
        <w:br w:type="page"/>
      </w:r>
    </w:p>
    <w:p w14:paraId="4F0234D1" w14:textId="77777777" w:rsidR="00981846" w:rsidRPr="00981846" w:rsidRDefault="00981846" w:rsidP="001873D9">
      <w:pPr>
        <w:pStyle w:val="ExhibitHeading"/>
        <w:outlineLvl w:val="0"/>
      </w:pPr>
      <w:r w:rsidRPr="00981846">
        <w:lastRenderedPageBreak/>
        <w:t>Exhibit 1 (continued)</w:t>
      </w:r>
    </w:p>
    <w:p w14:paraId="22B103C7" w14:textId="77777777" w:rsidR="00981846" w:rsidRDefault="00981846" w:rsidP="00981846">
      <w:pPr>
        <w:pStyle w:val="ExhibitNumber"/>
      </w:pPr>
    </w:p>
    <w:p w14:paraId="7BEAB890" w14:textId="75E09E80" w:rsidR="004F77BE" w:rsidRDefault="004F77BE" w:rsidP="00981846">
      <w:pPr>
        <w:pStyle w:val="ExhibitNumber"/>
        <w:ind w:right="810" w:firstLine="900"/>
      </w:pPr>
      <w:r w:rsidRPr="00981846">
        <w:t xml:space="preserve">HCL Technologies Ltd. and Subsidiaries Statements of Income Years Ended June 30, 2008, and 2009 (in </w:t>
      </w:r>
      <w:r w:rsidR="00223FD1">
        <w:t>$</w:t>
      </w:r>
      <w:r w:rsidRPr="00981846">
        <w:t>'000)</w:t>
      </w:r>
    </w:p>
    <w:p w14:paraId="76B77341" w14:textId="77777777" w:rsidR="00981846" w:rsidRPr="00981846" w:rsidRDefault="00981846" w:rsidP="00981846">
      <w:pPr>
        <w:pStyle w:val="ExhibitNumber"/>
        <w:ind w:right="810" w:firstLine="900"/>
      </w:pPr>
    </w:p>
    <w:tbl>
      <w:tblPr>
        <w:tblW w:w="8509" w:type="dxa"/>
        <w:tblInd w:w="93" w:type="dxa"/>
        <w:tblLook w:val="04A0" w:firstRow="1" w:lastRow="0" w:firstColumn="1" w:lastColumn="0" w:noHBand="0" w:noVBand="1"/>
      </w:tblPr>
      <w:tblGrid>
        <w:gridCol w:w="5827"/>
        <w:gridCol w:w="1341"/>
        <w:gridCol w:w="1341"/>
      </w:tblGrid>
      <w:tr w:rsidR="004F77BE" w:rsidRPr="00981846" w14:paraId="515E53A3" w14:textId="77777777" w:rsidTr="00E62F8F">
        <w:trPr>
          <w:trHeight w:val="300"/>
        </w:trPr>
        <w:tc>
          <w:tcPr>
            <w:tcW w:w="5827" w:type="dxa"/>
            <w:tcBorders>
              <w:top w:val="single" w:sz="4" w:space="0" w:color="auto"/>
              <w:left w:val="nil"/>
              <w:bottom w:val="single" w:sz="4" w:space="0" w:color="auto"/>
              <w:right w:val="nil"/>
            </w:tcBorders>
            <w:shd w:val="clear" w:color="auto" w:fill="auto"/>
            <w:noWrap/>
            <w:vAlign w:val="bottom"/>
            <w:hideMark/>
          </w:tcPr>
          <w:p w14:paraId="76CD8A0F" w14:textId="77777777" w:rsidR="004F77BE" w:rsidRPr="00981846" w:rsidRDefault="004F77BE" w:rsidP="00E62F8F">
            <w:pPr>
              <w:jc w:val="center"/>
              <w:rPr>
                <w:rFonts w:ascii="Arial" w:hAnsi="Arial" w:cs="Arial"/>
                <w:b/>
                <w:bCs/>
                <w:color w:val="000000"/>
                <w:sz w:val="19"/>
                <w:szCs w:val="19"/>
              </w:rPr>
            </w:pPr>
            <w:r w:rsidRPr="00981846">
              <w:rPr>
                <w:rFonts w:ascii="Arial" w:hAnsi="Arial" w:cs="Arial"/>
                <w:b/>
                <w:bCs/>
                <w:color w:val="000000"/>
                <w:sz w:val="19"/>
                <w:szCs w:val="19"/>
              </w:rPr>
              <w:t> </w:t>
            </w:r>
          </w:p>
        </w:tc>
        <w:tc>
          <w:tcPr>
            <w:tcW w:w="1341" w:type="dxa"/>
            <w:tcBorders>
              <w:top w:val="single" w:sz="4" w:space="0" w:color="auto"/>
              <w:left w:val="nil"/>
              <w:bottom w:val="single" w:sz="4" w:space="0" w:color="auto"/>
              <w:right w:val="nil"/>
            </w:tcBorders>
            <w:shd w:val="clear" w:color="auto" w:fill="auto"/>
            <w:noWrap/>
            <w:vAlign w:val="bottom"/>
            <w:hideMark/>
          </w:tcPr>
          <w:p w14:paraId="46364E9F" w14:textId="77777777" w:rsidR="004F77BE" w:rsidRPr="00981846" w:rsidRDefault="004F77BE" w:rsidP="00E62F8F">
            <w:pPr>
              <w:ind w:left="245"/>
              <w:jc w:val="center"/>
              <w:rPr>
                <w:rFonts w:ascii="Arial" w:hAnsi="Arial" w:cs="Arial"/>
                <w:b/>
                <w:bCs/>
                <w:color w:val="000000"/>
                <w:sz w:val="19"/>
                <w:szCs w:val="19"/>
              </w:rPr>
            </w:pPr>
            <w:r w:rsidRPr="00981846">
              <w:rPr>
                <w:rFonts w:ascii="Arial" w:hAnsi="Arial" w:cs="Arial"/>
                <w:b/>
                <w:bCs/>
                <w:color w:val="000000"/>
                <w:sz w:val="19"/>
                <w:szCs w:val="19"/>
              </w:rPr>
              <w:t>2008</w:t>
            </w:r>
          </w:p>
        </w:tc>
        <w:tc>
          <w:tcPr>
            <w:tcW w:w="1341" w:type="dxa"/>
            <w:tcBorders>
              <w:top w:val="single" w:sz="4" w:space="0" w:color="auto"/>
              <w:left w:val="nil"/>
              <w:bottom w:val="single" w:sz="4" w:space="0" w:color="auto"/>
              <w:right w:val="nil"/>
            </w:tcBorders>
            <w:shd w:val="clear" w:color="auto" w:fill="auto"/>
            <w:noWrap/>
            <w:vAlign w:val="bottom"/>
            <w:hideMark/>
          </w:tcPr>
          <w:p w14:paraId="2C72F644" w14:textId="77777777" w:rsidR="004F77BE" w:rsidRPr="00981846" w:rsidRDefault="004F77BE" w:rsidP="00E62F8F">
            <w:pPr>
              <w:ind w:left="245"/>
              <w:jc w:val="center"/>
              <w:rPr>
                <w:rFonts w:ascii="Arial" w:hAnsi="Arial" w:cs="Arial"/>
                <w:b/>
                <w:bCs/>
                <w:color w:val="000000"/>
                <w:sz w:val="19"/>
                <w:szCs w:val="19"/>
              </w:rPr>
            </w:pPr>
            <w:r w:rsidRPr="00981846">
              <w:rPr>
                <w:rFonts w:ascii="Arial" w:hAnsi="Arial" w:cs="Arial"/>
                <w:b/>
                <w:bCs/>
                <w:color w:val="000000"/>
                <w:sz w:val="19"/>
                <w:szCs w:val="19"/>
              </w:rPr>
              <w:t>2009</w:t>
            </w:r>
          </w:p>
        </w:tc>
      </w:tr>
      <w:tr w:rsidR="004F77BE" w:rsidRPr="00981846" w14:paraId="300CDD4E" w14:textId="77777777" w:rsidTr="00E62F8F">
        <w:trPr>
          <w:trHeight w:val="300"/>
        </w:trPr>
        <w:tc>
          <w:tcPr>
            <w:tcW w:w="5827" w:type="dxa"/>
            <w:tcBorders>
              <w:top w:val="nil"/>
              <w:left w:val="nil"/>
              <w:bottom w:val="nil"/>
              <w:right w:val="nil"/>
            </w:tcBorders>
            <w:shd w:val="clear" w:color="auto" w:fill="auto"/>
            <w:noWrap/>
            <w:vAlign w:val="bottom"/>
            <w:hideMark/>
          </w:tcPr>
          <w:p w14:paraId="2ABB7240"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Revenues</w:t>
            </w:r>
          </w:p>
        </w:tc>
        <w:tc>
          <w:tcPr>
            <w:tcW w:w="1341" w:type="dxa"/>
            <w:tcBorders>
              <w:top w:val="nil"/>
              <w:left w:val="nil"/>
              <w:bottom w:val="nil"/>
              <w:right w:val="nil"/>
            </w:tcBorders>
            <w:shd w:val="clear" w:color="auto" w:fill="auto"/>
            <w:noWrap/>
            <w:vAlign w:val="bottom"/>
            <w:hideMark/>
          </w:tcPr>
          <w:p w14:paraId="741AD983" w14:textId="4F2D76B5" w:rsidR="004F77BE" w:rsidRPr="00981846" w:rsidRDefault="0050351F" w:rsidP="00E62F8F">
            <w:pPr>
              <w:ind w:left="245"/>
              <w:jc w:val="right"/>
              <w:rPr>
                <w:rFonts w:ascii="Arial" w:hAnsi="Arial" w:cs="Arial"/>
                <w:color w:val="000000"/>
                <w:sz w:val="19"/>
                <w:szCs w:val="19"/>
              </w:rPr>
            </w:pPr>
            <w:r>
              <w:rPr>
                <w:rFonts w:ascii="Arial" w:hAnsi="Arial" w:cs="Arial"/>
                <w:color w:val="000000"/>
                <w:sz w:val="19"/>
                <w:szCs w:val="19"/>
              </w:rPr>
              <w:t>1,8</w:t>
            </w:r>
            <w:r w:rsidR="004F77BE" w:rsidRPr="00981846">
              <w:rPr>
                <w:rFonts w:ascii="Arial" w:hAnsi="Arial" w:cs="Arial"/>
                <w:color w:val="000000"/>
                <w:sz w:val="19"/>
                <w:szCs w:val="19"/>
              </w:rPr>
              <w:t>60,873</w:t>
            </w:r>
          </w:p>
        </w:tc>
        <w:tc>
          <w:tcPr>
            <w:tcW w:w="1341" w:type="dxa"/>
            <w:tcBorders>
              <w:top w:val="nil"/>
              <w:left w:val="nil"/>
              <w:bottom w:val="nil"/>
              <w:right w:val="nil"/>
            </w:tcBorders>
            <w:shd w:val="clear" w:color="auto" w:fill="auto"/>
            <w:noWrap/>
            <w:vAlign w:val="bottom"/>
            <w:hideMark/>
          </w:tcPr>
          <w:p w14:paraId="451775BE" w14:textId="3B63FE0F" w:rsidR="004F77BE" w:rsidRPr="00981846" w:rsidRDefault="0050351F" w:rsidP="00E62F8F">
            <w:pPr>
              <w:ind w:left="245"/>
              <w:jc w:val="right"/>
              <w:rPr>
                <w:rFonts w:ascii="Arial" w:hAnsi="Arial" w:cs="Arial"/>
                <w:color w:val="000000"/>
                <w:sz w:val="19"/>
                <w:szCs w:val="19"/>
              </w:rPr>
            </w:pPr>
            <w:r>
              <w:rPr>
                <w:rFonts w:ascii="Arial" w:hAnsi="Arial" w:cs="Arial"/>
                <w:color w:val="000000"/>
                <w:sz w:val="19"/>
                <w:szCs w:val="19"/>
              </w:rPr>
              <w:t>2,1</w:t>
            </w:r>
            <w:r w:rsidR="004F77BE" w:rsidRPr="00981846">
              <w:rPr>
                <w:rFonts w:ascii="Arial" w:hAnsi="Arial" w:cs="Arial"/>
                <w:color w:val="000000"/>
                <w:sz w:val="19"/>
                <w:szCs w:val="19"/>
              </w:rPr>
              <w:t>79,540</w:t>
            </w:r>
          </w:p>
        </w:tc>
      </w:tr>
      <w:tr w:rsidR="004F77BE" w:rsidRPr="00981846" w14:paraId="6958117C" w14:textId="77777777" w:rsidTr="00E62F8F">
        <w:trPr>
          <w:trHeight w:val="300"/>
        </w:trPr>
        <w:tc>
          <w:tcPr>
            <w:tcW w:w="5827" w:type="dxa"/>
            <w:tcBorders>
              <w:top w:val="nil"/>
              <w:left w:val="nil"/>
              <w:bottom w:val="nil"/>
              <w:right w:val="nil"/>
            </w:tcBorders>
            <w:shd w:val="clear" w:color="auto" w:fill="auto"/>
            <w:noWrap/>
            <w:vAlign w:val="bottom"/>
            <w:hideMark/>
          </w:tcPr>
          <w:p w14:paraId="7892C6A9"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Cost Expenses and Other Income</w:t>
            </w:r>
          </w:p>
        </w:tc>
        <w:tc>
          <w:tcPr>
            <w:tcW w:w="1341" w:type="dxa"/>
            <w:tcBorders>
              <w:top w:val="nil"/>
              <w:left w:val="nil"/>
              <w:bottom w:val="nil"/>
              <w:right w:val="nil"/>
            </w:tcBorders>
            <w:shd w:val="clear" w:color="auto" w:fill="auto"/>
            <w:noWrap/>
            <w:vAlign w:val="bottom"/>
            <w:hideMark/>
          </w:tcPr>
          <w:p w14:paraId="31DC2C9E" w14:textId="77777777" w:rsidR="004F77BE" w:rsidRPr="00981846" w:rsidRDefault="004F77BE" w:rsidP="00E62F8F">
            <w:pPr>
              <w:ind w:left="245"/>
              <w:jc w:val="right"/>
              <w:rPr>
                <w:rFonts w:ascii="Arial" w:hAnsi="Arial" w:cs="Arial"/>
                <w:color w:val="000000"/>
                <w:sz w:val="19"/>
                <w:szCs w:val="19"/>
              </w:rPr>
            </w:pPr>
          </w:p>
        </w:tc>
        <w:tc>
          <w:tcPr>
            <w:tcW w:w="1341" w:type="dxa"/>
            <w:tcBorders>
              <w:top w:val="nil"/>
              <w:left w:val="nil"/>
              <w:bottom w:val="nil"/>
              <w:right w:val="nil"/>
            </w:tcBorders>
            <w:shd w:val="clear" w:color="auto" w:fill="auto"/>
            <w:noWrap/>
            <w:vAlign w:val="bottom"/>
            <w:hideMark/>
          </w:tcPr>
          <w:p w14:paraId="66A8808A" w14:textId="77777777" w:rsidR="004F77BE" w:rsidRPr="00981846" w:rsidRDefault="004F77BE" w:rsidP="00E62F8F">
            <w:pPr>
              <w:ind w:left="245"/>
              <w:jc w:val="right"/>
              <w:rPr>
                <w:rFonts w:ascii="Arial" w:hAnsi="Arial" w:cs="Arial"/>
                <w:color w:val="000000"/>
                <w:sz w:val="19"/>
                <w:szCs w:val="19"/>
              </w:rPr>
            </w:pPr>
          </w:p>
        </w:tc>
      </w:tr>
      <w:tr w:rsidR="004F77BE" w:rsidRPr="00981846" w14:paraId="29D2D7D9" w14:textId="77777777" w:rsidTr="00E62F8F">
        <w:trPr>
          <w:trHeight w:val="300"/>
        </w:trPr>
        <w:tc>
          <w:tcPr>
            <w:tcW w:w="5827" w:type="dxa"/>
            <w:tcBorders>
              <w:top w:val="nil"/>
              <w:left w:val="nil"/>
              <w:bottom w:val="nil"/>
              <w:right w:val="nil"/>
            </w:tcBorders>
            <w:shd w:val="clear" w:color="auto" w:fill="auto"/>
            <w:noWrap/>
            <w:vAlign w:val="bottom"/>
            <w:hideMark/>
          </w:tcPr>
          <w:p w14:paraId="72A3BCB4"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Cost of Revenues</w:t>
            </w:r>
          </w:p>
        </w:tc>
        <w:tc>
          <w:tcPr>
            <w:tcW w:w="1341" w:type="dxa"/>
            <w:tcBorders>
              <w:top w:val="nil"/>
              <w:left w:val="nil"/>
              <w:bottom w:val="nil"/>
              <w:right w:val="nil"/>
            </w:tcBorders>
            <w:shd w:val="clear" w:color="auto" w:fill="auto"/>
            <w:noWrap/>
            <w:vAlign w:val="bottom"/>
            <w:hideMark/>
          </w:tcPr>
          <w:p w14:paraId="0E8B2C7F" w14:textId="3E9C412E" w:rsidR="004F77BE" w:rsidRPr="00981846" w:rsidRDefault="00906B84" w:rsidP="00E62F8F">
            <w:pPr>
              <w:ind w:left="245"/>
              <w:jc w:val="right"/>
              <w:rPr>
                <w:rFonts w:ascii="Arial" w:hAnsi="Arial" w:cs="Arial"/>
                <w:color w:val="000000"/>
                <w:sz w:val="19"/>
                <w:szCs w:val="19"/>
              </w:rPr>
            </w:pPr>
            <w:r>
              <w:rPr>
                <w:rFonts w:ascii="Arial" w:hAnsi="Arial" w:cs="Arial"/>
                <w:color w:val="000000"/>
                <w:sz w:val="19"/>
                <w:szCs w:val="19"/>
              </w:rPr>
              <w:t>1,1</w:t>
            </w:r>
            <w:r w:rsidR="004F77BE" w:rsidRPr="00981846">
              <w:rPr>
                <w:rFonts w:ascii="Arial" w:hAnsi="Arial" w:cs="Arial"/>
                <w:color w:val="000000"/>
                <w:sz w:val="19"/>
                <w:szCs w:val="19"/>
              </w:rPr>
              <w:t xml:space="preserve">63,144 </w:t>
            </w:r>
          </w:p>
        </w:tc>
        <w:tc>
          <w:tcPr>
            <w:tcW w:w="1341" w:type="dxa"/>
            <w:tcBorders>
              <w:top w:val="nil"/>
              <w:left w:val="nil"/>
              <w:bottom w:val="nil"/>
              <w:right w:val="nil"/>
            </w:tcBorders>
            <w:shd w:val="clear" w:color="auto" w:fill="auto"/>
            <w:noWrap/>
            <w:vAlign w:val="bottom"/>
            <w:hideMark/>
          </w:tcPr>
          <w:p w14:paraId="0C36B538" w14:textId="3D84EE98"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13</w:t>
            </w:r>
            <w:r w:rsidR="00906B84">
              <w:rPr>
                <w:rFonts w:ascii="Arial" w:hAnsi="Arial" w:cs="Arial"/>
                <w:color w:val="000000"/>
                <w:sz w:val="19"/>
                <w:szCs w:val="19"/>
              </w:rPr>
              <w:t>,</w:t>
            </w:r>
            <w:r w:rsidRPr="00981846">
              <w:rPr>
                <w:rFonts w:ascii="Arial" w:hAnsi="Arial" w:cs="Arial"/>
                <w:color w:val="000000"/>
                <w:sz w:val="19"/>
                <w:szCs w:val="19"/>
              </w:rPr>
              <w:t>53</w:t>
            </w:r>
            <w:r w:rsidR="00FD14BD">
              <w:rPr>
                <w:rFonts w:ascii="Arial" w:hAnsi="Arial" w:cs="Arial"/>
                <w:color w:val="000000"/>
                <w:sz w:val="19"/>
                <w:szCs w:val="19"/>
              </w:rPr>
              <w:t>,</w:t>
            </w:r>
            <w:r w:rsidRPr="00981846">
              <w:rPr>
                <w:rFonts w:ascii="Arial" w:hAnsi="Arial" w:cs="Arial"/>
                <w:color w:val="000000"/>
                <w:sz w:val="19"/>
                <w:szCs w:val="19"/>
              </w:rPr>
              <w:t>762</w:t>
            </w:r>
          </w:p>
        </w:tc>
      </w:tr>
      <w:tr w:rsidR="004F77BE" w:rsidRPr="00981846" w14:paraId="77C8E058" w14:textId="77777777" w:rsidTr="00E62F8F">
        <w:trPr>
          <w:trHeight w:val="300"/>
        </w:trPr>
        <w:tc>
          <w:tcPr>
            <w:tcW w:w="5827" w:type="dxa"/>
            <w:tcBorders>
              <w:top w:val="nil"/>
              <w:left w:val="nil"/>
              <w:bottom w:val="nil"/>
              <w:right w:val="nil"/>
            </w:tcBorders>
            <w:shd w:val="clear" w:color="auto" w:fill="auto"/>
            <w:noWrap/>
            <w:vAlign w:val="bottom"/>
            <w:hideMark/>
          </w:tcPr>
          <w:p w14:paraId="18AF63A5" w14:textId="0646B848"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Selling, General</w:t>
            </w:r>
            <w:r w:rsidR="00E17B5B">
              <w:rPr>
                <w:rFonts w:ascii="Arial" w:hAnsi="Arial" w:cs="Arial"/>
                <w:color w:val="000000"/>
                <w:sz w:val="19"/>
                <w:szCs w:val="19"/>
              </w:rPr>
              <w:t>,</w:t>
            </w:r>
            <w:r w:rsidRPr="00981846">
              <w:rPr>
                <w:rFonts w:ascii="Arial" w:hAnsi="Arial" w:cs="Arial"/>
                <w:color w:val="000000"/>
                <w:sz w:val="19"/>
                <w:szCs w:val="19"/>
              </w:rPr>
              <w:t xml:space="preserve"> and Administrative Expenses </w:t>
            </w:r>
          </w:p>
        </w:tc>
        <w:tc>
          <w:tcPr>
            <w:tcW w:w="1341" w:type="dxa"/>
            <w:tcBorders>
              <w:top w:val="nil"/>
              <w:left w:val="nil"/>
              <w:bottom w:val="nil"/>
              <w:right w:val="nil"/>
            </w:tcBorders>
            <w:shd w:val="clear" w:color="auto" w:fill="auto"/>
            <w:noWrap/>
            <w:vAlign w:val="bottom"/>
            <w:hideMark/>
          </w:tcPr>
          <w:p w14:paraId="1B8E732E" w14:textId="73EBFCA5" w:rsidR="004F77BE" w:rsidRPr="00981846" w:rsidRDefault="003D5039" w:rsidP="00E62F8F">
            <w:pPr>
              <w:ind w:left="245"/>
              <w:jc w:val="right"/>
              <w:rPr>
                <w:rFonts w:ascii="Arial" w:hAnsi="Arial" w:cs="Arial"/>
                <w:color w:val="000000"/>
                <w:sz w:val="19"/>
                <w:szCs w:val="19"/>
              </w:rPr>
            </w:pPr>
            <w:r>
              <w:rPr>
                <w:rFonts w:ascii="Arial" w:hAnsi="Arial" w:cs="Arial"/>
                <w:color w:val="000000"/>
                <w:sz w:val="19"/>
                <w:szCs w:val="19"/>
              </w:rPr>
              <w:t>3</w:t>
            </w:r>
            <w:r w:rsidR="004F77BE" w:rsidRPr="00981846">
              <w:rPr>
                <w:rFonts w:ascii="Arial" w:hAnsi="Arial" w:cs="Arial"/>
                <w:color w:val="000000"/>
                <w:sz w:val="19"/>
                <w:szCs w:val="19"/>
              </w:rPr>
              <w:t xml:space="preserve">23,573 </w:t>
            </w:r>
          </w:p>
        </w:tc>
        <w:tc>
          <w:tcPr>
            <w:tcW w:w="1341" w:type="dxa"/>
            <w:tcBorders>
              <w:top w:val="nil"/>
              <w:left w:val="nil"/>
              <w:bottom w:val="nil"/>
              <w:right w:val="nil"/>
            </w:tcBorders>
            <w:shd w:val="clear" w:color="auto" w:fill="auto"/>
            <w:noWrap/>
            <w:vAlign w:val="bottom"/>
            <w:hideMark/>
          </w:tcPr>
          <w:p w14:paraId="42E57511" w14:textId="44EF1312" w:rsidR="004F77BE" w:rsidRPr="00981846" w:rsidRDefault="003D5039" w:rsidP="00E62F8F">
            <w:pPr>
              <w:ind w:left="245"/>
              <w:jc w:val="right"/>
              <w:rPr>
                <w:rFonts w:ascii="Arial" w:hAnsi="Arial" w:cs="Arial"/>
                <w:color w:val="000000"/>
                <w:sz w:val="19"/>
                <w:szCs w:val="19"/>
              </w:rPr>
            </w:pPr>
            <w:r>
              <w:rPr>
                <w:rFonts w:ascii="Arial" w:hAnsi="Arial" w:cs="Arial"/>
                <w:color w:val="000000"/>
                <w:sz w:val="19"/>
                <w:szCs w:val="19"/>
              </w:rPr>
              <w:t>3</w:t>
            </w:r>
            <w:r w:rsidR="004F77BE" w:rsidRPr="00981846">
              <w:rPr>
                <w:rFonts w:ascii="Arial" w:hAnsi="Arial" w:cs="Arial"/>
                <w:color w:val="000000"/>
                <w:sz w:val="19"/>
                <w:szCs w:val="19"/>
              </w:rPr>
              <w:t xml:space="preserve">67,225 </w:t>
            </w:r>
          </w:p>
        </w:tc>
      </w:tr>
      <w:tr w:rsidR="004F77BE" w:rsidRPr="00981846" w14:paraId="2329EEE3" w14:textId="77777777" w:rsidTr="00E62F8F">
        <w:trPr>
          <w:trHeight w:val="300"/>
        </w:trPr>
        <w:tc>
          <w:tcPr>
            <w:tcW w:w="5827" w:type="dxa"/>
            <w:tcBorders>
              <w:top w:val="nil"/>
              <w:left w:val="nil"/>
              <w:bottom w:val="nil"/>
              <w:right w:val="nil"/>
            </w:tcBorders>
            <w:shd w:val="clear" w:color="auto" w:fill="auto"/>
            <w:noWrap/>
            <w:vAlign w:val="bottom"/>
            <w:hideMark/>
          </w:tcPr>
          <w:p w14:paraId="705381A2"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Depreciation and Amortization</w:t>
            </w:r>
          </w:p>
        </w:tc>
        <w:tc>
          <w:tcPr>
            <w:tcW w:w="1341" w:type="dxa"/>
            <w:tcBorders>
              <w:top w:val="nil"/>
              <w:left w:val="nil"/>
              <w:bottom w:val="nil"/>
              <w:right w:val="nil"/>
            </w:tcBorders>
            <w:shd w:val="clear" w:color="auto" w:fill="auto"/>
            <w:noWrap/>
            <w:vAlign w:val="bottom"/>
            <w:hideMark/>
          </w:tcPr>
          <w:p w14:paraId="4EA112D2"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74,612 </w:t>
            </w:r>
          </w:p>
        </w:tc>
        <w:tc>
          <w:tcPr>
            <w:tcW w:w="1341" w:type="dxa"/>
            <w:tcBorders>
              <w:top w:val="nil"/>
              <w:left w:val="nil"/>
              <w:bottom w:val="nil"/>
              <w:right w:val="nil"/>
            </w:tcBorders>
            <w:shd w:val="clear" w:color="auto" w:fill="auto"/>
            <w:noWrap/>
            <w:vAlign w:val="bottom"/>
            <w:hideMark/>
          </w:tcPr>
          <w:p w14:paraId="145BDC95"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92,245 </w:t>
            </w:r>
          </w:p>
        </w:tc>
      </w:tr>
      <w:tr w:rsidR="004F77BE" w:rsidRPr="00981846" w14:paraId="5DE28CFE" w14:textId="77777777" w:rsidTr="00E62F8F">
        <w:trPr>
          <w:trHeight w:val="300"/>
        </w:trPr>
        <w:tc>
          <w:tcPr>
            <w:tcW w:w="5827" w:type="dxa"/>
            <w:tcBorders>
              <w:top w:val="single" w:sz="4" w:space="0" w:color="auto"/>
              <w:left w:val="nil"/>
              <w:bottom w:val="single" w:sz="4" w:space="0" w:color="auto"/>
              <w:right w:val="nil"/>
            </w:tcBorders>
            <w:shd w:val="clear" w:color="auto" w:fill="auto"/>
            <w:noWrap/>
            <w:vAlign w:val="bottom"/>
            <w:hideMark/>
          </w:tcPr>
          <w:p w14:paraId="1ABE3B21"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Income from Operations</w:t>
            </w:r>
          </w:p>
        </w:tc>
        <w:tc>
          <w:tcPr>
            <w:tcW w:w="1341" w:type="dxa"/>
            <w:tcBorders>
              <w:top w:val="single" w:sz="4" w:space="0" w:color="auto"/>
              <w:left w:val="nil"/>
              <w:bottom w:val="single" w:sz="4" w:space="0" w:color="auto"/>
              <w:right w:val="nil"/>
            </w:tcBorders>
            <w:shd w:val="clear" w:color="auto" w:fill="auto"/>
            <w:noWrap/>
            <w:vAlign w:val="bottom"/>
            <w:hideMark/>
          </w:tcPr>
          <w:p w14:paraId="0EEF3177" w14:textId="076D3834" w:rsidR="004F77BE" w:rsidRPr="00981846" w:rsidRDefault="003D5039" w:rsidP="00E62F8F">
            <w:pPr>
              <w:ind w:left="245"/>
              <w:jc w:val="right"/>
              <w:rPr>
                <w:rFonts w:ascii="Arial" w:hAnsi="Arial" w:cs="Arial"/>
                <w:color w:val="000000"/>
                <w:sz w:val="19"/>
                <w:szCs w:val="19"/>
              </w:rPr>
            </w:pPr>
            <w:r>
              <w:rPr>
                <w:rFonts w:ascii="Arial" w:hAnsi="Arial" w:cs="Arial"/>
                <w:color w:val="000000"/>
                <w:sz w:val="19"/>
                <w:szCs w:val="19"/>
              </w:rPr>
              <w:t>2</w:t>
            </w:r>
            <w:r w:rsidR="004F77BE" w:rsidRPr="00981846">
              <w:rPr>
                <w:rFonts w:ascii="Arial" w:hAnsi="Arial" w:cs="Arial"/>
                <w:color w:val="000000"/>
                <w:sz w:val="19"/>
                <w:szCs w:val="19"/>
              </w:rPr>
              <w:t xml:space="preserve">99,544 </w:t>
            </w:r>
          </w:p>
        </w:tc>
        <w:tc>
          <w:tcPr>
            <w:tcW w:w="1341" w:type="dxa"/>
            <w:tcBorders>
              <w:top w:val="single" w:sz="4" w:space="0" w:color="auto"/>
              <w:left w:val="nil"/>
              <w:bottom w:val="single" w:sz="4" w:space="0" w:color="auto"/>
              <w:right w:val="nil"/>
            </w:tcBorders>
            <w:shd w:val="clear" w:color="auto" w:fill="auto"/>
            <w:noWrap/>
            <w:vAlign w:val="bottom"/>
            <w:hideMark/>
          </w:tcPr>
          <w:p w14:paraId="094958DB" w14:textId="31EE70E7" w:rsidR="004F77BE" w:rsidRPr="00981846" w:rsidRDefault="003D5039" w:rsidP="00E62F8F">
            <w:pPr>
              <w:ind w:left="245"/>
              <w:jc w:val="right"/>
              <w:rPr>
                <w:rFonts w:ascii="Arial" w:hAnsi="Arial" w:cs="Arial"/>
                <w:color w:val="000000"/>
                <w:sz w:val="19"/>
                <w:szCs w:val="19"/>
              </w:rPr>
            </w:pPr>
            <w:r>
              <w:rPr>
                <w:rFonts w:ascii="Arial" w:hAnsi="Arial" w:cs="Arial"/>
                <w:color w:val="000000"/>
                <w:sz w:val="19"/>
                <w:szCs w:val="19"/>
              </w:rPr>
              <w:t>3</w:t>
            </w:r>
            <w:r w:rsidR="004F77BE" w:rsidRPr="00981846">
              <w:rPr>
                <w:rFonts w:ascii="Arial" w:hAnsi="Arial" w:cs="Arial"/>
                <w:color w:val="000000"/>
                <w:sz w:val="19"/>
                <w:szCs w:val="19"/>
              </w:rPr>
              <w:t xml:space="preserve">66,308 </w:t>
            </w:r>
          </w:p>
        </w:tc>
      </w:tr>
      <w:tr w:rsidR="004F77BE" w:rsidRPr="00981846" w14:paraId="67FE33B7" w14:textId="77777777" w:rsidTr="00E62F8F">
        <w:trPr>
          <w:trHeight w:val="300"/>
        </w:trPr>
        <w:tc>
          <w:tcPr>
            <w:tcW w:w="5827" w:type="dxa"/>
            <w:tcBorders>
              <w:top w:val="nil"/>
              <w:left w:val="nil"/>
              <w:bottom w:val="nil"/>
              <w:right w:val="nil"/>
            </w:tcBorders>
            <w:shd w:val="clear" w:color="auto" w:fill="auto"/>
            <w:noWrap/>
            <w:vAlign w:val="bottom"/>
            <w:hideMark/>
          </w:tcPr>
          <w:p w14:paraId="5747D865"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Other (Income) Expenses, Net</w:t>
            </w:r>
          </w:p>
        </w:tc>
        <w:tc>
          <w:tcPr>
            <w:tcW w:w="1341" w:type="dxa"/>
            <w:tcBorders>
              <w:top w:val="nil"/>
              <w:left w:val="nil"/>
              <w:bottom w:val="nil"/>
              <w:right w:val="nil"/>
            </w:tcBorders>
            <w:shd w:val="clear" w:color="auto" w:fill="auto"/>
            <w:noWrap/>
            <w:vAlign w:val="bottom"/>
            <w:hideMark/>
          </w:tcPr>
          <w:p w14:paraId="7A4578A6"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11,331 </w:t>
            </w:r>
          </w:p>
        </w:tc>
        <w:tc>
          <w:tcPr>
            <w:tcW w:w="1341" w:type="dxa"/>
            <w:tcBorders>
              <w:top w:val="nil"/>
              <w:left w:val="nil"/>
              <w:bottom w:val="nil"/>
              <w:right w:val="nil"/>
            </w:tcBorders>
            <w:shd w:val="clear" w:color="auto" w:fill="auto"/>
            <w:noWrap/>
            <w:vAlign w:val="bottom"/>
            <w:hideMark/>
          </w:tcPr>
          <w:p w14:paraId="56326FF7"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66,172 </w:t>
            </w:r>
          </w:p>
        </w:tc>
      </w:tr>
      <w:tr w:rsidR="004F77BE" w:rsidRPr="00981846" w14:paraId="6E080963" w14:textId="77777777" w:rsidTr="00981846">
        <w:trPr>
          <w:trHeight w:val="467"/>
        </w:trPr>
        <w:tc>
          <w:tcPr>
            <w:tcW w:w="5827" w:type="dxa"/>
            <w:tcBorders>
              <w:top w:val="single" w:sz="4" w:space="0" w:color="auto"/>
              <w:left w:val="nil"/>
              <w:bottom w:val="single" w:sz="4" w:space="0" w:color="auto"/>
              <w:right w:val="nil"/>
            </w:tcBorders>
            <w:shd w:val="clear" w:color="auto" w:fill="auto"/>
            <w:vAlign w:val="bottom"/>
            <w:hideMark/>
          </w:tcPr>
          <w:p w14:paraId="1E12DD48"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Income Before Income Taxes, Share of Equity in Earnings of Affiliates and Minority Interest</w:t>
            </w:r>
          </w:p>
        </w:tc>
        <w:tc>
          <w:tcPr>
            <w:tcW w:w="1341" w:type="dxa"/>
            <w:tcBorders>
              <w:top w:val="single" w:sz="4" w:space="0" w:color="auto"/>
              <w:left w:val="nil"/>
              <w:bottom w:val="single" w:sz="4" w:space="0" w:color="auto"/>
              <w:right w:val="nil"/>
            </w:tcBorders>
            <w:shd w:val="clear" w:color="auto" w:fill="auto"/>
            <w:noWrap/>
            <w:vAlign w:val="bottom"/>
            <w:hideMark/>
          </w:tcPr>
          <w:p w14:paraId="54BFD8EA" w14:textId="1EFA1201" w:rsidR="004F77BE" w:rsidRPr="00981846" w:rsidRDefault="003D5039" w:rsidP="00E62F8F">
            <w:pPr>
              <w:ind w:left="245"/>
              <w:jc w:val="right"/>
              <w:rPr>
                <w:rFonts w:ascii="Arial" w:hAnsi="Arial" w:cs="Arial"/>
                <w:b/>
                <w:bCs/>
                <w:color w:val="000000"/>
                <w:sz w:val="19"/>
                <w:szCs w:val="19"/>
              </w:rPr>
            </w:pPr>
            <w:r>
              <w:rPr>
                <w:rFonts w:ascii="Arial" w:hAnsi="Arial" w:cs="Arial"/>
                <w:b/>
                <w:bCs/>
                <w:color w:val="000000"/>
                <w:sz w:val="19"/>
                <w:szCs w:val="19"/>
              </w:rPr>
              <w:t>2</w:t>
            </w:r>
            <w:r w:rsidR="004F77BE" w:rsidRPr="00981846">
              <w:rPr>
                <w:rFonts w:ascii="Arial" w:hAnsi="Arial" w:cs="Arial"/>
                <w:b/>
                <w:bCs/>
                <w:color w:val="000000"/>
                <w:sz w:val="19"/>
                <w:szCs w:val="19"/>
              </w:rPr>
              <w:t xml:space="preserve">88,213 </w:t>
            </w:r>
          </w:p>
        </w:tc>
        <w:tc>
          <w:tcPr>
            <w:tcW w:w="1341" w:type="dxa"/>
            <w:tcBorders>
              <w:top w:val="single" w:sz="4" w:space="0" w:color="auto"/>
              <w:left w:val="nil"/>
              <w:bottom w:val="single" w:sz="4" w:space="0" w:color="auto"/>
              <w:right w:val="nil"/>
            </w:tcBorders>
            <w:shd w:val="clear" w:color="auto" w:fill="auto"/>
            <w:noWrap/>
            <w:vAlign w:val="bottom"/>
            <w:hideMark/>
          </w:tcPr>
          <w:p w14:paraId="5EF166F7" w14:textId="4B38C5AB" w:rsidR="004F77BE" w:rsidRPr="00981846" w:rsidRDefault="003D5039" w:rsidP="00E62F8F">
            <w:pPr>
              <w:ind w:left="245"/>
              <w:jc w:val="right"/>
              <w:rPr>
                <w:rFonts w:ascii="Arial" w:hAnsi="Arial" w:cs="Arial"/>
                <w:b/>
                <w:bCs/>
                <w:color w:val="000000"/>
                <w:sz w:val="19"/>
                <w:szCs w:val="19"/>
              </w:rPr>
            </w:pPr>
            <w:r>
              <w:rPr>
                <w:rFonts w:ascii="Arial" w:hAnsi="Arial" w:cs="Arial"/>
                <w:b/>
                <w:bCs/>
                <w:color w:val="000000"/>
                <w:sz w:val="19"/>
                <w:szCs w:val="19"/>
              </w:rPr>
              <w:t>3</w:t>
            </w:r>
            <w:r w:rsidR="004F77BE" w:rsidRPr="00981846">
              <w:rPr>
                <w:rFonts w:ascii="Arial" w:hAnsi="Arial" w:cs="Arial"/>
                <w:b/>
                <w:bCs/>
                <w:color w:val="000000"/>
                <w:sz w:val="19"/>
                <w:szCs w:val="19"/>
              </w:rPr>
              <w:t xml:space="preserve">00,136 </w:t>
            </w:r>
          </w:p>
        </w:tc>
      </w:tr>
      <w:tr w:rsidR="004F77BE" w:rsidRPr="00981846" w14:paraId="5DE233C0" w14:textId="77777777" w:rsidTr="00E62F8F">
        <w:trPr>
          <w:trHeight w:val="300"/>
        </w:trPr>
        <w:tc>
          <w:tcPr>
            <w:tcW w:w="5827" w:type="dxa"/>
            <w:tcBorders>
              <w:top w:val="nil"/>
              <w:left w:val="nil"/>
              <w:bottom w:val="nil"/>
              <w:right w:val="nil"/>
            </w:tcBorders>
            <w:shd w:val="clear" w:color="auto" w:fill="auto"/>
            <w:noWrap/>
            <w:vAlign w:val="bottom"/>
            <w:hideMark/>
          </w:tcPr>
          <w:p w14:paraId="455D1E3D"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Income Taxes</w:t>
            </w:r>
          </w:p>
        </w:tc>
        <w:tc>
          <w:tcPr>
            <w:tcW w:w="1341" w:type="dxa"/>
            <w:tcBorders>
              <w:top w:val="nil"/>
              <w:left w:val="nil"/>
              <w:bottom w:val="nil"/>
              <w:right w:val="nil"/>
            </w:tcBorders>
            <w:shd w:val="clear" w:color="auto" w:fill="auto"/>
            <w:noWrap/>
            <w:vAlign w:val="bottom"/>
            <w:hideMark/>
          </w:tcPr>
          <w:p w14:paraId="205DECFE"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29,453 </w:t>
            </w:r>
          </w:p>
        </w:tc>
        <w:tc>
          <w:tcPr>
            <w:tcW w:w="1341" w:type="dxa"/>
            <w:tcBorders>
              <w:top w:val="nil"/>
              <w:left w:val="nil"/>
              <w:bottom w:val="nil"/>
              <w:right w:val="nil"/>
            </w:tcBorders>
            <w:shd w:val="clear" w:color="auto" w:fill="auto"/>
            <w:noWrap/>
            <w:vAlign w:val="bottom"/>
            <w:hideMark/>
          </w:tcPr>
          <w:p w14:paraId="4E599627"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51,848 </w:t>
            </w:r>
          </w:p>
        </w:tc>
      </w:tr>
      <w:tr w:rsidR="004F77BE" w:rsidRPr="00981846" w14:paraId="43F85EEE" w14:textId="77777777" w:rsidTr="00E62F8F">
        <w:trPr>
          <w:trHeight w:val="480"/>
        </w:trPr>
        <w:tc>
          <w:tcPr>
            <w:tcW w:w="5827" w:type="dxa"/>
            <w:tcBorders>
              <w:top w:val="single" w:sz="4" w:space="0" w:color="auto"/>
              <w:left w:val="nil"/>
              <w:bottom w:val="single" w:sz="4" w:space="0" w:color="auto"/>
              <w:right w:val="nil"/>
            </w:tcBorders>
            <w:shd w:val="clear" w:color="auto" w:fill="auto"/>
            <w:vAlign w:val="bottom"/>
            <w:hideMark/>
          </w:tcPr>
          <w:p w14:paraId="49E847EF"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Income Before Share of Equity in Earnings of Affiliates and Minority Interest</w:t>
            </w:r>
          </w:p>
        </w:tc>
        <w:tc>
          <w:tcPr>
            <w:tcW w:w="1341" w:type="dxa"/>
            <w:tcBorders>
              <w:top w:val="single" w:sz="4" w:space="0" w:color="auto"/>
              <w:left w:val="nil"/>
              <w:bottom w:val="single" w:sz="4" w:space="0" w:color="auto"/>
              <w:right w:val="nil"/>
            </w:tcBorders>
            <w:shd w:val="clear" w:color="auto" w:fill="auto"/>
            <w:noWrap/>
            <w:vAlign w:val="bottom"/>
            <w:hideMark/>
          </w:tcPr>
          <w:p w14:paraId="6F1C66FA" w14:textId="0529A46A" w:rsidR="004F77BE" w:rsidRPr="00981846" w:rsidRDefault="003D5039" w:rsidP="00E62F8F">
            <w:pPr>
              <w:ind w:left="245"/>
              <w:jc w:val="right"/>
              <w:rPr>
                <w:rFonts w:ascii="Arial" w:hAnsi="Arial" w:cs="Arial"/>
                <w:b/>
                <w:bCs/>
                <w:color w:val="000000"/>
                <w:sz w:val="19"/>
                <w:szCs w:val="19"/>
              </w:rPr>
            </w:pPr>
            <w:r>
              <w:rPr>
                <w:rFonts w:ascii="Arial" w:hAnsi="Arial" w:cs="Arial"/>
                <w:b/>
                <w:bCs/>
                <w:color w:val="000000"/>
                <w:sz w:val="19"/>
                <w:szCs w:val="19"/>
              </w:rPr>
              <w:t>2</w:t>
            </w:r>
            <w:r w:rsidR="004F77BE" w:rsidRPr="00981846">
              <w:rPr>
                <w:rFonts w:ascii="Arial" w:hAnsi="Arial" w:cs="Arial"/>
                <w:b/>
                <w:bCs/>
                <w:color w:val="000000"/>
                <w:sz w:val="19"/>
                <w:szCs w:val="19"/>
              </w:rPr>
              <w:t xml:space="preserve">58,760 </w:t>
            </w:r>
          </w:p>
        </w:tc>
        <w:tc>
          <w:tcPr>
            <w:tcW w:w="1341" w:type="dxa"/>
            <w:tcBorders>
              <w:top w:val="single" w:sz="4" w:space="0" w:color="auto"/>
              <w:left w:val="nil"/>
              <w:bottom w:val="single" w:sz="4" w:space="0" w:color="auto"/>
              <w:right w:val="nil"/>
            </w:tcBorders>
            <w:shd w:val="clear" w:color="auto" w:fill="auto"/>
            <w:noWrap/>
            <w:vAlign w:val="bottom"/>
            <w:hideMark/>
          </w:tcPr>
          <w:p w14:paraId="2FA765C7" w14:textId="79908CAF" w:rsidR="004F77BE" w:rsidRPr="00981846" w:rsidRDefault="003D5039" w:rsidP="00E62F8F">
            <w:pPr>
              <w:ind w:left="245"/>
              <w:jc w:val="right"/>
              <w:rPr>
                <w:rFonts w:ascii="Arial" w:hAnsi="Arial" w:cs="Arial"/>
                <w:b/>
                <w:bCs/>
                <w:color w:val="000000"/>
                <w:sz w:val="19"/>
                <w:szCs w:val="19"/>
              </w:rPr>
            </w:pPr>
            <w:r>
              <w:rPr>
                <w:rFonts w:ascii="Arial" w:hAnsi="Arial" w:cs="Arial"/>
                <w:b/>
                <w:bCs/>
                <w:color w:val="000000"/>
                <w:sz w:val="19"/>
                <w:szCs w:val="19"/>
              </w:rPr>
              <w:t>2</w:t>
            </w:r>
            <w:r w:rsidR="004F77BE" w:rsidRPr="00981846">
              <w:rPr>
                <w:rFonts w:ascii="Arial" w:hAnsi="Arial" w:cs="Arial"/>
                <w:b/>
                <w:bCs/>
                <w:color w:val="000000"/>
                <w:sz w:val="19"/>
                <w:szCs w:val="19"/>
              </w:rPr>
              <w:t xml:space="preserve">48,288 </w:t>
            </w:r>
          </w:p>
        </w:tc>
      </w:tr>
      <w:tr w:rsidR="004F77BE" w:rsidRPr="00981846" w14:paraId="0FE53651" w14:textId="77777777" w:rsidTr="00E62F8F">
        <w:trPr>
          <w:trHeight w:val="300"/>
        </w:trPr>
        <w:tc>
          <w:tcPr>
            <w:tcW w:w="5827" w:type="dxa"/>
            <w:tcBorders>
              <w:top w:val="nil"/>
              <w:left w:val="nil"/>
              <w:bottom w:val="nil"/>
              <w:right w:val="nil"/>
            </w:tcBorders>
            <w:shd w:val="clear" w:color="auto" w:fill="auto"/>
            <w:noWrap/>
            <w:vAlign w:val="bottom"/>
            <w:hideMark/>
          </w:tcPr>
          <w:p w14:paraId="2A5EAFEC"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Equity in (Losses) Earnings of Affiliates</w:t>
            </w:r>
          </w:p>
        </w:tc>
        <w:tc>
          <w:tcPr>
            <w:tcW w:w="1341" w:type="dxa"/>
            <w:tcBorders>
              <w:top w:val="nil"/>
              <w:left w:val="nil"/>
              <w:bottom w:val="nil"/>
              <w:right w:val="nil"/>
            </w:tcBorders>
            <w:shd w:val="clear" w:color="auto" w:fill="auto"/>
            <w:noWrap/>
            <w:vAlign w:val="bottom"/>
            <w:hideMark/>
          </w:tcPr>
          <w:p w14:paraId="0D8FB3F3"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130 </w:t>
            </w:r>
          </w:p>
        </w:tc>
        <w:tc>
          <w:tcPr>
            <w:tcW w:w="1341" w:type="dxa"/>
            <w:tcBorders>
              <w:top w:val="nil"/>
              <w:left w:val="nil"/>
              <w:bottom w:val="nil"/>
              <w:right w:val="nil"/>
            </w:tcBorders>
            <w:shd w:val="clear" w:color="auto" w:fill="auto"/>
            <w:noWrap/>
            <w:vAlign w:val="bottom"/>
            <w:hideMark/>
          </w:tcPr>
          <w:p w14:paraId="5CF72221"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506 </w:t>
            </w:r>
          </w:p>
        </w:tc>
      </w:tr>
      <w:tr w:rsidR="004F77BE" w:rsidRPr="00981846" w14:paraId="035991F6" w14:textId="77777777" w:rsidTr="00E62F8F">
        <w:trPr>
          <w:trHeight w:val="300"/>
        </w:trPr>
        <w:tc>
          <w:tcPr>
            <w:tcW w:w="5827" w:type="dxa"/>
            <w:tcBorders>
              <w:top w:val="nil"/>
              <w:left w:val="nil"/>
              <w:bottom w:val="nil"/>
              <w:right w:val="nil"/>
            </w:tcBorders>
            <w:shd w:val="clear" w:color="auto" w:fill="auto"/>
            <w:noWrap/>
            <w:vAlign w:val="bottom"/>
            <w:hideMark/>
          </w:tcPr>
          <w:p w14:paraId="67616B3C" w14:textId="77777777" w:rsidR="004F77BE" w:rsidRPr="00981846" w:rsidRDefault="004F77BE" w:rsidP="00E62F8F">
            <w:pPr>
              <w:rPr>
                <w:rFonts w:ascii="Arial" w:hAnsi="Arial" w:cs="Arial"/>
                <w:color w:val="000000"/>
                <w:sz w:val="19"/>
                <w:szCs w:val="19"/>
              </w:rPr>
            </w:pPr>
            <w:r w:rsidRPr="00981846">
              <w:rPr>
                <w:rFonts w:ascii="Arial" w:hAnsi="Arial" w:cs="Arial"/>
                <w:color w:val="000000"/>
                <w:sz w:val="19"/>
                <w:szCs w:val="19"/>
              </w:rPr>
              <w:t>Minority Interest</w:t>
            </w:r>
          </w:p>
        </w:tc>
        <w:tc>
          <w:tcPr>
            <w:tcW w:w="1341" w:type="dxa"/>
            <w:tcBorders>
              <w:top w:val="nil"/>
              <w:left w:val="nil"/>
              <w:bottom w:val="nil"/>
              <w:right w:val="nil"/>
            </w:tcBorders>
            <w:shd w:val="clear" w:color="auto" w:fill="auto"/>
            <w:noWrap/>
            <w:vAlign w:val="bottom"/>
            <w:hideMark/>
          </w:tcPr>
          <w:p w14:paraId="1F5BC446" w14:textId="452D9DEB" w:rsidR="004F77BE" w:rsidRPr="00981846" w:rsidRDefault="00E17B5B" w:rsidP="00E62F8F">
            <w:pPr>
              <w:ind w:left="245"/>
              <w:jc w:val="right"/>
              <w:rPr>
                <w:rFonts w:ascii="Arial" w:hAnsi="Arial" w:cs="Arial"/>
                <w:color w:val="000000"/>
                <w:sz w:val="19"/>
                <w:szCs w:val="19"/>
              </w:rPr>
            </w:pPr>
            <w:r w:rsidRPr="00732E0A">
              <w:rPr>
                <w:rStyle w:val="s1"/>
                <w:rFonts w:ascii="Arial" w:hAnsi="Arial" w:cs="Arial"/>
                <w:sz w:val="19"/>
                <w:szCs w:val="19"/>
              </w:rPr>
              <w:t>−</w:t>
            </w:r>
            <w:r w:rsidR="004F77BE" w:rsidRPr="00981846">
              <w:rPr>
                <w:rFonts w:ascii="Arial" w:hAnsi="Arial" w:cs="Arial"/>
                <w:color w:val="000000"/>
                <w:sz w:val="19"/>
                <w:szCs w:val="19"/>
              </w:rPr>
              <w:t xml:space="preserve">647 </w:t>
            </w:r>
          </w:p>
        </w:tc>
        <w:tc>
          <w:tcPr>
            <w:tcW w:w="1341" w:type="dxa"/>
            <w:tcBorders>
              <w:top w:val="nil"/>
              <w:left w:val="nil"/>
              <w:bottom w:val="nil"/>
              <w:right w:val="nil"/>
            </w:tcBorders>
            <w:shd w:val="clear" w:color="auto" w:fill="auto"/>
            <w:noWrap/>
            <w:vAlign w:val="bottom"/>
            <w:hideMark/>
          </w:tcPr>
          <w:p w14:paraId="1E85855A" w14:textId="77777777" w:rsidR="004F77BE" w:rsidRPr="00981846" w:rsidRDefault="004F77BE" w:rsidP="00E62F8F">
            <w:pPr>
              <w:ind w:left="245"/>
              <w:jc w:val="right"/>
              <w:rPr>
                <w:rFonts w:ascii="Arial" w:hAnsi="Arial" w:cs="Arial"/>
                <w:color w:val="000000"/>
                <w:sz w:val="19"/>
                <w:szCs w:val="19"/>
              </w:rPr>
            </w:pPr>
            <w:r w:rsidRPr="00981846">
              <w:rPr>
                <w:rFonts w:ascii="Arial" w:hAnsi="Arial" w:cs="Arial"/>
                <w:color w:val="000000"/>
                <w:sz w:val="19"/>
                <w:szCs w:val="19"/>
              </w:rPr>
              <w:t xml:space="preserve">36 </w:t>
            </w:r>
          </w:p>
        </w:tc>
      </w:tr>
      <w:tr w:rsidR="004F77BE" w:rsidRPr="00981846" w14:paraId="079BEA47" w14:textId="77777777" w:rsidTr="00E62F8F">
        <w:trPr>
          <w:trHeight w:val="300"/>
        </w:trPr>
        <w:tc>
          <w:tcPr>
            <w:tcW w:w="5827" w:type="dxa"/>
            <w:tcBorders>
              <w:top w:val="single" w:sz="4" w:space="0" w:color="auto"/>
              <w:left w:val="nil"/>
              <w:bottom w:val="single" w:sz="4" w:space="0" w:color="auto"/>
              <w:right w:val="nil"/>
            </w:tcBorders>
            <w:shd w:val="clear" w:color="auto" w:fill="auto"/>
            <w:noWrap/>
            <w:vAlign w:val="bottom"/>
            <w:hideMark/>
          </w:tcPr>
          <w:p w14:paraId="1E4129B1" w14:textId="77777777" w:rsidR="004F77BE" w:rsidRPr="00981846" w:rsidRDefault="004F77BE" w:rsidP="00E62F8F">
            <w:pPr>
              <w:rPr>
                <w:rFonts w:ascii="Arial" w:hAnsi="Arial" w:cs="Arial"/>
                <w:b/>
                <w:bCs/>
                <w:color w:val="000000"/>
                <w:sz w:val="19"/>
                <w:szCs w:val="19"/>
              </w:rPr>
            </w:pPr>
            <w:r w:rsidRPr="00981846">
              <w:rPr>
                <w:rFonts w:ascii="Arial" w:hAnsi="Arial" w:cs="Arial"/>
                <w:b/>
                <w:bCs/>
                <w:color w:val="000000"/>
                <w:sz w:val="19"/>
                <w:szCs w:val="19"/>
              </w:rPr>
              <w:t>Net Income</w:t>
            </w:r>
          </w:p>
        </w:tc>
        <w:tc>
          <w:tcPr>
            <w:tcW w:w="1341" w:type="dxa"/>
            <w:tcBorders>
              <w:top w:val="single" w:sz="4" w:space="0" w:color="auto"/>
              <w:left w:val="nil"/>
              <w:bottom w:val="single" w:sz="4" w:space="0" w:color="auto"/>
              <w:right w:val="nil"/>
            </w:tcBorders>
            <w:shd w:val="clear" w:color="auto" w:fill="auto"/>
            <w:noWrap/>
            <w:vAlign w:val="bottom"/>
            <w:hideMark/>
          </w:tcPr>
          <w:p w14:paraId="44E91BEE" w14:textId="1125A0BA" w:rsidR="004F77BE" w:rsidRPr="00981846" w:rsidRDefault="003D5039" w:rsidP="00E62F8F">
            <w:pPr>
              <w:ind w:left="245"/>
              <w:jc w:val="right"/>
              <w:rPr>
                <w:rFonts w:ascii="Arial" w:hAnsi="Arial" w:cs="Arial"/>
                <w:b/>
                <w:bCs/>
                <w:color w:val="000000"/>
                <w:sz w:val="19"/>
                <w:szCs w:val="19"/>
              </w:rPr>
            </w:pPr>
            <w:r>
              <w:rPr>
                <w:rFonts w:ascii="Arial" w:hAnsi="Arial" w:cs="Arial"/>
                <w:b/>
                <w:bCs/>
                <w:color w:val="000000"/>
                <w:sz w:val="19"/>
                <w:szCs w:val="19"/>
              </w:rPr>
              <w:t>2</w:t>
            </w:r>
            <w:r w:rsidR="004F77BE" w:rsidRPr="00981846">
              <w:rPr>
                <w:rFonts w:ascii="Arial" w:hAnsi="Arial" w:cs="Arial"/>
                <w:b/>
                <w:bCs/>
                <w:color w:val="000000"/>
                <w:sz w:val="19"/>
                <w:szCs w:val="19"/>
              </w:rPr>
              <w:t xml:space="preserve">58,243 </w:t>
            </w:r>
          </w:p>
        </w:tc>
        <w:tc>
          <w:tcPr>
            <w:tcW w:w="1341" w:type="dxa"/>
            <w:tcBorders>
              <w:top w:val="single" w:sz="4" w:space="0" w:color="auto"/>
              <w:left w:val="nil"/>
              <w:bottom w:val="single" w:sz="4" w:space="0" w:color="auto"/>
              <w:right w:val="nil"/>
            </w:tcBorders>
            <w:shd w:val="clear" w:color="auto" w:fill="auto"/>
            <w:noWrap/>
            <w:vAlign w:val="bottom"/>
            <w:hideMark/>
          </w:tcPr>
          <w:p w14:paraId="3DE14EE1" w14:textId="5E154584" w:rsidR="004F77BE" w:rsidRPr="00981846" w:rsidRDefault="003D5039" w:rsidP="00E62F8F">
            <w:pPr>
              <w:ind w:left="245"/>
              <w:jc w:val="right"/>
              <w:rPr>
                <w:rFonts w:ascii="Arial" w:hAnsi="Arial" w:cs="Arial"/>
                <w:b/>
                <w:bCs/>
                <w:color w:val="000000"/>
                <w:sz w:val="19"/>
                <w:szCs w:val="19"/>
              </w:rPr>
            </w:pPr>
            <w:r>
              <w:rPr>
                <w:rFonts w:ascii="Arial" w:hAnsi="Arial" w:cs="Arial"/>
                <w:b/>
                <w:bCs/>
                <w:color w:val="000000"/>
                <w:sz w:val="19"/>
                <w:szCs w:val="19"/>
              </w:rPr>
              <w:t>2</w:t>
            </w:r>
            <w:r w:rsidR="004F77BE" w:rsidRPr="00981846">
              <w:rPr>
                <w:rFonts w:ascii="Arial" w:hAnsi="Arial" w:cs="Arial"/>
                <w:b/>
                <w:bCs/>
                <w:color w:val="000000"/>
                <w:sz w:val="19"/>
                <w:szCs w:val="19"/>
              </w:rPr>
              <w:t xml:space="preserve">48,830 </w:t>
            </w:r>
          </w:p>
        </w:tc>
      </w:tr>
    </w:tbl>
    <w:p w14:paraId="037765C9" w14:textId="77777777" w:rsidR="004F77BE" w:rsidRPr="00981846" w:rsidRDefault="004F77BE" w:rsidP="00981846">
      <w:pPr>
        <w:pStyle w:val="Footnote"/>
      </w:pPr>
    </w:p>
    <w:p w14:paraId="16888825" w14:textId="3E16A33F" w:rsidR="004F77BE" w:rsidRPr="00981846" w:rsidRDefault="004F77BE" w:rsidP="00F04478">
      <w:pPr>
        <w:pStyle w:val="Footnote"/>
      </w:pPr>
      <w:r w:rsidRPr="00981846">
        <w:t xml:space="preserve">Source: Created by </w:t>
      </w:r>
      <w:r w:rsidR="00FC4AD7">
        <w:t>the case a</w:t>
      </w:r>
      <w:r w:rsidRPr="00981846">
        <w:t xml:space="preserve">uthor </w:t>
      </w:r>
      <w:r w:rsidR="00FC4AD7">
        <w:t>based on</w:t>
      </w:r>
      <w:r w:rsidRPr="00981846">
        <w:t xml:space="preserve"> HCL</w:t>
      </w:r>
      <w:r w:rsidR="00557601">
        <w:t xml:space="preserve">: Financials, </w:t>
      </w:r>
      <w:r w:rsidRPr="00D240CB">
        <w:rPr>
          <w:i/>
        </w:rPr>
        <w:t>Annual Report 2008</w:t>
      </w:r>
      <w:r w:rsidR="00FC4AD7" w:rsidRPr="00D240CB">
        <w:rPr>
          <w:i/>
        </w:rPr>
        <w:t>–</w:t>
      </w:r>
      <w:r w:rsidRPr="00D240CB">
        <w:rPr>
          <w:i/>
        </w:rPr>
        <w:t>09</w:t>
      </w:r>
      <w:r w:rsidR="00D240CB">
        <w:rPr>
          <w:i/>
        </w:rPr>
        <w:t xml:space="preserve">, </w:t>
      </w:r>
      <w:r w:rsidR="00F97D21" w:rsidRPr="00E507FA">
        <w:t>2</w:t>
      </w:r>
      <w:r w:rsidR="00653F2C" w:rsidRPr="00E507FA">
        <w:t>–</w:t>
      </w:r>
      <w:r w:rsidR="00F97D21" w:rsidRPr="00E507FA">
        <w:t>4</w:t>
      </w:r>
      <w:r w:rsidR="00D240CB" w:rsidRPr="00E507FA">
        <w:t>,</w:t>
      </w:r>
      <w:r w:rsidR="00D240CB">
        <w:rPr>
          <w:i/>
        </w:rPr>
        <w:t xml:space="preserve"> </w:t>
      </w:r>
      <w:r w:rsidR="00D240CB">
        <w:t>August 25, 2009</w:t>
      </w:r>
      <w:r w:rsidR="00111E3A">
        <w:t xml:space="preserve">, </w:t>
      </w:r>
      <w:r w:rsidRPr="00981846">
        <w:t xml:space="preserve">accessed March 21, 2017, </w:t>
      </w:r>
      <w:hyperlink r:id="rId11" w:history="1">
        <w:r w:rsidRPr="00981846">
          <w:rPr>
            <w:rStyle w:val="Hyperlink"/>
            <w:color w:val="auto"/>
            <w:u w:val="none"/>
          </w:rPr>
          <w:t>https://www.hcltech.com/investors/results-reports?year=2008-09</w:t>
        </w:r>
      </w:hyperlink>
      <w:r w:rsidRPr="00981846">
        <w:t>.</w:t>
      </w:r>
    </w:p>
    <w:p w14:paraId="0EDBA8CB" w14:textId="77777777" w:rsidR="004F77BE" w:rsidRDefault="004F77BE" w:rsidP="00981846">
      <w:pPr>
        <w:pStyle w:val="Footnote"/>
      </w:pPr>
    </w:p>
    <w:p w14:paraId="1BE733D0" w14:textId="77777777" w:rsidR="00981846" w:rsidRPr="00981846" w:rsidRDefault="00981846" w:rsidP="00981846">
      <w:pPr>
        <w:pStyle w:val="Footnote"/>
      </w:pPr>
    </w:p>
    <w:p w14:paraId="0FBB71A8" w14:textId="77777777" w:rsidR="004F77BE" w:rsidRDefault="004F77BE" w:rsidP="001873D9">
      <w:pPr>
        <w:pStyle w:val="ExhibitHeading"/>
        <w:outlineLvl w:val="0"/>
      </w:pPr>
      <w:r w:rsidRPr="000B0FD0">
        <w:t xml:space="preserve">EXHIBIT </w:t>
      </w:r>
      <w:r>
        <w:t>2:</w:t>
      </w:r>
      <w:r w:rsidRPr="000B0FD0">
        <w:t xml:space="preserve"> INDUSTRY VERTICALS AND HORIZONTALS</w:t>
      </w:r>
    </w:p>
    <w:p w14:paraId="2503EB43" w14:textId="77777777" w:rsidR="004F77BE" w:rsidRDefault="004F77BE" w:rsidP="004F77BE">
      <w:pPr>
        <w:jc w:val="center"/>
        <w:rPr>
          <w:rFonts w:ascii="Times" w:hAnsi="Times"/>
          <w:b/>
          <w:sz w:val="22"/>
          <w:szCs w:val="22"/>
        </w:rPr>
      </w:pPr>
    </w:p>
    <w:tbl>
      <w:tblPr>
        <w:tblW w:w="8520" w:type="dxa"/>
        <w:tblInd w:w="93" w:type="dxa"/>
        <w:tblLayout w:type="fixed"/>
        <w:tblLook w:val="04A0" w:firstRow="1" w:lastRow="0" w:firstColumn="1" w:lastColumn="0" w:noHBand="0" w:noVBand="1"/>
      </w:tblPr>
      <w:tblGrid>
        <w:gridCol w:w="2000"/>
        <w:gridCol w:w="967"/>
        <w:gridCol w:w="1170"/>
        <w:gridCol w:w="1080"/>
        <w:gridCol w:w="1170"/>
        <w:gridCol w:w="1260"/>
        <w:gridCol w:w="873"/>
      </w:tblGrid>
      <w:tr w:rsidR="004F77BE" w:rsidRPr="0059673B" w14:paraId="7B3AC51D" w14:textId="77777777" w:rsidTr="000F7143">
        <w:trPr>
          <w:trHeight w:val="680"/>
        </w:trPr>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226529C8" w14:textId="77777777" w:rsidR="004F77BE" w:rsidRPr="00971368" w:rsidRDefault="004F77BE" w:rsidP="00E62F8F">
            <w:pPr>
              <w:jc w:val="center"/>
              <w:rPr>
                <w:rFonts w:ascii="Arial" w:hAnsi="Arial" w:cs="Arial"/>
                <w:b/>
                <w:bCs/>
                <w:color w:val="000000"/>
                <w:sz w:val="18"/>
                <w:szCs w:val="18"/>
              </w:rPr>
            </w:pPr>
            <w:r w:rsidRPr="00971368">
              <w:rPr>
                <w:rFonts w:ascii="Arial" w:hAnsi="Arial" w:cs="Arial"/>
                <w:b/>
                <w:bCs/>
                <w:color w:val="000000"/>
                <w:sz w:val="18"/>
                <w:szCs w:val="18"/>
              </w:rPr>
              <w:t xml:space="preserve">Industry </w:t>
            </w:r>
          </w:p>
        </w:tc>
        <w:tc>
          <w:tcPr>
            <w:tcW w:w="967" w:type="dxa"/>
            <w:tcBorders>
              <w:top w:val="single" w:sz="4" w:space="0" w:color="auto"/>
              <w:left w:val="nil"/>
              <w:bottom w:val="single" w:sz="4" w:space="0" w:color="auto"/>
              <w:right w:val="nil"/>
            </w:tcBorders>
            <w:shd w:val="clear" w:color="auto" w:fill="auto"/>
            <w:vAlign w:val="bottom"/>
            <w:hideMark/>
          </w:tcPr>
          <w:p w14:paraId="1E00993A" w14:textId="77777777" w:rsidR="004F77BE" w:rsidRPr="00C1248E" w:rsidRDefault="004F77BE" w:rsidP="00E62F8F">
            <w:pPr>
              <w:jc w:val="center"/>
              <w:rPr>
                <w:rFonts w:ascii="Arial" w:hAnsi="Arial" w:cs="Arial"/>
                <w:color w:val="000000"/>
                <w:sz w:val="18"/>
                <w:szCs w:val="18"/>
              </w:rPr>
            </w:pPr>
            <w:r w:rsidRPr="00C1248E">
              <w:rPr>
                <w:rFonts w:ascii="Arial" w:hAnsi="Arial" w:cs="Arial"/>
                <w:color w:val="000000"/>
                <w:sz w:val="18"/>
                <w:szCs w:val="18"/>
              </w:rPr>
              <w:t>FPGA, ASIC &amp; SOC Design</w:t>
            </w:r>
          </w:p>
        </w:tc>
        <w:tc>
          <w:tcPr>
            <w:tcW w:w="1170" w:type="dxa"/>
            <w:tcBorders>
              <w:top w:val="single" w:sz="4" w:space="0" w:color="auto"/>
              <w:left w:val="nil"/>
              <w:bottom w:val="single" w:sz="4" w:space="0" w:color="auto"/>
              <w:right w:val="nil"/>
            </w:tcBorders>
            <w:shd w:val="clear" w:color="auto" w:fill="auto"/>
            <w:vAlign w:val="bottom"/>
            <w:hideMark/>
          </w:tcPr>
          <w:p w14:paraId="1803090F" w14:textId="77777777" w:rsidR="004F77BE" w:rsidRPr="000C4012" w:rsidRDefault="004F77BE" w:rsidP="00E62F8F">
            <w:pPr>
              <w:jc w:val="center"/>
              <w:rPr>
                <w:rFonts w:ascii="Arial" w:hAnsi="Arial" w:cs="Arial"/>
                <w:color w:val="000000"/>
                <w:sz w:val="18"/>
                <w:szCs w:val="18"/>
              </w:rPr>
            </w:pPr>
            <w:r w:rsidRPr="000C4012">
              <w:rPr>
                <w:rFonts w:ascii="Arial" w:hAnsi="Arial" w:cs="Arial"/>
                <w:color w:val="000000"/>
                <w:sz w:val="18"/>
                <w:szCs w:val="18"/>
              </w:rPr>
              <w:t>Embedded Systems</w:t>
            </w:r>
          </w:p>
        </w:tc>
        <w:tc>
          <w:tcPr>
            <w:tcW w:w="1080" w:type="dxa"/>
            <w:tcBorders>
              <w:top w:val="single" w:sz="4" w:space="0" w:color="auto"/>
              <w:left w:val="nil"/>
              <w:bottom w:val="single" w:sz="4" w:space="0" w:color="auto"/>
              <w:right w:val="nil"/>
            </w:tcBorders>
            <w:shd w:val="clear" w:color="auto" w:fill="auto"/>
            <w:vAlign w:val="bottom"/>
            <w:hideMark/>
          </w:tcPr>
          <w:p w14:paraId="477F46C3" w14:textId="77777777" w:rsidR="004F77BE" w:rsidRPr="000C4012" w:rsidRDefault="004F77BE" w:rsidP="00E62F8F">
            <w:pPr>
              <w:jc w:val="center"/>
              <w:rPr>
                <w:rFonts w:ascii="Arial" w:hAnsi="Arial" w:cs="Arial"/>
                <w:color w:val="000000"/>
                <w:sz w:val="18"/>
                <w:szCs w:val="18"/>
              </w:rPr>
            </w:pPr>
            <w:r w:rsidRPr="000C4012">
              <w:rPr>
                <w:rFonts w:ascii="Arial" w:hAnsi="Arial" w:cs="Arial"/>
                <w:color w:val="000000"/>
                <w:sz w:val="18"/>
                <w:szCs w:val="18"/>
              </w:rPr>
              <w:t>Hardware &amp; System Design</w:t>
            </w:r>
          </w:p>
        </w:tc>
        <w:tc>
          <w:tcPr>
            <w:tcW w:w="1170" w:type="dxa"/>
            <w:tcBorders>
              <w:top w:val="single" w:sz="4" w:space="0" w:color="auto"/>
              <w:left w:val="nil"/>
              <w:bottom w:val="single" w:sz="4" w:space="0" w:color="auto"/>
              <w:right w:val="nil"/>
            </w:tcBorders>
            <w:shd w:val="clear" w:color="auto" w:fill="auto"/>
            <w:vAlign w:val="bottom"/>
            <w:hideMark/>
          </w:tcPr>
          <w:p w14:paraId="78CA7729" w14:textId="77777777" w:rsidR="004F77BE" w:rsidRPr="000C4012" w:rsidRDefault="004F77BE" w:rsidP="00E62F8F">
            <w:pPr>
              <w:jc w:val="center"/>
              <w:rPr>
                <w:rFonts w:ascii="Arial" w:hAnsi="Arial" w:cs="Arial"/>
                <w:color w:val="000000"/>
                <w:sz w:val="18"/>
                <w:szCs w:val="18"/>
              </w:rPr>
            </w:pPr>
            <w:r w:rsidRPr="000C4012">
              <w:rPr>
                <w:rFonts w:ascii="Arial" w:hAnsi="Arial" w:cs="Arial"/>
                <w:color w:val="000000"/>
                <w:sz w:val="18"/>
                <w:szCs w:val="18"/>
              </w:rPr>
              <w:t>Mechanical Design</w:t>
            </w:r>
          </w:p>
        </w:tc>
        <w:tc>
          <w:tcPr>
            <w:tcW w:w="1260" w:type="dxa"/>
            <w:tcBorders>
              <w:top w:val="single" w:sz="4" w:space="0" w:color="auto"/>
              <w:left w:val="nil"/>
              <w:bottom w:val="single" w:sz="4" w:space="0" w:color="auto"/>
              <w:right w:val="nil"/>
            </w:tcBorders>
            <w:shd w:val="clear" w:color="auto" w:fill="auto"/>
            <w:vAlign w:val="bottom"/>
            <w:hideMark/>
          </w:tcPr>
          <w:p w14:paraId="0A4A5550" w14:textId="14798A63" w:rsidR="004F77BE" w:rsidRPr="00C1248E" w:rsidRDefault="004F77BE" w:rsidP="00E62F8F">
            <w:pPr>
              <w:jc w:val="center"/>
              <w:rPr>
                <w:rFonts w:ascii="Arial" w:hAnsi="Arial" w:cs="Arial"/>
                <w:color w:val="000000"/>
                <w:sz w:val="18"/>
                <w:szCs w:val="18"/>
              </w:rPr>
            </w:pPr>
            <w:r w:rsidRPr="000C4012">
              <w:rPr>
                <w:rFonts w:ascii="Arial" w:hAnsi="Arial" w:cs="Arial"/>
                <w:color w:val="000000"/>
                <w:sz w:val="18"/>
                <w:szCs w:val="18"/>
              </w:rPr>
              <w:t>S</w:t>
            </w:r>
            <w:r w:rsidR="00AC7ECB" w:rsidRPr="000C4012">
              <w:rPr>
                <w:rFonts w:ascii="Arial" w:hAnsi="Arial" w:cs="Arial"/>
                <w:color w:val="000000"/>
                <w:sz w:val="18"/>
                <w:szCs w:val="18"/>
              </w:rPr>
              <w:t>oftware</w:t>
            </w:r>
            <w:r w:rsidRPr="000C4012">
              <w:rPr>
                <w:rFonts w:ascii="Arial" w:hAnsi="Arial" w:cs="Arial"/>
                <w:color w:val="000000"/>
                <w:sz w:val="18"/>
                <w:szCs w:val="18"/>
              </w:rPr>
              <w:t xml:space="preserve"> Product &amp; Platform Eng</w:t>
            </w:r>
            <w:r w:rsidR="000C4012" w:rsidRPr="000C4012">
              <w:rPr>
                <w:rFonts w:ascii="Arial" w:hAnsi="Arial" w:cs="Arial"/>
                <w:color w:val="000000"/>
                <w:sz w:val="18"/>
                <w:szCs w:val="18"/>
              </w:rPr>
              <w:t>ineering</w:t>
            </w:r>
            <w:r w:rsidRPr="000C4012">
              <w:rPr>
                <w:rFonts w:ascii="Arial" w:hAnsi="Arial" w:cs="Arial"/>
                <w:color w:val="000000"/>
                <w:sz w:val="18"/>
                <w:szCs w:val="18"/>
              </w:rPr>
              <w:t xml:space="preserve"> </w:t>
            </w:r>
          </w:p>
        </w:tc>
        <w:tc>
          <w:tcPr>
            <w:tcW w:w="873" w:type="dxa"/>
            <w:tcBorders>
              <w:top w:val="single" w:sz="4" w:space="0" w:color="auto"/>
              <w:left w:val="nil"/>
              <w:bottom w:val="single" w:sz="4" w:space="0" w:color="auto"/>
              <w:right w:val="nil"/>
            </w:tcBorders>
            <w:shd w:val="clear" w:color="auto" w:fill="auto"/>
            <w:vAlign w:val="bottom"/>
            <w:hideMark/>
          </w:tcPr>
          <w:p w14:paraId="60B78373" w14:textId="79555E1E" w:rsidR="004F77BE" w:rsidRPr="000C4012" w:rsidRDefault="004F77BE" w:rsidP="00E62F8F">
            <w:pPr>
              <w:jc w:val="center"/>
              <w:rPr>
                <w:rFonts w:ascii="Arial" w:hAnsi="Arial" w:cs="Arial"/>
                <w:color w:val="000000"/>
                <w:sz w:val="18"/>
                <w:szCs w:val="18"/>
              </w:rPr>
            </w:pPr>
            <w:r w:rsidRPr="000C4012">
              <w:rPr>
                <w:rFonts w:ascii="Arial" w:hAnsi="Arial" w:cs="Arial"/>
                <w:color w:val="000000"/>
                <w:sz w:val="18"/>
                <w:szCs w:val="18"/>
              </w:rPr>
              <w:t xml:space="preserve">Product </w:t>
            </w:r>
            <w:r w:rsidR="00356109">
              <w:rPr>
                <w:rFonts w:ascii="Arial" w:hAnsi="Arial" w:cs="Arial"/>
                <w:color w:val="000000"/>
                <w:sz w:val="18"/>
                <w:szCs w:val="18"/>
              </w:rPr>
              <w:t>Q&amp;A and</w:t>
            </w:r>
            <w:r w:rsidRPr="000C4012">
              <w:rPr>
                <w:rFonts w:ascii="Arial" w:hAnsi="Arial" w:cs="Arial"/>
                <w:color w:val="000000"/>
                <w:sz w:val="18"/>
                <w:szCs w:val="18"/>
              </w:rPr>
              <w:t xml:space="preserve"> V&amp;V</w:t>
            </w:r>
          </w:p>
        </w:tc>
      </w:tr>
      <w:tr w:rsidR="004F77BE" w:rsidRPr="0059673B" w14:paraId="1FD885CD"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18A8F0C9" w14:textId="0BE7E789"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Aerospace &amp; Defen</w:t>
            </w:r>
            <w:r w:rsidR="0095390D">
              <w:rPr>
                <w:rFonts w:ascii="Arial" w:hAnsi="Arial" w:cs="Arial"/>
                <w:color w:val="000000"/>
                <w:sz w:val="18"/>
                <w:szCs w:val="18"/>
              </w:rPr>
              <w:t>c</w:t>
            </w:r>
            <w:r w:rsidRPr="00971368">
              <w:rPr>
                <w:rFonts w:ascii="Arial" w:hAnsi="Arial" w:cs="Arial"/>
                <w:color w:val="000000"/>
                <w:sz w:val="18"/>
                <w:szCs w:val="18"/>
              </w:rPr>
              <w:t>e</w:t>
            </w:r>
          </w:p>
        </w:tc>
        <w:tc>
          <w:tcPr>
            <w:tcW w:w="967" w:type="dxa"/>
            <w:tcBorders>
              <w:top w:val="nil"/>
              <w:left w:val="nil"/>
              <w:bottom w:val="single" w:sz="4" w:space="0" w:color="auto"/>
              <w:right w:val="single" w:sz="4" w:space="0" w:color="auto"/>
            </w:tcBorders>
            <w:shd w:val="clear" w:color="auto" w:fill="auto"/>
            <w:noWrap/>
            <w:vAlign w:val="bottom"/>
            <w:hideMark/>
          </w:tcPr>
          <w:p w14:paraId="2429FD41"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79E55CDC"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6F28513D"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78C191F5"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35096D8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45BA86F7"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0ACE9CD1"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5091DBAB"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 xml:space="preserve">Automotive </w:t>
            </w:r>
          </w:p>
        </w:tc>
        <w:tc>
          <w:tcPr>
            <w:tcW w:w="967" w:type="dxa"/>
            <w:tcBorders>
              <w:top w:val="nil"/>
              <w:left w:val="nil"/>
              <w:bottom w:val="single" w:sz="4" w:space="0" w:color="auto"/>
              <w:right w:val="single" w:sz="4" w:space="0" w:color="auto"/>
            </w:tcBorders>
            <w:shd w:val="clear" w:color="auto" w:fill="auto"/>
            <w:noWrap/>
            <w:vAlign w:val="bottom"/>
            <w:hideMark/>
          </w:tcPr>
          <w:p w14:paraId="06A512EE"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05D3E5D8"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2D25377B"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07CE436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0EFB7D9D"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610EAB4D"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32732CBB"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3362AA5C"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Consumer Electronics</w:t>
            </w:r>
          </w:p>
        </w:tc>
        <w:tc>
          <w:tcPr>
            <w:tcW w:w="967" w:type="dxa"/>
            <w:tcBorders>
              <w:top w:val="nil"/>
              <w:left w:val="nil"/>
              <w:bottom w:val="single" w:sz="4" w:space="0" w:color="auto"/>
              <w:right w:val="single" w:sz="4" w:space="0" w:color="auto"/>
            </w:tcBorders>
            <w:shd w:val="clear" w:color="auto" w:fill="auto"/>
            <w:noWrap/>
            <w:vAlign w:val="bottom"/>
            <w:hideMark/>
          </w:tcPr>
          <w:p w14:paraId="6B2E5A3E"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6C490005"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4792B7A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629B600C"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7DC08DEA"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5F1136E1"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307F039D"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0787D75B"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 xml:space="preserve">Industrial Manufacturing </w:t>
            </w:r>
          </w:p>
        </w:tc>
        <w:tc>
          <w:tcPr>
            <w:tcW w:w="967" w:type="dxa"/>
            <w:tcBorders>
              <w:top w:val="nil"/>
              <w:left w:val="nil"/>
              <w:bottom w:val="single" w:sz="4" w:space="0" w:color="auto"/>
              <w:right w:val="single" w:sz="4" w:space="0" w:color="auto"/>
            </w:tcBorders>
            <w:shd w:val="clear" w:color="auto" w:fill="auto"/>
            <w:noWrap/>
            <w:vAlign w:val="bottom"/>
            <w:hideMark/>
          </w:tcPr>
          <w:p w14:paraId="015D743C"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7940E1C8"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4922BA81"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5459CE3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1447F3C9"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27603286"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36DB87F0"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13BA7C13"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 xml:space="preserve">Medical Devices </w:t>
            </w:r>
          </w:p>
        </w:tc>
        <w:tc>
          <w:tcPr>
            <w:tcW w:w="967" w:type="dxa"/>
            <w:tcBorders>
              <w:top w:val="nil"/>
              <w:left w:val="nil"/>
              <w:bottom w:val="single" w:sz="4" w:space="0" w:color="auto"/>
              <w:right w:val="single" w:sz="4" w:space="0" w:color="auto"/>
            </w:tcBorders>
            <w:shd w:val="clear" w:color="auto" w:fill="auto"/>
            <w:noWrap/>
            <w:vAlign w:val="bottom"/>
            <w:hideMark/>
          </w:tcPr>
          <w:p w14:paraId="743696CD"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6D4435A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6CCA1E67"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20FD492F"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2FED5BFA"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3FEE5FBC"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0E310E8B"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1EFAD775"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 xml:space="preserve">Networking &amp; Telecom. </w:t>
            </w:r>
          </w:p>
        </w:tc>
        <w:tc>
          <w:tcPr>
            <w:tcW w:w="967" w:type="dxa"/>
            <w:tcBorders>
              <w:top w:val="nil"/>
              <w:left w:val="nil"/>
              <w:bottom w:val="single" w:sz="4" w:space="0" w:color="auto"/>
              <w:right w:val="single" w:sz="4" w:space="0" w:color="auto"/>
            </w:tcBorders>
            <w:shd w:val="clear" w:color="auto" w:fill="auto"/>
            <w:noWrap/>
            <w:vAlign w:val="bottom"/>
            <w:hideMark/>
          </w:tcPr>
          <w:p w14:paraId="1828721B"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62AE3E0A"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518EE35E"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71B56FE7"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5892DA31"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14C96B96"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47AC0626"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0B07B50E"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Semiconductors</w:t>
            </w:r>
          </w:p>
        </w:tc>
        <w:tc>
          <w:tcPr>
            <w:tcW w:w="967" w:type="dxa"/>
            <w:tcBorders>
              <w:top w:val="nil"/>
              <w:left w:val="nil"/>
              <w:bottom w:val="single" w:sz="4" w:space="0" w:color="auto"/>
              <w:right w:val="single" w:sz="4" w:space="0" w:color="auto"/>
            </w:tcBorders>
            <w:shd w:val="clear" w:color="auto" w:fill="auto"/>
            <w:noWrap/>
            <w:vAlign w:val="bottom"/>
            <w:hideMark/>
          </w:tcPr>
          <w:p w14:paraId="41B9834C"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04EED0B5"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58C957EA"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3F3E93A2"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5EB28FB5"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033FF524"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3F1A9883"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2D74AFC2"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Servers &amp; Storage</w:t>
            </w:r>
          </w:p>
        </w:tc>
        <w:tc>
          <w:tcPr>
            <w:tcW w:w="967" w:type="dxa"/>
            <w:tcBorders>
              <w:top w:val="nil"/>
              <w:left w:val="nil"/>
              <w:bottom w:val="single" w:sz="4" w:space="0" w:color="auto"/>
              <w:right w:val="single" w:sz="4" w:space="0" w:color="auto"/>
            </w:tcBorders>
            <w:shd w:val="clear" w:color="auto" w:fill="auto"/>
            <w:noWrap/>
            <w:vAlign w:val="bottom"/>
            <w:hideMark/>
          </w:tcPr>
          <w:p w14:paraId="708768AF"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15C7FF28"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3494657E"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3C0662F3"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5C0EC563"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3DB7614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4F986605" w14:textId="77777777" w:rsidTr="000F7143">
        <w:trPr>
          <w:trHeight w:val="300"/>
        </w:trPr>
        <w:tc>
          <w:tcPr>
            <w:tcW w:w="2000" w:type="dxa"/>
            <w:tcBorders>
              <w:top w:val="nil"/>
              <w:left w:val="nil"/>
              <w:bottom w:val="nil"/>
              <w:right w:val="single" w:sz="4" w:space="0" w:color="auto"/>
            </w:tcBorders>
            <w:shd w:val="clear" w:color="auto" w:fill="auto"/>
            <w:noWrap/>
            <w:vAlign w:val="bottom"/>
            <w:hideMark/>
          </w:tcPr>
          <w:p w14:paraId="7A599F45"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Office Automation</w:t>
            </w:r>
          </w:p>
        </w:tc>
        <w:tc>
          <w:tcPr>
            <w:tcW w:w="967" w:type="dxa"/>
            <w:tcBorders>
              <w:top w:val="nil"/>
              <w:left w:val="nil"/>
              <w:bottom w:val="single" w:sz="4" w:space="0" w:color="auto"/>
              <w:right w:val="single" w:sz="4" w:space="0" w:color="auto"/>
            </w:tcBorders>
            <w:shd w:val="clear" w:color="auto" w:fill="auto"/>
            <w:noWrap/>
            <w:vAlign w:val="bottom"/>
            <w:hideMark/>
          </w:tcPr>
          <w:p w14:paraId="5B40176C"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44CF5FBA"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62984613"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06C52923"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54C7DC36"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1257DBD0"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r w:rsidR="004F77BE" w:rsidRPr="0059673B" w14:paraId="62665C6B" w14:textId="77777777" w:rsidTr="000F7143">
        <w:trPr>
          <w:trHeight w:val="300"/>
        </w:trPr>
        <w:tc>
          <w:tcPr>
            <w:tcW w:w="2000" w:type="dxa"/>
            <w:tcBorders>
              <w:top w:val="nil"/>
              <w:left w:val="nil"/>
              <w:bottom w:val="single" w:sz="4" w:space="0" w:color="auto"/>
              <w:right w:val="single" w:sz="4" w:space="0" w:color="auto"/>
            </w:tcBorders>
            <w:shd w:val="clear" w:color="auto" w:fill="auto"/>
            <w:noWrap/>
            <w:vAlign w:val="bottom"/>
            <w:hideMark/>
          </w:tcPr>
          <w:p w14:paraId="248EB525" w14:textId="77777777" w:rsidR="004F77BE" w:rsidRPr="00971368" w:rsidRDefault="004F77BE" w:rsidP="00E62F8F">
            <w:pPr>
              <w:rPr>
                <w:rFonts w:ascii="Arial" w:hAnsi="Arial" w:cs="Arial"/>
                <w:color w:val="000000"/>
                <w:sz w:val="18"/>
                <w:szCs w:val="18"/>
              </w:rPr>
            </w:pPr>
            <w:r w:rsidRPr="00971368">
              <w:rPr>
                <w:rFonts w:ascii="Arial" w:hAnsi="Arial" w:cs="Arial"/>
                <w:color w:val="000000"/>
                <w:sz w:val="18"/>
                <w:szCs w:val="18"/>
              </w:rPr>
              <w:t>ISV &amp; Online</w:t>
            </w:r>
          </w:p>
        </w:tc>
        <w:tc>
          <w:tcPr>
            <w:tcW w:w="967" w:type="dxa"/>
            <w:tcBorders>
              <w:top w:val="nil"/>
              <w:left w:val="nil"/>
              <w:bottom w:val="single" w:sz="4" w:space="0" w:color="auto"/>
              <w:right w:val="single" w:sz="4" w:space="0" w:color="auto"/>
            </w:tcBorders>
            <w:shd w:val="clear" w:color="auto" w:fill="auto"/>
            <w:noWrap/>
            <w:vAlign w:val="bottom"/>
            <w:hideMark/>
          </w:tcPr>
          <w:p w14:paraId="11C8126D"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4377AC19"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080" w:type="dxa"/>
            <w:tcBorders>
              <w:top w:val="nil"/>
              <w:left w:val="nil"/>
              <w:bottom w:val="single" w:sz="4" w:space="0" w:color="auto"/>
              <w:right w:val="single" w:sz="4" w:space="0" w:color="auto"/>
            </w:tcBorders>
            <w:shd w:val="clear" w:color="auto" w:fill="auto"/>
            <w:noWrap/>
            <w:vAlign w:val="bottom"/>
            <w:hideMark/>
          </w:tcPr>
          <w:p w14:paraId="61122661"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170" w:type="dxa"/>
            <w:tcBorders>
              <w:top w:val="nil"/>
              <w:left w:val="nil"/>
              <w:bottom w:val="single" w:sz="4" w:space="0" w:color="auto"/>
              <w:right w:val="single" w:sz="4" w:space="0" w:color="auto"/>
            </w:tcBorders>
            <w:shd w:val="clear" w:color="auto" w:fill="auto"/>
            <w:noWrap/>
            <w:vAlign w:val="bottom"/>
            <w:hideMark/>
          </w:tcPr>
          <w:p w14:paraId="10573547"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1260" w:type="dxa"/>
            <w:tcBorders>
              <w:top w:val="nil"/>
              <w:left w:val="nil"/>
              <w:bottom w:val="single" w:sz="4" w:space="0" w:color="auto"/>
              <w:right w:val="nil"/>
            </w:tcBorders>
            <w:shd w:val="clear" w:color="auto" w:fill="auto"/>
            <w:noWrap/>
            <w:vAlign w:val="bottom"/>
            <w:hideMark/>
          </w:tcPr>
          <w:p w14:paraId="7CA396B1"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c>
          <w:tcPr>
            <w:tcW w:w="873" w:type="dxa"/>
            <w:tcBorders>
              <w:top w:val="nil"/>
              <w:left w:val="single" w:sz="4" w:space="0" w:color="auto"/>
              <w:bottom w:val="single" w:sz="4" w:space="0" w:color="auto"/>
              <w:right w:val="nil"/>
            </w:tcBorders>
            <w:shd w:val="clear" w:color="auto" w:fill="auto"/>
            <w:noWrap/>
            <w:vAlign w:val="bottom"/>
            <w:hideMark/>
          </w:tcPr>
          <w:p w14:paraId="2AD90375" w14:textId="77777777" w:rsidR="004F77BE" w:rsidRPr="00971368" w:rsidRDefault="004F77BE" w:rsidP="00E62F8F">
            <w:pPr>
              <w:jc w:val="center"/>
              <w:rPr>
                <w:rFonts w:ascii="Wingdings" w:hAnsi="Wingdings"/>
                <w:sz w:val="18"/>
                <w:szCs w:val="18"/>
              </w:rPr>
            </w:pPr>
            <w:r w:rsidRPr="00971368">
              <w:rPr>
                <w:rFonts w:ascii="Wingdings" w:hAnsi="Wingdings"/>
                <w:sz w:val="18"/>
                <w:szCs w:val="18"/>
              </w:rPr>
              <w:t></w:t>
            </w:r>
          </w:p>
        </w:tc>
      </w:tr>
    </w:tbl>
    <w:p w14:paraId="0BF46890" w14:textId="77777777" w:rsidR="004F77BE" w:rsidRPr="00971368" w:rsidRDefault="004F77BE" w:rsidP="00971368">
      <w:pPr>
        <w:pStyle w:val="Footnote"/>
      </w:pPr>
    </w:p>
    <w:p w14:paraId="59A1DA54" w14:textId="3D87DB7F" w:rsidR="00E17B5B" w:rsidRDefault="00E17B5B" w:rsidP="00971368">
      <w:pPr>
        <w:pStyle w:val="Footnote"/>
      </w:pPr>
      <w:r>
        <w:t xml:space="preserve">Note: </w:t>
      </w:r>
      <w:r w:rsidR="0095390D">
        <w:t>ISV =</w:t>
      </w:r>
      <w:r w:rsidR="00FE64E5">
        <w:t xml:space="preserve"> </w:t>
      </w:r>
      <w:r w:rsidR="00B2543E">
        <w:t>Independent Software Vendor</w:t>
      </w:r>
      <w:r w:rsidR="00644C1E">
        <w:t>s</w:t>
      </w:r>
      <w:r w:rsidR="0095390D">
        <w:t xml:space="preserve">; </w:t>
      </w:r>
      <w:r>
        <w:t xml:space="preserve">FPGA = </w:t>
      </w:r>
      <w:r w:rsidR="007A1CEC">
        <w:t>Field Programmable Gate Array</w:t>
      </w:r>
      <w:r>
        <w:t>; ASIC =</w:t>
      </w:r>
      <w:r w:rsidR="00872DAE">
        <w:t xml:space="preserve"> </w:t>
      </w:r>
      <w:r w:rsidR="002D41D0">
        <w:t xml:space="preserve">Application </w:t>
      </w:r>
      <w:r w:rsidR="00F4767E">
        <w:t>Specific</w:t>
      </w:r>
      <w:r w:rsidR="002D41D0">
        <w:t xml:space="preserve"> Integrated Circuit</w:t>
      </w:r>
      <w:r>
        <w:t>; SOC =</w:t>
      </w:r>
      <w:r w:rsidR="00F67D79">
        <w:t xml:space="preserve"> S</w:t>
      </w:r>
      <w:r w:rsidR="00E563DC">
        <w:t>ystem on Chip</w:t>
      </w:r>
      <w:r>
        <w:t>;</w:t>
      </w:r>
      <w:r w:rsidR="008E0A69">
        <w:t xml:space="preserve"> </w:t>
      </w:r>
      <w:r w:rsidR="00B2344B">
        <w:t xml:space="preserve">Q&amp;A = Question and Answer; </w:t>
      </w:r>
      <w:r w:rsidR="008E0A69">
        <w:t>V&amp;V</w:t>
      </w:r>
      <w:r w:rsidR="00F67D79">
        <w:t xml:space="preserve"> =</w:t>
      </w:r>
      <w:r w:rsidR="002E0A00">
        <w:t xml:space="preserve"> Validation and Verification</w:t>
      </w:r>
    </w:p>
    <w:p w14:paraId="7B716C0C" w14:textId="50DC9676" w:rsidR="008B4F05" w:rsidRDefault="004F77BE" w:rsidP="0038014A">
      <w:pPr>
        <w:pStyle w:val="Footnote"/>
      </w:pPr>
      <w:r w:rsidRPr="00971368">
        <w:t xml:space="preserve">Source: Created by </w:t>
      </w:r>
      <w:r w:rsidR="00111E3A">
        <w:t>the case author based on</w:t>
      </w:r>
      <w:r w:rsidR="0095390D">
        <w:t xml:space="preserve"> </w:t>
      </w:r>
      <w:r w:rsidR="00F04478">
        <w:t xml:space="preserve">“Resource </w:t>
      </w:r>
      <w:r w:rsidR="00F04478" w:rsidRPr="00F04478">
        <w:t xml:space="preserve">Library: </w:t>
      </w:r>
      <w:r w:rsidR="00111E3A" w:rsidRPr="00E507FA">
        <w:t>Business Impact through Product Engineering</w:t>
      </w:r>
      <w:r w:rsidR="0095390D" w:rsidRPr="00F04478">
        <w:t>,</w:t>
      </w:r>
      <w:r w:rsidR="00F04478" w:rsidRPr="00F04478">
        <w:t>”</w:t>
      </w:r>
      <w:r w:rsidR="00111E3A">
        <w:t xml:space="preserve"> </w:t>
      </w:r>
      <w:r w:rsidR="00F04478">
        <w:t xml:space="preserve">HCL, </w:t>
      </w:r>
      <w:r w:rsidR="00111E3A">
        <w:t>accessed March 16, 2017,</w:t>
      </w:r>
      <w:r w:rsidR="00111E3A" w:rsidRPr="00971368">
        <w:t xml:space="preserve"> </w:t>
      </w:r>
      <w:r w:rsidRPr="00D240CB">
        <w:t>https://www.hcltech.com/brochures/engineering-services/business-impact-through-product-engineering</w:t>
      </w:r>
      <w:r w:rsidR="00111E3A">
        <w:t>.</w:t>
      </w:r>
      <w:r w:rsidRPr="00971368">
        <w:t xml:space="preserve"> </w:t>
      </w:r>
      <w:r w:rsidR="008B4F05">
        <w:br w:type="page"/>
      </w:r>
    </w:p>
    <w:p w14:paraId="494B0B1C" w14:textId="3A543822" w:rsidR="004F77BE" w:rsidRPr="005732E1" w:rsidRDefault="004F77BE" w:rsidP="001873D9">
      <w:pPr>
        <w:pStyle w:val="ExhibitHeading"/>
        <w:outlineLvl w:val="0"/>
      </w:pPr>
      <w:r>
        <w:lastRenderedPageBreak/>
        <w:t>EXHIBIT 3</w:t>
      </w:r>
      <w:r w:rsidRPr="005732E1">
        <w:t xml:space="preserve">: </w:t>
      </w:r>
      <w:r>
        <w:t>PROFIT TRENDS FOR AEROSPACE O</w:t>
      </w:r>
      <w:r w:rsidR="0095390D">
        <w:t>RIGINAL EQUIPMENT MANUFACTURERS</w:t>
      </w:r>
      <w:r>
        <w:t xml:space="preserve"> AND THEIR SUPPLIERS</w:t>
      </w:r>
    </w:p>
    <w:p w14:paraId="5EF609A9" w14:textId="77777777" w:rsidR="004F77BE" w:rsidRDefault="004F77BE" w:rsidP="00167995">
      <w:pPr>
        <w:pStyle w:val="ExhibitHeading"/>
      </w:pPr>
    </w:p>
    <w:p w14:paraId="1FDD8618" w14:textId="77777777" w:rsidR="004F77BE" w:rsidRPr="00BE157B" w:rsidRDefault="004F77BE" w:rsidP="001873D9">
      <w:pPr>
        <w:pStyle w:val="ExhibitNumber"/>
        <w:outlineLvl w:val="0"/>
      </w:pPr>
      <w:r w:rsidRPr="00BE157B">
        <w:t>Operating Profit Margin</w:t>
      </w:r>
    </w:p>
    <w:p w14:paraId="106DF733" w14:textId="77777777" w:rsidR="004F77BE" w:rsidRDefault="004F77BE" w:rsidP="004F77BE">
      <w:pPr>
        <w:jc w:val="center"/>
        <w:rPr>
          <w:rFonts w:ascii="Times" w:hAnsi="Times"/>
          <w:u w:val="single"/>
        </w:rPr>
      </w:pPr>
      <w:r w:rsidRPr="002923D5">
        <w:rPr>
          <w:rFonts w:ascii="Arial" w:hAnsi="Arial" w:cs="Arial"/>
          <w:noProof/>
          <w:sz w:val="18"/>
          <w:lang w:val="en-US"/>
        </w:rPr>
        <w:drawing>
          <wp:inline distT="0" distB="0" distL="0" distR="0" wp14:anchorId="61BE18CD" wp14:editId="54CA5F4A">
            <wp:extent cx="4389120" cy="1920240"/>
            <wp:effectExtent l="0" t="0" r="0" b="381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12702" w14:textId="77777777" w:rsidR="00167995" w:rsidRDefault="00167995" w:rsidP="004F77BE">
      <w:pPr>
        <w:jc w:val="center"/>
        <w:rPr>
          <w:rFonts w:ascii="Times" w:hAnsi="Times"/>
          <w:u w:val="single"/>
        </w:rPr>
      </w:pPr>
    </w:p>
    <w:p w14:paraId="58325C81" w14:textId="77777777" w:rsidR="004F77BE" w:rsidRDefault="004F77BE" w:rsidP="001873D9">
      <w:pPr>
        <w:pStyle w:val="ExhibitNumber"/>
        <w:outlineLvl w:val="0"/>
      </w:pPr>
      <w:r>
        <w:t>Economic</w:t>
      </w:r>
      <w:r w:rsidRPr="00BE157B">
        <w:t xml:space="preserve"> Profit Margin</w:t>
      </w:r>
    </w:p>
    <w:p w14:paraId="1F13A678" w14:textId="77777777" w:rsidR="002923D5" w:rsidRPr="00BE157B" w:rsidRDefault="002923D5" w:rsidP="00167995">
      <w:pPr>
        <w:pStyle w:val="ExhibitNumber"/>
      </w:pPr>
    </w:p>
    <w:p w14:paraId="4FE608C2" w14:textId="77777777" w:rsidR="004F77BE" w:rsidRDefault="004F77BE" w:rsidP="004F77BE">
      <w:pPr>
        <w:jc w:val="center"/>
      </w:pPr>
      <w:r w:rsidRPr="002923D5">
        <w:rPr>
          <w:rFonts w:ascii="Arial" w:hAnsi="Arial" w:cs="Arial"/>
          <w:noProof/>
          <w:lang w:val="en-US"/>
        </w:rPr>
        <w:drawing>
          <wp:inline distT="0" distB="0" distL="0" distR="0" wp14:anchorId="72B68C85" wp14:editId="6039C712">
            <wp:extent cx="4480560" cy="2011680"/>
            <wp:effectExtent l="0" t="0" r="0" b="762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EAD909" w14:textId="77777777" w:rsidR="004F77BE" w:rsidRPr="002923D5" w:rsidRDefault="004F77BE" w:rsidP="002923D5">
      <w:pPr>
        <w:pStyle w:val="Footnote"/>
      </w:pPr>
    </w:p>
    <w:p w14:paraId="03B81C96" w14:textId="26429A14" w:rsidR="004F77BE" w:rsidRPr="002923D5" w:rsidRDefault="004F77BE" w:rsidP="002923D5">
      <w:pPr>
        <w:pStyle w:val="Footnote"/>
      </w:pPr>
      <w:r w:rsidRPr="002923D5">
        <w:t>Note: Airframers included firms like Boeing and Airbus, among others</w:t>
      </w:r>
      <w:r w:rsidR="0095390D">
        <w:t>;</w:t>
      </w:r>
      <w:r w:rsidRPr="002923D5">
        <w:t xml:space="preserve"> Economic Profit = Accounting Profit</w:t>
      </w:r>
      <w:r w:rsidR="00356109">
        <w:t>—(</w:t>
      </w:r>
      <w:r w:rsidRPr="002923D5">
        <w:t xml:space="preserve">Assets </w:t>
      </w:r>
      <w:r w:rsidR="00F40CD8">
        <w:t>x</w:t>
      </w:r>
      <w:r w:rsidR="00356109">
        <w:t xml:space="preserve"> WACC)</w:t>
      </w:r>
      <w:r w:rsidRPr="002923D5">
        <w:t>; Assets include: property, plant, and equipment, financial assets</w:t>
      </w:r>
      <w:r w:rsidR="0095390D">
        <w:t>,</w:t>
      </w:r>
      <w:r w:rsidRPr="002923D5">
        <w:t xml:space="preserve"> and other assets on </w:t>
      </w:r>
      <w:r w:rsidR="0095390D">
        <w:t xml:space="preserve">the </w:t>
      </w:r>
      <w:r w:rsidRPr="002923D5">
        <w:t>balance sheet</w:t>
      </w:r>
      <w:r w:rsidR="00235725">
        <w:t>; WACC: Weighted Average Cost of Capital.</w:t>
      </w:r>
      <w:r w:rsidRPr="002923D5">
        <w:t xml:space="preserve"> </w:t>
      </w:r>
    </w:p>
    <w:p w14:paraId="492D65F5" w14:textId="6ACDBB6C" w:rsidR="004F77BE" w:rsidRPr="002923D5" w:rsidRDefault="001B709B" w:rsidP="002923D5">
      <w:pPr>
        <w:pStyle w:val="Footnote"/>
      </w:pPr>
      <w:r w:rsidRPr="002923D5">
        <w:t xml:space="preserve">Source: Created by </w:t>
      </w:r>
      <w:r>
        <w:t>the case author based on</w:t>
      </w:r>
      <w:r w:rsidRPr="00971368">
        <w:t xml:space="preserve"> </w:t>
      </w:r>
      <w:r>
        <w:t xml:space="preserve">Strategy and PwC, </w:t>
      </w:r>
      <w:r w:rsidRPr="00D240CB">
        <w:rPr>
          <w:i/>
        </w:rPr>
        <w:t>Recapturing Value in Aerospace</w:t>
      </w:r>
      <w:r>
        <w:rPr>
          <w:i/>
        </w:rPr>
        <w:t>: Know Your Suppliers’ Costs and Collaborate to Lower Them</w:t>
      </w:r>
      <w:r>
        <w:t>,</w:t>
      </w:r>
      <w:r w:rsidRPr="002923D5">
        <w:t xml:space="preserve"> 2013,</w:t>
      </w:r>
      <w:r>
        <w:t xml:space="preserve"> </w:t>
      </w:r>
      <w:r w:rsidRPr="002923D5">
        <w:t xml:space="preserve">accessed January 30, 2017, </w:t>
      </w:r>
      <w:r w:rsidRPr="00556B29">
        <w:t>https://www.strategyand.pwc.com/media/file/Strategyand_Recapturing-Value-in-Aerospace.pdf.pdf</w:t>
      </w:r>
      <w:r>
        <w:t>.</w:t>
      </w:r>
    </w:p>
    <w:p w14:paraId="6DAD3C12" w14:textId="77777777" w:rsidR="004F77BE" w:rsidRPr="002923D5" w:rsidRDefault="004F77BE" w:rsidP="002923D5">
      <w:pPr>
        <w:pStyle w:val="Footnote"/>
      </w:pPr>
    </w:p>
    <w:p w14:paraId="29E6771A" w14:textId="77777777" w:rsidR="00C91ED2" w:rsidRDefault="00C91ED2">
      <w:pPr>
        <w:spacing w:after="200" w:line="276" w:lineRule="auto"/>
        <w:rPr>
          <w:rFonts w:ascii="Arial" w:hAnsi="Arial" w:cs="Arial"/>
          <w:sz w:val="17"/>
          <w:szCs w:val="17"/>
        </w:rPr>
      </w:pPr>
      <w:r>
        <w:br w:type="page"/>
      </w:r>
    </w:p>
    <w:p w14:paraId="0973DDF7" w14:textId="77777777" w:rsidR="004F77BE" w:rsidRDefault="004F77BE" w:rsidP="001873D9">
      <w:pPr>
        <w:pStyle w:val="ExhibitHeading"/>
        <w:outlineLvl w:val="0"/>
      </w:pPr>
      <w:r w:rsidRPr="00C91ED2">
        <w:lastRenderedPageBreak/>
        <w:t>EXHIBIT 4A: HISTORICAL LARGE COMMERCIAL AIRCRAFT ORDERS AND PRODUCTION</w:t>
      </w:r>
    </w:p>
    <w:p w14:paraId="3D170514" w14:textId="77777777" w:rsidR="00C91ED2" w:rsidRPr="00C91ED2" w:rsidRDefault="00C91ED2" w:rsidP="00C91ED2">
      <w:pPr>
        <w:pStyle w:val="ExhibitHeading"/>
      </w:pPr>
    </w:p>
    <w:p w14:paraId="372A9A85" w14:textId="77777777" w:rsidR="004F77BE" w:rsidRDefault="004F77BE" w:rsidP="004F77BE">
      <w:pPr>
        <w:jc w:val="center"/>
        <w:rPr>
          <w:rFonts w:ascii="Times" w:hAnsi="Times"/>
          <w:sz w:val="22"/>
          <w:szCs w:val="22"/>
        </w:rPr>
      </w:pPr>
      <w:r w:rsidRPr="0036652D">
        <w:rPr>
          <w:noProof/>
          <w:lang w:val="en-US"/>
        </w:rPr>
        <w:drawing>
          <wp:inline distT="0" distB="0" distL="0" distR="0" wp14:anchorId="2396E804" wp14:editId="276B5379">
            <wp:extent cx="5210810" cy="2926080"/>
            <wp:effectExtent l="0" t="0" r="8890" b="762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76BA61" w14:textId="77777777" w:rsidR="00566FE0" w:rsidRDefault="00566FE0" w:rsidP="00566FE0">
      <w:pPr>
        <w:pStyle w:val="Footnote"/>
      </w:pPr>
    </w:p>
    <w:p w14:paraId="7DD901D0" w14:textId="37AF232B" w:rsidR="004F77BE" w:rsidRPr="00566FE0" w:rsidRDefault="004F77BE" w:rsidP="00566FE0">
      <w:pPr>
        <w:pStyle w:val="Footnote"/>
      </w:pPr>
      <w:r w:rsidRPr="00566FE0">
        <w:t>Source: Created by</w:t>
      </w:r>
      <w:r w:rsidR="008E13F8" w:rsidRPr="002923D5">
        <w:t xml:space="preserve"> </w:t>
      </w:r>
      <w:r w:rsidR="008E13F8">
        <w:t>the case author based on</w:t>
      </w:r>
      <w:r w:rsidR="008E13F8" w:rsidRPr="00566FE0" w:rsidDel="008E13F8">
        <w:t xml:space="preserve"> </w:t>
      </w:r>
      <w:r w:rsidRPr="00566FE0">
        <w:t xml:space="preserve">Deloitte, </w:t>
      </w:r>
      <w:r w:rsidR="00106508" w:rsidRPr="00D240CB">
        <w:rPr>
          <w:i/>
        </w:rPr>
        <w:t>2015 Global Aerospace and Defense Industry Outlook</w:t>
      </w:r>
      <w:r w:rsidR="00106508">
        <w:t>,</w:t>
      </w:r>
      <w:r w:rsidR="00106508" w:rsidRPr="00566FE0">
        <w:t xml:space="preserve"> </w:t>
      </w:r>
      <w:r w:rsidR="007723B0">
        <w:t>6</w:t>
      </w:r>
      <w:r w:rsidR="00D240CB">
        <w:t xml:space="preserve">, </w:t>
      </w:r>
      <w:r w:rsidR="0066502A">
        <w:t xml:space="preserve">2015, </w:t>
      </w:r>
      <w:r w:rsidR="00106508" w:rsidRPr="008354EE">
        <w:t>accessed February 3, 2017</w:t>
      </w:r>
      <w:r w:rsidRPr="00566FE0">
        <w:t xml:space="preserve">, </w:t>
      </w:r>
      <w:r w:rsidR="0066502A" w:rsidRPr="00D240CB">
        <w:t>https://www2.deloitte.com/content/dam/Deloitte/global/Documents/Manufacturing/gx-mnfg-2015-global-a-and-d-outlook.pdf</w:t>
      </w:r>
      <w:r w:rsidR="00BE0788">
        <w:t>.</w:t>
      </w:r>
    </w:p>
    <w:p w14:paraId="09277C08" w14:textId="77777777" w:rsidR="004F77BE" w:rsidRDefault="004F77BE" w:rsidP="004F77BE">
      <w:pPr>
        <w:rPr>
          <w:rFonts w:ascii="Times" w:hAnsi="Times"/>
          <w:sz w:val="22"/>
          <w:szCs w:val="22"/>
        </w:rPr>
      </w:pPr>
    </w:p>
    <w:p w14:paraId="4ACDEEEF" w14:textId="77777777" w:rsidR="007F3872" w:rsidRPr="00802A95" w:rsidRDefault="007F3872" w:rsidP="004F77BE">
      <w:pPr>
        <w:rPr>
          <w:rFonts w:ascii="Times" w:hAnsi="Times"/>
          <w:sz w:val="22"/>
          <w:szCs w:val="22"/>
        </w:rPr>
      </w:pPr>
    </w:p>
    <w:p w14:paraId="59543139" w14:textId="77777777" w:rsidR="004F77BE" w:rsidRDefault="004F77BE" w:rsidP="001873D9">
      <w:pPr>
        <w:pStyle w:val="ExhibitHeading"/>
        <w:outlineLvl w:val="0"/>
      </w:pPr>
      <w:r w:rsidRPr="00AE325D">
        <w:t xml:space="preserve">EXHIBIT </w:t>
      </w:r>
      <w:r>
        <w:t>4</w:t>
      </w:r>
      <w:r w:rsidRPr="00AE325D">
        <w:t>B</w:t>
      </w:r>
      <w:r>
        <w:t>:</w:t>
      </w:r>
      <w:r w:rsidRPr="00AE325D">
        <w:t xml:space="preserve"> </w:t>
      </w:r>
      <w:r>
        <w:t>BOEING AND AIRBUS ORDERS</w:t>
      </w:r>
    </w:p>
    <w:p w14:paraId="0DF12EDA" w14:textId="77777777" w:rsidR="004F77BE" w:rsidRDefault="004F77BE" w:rsidP="004F77BE">
      <w:pPr>
        <w:jc w:val="center"/>
        <w:rPr>
          <w:rFonts w:ascii="Times" w:hAnsi="Times"/>
          <w:sz w:val="22"/>
          <w:szCs w:val="22"/>
        </w:rPr>
      </w:pPr>
    </w:p>
    <w:tbl>
      <w:tblPr>
        <w:tblW w:w="3640" w:type="dxa"/>
        <w:jc w:val="center"/>
        <w:tblLook w:val="04A0" w:firstRow="1" w:lastRow="0" w:firstColumn="1" w:lastColumn="0" w:noHBand="0" w:noVBand="1"/>
      </w:tblPr>
      <w:tblGrid>
        <w:gridCol w:w="694"/>
        <w:gridCol w:w="894"/>
        <w:gridCol w:w="860"/>
        <w:gridCol w:w="1300"/>
      </w:tblGrid>
      <w:tr w:rsidR="004F77BE" w:rsidRPr="007F3872" w14:paraId="5F16A4DF" w14:textId="77777777" w:rsidTr="00E62F8F">
        <w:trPr>
          <w:trHeight w:val="300"/>
          <w:jc w:val="center"/>
        </w:trPr>
        <w:tc>
          <w:tcPr>
            <w:tcW w:w="620" w:type="dxa"/>
            <w:tcBorders>
              <w:top w:val="single" w:sz="4" w:space="0" w:color="auto"/>
              <w:left w:val="nil"/>
              <w:bottom w:val="single" w:sz="4" w:space="0" w:color="auto"/>
              <w:right w:val="nil"/>
            </w:tcBorders>
            <w:shd w:val="clear" w:color="auto" w:fill="auto"/>
            <w:noWrap/>
            <w:vAlign w:val="bottom"/>
            <w:hideMark/>
          </w:tcPr>
          <w:p w14:paraId="789F1E2F" w14:textId="77777777" w:rsidR="004F77BE" w:rsidRPr="007F3872" w:rsidRDefault="004F77BE" w:rsidP="00E62F8F">
            <w:pPr>
              <w:jc w:val="center"/>
              <w:rPr>
                <w:rFonts w:ascii="Arial" w:hAnsi="Arial" w:cs="Arial"/>
                <w:b/>
                <w:bCs/>
                <w:color w:val="000000"/>
                <w:szCs w:val="22"/>
              </w:rPr>
            </w:pPr>
            <w:r w:rsidRPr="007F3872">
              <w:rPr>
                <w:rFonts w:ascii="Arial" w:hAnsi="Arial" w:cs="Arial"/>
                <w:b/>
                <w:bCs/>
                <w:color w:val="000000"/>
                <w:szCs w:val="22"/>
              </w:rPr>
              <w:t>Year</w:t>
            </w:r>
          </w:p>
        </w:tc>
        <w:tc>
          <w:tcPr>
            <w:tcW w:w="860" w:type="dxa"/>
            <w:tcBorders>
              <w:top w:val="single" w:sz="4" w:space="0" w:color="auto"/>
              <w:left w:val="nil"/>
              <w:bottom w:val="single" w:sz="4" w:space="0" w:color="auto"/>
              <w:right w:val="nil"/>
            </w:tcBorders>
            <w:shd w:val="clear" w:color="auto" w:fill="auto"/>
            <w:noWrap/>
            <w:vAlign w:val="bottom"/>
            <w:hideMark/>
          </w:tcPr>
          <w:p w14:paraId="0B55EBBC" w14:textId="77777777" w:rsidR="004F77BE" w:rsidRPr="007F3872" w:rsidRDefault="004F77BE" w:rsidP="00E62F8F">
            <w:pPr>
              <w:jc w:val="center"/>
              <w:rPr>
                <w:rFonts w:ascii="Arial" w:hAnsi="Arial" w:cs="Arial"/>
                <w:b/>
                <w:bCs/>
                <w:color w:val="000000"/>
                <w:szCs w:val="22"/>
              </w:rPr>
            </w:pPr>
            <w:r w:rsidRPr="007F3872">
              <w:rPr>
                <w:rFonts w:ascii="Arial" w:hAnsi="Arial" w:cs="Arial"/>
                <w:b/>
                <w:bCs/>
                <w:color w:val="000000"/>
                <w:szCs w:val="22"/>
              </w:rPr>
              <w:t xml:space="preserve">Boeing </w:t>
            </w:r>
          </w:p>
        </w:tc>
        <w:tc>
          <w:tcPr>
            <w:tcW w:w="860" w:type="dxa"/>
            <w:tcBorders>
              <w:top w:val="single" w:sz="4" w:space="0" w:color="auto"/>
              <w:left w:val="nil"/>
              <w:bottom w:val="single" w:sz="4" w:space="0" w:color="auto"/>
              <w:right w:val="nil"/>
            </w:tcBorders>
            <w:shd w:val="clear" w:color="auto" w:fill="auto"/>
            <w:noWrap/>
            <w:vAlign w:val="bottom"/>
            <w:hideMark/>
          </w:tcPr>
          <w:p w14:paraId="7A414C1B" w14:textId="77777777" w:rsidR="004F77BE" w:rsidRPr="007F3872" w:rsidRDefault="004F77BE" w:rsidP="00E62F8F">
            <w:pPr>
              <w:jc w:val="center"/>
              <w:rPr>
                <w:rFonts w:ascii="Arial" w:hAnsi="Arial" w:cs="Arial"/>
                <w:b/>
                <w:bCs/>
                <w:color w:val="000000"/>
                <w:szCs w:val="22"/>
              </w:rPr>
            </w:pPr>
            <w:r w:rsidRPr="007F3872">
              <w:rPr>
                <w:rFonts w:ascii="Arial" w:hAnsi="Arial" w:cs="Arial"/>
                <w:b/>
                <w:bCs/>
                <w:color w:val="000000"/>
                <w:szCs w:val="22"/>
              </w:rPr>
              <w:t xml:space="preserve">Airbus </w:t>
            </w:r>
          </w:p>
        </w:tc>
        <w:tc>
          <w:tcPr>
            <w:tcW w:w="1300" w:type="dxa"/>
            <w:tcBorders>
              <w:top w:val="single" w:sz="4" w:space="0" w:color="auto"/>
              <w:left w:val="nil"/>
              <w:bottom w:val="single" w:sz="4" w:space="0" w:color="auto"/>
              <w:right w:val="nil"/>
            </w:tcBorders>
            <w:shd w:val="clear" w:color="auto" w:fill="auto"/>
            <w:noWrap/>
            <w:vAlign w:val="bottom"/>
            <w:hideMark/>
          </w:tcPr>
          <w:p w14:paraId="3611AC95" w14:textId="77777777" w:rsidR="004F77BE" w:rsidRPr="007F3872" w:rsidRDefault="004F77BE" w:rsidP="00E62F8F">
            <w:pPr>
              <w:jc w:val="center"/>
              <w:rPr>
                <w:rFonts w:ascii="Arial" w:hAnsi="Arial" w:cs="Arial"/>
                <w:b/>
                <w:bCs/>
                <w:color w:val="000000"/>
                <w:szCs w:val="22"/>
              </w:rPr>
            </w:pPr>
            <w:r w:rsidRPr="007F3872">
              <w:rPr>
                <w:rFonts w:ascii="Arial" w:hAnsi="Arial" w:cs="Arial"/>
                <w:b/>
                <w:bCs/>
                <w:color w:val="000000"/>
                <w:szCs w:val="22"/>
              </w:rPr>
              <w:t xml:space="preserve">Dreamliner </w:t>
            </w:r>
          </w:p>
        </w:tc>
      </w:tr>
      <w:tr w:rsidR="004F77BE" w:rsidRPr="007F3872" w14:paraId="51022242" w14:textId="77777777" w:rsidTr="00E62F8F">
        <w:trPr>
          <w:trHeight w:val="300"/>
          <w:jc w:val="center"/>
        </w:trPr>
        <w:tc>
          <w:tcPr>
            <w:tcW w:w="620" w:type="dxa"/>
            <w:tcBorders>
              <w:top w:val="nil"/>
              <w:left w:val="nil"/>
              <w:bottom w:val="nil"/>
              <w:right w:val="nil"/>
            </w:tcBorders>
            <w:shd w:val="clear" w:color="auto" w:fill="auto"/>
            <w:noWrap/>
            <w:vAlign w:val="bottom"/>
            <w:hideMark/>
          </w:tcPr>
          <w:p w14:paraId="02BFE990"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2003</w:t>
            </w:r>
          </w:p>
        </w:tc>
        <w:tc>
          <w:tcPr>
            <w:tcW w:w="860" w:type="dxa"/>
            <w:tcBorders>
              <w:top w:val="nil"/>
              <w:left w:val="nil"/>
              <w:bottom w:val="nil"/>
              <w:right w:val="nil"/>
            </w:tcBorders>
            <w:shd w:val="clear" w:color="auto" w:fill="auto"/>
            <w:noWrap/>
            <w:vAlign w:val="bottom"/>
            <w:hideMark/>
          </w:tcPr>
          <w:p w14:paraId="176FF808"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248</w:t>
            </w:r>
          </w:p>
        </w:tc>
        <w:tc>
          <w:tcPr>
            <w:tcW w:w="860" w:type="dxa"/>
            <w:tcBorders>
              <w:top w:val="nil"/>
              <w:left w:val="nil"/>
              <w:bottom w:val="nil"/>
              <w:right w:val="nil"/>
            </w:tcBorders>
            <w:shd w:val="clear" w:color="auto" w:fill="auto"/>
            <w:noWrap/>
            <w:vAlign w:val="bottom"/>
            <w:hideMark/>
          </w:tcPr>
          <w:p w14:paraId="3D8AFFA9"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284</w:t>
            </w:r>
          </w:p>
        </w:tc>
        <w:tc>
          <w:tcPr>
            <w:tcW w:w="1300" w:type="dxa"/>
            <w:tcBorders>
              <w:top w:val="nil"/>
              <w:left w:val="nil"/>
              <w:bottom w:val="nil"/>
              <w:right w:val="nil"/>
            </w:tcBorders>
            <w:shd w:val="clear" w:color="auto" w:fill="auto"/>
            <w:noWrap/>
            <w:vAlign w:val="bottom"/>
            <w:hideMark/>
          </w:tcPr>
          <w:p w14:paraId="187EBC15"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0</w:t>
            </w:r>
          </w:p>
        </w:tc>
      </w:tr>
      <w:tr w:rsidR="004F77BE" w:rsidRPr="007F3872" w14:paraId="43C434A2" w14:textId="77777777" w:rsidTr="00E62F8F">
        <w:trPr>
          <w:trHeight w:val="300"/>
          <w:jc w:val="center"/>
        </w:trPr>
        <w:tc>
          <w:tcPr>
            <w:tcW w:w="620" w:type="dxa"/>
            <w:tcBorders>
              <w:top w:val="nil"/>
              <w:left w:val="nil"/>
              <w:bottom w:val="nil"/>
              <w:right w:val="nil"/>
            </w:tcBorders>
            <w:shd w:val="clear" w:color="auto" w:fill="auto"/>
            <w:noWrap/>
            <w:vAlign w:val="bottom"/>
            <w:hideMark/>
          </w:tcPr>
          <w:p w14:paraId="59E91365"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2004</w:t>
            </w:r>
          </w:p>
        </w:tc>
        <w:tc>
          <w:tcPr>
            <w:tcW w:w="860" w:type="dxa"/>
            <w:tcBorders>
              <w:top w:val="nil"/>
              <w:left w:val="nil"/>
              <w:bottom w:val="nil"/>
              <w:right w:val="nil"/>
            </w:tcBorders>
            <w:shd w:val="clear" w:color="auto" w:fill="auto"/>
            <w:noWrap/>
            <w:vAlign w:val="bottom"/>
            <w:hideMark/>
          </w:tcPr>
          <w:p w14:paraId="5D99E63A"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272</w:t>
            </w:r>
          </w:p>
        </w:tc>
        <w:tc>
          <w:tcPr>
            <w:tcW w:w="860" w:type="dxa"/>
            <w:tcBorders>
              <w:top w:val="nil"/>
              <w:left w:val="nil"/>
              <w:bottom w:val="nil"/>
              <w:right w:val="nil"/>
            </w:tcBorders>
            <w:shd w:val="clear" w:color="auto" w:fill="auto"/>
            <w:noWrap/>
            <w:vAlign w:val="bottom"/>
            <w:hideMark/>
          </w:tcPr>
          <w:p w14:paraId="7422256B"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370</w:t>
            </w:r>
          </w:p>
        </w:tc>
        <w:tc>
          <w:tcPr>
            <w:tcW w:w="1300" w:type="dxa"/>
            <w:tcBorders>
              <w:top w:val="nil"/>
              <w:left w:val="nil"/>
              <w:bottom w:val="nil"/>
              <w:right w:val="nil"/>
            </w:tcBorders>
            <w:shd w:val="clear" w:color="auto" w:fill="auto"/>
            <w:noWrap/>
            <w:vAlign w:val="bottom"/>
            <w:hideMark/>
          </w:tcPr>
          <w:p w14:paraId="5D027EB8"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52</w:t>
            </w:r>
          </w:p>
        </w:tc>
      </w:tr>
      <w:tr w:rsidR="004F77BE" w:rsidRPr="007F3872" w14:paraId="6B8C3095" w14:textId="77777777" w:rsidTr="00E62F8F">
        <w:trPr>
          <w:trHeight w:val="300"/>
          <w:jc w:val="center"/>
        </w:trPr>
        <w:tc>
          <w:tcPr>
            <w:tcW w:w="620" w:type="dxa"/>
            <w:tcBorders>
              <w:top w:val="nil"/>
              <w:left w:val="nil"/>
              <w:bottom w:val="nil"/>
              <w:right w:val="nil"/>
            </w:tcBorders>
            <w:shd w:val="clear" w:color="auto" w:fill="auto"/>
            <w:noWrap/>
            <w:vAlign w:val="bottom"/>
            <w:hideMark/>
          </w:tcPr>
          <w:p w14:paraId="5923F1E2"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2005</w:t>
            </w:r>
          </w:p>
        </w:tc>
        <w:tc>
          <w:tcPr>
            <w:tcW w:w="860" w:type="dxa"/>
            <w:tcBorders>
              <w:top w:val="nil"/>
              <w:left w:val="nil"/>
              <w:bottom w:val="nil"/>
              <w:right w:val="nil"/>
            </w:tcBorders>
            <w:shd w:val="clear" w:color="auto" w:fill="auto"/>
            <w:noWrap/>
            <w:vAlign w:val="bottom"/>
            <w:hideMark/>
          </w:tcPr>
          <w:p w14:paraId="53034C6F" w14:textId="4AF1D4F8"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w:t>
            </w:r>
            <w:r w:rsidR="00106508">
              <w:rPr>
                <w:rFonts w:ascii="Arial" w:hAnsi="Arial" w:cs="Arial"/>
                <w:color w:val="000000"/>
                <w:szCs w:val="22"/>
              </w:rPr>
              <w:t>,</w:t>
            </w:r>
            <w:r w:rsidRPr="007F3872">
              <w:rPr>
                <w:rFonts w:ascii="Arial" w:hAnsi="Arial" w:cs="Arial"/>
                <w:color w:val="000000"/>
                <w:szCs w:val="22"/>
              </w:rPr>
              <w:t>010</w:t>
            </w:r>
          </w:p>
        </w:tc>
        <w:tc>
          <w:tcPr>
            <w:tcW w:w="860" w:type="dxa"/>
            <w:tcBorders>
              <w:top w:val="nil"/>
              <w:left w:val="nil"/>
              <w:bottom w:val="nil"/>
              <w:right w:val="nil"/>
            </w:tcBorders>
            <w:shd w:val="clear" w:color="auto" w:fill="auto"/>
            <w:noWrap/>
            <w:vAlign w:val="bottom"/>
            <w:hideMark/>
          </w:tcPr>
          <w:p w14:paraId="4098164A" w14:textId="17980CE4"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w:t>
            </w:r>
            <w:r w:rsidR="00106508">
              <w:rPr>
                <w:rFonts w:ascii="Arial" w:hAnsi="Arial" w:cs="Arial"/>
                <w:color w:val="000000"/>
                <w:szCs w:val="22"/>
              </w:rPr>
              <w:t>,</w:t>
            </w:r>
            <w:r w:rsidRPr="007F3872">
              <w:rPr>
                <w:rFonts w:ascii="Arial" w:hAnsi="Arial" w:cs="Arial"/>
                <w:color w:val="000000"/>
                <w:szCs w:val="22"/>
              </w:rPr>
              <w:t>111</w:t>
            </w:r>
          </w:p>
        </w:tc>
        <w:tc>
          <w:tcPr>
            <w:tcW w:w="1300" w:type="dxa"/>
            <w:tcBorders>
              <w:top w:val="nil"/>
              <w:left w:val="nil"/>
              <w:bottom w:val="nil"/>
              <w:right w:val="nil"/>
            </w:tcBorders>
            <w:shd w:val="clear" w:color="auto" w:fill="auto"/>
            <w:noWrap/>
            <w:vAlign w:val="bottom"/>
            <w:hideMark/>
          </w:tcPr>
          <w:p w14:paraId="259BF82A"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179</w:t>
            </w:r>
          </w:p>
        </w:tc>
      </w:tr>
      <w:tr w:rsidR="004F77BE" w:rsidRPr="007F3872" w14:paraId="01ECD5BE" w14:textId="77777777" w:rsidTr="00E62F8F">
        <w:trPr>
          <w:trHeight w:val="300"/>
          <w:jc w:val="center"/>
        </w:trPr>
        <w:tc>
          <w:tcPr>
            <w:tcW w:w="620" w:type="dxa"/>
            <w:tcBorders>
              <w:top w:val="nil"/>
              <w:left w:val="nil"/>
              <w:bottom w:val="nil"/>
              <w:right w:val="nil"/>
            </w:tcBorders>
            <w:shd w:val="clear" w:color="auto" w:fill="auto"/>
            <w:noWrap/>
            <w:vAlign w:val="bottom"/>
            <w:hideMark/>
          </w:tcPr>
          <w:p w14:paraId="7C30AF59"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2006</w:t>
            </w:r>
          </w:p>
        </w:tc>
        <w:tc>
          <w:tcPr>
            <w:tcW w:w="860" w:type="dxa"/>
            <w:tcBorders>
              <w:top w:val="nil"/>
              <w:left w:val="nil"/>
              <w:bottom w:val="nil"/>
              <w:right w:val="nil"/>
            </w:tcBorders>
            <w:shd w:val="clear" w:color="auto" w:fill="auto"/>
            <w:noWrap/>
            <w:vAlign w:val="bottom"/>
            <w:hideMark/>
          </w:tcPr>
          <w:p w14:paraId="72C3E6D6" w14:textId="3A840024"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w:t>
            </w:r>
            <w:r w:rsidR="00106508">
              <w:rPr>
                <w:rFonts w:ascii="Arial" w:hAnsi="Arial" w:cs="Arial"/>
                <w:color w:val="000000"/>
                <w:szCs w:val="22"/>
              </w:rPr>
              <w:t>,</w:t>
            </w:r>
            <w:r w:rsidRPr="007F3872">
              <w:rPr>
                <w:rFonts w:ascii="Arial" w:hAnsi="Arial" w:cs="Arial"/>
                <w:color w:val="000000"/>
                <w:szCs w:val="22"/>
              </w:rPr>
              <w:t>007</w:t>
            </w:r>
          </w:p>
        </w:tc>
        <w:tc>
          <w:tcPr>
            <w:tcW w:w="860" w:type="dxa"/>
            <w:tcBorders>
              <w:top w:val="nil"/>
              <w:left w:val="nil"/>
              <w:bottom w:val="nil"/>
              <w:right w:val="nil"/>
            </w:tcBorders>
            <w:shd w:val="clear" w:color="auto" w:fill="auto"/>
            <w:noWrap/>
            <w:vAlign w:val="bottom"/>
            <w:hideMark/>
          </w:tcPr>
          <w:p w14:paraId="607B832C"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824</w:t>
            </w:r>
          </w:p>
        </w:tc>
        <w:tc>
          <w:tcPr>
            <w:tcW w:w="1300" w:type="dxa"/>
            <w:tcBorders>
              <w:top w:val="nil"/>
              <w:left w:val="nil"/>
              <w:bottom w:val="nil"/>
              <w:right w:val="nil"/>
            </w:tcBorders>
            <w:shd w:val="clear" w:color="auto" w:fill="auto"/>
            <w:noWrap/>
            <w:vAlign w:val="bottom"/>
            <w:hideMark/>
          </w:tcPr>
          <w:p w14:paraId="7D640A52"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99</w:t>
            </w:r>
          </w:p>
        </w:tc>
      </w:tr>
      <w:tr w:rsidR="004F77BE" w:rsidRPr="007F3872" w14:paraId="42FA6D01" w14:textId="77777777" w:rsidTr="00E62F8F">
        <w:trPr>
          <w:trHeight w:val="300"/>
          <w:jc w:val="center"/>
        </w:trPr>
        <w:tc>
          <w:tcPr>
            <w:tcW w:w="620" w:type="dxa"/>
            <w:tcBorders>
              <w:top w:val="nil"/>
              <w:left w:val="nil"/>
              <w:bottom w:val="nil"/>
              <w:right w:val="nil"/>
            </w:tcBorders>
            <w:shd w:val="clear" w:color="auto" w:fill="auto"/>
            <w:noWrap/>
            <w:vAlign w:val="bottom"/>
            <w:hideMark/>
          </w:tcPr>
          <w:p w14:paraId="75D08781"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2007</w:t>
            </w:r>
          </w:p>
        </w:tc>
        <w:tc>
          <w:tcPr>
            <w:tcW w:w="860" w:type="dxa"/>
            <w:tcBorders>
              <w:top w:val="nil"/>
              <w:left w:val="nil"/>
              <w:bottom w:val="nil"/>
              <w:right w:val="nil"/>
            </w:tcBorders>
            <w:shd w:val="clear" w:color="auto" w:fill="auto"/>
            <w:noWrap/>
            <w:vAlign w:val="bottom"/>
            <w:hideMark/>
          </w:tcPr>
          <w:p w14:paraId="5BEB4385" w14:textId="75063AF1"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w:t>
            </w:r>
            <w:r w:rsidR="00106508">
              <w:rPr>
                <w:rFonts w:ascii="Arial" w:hAnsi="Arial" w:cs="Arial"/>
                <w:color w:val="000000"/>
                <w:szCs w:val="22"/>
              </w:rPr>
              <w:t>,</w:t>
            </w:r>
            <w:r w:rsidRPr="007F3872">
              <w:rPr>
                <w:rFonts w:ascii="Arial" w:hAnsi="Arial" w:cs="Arial"/>
                <w:color w:val="000000"/>
                <w:szCs w:val="22"/>
              </w:rPr>
              <w:t>279</w:t>
            </w:r>
          </w:p>
        </w:tc>
        <w:tc>
          <w:tcPr>
            <w:tcW w:w="860" w:type="dxa"/>
            <w:tcBorders>
              <w:top w:val="nil"/>
              <w:left w:val="nil"/>
              <w:bottom w:val="nil"/>
              <w:right w:val="nil"/>
            </w:tcBorders>
            <w:shd w:val="clear" w:color="auto" w:fill="auto"/>
            <w:noWrap/>
            <w:vAlign w:val="bottom"/>
            <w:hideMark/>
          </w:tcPr>
          <w:p w14:paraId="6B8A2632" w14:textId="315B5351"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w:t>
            </w:r>
            <w:r w:rsidR="00106508">
              <w:rPr>
                <w:rFonts w:ascii="Arial" w:hAnsi="Arial" w:cs="Arial"/>
                <w:color w:val="000000"/>
                <w:szCs w:val="22"/>
              </w:rPr>
              <w:t>,</w:t>
            </w:r>
            <w:r w:rsidRPr="007F3872">
              <w:rPr>
                <w:rFonts w:ascii="Arial" w:hAnsi="Arial" w:cs="Arial"/>
                <w:color w:val="000000"/>
                <w:szCs w:val="22"/>
              </w:rPr>
              <w:t>458</w:t>
            </w:r>
          </w:p>
        </w:tc>
        <w:tc>
          <w:tcPr>
            <w:tcW w:w="1300" w:type="dxa"/>
            <w:tcBorders>
              <w:top w:val="nil"/>
              <w:left w:val="nil"/>
              <w:bottom w:val="nil"/>
              <w:right w:val="nil"/>
            </w:tcBorders>
            <w:shd w:val="clear" w:color="auto" w:fill="auto"/>
            <w:noWrap/>
            <w:vAlign w:val="bottom"/>
            <w:hideMark/>
          </w:tcPr>
          <w:p w14:paraId="2DE8470C"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269</w:t>
            </w:r>
          </w:p>
        </w:tc>
      </w:tr>
      <w:tr w:rsidR="004F77BE" w:rsidRPr="007F3872" w14:paraId="57A39275" w14:textId="77777777" w:rsidTr="00E62F8F">
        <w:trPr>
          <w:trHeight w:val="300"/>
          <w:jc w:val="center"/>
        </w:trPr>
        <w:tc>
          <w:tcPr>
            <w:tcW w:w="620" w:type="dxa"/>
            <w:tcBorders>
              <w:top w:val="nil"/>
              <w:left w:val="nil"/>
              <w:bottom w:val="nil"/>
              <w:right w:val="nil"/>
            </w:tcBorders>
            <w:shd w:val="clear" w:color="auto" w:fill="auto"/>
            <w:noWrap/>
            <w:vAlign w:val="bottom"/>
            <w:hideMark/>
          </w:tcPr>
          <w:p w14:paraId="1C348A72"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2008</w:t>
            </w:r>
          </w:p>
        </w:tc>
        <w:tc>
          <w:tcPr>
            <w:tcW w:w="860" w:type="dxa"/>
            <w:tcBorders>
              <w:top w:val="nil"/>
              <w:left w:val="nil"/>
              <w:bottom w:val="nil"/>
              <w:right w:val="nil"/>
            </w:tcBorders>
            <w:shd w:val="clear" w:color="auto" w:fill="auto"/>
            <w:noWrap/>
            <w:vAlign w:val="bottom"/>
            <w:hideMark/>
          </w:tcPr>
          <w:p w14:paraId="26AFEB0B"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600</w:t>
            </w:r>
          </w:p>
        </w:tc>
        <w:tc>
          <w:tcPr>
            <w:tcW w:w="860" w:type="dxa"/>
            <w:tcBorders>
              <w:top w:val="nil"/>
              <w:left w:val="nil"/>
              <w:bottom w:val="nil"/>
              <w:right w:val="nil"/>
            </w:tcBorders>
            <w:shd w:val="clear" w:color="auto" w:fill="auto"/>
            <w:noWrap/>
            <w:vAlign w:val="bottom"/>
            <w:hideMark/>
          </w:tcPr>
          <w:p w14:paraId="45D8BE3E"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900</w:t>
            </w:r>
          </w:p>
        </w:tc>
        <w:tc>
          <w:tcPr>
            <w:tcW w:w="1300" w:type="dxa"/>
            <w:tcBorders>
              <w:top w:val="nil"/>
              <w:left w:val="nil"/>
              <w:bottom w:val="nil"/>
              <w:right w:val="nil"/>
            </w:tcBorders>
            <w:shd w:val="clear" w:color="auto" w:fill="auto"/>
            <w:noWrap/>
            <w:vAlign w:val="bottom"/>
            <w:hideMark/>
          </w:tcPr>
          <w:p w14:paraId="270721AC"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59</w:t>
            </w:r>
          </w:p>
        </w:tc>
      </w:tr>
      <w:tr w:rsidR="004F77BE" w:rsidRPr="007F3872" w14:paraId="26DE8948" w14:textId="77777777" w:rsidTr="00E62F8F">
        <w:trPr>
          <w:trHeight w:val="300"/>
          <w:jc w:val="center"/>
        </w:trPr>
        <w:tc>
          <w:tcPr>
            <w:tcW w:w="620" w:type="dxa"/>
            <w:tcBorders>
              <w:top w:val="nil"/>
              <w:left w:val="nil"/>
              <w:bottom w:val="single" w:sz="4" w:space="0" w:color="auto"/>
              <w:right w:val="nil"/>
            </w:tcBorders>
            <w:shd w:val="clear" w:color="auto" w:fill="auto"/>
            <w:noWrap/>
            <w:vAlign w:val="bottom"/>
            <w:hideMark/>
          </w:tcPr>
          <w:p w14:paraId="39367D94"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2009</w:t>
            </w:r>
          </w:p>
        </w:tc>
        <w:tc>
          <w:tcPr>
            <w:tcW w:w="860" w:type="dxa"/>
            <w:tcBorders>
              <w:top w:val="nil"/>
              <w:left w:val="nil"/>
              <w:bottom w:val="single" w:sz="4" w:space="0" w:color="auto"/>
              <w:right w:val="nil"/>
            </w:tcBorders>
            <w:shd w:val="clear" w:color="auto" w:fill="auto"/>
            <w:noWrap/>
            <w:vAlign w:val="bottom"/>
            <w:hideMark/>
          </w:tcPr>
          <w:p w14:paraId="7A7C5FE4"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263</w:t>
            </w:r>
          </w:p>
        </w:tc>
        <w:tc>
          <w:tcPr>
            <w:tcW w:w="860" w:type="dxa"/>
            <w:tcBorders>
              <w:top w:val="nil"/>
              <w:left w:val="nil"/>
              <w:bottom w:val="single" w:sz="4" w:space="0" w:color="auto"/>
              <w:right w:val="nil"/>
            </w:tcBorders>
            <w:shd w:val="clear" w:color="auto" w:fill="auto"/>
            <w:noWrap/>
            <w:vAlign w:val="bottom"/>
            <w:hideMark/>
          </w:tcPr>
          <w:p w14:paraId="1077B8D3"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310</w:t>
            </w:r>
          </w:p>
        </w:tc>
        <w:tc>
          <w:tcPr>
            <w:tcW w:w="1300" w:type="dxa"/>
            <w:tcBorders>
              <w:top w:val="nil"/>
              <w:left w:val="nil"/>
              <w:bottom w:val="single" w:sz="4" w:space="0" w:color="auto"/>
              <w:right w:val="nil"/>
            </w:tcBorders>
            <w:shd w:val="clear" w:color="auto" w:fill="auto"/>
            <w:noWrap/>
            <w:vAlign w:val="bottom"/>
            <w:hideMark/>
          </w:tcPr>
          <w:p w14:paraId="5BFA2807"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13</w:t>
            </w:r>
          </w:p>
        </w:tc>
      </w:tr>
      <w:tr w:rsidR="004F77BE" w:rsidRPr="007F3872" w14:paraId="225ED104" w14:textId="77777777" w:rsidTr="00E62F8F">
        <w:trPr>
          <w:trHeight w:val="300"/>
          <w:jc w:val="center"/>
        </w:trPr>
        <w:tc>
          <w:tcPr>
            <w:tcW w:w="620" w:type="dxa"/>
            <w:tcBorders>
              <w:top w:val="nil"/>
              <w:left w:val="nil"/>
              <w:bottom w:val="single" w:sz="4" w:space="0" w:color="auto"/>
              <w:right w:val="nil"/>
            </w:tcBorders>
            <w:shd w:val="clear" w:color="auto" w:fill="auto"/>
            <w:noWrap/>
            <w:vAlign w:val="bottom"/>
            <w:hideMark/>
          </w:tcPr>
          <w:p w14:paraId="424568D8" w14:textId="77777777" w:rsidR="004F77BE" w:rsidRPr="007F3872" w:rsidRDefault="004F77BE" w:rsidP="00E62F8F">
            <w:pPr>
              <w:rPr>
                <w:rFonts w:ascii="Arial" w:hAnsi="Arial" w:cs="Arial"/>
                <w:b/>
                <w:bCs/>
                <w:color w:val="000000"/>
                <w:szCs w:val="22"/>
              </w:rPr>
            </w:pPr>
            <w:r w:rsidRPr="007F3872">
              <w:rPr>
                <w:rFonts w:ascii="Arial" w:hAnsi="Arial" w:cs="Arial"/>
                <w:b/>
                <w:bCs/>
                <w:color w:val="000000"/>
                <w:szCs w:val="22"/>
              </w:rPr>
              <w:t xml:space="preserve">Total </w:t>
            </w:r>
          </w:p>
        </w:tc>
        <w:tc>
          <w:tcPr>
            <w:tcW w:w="860" w:type="dxa"/>
            <w:tcBorders>
              <w:top w:val="nil"/>
              <w:left w:val="nil"/>
              <w:bottom w:val="single" w:sz="4" w:space="0" w:color="auto"/>
              <w:right w:val="nil"/>
            </w:tcBorders>
            <w:shd w:val="clear" w:color="auto" w:fill="auto"/>
            <w:noWrap/>
            <w:vAlign w:val="bottom"/>
            <w:hideMark/>
          </w:tcPr>
          <w:p w14:paraId="7BD41090" w14:textId="0B1035E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4</w:t>
            </w:r>
            <w:r w:rsidR="00106508">
              <w:rPr>
                <w:rFonts w:ascii="Arial" w:hAnsi="Arial" w:cs="Arial"/>
                <w:color w:val="000000"/>
                <w:szCs w:val="22"/>
              </w:rPr>
              <w:t>,</w:t>
            </w:r>
            <w:r w:rsidRPr="007F3872">
              <w:rPr>
                <w:rFonts w:ascii="Arial" w:hAnsi="Arial" w:cs="Arial"/>
                <w:color w:val="000000"/>
                <w:szCs w:val="22"/>
              </w:rPr>
              <w:t>679</w:t>
            </w:r>
          </w:p>
        </w:tc>
        <w:tc>
          <w:tcPr>
            <w:tcW w:w="860" w:type="dxa"/>
            <w:tcBorders>
              <w:top w:val="nil"/>
              <w:left w:val="nil"/>
              <w:bottom w:val="single" w:sz="4" w:space="0" w:color="auto"/>
              <w:right w:val="nil"/>
            </w:tcBorders>
            <w:shd w:val="clear" w:color="auto" w:fill="auto"/>
            <w:noWrap/>
            <w:vAlign w:val="bottom"/>
            <w:hideMark/>
          </w:tcPr>
          <w:p w14:paraId="118C6C4F" w14:textId="07F08642"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5</w:t>
            </w:r>
            <w:r w:rsidR="00106508">
              <w:rPr>
                <w:rFonts w:ascii="Arial" w:hAnsi="Arial" w:cs="Arial"/>
                <w:color w:val="000000"/>
                <w:szCs w:val="22"/>
              </w:rPr>
              <w:t>,</w:t>
            </w:r>
            <w:r w:rsidRPr="007F3872">
              <w:rPr>
                <w:rFonts w:ascii="Arial" w:hAnsi="Arial" w:cs="Arial"/>
                <w:color w:val="000000"/>
                <w:szCs w:val="22"/>
              </w:rPr>
              <w:t>257</w:t>
            </w:r>
          </w:p>
        </w:tc>
        <w:tc>
          <w:tcPr>
            <w:tcW w:w="1300" w:type="dxa"/>
            <w:tcBorders>
              <w:top w:val="nil"/>
              <w:left w:val="nil"/>
              <w:bottom w:val="single" w:sz="4" w:space="0" w:color="auto"/>
              <w:right w:val="nil"/>
            </w:tcBorders>
            <w:shd w:val="clear" w:color="auto" w:fill="auto"/>
            <w:noWrap/>
            <w:vAlign w:val="bottom"/>
            <w:hideMark/>
          </w:tcPr>
          <w:p w14:paraId="5323E040" w14:textId="77777777" w:rsidR="004F77BE" w:rsidRPr="007F3872" w:rsidRDefault="004F77BE" w:rsidP="00E62F8F">
            <w:pPr>
              <w:jc w:val="right"/>
              <w:rPr>
                <w:rFonts w:ascii="Arial" w:hAnsi="Arial" w:cs="Arial"/>
                <w:color w:val="000000"/>
                <w:szCs w:val="22"/>
              </w:rPr>
            </w:pPr>
            <w:r w:rsidRPr="007F3872">
              <w:rPr>
                <w:rFonts w:ascii="Arial" w:hAnsi="Arial" w:cs="Arial"/>
                <w:color w:val="000000"/>
                <w:szCs w:val="22"/>
              </w:rPr>
              <w:t>671</w:t>
            </w:r>
          </w:p>
        </w:tc>
      </w:tr>
    </w:tbl>
    <w:p w14:paraId="2A855129" w14:textId="77777777" w:rsidR="004F77BE" w:rsidRPr="007F3872" w:rsidRDefault="004F77BE" w:rsidP="007F3872">
      <w:pPr>
        <w:pStyle w:val="Footnote"/>
      </w:pPr>
    </w:p>
    <w:p w14:paraId="5787490A" w14:textId="09197614" w:rsidR="004F77BE" w:rsidRPr="0066502A" w:rsidRDefault="004F77BE" w:rsidP="0066502A">
      <w:pPr>
        <w:pStyle w:val="Footnote"/>
      </w:pPr>
      <w:r w:rsidRPr="0066502A">
        <w:t xml:space="preserve">Source: </w:t>
      </w:r>
      <w:r w:rsidR="008E13F8" w:rsidRPr="0066502A">
        <w:t>Created by the case author based on</w:t>
      </w:r>
      <w:r w:rsidR="0066502A" w:rsidRPr="00D240CB">
        <w:rPr>
          <w:rStyle w:val="Strong"/>
          <w:b w:val="0"/>
          <w:bCs w:val="0"/>
        </w:rPr>
        <w:t xml:space="preserve"> </w:t>
      </w:r>
      <w:r w:rsidR="0066502A">
        <w:rPr>
          <w:rStyle w:val="Strong"/>
          <w:b w:val="0"/>
          <w:bCs w:val="0"/>
        </w:rPr>
        <w:t>“</w:t>
      </w:r>
      <w:r w:rsidR="0066502A" w:rsidRPr="0066502A">
        <w:t>Number of Aircraft O</w:t>
      </w:r>
      <w:r w:rsidR="0066502A" w:rsidRPr="00D240CB">
        <w:t>rdered from Airbus and Boeing from 2003 to 2016</w:t>
      </w:r>
      <w:r w:rsidR="0066502A">
        <w:t>,” Statista</w:t>
      </w:r>
      <w:r w:rsidR="00F40CD8">
        <w:t>: The Statistics Portal</w:t>
      </w:r>
      <w:r w:rsidR="0066502A">
        <w:t xml:space="preserve">, accessed February 3, 2017, </w:t>
      </w:r>
      <w:r w:rsidRPr="00D240CB">
        <w:t>https://www.statista.com/statistics/264492/aircraft-orders-from-airbus-and-boeing/</w:t>
      </w:r>
      <w:r w:rsidR="0066502A">
        <w:rPr>
          <w:rStyle w:val="Hyperlink"/>
          <w:color w:val="auto"/>
          <w:u w:val="none"/>
        </w:rPr>
        <w:t>;</w:t>
      </w:r>
      <w:r w:rsidRPr="0066502A">
        <w:t xml:space="preserve"> and</w:t>
      </w:r>
      <w:r w:rsidR="0066502A">
        <w:t xml:space="preserve"> “Orders and Deliveries,” Boeing, accessed February 3, 2017, </w:t>
      </w:r>
      <w:r w:rsidR="0066502A" w:rsidRPr="00D240CB">
        <w:t>www</w:t>
      </w:r>
      <w:r w:rsidRPr="00D240CB">
        <w:t>.boeing.com/commercial/#/orders-deliveries</w:t>
      </w:r>
      <w:r w:rsidR="0066502A">
        <w:rPr>
          <w:rStyle w:val="Hyperlink"/>
          <w:color w:val="auto"/>
          <w:u w:val="none"/>
        </w:rPr>
        <w:t>.</w:t>
      </w:r>
      <w:r w:rsidRPr="0066502A">
        <w:t xml:space="preserve"> </w:t>
      </w:r>
    </w:p>
    <w:p w14:paraId="7C09F8D8" w14:textId="77777777" w:rsidR="004F77BE" w:rsidRPr="007F3872" w:rsidRDefault="004F77BE" w:rsidP="007F3872">
      <w:pPr>
        <w:pStyle w:val="Footnote"/>
      </w:pPr>
    </w:p>
    <w:p w14:paraId="259C6C1C" w14:textId="77777777" w:rsidR="004F77BE" w:rsidRPr="007F3872" w:rsidRDefault="004F77BE" w:rsidP="007F3872">
      <w:pPr>
        <w:pStyle w:val="Footnote"/>
      </w:pPr>
    </w:p>
    <w:p w14:paraId="7CEC288A" w14:textId="77777777" w:rsidR="008354EE" w:rsidRDefault="008354EE">
      <w:pPr>
        <w:spacing w:after="200" w:line="276" w:lineRule="auto"/>
        <w:rPr>
          <w:b/>
          <w:sz w:val="22"/>
          <w:szCs w:val="22"/>
        </w:rPr>
      </w:pPr>
      <w:r>
        <w:rPr>
          <w:b/>
          <w:sz w:val="22"/>
          <w:szCs w:val="22"/>
        </w:rPr>
        <w:br w:type="page"/>
      </w:r>
    </w:p>
    <w:p w14:paraId="0ADC2315" w14:textId="4B2D4B61" w:rsidR="004F77BE" w:rsidRDefault="004F77BE" w:rsidP="001873D9">
      <w:pPr>
        <w:pStyle w:val="ExhibitHeading"/>
        <w:outlineLvl w:val="0"/>
      </w:pPr>
      <w:r>
        <w:lastRenderedPageBreak/>
        <w:t>EXHIBIT 5</w:t>
      </w:r>
      <w:r w:rsidRPr="0047059B">
        <w:t xml:space="preserve">: GLOBAL AIRLINE PASSENGER TRAFFIC </w:t>
      </w:r>
      <w:r w:rsidR="00106508">
        <w:t>AND</w:t>
      </w:r>
      <w:r>
        <w:t xml:space="preserve"> INDUSTRY PROFITABILITY</w:t>
      </w:r>
    </w:p>
    <w:p w14:paraId="3A3A944D" w14:textId="77777777" w:rsidR="008354EE" w:rsidRDefault="008354EE" w:rsidP="008354EE">
      <w:pPr>
        <w:pStyle w:val="ExhibitHeading"/>
      </w:pPr>
    </w:p>
    <w:p w14:paraId="7458263C" w14:textId="77777777" w:rsidR="004F77BE" w:rsidRPr="00611C0C" w:rsidRDefault="004F77BE" w:rsidP="004F77BE">
      <w:pPr>
        <w:jc w:val="center"/>
        <w:rPr>
          <w:rFonts w:ascii="Times" w:hAnsi="Times"/>
          <w:b/>
        </w:rPr>
      </w:pPr>
      <w:r w:rsidRPr="0036652D">
        <w:rPr>
          <w:noProof/>
          <w:lang w:val="en-US"/>
        </w:rPr>
        <w:drawing>
          <wp:inline distT="0" distB="0" distL="0" distR="0" wp14:anchorId="5BB518C3" wp14:editId="4D83C595">
            <wp:extent cx="5189035" cy="2170771"/>
            <wp:effectExtent l="0" t="0" r="0" b="127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BFCAF3" w14:textId="77777777" w:rsidR="008354EE" w:rsidRDefault="008354EE" w:rsidP="008354EE">
      <w:pPr>
        <w:pStyle w:val="Footnote"/>
      </w:pPr>
    </w:p>
    <w:p w14:paraId="7CD9AF8E" w14:textId="311B69CB" w:rsidR="004F77BE" w:rsidRPr="008354EE" w:rsidRDefault="004F77BE" w:rsidP="008354EE">
      <w:pPr>
        <w:pStyle w:val="Footnote"/>
      </w:pPr>
      <w:r w:rsidRPr="008354EE">
        <w:t xml:space="preserve">Source: </w:t>
      </w:r>
      <w:r w:rsidR="008E13F8">
        <w:t>Created by the case author based on</w:t>
      </w:r>
      <w:r w:rsidRPr="008354EE">
        <w:t xml:space="preserve"> </w:t>
      </w:r>
      <w:r w:rsidR="00106508" w:rsidRPr="00566FE0">
        <w:t xml:space="preserve">Deloitte, </w:t>
      </w:r>
      <w:r w:rsidR="00106508" w:rsidRPr="00474906">
        <w:rPr>
          <w:i/>
        </w:rPr>
        <w:t>2015 Global Aerospace and Defense Industry Outlook</w:t>
      </w:r>
      <w:r w:rsidR="00106508">
        <w:t>,</w:t>
      </w:r>
      <w:r w:rsidR="00106508" w:rsidRPr="00566FE0">
        <w:t xml:space="preserve"> </w:t>
      </w:r>
      <w:r w:rsidR="00106508">
        <w:t xml:space="preserve">2015, </w:t>
      </w:r>
      <w:r w:rsidRPr="008354EE">
        <w:t xml:space="preserve">accessed February 3, 2017, </w:t>
      </w:r>
      <w:hyperlink r:id="rId16" w:history="1">
        <w:r w:rsidRPr="008354EE">
          <w:rPr>
            <w:rStyle w:val="Hyperlink"/>
            <w:color w:val="auto"/>
            <w:u w:val="none"/>
          </w:rPr>
          <w:t>https://www2.deloitte.com/content/dam/Deloitte/global/Documents/Manufacturing/gx-mnfg-2015-global-a-and-d-outlook.pdf</w:t>
        </w:r>
      </w:hyperlink>
      <w:r w:rsidRPr="008354EE">
        <w:t>.</w:t>
      </w:r>
    </w:p>
    <w:p w14:paraId="4630CE5A" w14:textId="77777777" w:rsidR="004F77BE" w:rsidRDefault="004F77BE" w:rsidP="004F77BE">
      <w:pPr>
        <w:jc w:val="both"/>
        <w:rPr>
          <w:rFonts w:ascii="Times" w:hAnsi="Times"/>
          <w:b/>
        </w:rPr>
      </w:pPr>
    </w:p>
    <w:p w14:paraId="59691E99" w14:textId="77777777" w:rsidR="008354EE" w:rsidRDefault="008354EE" w:rsidP="004F77BE">
      <w:pPr>
        <w:jc w:val="both"/>
        <w:rPr>
          <w:rFonts w:ascii="Times" w:hAnsi="Times"/>
          <w:b/>
        </w:rPr>
      </w:pPr>
    </w:p>
    <w:p w14:paraId="30C7AD7F" w14:textId="488D3081" w:rsidR="004F77BE" w:rsidRDefault="00C22A91" w:rsidP="00497A76">
      <w:pPr>
        <w:pStyle w:val="ExhibitHeading"/>
      </w:pPr>
      <w:r>
        <w:rPr>
          <w:noProof/>
          <w:lang w:val="en-US"/>
        </w:rPr>
        <mc:AlternateContent>
          <mc:Choice Requires="wps">
            <w:drawing>
              <wp:anchor distT="0" distB="0" distL="114300" distR="114300" simplePos="0" relativeHeight="251662336" behindDoc="0" locked="0" layoutInCell="1" allowOverlap="1" wp14:anchorId="4D3B96BE" wp14:editId="1074E29E">
                <wp:simplePos x="0" y="0"/>
                <wp:positionH relativeFrom="column">
                  <wp:posOffset>990023</wp:posOffset>
                </wp:positionH>
                <wp:positionV relativeFrom="paragraph">
                  <wp:posOffset>2192020</wp:posOffset>
                </wp:positionV>
                <wp:extent cx="1111250" cy="228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11250" cy="228600"/>
                        </a:xfrm>
                        <a:prstGeom prst="rect">
                          <a:avLst/>
                        </a:prstGeom>
                        <a:noFill/>
                        <a:ln w="6350">
                          <a:noFill/>
                        </a:ln>
                      </wps:spPr>
                      <wps:txbx>
                        <w:txbxContent>
                          <w:p w14:paraId="1489B6C1" w14:textId="2064B765" w:rsidR="00356109" w:rsidRPr="0018634A" w:rsidRDefault="00356109">
                            <w:pPr>
                              <w:rPr>
                                <w:rFonts w:ascii="Times" w:hAnsi="Times"/>
                                <w:sz w:val="16"/>
                                <w:szCs w:val="16"/>
                              </w:rPr>
                            </w:pPr>
                            <w:r w:rsidRPr="0018634A">
                              <w:rPr>
                                <w:rFonts w:ascii="Times" w:hAnsi="Times"/>
                                <w:sz w:val="16"/>
                                <w:szCs w:val="16"/>
                              </w:rPr>
                              <w:t>European</w:t>
                            </w:r>
                            <w:r>
                              <w:rPr>
                                <w:rFonts w:ascii="Times" w:hAnsi="Times"/>
                                <w:sz w:val="16"/>
                                <w:szCs w:val="16"/>
                              </w:rPr>
                              <w:t xml:space="preserve"> </w:t>
                            </w:r>
                            <w:r w:rsidRPr="0018634A">
                              <w:rPr>
                                <w:rFonts w:ascii="Times" w:hAnsi="Times"/>
                                <w:sz w:val="16"/>
                                <w:szCs w:val="16"/>
                              </w:rPr>
                              <w:t>Airlines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3B96BE" id="_x0000_t202" coordsize="21600,21600" o:spt="202" path="m,l,21600r21600,l21600,xe">
                <v:stroke joinstyle="miter"/>
                <v:path gradientshapeok="t" o:connecttype="rect"/>
              </v:shapetype>
              <v:shape id="Text Box 17" o:spid="_x0000_s1026" type="#_x0000_t202" style="position:absolute;left:0;text-align:left;margin-left:77.95pt;margin-top:172.6pt;width:87.5pt;height: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" filled="f" stroked="f" strokeweight=".5pt">
                <v:textbox>
                  <w:txbxContent>
                    <w:p w14:paraId="1489B6C1" w14:textId="2064B765" w:rsidR="00356109" w:rsidRPr="0018634A" w:rsidRDefault="00356109">
                      <w:pPr>
                        <w:rPr>
                          <w:rFonts w:ascii="Times" w:hAnsi="Times"/>
                          <w:sz w:val="16"/>
                          <w:szCs w:val="16"/>
                        </w:rPr>
                      </w:pPr>
                      <w:r w:rsidRPr="0018634A">
                        <w:rPr>
                          <w:rFonts w:ascii="Times" w:hAnsi="Times"/>
                          <w:sz w:val="16"/>
                          <w:szCs w:val="16"/>
                        </w:rPr>
                        <w:t>European</w:t>
                      </w:r>
                      <w:r>
                        <w:rPr>
                          <w:rFonts w:ascii="Times" w:hAnsi="Times"/>
                          <w:sz w:val="16"/>
                          <w:szCs w:val="16"/>
                        </w:rPr>
                        <w:t xml:space="preserve"> </w:t>
                      </w:r>
                      <w:r w:rsidRPr="0018634A">
                        <w:rPr>
                          <w:rFonts w:ascii="Times" w:hAnsi="Times"/>
                          <w:sz w:val="16"/>
                          <w:szCs w:val="16"/>
                        </w:rPr>
                        <w:t>Airlines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7F106140" wp14:editId="6B8A9E07">
                <wp:simplePos x="0" y="0"/>
                <wp:positionH relativeFrom="column">
                  <wp:posOffset>3795683</wp:posOffset>
                </wp:positionH>
                <wp:positionV relativeFrom="paragraph">
                  <wp:posOffset>2206105</wp:posOffset>
                </wp:positionV>
                <wp:extent cx="1143000" cy="23552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43000" cy="235527"/>
                        </a:xfrm>
                        <a:prstGeom prst="rect">
                          <a:avLst/>
                        </a:prstGeom>
                        <a:noFill/>
                        <a:ln w="6350">
                          <a:noFill/>
                        </a:ln>
                      </wps:spPr>
                      <wps:txbx>
                        <w:txbxContent>
                          <w:p w14:paraId="17AE1ACB" w14:textId="2EC72E3E" w:rsidR="00356109" w:rsidRPr="00C22A91" w:rsidRDefault="00356109">
                            <w:pPr>
                              <w:rPr>
                                <w:rFonts w:ascii="Times" w:hAnsi="Times"/>
                                <w:sz w:val="16"/>
                                <w:szCs w:val="16"/>
                              </w:rPr>
                            </w:pPr>
                            <w:r w:rsidRPr="00C22A91">
                              <w:rPr>
                                <w:rFonts w:ascii="Times" w:hAnsi="Times"/>
                                <w:sz w:val="16"/>
                                <w:szCs w:val="16"/>
                              </w:rPr>
                              <w:t>All Major Airlines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06140" id="Text Box 20" o:spid="_x0000_s1027" type="#_x0000_t202" style="position:absolute;left:0;text-align:left;margin-left:298.85pt;margin-top:173.7pt;width:90pt;height:1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" filled="f" stroked="f" strokeweight=".5pt">
                <v:textbox>
                  <w:txbxContent>
                    <w:p w14:paraId="17AE1ACB" w14:textId="2EC72E3E" w:rsidR="00356109" w:rsidRPr="00C22A91" w:rsidRDefault="00356109">
                      <w:pPr>
                        <w:rPr>
                          <w:rFonts w:ascii="Times" w:hAnsi="Times"/>
                          <w:sz w:val="16"/>
                          <w:szCs w:val="16"/>
                        </w:rPr>
                      </w:pPr>
                      <w:r w:rsidRPr="00C22A91">
                        <w:rPr>
                          <w:rFonts w:ascii="Times" w:hAnsi="Times"/>
                          <w:sz w:val="16"/>
                          <w:szCs w:val="16"/>
                        </w:rPr>
                        <w:t>All Major Airlines</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62190E9" wp14:editId="01B2DF2A">
                <wp:simplePos x="0" y="0"/>
                <wp:positionH relativeFrom="column">
                  <wp:posOffset>880226</wp:posOffset>
                </wp:positionH>
                <wp:positionV relativeFrom="paragraph">
                  <wp:posOffset>357505</wp:posOffset>
                </wp:positionV>
                <wp:extent cx="1257300" cy="342900"/>
                <wp:effectExtent l="0" t="0" r="0" b="1270"/>
                <wp:wrapTight wrapText="bothSides">
                  <wp:wrapPolygon edited="0">
                    <wp:start x="0" y="0"/>
                    <wp:lineTo x="21600" y="0"/>
                    <wp:lineTo x="21600" y="21600"/>
                    <wp:lineTo x="0" y="2160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694E2" w14:textId="77777777" w:rsidR="00356109" w:rsidRPr="003C0FEE" w:rsidRDefault="00356109" w:rsidP="004F77BE">
                            <w:pPr>
                              <w:rPr>
                                <w:rFonts w:ascii="Times" w:hAnsi="Times"/>
                                <w:sz w:val="16"/>
                                <w:szCs w:val="16"/>
                              </w:rPr>
                            </w:pPr>
                            <w:r w:rsidRPr="003C0FEE">
                              <w:rPr>
                                <w:rFonts w:ascii="Times" w:hAnsi="Times"/>
                                <w:sz w:val="16"/>
                                <w:szCs w:val="16"/>
                              </w:rPr>
                              <w:t>North America</w:t>
                            </w:r>
                            <w:r>
                              <w:rPr>
                                <w:rFonts w:ascii="Times" w:hAnsi="Times"/>
                                <w:sz w:val="16"/>
                                <w:szCs w:val="16"/>
                              </w:rPr>
                              <w:t>n Airlines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190E9" id="Text Box 8" o:spid="_x0000_s1028" type="#_x0000_t202" style="position:absolute;left:0;text-align:left;margin-left:69.3pt;margin-top:28.15pt;width:99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G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" filled="f" stroked="f">
                <v:textbox inset=",7.2pt,,7.2pt">
                  <w:txbxContent>
                    <w:p w14:paraId="6D9694E2" w14:textId="77777777" w:rsidR="00356109" w:rsidRPr="003C0FEE" w:rsidRDefault="00356109" w:rsidP="004F77BE">
                      <w:pPr>
                        <w:rPr>
                          <w:rFonts w:ascii="Times" w:hAnsi="Times"/>
                          <w:sz w:val="16"/>
                          <w:szCs w:val="16"/>
                        </w:rPr>
                      </w:pPr>
                      <w:r w:rsidRPr="003C0FEE">
                        <w:rPr>
                          <w:rFonts w:ascii="Times" w:hAnsi="Times"/>
                          <w:sz w:val="16"/>
                          <w:szCs w:val="16"/>
                        </w:rPr>
                        <w:t>North America</w:t>
                      </w:r>
                      <w:r>
                        <w:rPr>
                          <w:rFonts w:ascii="Times" w:hAnsi="Times"/>
                          <w:sz w:val="16"/>
                          <w:szCs w:val="16"/>
                        </w:rPr>
                        <w:t>n Airlines</w:t>
                      </w:r>
                    </w:p>
                  </w:txbxContent>
                </v:textbox>
                <w10:wrap type="tight"/>
              </v:shape>
            </w:pict>
          </mc:Fallback>
        </mc:AlternateContent>
      </w:r>
      <w:r w:rsidR="00506F4A">
        <w:rPr>
          <w:noProof/>
          <w:lang w:val="en-US"/>
        </w:rPr>
        <mc:AlternateContent>
          <mc:Choice Requires="wps">
            <w:drawing>
              <wp:anchor distT="0" distB="0" distL="114300" distR="114300" simplePos="0" relativeHeight="251661312" behindDoc="0" locked="0" layoutInCell="1" allowOverlap="1" wp14:anchorId="533FCFAD" wp14:editId="6A052AB1">
                <wp:simplePos x="0" y="0"/>
                <wp:positionH relativeFrom="column">
                  <wp:posOffset>3972348</wp:posOffset>
                </wp:positionH>
                <wp:positionV relativeFrom="paragraph">
                  <wp:posOffset>359622</wp:posOffset>
                </wp:positionV>
                <wp:extent cx="1143000" cy="342900"/>
                <wp:effectExtent l="0" t="0" r="0" b="1270"/>
                <wp:wrapThrough wrapText="bothSides">
                  <wp:wrapPolygon edited="0">
                    <wp:start x="0" y="0"/>
                    <wp:lineTo x="21600" y="0"/>
                    <wp:lineTo x="21600" y="21600"/>
                    <wp:lineTo x="0" y="2160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92DAD" w14:textId="77777777" w:rsidR="00356109" w:rsidRPr="003C0FEE" w:rsidRDefault="00356109" w:rsidP="004F77BE">
                            <w:pPr>
                              <w:rPr>
                                <w:rFonts w:ascii="Times" w:hAnsi="Times"/>
                                <w:sz w:val="16"/>
                                <w:szCs w:val="16"/>
                              </w:rPr>
                            </w:pPr>
                            <w:r>
                              <w:rPr>
                                <w:rFonts w:ascii="Times" w:hAnsi="Times"/>
                                <w:sz w:val="16"/>
                                <w:szCs w:val="16"/>
                              </w:rPr>
                              <w:t>Asia Pacific Airlines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FCFAD" id="Text Box 11" o:spid="_x0000_s1029" type="#_x0000_t202" style="position:absolute;left:0;text-align:left;margin-left:312.8pt;margin-top:28.3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" filled="f" stroked="f">
                <v:textbox inset=",7.2pt,,7.2pt">
                  <w:txbxContent>
                    <w:p w14:paraId="0C392DAD" w14:textId="77777777" w:rsidR="00356109" w:rsidRPr="003C0FEE" w:rsidRDefault="00356109" w:rsidP="004F77BE">
                      <w:pPr>
                        <w:rPr>
                          <w:rFonts w:ascii="Times" w:hAnsi="Times"/>
                          <w:sz w:val="16"/>
                          <w:szCs w:val="16"/>
                        </w:rPr>
                      </w:pPr>
                      <w:r>
                        <w:rPr>
                          <w:rFonts w:ascii="Times" w:hAnsi="Times"/>
                          <w:sz w:val="16"/>
                          <w:szCs w:val="16"/>
                        </w:rPr>
                        <w:t>Asia Pacific Airlines</w:t>
                      </w:r>
                    </w:p>
                  </w:txbxContent>
                </v:textbox>
                <w10:wrap type="through"/>
              </v:shape>
            </w:pict>
          </mc:Fallback>
        </mc:AlternateContent>
      </w:r>
      <w:r w:rsidR="004F77BE" w:rsidRPr="00755785">
        <w:t xml:space="preserve">EXHIBIT </w:t>
      </w:r>
      <w:r w:rsidR="004F77BE">
        <w:t>6:</w:t>
      </w:r>
      <w:r w:rsidR="004F77BE" w:rsidRPr="00755785">
        <w:t xml:space="preserve"> </w:t>
      </w:r>
      <w:r w:rsidR="004F77BE">
        <w:t>FUEL AND LABO</w:t>
      </w:r>
      <w:r w:rsidR="008D1A70">
        <w:t>u</w:t>
      </w:r>
      <w:r w:rsidR="004F77BE">
        <w:t>R COST SHARE O</w:t>
      </w:r>
      <w:r w:rsidR="004F77BE" w:rsidRPr="00755785">
        <w:t>F TOTAL OPERATING EXPENSES</w:t>
      </w:r>
      <w:r w:rsidR="004F77BE">
        <w:t xml:space="preserve"> ACROSS MARKETS</w:t>
      </w:r>
    </w:p>
    <w:p w14:paraId="591E31CC" w14:textId="659ACBE4" w:rsidR="002576A1" w:rsidRDefault="00771825" w:rsidP="00771825">
      <w:pPr>
        <w:rPr>
          <w:rFonts w:ascii="Times" w:hAnsi="Times"/>
          <w:b/>
          <w:sz w:val="22"/>
          <w:szCs w:val="22"/>
        </w:rPr>
      </w:pPr>
      <w:r>
        <w:rPr>
          <w:noProof/>
          <w:lang w:val="en-US"/>
        </w:rPr>
        <mc:AlternateContent>
          <mc:Choice Requires="wps">
            <w:drawing>
              <wp:anchor distT="0" distB="0" distL="114300" distR="114300" simplePos="0" relativeHeight="251659264" behindDoc="0" locked="0" layoutInCell="1" allowOverlap="1" wp14:anchorId="37674B4F" wp14:editId="78CDDD38">
                <wp:simplePos x="0" y="0"/>
                <wp:positionH relativeFrom="column">
                  <wp:posOffset>0</wp:posOffset>
                </wp:positionH>
                <wp:positionV relativeFrom="paragraph">
                  <wp:posOffset>136525</wp:posOffset>
                </wp:positionV>
                <wp:extent cx="4666615" cy="319659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319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10B4B" w14:textId="55B8C5CD" w:rsidR="00356109" w:rsidRPr="009B49CA" w:rsidRDefault="00356109" w:rsidP="00B2344B">
                            <w:pPr>
                              <w:rPr>
                                <w:rFonts w:ascii="Times" w:hAnsi="Times"/>
                                <w:b/>
                                <w:sz w:val="22"/>
                                <w:szCs w:val="22"/>
                              </w:rPr>
                            </w:pPr>
                            <w:r>
                              <w:rPr>
                                <w:rFonts w:ascii="Times" w:hAnsi="Times"/>
                                <w:b/>
                                <w:noProof/>
                                <w:sz w:val="22"/>
                                <w:szCs w:val="22"/>
                                <w:lang w:val="en-US"/>
                              </w:rPr>
                              <w:drawing>
                                <wp:inline distT="0" distB="0" distL="0" distR="0" wp14:anchorId="08CDAD2F" wp14:editId="0D46AE5F">
                                  <wp:extent cx="5650723" cy="303403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2606" cy="3045780"/>
                                          </a:xfrm>
                                          <a:prstGeom prst="rect">
                                            <a:avLst/>
                                          </a:prstGeom>
                                          <a:noFill/>
                                          <a:ln>
                                            <a:noFill/>
                                          </a:ln>
                                        </pic:spPr>
                                      </pic:pic>
                                    </a:graphicData>
                                  </a:graphic>
                                </wp:inline>
                              </w:drawing>
                            </w:r>
                          </w:p>
                        </w:txbxContent>
                      </wps:txbx>
                      <wps:bodyPr rot="0" vert="horz" wrap="non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74B4F" id="Text Box 7" o:spid="_x0000_s1030" type="#_x0000_t202" style="position:absolute;margin-left:0;margin-top:10.75pt;width:367.45pt;height:251.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" filled="f" stroked="f">
                <v:textbox inset=",7.2pt,,7.2pt">
                  <w:txbxContent>
                    <w:p w14:paraId="11410B4B" w14:textId="55B8C5CD" w:rsidR="00356109" w:rsidRPr="009B49CA" w:rsidRDefault="00356109" w:rsidP="00B2344B">
                      <w:pPr>
                        <w:rPr>
                          <w:rFonts w:ascii="Times" w:hAnsi="Times"/>
                          <w:b/>
                          <w:sz w:val="22"/>
                          <w:szCs w:val="22"/>
                        </w:rPr>
                      </w:pPr>
                      <w:r>
                        <w:rPr>
                          <w:rFonts w:ascii="Times" w:hAnsi="Times"/>
                          <w:b/>
                          <w:noProof/>
                          <w:sz w:val="22"/>
                          <w:szCs w:val="22"/>
                          <w:lang w:val="en-US"/>
                        </w:rPr>
                        <w:drawing>
                          <wp:inline distT="0" distB="0" distL="0" distR="0" wp14:anchorId="08CDAD2F" wp14:editId="0D46AE5F">
                            <wp:extent cx="5650723" cy="303403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2606" cy="3045780"/>
                                    </a:xfrm>
                                    <a:prstGeom prst="rect">
                                      <a:avLst/>
                                    </a:prstGeom>
                                    <a:noFill/>
                                    <a:ln>
                                      <a:noFill/>
                                    </a:ln>
                                  </pic:spPr>
                                </pic:pic>
                              </a:graphicData>
                            </a:graphic>
                          </wp:inline>
                        </w:drawing>
                      </w:r>
                    </w:p>
                  </w:txbxContent>
                </v:textbox>
                <w10:wrap type="square"/>
              </v:shape>
            </w:pict>
          </mc:Fallback>
        </mc:AlternateContent>
      </w:r>
    </w:p>
    <w:p w14:paraId="2D95847F" w14:textId="3D7E39E7" w:rsidR="002576A1" w:rsidRPr="002576A1" w:rsidRDefault="002576A1" w:rsidP="002576A1">
      <w:pPr>
        <w:pStyle w:val="Footnote"/>
      </w:pPr>
      <w:r w:rsidRPr="002576A1">
        <w:t>Source: IATA</w:t>
      </w:r>
      <w:r w:rsidRPr="000F6EBE">
        <w:t>,</w:t>
      </w:r>
      <w:r w:rsidRPr="00D240CB">
        <w:rPr>
          <w:i/>
        </w:rPr>
        <w:t xml:space="preserve"> IATA Economic Briefing</w:t>
      </w:r>
      <w:r w:rsidR="00806E65" w:rsidRPr="00D240CB">
        <w:rPr>
          <w:i/>
        </w:rPr>
        <w:t>:</w:t>
      </w:r>
      <w:r w:rsidRPr="00D240CB">
        <w:rPr>
          <w:i/>
        </w:rPr>
        <w:t xml:space="preserve"> Airline Fuel and Labo</w:t>
      </w:r>
      <w:r w:rsidR="000F6EBE" w:rsidRPr="00D240CB">
        <w:rPr>
          <w:i/>
        </w:rPr>
        <w:t>u</w:t>
      </w:r>
      <w:r w:rsidRPr="00D240CB">
        <w:rPr>
          <w:i/>
        </w:rPr>
        <w:t>r Cost Share</w:t>
      </w:r>
      <w:r w:rsidRPr="000F6EBE">
        <w:t>,</w:t>
      </w:r>
      <w:r w:rsidRPr="00D240CB">
        <w:rPr>
          <w:i/>
        </w:rPr>
        <w:t xml:space="preserve"> </w:t>
      </w:r>
      <w:r w:rsidRPr="002576A1">
        <w:t xml:space="preserve">February 2010, accessed February 3, 2017, </w:t>
      </w:r>
      <w:r w:rsidRPr="00D240CB">
        <w:t>https://www.iata.org/whatwedo/Documents/economics/Airline_Labour_Cost_Share_Feb2010.pdf</w:t>
      </w:r>
      <w:r w:rsidRPr="002576A1">
        <w:t>.</w:t>
      </w:r>
    </w:p>
    <w:p w14:paraId="5C08BB00" w14:textId="77777777" w:rsidR="00784927" w:rsidRDefault="00784927">
      <w:pPr>
        <w:spacing w:after="200" w:line="276" w:lineRule="auto"/>
        <w:rPr>
          <w:rFonts w:ascii="Times" w:hAnsi="Times"/>
          <w:b/>
          <w:sz w:val="22"/>
          <w:szCs w:val="22"/>
        </w:rPr>
      </w:pPr>
      <w:r>
        <w:rPr>
          <w:rFonts w:ascii="Times" w:hAnsi="Times"/>
          <w:b/>
          <w:sz w:val="22"/>
          <w:szCs w:val="22"/>
        </w:rPr>
        <w:br w:type="page"/>
      </w:r>
    </w:p>
    <w:p w14:paraId="55FAD80C" w14:textId="77777777" w:rsidR="004F77BE" w:rsidRPr="00784927" w:rsidRDefault="00784927" w:rsidP="001873D9">
      <w:pPr>
        <w:pStyle w:val="ExhibitHeading"/>
        <w:outlineLvl w:val="0"/>
      </w:pPr>
      <w:r w:rsidRPr="00784927">
        <w:lastRenderedPageBreak/>
        <w:t>EXHIBIT 7: RELATIONSHIP OF AIRLINE NET PROFIT TO FUEL COST</w:t>
      </w:r>
    </w:p>
    <w:p w14:paraId="133F3787" w14:textId="77777777" w:rsidR="00784927" w:rsidRDefault="00784927" w:rsidP="004F77BE">
      <w:pPr>
        <w:jc w:val="center"/>
        <w:rPr>
          <w:rFonts w:ascii="Times" w:hAnsi="Times"/>
          <w:b/>
          <w:sz w:val="22"/>
          <w:szCs w:val="22"/>
        </w:rPr>
      </w:pPr>
    </w:p>
    <w:p w14:paraId="7B41F07C" w14:textId="77777777" w:rsidR="00784927" w:rsidRDefault="00784927" w:rsidP="004F77BE">
      <w:pPr>
        <w:jc w:val="center"/>
        <w:rPr>
          <w:rFonts w:ascii="Times" w:hAnsi="Times"/>
          <w:b/>
          <w:sz w:val="22"/>
          <w:szCs w:val="22"/>
        </w:rPr>
      </w:pPr>
    </w:p>
    <w:p w14:paraId="2BB3B8F6" w14:textId="77777777" w:rsidR="00784927" w:rsidRDefault="00784927" w:rsidP="004F77BE">
      <w:pPr>
        <w:jc w:val="center"/>
        <w:rPr>
          <w:rFonts w:ascii="Times" w:hAnsi="Times"/>
          <w:b/>
          <w:sz w:val="22"/>
          <w:szCs w:val="22"/>
        </w:rPr>
      </w:pPr>
    </w:p>
    <w:p w14:paraId="28CB8F35" w14:textId="77777777" w:rsidR="00784927" w:rsidRDefault="00784927" w:rsidP="004F77BE">
      <w:pPr>
        <w:jc w:val="center"/>
        <w:rPr>
          <w:rFonts w:ascii="Times" w:hAnsi="Times"/>
          <w:b/>
          <w:sz w:val="22"/>
          <w:szCs w:val="22"/>
        </w:rPr>
      </w:pPr>
    </w:p>
    <w:p w14:paraId="2441B5EE" w14:textId="77777777" w:rsidR="00784927" w:rsidRDefault="00784927" w:rsidP="004F77BE">
      <w:pPr>
        <w:jc w:val="center"/>
        <w:rPr>
          <w:rFonts w:ascii="Times" w:hAnsi="Times"/>
          <w:b/>
          <w:sz w:val="22"/>
          <w:szCs w:val="22"/>
        </w:rPr>
      </w:pPr>
    </w:p>
    <w:p w14:paraId="07ED1E7E" w14:textId="77777777" w:rsidR="00784927" w:rsidRDefault="00784927" w:rsidP="004F77BE">
      <w:pPr>
        <w:jc w:val="center"/>
        <w:rPr>
          <w:rFonts w:ascii="Times" w:hAnsi="Times"/>
          <w:b/>
          <w:sz w:val="22"/>
          <w:szCs w:val="22"/>
        </w:rPr>
      </w:pPr>
    </w:p>
    <w:p w14:paraId="2EB76FA3" w14:textId="77777777" w:rsidR="00784927" w:rsidRDefault="00784927" w:rsidP="004F77BE">
      <w:pPr>
        <w:jc w:val="center"/>
        <w:rPr>
          <w:rFonts w:ascii="Times" w:hAnsi="Times"/>
          <w:b/>
          <w:sz w:val="22"/>
          <w:szCs w:val="22"/>
        </w:rPr>
      </w:pPr>
    </w:p>
    <w:p w14:paraId="4E428BF8" w14:textId="77777777" w:rsidR="00784927" w:rsidRDefault="00784927" w:rsidP="004F77BE">
      <w:pPr>
        <w:jc w:val="center"/>
        <w:rPr>
          <w:rFonts w:ascii="Times" w:hAnsi="Times"/>
          <w:b/>
          <w:sz w:val="22"/>
          <w:szCs w:val="22"/>
        </w:rPr>
      </w:pPr>
    </w:p>
    <w:p w14:paraId="6A007512" w14:textId="77777777" w:rsidR="00784927" w:rsidRDefault="00784927" w:rsidP="004F77BE">
      <w:pPr>
        <w:jc w:val="center"/>
        <w:rPr>
          <w:rFonts w:ascii="Times" w:hAnsi="Times"/>
          <w:b/>
          <w:sz w:val="22"/>
          <w:szCs w:val="22"/>
        </w:rPr>
      </w:pPr>
    </w:p>
    <w:p w14:paraId="2E98146C" w14:textId="77777777" w:rsidR="00784927" w:rsidRDefault="00784927" w:rsidP="004F77BE">
      <w:pPr>
        <w:jc w:val="center"/>
        <w:rPr>
          <w:rFonts w:ascii="Times" w:hAnsi="Times"/>
          <w:b/>
          <w:sz w:val="22"/>
          <w:szCs w:val="22"/>
        </w:rPr>
      </w:pPr>
    </w:p>
    <w:p w14:paraId="1B5447C2" w14:textId="77777777" w:rsidR="00784927" w:rsidRDefault="00784927" w:rsidP="004F77BE">
      <w:pPr>
        <w:jc w:val="center"/>
        <w:rPr>
          <w:rFonts w:ascii="Times" w:hAnsi="Times"/>
          <w:b/>
          <w:sz w:val="22"/>
          <w:szCs w:val="22"/>
        </w:rPr>
      </w:pPr>
    </w:p>
    <w:p w14:paraId="0B518CC3" w14:textId="77777777" w:rsidR="004F77BE" w:rsidRPr="00784927" w:rsidRDefault="004F77BE" w:rsidP="00784927">
      <w:pPr>
        <w:pStyle w:val="Footnote"/>
      </w:pPr>
    </w:p>
    <w:tbl>
      <w:tblPr>
        <w:tblpPr w:leftFromText="180" w:rightFromText="180" w:vertAnchor="page" w:horzAnchor="margin" w:tblpXSpec="center" w:tblpY="2226"/>
        <w:tblW w:w="5310" w:type="dxa"/>
        <w:tblLayout w:type="fixed"/>
        <w:tblLook w:val="04A0" w:firstRow="1" w:lastRow="0" w:firstColumn="1" w:lastColumn="0" w:noHBand="0" w:noVBand="1"/>
      </w:tblPr>
      <w:tblGrid>
        <w:gridCol w:w="719"/>
        <w:gridCol w:w="1441"/>
        <w:gridCol w:w="1260"/>
        <w:gridCol w:w="1890"/>
      </w:tblGrid>
      <w:tr w:rsidR="004F77BE" w:rsidRPr="00784927" w14:paraId="61CBB435" w14:textId="77777777" w:rsidTr="001D224D">
        <w:trPr>
          <w:trHeight w:val="169"/>
        </w:trPr>
        <w:tc>
          <w:tcPr>
            <w:tcW w:w="719" w:type="dxa"/>
            <w:tcBorders>
              <w:top w:val="single" w:sz="4" w:space="0" w:color="auto"/>
              <w:left w:val="nil"/>
              <w:bottom w:val="single" w:sz="4" w:space="0" w:color="auto"/>
              <w:right w:val="nil"/>
            </w:tcBorders>
            <w:shd w:val="clear" w:color="auto" w:fill="auto"/>
            <w:noWrap/>
            <w:vAlign w:val="bottom"/>
            <w:hideMark/>
          </w:tcPr>
          <w:p w14:paraId="5291B98E" w14:textId="77777777" w:rsidR="004F77BE" w:rsidRPr="00784927" w:rsidRDefault="004F77BE" w:rsidP="00784927">
            <w:pPr>
              <w:rPr>
                <w:rFonts w:ascii="Arial" w:hAnsi="Arial" w:cs="Arial"/>
                <w:b/>
                <w:bCs/>
                <w:color w:val="000000"/>
                <w:szCs w:val="22"/>
              </w:rPr>
            </w:pPr>
            <w:r w:rsidRPr="00784927">
              <w:rPr>
                <w:rFonts w:ascii="Arial" w:hAnsi="Arial" w:cs="Arial"/>
                <w:b/>
                <w:bCs/>
                <w:color w:val="000000"/>
                <w:szCs w:val="22"/>
              </w:rPr>
              <w:t>Year</w:t>
            </w:r>
          </w:p>
        </w:tc>
        <w:tc>
          <w:tcPr>
            <w:tcW w:w="1441" w:type="dxa"/>
            <w:tcBorders>
              <w:top w:val="single" w:sz="4" w:space="0" w:color="auto"/>
              <w:left w:val="nil"/>
              <w:bottom w:val="single" w:sz="4" w:space="0" w:color="auto"/>
              <w:right w:val="nil"/>
            </w:tcBorders>
            <w:shd w:val="clear" w:color="auto" w:fill="auto"/>
            <w:noWrap/>
            <w:vAlign w:val="bottom"/>
            <w:hideMark/>
          </w:tcPr>
          <w:p w14:paraId="3B885693" w14:textId="4A11C43C" w:rsidR="004F77BE" w:rsidRPr="00784927" w:rsidRDefault="004F77BE" w:rsidP="001D224D">
            <w:pPr>
              <w:jc w:val="center"/>
              <w:rPr>
                <w:rFonts w:ascii="Arial" w:hAnsi="Arial" w:cs="Arial"/>
                <w:b/>
                <w:bCs/>
                <w:color w:val="000000"/>
                <w:szCs w:val="22"/>
              </w:rPr>
            </w:pPr>
            <w:r w:rsidRPr="00784927">
              <w:rPr>
                <w:rFonts w:ascii="Arial" w:hAnsi="Arial" w:cs="Arial"/>
                <w:b/>
                <w:bCs/>
                <w:color w:val="000000"/>
                <w:szCs w:val="22"/>
              </w:rPr>
              <w:t>Net Profit (</w:t>
            </w:r>
            <w:r w:rsidR="00223FD1">
              <w:rPr>
                <w:rFonts w:ascii="Arial" w:hAnsi="Arial" w:cs="Arial"/>
                <w:b/>
                <w:bCs/>
                <w:color w:val="000000"/>
                <w:szCs w:val="22"/>
              </w:rPr>
              <w:t>in US</w:t>
            </w:r>
            <w:r w:rsidRPr="00784927">
              <w:rPr>
                <w:rFonts w:ascii="Arial" w:hAnsi="Arial" w:cs="Arial"/>
                <w:b/>
                <w:bCs/>
                <w:color w:val="000000"/>
                <w:szCs w:val="22"/>
              </w:rPr>
              <w:t>$ b</w:t>
            </w:r>
            <w:r w:rsidR="00223FD1">
              <w:rPr>
                <w:rFonts w:ascii="Arial" w:hAnsi="Arial" w:cs="Arial"/>
                <w:b/>
                <w:bCs/>
                <w:color w:val="000000"/>
                <w:szCs w:val="22"/>
              </w:rPr>
              <w:t>illions</w:t>
            </w:r>
            <w:r w:rsidRPr="00784927">
              <w:rPr>
                <w:rFonts w:ascii="Arial" w:hAnsi="Arial" w:cs="Arial"/>
                <w:b/>
                <w:bCs/>
                <w:color w:val="000000"/>
                <w:szCs w:val="22"/>
              </w:rPr>
              <w:t>)</w:t>
            </w:r>
          </w:p>
        </w:tc>
        <w:tc>
          <w:tcPr>
            <w:tcW w:w="1260" w:type="dxa"/>
            <w:tcBorders>
              <w:top w:val="single" w:sz="4" w:space="0" w:color="auto"/>
              <w:left w:val="nil"/>
              <w:bottom w:val="single" w:sz="4" w:space="0" w:color="auto"/>
              <w:right w:val="nil"/>
            </w:tcBorders>
            <w:shd w:val="clear" w:color="auto" w:fill="auto"/>
            <w:noWrap/>
            <w:vAlign w:val="bottom"/>
            <w:hideMark/>
          </w:tcPr>
          <w:p w14:paraId="786E2502" w14:textId="77777777" w:rsidR="004F77BE" w:rsidRPr="00784927" w:rsidRDefault="004F77BE" w:rsidP="001D224D">
            <w:pPr>
              <w:jc w:val="center"/>
              <w:rPr>
                <w:rFonts w:ascii="Arial" w:hAnsi="Arial" w:cs="Arial"/>
                <w:b/>
                <w:bCs/>
                <w:color w:val="000000"/>
                <w:szCs w:val="22"/>
              </w:rPr>
            </w:pPr>
            <w:r w:rsidRPr="00784927">
              <w:rPr>
                <w:rFonts w:ascii="Arial" w:hAnsi="Arial" w:cs="Arial"/>
                <w:b/>
                <w:bCs/>
                <w:color w:val="000000"/>
                <w:szCs w:val="22"/>
              </w:rPr>
              <w:t>Operating Cost (%)</w:t>
            </w:r>
          </w:p>
        </w:tc>
        <w:tc>
          <w:tcPr>
            <w:tcW w:w="1890" w:type="dxa"/>
            <w:tcBorders>
              <w:top w:val="single" w:sz="4" w:space="0" w:color="auto"/>
              <w:left w:val="nil"/>
              <w:bottom w:val="single" w:sz="4" w:space="0" w:color="auto"/>
              <w:right w:val="nil"/>
            </w:tcBorders>
            <w:shd w:val="clear" w:color="auto" w:fill="auto"/>
            <w:noWrap/>
            <w:vAlign w:val="bottom"/>
            <w:hideMark/>
          </w:tcPr>
          <w:p w14:paraId="348EB53D" w14:textId="4D7BDE5F" w:rsidR="004F77BE" w:rsidRPr="00784927" w:rsidRDefault="004F77BE" w:rsidP="001D224D">
            <w:pPr>
              <w:jc w:val="center"/>
              <w:rPr>
                <w:rFonts w:ascii="Arial" w:hAnsi="Arial" w:cs="Arial"/>
                <w:b/>
                <w:bCs/>
                <w:color w:val="000000"/>
                <w:szCs w:val="22"/>
              </w:rPr>
            </w:pPr>
            <w:r w:rsidRPr="00784927">
              <w:rPr>
                <w:rFonts w:ascii="Arial" w:hAnsi="Arial" w:cs="Arial"/>
                <w:b/>
                <w:bCs/>
                <w:color w:val="000000"/>
                <w:szCs w:val="22"/>
              </w:rPr>
              <w:t>Av</w:t>
            </w:r>
            <w:r w:rsidR="000F6EBE">
              <w:rPr>
                <w:rFonts w:ascii="Arial" w:hAnsi="Arial" w:cs="Arial"/>
                <w:b/>
                <w:bCs/>
                <w:color w:val="000000"/>
                <w:szCs w:val="22"/>
              </w:rPr>
              <w:t>erage</w:t>
            </w:r>
            <w:r w:rsidRPr="00784927">
              <w:rPr>
                <w:rFonts w:ascii="Arial" w:hAnsi="Arial" w:cs="Arial"/>
                <w:b/>
                <w:bCs/>
                <w:color w:val="000000"/>
                <w:szCs w:val="22"/>
              </w:rPr>
              <w:t xml:space="preserve"> Crude Prices ($/barrel)</w:t>
            </w:r>
          </w:p>
        </w:tc>
      </w:tr>
      <w:tr w:rsidR="004F77BE" w:rsidRPr="00784927" w14:paraId="1FBA258E" w14:textId="77777777" w:rsidTr="001D224D">
        <w:trPr>
          <w:trHeight w:val="300"/>
        </w:trPr>
        <w:tc>
          <w:tcPr>
            <w:tcW w:w="719" w:type="dxa"/>
            <w:tcBorders>
              <w:top w:val="nil"/>
              <w:left w:val="nil"/>
              <w:bottom w:val="nil"/>
              <w:right w:val="nil"/>
            </w:tcBorders>
            <w:shd w:val="clear" w:color="auto" w:fill="auto"/>
            <w:noWrap/>
            <w:vAlign w:val="bottom"/>
            <w:hideMark/>
          </w:tcPr>
          <w:p w14:paraId="5ECD474B"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2003</w:t>
            </w:r>
          </w:p>
        </w:tc>
        <w:tc>
          <w:tcPr>
            <w:tcW w:w="1441" w:type="dxa"/>
            <w:tcBorders>
              <w:top w:val="nil"/>
              <w:left w:val="nil"/>
              <w:bottom w:val="nil"/>
              <w:right w:val="nil"/>
            </w:tcBorders>
            <w:shd w:val="clear" w:color="auto" w:fill="auto"/>
            <w:noWrap/>
            <w:vAlign w:val="bottom"/>
            <w:hideMark/>
          </w:tcPr>
          <w:p w14:paraId="0434F39F" w14:textId="240EAF77" w:rsidR="004F77BE" w:rsidRPr="00784927" w:rsidRDefault="00223FD1" w:rsidP="001D224D">
            <w:pPr>
              <w:jc w:val="right"/>
              <w:rPr>
                <w:rFonts w:ascii="Arial" w:hAnsi="Arial" w:cs="Arial"/>
                <w:color w:val="000000"/>
                <w:szCs w:val="22"/>
              </w:rPr>
            </w:pPr>
            <w:r>
              <w:rPr>
                <w:rFonts w:ascii="Arial" w:hAnsi="Arial" w:cs="Arial"/>
                <w:color w:val="000000"/>
                <w:szCs w:val="22"/>
              </w:rPr>
              <w:t>−</w:t>
            </w:r>
            <w:r w:rsidR="004F77BE" w:rsidRPr="00784927">
              <w:rPr>
                <w:rFonts w:ascii="Arial" w:hAnsi="Arial" w:cs="Arial"/>
                <w:color w:val="000000"/>
                <w:szCs w:val="22"/>
              </w:rPr>
              <w:t>7.5</w:t>
            </w:r>
          </w:p>
        </w:tc>
        <w:tc>
          <w:tcPr>
            <w:tcW w:w="1260" w:type="dxa"/>
            <w:tcBorders>
              <w:top w:val="nil"/>
              <w:left w:val="nil"/>
              <w:bottom w:val="nil"/>
              <w:right w:val="nil"/>
            </w:tcBorders>
            <w:shd w:val="clear" w:color="auto" w:fill="auto"/>
            <w:noWrap/>
            <w:vAlign w:val="bottom"/>
            <w:hideMark/>
          </w:tcPr>
          <w:p w14:paraId="7E72D966"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13.6</w:t>
            </w:r>
          </w:p>
        </w:tc>
        <w:tc>
          <w:tcPr>
            <w:tcW w:w="1890" w:type="dxa"/>
            <w:tcBorders>
              <w:top w:val="nil"/>
              <w:left w:val="nil"/>
              <w:bottom w:val="nil"/>
              <w:right w:val="nil"/>
            </w:tcBorders>
            <w:shd w:val="clear" w:color="auto" w:fill="auto"/>
            <w:noWrap/>
            <w:vAlign w:val="bottom"/>
            <w:hideMark/>
          </w:tcPr>
          <w:p w14:paraId="170B1891"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28.8</w:t>
            </w:r>
          </w:p>
        </w:tc>
      </w:tr>
      <w:tr w:rsidR="004F77BE" w:rsidRPr="00784927" w14:paraId="0305D3DD" w14:textId="77777777" w:rsidTr="001D224D">
        <w:trPr>
          <w:trHeight w:val="300"/>
        </w:trPr>
        <w:tc>
          <w:tcPr>
            <w:tcW w:w="719" w:type="dxa"/>
            <w:tcBorders>
              <w:top w:val="nil"/>
              <w:left w:val="nil"/>
              <w:bottom w:val="nil"/>
              <w:right w:val="nil"/>
            </w:tcBorders>
            <w:shd w:val="clear" w:color="auto" w:fill="auto"/>
            <w:noWrap/>
            <w:vAlign w:val="bottom"/>
            <w:hideMark/>
          </w:tcPr>
          <w:p w14:paraId="433F78E0"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2004</w:t>
            </w:r>
          </w:p>
        </w:tc>
        <w:tc>
          <w:tcPr>
            <w:tcW w:w="1441" w:type="dxa"/>
            <w:tcBorders>
              <w:top w:val="nil"/>
              <w:left w:val="nil"/>
              <w:bottom w:val="nil"/>
              <w:right w:val="nil"/>
            </w:tcBorders>
            <w:shd w:val="clear" w:color="auto" w:fill="auto"/>
            <w:noWrap/>
            <w:vAlign w:val="bottom"/>
            <w:hideMark/>
          </w:tcPr>
          <w:p w14:paraId="750CFD5E" w14:textId="626E309C" w:rsidR="004F77BE" w:rsidRPr="00784927" w:rsidRDefault="00223FD1" w:rsidP="001D224D">
            <w:pPr>
              <w:jc w:val="right"/>
              <w:rPr>
                <w:rFonts w:ascii="Arial" w:hAnsi="Arial" w:cs="Arial"/>
                <w:color w:val="000000"/>
                <w:szCs w:val="22"/>
              </w:rPr>
            </w:pPr>
            <w:r>
              <w:rPr>
                <w:rFonts w:ascii="Arial" w:hAnsi="Arial" w:cs="Arial"/>
                <w:color w:val="000000"/>
                <w:szCs w:val="22"/>
              </w:rPr>
              <w:t>−</w:t>
            </w:r>
            <w:r w:rsidR="004F77BE" w:rsidRPr="00784927">
              <w:rPr>
                <w:rFonts w:ascii="Arial" w:hAnsi="Arial" w:cs="Arial"/>
                <w:color w:val="000000"/>
                <w:szCs w:val="22"/>
              </w:rPr>
              <w:t>5.6</w:t>
            </w:r>
          </w:p>
        </w:tc>
        <w:tc>
          <w:tcPr>
            <w:tcW w:w="1260" w:type="dxa"/>
            <w:tcBorders>
              <w:top w:val="nil"/>
              <w:left w:val="nil"/>
              <w:bottom w:val="nil"/>
              <w:right w:val="nil"/>
            </w:tcBorders>
            <w:shd w:val="clear" w:color="auto" w:fill="auto"/>
            <w:noWrap/>
            <w:vAlign w:val="bottom"/>
            <w:hideMark/>
          </w:tcPr>
          <w:p w14:paraId="0E60F0BE"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17.3</w:t>
            </w:r>
          </w:p>
        </w:tc>
        <w:tc>
          <w:tcPr>
            <w:tcW w:w="1890" w:type="dxa"/>
            <w:tcBorders>
              <w:top w:val="nil"/>
              <w:left w:val="nil"/>
              <w:bottom w:val="nil"/>
              <w:right w:val="nil"/>
            </w:tcBorders>
            <w:shd w:val="clear" w:color="auto" w:fill="auto"/>
            <w:noWrap/>
            <w:vAlign w:val="bottom"/>
            <w:hideMark/>
          </w:tcPr>
          <w:p w14:paraId="38006A96"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38.3</w:t>
            </w:r>
          </w:p>
        </w:tc>
      </w:tr>
      <w:tr w:rsidR="004F77BE" w:rsidRPr="00784927" w14:paraId="1F322A38" w14:textId="77777777" w:rsidTr="001D224D">
        <w:trPr>
          <w:trHeight w:val="300"/>
        </w:trPr>
        <w:tc>
          <w:tcPr>
            <w:tcW w:w="719" w:type="dxa"/>
            <w:tcBorders>
              <w:top w:val="nil"/>
              <w:left w:val="nil"/>
              <w:bottom w:val="nil"/>
              <w:right w:val="nil"/>
            </w:tcBorders>
            <w:shd w:val="clear" w:color="auto" w:fill="auto"/>
            <w:noWrap/>
            <w:vAlign w:val="bottom"/>
            <w:hideMark/>
          </w:tcPr>
          <w:p w14:paraId="119D70D2"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2005</w:t>
            </w:r>
          </w:p>
        </w:tc>
        <w:tc>
          <w:tcPr>
            <w:tcW w:w="1441" w:type="dxa"/>
            <w:tcBorders>
              <w:top w:val="nil"/>
              <w:left w:val="nil"/>
              <w:bottom w:val="nil"/>
              <w:right w:val="nil"/>
            </w:tcBorders>
            <w:shd w:val="clear" w:color="auto" w:fill="auto"/>
            <w:noWrap/>
            <w:vAlign w:val="bottom"/>
            <w:hideMark/>
          </w:tcPr>
          <w:p w14:paraId="5FFDF039" w14:textId="384BBC58" w:rsidR="004F77BE" w:rsidRPr="00784927" w:rsidRDefault="00223FD1" w:rsidP="001D224D">
            <w:pPr>
              <w:jc w:val="right"/>
              <w:rPr>
                <w:rFonts w:ascii="Arial" w:hAnsi="Arial" w:cs="Arial"/>
                <w:color w:val="000000"/>
                <w:szCs w:val="22"/>
              </w:rPr>
            </w:pPr>
            <w:r>
              <w:rPr>
                <w:rFonts w:ascii="Arial" w:hAnsi="Arial" w:cs="Arial"/>
                <w:color w:val="000000"/>
                <w:szCs w:val="22"/>
              </w:rPr>
              <w:t>−</w:t>
            </w:r>
            <w:r w:rsidR="004F77BE" w:rsidRPr="00784927">
              <w:rPr>
                <w:rFonts w:ascii="Arial" w:hAnsi="Arial" w:cs="Arial"/>
                <w:color w:val="000000"/>
                <w:szCs w:val="22"/>
              </w:rPr>
              <w:t>4.1</w:t>
            </w:r>
          </w:p>
        </w:tc>
        <w:tc>
          <w:tcPr>
            <w:tcW w:w="1260" w:type="dxa"/>
            <w:tcBorders>
              <w:top w:val="nil"/>
              <w:left w:val="nil"/>
              <w:bottom w:val="nil"/>
              <w:right w:val="nil"/>
            </w:tcBorders>
            <w:shd w:val="clear" w:color="auto" w:fill="auto"/>
            <w:noWrap/>
            <w:vAlign w:val="bottom"/>
            <w:hideMark/>
          </w:tcPr>
          <w:p w14:paraId="2BF59393"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22.2</w:t>
            </w:r>
          </w:p>
        </w:tc>
        <w:tc>
          <w:tcPr>
            <w:tcW w:w="1890" w:type="dxa"/>
            <w:tcBorders>
              <w:top w:val="nil"/>
              <w:left w:val="nil"/>
              <w:bottom w:val="nil"/>
              <w:right w:val="nil"/>
            </w:tcBorders>
            <w:shd w:val="clear" w:color="auto" w:fill="auto"/>
            <w:noWrap/>
            <w:vAlign w:val="bottom"/>
            <w:hideMark/>
          </w:tcPr>
          <w:p w14:paraId="072B3237"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54.5</w:t>
            </w:r>
          </w:p>
        </w:tc>
      </w:tr>
      <w:tr w:rsidR="004F77BE" w:rsidRPr="00784927" w14:paraId="2023A8C3" w14:textId="77777777" w:rsidTr="001D224D">
        <w:trPr>
          <w:trHeight w:val="300"/>
        </w:trPr>
        <w:tc>
          <w:tcPr>
            <w:tcW w:w="719" w:type="dxa"/>
            <w:tcBorders>
              <w:top w:val="nil"/>
              <w:left w:val="nil"/>
              <w:bottom w:val="nil"/>
              <w:right w:val="nil"/>
            </w:tcBorders>
            <w:shd w:val="clear" w:color="auto" w:fill="auto"/>
            <w:noWrap/>
            <w:vAlign w:val="bottom"/>
            <w:hideMark/>
          </w:tcPr>
          <w:p w14:paraId="628A6FB2"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2006</w:t>
            </w:r>
          </w:p>
        </w:tc>
        <w:tc>
          <w:tcPr>
            <w:tcW w:w="1441" w:type="dxa"/>
            <w:tcBorders>
              <w:top w:val="nil"/>
              <w:left w:val="nil"/>
              <w:bottom w:val="nil"/>
              <w:right w:val="nil"/>
            </w:tcBorders>
            <w:shd w:val="clear" w:color="auto" w:fill="auto"/>
            <w:noWrap/>
            <w:vAlign w:val="bottom"/>
            <w:hideMark/>
          </w:tcPr>
          <w:p w14:paraId="73EBF932" w14:textId="5822CCA5"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5</w:t>
            </w:r>
            <w:r w:rsidR="001D224D">
              <w:rPr>
                <w:rFonts w:ascii="Arial" w:hAnsi="Arial" w:cs="Arial"/>
                <w:color w:val="000000"/>
                <w:szCs w:val="22"/>
              </w:rPr>
              <w:t>.0</w:t>
            </w:r>
          </w:p>
        </w:tc>
        <w:tc>
          <w:tcPr>
            <w:tcW w:w="1260" w:type="dxa"/>
            <w:tcBorders>
              <w:top w:val="nil"/>
              <w:left w:val="nil"/>
              <w:bottom w:val="nil"/>
              <w:right w:val="nil"/>
            </w:tcBorders>
            <w:shd w:val="clear" w:color="auto" w:fill="auto"/>
            <w:noWrap/>
            <w:vAlign w:val="bottom"/>
            <w:hideMark/>
          </w:tcPr>
          <w:p w14:paraId="3EC3E4D5"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28.1</w:t>
            </w:r>
          </w:p>
        </w:tc>
        <w:tc>
          <w:tcPr>
            <w:tcW w:w="1890" w:type="dxa"/>
            <w:tcBorders>
              <w:top w:val="nil"/>
              <w:left w:val="nil"/>
              <w:bottom w:val="nil"/>
              <w:right w:val="nil"/>
            </w:tcBorders>
            <w:shd w:val="clear" w:color="auto" w:fill="auto"/>
            <w:noWrap/>
            <w:vAlign w:val="bottom"/>
            <w:hideMark/>
          </w:tcPr>
          <w:p w14:paraId="7C2E87FB"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65.1</w:t>
            </w:r>
          </w:p>
        </w:tc>
      </w:tr>
      <w:tr w:rsidR="004F77BE" w:rsidRPr="00784927" w14:paraId="4E50DB30" w14:textId="77777777" w:rsidTr="001D224D">
        <w:trPr>
          <w:trHeight w:val="300"/>
        </w:trPr>
        <w:tc>
          <w:tcPr>
            <w:tcW w:w="719" w:type="dxa"/>
            <w:tcBorders>
              <w:top w:val="nil"/>
              <w:left w:val="nil"/>
              <w:bottom w:val="nil"/>
              <w:right w:val="nil"/>
            </w:tcBorders>
            <w:shd w:val="clear" w:color="auto" w:fill="auto"/>
            <w:noWrap/>
            <w:vAlign w:val="bottom"/>
            <w:hideMark/>
          </w:tcPr>
          <w:p w14:paraId="130E0EFE"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2007</w:t>
            </w:r>
          </w:p>
        </w:tc>
        <w:tc>
          <w:tcPr>
            <w:tcW w:w="1441" w:type="dxa"/>
            <w:tcBorders>
              <w:top w:val="nil"/>
              <w:left w:val="nil"/>
              <w:bottom w:val="nil"/>
              <w:right w:val="nil"/>
            </w:tcBorders>
            <w:shd w:val="clear" w:color="auto" w:fill="auto"/>
            <w:noWrap/>
            <w:vAlign w:val="bottom"/>
            <w:hideMark/>
          </w:tcPr>
          <w:p w14:paraId="1D61EB0F"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14.7</w:t>
            </w:r>
          </w:p>
        </w:tc>
        <w:tc>
          <w:tcPr>
            <w:tcW w:w="1260" w:type="dxa"/>
            <w:tcBorders>
              <w:top w:val="nil"/>
              <w:left w:val="nil"/>
              <w:bottom w:val="nil"/>
              <w:right w:val="nil"/>
            </w:tcBorders>
            <w:shd w:val="clear" w:color="auto" w:fill="auto"/>
            <w:noWrap/>
            <w:vAlign w:val="bottom"/>
            <w:hideMark/>
          </w:tcPr>
          <w:p w14:paraId="50836E8C"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29.8</w:t>
            </w:r>
          </w:p>
        </w:tc>
        <w:tc>
          <w:tcPr>
            <w:tcW w:w="1890" w:type="dxa"/>
            <w:tcBorders>
              <w:top w:val="nil"/>
              <w:left w:val="nil"/>
              <w:bottom w:val="nil"/>
              <w:right w:val="nil"/>
            </w:tcBorders>
            <w:shd w:val="clear" w:color="auto" w:fill="auto"/>
            <w:noWrap/>
            <w:vAlign w:val="bottom"/>
            <w:hideMark/>
          </w:tcPr>
          <w:p w14:paraId="5D34D15E" w14:textId="0243EA6B"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73</w:t>
            </w:r>
            <w:r w:rsidR="001D224D">
              <w:rPr>
                <w:rFonts w:ascii="Arial" w:hAnsi="Arial" w:cs="Arial"/>
                <w:color w:val="000000"/>
                <w:szCs w:val="22"/>
              </w:rPr>
              <w:t>.0</w:t>
            </w:r>
          </w:p>
        </w:tc>
      </w:tr>
      <w:tr w:rsidR="004F77BE" w:rsidRPr="00784927" w14:paraId="67E21CEF" w14:textId="77777777" w:rsidTr="001D224D">
        <w:trPr>
          <w:trHeight w:val="300"/>
        </w:trPr>
        <w:tc>
          <w:tcPr>
            <w:tcW w:w="719" w:type="dxa"/>
            <w:tcBorders>
              <w:top w:val="nil"/>
              <w:left w:val="nil"/>
              <w:bottom w:val="nil"/>
              <w:right w:val="nil"/>
            </w:tcBorders>
            <w:shd w:val="clear" w:color="auto" w:fill="auto"/>
            <w:noWrap/>
            <w:vAlign w:val="bottom"/>
            <w:hideMark/>
          </w:tcPr>
          <w:p w14:paraId="0EF5AAB0"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2008</w:t>
            </w:r>
          </w:p>
        </w:tc>
        <w:tc>
          <w:tcPr>
            <w:tcW w:w="1441" w:type="dxa"/>
            <w:tcBorders>
              <w:top w:val="nil"/>
              <w:left w:val="nil"/>
              <w:bottom w:val="nil"/>
              <w:right w:val="nil"/>
            </w:tcBorders>
            <w:shd w:val="clear" w:color="auto" w:fill="auto"/>
            <w:noWrap/>
            <w:vAlign w:val="bottom"/>
            <w:hideMark/>
          </w:tcPr>
          <w:p w14:paraId="01A1EB26" w14:textId="4C85567B" w:rsidR="004F77BE" w:rsidRPr="00784927" w:rsidRDefault="00223FD1" w:rsidP="001D224D">
            <w:pPr>
              <w:jc w:val="right"/>
              <w:rPr>
                <w:rFonts w:ascii="Arial" w:hAnsi="Arial" w:cs="Arial"/>
                <w:color w:val="000000"/>
                <w:szCs w:val="22"/>
              </w:rPr>
            </w:pPr>
            <w:r>
              <w:rPr>
                <w:rFonts w:ascii="Arial" w:hAnsi="Arial" w:cs="Arial"/>
                <w:color w:val="000000"/>
                <w:szCs w:val="22"/>
              </w:rPr>
              <w:t>−</w:t>
            </w:r>
            <w:r w:rsidR="004F77BE" w:rsidRPr="00784927">
              <w:rPr>
                <w:rFonts w:ascii="Arial" w:hAnsi="Arial" w:cs="Arial"/>
                <w:color w:val="000000"/>
                <w:szCs w:val="22"/>
              </w:rPr>
              <w:t>26.1</w:t>
            </w:r>
          </w:p>
        </w:tc>
        <w:tc>
          <w:tcPr>
            <w:tcW w:w="1260" w:type="dxa"/>
            <w:tcBorders>
              <w:top w:val="nil"/>
              <w:left w:val="nil"/>
              <w:bottom w:val="nil"/>
              <w:right w:val="nil"/>
            </w:tcBorders>
            <w:shd w:val="clear" w:color="auto" w:fill="auto"/>
            <w:noWrap/>
            <w:vAlign w:val="bottom"/>
            <w:hideMark/>
          </w:tcPr>
          <w:p w14:paraId="3BC6AFAD"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35.7</w:t>
            </w:r>
          </w:p>
        </w:tc>
        <w:tc>
          <w:tcPr>
            <w:tcW w:w="1890" w:type="dxa"/>
            <w:tcBorders>
              <w:top w:val="nil"/>
              <w:left w:val="nil"/>
              <w:bottom w:val="nil"/>
              <w:right w:val="nil"/>
            </w:tcBorders>
            <w:shd w:val="clear" w:color="auto" w:fill="auto"/>
            <w:noWrap/>
            <w:vAlign w:val="bottom"/>
            <w:hideMark/>
          </w:tcPr>
          <w:p w14:paraId="504E5365" w14:textId="0284C3F8"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99</w:t>
            </w:r>
            <w:r w:rsidR="001D224D">
              <w:rPr>
                <w:rFonts w:ascii="Arial" w:hAnsi="Arial" w:cs="Arial"/>
                <w:color w:val="000000"/>
                <w:szCs w:val="22"/>
              </w:rPr>
              <w:t>.0</w:t>
            </w:r>
          </w:p>
        </w:tc>
      </w:tr>
      <w:tr w:rsidR="004F77BE" w:rsidRPr="00784927" w14:paraId="6717BA24" w14:textId="77777777" w:rsidTr="001D224D">
        <w:trPr>
          <w:trHeight w:val="300"/>
        </w:trPr>
        <w:tc>
          <w:tcPr>
            <w:tcW w:w="719" w:type="dxa"/>
            <w:tcBorders>
              <w:top w:val="nil"/>
              <w:left w:val="nil"/>
              <w:bottom w:val="single" w:sz="4" w:space="0" w:color="auto"/>
              <w:right w:val="nil"/>
            </w:tcBorders>
            <w:shd w:val="clear" w:color="auto" w:fill="auto"/>
            <w:noWrap/>
            <w:vAlign w:val="bottom"/>
            <w:hideMark/>
          </w:tcPr>
          <w:p w14:paraId="687CF575" w14:textId="77777777" w:rsidR="004F77BE" w:rsidRPr="00784927" w:rsidRDefault="004F77BE" w:rsidP="00784927">
            <w:pPr>
              <w:jc w:val="right"/>
              <w:rPr>
                <w:rFonts w:ascii="Arial" w:hAnsi="Arial" w:cs="Arial"/>
                <w:color w:val="000000"/>
                <w:szCs w:val="22"/>
              </w:rPr>
            </w:pPr>
            <w:r w:rsidRPr="00784927">
              <w:rPr>
                <w:rFonts w:ascii="Arial" w:hAnsi="Arial" w:cs="Arial"/>
                <w:color w:val="000000"/>
                <w:szCs w:val="22"/>
              </w:rPr>
              <w:t>2009</w:t>
            </w:r>
          </w:p>
        </w:tc>
        <w:tc>
          <w:tcPr>
            <w:tcW w:w="1441" w:type="dxa"/>
            <w:tcBorders>
              <w:top w:val="nil"/>
              <w:left w:val="nil"/>
              <w:bottom w:val="single" w:sz="4" w:space="0" w:color="auto"/>
              <w:right w:val="nil"/>
            </w:tcBorders>
            <w:shd w:val="clear" w:color="auto" w:fill="auto"/>
            <w:noWrap/>
            <w:vAlign w:val="bottom"/>
            <w:hideMark/>
          </w:tcPr>
          <w:p w14:paraId="1CE17447" w14:textId="325396B5" w:rsidR="004F77BE" w:rsidRPr="00784927" w:rsidRDefault="00223FD1" w:rsidP="001D224D">
            <w:pPr>
              <w:jc w:val="right"/>
              <w:rPr>
                <w:rFonts w:ascii="Arial" w:hAnsi="Arial" w:cs="Arial"/>
                <w:color w:val="000000"/>
                <w:szCs w:val="22"/>
              </w:rPr>
            </w:pPr>
            <w:r>
              <w:rPr>
                <w:rFonts w:ascii="Arial" w:hAnsi="Arial" w:cs="Arial"/>
                <w:color w:val="000000"/>
                <w:szCs w:val="22"/>
              </w:rPr>
              <w:t>−</w:t>
            </w:r>
            <w:r w:rsidR="004F77BE" w:rsidRPr="00784927">
              <w:rPr>
                <w:rFonts w:ascii="Arial" w:hAnsi="Arial" w:cs="Arial"/>
                <w:color w:val="000000"/>
                <w:szCs w:val="22"/>
              </w:rPr>
              <w:t>4.6</w:t>
            </w:r>
          </w:p>
        </w:tc>
        <w:tc>
          <w:tcPr>
            <w:tcW w:w="1260" w:type="dxa"/>
            <w:tcBorders>
              <w:top w:val="nil"/>
              <w:left w:val="nil"/>
              <w:bottom w:val="single" w:sz="4" w:space="0" w:color="auto"/>
              <w:right w:val="nil"/>
            </w:tcBorders>
            <w:shd w:val="clear" w:color="auto" w:fill="auto"/>
            <w:noWrap/>
            <w:vAlign w:val="bottom"/>
            <w:hideMark/>
          </w:tcPr>
          <w:p w14:paraId="10369B6B" w14:textId="77777777"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28.3</w:t>
            </w:r>
          </w:p>
        </w:tc>
        <w:tc>
          <w:tcPr>
            <w:tcW w:w="1890" w:type="dxa"/>
            <w:tcBorders>
              <w:top w:val="nil"/>
              <w:left w:val="nil"/>
              <w:bottom w:val="single" w:sz="4" w:space="0" w:color="auto"/>
              <w:right w:val="nil"/>
            </w:tcBorders>
            <w:shd w:val="clear" w:color="auto" w:fill="auto"/>
            <w:noWrap/>
            <w:vAlign w:val="bottom"/>
            <w:hideMark/>
          </w:tcPr>
          <w:p w14:paraId="19F50043" w14:textId="3A5EC44F" w:rsidR="004F77BE" w:rsidRPr="00784927" w:rsidRDefault="004F77BE" w:rsidP="001D224D">
            <w:pPr>
              <w:jc w:val="right"/>
              <w:rPr>
                <w:rFonts w:ascii="Arial" w:hAnsi="Arial" w:cs="Arial"/>
                <w:color w:val="000000"/>
                <w:szCs w:val="22"/>
              </w:rPr>
            </w:pPr>
            <w:r w:rsidRPr="00784927">
              <w:rPr>
                <w:rFonts w:ascii="Arial" w:hAnsi="Arial" w:cs="Arial"/>
                <w:color w:val="000000"/>
                <w:szCs w:val="22"/>
              </w:rPr>
              <w:t>62</w:t>
            </w:r>
            <w:r w:rsidR="001D224D">
              <w:rPr>
                <w:rFonts w:ascii="Arial" w:hAnsi="Arial" w:cs="Arial"/>
                <w:color w:val="000000"/>
                <w:szCs w:val="22"/>
              </w:rPr>
              <w:t>.0</w:t>
            </w:r>
          </w:p>
        </w:tc>
      </w:tr>
    </w:tbl>
    <w:p w14:paraId="144CF2F0" w14:textId="03BD3805" w:rsidR="004F77BE" w:rsidRPr="00BB18BE" w:rsidRDefault="004F77BE" w:rsidP="00BB18BE">
      <w:pPr>
        <w:pStyle w:val="Footnote"/>
      </w:pPr>
      <w:r w:rsidRPr="00BB18BE">
        <w:t xml:space="preserve">Source: </w:t>
      </w:r>
      <w:r w:rsidR="008E13F8">
        <w:t>Created by the case author based on</w:t>
      </w:r>
      <w:r w:rsidRPr="00BB18BE">
        <w:t xml:space="preserve"> IATA, </w:t>
      </w:r>
      <w:r w:rsidRPr="00D240CB">
        <w:rPr>
          <w:i/>
        </w:rPr>
        <w:t>Fact Sheet</w:t>
      </w:r>
      <w:r w:rsidR="000F6EBE" w:rsidRPr="00D240CB">
        <w:rPr>
          <w:i/>
        </w:rPr>
        <w:t xml:space="preserve"> </w:t>
      </w:r>
      <w:r w:rsidRPr="00D240CB">
        <w:rPr>
          <w:i/>
        </w:rPr>
        <w:t>–</w:t>
      </w:r>
      <w:r w:rsidR="000F6EBE" w:rsidRPr="00D240CB">
        <w:rPr>
          <w:i/>
        </w:rPr>
        <w:t xml:space="preserve"> </w:t>
      </w:r>
      <w:r w:rsidRPr="00D240CB">
        <w:rPr>
          <w:i/>
        </w:rPr>
        <w:t>Fuel</w:t>
      </w:r>
      <w:r w:rsidRPr="00BB18BE">
        <w:t xml:space="preserve">, June 2016, accessed February 3, 2017, </w:t>
      </w:r>
      <w:hyperlink r:id="rId18" w:history="1">
        <w:r w:rsidR="0066502A">
          <w:rPr>
            <w:rStyle w:val="Hyperlink"/>
            <w:color w:val="auto"/>
            <w:u w:val="none"/>
          </w:rPr>
          <w:t>www</w:t>
        </w:r>
        <w:r w:rsidRPr="00BB18BE">
          <w:rPr>
            <w:rStyle w:val="Hyperlink"/>
            <w:color w:val="auto"/>
            <w:u w:val="none"/>
          </w:rPr>
          <w:t>.iata.org/pressroom/facts_figures/fact_sheets/Documents/fact-sheet-fuel.pdf</w:t>
        </w:r>
      </w:hyperlink>
      <w:r w:rsidRPr="00BB18BE">
        <w:t>.</w:t>
      </w:r>
    </w:p>
    <w:p w14:paraId="67109E54" w14:textId="77777777" w:rsidR="004F77BE" w:rsidRPr="00FF2C3A" w:rsidRDefault="004F77BE" w:rsidP="004F77BE">
      <w:pPr>
        <w:rPr>
          <w:rFonts w:ascii="Times" w:hAnsi="Times"/>
          <w:b/>
          <w:sz w:val="18"/>
        </w:rPr>
      </w:pPr>
    </w:p>
    <w:p w14:paraId="0396DEC0" w14:textId="77777777" w:rsidR="00E11905" w:rsidRPr="00FF2C3A" w:rsidRDefault="00E11905" w:rsidP="004F77BE">
      <w:pPr>
        <w:rPr>
          <w:rFonts w:ascii="Times" w:hAnsi="Times"/>
          <w:b/>
          <w:sz w:val="18"/>
        </w:rPr>
      </w:pPr>
    </w:p>
    <w:p w14:paraId="4DEC243F" w14:textId="0D1AC3CE" w:rsidR="004F77BE" w:rsidRDefault="004F77BE" w:rsidP="00E11905">
      <w:pPr>
        <w:pStyle w:val="ExhibitHeading"/>
      </w:pPr>
      <w:r w:rsidRPr="008B16FE">
        <w:t xml:space="preserve">EXHIBIT </w:t>
      </w:r>
      <w:r>
        <w:t>8</w:t>
      </w:r>
      <w:r w:rsidRPr="008B16FE">
        <w:t xml:space="preserve">: </w:t>
      </w:r>
      <w:r>
        <w:t xml:space="preserve">NUMBER OF </w:t>
      </w:r>
      <w:r w:rsidRPr="008B16FE">
        <w:t xml:space="preserve">INVESTMENTS BY </w:t>
      </w:r>
      <w:r w:rsidR="000F6EBE">
        <w:t xml:space="preserve">THE </w:t>
      </w:r>
      <w:r w:rsidRPr="008B16FE">
        <w:t>TOP 50 GLOBAL A</w:t>
      </w:r>
      <w:r w:rsidR="000F6EBE">
        <w:t>EROSPACE AND DEFENCE</w:t>
      </w:r>
      <w:r w:rsidRPr="008B16FE">
        <w:t xml:space="preserve"> COMPANIES IN INTERNATIONAL MARKETS</w:t>
      </w:r>
    </w:p>
    <w:p w14:paraId="77375D13" w14:textId="77777777" w:rsidR="00FF2C3A" w:rsidRPr="008B16FE" w:rsidRDefault="00FF2C3A" w:rsidP="00E11905">
      <w:pPr>
        <w:pStyle w:val="ExhibitHeading"/>
      </w:pPr>
    </w:p>
    <w:p w14:paraId="21FA9A17" w14:textId="77777777" w:rsidR="004F77BE" w:rsidRDefault="004F77BE" w:rsidP="004F77BE">
      <w:pPr>
        <w:jc w:val="center"/>
        <w:rPr>
          <w:noProof/>
        </w:rPr>
      </w:pPr>
      <w:r w:rsidRPr="00FF2C3A">
        <w:rPr>
          <w:rFonts w:ascii="Arial" w:hAnsi="Arial" w:cs="Arial"/>
          <w:noProof/>
          <w:lang w:val="en-US"/>
        </w:rPr>
        <w:drawing>
          <wp:inline distT="0" distB="0" distL="0" distR="0" wp14:anchorId="550E4EAA" wp14:editId="20ECBEBB">
            <wp:extent cx="4663440" cy="1920240"/>
            <wp:effectExtent l="0" t="0" r="3810" b="381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F62552" w14:textId="77777777" w:rsidR="004F77BE" w:rsidRDefault="004F77BE" w:rsidP="004F77BE">
      <w:pPr>
        <w:rPr>
          <w:noProof/>
        </w:rPr>
      </w:pPr>
    </w:p>
    <w:tbl>
      <w:tblPr>
        <w:tblpPr w:leftFromText="180" w:rightFromText="180" w:vertAnchor="text" w:horzAnchor="page" w:tblpX="2629" w:tblpY="6"/>
        <w:tblOverlap w:val="never"/>
        <w:tblW w:w="7140" w:type="dxa"/>
        <w:tblLayout w:type="fixed"/>
        <w:tblLook w:val="04A0" w:firstRow="1" w:lastRow="0" w:firstColumn="1" w:lastColumn="0" w:noHBand="0" w:noVBand="1"/>
      </w:tblPr>
      <w:tblGrid>
        <w:gridCol w:w="1809"/>
        <w:gridCol w:w="718"/>
        <w:gridCol w:w="1125"/>
        <w:gridCol w:w="1842"/>
        <w:gridCol w:w="1646"/>
      </w:tblGrid>
      <w:tr w:rsidR="004F77BE" w:rsidRPr="005873F4" w14:paraId="7FC4D80C" w14:textId="77777777" w:rsidTr="008076D5">
        <w:trPr>
          <w:trHeight w:val="80"/>
        </w:trPr>
        <w:tc>
          <w:tcPr>
            <w:tcW w:w="1809" w:type="dxa"/>
            <w:tcBorders>
              <w:top w:val="single" w:sz="4" w:space="0" w:color="auto"/>
              <w:left w:val="nil"/>
              <w:bottom w:val="single" w:sz="4" w:space="0" w:color="auto"/>
              <w:right w:val="nil"/>
            </w:tcBorders>
            <w:shd w:val="clear" w:color="auto" w:fill="auto"/>
            <w:noWrap/>
            <w:vAlign w:val="bottom"/>
            <w:hideMark/>
          </w:tcPr>
          <w:p w14:paraId="6F0280C5" w14:textId="56D65AD9" w:rsidR="004F77BE" w:rsidRPr="005873F4" w:rsidRDefault="004F77BE" w:rsidP="00E62F8F">
            <w:pPr>
              <w:rPr>
                <w:rFonts w:ascii="Arial" w:hAnsi="Arial" w:cs="Arial"/>
                <w:b/>
                <w:bCs/>
                <w:color w:val="000000"/>
                <w:sz w:val="19"/>
                <w:szCs w:val="19"/>
              </w:rPr>
            </w:pPr>
            <w:r w:rsidRPr="005873F4">
              <w:rPr>
                <w:rFonts w:ascii="Arial" w:hAnsi="Arial" w:cs="Arial"/>
                <w:b/>
                <w:bCs/>
                <w:color w:val="000000"/>
                <w:sz w:val="19"/>
                <w:szCs w:val="19"/>
              </w:rPr>
              <w:t>Region/Country</w:t>
            </w:r>
          </w:p>
        </w:tc>
        <w:tc>
          <w:tcPr>
            <w:tcW w:w="718" w:type="dxa"/>
            <w:tcBorders>
              <w:top w:val="single" w:sz="4" w:space="0" w:color="auto"/>
              <w:left w:val="nil"/>
              <w:bottom w:val="single" w:sz="4" w:space="0" w:color="auto"/>
              <w:right w:val="nil"/>
            </w:tcBorders>
            <w:shd w:val="clear" w:color="auto" w:fill="auto"/>
            <w:noWrap/>
            <w:vAlign w:val="bottom"/>
            <w:hideMark/>
          </w:tcPr>
          <w:p w14:paraId="4E12F86E" w14:textId="77777777" w:rsidR="004F77BE" w:rsidRPr="005873F4" w:rsidRDefault="004F77BE" w:rsidP="00E62F8F">
            <w:pPr>
              <w:rPr>
                <w:rFonts w:ascii="Arial" w:hAnsi="Arial" w:cs="Arial"/>
                <w:b/>
                <w:bCs/>
                <w:color w:val="000000"/>
                <w:sz w:val="19"/>
                <w:szCs w:val="19"/>
              </w:rPr>
            </w:pPr>
            <w:r w:rsidRPr="005873F4">
              <w:rPr>
                <w:rFonts w:ascii="Arial" w:hAnsi="Arial" w:cs="Arial"/>
                <w:b/>
                <w:bCs/>
                <w:color w:val="000000"/>
                <w:sz w:val="19"/>
                <w:szCs w:val="19"/>
              </w:rPr>
              <w:t>R&amp;D</w:t>
            </w:r>
          </w:p>
        </w:tc>
        <w:tc>
          <w:tcPr>
            <w:tcW w:w="1125" w:type="dxa"/>
            <w:tcBorders>
              <w:top w:val="nil"/>
              <w:left w:val="nil"/>
              <w:bottom w:val="nil"/>
              <w:right w:val="nil"/>
            </w:tcBorders>
            <w:shd w:val="clear" w:color="auto" w:fill="auto"/>
            <w:noWrap/>
            <w:vAlign w:val="bottom"/>
            <w:hideMark/>
          </w:tcPr>
          <w:p w14:paraId="48D17F55" w14:textId="77777777" w:rsidR="004F77BE" w:rsidRPr="005873F4" w:rsidRDefault="004F77BE" w:rsidP="00E62F8F">
            <w:pPr>
              <w:rPr>
                <w:rFonts w:ascii="Arial" w:hAnsi="Arial" w:cs="Arial"/>
                <w:color w:val="000000"/>
                <w:sz w:val="19"/>
                <w:szCs w:val="19"/>
              </w:rPr>
            </w:pPr>
          </w:p>
        </w:tc>
        <w:tc>
          <w:tcPr>
            <w:tcW w:w="1842" w:type="dxa"/>
            <w:tcBorders>
              <w:top w:val="single" w:sz="4" w:space="0" w:color="auto"/>
              <w:left w:val="nil"/>
              <w:bottom w:val="single" w:sz="4" w:space="0" w:color="auto"/>
              <w:right w:val="nil"/>
            </w:tcBorders>
            <w:shd w:val="clear" w:color="auto" w:fill="auto"/>
            <w:noWrap/>
            <w:vAlign w:val="bottom"/>
            <w:hideMark/>
          </w:tcPr>
          <w:p w14:paraId="280EC4E2" w14:textId="78682CB1" w:rsidR="004F77BE" w:rsidRPr="005873F4" w:rsidRDefault="004F77BE" w:rsidP="00E62F8F">
            <w:pPr>
              <w:rPr>
                <w:rFonts w:ascii="Arial" w:hAnsi="Arial" w:cs="Arial"/>
                <w:b/>
                <w:bCs/>
                <w:color w:val="000000"/>
                <w:sz w:val="19"/>
                <w:szCs w:val="19"/>
              </w:rPr>
            </w:pPr>
            <w:r w:rsidRPr="005873F4">
              <w:rPr>
                <w:rFonts w:ascii="Arial" w:hAnsi="Arial" w:cs="Arial"/>
                <w:b/>
                <w:bCs/>
                <w:color w:val="000000"/>
                <w:sz w:val="19"/>
                <w:szCs w:val="19"/>
              </w:rPr>
              <w:t>Region/Country</w:t>
            </w:r>
          </w:p>
        </w:tc>
        <w:tc>
          <w:tcPr>
            <w:tcW w:w="1646" w:type="dxa"/>
            <w:tcBorders>
              <w:top w:val="single" w:sz="4" w:space="0" w:color="auto"/>
              <w:left w:val="nil"/>
              <w:bottom w:val="single" w:sz="4" w:space="0" w:color="auto"/>
              <w:right w:val="nil"/>
            </w:tcBorders>
            <w:shd w:val="clear" w:color="auto" w:fill="auto"/>
            <w:noWrap/>
            <w:vAlign w:val="bottom"/>
            <w:hideMark/>
          </w:tcPr>
          <w:p w14:paraId="59A3E63F" w14:textId="77777777" w:rsidR="004F77BE" w:rsidRPr="005873F4" w:rsidRDefault="004F77BE" w:rsidP="00E62F8F">
            <w:pPr>
              <w:rPr>
                <w:rFonts w:ascii="Arial" w:hAnsi="Arial" w:cs="Arial"/>
                <w:b/>
                <w:bCs/>
                <w:color w:val="000000"/>
                <w:sz w:val="19"/>
                <w:szCs w:val="19"/>
              </w:rPr>
            </w:pPr>
            <w:r w:rsidRPr="005873F4">
              <w:rPr>
                <w:rFonts w:ascii="Arial" w:hAnsi="Arial" w:cs="Arial"/>
                <w:b/>
                <w:bCs/>
                <w:color w:val="000000"/>
                <w:sz w:val="19"/>
                <w:szCs w:val="19"/>
              </w:rPr>
              <w:t>Manufacturing</w:t>
            </w:r>
          </w:p>
        </w:tc>
      </w:tr>
      <w:tr w:rsidR="004F77BE" w:rsidRPr="005873F4" w14:paraId="19AB6864" w14:textId="77777777" w:rsidTr="008076D5">
        <w:trPr>
          <w:trHeight w:val="57"/>
        </w:trPr>
        <w:tc>
          <w:tcPr>
            <w:tcW w:w="1809" w:type="dxa"/>
            <w:tcBorders>
              <w:top w:val="nil"/>
              <w:left w:val="nil"/>
              <w:bottom w:val="nil"/>
              <w:right w:val="nil"/>
            </w:tcBorders>
            <w:shd w:val="clear" w:color="auto" w:fill="auto"/>
            <w:noWrap/>
            <w:vAlign w:val="bottom"/>
            <w:hideMark/>
          </w:tcPr>
          <w:p w14:paraId="3DA14A68"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India</w:t>
            </w:r>
          </w:p>
        </w:tc>
        <w:tc>
          <w:tcPr>
            <w:tcW w:w="718" w:type="dxa"/>
            <w:tcBorders>
              <w:top w:val="nil"/>
              <w:left w:val="nil"/>
              <w:bottom w:val="nil"/>
              <w:right w:val="nil"/>
            </w:tcBorders>
            <w:shd w:val="clear" w:color="auto" w:fill="auto"/>
            <w:noWrap/>
            <w:vAlign w:val="bottom"/>
            <w:hideMark/>
          </w:tcPr>
          <w:p w14:paraId="6FB04FF8"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10</w:t>
            </w:r>
          </w:p>
        </w:tc>
        <w:tc>
          <w:tcPr>
            <w:tcW w:w="1125" w:type="dxa"/>
            <w:tcBorders>
              <w:top w:val="nil"/>
              <w:left w:val="nil"/>
              <w:bottom w:val="nil"/>
              <w:right w:val="nil"/>
            </w:tcBorders>
            <w:shd w:val="clear" w:color="auto" w:fill="auto"/>
            <w:noWrap/>
            <w:vAlign w:val="bottom"/>
            <w:hideMark/>
          </w:tcPr>
          <w:p w14:paraId="59F8D547"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3A1AEC1F"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China</w:t>
            </w:r>
          </w:p>
        </w:tc>
        <w:tc>
          <w:tcPr>
            <w:tcW w:w="1646" w:type="dxa"/>
            <w:tcBorders>
              <w:top w:val="nil"/>
              <w:left w:val="nil"/>
              <w:bottom w:val="nil"/>
              <w:right w:val="nil"/>
            </w:tcBorders>
            <w:shd w:val="clear" w:color="auto" w:fill="auto"/>
            <w:noWrap/>
            <w:vAlign w:val="bottom"/>
            <w:hideMark/>
          </w:tcPr>
          <w:p w14:paraId="35E1273F"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21</w:t>
            </w:r>
          </w:p>
        </w:tc>
      </w:tr>
      <w:tr w:rsidR="004F77BE" w:rsidRPr="005873F4" w14:paraId="4A6D0BEA" w14:textId="77777777" w:rsidTr="008076D5">
        <w:trPr>
          <w:trHeight w:val="67"/>
        </w:trPr>
        <w:tc>
          <w:tcPr>
            <w:tcW w:w="1809" w:type="dxa"/>
            <w:tcBorders>
              <w:top w:val="nil"/>
              <w:left w:val="nil"/>
              <w:bottom w:val="nil"/>
              <w:right w:val="nil"/>
            </w:tcBorders>
            <w:shd w:val="clear" w:color="auto" w:fill="auto"/>
            <w:noWrap/>
            <w:vAlign w:val="bottom"/>
            <w:hideMark/>
          </w:tcPr>
          <w:p w14:paraId="5FD08943" w14:textId="21A344D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U</w:t>
            </w:r>
            <w:r w:rsidR="001D224D">
              <w:rPr>
                <w:rFonts w:ascii="Arial" w:hAnsi="Arial" w:cs="Arial"/>
                <w:color w:val="000000"/>
                <w:sz w:val="19"/>
                <w:szCs w:val="19"/>
              </w:rPr>
              <w:t xml:space="preserve">nited </w:t>
            </w:r>
            <w:r w:rsidRPr="005873F4">
              <w:rPr>
                <w:rFonts w:ascii="Arial" w:hAnsi="Arial" w:cs="Arial"/>
                <w:color w:val="000000"/>
                <w:sz w:val="19"/>
                <w:szCs w:val="19"/>
              </w:rPr>
              <w:t>S</w:t>
            </w:r>
            <w:r w:rsidR="001D224D">
              <w:rPr>
                <w:rFonts w:ascii="Arial" w:hAnsi="Arial" w:cs="Arial"/>
                <w:color w:val="000000"/>
                <w:sz w:val="19"/>
                <w:szCs w:val="19"/>
              </w:rPr>
              <w:t>tates</w:t>
            </w:r>
          </w:p>
        </w:tc>
        <w:tc>
          <w:tcPr>
            <w:tcW w:w="718" w:type="dxa"/>
            <w:tcBorders>
              <w:top w:val="nil"/>
              <w:left w:val="nil"/>
              <w:bottom w:val="nil"/>
              <w:right w:val="nil"/>
            </w:tcBorders>
            <w:shd w:val="clear" w:color="auto" w:fill="auto"/>
            <w:noWrap/>
            <w:vAlign w:val="bottom"/>
            <w:hideMark/>
          </w:tcPr>
          <w:p w14:paraId="5E2EAD60"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7</w:t>
            </w:r>
          </w:p>
        </w:tc>
        <w:tc>
          <w:tcPr>
            <w:tcW w:w="1125" w:type="dxa"/>
            <w:tcBorders>
              <w:top w:val="nil"/>
              <w:left w:val="nil"/>
              <w:bottom w:val="nil"/>
              <w:right w:val="nil"/>
            </w:tcBorders>
            <w:shd w:val="clear" w:color="auto" w:fill="auto"/>
            <w:noWrap/>
            <w:vAlign w:val="bottom"/>
            <w:hideMark/>
          </w:tcPr>
          <w:p w14:paraId="3FBE1424"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7A1781DD"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India</w:t>
            </w:r>
          </w:p>
        </w:tc>
        <w:tc>
          <w:tcPr>
            <w:tcW w:w="1646" w:type="dxa"/>
            <w:tcBorders>
              <w:top w:val="nil"/>
              <w:left w:val="nil"/>
              <w:bottom w:val="nil"/>
              <w:right w:val="nil"/>
            </w:tcBorders>
            <w:shd w:val="clear" w:color="auto" w:fill="auto"/>
            <w:noWrap/>
            <w:vAlign w:val="bottom"/>
            <w:hideMark/>
          </w:tcPr>
          <w:p w14:paraId="72DE04DA"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18</w:t>
            </w:r>
          </w:p>
        </w:tc>
      </w:tr>
      <w:tr w:rsidR="004F77BE" w:rsidRPr="005873F4" w14:paraId="794F13F3" w14:textId="77777777" w:rsidTr="008076D5">
        <w:trPr>
          <w:trHeight w:val="67"/>
        </w:trPr>
        <w:tc>
          <w:tcPr>
            <w:tcW w:w="1809" w:type="dxa"/>
            <w:tcBorders>
              <w:top w:val="nil"/>
              <w:left w:val="nil"/>
              <w:bottom w:val="nil"/>
              <w:right w:val="nil"/>
            </w:tcBorders>
            <w:shd w:val="clear" w:color="auto" w:fill="auto"/>
            <w:noWrap/>
            <w:vAlign w:val="bottom"/>
            <w:hideMark/>
          </w:tcPr>
          <w:p w14:paraId="546EFF6D"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Russia</w:t>
            </w:r>
          </w:p>
        </w:tc>
        <w:tc>
          <w:tcPr>
            <w:tcW w:w="718" w:type="dxa"/>
            <w:tcBorders>
              <w:top w:val="nil"/>
              <w:left w:val="nil"/>
              <w:bottom w:val="nil"/>
              <w:right w:val="nil"/>
            </w:tcBorders>
            <w:shd w:val="clear" w:color="auto" w:fill="auto"/>
            <w:noWrap/>
            <w:vAlign w:val="bottom"/>
            <w:hideMark/>
          </w:tcPr>
          <w:p w14:paraId="4149D642"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5</w:t>
            </w:r>
          </w:p>
        </w:tc>
        <w:tc>
          <w:tcPr>
            <w:tcW w:w="1125" w:type="dxa"/>
            <w:tcBorders>
              <w:top w:val="nil"/>
              <w:left w:val="nil"/>
              <w:bottom w:val="nil"/>
              <w:right w:val="nil"/>
            </w:tcBorders>
            <w:shd w:val="clear" w:color="auto" w:fill="auto"/>
            <w:noWrap/>
            <w:vAlign w:val="bottom"/>
            <w:hideMark/>
          </w:tcPr>
          <w:p w14:paraId="48AD7DC3"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42BE8F3C" w14:textId="5D869AA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U</w:t>
            </w:r>
            <w:r w:rsidR="001D224D">
              <w:rPr>
                <w:rFonts w:ascii="Arial" w:hAnsi="Arial" w:cs="Arial"/>
                <w:color w:val="000000"/>
                <w:sz w:val="19"/>
                <w:szCs w:val="19"/>
              </w:rPr>
              <w:t xml:space="preserve">nited </w:t>
            </w:r>
            <w:r w:rsidRPr="005873F4">
              <w:rPr>
                <w:rFonts w:ascii="Arial" w:hAnsi="Arial" w:cs="Arial"/>
                <w:color w:val="000000"/>
                <w:sz w:val="19"/>
                <w:szCs w:val="19"/>
              </w:rPr>
              <w:t>S</w:t>
            </w:r>
            <w:r w:rsidR="001D224D">
              <w:rPr>
                <w:rFonts w:ascii="Arial" w:hAnsi="Arial" w:cs="Arial"/>
                <w:color w:val="000000"/>
                <w:sz w:val="19"/>
                <w:szCs w:val="19"/>
              </w:rPr>
              <w:t>tates</w:t>
            </w:r>
          </w:p>
        </w:tc>
        <w:tc>
          <w:tcPr>
            <w:tcW w:w="1646" w:type="dxa"/>
            <w:tcBorders>
              <w:top w:val="nil"/>
              <w:left w:val="nil"/>
              <w:bottom w:val="nil"/>
              <w:right w:val="nil"/>
            </w:tcBorders>
            <w:shd w:val="clear" w:color="auto" w:fill="auto"/>
            <w:noWrap/>
            <w:vAlign w:val="bottom"/>
            <w:hideMark/>
          </w:tcPr>
          <w:p w14:paraId="2389D221"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13</w:t>
            </w:r>
          </w:p>
        </w:tc>
      </w:tr>
      <w:tr w:rsidR="004F77BE" w:rsidRPr="005873F4" w14:paraId="0F067D76" w14:textId="77777777" w:rsidTr="008076D5">
        <w:trPr>
          <w:trHeight w:val="67"/>
        </w:trPr>
        <w:tc>
          <w:tcPr>
            <w:tcW w:w="1809" w:type="dxa"/>
            <w:tcBorders>
              <w:top w:val="nil"/>
              <w:left w:val="nil"/>
              <w:bottom w:val="nil"/>
              <w:right w:val="nil"/>
            </w:tcBorders>
            <w:shd w:val="clear" w:color="auto" w:fill="auto"/>
            <w:noWrap/>
            <w:vAlign w:val="bottom"/>
            <w:hideMark/>
          </w:tcPr>
          <w:p w14:paraId="69BD5AEB"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Western Europe</w:t>
            </w:r>
          </w:p>
        </w:tc>
        <w:tc>
          <w:tcPr>
            <w:tcW w:w="718" w:type="dxa"/>
            <w:tcBorders>
              <w:top w:val="nil"/>
              <w:left w:val="nil"/>
              <w:bottom w:val="nil"/>
              <w:right w:val="nil"/>
            </w:tcBorders>
            <w:shd w:val="clear" w:color="auto" w:fill="auto"/>
            <w:noWrap/>
            <w:vAlign w:val="bottom"/>
            <w:hideMark/>
          </w:tcPr>
          <w:p w14:paraId="2055DD23"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4</w:t>
            </w:r>
          </w:p>
        </w:tc>
        <w:tc>
          <w:tcPr>
            <w:tcW w:w="1125" w:type="dxa"/>
            <w:tcBorders>
              <w:top w:val="nil"/>
              <w:left w:val="nil"/>
              <w:bottom w:val="nil"/>
              <w:right w:val="nil"/>
            </w:tcBorders>
            <w:shd w:val="clear" w:color="auto" w:fill="auto"/>
            <w:noWrap/>
            <w:vAlign w:val="bottom"/>
            <w:hideMark/>
          </w:tcPr>
          <w:p w14:paraId="1911538C"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48BECE71"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Mexico</w:t>
            </w:r>
          </w:p>
        </w:tc>
        <w:tc>
          <w:tcPr>
            <w:tcW w:w="1646" w:type="dxa"/>
            <w:tcBorders>
              <w:top w:val="nil"/>
              <w:left w:val="nil"/>
              <w:bottom w:val="nil"/>
              <w:right w:val="nil"/>
            </w:tcBorders>
            <w:shd w:val="clear" w:color="auto" w:fill="auto"/>
            <w:noWrap/>
            <w:vAlign w:val="bottom"/>
            <w:hideMark/>
          </w:tcPr>
          <w:p w14:paraId="5B02A1D0"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8</w:t>
            </w:r>
          </w:p>
        </w:tc>
      </w:tr>
      <w:tr w:rsidR="004F77BE" w:rsidRPr="005873F4" w14:paraId="0592EA1D" w14:textId="77777777" w:rsidTr="008076D5">
        <w:trPr>
          <w:trHeight w:val="85"/>
        </w:trPr>
        <w:tc>
          <w:tcPr>
            <w:tcW w:w="1809" w:type="dxa"/>
            <w:tcBorders>
              <w:top w:val="nil"/>
              <w:left w:val="nil"/>
              <w:bottom w:val="nil"/>
              <w:right w:val="nil"/>
            </w:tcBorders>
            <w:shd w:val="clear" w:color="auto" w:fill="auto"/>
            <w:noWrap/>
            <w:vAlign w:val="bottom"/>
            <w:hideMark/>
          </w:tcPr>
          <w:p w14:paraId="0707C3A1" w14:textId="551F58C3"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U</w:t>
            </w:r>
            <w:r w:rsidR="001D224D">
              <w:rPr>
                <w:rFonts w:ascii="Arial" w:hAnsi="Arial" w:cs="Arial"/>
                <w:color w:val="000000"/>
                <w:sz w:val="19"/>
                <w:szCs w:val="19"/>
              </w:rPr>
              <w:t xml:space="preserve">nited </w:t>
            </w:r>
            <w:r w:rsidRPr="005873F4">
              <w:rPr>
                <w:rFonts w:ascii="Arial" w:hAnsi="Arial" w:cs="Arial"/>
                <w:color w:val="000000"/>
                <w:sz w:val="19"/>
                <w:szCs w:val="19"/>
              </w:rPr>
              <w:t>K</w:t>
            </w:r>
            <w:r w:rsidR="001D224D">
              <w:rPr>
                <w:rFonts w:ascii="Arial" w:hAnsi="Arial" w:cs="Arial"/>
                <w:color w:val="000000"/>
                <w:sz w:val="19"/>
                <w:szCs w:val="19"/>
              </w:rPr>
              <w:t>ingdom</w:t>
            </w:r>
          </w:p>
        </w:tc>
        <w:tc>
          <w:tcPr>
            <w:tcW w:w="718" w:type="dxa"/>
            <w:tcBorders>
              <w:top w:val="nil"/>
              <w:left w:val="nil"/>
              <w:bottom w:val="nil"/>
              <w:right w:val="nil"/>
            </w:tcBorders>
            <w:shd w:val="clear" w:color="auto" w:fill="auto"/>
            <w:noWrap/>
            <w:vAlign w:val="bottom"/>
            <w:hideMark/>
          </w:tcPr>
          <w:p w14:paraId="4FE8ADF6"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4</w:t>
            </w:r>
          </w:p>
        </w:tc>
        <w:tc>
          <w:tcPr>
            <w:tcW w:w="1125" w:type="dxa"/>
            <w:tcBorders>
              <w:top w:val="nil"/>
              <w:left w:val="nil"/>
              <w:bottom w:val="nil"/>
              <w:right w:val="nil"/>
            </w:tcBorders>
            <w:shd w:val="clear" w:color="auto" w:fill="auto"/>
            <w:noWrap/>
            <w:vAlign w:val="bottom"/>
            <w:hideMark/>
          </w:tcPr>
          <w:p w14:paraId="2C66923B"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7604AF6E"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Russia</w:t>
            </w:r>
          </w:p>
        </w:tc>
        <w:tc>
          <w:tcPr>
            <w:tcW w:w="1646" w:type="dxa"/>
            <w:tcBorders>
              <w:top w:val="nil"/>
              <w:left w:val="nil"/>
              <w:bottom w:val="nil"/>
              <w:right w:val="nil"/>
            </w:tcBorders>
            <w:shd w:val="clear" w:color="auto" w:fill="auto"/>
            <w:noWrap/>
            <w:vAlign w:val="bottom"/>
            <w:hideMark/>
          </w:tcPr>
          <w:p w14:paraId="2CCB1289"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7</w:t>
            </w:r>
          </w:p>
        </w:tc>
      </w:tr>
      <w:tr w:rsidR="004F77BE" w:rsidRPr="005873F4" w14:paraId="34541798" w14:textId="77777777" w:rsidTr="008076D5">
        <w:trPr>
          <w:trHeight w:val="157"/>
        </w:trPr>
        <w:tc>
          <w:tcPr>
            <w:tcW w:w="1809" w:type="dxa"/>
            <w:tcBorders>
              <w:top w:val="nil"/>
              <w:left w:val="nil"/>
              <w:bottom w:val="nil"/>
              <w:right w:val="nil"/>
            </w:tcBorders>
            <w:shd w:val="clear" w:color="auto" w:fill="auto"/>
            <w:noWrap/>
            <w:vAlign w:val="bottom"/>
            <w:hideMark/>
          </w:tcPr>
          <w:p w14:paraId="702C13ED" w14:textId="4F8777CA"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C</w:t>
            </w:r>
            <w:r w:rsidR="008D1A70">
              <w:rPr>
                <w:rFonts w:ascii="Arial" w:hAnsi="Arial" w:cs="Arial"/>
                <w:color w:val="000000"/>
                <w:sz w:val="19"/>
                <w:szCs w:val="19"/>
              </w:rPr>
              <w:t>entral and Eastern Europe</w:t>
            </w:r>
          </w:p>
        </w:tc>
        <w:tc>
          <w:tcPr>
            <w:tcW w:w="718" w:type="dxa"/>
            <w:tcBorders>
              <w:top w:val="nil"/>
              <w:left w:val="nil"/>
              <w:bottom w:val="nil"/>
              <w:right w:val="nil"/>
            </w:tcBorders>
            <w:shd w:val="clear" w:color="auto" w:fill="auto"/>
            <w:noWrap/>
            <w:vAlign w:val="bottom"/>
            <w:hideMark/>
          </w:tcPr>
          <w:p w14:paraId="6605708B"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3</w:t>
            </w:r>
          </w:p>
        </w:tc>
        <w:tc>
          <w:tcPr>
            <w:tcW w:w="1125" w:type="dxa"/>
            <w:tcBorders>
              <w:top w:val="nil"/>
              <w:left w:val="nil"/>
              <w:bottom w:val="nil"/>
              <w:right w:val="nil"/>
            </w:tcBorders>
            <w:shd w:val="clear" w:color="auto" w:fill="auto"/>
            <w:noWrap/>
            <w:vAlign w:val="bottom"/>
            <w:hideMark/>
          </w:tcPr>
          <w:p w14:paraId="79BB71AA"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2704798D"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Middle East</w:t>
            </w:r>
          </w:p>
        </w:tc>
        <w:tc>
          <w:tcPr>
            <w:tcW w:w="1646" w:type="dxa"/>
            <w:tcBorders>
              <w:top w:val="nil"/>
              <w:left w:val="nil"/>
              <w:bottom w:val="nil"/>
              <w:right w:val="nil"/>
            </w:tcBorders>
            <w:shd w:val="clear" w:color="auto" w:fill="auto"/>
            <w:noWrap/>
            <w:vAlign w:val="bottom"/>
            <w:hideMark/>
          </w:tcPr>
          <w:p w14:paraId="71B7D430"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6</w:t>
            </w:r>
          </w:p>
        </w:tc>
      </w:tr>
      <w:tr w:rsidR="004F77BE" w:rsidRPr="005873F4" w14:paraId="07210D24" w14:textId="77777777" w:rsidTr="008076D5">
        <w:trPr>
          <w:trHeight w:val="67"/>
        </w:trPr>
        <w:tc>
          <w:tcPr>
            <w:tcW w:w="1809" w:type="dxa"/>
            <w:tcBorders>
              <w:top w:val="nil"/>
              <w:left w:val="nil"/>
              <w:bottom w:val="nil"/>
              <w:right w:val="nil"/>
            </w:tcBorders>
            <w:shd w:val="clear" w:color="auto" w:fill="auto"/>
            <w:noWrap/>
            <w:vAlign w:val="bottom"/>
            <w:hideMark/>
          </w:tcPr>
          <w:p w14:paraId="1919FA43"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 xml:space="preserve">China </w:t>
            </w:r>
          </w:p>
        </w:tc>
        <w:tc>
          <w:tcPr>
            <w:tcW w:w="718" w:type="dxa"/>
            <w:tcBorders>
              <w:top w:val="nil"/>
              <w:left w:val="nil"/>
              <w:bottom w:val="nil"/>
              <w:right w:val="nil"/>
            </w:tcBorders>
            <w:shd w:val="clear" w:color="auto" w:fill="auto"/>
            <w:noWrap/>
            <w:vAlign w:val="bottom"/>
            <w:hideMark/>
          </w:tcPr>
          <w:p w14:paraId="14A2A03A"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w:t>
            </w:r>
          </w:p>
        </w:tc>
        <w:tc>
          <w:tcPr>
            <w:tcW w:w="1125" w:type="dxa"/>
            <w:tcBorders>
              <w:top w:val="nil"/>
              <w:left w:val="nil"/>
              <w:bottom w:val="nil"/>
              <w:right w:val="nil"/>
            </w:tcBorders>
            <w:shd w:val="clear" w:color="auto" w:fill="auto"/>
            <w:noWrap/>
            <w:vAlign w:val="bottom"/>
            <w:hideMark/>
          </w:tcPr>
          <w:p w14:paraId="3DE99A47"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45D05B07" w14:textId="4CF38658"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U</w:t>
            </w:r>
            <w:r w:rsidR="001D224D">
              <w:rPr>
                <w:rFonts w:ascii="Arial" w:hAnsi="Arial" w:cs="Arial"/>
                <w:color w:val="000000"/>
                <w:sz w:val="19"/>
                <w:szCs w:val="19"/>
              </w:rPr>
              <w:t xml:space="preserve">nited </w:t>
            </w:r>
            <w:r w:rsidRPr="005873F4">
              <w:rPr>
                <w:rFonts w:ascii="Arial" w:hAnsi="Arial" w:cs="Arial"/>
                <w:color w:val="000000"/>
                <w:sz w:val="19"/>
                <w:szCs w:val="19"/>
              </w:rPr>
              <w:t>K</w:t>
            </w:r>
            <w:r w:rsidR="001D224D">
              <w:rPr>
                <w:rFonts w:ascii="Arial" w:hAnsi="Arial" w:cs="Arial"/>
                <w:color w:val="000000"/>
                <w:sz w:val="19"/>
                <w:szCs w:val="19"/>
              </w:rPr>
              <w:t>ingdom</w:t>
            </w:r>
          </w:p>
        </w:tc>
        <w:tc>
          <w:tcPr>
            <w:tcW w:w="1646" w:type="dxa"/>
            <w:tcBorders>
              <w:top w:val="nil"/>
              <w:left w:val="nil"/>
              <w:bottom w:val="nil"/>
              <w:right w:val="nil"/>
            </w:tcBorders>
            <w:shd w:val="clear" w:color="auto" w:fill="auto"/>
            <w:noWrap/>
            <w:vAlign w:val="bottom"/>
            <w:hideMark/>
          </w:tcPr>
          <w:p w14:paraId="6540EF16"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4</w:t>
            </w:r>
          </w:p>
        </w:tc>
      </w:tr>
      <w:tr w:rsidR="004F77BE" w:rsidRPr="005873F4" w14:paraId="75D8CEE7" w14:textId="77777777" w:rsidTr="008076D5">
        <w:trPr>
          <w:trHeight w:val="130"/>
        </w:trPr>
        <w:tc>
          <w:tcPr>
            <w:tcW w:w="1809" w:type="dxa"/>
            <w:tcBorders>
              <w:top w:val="nil"/>
              <w:left w:val="nil"/>
              <w:bottom w:val="nil"/>
              <w:right w:val="nil"/>
            </w:tcBorders>
            <w:shd w:val="clear" w:color="auto" w:fill="auto"/>
            <w:noWrap/>
            <w:vAlign w:val="bottom"/>
            <w:hideMark/>
          </w:tcPr>
          <w:p w14:paraId="1A01D202"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 xml:space="preserve">Mexico </w:t>
            </w:r>
          </w:p>
        </w:tc>
        <w:tc>
          <w:tcPr>
            <w:tcW w:w="718" w:type="dxa"/>
            <w:tcBorders>
              <w:top w:val="nil"/>
              <w:left w:val="nil"/>
              <w:bottom w:val="nil"/>
              <w:right w:val="nil"/>
            </w:tcBorders>
            <w:shd w:val="clear" w:color="auto" w:fill="auto"/>
            <w:noWrap/>
            <w:vAlign w:val="bottom"/>
            <w:hideMark/>
          </w:tcPr>
          <w:p w14:paraId="52E2457B"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w:t>
            </w:r>
          </w:p>
        </w:tc>
        <w:tc>
          <w:tcPr>
            <w:tcW w:w="1125" w:type="dxa"/>
            <w:tcBorders>
              <w:top w:val="nil"/>
              <w:left w:val="nil"/>
              <w:bottom w:val="nil"/>
              <w:right w:val="nil"/>
            </w:tcBorders>
            <w:shd w:val="clear" w:color="auto" w:fill="auto"/>
            <w:noWrap/>
            <w:vAlign w:val="bottom"/>
            <w:hideMark/>
          </w:tcPr>
          <w:p w14:paraId="4D9066B6"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37C12497"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Western Europe</w:t>
            </w:r>
          </w:p>
        </w:tc>
        <w:tc>
          <w:tcPr>
            <w:tcW w:w="1646" w:type="dxa"/>
            <w:tcBorders>
              <w:top w:val="nil"/>
              <w:left w:val="nil"/>
              <w:bottom w:val="nil"/>
              <w:right w:val="nil"/>
            </w:tcBorders>
            <w:shd w:val="clear" w:color="auto" w:fill="auto"/>
            <w:noWrap/>
            <w:vAlign w:val="bottom"/>
            <w:hideMark/>
          </w:tcPr>
          <w:p w14:paraId="07A591D8"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4</w:t>
            </w:r>
          </w:p>
        </w:tc>
      </w:tr>
      <w:tr w:rsidR="004F77BE" w:rsidRPr="005873F4" w14:paraId="43C3E604" w14:textId="77777777" w:rsidTr="008076D5">
        <w:trPr>
          <w:trHeight w:val="112"/>
        </w:trPr>
        <w:tc>
          <w:tcPr>
            <w:tcW w:w="1809" w:type="dxa"/>
            <w:tcBorders>
              <w:top w:val="nil"/>
              <w:left w:val="nil"/>
              <w:bottom w:val="nil"/>
              <w:right w:val="nil"/>
            </w:tcBorders>
            <w:shd w:val="clear" w:color="auto" w:fill="auto"/>
            <w:noWrap/>
            <w:vAlign w:val="bottom"/>
            <w:hideMark/>
          </w:tcPr>
          <w:p w14:paraId="1986600B"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Middle East</w:t>
            </w:r>
          </w:p>
        </w:tc>
        <w:tc>
          <w:tcPr>
            <w:tcW w:w="718" w:type="dxa"/>
            <w:tcBorders>
              <w:top w:val="nil"/>
              <w:left w:val="nil"/>
              <w:bottom w:val="nil"/>
              <w:right w:val="nil"/>
            </w:tcBorders>
            <w:shd w:val="clear" w:color="auto" w:fill="auto"/>
            <w:noWrap/>
            <w:vAlign w:val="bottom"/>
            <w:hideMark/>
          </w:tcPr>
          <w:p w14:paraId="531F3DAB"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w:t>
            </w:r>
          </w:p>
        </w:tc>
        <w:tc>
          <w:tcPr>
            <w:tcW w:w="1125" w:type="dxa"/>
            <w:tcBorders>
              <w:top w:val="nil"/>
              <w:left w:val="nil"/>
              <w:bottom w:val="nil"/>
              <w:right w:val="nil"/>
            </w:tcBorders>
            <w:shd w:val="clear" w:color="auto" w:fill="auto"/>
            <w:noWrap/>
            <w:vAlign w:val="bottom"/>
            <w:hideMark/>
          </w:tcPr>
          <w:p w14:paraId="708DA162"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04752BC2" w14:textId="1B0B5308" w:rsidR="004F77BE" w:rsidRPr="005873F4" w:rsidRDefault="008D1A70" w:rsidP="00E62F8F">
            <w:pPr>
              <w:rPr>
                <w:rFonts w:ascii="Arial" w:hAnsi="Arial" w:cs="Arial"/>
                <w:color w:val="000000"/>
                <w:sz w:val="19"/>
                <w:szCs w:val="19"/>
              </w:rPr>
            </w:pPr>
            <w:r w:rsidRPr="005873F4">
              <w:rPr>
                <w:rFonts w:ascii="Arial" w:hAnsi="Arial" w:cs="Arial"/>
                <w:color w:val="000000"/>
                <w:sz w:val="19"/>
                <w:szCs w:val="19"/>
              </w:rPr>
              <w:t>C</w:t>
            </w:r>
            <w:r>
              <w:rPr>
                <w:rFonts w:ascii="Arial" w:hAnsi="Arial" w:cs="Arial"/>
                <w:color w:val="000000"/>
                <w:sz w:val="19"/>
                <w:szCs w:val="19"/>
              </w:rPr>
              <w:t>entral and Eastern Europe</w:t>
            </w:r>
          </w:p>
        </w:tc>
        <w:tc>
          <w:tcPr>
            <w:tcW w:w="1646" w:type="dxa"/>
            <w:tcBorders>
              <w:top w:val="nil"/>
              <w:left w:val="nil"/>
              <w:bottom w:val="nil"/>
              <w:right w:val="nil"/>
            </w:tcBorders>
            <w:shd w:val="clear" w:color="auto" w:fill="auto"/>
            <w:noWrap/>
            <w:vAlign w:val="bottom"/>
            <w:hideMark/>
          </w:tcPr>
          <w:p w14:paraId="1E1C6E65"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3</w:t>
            </w:r>
          </w:p>
        </w:tc>
      </w:tr>
      <w:tr w:rsidR="004F77BE" w:rsidRPr="005873F4" w14:paraId="1522DDBC" w14:textId="77777777" w:rsidTr="008076D5">
        <w:trPr>
          <w:trHeight w:val="94"/>
        </w:trPr>
        <w:tc>
          <w:tcPr>
            <w:tcW w:w="1809" w:type="dxa"/>
            <w:tcBorders>
              <w:top w:val="nil"/>
              <w:left w:val="nil"/>
              <w:bottom w:val="nil"/>
              <w:right w:val="nil"/>
            </w:tcBorders>
            <w:shd w:val="clear" w:color="auto" w:fill="auto"/>
            <w:noWrap/>
            <w:vAlign w:val="bottom"/>
            <w:hideMark/>
          </w:tcPr>
          <w:p w14:paraId="4D5C12AD"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South Korea</w:t>
            </w:r>
          </w:p>
        </w:tc>
        <w:tc>
          <w:tcPr>
            <w:tcW w:w="718" w:type="dxa"/>
            <w:tcBorders>
              <w:top w:val="nil"/>
              <w:left w:val="nil"/>
              <w:bottom w:val="nil"/>
              <w:right w:val="nil"/>
            </w:tcBorders>
            <w:shd w:val="clear" w:color="auto" w:fill="auto"/>
            <w:noWrap/>
            <w:vAlign w:val="bottom"/>
            <w:hideMark/>
          </w:tcPr>
          <w:p w14:paraId="60454DEA"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w:t>
            </w:r>
          </w:p>
        </w:tc>
        <w:tc>
          <w:tcPr>
            <w:tcW w:w="1125" w:type="dxa"/>
            <w:tcBorders>
              <w:top w:val="nil"/>
              <w:left w:val="nil"/>
              <w:bottom w:val="nil"/>
              <w:right w:val="nil"/>
            </w:tcBorders>
            <w:shd w:val="clear" w:color="auto" w:fill="auto"/>
            <w:noWrap/>
            <w:vAlign w:val="bottom"/>
            <w:hideMark/>
          </w:tcPr>
          <w:p w14:paraId="5DCAE665"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4BF5891B"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North Africa</w:t>
            </w:r>
          </w:p>
        </w:tc>
        <w:tc>
          <w:tcPr>
            <w:tcW w:w="1646" w:type="dxa"/>
            <w:tcBorders>
              <w:top w:val="nil"/>
              <w:left w:val="nil"/>
              <w:bottom w:val="nil"/>
              <w:right w:val="nil"/>
            </w:tcBorders>
            <w:shd w:val="clear" w:color="auto" w:fill="auto"/>
            <w:noWrap/>
            <w:vAlign w:val="bottom"/>
            <w:hideMark/>
          </w:tcPr>
          <w:p w14:paraId="2599B78A"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3</w:t>
            </w:r>
          </w:p>
        </w:tc>
      </w:tr>
      <w:tr w:rsidR="004F77BE" w:rsidRPr="005873F4" w14:paraId="32BC95CC" w14:textId="77777777" w:rsidTr="008076D5">
        <w:trPr>
          <w:trHeight w:val="85"/>
        </w:trPr>
        <w:tc>
          <w:tcPr>
            <w:tcW w:w="1809" w:type="dxa"/>
            <w:tcBorders>
              <w:top w:val="nil"/>
              <w:left w:val="nil"/>
              <w:bottom w:val="nil"/>
              <w:right w:val="nil"/>
            </w:tcBorders>
            <w:shd w:val="clear" w:color="auto" w:fill="auto"/>
            <w:noWrap/>
            <w:vAlign w:val="bottom"/>
            <w:hideMark/>
          </w:tcPr>
          <w:p w14:paraId="75A13C67"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North Africa</w:t>
            </w:r>
          </w:p>
        </w:tc>
        <w:tc>
          <w:tcPr>
            <w:tcW w:w="718" w:type="dxa"/>
            <w:tcBorders>
              <w:top w:val="nil"/>
              <w:left w:val="nil"/>
              <w:bottom w:val="nil"/>
              <w:right w:val="nil"/>
            </w:tcBorders>
            <w:shd w:val="clear" w:color="auto" w:fill="auto"/>
            <w:noWrap/>
            <w:vAlign w:val="bottom"/>
            <w:hideMark/>
          </w:tcPr>
          <w:p w14:paraId="459723B8"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1</w:t>
            </w:r>
          </w:p>
        </w:tc>
        <w:tc>
          <w:tcPr>
            <w:tcW w:w="1125" w:type="dxa"/>
            <w:tcBorders>
              <w:top w:val="nil"/>
              <w:left w:val="nil"/>
              <w:bottom w:val="nil"/>
              <w:right w:val="nil"/>
            </w:tcBorders>
            <w:shd w:val="clear" w:color="auto" w:fill="auto"/>
            <w:noWrap/>
            <w:vAlign w:val="bottom"/>
            <w:hideMark/>
          </w:tcPr>
          <w:p w14:paraId="52421DB0" w14:textId="77777777" w:rsidR="004F77BE" w:rsidRPr="005873F4" w:rsidRDefault="004F77BE" w:rsidP="00E62F8F">
            <w:pPr>
              <w:rPr>
                <w:rFonts w:ascii="Arial" w:hAnsi="Arial" w:cs="Arial"/>
                <w:color w:val="000000"/>
                <w:sz w:val="19"/>
                <w:szCs w:val="19"/>
              </w:rPr>
            </w:pPr>
          </w:p>
        </w:tc>
        <w:tc>
          <w:tcPr>
            <w:tcW w:w="1842" w:type="dxa"/>
            <w:tcBorders>
              <w:top w:val="nil"/>
              <w:left w:val="nil"/>
              <w:bottom w:val="nil"/>
              <w:right w:val="nil"/>
            </w:tcBorders>
            <w:shd w:val="clear" w:color="auto" w:fill="auto"/>
            <w:noWrap/>
            <w:vAlign w:val="bottom"/>
            <w:hideMark/>
          </w:tcPr>
          <w:p w14:paraId="4D79CC97"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South Korea</w:t>
            </w:r>
          </w:p>
        </w:tc>
        <w:tc>
          <w:tcPr>
            <w:tcW w:w="1646" w:type="dxa"/>
            <w:tcBorders>
              <w:top w:val="nil"/>
              <w:left w:val="nil"/>
              <w:bottom w:val="nil"/>
              <w:right w:val="nil"/>
            </w:tcBorders>
            <w:shd w:val="clear" w:color="auto" w:fill="auto"/>
            <w:noWrap/>
            <w:vAlign w:val="bottom"/>
            <w:hideMark/>
          </w:tcPr>
          <w:p w14:paraId="54AAAD06"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w:t>
            </w:r>
          </w:p>
        </w:tc>
      </w:tr>
      <w:tr w:rsidR="004F77BE" w:rsidRPr="005873F4" w14:paraId="2BAEC32B" w14:textId="77777777" w:rsidTr="008076D5">
        <w:trPr>
          <w:trHeight w:val="67"/>
        </w:trPr>
        <w:tc>
          <w:tcPr>
            <w:tcW w:w="1809" w:type="dxa"/>
            <w:tcBorders>
              <w:top w:val="nil"/>
              <w:left w:val="nil"/>
              <w:bottom w:val="single" w:sz="4" w:space="0" w:color="auto"/>
              <w:right w:val="nil"/>
            </w:tcBorders>
            <w:shd w:val="clear" w:color="auto" w:fill="auto"/>
            <w:noWrap/>
            <w:vAlign w:val="bottom"/>
            <w:hideMark/>
          </w:tcPr>
          <w:p w14:paraId="07CB8C0E"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Others</w:t>
            </w:r>
          </w:p>
        </w:tc>
        <w:tc>
          <w:tcPr>
            <w:tcW w:w="718" w:type="dxa"/>
            <w:tcBorders>
              <w:top w:val="nil"/>
              <w:left w:val="nil"/>
              <w:bottom w:val="single" w:sz="4" w:space="0" w:color="auto"/>
              <w:right w:val="nil"/>
            </w:tcBorders>
            <w:shd w:val="clear" w:color="auto" w:fill="auto"/>
            <w:noWrap/>
            <w:vAlign w:val="bottom"/>
            <w:hideMark/>
          </w:tcPr>
          <w:p w14:paraId="26C89981"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2</w:t>
            </w:r>
          </w:p>
        </w:tc>
        <w:tc>
          <w:tcPr>
            <w:tcW w:w="1125" w:type="dxa"/>
            <w:tcBorders>
              <w:top w:val="nil"/>
              <w:left w:val="nil"/>
              <w:bottom w:val="nil"/>
              <w:right w:val="nil"/>
            </w:tcBorders>
            <w:shd w:val="clear" w:color="auto" w:fill="auto"/>
            <w:noWrap/>
            <w:vAlign w:val="bottom"/>
            <w:hideMark/>
          </w:tcPr>
          <w:p w14:paraId="78B5A7FA" w14:textId="77777777" w:rsidR="004F77BE" w:rsidRPr="005873F4" w:rsidRDefault="004F77BE" w:rsidP="00E62F8F">
            <w:pPr>
              <w:rPr>
                <w:rFonts w:ascii="Arial" w:hAnsi="Arial" w:cs="Arial"/>
                <w:color w:val="000000"/>
                <w:sz w:val="19"/>
                <w:szCs w:val="19"/>
              </w:rPr>
            </w:pPr>
          </w:p>
        </w:tc>
        <w:tc>
          <w:tcPr>
            <w:tcW w:w="1842" w:type="dxa"/>
            <w:tcBorders>
              <w:top w:val="nil"/>
              <w:left w:val="nil"/>
              <w:bottom w:val="single" w:sz="4" w:space="0" w:color="auto"/>
              <w:right w:val="nil"/>
            </w:tcBorders>
            <w:shd w:val="clear" w:color="auto" w:fill="auto"/>
            <w:noWrap/>
            <w:vAlign w:val="bottom"/>
            <w:hideMark/>
          </w:tcPr>
          <w:p w14:paraId="6BFA11E9" w14:textId="77777777" w:rsidR="004F77BE" w:rsidRPr="005873F4" w:rsidRDefault="004F77BE" w:rsidP="00E62F8F">
            <w:pPr>
              <w:rPr>
                <w:rFonts w:ascii="Arial" w:hAnsi="Arial" w:cs="Arial"/>
                <w:color w:val="000000"/>
                <w:sz w:val="19"/>
                <w:szCs w:val="19"/>
              </w:rPr>
            </w:pPr>
            <w:r w:rsidRPr="005873F4">
              <w:rPr>
                <w:rFonts w:ascii="Arial" w:hAnsi="Arial" w:cs="Arial"/>
                <w:color w:val="000000"/>
                <w:sz w:val="19"/>
                <w:szCs w:val="19"/>
              </w:rPr>
              <w:t>Other</w:t>
            </w:r>
          </w:p>
        </w:tc>
        <w:tc>
          <w:tcPr>
            <w:tcW w:w="1646" w:type="dxa"/>
            <w:tcBorders>
              <w:top w:val="nil"/>
              <w:left w:val="nil"/>
              <w:bottom w:val="single" w:sz="4" w:space="0" w:color="auto"/>
              <w:right w:val="nil"/>
            </w:tcBorders>
            <w:shd w:val="clear" w:color="auto" w:fill="auto"/>
            <w:noWrap/>
            <w:vAlign w:val="bottom"/>
            <w:hideMark/>
          </w:tcPr>
          <w:p w14:paraId="738E0DA7" w14:textId="77777777" w:rsidR="004F77BE" w:rsidRPr="005873F4" w:rsidRDefault="004F77BE" w:rsidP="00E62F8F">
            <w:pPr>
              <w:jc w:val="right"/>
              <w:rPr>
                <w:rFonts w:ascii="Arial" w:hAnsi="Arial" w:cs="Arial"/>
                <w:color w:val="000000"/>
                <w:sz w:val="19"/>
                <w:szCs w:val="19"/>
              </w:rPr>
            </w:pPr>
            <w:r w:rsidRPr="005873F4">
              <w:rPr>
                <w:rFonts w:ascii="Arial" w:hAnsi="Arial" w:cs="Arial"/>
                <w:color w:val="000000"/>
                <w:sz w:val="19"/>
                <w:szCs w:val="19"/>
              </w:rPr>
              <w:t>4</w:t>
            </w:r>
          </w:p>
        </w:tc>
      </w:tr>
      <w:tr w:rsidR="004F77BE" w:rsidRPr="005873F4" w14:paraId="3E9B3EBA" w14:textId="77777777" w:rsidTr="008076D5">
        <w:trPr>
          <w:trHeight w:val="129"/>
        </w:trPr>
        <w:tc>
          <w:tcPr>
            <w:tcW w:w="1809" w:type="dxa"/>
            <w:tcBorders>
              <w:top w:val="nil"/>
              <w:left w:val="nil"/>
              <w:bottom w:val="single" w:sz="4" w:space="0" w:color="auto"/>
              <w:right w:val="nil"/>
            </w:tcBorders>
            <w:shd w:val="clear" w:color="auto" w:fill="auto"/>
            <w:noWrap/>
            <w:vAlign w:val="bottom"/>
            <w:hideMark/>
          </w:tcPr>
          <w:p w14:paraId="6A821A11" w14:textId="77777777" w:rsidR="004F77BE" w:rsidRPr="005873F4" w:rsidRDefault="004F77BE" w:rsidP="00E62F8F">
            <w:pPr>
              <w:rPr>
                <w:rFonts w:ascii="Arial" w:hAnsi="Arial" w:cs="Arial"/>
                <w:b/>
                <w:color w:val="000000"/>
                <w:sz w:val="19"/>
                <w:szCs w:val="19"/>
              </w:rPr>
            </w:pPr>
            <w:r w:rsidRPr="005873F4">
              <w:rPr>
                <w:rFonts w:ascii="Arial" w:hAnsi="Arial" w:cs="Arial"/>
                <w:b/>
                <w:color w:val="000000"/>
                <w:sz w:val="19"/>
                <w:szCs w:val="19"/>
              </w:rPr>
              <w:t>Total</w:t>
            </w:r>
          </w:p>
        </w:tc>
        <w:tc>
          <w:tcPr>
            <w:tcW w:w="718" w:type="dxa"/>
            <w:tcBorders>
              <w:top w:val="nil"/>
              <w:left w:val="nil"/>
              <w:bottom w:val="single" w:sz="4" w:space="0" w:color="auto"/>
              <w:right w:val="nil"/>
            </w:tcBorders>
            <w:shd w:val="clear" w:color="auto" w:fill="auto"/>
            <w:noWrap/>
            <w:vAlign w:val="bottom"/>
            <w:hideMark/>
          </w:tcPr>
          <w:p w14:paraId="1C2EE907" w14:textId="77777777" w:rsidR="004F77BE" w:rsidRPr="005873F4" w:rsidRDefault="004F77BE" w:rsidP="00E62F8F">
            <w:pPr>
              <w:jc w:val="right"/>
              <w:rPr>
                <w:rFonts w:ascii="Arial" w:hAnsi="Arial" w:cs="Arial"/>
                <w:b/>
                <w:color w:val="000000"/>
                <w:sz w:val="19"/>
                <w:szCs w:val="19"/>
              </w:rPr>
            </w:pPr>
            <w:r w:rsidRPr="005873F4">
              <w:rPr>
                <w:rFonts w:ascii="Arial" w:hAnsi="Arial" w:cs="Arial"/>
                <w:b/>
                <w:color w:val="000000"/>
                <w:sz w:val="19"/>
                <w:szCs w:val="19"/>
              </w:rPr>
              <w:t>44</w:t>
            </w:r>
          </w:p>
        </w:tc>
        <w:tc>
          <w:tcPr>
            <w:tcW w:w="1125" w:type="dxa"/>
            <w:tcBorders>
              <w:top w:val="nil"/>
              <w:left w:val="nil"/>
              <w:bottom w:val="nil"/>
              <w:right w:val="nil"/>
            </w:tcBorders>
            <w:shd w:val="clear" w:color="auto" w:fill="auto"/>
            <w:noWrap/>
            <w:vAlign w:val="bottom"/>
            <w:hideMark/>
          </w:tcPr>
          <w:p w14:paraId="4EAE65C4" w14:textId="77777777" w:rsidR="004F77BE" w:rsidRPr="005873F4" w:rsidRDefault="004F77BE" w:rsidP="00E62F8F">
            <w:pPr>
              <w:rPr>
                <w:rFonts w:ascii="Arial" w:hAnsi="Arial" w:cs="Arial"/>
                <w:b/>
                <w:color w:val="000000"/>
                <w:sz w:val="19"/>
                <w:szCs w:val="19"/>
              </w:rPr>
            </w:pPr>
          </w:p>
        </w:tc>
        <w:tc>
          <w:tcPr>
            <w:tcW w:w="1842" w:type="dxa"/>
            <w:tcBorders>
              <w:top w:val="nil"/>
              <w:left w:val="nil"/>
              <w:bottom w:val="single" w:sz="4" w:space="0" w:color="auto"/>
              <w:right w:val="nil"/>
            </w:tcBorders>
            <w:shd w:val="clear" w:color="auto" w:fill="auto"/>
            <w:noWrap/>
            <w:vAlign w:val="bottom"/>
            <w:hideMark/>
          </w:tcPr>
          <w:p w14:paraId="13830133" w14:textId="77777777" w:rsidR="004F77BE" w:rsidRPr="005873F4" w:rsidRDefault="004F77BE" w:rsidP="00E62F8F">
            <w:pPr>
              <w:rPr>
                <w:rFonts w:ascii="Arial" w:hAnsi="Arial" w:cs="Arial"/>
                <w:b/>
                <w:color w:val="000000"/>
                <w:sz w:val="19"/>
                <w:szCs w:val="19"/>
              </w:rPr>
            </w:pPr>
            <w:r w:rsidRPr="005873F4">
              <w:rPr>
                <w:rFonts w:ascii="Arial" w:hAnsi="Arial" w:cs="Arial"/>
                <w:b/>
                <w:color w:val="000000"/>
                <w:sz w:val="19"/>
                <w:szCs w:val="19"/>
              </w:rPr>
              <w:t>Total</w:t>
            </w:r>
          </w:p>
        </w:tc>
        <w:tc>
          <w:tcPr>
            <w:tcW w:w="1646" w:type="dxa"/>
            <w:tcBorders>
              <w:top w:val="nil"/>
              <w:left w:val="nil"/>
              <w:bottom w:val="single" w:sz="4" w:space="0" w:color="auto"/>
              <w:right w:val="nil"/>
            </w:tcBorders>
            <w:shd w:val="clear" w:color="auto" w:fill="auto"/>
            <w:noWrap/>
            <w:vAlign w:val="bottom"/>
            <w:hideMark/>
          </w:tcPr>
          <w:p w14:paraId="23D1B1B5" w14:textId="77777777" w:rsidR="004F77BE" w:rsidRPr="005873F4" w:rsidRDefault="004F77BE" w:rsidP="00E62F8F">
            <w:pPr>
              <w:jc w:val="right"/>
              <w:rPr>
                <w:rFonts w:ascii="Arial" w:hAnsi="Arial" w:cs="Arial"/>
                <w:b/>
                <w:color w:val="000000"/>
                <w:sz w:val="19"/>
                <w:szCs w:val="19"/>
              </w:rPr>
            </w:pPr>
            <w:r w:rsidRPr="005873F4">
              <w:rPr>
                <w:rFonts w:ascii="Arial" w:hAnsi="Arial" w:cs="Arial"/>
                <w:b/>
                <w:color w:val="000000"/>
                <w:sz w:val="19"/>
                <w:szCs w:val="19"/>
              </w:rPr>
              <w:t>93</w:t>
            </w:r>
          </w:p>
        </w:tc>
      </w:tr>
    </w:tbl>
    <w:p w14:paraId="64C23478" w14:textId="77777777" w:rsidR="004F77BE" w:rsidRPr="00E64180" w:rsidRDefault="004F77BE" w:rsidP="008076D5">
      <w:pPr>
        <w:pStyle w:val="BodyTextMain"/>
      </w:pPr>
    </w:p>
    <w:p w14:paraId="0963C3B4" w14:textId="77777777" w:rsidR="004F77BE" w:rsidRPr="00E64180" w:rsidRDefault="004F77BE" w:rsidP="008076D5">
      <w:pPr>
        <w:pStyle w:val="BodyTextMain"/>
      </w:pPr>
    </w:p>
    <w:p w14:paraId="53577747" w14:textId="77777777" w:rsidR="004F77BE" w:rsidRPr="00E64180" w:rsidRDefault="004F77BE" w:rsidP="008076D5">
      <w:pPr>
        <w:pStyle w:val="BodyTextMain"/>
      </w:pPr>
    </w:p>
    <w:p w14:paraId="5D87C30C" w14:textId="77777777" w:rsidR="004F77BE" w:rsidRPr="00E64180" w:rsidRDefault="004F77BE" w:rsidP="008076D5">
      <w:pPr>
        <w:pStyle w:val="BodyTextMain"/>
      </w:pPr>
    </w:p>
    <w:p w14:paraId="3C527E8C" w14:textId="77777777" w:rsidR="004F77BE" w:rsidRPr="00E64180" w:rsidRDefault="004F77BE" w:rsidP="008076D5">
      <w:pPr>
        <w:pStyle w:val="BodyTextMain"/>
      </w:pPr>
    </w:p>
    <w:p w14:paraId="43CD9CDF" w14:textId="77777777" w:rsidR="004F77BE" w:rsidRPr="00E64180" w:rsidRDefault="004F77BE" w:rsidP="008076D5">
      <w:pPr>
        <w:pStyle w:val="BodyTextMain"/>
      </w:pPr>
    </w:p>
    <w:p w14:paraId="4207F2F3" w14:textId="77777777" w:rsidR="004F77BE" w:rsidRPr="00E64180" w:rsidRDefault="004F77BE" w:rsidP="008076D5">
      <w:pPr>
        <w:pStyle w:val="BodyTextMain"/>
      </w:pPr>
    </w:p>
    <w:p w14:paraId="4600293F" w14:textId="77777777" w:rsidR="004F77BE" w:rsidRPr="00E64180" w:rsidRDefault="004F77BE" w:rsidP="008076D5">
      <w:pPr>
        <w:pStyle w:val="BodyTextMain"/>
      </w:pPr>
    </w:p>
    <w:p w14:paraId="0F3B2EFB" w14:textId="77777777" w:rsidR="004F77BE" w:rsidRPr="008076D5" w:rsidRDefault="004F77BE" w:rsidP="008076D5">
      <w:pPr>
        <w:pStyle w:val="BodyTextMain"/>
      </w:pPr>
    </w:p>
    <w:p w14:paraId="6C860588" w14:textId="77777777" w:rsidR="004F77BE" w:rsidRPr="008076D5" w:rsidRDefault="004F77BE" w:rsidP="008076D5">
      <w:pPr>
        <w:pStyle w:val="BodyTextMain"/>
      </w:pPr>
    </w:p>
    <w:p w14:paraId="6C8F3501" w14:textId="77777777" w:rsidR="004F77BE" w:rsidRPr="008076D5" w:rsidRDefault="004F77BE" w:rsidP="008076D5">
      <w:pPr>
        <w:pStyle w:val="BodyTextMain"/>
      </w:pPr>
    </w:p>
    <w:p w14:paraId="4CF15848" w14:textId="77777777" w:rsidR="004F77BE" w:rsidRDefault="004F77BE" w:rsidP="008076D5">
      <w:pPr>
        <w:pStyle w:val="Footnote"/>
      </w:pPr>
    </w:p>
    <w:p w14:paraId="61D491CE" w14:textId="77777777" w:rsidR="005873F4" w:rsidRDefault="005873F4" w:rsidP="008076D5">
      <w:pPr>
        <w:pStyle w:val="Footnote"/>
      </w:pPr>
    </w:p>
    <w:p w14:paraId="32EA68E6" w14:textId="77777777" w:rsidR="005873F4" w:rsidRPr="008076D5" w:rsidRDefault="005873F4" w:rsidP="008076D5">
      <w:pPr>
        <w:pStyle w:val="Footnote"/>
      </w:pPr>
    </w:p>
    <w:p w14:paraId="447247A7" w14:textId="77777777" w:rsidR="000F6EBE" w:rsidRDefault="000F6EBE" w:rsidP="008076D5">
      <w:pPr>
        <w:pStyle w:val="Footnote"/>
      </w:pPr>
    </w:p>
    <w:p w14:paraId="083F7340" w14:textId="77777777" w:rsidR="00D240CB" w:rsidRDefault="00D240CB" w:rsidP="008076D5">
      <w:pPr>
        <w:pStyle w:val="Footnote"/>
      </w:pPr>
    </w:p>
    <w:p w14:paraId="1FD5E402" w14:textId="053522D0" w:rsidR="004F77BE" w:rsidRPr="008076D5" w:rsidRDefault="004F77BE" w:rsidP="008076D5">
      <w:pPr>
        <w:pStyle w:val="Footnote"/>
      </w:pPr>
      <w:r w:rsidRPr="008076D5">
        <w:t xml:space="preserve">Source: </w:t>
      </w:r>
      <w:r w:rsidR="000F6EBE">
        <w:t xml:space="preserve">PwC, </w:t>
      </w:r>
      <w:r w:rsidRPr="00D240CB">
        <w:rPr>
          <w:i/>
        </w:rPr>
        <w:t>Gaining Technological Advantage</w:t>
      </w:r>
      <w:r w:rsidR="000F6EBE" w:rsidRPr="00D240CB">
        <w:rPr>
          <w:i/>
        </w:rPr>
        <w:t>:</w:t>
      </w:r>
      <w:r w:rsidRPr="00D240CB">
        <w:rPr>
          <w:i/>
        </w:rPr>
        <w:t xml:space="preserve"> A&amp;D Insights</w:t>
      </w:r>
      <w:r w:rsidRPr="008076D5">
        <w:t xml:space="preserve">, 2011, accessed on February 3, 2017, </w:t>
      </w:r>
      <w:r w:rsidRPr="00D240CB">
        <w:t>https://www.pwc.com/im/en/publications/assets/shipping-aircraft-space/aerospace-defence-insights.pdf</w:t>
      </w:r>
      <w:r w:rsidRPr="008076D5">
        <w:t>.</w:t>
      </w:r>
      <w:r w:rsidRPr="008076D5">
        <w:br w:type="page"/>
      </w:r>
    </w:p>
    <w:p w14:paraId="6B98D8B2" w14:textId="77777777" w:rsidR="004C620F" w:rsidRPr="006F1D9E" w:rsidRDefault="004C2798" w:rsidP="001873D9">
      <w:pPr>
        <w:pStyle w:val="Casehead1"/>
        <w:outlineLvl w:val="0"/>
      </w:pPr>
      <w:r>
        <w:lastRenderedPageBreak/>
        <w:t xml:space="preserve">Endnotes </w:t>
      </w:r>
    </w:p>
    <w:sectPr w:rsidR="004C620F" w:rsidRPr="006F1D9E" w:rsidSect="00EB5410">
      <w:headerReference w:type="default" r:id="rId2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7ACFA" w14:textId="77777777" w:rsidR="00356109" w:rsidRDefault="00356109" w:rsidP="00D75295">
      <w:r>
        <w:separator/>
      </w:r>
    </w:p>
  </w:endnote>
  <w:endnote w:type="continuationSeparator" w:id="0">
    <w:p w14:paraId="2020B635" w14:textId="77777777" w:rsidR="00356109" w:rsidRDefault="00356109" w:rsidP="00D75295">
      <w:r>
        <w:continuationSeparator/>
      </w:r>
    </w:p>
  </w:endnote>
  <w:endnote w:id="1">
    <w:p w14:paraId="60C976EA" w14:textId="1ED5C515" w:rsidR="00356109" w:rsidRPr="00356109" w:rsidRDefault="00356109" w:rsidP="00356109">
      <w:pPr>
        <w:pStyle w:val="Footnote"/>
        <w:rPr>
          <w:lang w:val="en-US"/>
        </w:rPr>
      </w:pPr>
      <w:r>
        <w:rPr>
          <w:rStyle w:val="EndnoteReference"/>
        </w:rPr>
        <w:endnoteRef/>
      </w:r>
      <w:r>
        <w:t xml:space="preserve"> This case has been written on the basis of published sources only. Consequently, the interpretation and perspectives presented in this case are not necessarily those of </w:t>
      </w:r>
      <w:r w:rsidRPr="00356109">
        <w:t>HCL Technologies Ltd.</w:t>
      </w:r>
      <w:r>
        <w:t xml:space="preserve"> or any of its employees.</w:t>
      </w:r>
    </w:p>
  </w:endnote>
  <w:endnote w:id="2">
    <w:p w14:paraId="44891DC1" w14:textId="03B65E4D" w:rsidR="00356109" w:rsidRPr="00F13EC1" w:rsidRDefault="00356109" w:rsidP="00126580">
      <w:pPr>
        <w:pStyle w:val="Footnote"/>
      </w:pPr>
      <w:r w:rsidRPr="00F13EC1">
        <w:rPr>
          <w:rStyle w:val="EndnoteReference"/>
        </w:rPr>
        <w:endnoteRef/>
      </w:r>
      <w:r w:rsidRPr="00F13EC1">
        <w:t xml:space="preserve"> HCL </w:t>
      </w:r>
      <w:r>
        <w:t>Newsroom,</w:t>
      </w:r>
      <w:r w:rsidRPr="00F13EC1">
        <w:t xml:space="preserve"> “Proud Dreamliner Team Member Company, HCL Technologies Salutes The Boeing Company on Its First Flight of Dreamliner 787,” press release, December 16, 2009, accessed August 6, 2016, https://www.hcltech.com/press-releases/aerospace-and-defense/proud-dreamliner-team-member-company-hcl-technologies-salutes.</w:t>
      </w:r>
    </w:p>
  </w:endnote>
  <w:endnote w:id="3">
    <w:p w14:paraId="5B474DE7" w14:textId="6A018CDE" w:rsidR="00356109" w:rsidRPr="00F13EC1" w:rsidRDefault="00356109" w:rsidP="00126580">
      <w:pPr>
        <w:pStyle w:val="Footnote"/>
      </w:pPr>
      <w:r w:rsidRPr="00F13EC1">
        <w:rPr>
          <w:rStyle w:val="EndnoteReference"/>
        </w:rPr>
        <w:endnoteRef/>
      </w:r>
      <w:r w:rsidRPr="00F13EC1">
        <w:t xml:space="preserve"> Vinnie Mirchandani, </w:t>
      </w:r>
      <w:r w:rsidRPr="00F13EC1">
        <w:rPr>
          <w:i/>
        </w:rPr>
        <w:t>The New Technology Elite: How Great Companies Optimize Both Technology Consumption and Production</w:t>
      </w:r>
      <w:r w:rsidRPr="00F13EC1">
        <w:t xml:space="preserve"> (Hoboken, NJ: Wiley, 2012), 151. </w:t>
      </w:r>
    </w:p>
  </w:endnote>
  <w:endnote w:id="4">
    <w:p w14:paraId="59847A1F" w14:textId="258CEE36" w:rsidR="00356109" w:rsidRPr="00F13EC1" w:rsidRDefault="00356109" w:rsidP="00126580">
      <w:pPr>
        <w:pStyle w:val="Footnote"/>
      </w:pPr>
      <w:r w:rsidRPr="00F13EC1">
        <w:rPr>
          <w:rStyle w:val="EndnoteReference"/>
        </w:rPr>
        <w:endnoteRef/>
      </w:r>
      <w:r w:rsidRPr="00F13EC1">
        <w:t xml:space="preserve"> All currency amounts are in US$ unless otherwise specified.</w:t>
      </w:r>
    </w:p>
  </w:endnote>
  <w:endnote w:id="5">
    <w:p w14:paraId="4A4DE3FB" w14:textId="47EDF6C6" w:rsidR="00356109" w:rsidRPr="00F13EC1" w:rsidRDefault="00356109" w:rsidP="00126580">
      <w:pPr>
        <w:pStyle w:val="Footnote"/>
      </w:pPr>
      <w:r w:rsidRPr="00F13EC1">
        <w:rPr>
          <w:rStyle w:val="EndnoteReference"/>
        </w:rPr>
        <w:endnoteRef/>
      </w:r>
      <w:r w:rsidRPr="00F13EC1">
        <w:t xml:space="preserve"> The defence sector alone accounted for approximately $217 billion of this revenue pie in 2009; Deloitte, </w:t>
      </w:r>
      <w:r w:rsidRPr="00F13EC1">
        <w:rPr>
          <w:i/>
        </w:rPr>
        <w:t>2014</w:t>
      </w:r>
      <w:r w:rsidRPr="00F13EC1">
        <w:t xml:space="preserve"> </w:t>
      </w:r>
      <w:r w:rsidRPr="00F13EC1">
        <w:rPr>
          <w:i/>
        </w:rPr>
        <w:t>Global Aerospace and Defense Sector Financial Performance Study Report</w:t>
      </w:r>
      <w:r w:rsidRPr="00F13EC1">
        <w:t>, 13, accessed August 6, 2016, https://www2.deloitte.com/content/dam/Deloitte/global/Documents/Manufacturing/gx-mfg-2014aandd-global-financial-performance-study.pdf.</w:t>
      </w:r>
    </w:p>
  </w:endnote>
  <w:endnote w:id="6">
    <w:p w14:paraId="29300387" w14:textId="7BD9B4A4" w:rsidR="00356109" w:rsidRPr="00F13EC1" w:rsidRDefault="00356109" w:rsidP="00126580">
      <w:pPr>
        <w:pStyle w:val="Footnote"/>
      </w:pPr>
      <w:r w:rsidRPr="00F13EC1">
        <w:rPr>
          <w:rStyle w:val="EndnoteReference"/>
        </w:rPr>
        <w:endnoteRef/>
      </w:r>
      <w:r w:rsidRPr="00F13EC1">
        <w:t xml:space="preserve"> HCL </w:t>
      </w:r>
      <w:r>
        <w:t xml:space="preserve">Newsroom, </w:t>
      </w:r>
      <w:r w:rsidRPr="00F13EC1">
        <w:t>op. cit.</w:t>
      </w:r>
    </w:p>
  </w:endnote>
  <w:endnote w:id="7">
    <w:p w14:paraId="320428BC" w14:textId="19E773D1" w:rsidR="00356109" w:rsidRPr="00F13EC1" w:rsidRDefault="00356109" w:rsidP="00126580">
      <w:pPr>
        <w:pStyle w:val="Footnote"/>
      </w:pPr>
      <w:r w:rsidRPr="00F13EC1">
        <w:rPr>
          <w:rStyle w:val="EndnoteReference"/>
        </w:rPr>
        <w:endnoteRef/>
      </w:r>
      <w:r w:rsidRPr="00F13EC1">
        <w:t xml:space="preserve"> Ibid.</w:t>
      </w:r>
    </w:p>
  </w:endnote>
  <w:endnote w:id="8">
    <w:p w14:paraId="649B9434" w14:textId="69F3ED37" w:rsidR="00356109" w:rsidRPr="00F13EC1" w:rsidRDefault="00356109" w:rsidP="00126580">
      <w:pPr>
        <w:pStyle w:val="Footnote"/>
      </w:pPr>
      <w:r w:rsidRPr="00F13EC1">
        <w:rPr>
          <w:rStyle w:val="EndnoteReference"/>
        </w:rPr>
        <w:endnoteRef/>
      </w:r>
      <w:r w:rsidRPr="00F13EC1">
        <w:t xml:space="preserve"> Mukesh Dialani, </w:t>
      </w:r>
      <w:r w:rsidRPr="00F13EC1">
        <w:rPr>
          <w:i/>
        </w:rPr>
        <w:t xml:space="preserve">Vendor Profile Series for R&amp;D/Product Engineering Services, </w:t>
      </w:r>
      <w:r w:rsidRPr="00E507FA">
        <w:t>(</w:t>
      </w:r>
      <w:r w:rsidRPr="00F13EC1">
        <w:t xml:space="preserve">Framingham, MA: International Data Corporation, May 2012), 1–15. </w:t>
      </w:r>
    </w:p>
  </w:endnote>
  <w:endnote w:id="9">
    <w:p w14:paraId="3F917BE9" w14:textId="4DE037B6" w:rsidR="00356109" w:rsidRPr="00F13EC1" w:rsidRDefault="00356109" w:rsidP="00126580">
      <w:pPr>
        <w:pStyle w:val="Footnote"/>
      </w:pPr>
      <w:r w:rsidRPr="00F13EC1">
        <w:rPr>
          <w:rStyle w:val="EndnoteReference"/>
        </w:rPr>
        <w:endnoteRef/>
      </w:r>
      <w:r w:rsidRPr="00F13EC1">
        <w:t xml:space="preserve"> Ronald Gruia, </w:t>
      </w:r>
      <w:r w:rsidRPr="00F13EC1">
        <w:rPr>
          <w:i/>
        </w:rPr>
        <w:t>Achieving Market Leadership in Engineering and R&amp;D Services</w:t>
      </w:r>
      <w:r w:rsidRPr="00F13EC1">
        <w:t xml:space="preserve"> (Mountainview, CA: Frost &amp; Sullivan), 1–12.</w:t>
      </w:r>
      <w:r w:rsidRPr="00F13EC1">
        <w:rPr>
          <w:i/>
        </w:rPr>
        <w:t xml:space="preserve"> </w:t>
      </w:r>
    </w:p>
  </w:endnote>
  <w:endnote w:id="10">
    <w:p w14:paraId="4B4B7E7F" w14:textId="4C6F9D0F" w:rsidR="00356109" w:rsidRPr="00F13EC1" w:rsidRDefault="00356109" w:rsidP="00126580">
      <w:pPr>
        <w:pStyle w:val="Footnote"/>
      </w:pPr>
      <w:r w:rsidRPr="00F13EC1">
        <w:rPr>
          <w:rStyle w:val="EndnoteReference"/>
        </w:rPr>
        <w:endnoteRef/>
      </w:r>
      <w:r w:rsidRPr="00F13EC1">
        <w:t xml:space="preserve"> Megha Bahree, “HCL Looks to Boost U.S. Workforce,” </w:t>
      </w:r>
      <w:r w:rsidRPr="00F13EC1">
        <w:rPr>
          <w:i/>
        </w:rPr>
        <w:t>Wall Street Journal</w:t>
      </w:r>
      <w:r w:rsidRPr="00F13EC1">
        <w:t>, September 13, 2011, accessed February 10, 2017, http://blogs.wsj.com/indiarealtime/2011/09/13/hcl-looks-to-boost-u-s-workforce/.</w:t>
      </w:r>
    </w:p>
  </w:endnote>
  <w:endnote w:id="11">
    <w:p w14:paraId="2A40BAB6" w14:textId="2DC62E10" w:rsidR="00356109" w:rsidRPr="00F13EC1" w:rsidRDefault="00356109" w:rsidP="00126580">
      <w:pPr>
        <w:pStyle w:val="Footnote"/>
        <w:rPr>
          <w:b/>
        </w:rPr>
      </w:pPr>
      <w:r w:rsidRPr="00F13EC1">
        <w:rPr>
          <w:rStyle w:val="EndnoteReference"/>
        </w:rPr>
        <w:endnoteRef/>
      </w:r>
      <w:r w:rsidRPr="00F13EC1">
        <w:t xml:space="preserve"> HCL, </w:t>
      </w:r>
      <w:r w:rsidRPr="00F13EC1">
        <w:rPr>
          <w:i/>
        </w:rPr>
        <w:t>Jump Start Innovating Engineering Experiences at HCL Engineering and R&amp;D Services</w:t>
      </w:r>
      <w:r w:rsidRPr="00F13EC1">
        <w:t>, accessed August 7, 2016, www.</w:t>
      </w:r>
      <w:r w:rsidRPr="00F13EC1">
        <w:rPr>
          <w:bCs/>
        </w:rPr>
        <w:t>hcl</w:t>
      </w:r>
      <w:r w:rsidRPr="00F13EC1">
        <w:t>tech.com/sites/default/files/</w:t>
      </w:r>
      <w:r w:rsidRPr="00F13EC1">
        <w:rPr>
          <w:bCs/>
        </w:rPr>
        <w:t>ers</w:t>
      </w:r>
      <w:r w:rsidRPr="00F13EC1">
        <w:t>_bro.</w:t>
      </w:r>
      <w:r w:rsidRPr="00F13EC1">
        <w:rPr>
          <w:bCs/>
        </w:rPr>
        <w:t>pdf</w:t>
      </w:r>
      <w:r w:rsidRPr="00F13EC1">
        <w:t>.</w:t>
      </w:r>
    </w:p>
  </w:endnote>
  <w:endnote w:id="12">
    <w:p w14:paraId="1047932A" w14:textId="26E1F9B3" w:rsidR="00356109" w:rsidRPr="00F13EC1" w:rsidRDefault="00356109" w:rsidP="00126580">
      <w:pPr>
        <w:pStyle w:val="Footnote"/>
      </w:pPr>
      <w:r w:rsidRPr="00F13EC1">
        <w:rPr>
          <w:rStyle w:val="EndnoteReference"/>
        </w:rPr>
        <w:endnoteRef/>
      </w:r>
      <w:r w:rsidRPr="00F13EC1">
        <w:t xml:space="preserve"> Corresponding figures in 2007 were $1.7 billion and 23.9 per cent; Mukesh Dialani, op. cit.</w:t>
      </w:r>
    </w:p>
  </w:endnote>
  <w:endnote w:id="13">
    <w:p w14:paraId="24E56AD5" w14:textId="34BCC6AF" w:rsidR="00356109" w:rsidRPr="00F13EC1" w:rsidRDefault="00356109" w:rsidP="00C8322C">
      <w:pPr>
        <w:pStyle w:val="Footnote"/>
      </w:pPr>
      <w:r w:rsidRPr="00F13EC1">
        <w:rPr>
          <w:rStyle w:val="FootnoteChar"/>
          <w:vertAlign w:val="superscript"/>
        </w:rPr>
        <w:endnoteRef/>
      </w:r>
      <w:r w:rsidRPr="00F13EC1">
        <w:t xml:space="preserve"> “G. H. Rao, President—Engineering and R&amp;D Services, HCL,” YouTube video, 9:24, posted by Nasscom Events, October 14, 2013, accessed August 13, 2016, https://youtu.be/PybxDynPt2w.</w:t>
      </w:r>
    </w:p>
  </w:endnote>
  <w:endnote w:id="14">
    <w:p w14:paraId="1040262E" w14:textId="2C170D37" w:rsidR="00356109" w:rsidRPr="00F13EC1" w:rsidRDefault="00356109" w:rsidP="00126580">
      <w:pPr>
        <w:pStyle w:val="Footnote"/>
      </w:pPr>
      <w:r w:rsidRPr="00F13EC1">
        <w:rPr>
          <w:rStyle w:val="EndnoteReference"/>
        </w:rPr>
        <w:endnoteRef/>
      </w:r>
      <w:r w:rsidRPr="00F13EC1">
        <w:t xml:space="preserve"> </w:t>
      </w:r>
      <w:r>
        <w:t xml:space="preserve">Charlie Whelan, </w:t>
      </w:r>
      <w:r w:rsidRPr="00F13EC1">
        <w:t>“Sandeep Kishore, Executive Vice President—HCL Technologies,” Frost &amp; Sullivan, accessed March 25, 2017, www.frost.com/prod/servlet/exec-brief-movers-feature.pag?mode=open&amp;sid=230099189.</w:t>
      </w:r>
    </w:p>
  </w:endnote>
  <w:endnote w:id="15">
    <w:p w14:paraId="08055A0D" w14:textId="0AA9F7E9" w:rsidR="00356109" w:rsidRPr="00F13EC1" w:rsidRDefault="00356109" w:rsidP="00126580">
      <w:pPr>
        <w:pStyle w:val="Footnote"/>
      </w:pPr>
      <w:r w:rsidRPr="00F13EC1">
        <w:rPr>
          <w:rStyle w:val="EndnoteReference"/>
        </w:rPr>
        <w:endnoteRef/>
      </w:r>
      <w:r w:rsidRPr="00F13EC1">
        <w:t xml:space="preserve"> Ibid.</w:t>
      </w:r>
    </w:p>
  </w:endnote>
  <w:endnote w:id="16">
    <w:p w14:paraId="505C660F" w14:textId="7C1D4CED" w:rsidR="00356109" w:rsidRPr="00F13EC1" w:rsidRDefault="00356109" w:rsidP="00126580">
      <w:pPr>
        <w:pStyle w:val="Footnote"/>
      </w:pPr>
      <w:r w:rsidRPr="00F13EC1">
        <w:rPr>
          <w:rStyle w:val="EndnoteReference"/>
        </w:rPr>
        <w:endnoteRef/>
      </w:r>
      <w:r w:rsidRPr="00F13EC1">
        <w:t xml:space="preserve"> Steve Denning, “What Went Wrong at Boeing?” </w:t>
      </w:r>
      <w:r w:rsidRPr="00F13EC1">
        <w:rPr>
          <w:i/>
        </w:rPr>
        <w:t>Forbes</w:t>
      </w:r>
      <w:r w:rsidRPr="00F13EC1">
        <w:t>, January 21, 2013, accessed August 20, 2016, www.forbes.com/sites/stevedenning/2013/01/21/what-went-wrong-at-boeing/#28ba5beb7b1b.</w:t>
      </w:r>
    </w:p>
  </w:endnote>
  <w:endnote w:id="17">
    <w:p w14:paraId="03C43647" w14:textId="77777777" w:rsidR="00356109" w:rsidRPr="00F13EC1" w:rsidRDefault="00356109" w:rsidP="00126580">
      <w:pPr>
        <w:pStyle w:val="Footnote"/>
      </w:pPr>
      <w:r w:rsidRPr="00F13EC1">
        <w:rPr>
          <w:rStyle w:val="EndnoteReference"/>
        </w:rPr>
        <w:endnoteRef/>
      </w:r>
      <w:r w:rsidRPr="00F13EC1">
        <w:t xml:space="preserve"> Yao Zhao, “Systems Thinking and the Inevitability of the Dreamliner Delays,” MITsdm, December 2, 2013, accessed August 20, 2016, https://sdm.mit.edu/systems-thinking-and-the-inevitability-of-the-dreamliner-delays/.</w:t>
      </w:r>
    </w:p>
  </w:endnote>
  <w:endnote w:id="18">
    <w:p w14:paraId="1962F9B1" w14:textId="70E98170" w:rsidR="00356109" w:rsidRPr="00F13EC1" w:rsidRDefault="00356109" w:rsidP="004A31C1">
      <w:pPr>
        <w:pStyle w:val="Footnote"/>
        <w:rPr>
          <w:b/>
        </w:rPr>
      </w:pPr>
      <w:r w:rsidRPr="00F13EC1">
        <w:rPr>
          <w:rStyle w:val="EndnoteReference"/>
        </w:rPr>
        <w:endnoteRef/>
      </w:r>
      <w:r w:rsidRPr="00F13EC1">
        <w:t xml:space="preserve"> Kyle Peterson, “Special Report: A Wing and a Prayer: Outsourcing at Boeing,” </w:t>
      </w:r>
      <w:r w:rsidRPr="00F13EC1">
        <w:rPr>
          <w:i/>
        </w:rPr>
        <w:t>Reuters</w:t>
      </w:r>
      <w:r w:rsidRPr="00F13EC1">
        <w:t>, January 20, 2011, accessed August 20, 2016, www.reuters.com/article/us-boeing-dreamliner-idUSTRE70J2UX20110120.</w:t>
      </w:r>
    </w:p>
  </w:endnote>
  <w:endnote w:id="19">
    <w:p w14:paraId="0511C21D" w14:textId="6A10C841" w:rsidR="00356109" w:rsidRPr="00F13EC1" w:rsidRDefault="00356109" w:rsidP="00126580">
      <w:pPr>
        <w:pStyle w:val="Footnote"/>
      </w:pPr>
      <w:r w:rsidRPr="00F13EC1">
        <w:rPr>
          <w:rStyle w:val="EndnoteReference"/>
        </w:rPr>
        <w:endnoteRef/>
      </w:r>
      <w:r w:rsidRPr="00F13EC1">
        <w:t xml:space="preserve"> “Boeing 787 Dreamliner: A Timeline of Problems,” </w:t>
      </w:r>
      <w:r w:rsidRPr="00E507FA">
        <w:rPr>
          <w:i/>
        </w:rPr>
        <w:t xml:space="preserve">The </w:t>
      </w:r>
      <w:r w:rsidRPr="00072E39">
        <w:rPr>
          <w:i/>
        </w:rPr>
        <w:t>T</w:t>
      </w:r>
      <w:r w:rsidRPr="00F13EC1">
        <w:rPr>
          <w:i/>
        </w:rPr>
        <w:t>elegraph</w:t>
      </w:r>
      <w:r w:rsidRPr="00F13EC1">
        <w:t>, July 28, 2013, accessed February 11, 2017, www.telegraph.co.uk/travel/comment/Boeing-787-Dreamliner-a-timeline-of-problems/.</w:t>
      </w:r>
    </w:p>
  </w:endnote>
  <w:endnote w:id="20">
    <w:p w14:paraId="1550789A" w14:textId="5F8905A1" w:rsidR="00356109" w:rsidRPr="00F13EC1" w:rsidRDefault="00356109" w:rsidP="00126580">
      <w:pPr>
        <w:pStyle w:val="Footnote"/>
      </w:pPr>
      <w:r w:rsidRPr="00F13EC1">
        <w:rPr>
          <w:rStyle w:val="EndnoteReference"/>
        </w:rPr>
        <w:endnoteRef/>
      </w:r>
      <w:r w:rsidRPr="00F13EC1">
        <w:t xml:space="preserve"> The maximum zero fuel weight of the Dreamliner was 355,000 pounds (161,000 kilograms); James W. Ramsey, “Boeing 787: Integration’s Next Step,” Aviation Today, June 1, 2005, accessed August 21, 2016, www.aviationtoday.com/av/commercial/Boeing-787-Integrations-Next-Step_932.html.</w:t>
      </w:r>
      <w:r w:rsidRPr="00F13EC1">
        <w:rPr>
          <w:b/>
        </w:rPr>
        <w:t xml:space="preserve"> </w:t>
      </w:r>
    </w:p>
  </w:endnote>
  <w:endnote w:id="21">
    <w:p w14:paraId="62ADF020" w14:textId="3575C0F3" w:rsidR="00356109" w:rsidRPr="00F13EC1" w:rsidRDefault="00356109">
      <w:pPr>
        <w:pStyle w:val="EndnoteText"/>
        <w:rPr>
          <w:rFonts w:ascii="Arial" w:hAnsi="Arial" w:cs="Arial"/>
          <w:sz w:val="17"/>
          <w:szCs w:val="17"/>
        </w:rPr>
      </w:pPr>
      <w:r w:rsidRPr="00F13EC1">
        <w:rPr>
          <w:rStyle w:val="EndnoteReference"/>
          <w:rFonts w:ascii="Arial" w:hAnsi="Arial" w:cs="Arial"/>
          <w:sz w:val="17"/>
          <w:szCs w:val="17"/>
        </w:rPr>
        <w:endnoteRef/>
      </w:r>
      <w:r w:rsidRPr="00F13EC1">
        <w:rPr>
          <w:rFonts w:ascii="Arial" w:hAnsi="Arial" w:cs="Arial"/>
          <w:sz w:val="17"/>
          <w:szCs w:val="17"/>
        </w:rPr>
        <w:t xml:space="preserve"> Mach 1 = 1</w:t>
      </w:r>
      <w:r w:rsidR="001D224D">
        <w:rPr>
          <w:rFonts w:ascii="Arial" w:hAnsi="Arial" w:cs="Arial"/>
          <w:sz w:val="17"/>
          <w:szCs w:val="17"/>
        </w:rPr>
        <w:t>,</w:t>
      </w:r>
      <w:r w:rsidRPr="00F13EC1">
        <w:rPr>
          <w:rFonts w:ascii="Arial" w:hAnsi="Arial" w:cs="Arial"/>
          <w:sz w:val="17"/>
          <w:szCs w:val="17"/>
        </w:rPr>
        <w:t>234.8 km/hr (the speed of sound).</w:t>
      </w:r>
    </w:p>
  </w:endnote>
  <w:endnote w:id="22">
    <w:p w14:paraId="74FEF1CC" w14:textId="4635125B" w:rsidR="00356109" w:rsidRPr="00F13EC1" w:rsidRDefault="00356109" w:rsidP="00126580">
      <w:pPr>
        <w:pStyle w:val="Footnote"/>
      </w:pPr>
      <w:r w:rsidRPr="00F13EC1">
        <w:rPr>
          <w:rStyle w:val="EndnoteReference"/>
        </w:rPr>
        <w:endnoteRef/>
      </w:r>
      <w:r w:rsidRPr="00F13EC1">
        <w:t xml:space="preserve"> Ramsey, op. cit.</w:t>
      </w:r>
    </w:p>
  </w:endnote>
  <w:endnote w:id="23">
    <w:p w14:paraId="738F1D5C" w14:textId="72DEDE14" w:rsidR="00356109" w:rsidRPr="00F13EC1" w:rsidRDefault="00356109" w:rsidP="00126580">
      <w:pPr>
        <w:pStyle w:val="Footnote"/>
      </w:pPr>
      <w:r w:rsidRPr="00F13EC1">
        <w:rPr>
          <w:rStyle w:val="EndnoteReference"/>
        </w:rPr>
        <w:endnoteRef/>
      </w:r>
      <w:r w:rsidRPr="00F13EC1">
        <w:t xml:space="preserve"> 15,279 kilometres = 8,350 nautical miles. The flight distance from John F. Kennedy International Airport to Los Angeles International Airport was 3,979 kilometres (2,148 nautical miles).</w:t>
      </w:r>
    </w:p>
  </w:endnote>
  <w:endnote w:id="24">
    <w:p w14:paraId="5466552C" w14:textId="7C42C5F1" w:rsidR="00356109" w:rsidRPr="00F13EC1" w:rsidRDefault="00356109" w:rsidP="00126580">
      <w:pPr>
        <w:pStyle w:val="Footnote"/>
        <w:rPr>
          <w:b/>
        </w:rPr>
      </w:pPr>
      <w:r w:rsidRPr="00F13EC1">
        <w:rPr>
          <w:rStyle w:val="EndnoteReference"/>
        </w:rPr>
        <w:endnoteRef/>
      </w:r>
      <w:r w:rsidRPr="00F13EC1">
        <w:t xml:space="preserve"> Daisy Carrington, “Airbus and Boeing Have Some Amazing Plane Ideas to Shape the Future of Flying,” CNN, May 5, 2015, accessed August 18, 2016, http://edition.cnn.com/2015/05/04/travel/gallery/future-of-flight-through-patents/.</w:t>
      </w:r>
    </w:p>
  </w:endnote>
  <w:endnote w:id="25">
    <w:p w14:paraId="7BDD667B" w14:textId="6DBDB178" w:rsidR="00356109" w:rsidRPr="00F13EC1" w:rsidRDefault="00356109" w:rsidP="00126580">
      <w:pPr>
        <w:pStyle w:val="Footnote"/>
      </w:pPr>
      <w:r w:rsidRPr="00F13EC1">
        <w:rPr>
          <w:rStyle w:val="EndnoteReference"/>
        </w:rPr>
        <w:endnoteRef/>
      </w:r>
      <w:r w:rsidRPr="00F13EC1">
        <w:t xml:space="preserve"> “Selected Financial Data,” Rockwell Collins, accessed August 14, 2016, www3.rockwellcollins.com/annualreport/2013/</w:t>
      </w:r>
    </w:p>
    <w:p w14:paraId="74DE5179" w14:textId="77B1740B" w:rsidR="00356109" w:rsidRPr="00F13EC1" w:rsidRDefault="00356109" w:rsidP="00126580">
      <w:pPr>
        <w:pStyle w:val="Footnote"/>
        <w:rPr>
          <w:b/>
        </w:rPr>
      </w:pPr>
      <w:r w:rsidRPr="00F13EC1">
        <w:t>financialHighlights.html.</w:t>
      </w:r>
    </w:p>
  </w:endnote>
  <w:endnote w:id="26">
    <w:p w14:paraId="13AD28D1" w14:textId="24689930" w:rsidR="00356109" w:rsidRPr="00F13EC1" w:rsidRDefault="00356109" w:rsidP="00126580">
      <w:pPr>
        <w:pStyle w:val="Footnote"/>
      </w:pPr>
      <w:r w:rsidRPr="00F13EC1">
        <w:rPr>
          <w:rStyle w:val="EndnoteReference"/>
        </w:rPr>
        <w:endnoteRef/>
      </w:r>
      <w:r w:rsidRPr="00F13EC1">
        <w:t xml:space="preserve"> “Boeing Selects Rockwell Collins Flight Displays, Integrated Surveillance, and Select Flight Control Systems for 777X,” Rockwell Collins, December 16, 2014, accessed August 14, 2016, www.rockwellcollins.com/Data/News/2014_Cal_Year/</w:t>
      </w:r>
    </w:p>
    <w:p w14:paraId="0FE87CA8" w14:textId="75038DEC" w:rsidR="00356109" w:rsidRPr="00F13EC1" w:rsidRDefault="00356109" w:rsidP="00126580">
      <w:pPr>
        <w:pStyle w:val="Footnote"/>
        <w:rPr>
          <w:b/>
        </w:rPr>
      </w:pPr>
      <w:r w:rsidRPr="00F13EC1">
        <w:t>CS/FY15CSNR10-777X.aspx.</w:t>
      </w:r>
    </w:p>
  </w:endnote>
  <w:endnote w:id="27">
    <w:p w14:paraId="6502E982" w14:textId="09D2E587" w:rsidR="00356109" w:rsidRPr="00F13EC1" w:rsidRDefault="00356109" w:rsidP="00126580">
      <w:pPr>
        <w:pStyle w:val="Footnote"/>
      </w:pPr>
      <w:r w:rsidRPr="00F13EC1">
        <w:rPr>
          <w:rStyle w:val="EndnoteReference"/>
        </w:rPr>
        <w:endnoteRef/>
      </w:r>
      <w:r w:rsidRPr="00F13EC1">
        <w:t xml:space="preserve"> “Rockwell Collins’ Next Generation Avionics Systems Certified on Boeing 787 Dreamliner,” defense-aerospace.com, September 6, 2011, accessed August 14, 2016, www.defense-aerospace.com/articles-view/release/3/128495/rockwell-next_gen-avionics-certified-on-boeing-787.html. </w:t>
      </w:r>
    </w:p>
  </w:endnote>
  <w:endnote w:id="28">
    <w:p w14:paraId="3BC50E12" w14:textId="1F3F6AD0" w:rsidR="00356109" w:rsidRPr="00C36ABD" w:rsidRDefault="00356109" w:rsidP="00126580">
      <w:pPr>
        <w:pStyle w:val="Footnote"/>
        <w:rPr>
          <w:b/>
        </w:rPr>
      </w:pPr>
      <w:r w:rsidRPr="00F13EC1">
        <w:rPr>
          <w:rStyle w:val="EndnoteReference"/>
        </w:rPr>
        <w:endnoteRef/>
      </w:r>
      <w:r w:rsidRPr="00F13EC1">
        <w:t xml:space="preserve"> Ramsey, op. cit.</w:t>
      </w:r>
      <w:r w:rsidRPr="00C36ABD">
        <w:t xml:space="preserve"> </w:t>
      </w:r>
    </w:p>
  </w:endnote>
  <w:endnote w:id="29">
    <w:p w14:paraId="728281CE" w14:textId="230F22B6" w:rsidR="00356109" w:rsidRPr="00245DDD" w:rsidRDefault="00356109" w:rsidP="00052E34">
      <w:pPr>
        <w:pStyle w:val="EndnoteText"/>
        <w:rPr>
          <w:rStyle w:val="FootnoteChar"/>
        </w:rPr>
      </w:pPr>
      <w:r w:rsidRPr="001D3FBC">
        <w:rPr>
          <w:rStyle w:val="EndnoteReference"/>
          <w:rFonts w:ascii="Arial" w:hAnsi="Arial" w:cs="Arial"/>
          <w:sz w:val="17"/>
          <w:szCs w:val="17"/>
        </w:rPr>
        <w:endnoteRef/>
      </w:r>
      <w:r w:rsidRPr="001D3FBC">
        <w:rPr>
          <w:rFonts w:ascii="Arial" w:hAnsi="Arial" w:cs="Arial"/>
          <w:sz w:val="17"/>
          <w:szCs w:val="17"/>
        </w:rPr>
        <w:t xml:space="preserve"> </w:t>
      </w:r>
      <w:r w:rsidRPr="00245DDD">
        <w:rPr>
          <w:rStyle w:val="FootnoteChar"/>
        </w:rPr>
        <w:t>Jill Wojciechowski, “</w:t>
      </w:r>
      <w:r>
        <w:rPr>
          <w:rStyle w:val="FootnoteChar"/>
        </w:rPr>
        <w:t>Delivering on Our Brand Promise</w:t>
      </w:r>
      <w:r w:rsidRPr="00245DDD">
        <w:rPr>
          <w:rStyle w:val="FootnoteChar"/>
        </w:rPr>
        <w:t xml:space="preserve">,” </w:t>
      </w:r>
      <w:r w:rsidRPr="00E507FA">
        <w:rPr>
          <w:rStyle w:val="FootnoteChar"/>
          <w:i/>
        </w:rPr>
        <w:t>Horizons</w:t>
      </w:r>
      <w:r w:rsidRPr="00245DDD">
        <w:rPr>
          <w:rStyle w:val="FootnoteChar"/>
        </w:rPr>
        <w:t xml:space="preserve"> 12, no. 3 (2007): </w:t>
      </w:r>
      <w:r>
        <w:rPr>
          <w:rStyle w:val="FootnoteChar"/>
        </w:rPr>
        <w:t>6–7</w:t>
      </w:r>
      <w:r w:rsidRPr="00245DDD">
        <w:rPr>
          <w:rStyle w:val="FootnoteChar"/>
        </w:rPr>
        <w:t>, accessed August 14, 2016, www.ab4oj.c</w:t>
      </w:r>
      <w:r>
        <w:rPr>
          <w:rStyle w:val="FootnoteChar"/>
        </w:rPr>
        <w:t>om/k1xr/horizons2012_32007.pdf.</w:t>
      </w:r>
    </w:p>
  </w:endnote>
  <w:endnote w:id="30">
    <w:p w14:paraId="1B3AE208" w14:textId="4923971F" w:rsidR="00356109" w:rsidRPr="00F13EC1" w:rsidRDefault="00356109" w:rsidP="00126580">
      <w:pPr>
        <w:pStyle w:val="Footnote"/>
      </w:pPr>
      <w:r w:rsidRPr="00F13EC1">
        <w:rPr>
          <w:rStyle w:val="EndnoteReference"/>
        </w:rPr>
        <w:endnoteRef/>
      </w:r>
      <w:r w:rsidRPr="00F13EC1">
        <w:t xml:space="preserve"> Jill Wojciechowski, “Feeding Our Economic Engine,” </w:t>
      </w:r>
      <w:r w:rsidRPr="00F13EC1">
        <w:rPr>
          <w:i/>
        </w:rPr>
        <w:t>Horizons</w:t>
      </w:r>
      <w:r w:rsidRPr="00F13EC1">
        <w:t xml:space="preserve"> 12, no. 3 (2007): 8–9, accessed August 14, 2016, www.ab4oj.com/k1xr/horizons2012_32007.pdf. </w:t>
      </w:r>
    </w:p>
  </w:endnote>
  <w:endnote w:id="31">
    <w:p w14:paraId="3CFE0C12" w14:textId="08586042" w:rsidR="00356109" w:rsidRPr="00F13EC1" w:rsidRDefault="00356109" w:rsidP="00126580">
      <w:pPr>
        <w:pStyle w:val="Footnote"/>
        <w:rPr>
          <w:b/>
        </w:rPr>
      </w:pPr>
      <w:r w:rsidRPr="00F13EC1">
        <w:rPr>
          <w:rStyle w:val="EndnoteReference"/>
        </w:rPr>
        <w:endnoteRef/>
      </w:r>
      <w:r w:rsidRPr="00F13EC1">
        <w:t xml:space="preserve"> Ibid. </w:t>
      </w:r>
    </w:p>
  </w:endnote>
  <w:endnote w:id="32">
    <w:p w14:paraId="7921ED18" w14:textId="2AFEC433" w:rsidR="00356109" w:rsidRPr="00F13EC1" w:rsidRDefault="00356109" w:rsidP="00126580">
      <w:pPr>
        <w:pStyle w:val="Footnote"/>
      </w:pPr>
      <w:r w:rsidRPr="00F13EC1">
        <w:rPr>
          <w:rStyle w:val="EndnoteReference"/>
        </w:rPr>
        <w:endnoteRef/>
      </w:r>
      <w:r w:rsidRPr="00F13EC1">
        <w:t xml:space="preserve"> Ibid. </w:t>
      </w:r>
    </w:p>
  </w:endnote>
  <w:endnote w:id="33">
    <w:p w14:paraId="2591BAC4" w14:textId="146A5641" w:rsidR="00356109" w:rsidRPr="00F13EC1" w:rsidRDefault="00356109" w:rsidP="00126580">
      <w:pPr>
        <w:pStyle w:val="Footnote"/>
      </w:pPr>
      <w:r w:rsidRPr="00F13EC1">
        <w:rPr>
          <w:rStyle w:val="EndnoteReference"/>
        </w:rPr>
        <w:endnoteRef/>
      </w:r>
      <w:r w:rsidRPr="00F13EC1">
        <w:t xml:space="preserve"> Peter Cohan, “Is the Boeing 787</w:t>
      </w:r>
      <w:r w:rsidR="001D224D">
        <w:t>’</w:t>
      </w:r>
      <w:r w:rsidRPr="00F13EC1">
        <w:t xml:space="preserve">s Electrical System Working?” AOL, August 20, 2009, accessed August 16, 2016 www.aol.com/article/2009/08/20/is-the-boeing-787s-electrical-system-working/19135085/?gen=1. </w:t>
      </w:r>
    </w:p>
  </w:endnote>
  <w:endnote w:id="34">
    <w:p w14:paraId="62B6AD38" w14:textId="33AEF76F" w:rsidR="00356109" w:rsidRPr="00F13EC1" w:rsidRDefault="00356109" w:rsidP="00126580">
      <w:pPr>
        <w:pStyle w:val="Footnote"/>
      </w:pPr>
      <w:r w:rsidRPr="00F13EC1">
        <w:rPr>
          <w:rStyle w:val="EndnoteReference"/>
        </w:rPr>
        <w:endnoteRef/>
      </w:r>
      <w:r w:rsidRPr="00F13EC1">
        <w:t xml:space="preserve"> HCL </w:t>
      </w:r>
      <w:r>
        <w:t xml:space="preserve">Newsoom, </w:t>
      </w:r>
      <w:r w:rsidRPr="00F13EC1">
        <w:t>op. cit.</w:t>
      </w:r>
    </w:p>
  </w:endnote>
  <w:endnote w:id="35">
    <w:p w14:paraId="15202A24" w14:textId="5E2B8098" w:rsidR="00356109" w:rsidRPr="00F13EC1" w:rsidRDefault="00356109" w:rsidP="00126580">
      <w:pPr>
        <w:pStyle w:val="Footnote"/>
      </w:pPr>
      <w:r w:rsidRPr="00F13EC1">
        <w:rPr>
          <w:rStyle w:val="EndnoteReference"/>
        </w:rPr>
        <w:endnoteRef/>
      </w:r>
      <w:r w:rsidRPr="00F13EC1">
        <w:t xml:space="preserve"> “Aerospace and Defence,” HCL, accessed August 16, 2016, www.hcltech.com/aerospace-and-defense.</w:t>
      </w:r>
    </w:p>
  </w:endnote>
  <w:endnote w:id="36">
    <w:p w14:paraId="612254CC" w14:textId="45F1282D" w:rsidR="00356109" w:rsidRPr="00F13EC1" w:rsidRDefault="00356109" w:rsidP="000A22C0">
      <w:pPr>
        <w:pStyle w:val="Footnote"/>
      </w:pPr>
      <w:r w:rsidRPr="00F13EC1">
        <w:rPr>
          <w:rStyle w:val="EndnoteReference"/>
        </w:rPr>
        <w:endnoteRef/>
      </w:r>
      <w:r w:rsidRPr="00F13EC1">
        <w:t xml:space="preserve"> United Technology Corporation was a large, diversified corporation comprising businesses like Carrier (heating, air-conditioning, and refrigeration solutions), Otis Elevator Company, Pratt &amp; Whitney (engines), Sikorsky Aircraft (helicopters), and UTC Fire &amp; Security Products EMEA, apart from Hamilton Sundstrand Systems.</w:t>
      </w:r>
    </w:p>
  </w:endnote>
  <w:endnote w:id="37">
    <w:p w14:paraId="4FCC1A1D" w14:textId="26E1E044" w:rsidR="00356109" w:rsidRPr="00F13EC1" w:rsidRDefault="00356109" w:rsidP="00126580">
      <w:pPr>
        <w:pStyle w:val="Footnote"/>
      </w:pPr>
      <w:r w:rsidRPr="00F13EC1">
        <w:rPr>
          <w:rStyle w:val="EndnoteReference"/>
        </w:rPr>
        <w:endnoteRef/>
      </w:r>
      <w:r w:rsidRPr="00F13EC1">
        <w:t xml:space="preserve"> “About Us,” HCL, accessed August 17, 2016, www.hcltech.com/about-us/about-hcl-technologies.</w:t>
      </w:r>
    </w:p>
  </w:endnote>
  <w:endnote w:id="38">
    <w:p w14:paraId="6412AAD1" w14:textId="77777777" w:rsidR="00356109" w:rsidRPr="00F13EC1" w:rsidRDefault="00356109" w:rsidP="00126580">
      <w:pPr>
        <w:pStyle w:val="Footnote"/>
      </w:pPr>
      <w:r w:rsidRPr="00F13EC1">
        <w:rPr>
          <w:rStyle w:val="EndnoteReference"/>
        </w:rPr>
        <w:endnoteRef/>
      </w:r>
      <w:r w:rsidRPr="00F13EC1">
        <w:t xml:space="preserve"> “Hamilton Sundstrand Systems Contributing to Successful Boeing 787 Flight Testing,” PR Newswire, July 19, 2010, accessed August 16, 2016, www.prnewswire.co.uk/news-releases/hamilton-sundstrand-systems-contributing-to-successful-boeing-787-flight-testing-152792285.html.</w:t>
      </w:r>
    </w:p>
  </w:endnote>
  <w:endnote w:id="39">
    <w:p w14:paraId="3B2FFD6D" w14:textId="5037AEF5" w:rsidR="00356109" w:rsidRPr="00F13EC1" w:rsidRDefault="00356109" w:rsidP="00126580">
      <w:pPr>
        <w:pStyle w:val="Footnote"/>
      </w:pPr>
      <w:r w:rsidRPr="00F13EC1">
        <w:rPr>
          <w:rStyle w:val="EndnoteReference"/>
        </w:rPr>
        <w:endnoteRef/>
      </w:r>
      <w:r w:rsidRPr="00F13EC1">
        <w:t xml:space="preserve"> United Technology Corporation, </w:t>
      </w:r>
      <w:r w:rsidRPr="00F13EC1">
        <w:rPr>
          <w:i/>
        </w:rPr>
        <w:t>Execution: United Technologies Corporation Annual Report</w:t>
      </w:r>
      <w:r w:rsidRPr="00F13EC1">
        <w:t>, 2009, accessed August 16, 2016, www.utc.com/Investors/Documents/UT_2009_Annual-Report.pdf.</w:t>
      </w:r>
    </w:p>
  </w:endnote>
  <w:endnote w:id="40">
    <w:p w14:paraId="5B554719" w14:textId="7B559656" w:rsidR="00356109" w:rsidRPr="00F13EC1" w:rsidRDefault="00356109">
      <w:pPr>
        <w:pStyle w:val="EndnoteText"/>
        <w:rPr>
          <w:rFonts w:ascii="Arial" w:hAnsi="Arial" w:cs="Arial"/>
          <w:sz w:val="17"/>
          <w:szCs w:val="17"/>
        </w:rPr>
      </w:pPr>
      <w:r w:rsidRPr="00F13EC1">
        <w:rPr>
          <w:rStyle w:val="EndnoteReference"/>
          <w:rFonts w:ascii="Arial" w:hAnsi="Arial" w:cs="Arial"/>
          <w:sz w:val="17"/>
          <w:szCs w:val="17"/>
        </w:rPr>
        <w:endnoteRef/>
      </w:r>
      <w:r w:rsidRPr="00F13EC1">
        <w:rPr>
          <w:rFonts w:ascii="Arial" w:hAnsi="Arial" w:cs="Arial"/>
          <w:sz w:val="17"/>
          <w:szCs w:val="17"/>
        </w:rPr>
        <w:t xml:space="preserve"> Ibid.</w:t>
      </w:r>
    </w:p>
  </w:endnote>
  <w:endnote w:id="41">
    <w:p w14:paraId="3B1A0ED9" w14:textId="77777777" w:rsidR="00356109" w:rsidRPr="00F13EC1" w:rsidRDefault="00356109" w:rsidP="00126580">
      <w:pPr>
        <w:pStyle w:val="Footnote"/>
      </w:pPr>
      <w:r w:rsidRPr="00F13EC1">
        <w:rPr>
          <w:rStyle w:val="EndnoteReference"/>
        </w:rPr>
        <w:endnoteRef/>
      </w:r>
      <w:r w:rsidRPr="00F13EC1">
        <w:t xml:space="preserve"> Mike Sinnett, “787 No-Bleed Systems: Saving Fuel and Enhancing Operational Efficiencies,” Boeing, accessed August 17, 2016, www.boeing.com/commercial/aeromagazine/articles/qtr_4_07/article_02_1.html.</w:t>
      </w:r>
    </w:p>
  </w:endnote>
  <w:endnote w:id="42">
    <w:p w14:paraId="71B862E9" w14:textId="42655C28" w:rsidR="00356109" w:rsidRPr="00F13EC1" w:rsidRDefault="00356109" w:rsidP="00126580">
      <w:pPr>
        <w:pStyle w:val="Footnote"/>
      </w:pPr>
      <w:r w:rsidRPr="00F13EC1">
        <w:rPr>
          <w:rStyle w:val="EndnoteReference"/>
        </w:rPr>
        <w:endnoteRef/>
      </w:r>
      <w:r w:rsidRPr="00F13EC1">
        <w:t xml:space="preserve"> Cohan, op. cit.</w:t>
      </w:r>
    </w:p>
  </w:endnote>
  <w:endnote w:id="43">
    <w:p w14:paraId="49B77ACE" w14:textId="712817C4" w:rsidR="00356109" w:rsidRPr="00F13EC1" w:rsidRDefault="00356109" w:rsidP="00126580">
      <w:pPr>
        <w:pStyle w:val="Footnote"/>
      </w:pPr>
      <w:r w:rsidRPr="00F13EC1">
        <w:rPr>
          <w:rStyle w:val="EndnoteReference"/>
        </w:rPr>
        <w:endnoteRef/>
      </w:r>
      <w:r w:rsidRPr="00F13EC1">
        <w:t xml:space="preserve"> “Hamilton Sundstrand</w:t>
      </w:r>
      <w:r w:rsidR="001D224D">
        <w:t>’</w:t>
      </w:r>
      <w:r w:rsidRPr="00F13EC1">
        <w:t>s Boeing 787 Auxiliary Power Unit Undergoes Successful Initial Start-Up,” United Technology Corporation, May 18, 2009, accessed August 17, 2016, www.utc.com/News/News-Center/Pages/Hamilton-Sundstrands-Boeing-787-Auxiliary-Power-Unit-undergoes-successful-initia.aspx.</w:t>
      </w:r>
    </w:p>
  </w:endnote>
  <w:endnote w:id="44">
    <w:p w14:paraId="1EEF1BE9" w14:textId="458D4100" w:rsidR="00356109" w:rsidRPr="00F13EC1" w:rsidRDefault="00356109" w:rsidP="00126580">
      <w:pPr>
        <w:pStyle w:val="Footnote"/>
      </w:pPr>
      <w:r w:rsidRPr="00F13EC1">
        <w:rPr>
          <w:rStyle w:val="EndnoteReference"/>
        </w:rPr>
        <w:endnoteRef/>
      </w:r>
      <w:r w:rsidRPr="00F13EC1">
        <w:t xml:space="preserve"> “HCL Technologies and Rockwell Collins’ Strategic Aerospace Engineering Agreement Reaches Ten Year Milestone; Companies Look to Further Expand Relationship,” HCL, May 6, 2010, accessed August 17, 2016, www.hcltech.com/press-releases/aerospace-and-defense/hcl-technologies-and-rockwell-collins%E2%80%99-strategic-aerospace.</w:t>
      </w:r>
    </w:p>
  </w:endnote>
  <w:endnote w:id="45">
    <w:p w14:paraId="560E82C6" w14:textId="46E9FD8C" w:rsidR="00356109" w:rsidRPr="00F13EC1" w:rsidRDefault="00356109" w:rsidP="00126580">
      <w:pPr>
        <w:pStyle w:val="Footnote"/>
        <w:rPr>
          <w:b/>
        </w:rPr>
      </w:pPr>
      <w:r w:rsidRPr="00F13EC1">
        <w:rPr>
          <w:rStyle w:val="EndnoteReference"/>
        </w:rPr>
        <w:endnoteRef/>
      </w:r>
      <w:r w:rsidRPr="00F13EC1">
        <w:t xml:space="preserve"> “HCL’s Vineet Nayar: ‘We Are Stepping on the Accelerator,’” Knowledge@Wharton, November 27, 2008, accessed August 13, 2016, http://knowledge.wharton.upenn.edu/article/hcls-vineet-nayar-we-are-stepping-on-the-accelerator/.</w:t>
      </w:r>
    </w:p>
  </w:endnote>
  <w:endnote w:id="46">
    <w:p w14:paraId="05BBCA90" w14:textId="2A24AE58" w:rsidR="00356109" w:rsidRPr="00F13EC1" w:rsidRDefault="00356109" w:rsidP="00126580">
      <w:pPr>
        <w:pStyle w:val="Footnote"/>
      </w:pPr>
      <w:r w:rsidRPr="00F13EC1">
        <w:rPr>
          <w:rStyle w:val="EndnoteReference"/>
        </w:rPr>
        <w:endnoteRef/>
      </w:r>
      <w:r w:rsidRPr="00F13EC1">
        <w:t xml:space="preserve"> T.</w:t>
      </w:r>
      <w:r w:rsidR="001D224D">
        <w:t xml:space="preserve"> </w:t>
      </w:r>
      <w:r w:rsidRPr="00F13EC1">
        <w:t>C. Ramesh, “Innovation in Engineering Services Outsourcing: The Need, Challenges and Way Forward,” QuEST Global, accessed March 24, 2017, https://www.quest-global.com/wp-content/uploads/2015/07/Innovation-in-engineering-services-outsourcing-the-need-challenges-and-way-forward.pdf.</w:t>
      </w:r>
    </w:p>
  </w:endnote>
  <w:endnote w:id="47">
    <w:p w14:paraId="1056A79E" w14:textId="6FF16EF8" w:rsidR="00356109" w:rsidRPr="00C36ABD" w:rsidRDefault="00356109" w:rsidP="00126580">
      <w:pPr>
        <w:pStyle w:val="Footnote"/>
      </w:pPr>
      <w:r w:rsidRPr="00F13EC1">
        <w:rPr>
          <w:rStyle w:val="EndnoteReference"/>
        </w:rPr>
        <w:endnoteRef/>
      </w:r>
      <w:r w:rsidRPr="00F13EC1">
        <w:t xml:space="preserve"> Peerzada Abrar, “Engineering Services Outsourcing Finds Favour with Indian Tech Firms,” </w:t>
      </w:r>
      <w:r w:rsidRPr="00F13EC1">
        <w:rPr>
          <w:i/>
        </w:rPr>
        <w:t>Economic Times</w:t>
      </w:r>
      <w:r w:rsidRPr="00F13EC1">
        <w:t>, August 4, 2009, accessed August 18, 2016, http://articles.economictimes.indiatimes.com/2009-08-04/news/28494932_1_tata-technologies-outsourcing-offshore-engineering.</w:t>
      </w:r>
      <w:bookmarkStart w:id="0" w:name="_GoBack"/>
      <w:bookmarkEnd w:id="0"/>
    </w:p>
  </w:endnote>
  <w:endnote w:id="48">
    <w:p w14:paraId="67691FCE" w14:textId="100BF660" w:rsidR="00356109" w:rsidRPr="001D3FBC" w:rsidRDefault="00356109" w:rsidP="00126580">
      <w:pPr>
        <w:pStyle w:val="Footnote"/>
      </w:pPr>
      <w:r w:rsidRPr="001D3FBC">
        <w:rPr>
          <w:rStyle w:val="EndnoteReference"/>
        </w:rPr>
        <w:endnoteRef/>
      </w:r>
      <w:r w:rsidRPr="001D3FBC">
        <w:t xml:space="preserve"> NASSCOM and Booz &amp; Company, </w:t>
      </w:r>
      <w:r w:rsidRPr="001D3FBC">
        <w:rPr>
          <w:i/>
        </w:rPr>
        <w:t xml:space="preserve">Global ER&amp;D: Accelerating Innovation with Indian Engineering </w:t>
      </w:r>
      <w:r w:rsidRPr="001D3FBC">
        <w:t>(New Delhi: Nasscom,</w:t>
      </w:r>
      <w:r>
        <w:t xml:space="preserve"> 2009).</w:t>
      </w:r>
    </w:p>
  </w:endnote>
  <w:endnote w:id="49">
    <w:p w14:paraId="46F5FFA5" w14:textId="38B9C162" w:rsidR="00356109" w:rsidRPr="00C36ABD" w:rsidRDefault="00356109" w:rsidP="00126580">
      <w:pPr>
        <w:pStyle w:val="Footnote"/>
      </w:pPr>
      <w:r w:rsidRPr="00F13EC1">
        <w:rPr>
          <w:rStyle w:val="EndnoteReference"/>
        </w:rPr>
        <w:endnoteRef/>
      </w:r>
      <w:r w:rsidRPr="00F13EC1">
        <w:t xml:space="preserve"> Gruia, op cit.</w:t>
      </w:r>
    </w:p>
  </w:endnote>
  <w:endnote w:id="50">
    <w:p w14:paraId="665D46AA" w14:textId="00ADCDDD" w:rsidR="00356109" w:rsidRPr="00126580" w:rsidRDefault="00356109" w:rsidP="00126580">
      <w:pPr>
        <w:pStyle w:val="Footnote"/>
      </w:pPr>
      <w:r w:rsidRPr="001D3FBC">
        <w:rPr>
          <w:rStyle w:val="EndnoteReference"/>
        </w:rPr>
        <w:endnoteRef/>
      </w:r>
      <w:r w:rsidRPr="001D3FBC">
        <w:t xml:space="preserve"> NASSCOM and Booz &amp; Company, op. cit</w:t>
      </w:r>
      <w:r w:rsidRPr="001D3FBC">
        <w:rPr>
          <w:i/>
        </w:rPr>
        <w:t>.</w:t>
      </w:r>
    </w:p>
  </w:endnote>
  <w:endnote w:id="51">
    <w:p w14:paraId="33715A54" w14:textId="6BC18399" w:rsidR="00356109" w:rsidRPr="00F13EC1" w:rsidRDefault="00356109" w:rsidP="001D224D">
      <w:pPr>
        <w:pStyle w:val="EndnoteText"/>
        <w:jc w:val="both"/>
        <w:rPr>
          <w:b/>
          <w:bCs/>
        </w:rPr>
      </w:pPr>
      <w:r w:rsidRPr="00F13EC1">
        <w:rPr>
          <w:rStyle w:val="EndnoteReference"/>
          <w:rFonts w:ascii="Arial" w:hAnsi="Arial" w:cs="Arial"/>
          <w:sz w:val="17"/>
          <w:szCs w:val="17"/>
        </w:rPr>
        <w:endnoteRef/>
      </w:r>
      <w:r w:rsidRPr="00F13EC1">
        <w:t xml:space="preserve"> </w:t>
      </w:r>
      <w:r w:rsidR="001D224D">
        <w:rPr>
          <w:rFonts w:ascii="Arial" w:hAnsi="Arial" w:cs="Arial"/>
          <w:sz w:val="17"/>
          <w:szCs w:val="17"/>
        </w:rPr>
        <w:t>Alwyn Scott, “Boeing’</w:t>
      </w:r>
      <w:r w:rsidRPr="00F13EC1">
        <w:rPr>
          <w:rFonts w:ascii="Arial" w:hAnsi="Arial" w:cs="Arial"/>
          <w:sz w:val="17"/>
          <w:szCs w:val="17"/>
        </w:rPr>
        <w:t>s 787 Dreamliner Faces New Challenge: Slow Sales,”</w:t>
      </w:r>
      <w:r w:rsidRPr="00F13EC1">
        <w:rPr>
          <w:rFonts w:ascii="Arial" w:hAnsi="Arial" w:cs="Arial"/>
          <w:i/>
          <w:sz w:val="17"/>
          <w:szCs w:val="17"/>
        </w:rPr>
        <w:t xml:space="preserve"> Reuters</w:t>
      </w:r>
      <w:r w:rsidRPr="00F13EC1">
        <w:rPr>
          <w:rFonts w:ascii="Arial" w:hAnsi="Arial" w:cs="Arial"/>
          <w:sz w:val="17"/>
          <w:szCs w:val="17"/>
        </w:rPr>
        <w:t>, May 2016, accessed August 23, 2017, www.reuters.com/article/us-boeing-787-sales-analysis-idUSKCN0Y70E8.</w:t>
      </w:r>
    </w:p>
  </w:endnote>
  <w:endnote w:id="52">
    <w:p w14:paraId="236CCCEA" w14:textId="406A87EA" w:rsidR="00356109" w:rsidRPr="00F13EC1" w:rsidRDefault="00356109" w:rsidP="00126580">
      <w:pPr>
        <w:pStyle w:val="Footnote"/>
      </w:pPr>
      <w:r w:rsidRPr="00F13EC1">
        <w:rPr>
          <w:rStyle w:val="EndnoteReference"/>
        </w:rPr>
        <w:endnoteRef/>
      </w:r>
      <w:r w:rsidRPr="00F13EC1">
        <w:t xml:space="preserve"> Michael V. Copeland, “Boeing’s Big Dream Is the Fastest-Selling New Airliner in History,” </w:t>
      </w:r>
      <w:r w:rsidRPr="00F13EC1">
        <w:rPr>
          <w:i/>
        </w:rPr>
        <w:t>Fortune</w:t>
      </w:r>
      <w:r w:rsidRPr="00F13EC1">
        <w:t>, May 5, 2008, accessed August 22, 2016, http://fortune.com/2008/05/05/boeing-787-airliner-photo-essay/</w:t>
      </w:r>
      <w:r w:rsidRPr="00F13EC1">
        <w:rPr>
          <w:rStyle w:val="Hyperlink"/>
          <w:u w:val="none"/>
        </w:rPr>
        <w:t>;</w:t>
      </w:r>
      <w:r w:rsidRPr="00F13EC1">
        <w:t xml:space="preserve"> “Orders and Deliveries,” The Boeing Company, accessed February 12, 2017, www.boeing.com/commercial/#/orders-deliveries. </w:t>
      </w:r>
    </w:p>
  </w:endnote>
  <w:endnote w:id="53">
    <w:p w14:paraId="1FFDE8BA" w14:textId="54E11E92" w:rsidR="00356109" w:rsidRPr="00F13EC1" w:rsidRDefault="00356109" w:rsidP="00126580">
      <w:pPr>
        <w:pStyle w:val="Footnote"/>
      </w:pPr>
      <w:r w:rsidRPr="00F13EC1">
        <w:rPr>
          <w:rStyle w:val="EndnoteReference"/>
        </w:rPr>
        <w:endnoteRef/>
      </w:r>
      <w:r w:rsidRPr="00F13EC1">
        <w:t xml:space="preserve"> Martin Sutton, </w:t>
      </w:r>
      <w:r w:rsidRPr="00F66B82">
        <w:t>“</w:t>
      </w:r>
      <w:r w:rsidRPr="00E507FA">
        <w:t>Aviation Market Overview</w:t>
      </w:r>
      <w:r>
        <w:t xml:space="preserve">,” Standard </w:t>
      </w:r>
      <w:r w:rsidRPr="00F13EC1">
        <w:t>Chartered</w:t>
      </w:r>
      <w:r>
        <w:t xml:space="preserve"> Bank, </w:t>
      </w:r>
      <w:r w:rsidRPr="00F13EC1">
        <w:t>January 2016, accessed January 31, 2017, www.aviationnews-online.com/wp-content/video/Dublin-2016/slides/s-1.pdf.</w:t>
      </w:r>
    </w:p>
  </w:endnote>
  <w:endnote w:id="54">
    <w:p w14:paraId="23B19597" w14:textId="7F33A333" w:rsidR="00356109" w:rsidRPr="00F13EC1" w:rsidRDefault="00356109" w:rsidP="00126580">
      <w:pPr>
        <w:pStyle w:val="Footnote"/>
      </w:pPr>
      <w:r w:rsidRPr="00F13EC1">
        <w:rPr>
          <w:rStyle w:val="EndnoteReference"/>
        </w:rPr>
        <w:endnoteRef/>
      </w:r>
      <w:r w:rsidRPr="00F13EC1">
        <w:t xml:space="preserve"> </w:t>
      </w:r>
      <w:r w:rsidRPr="00F13EC1">
        <w:rPr>
          <w:i/>
        </w:rPr>
        <w:t>Economic Briefing</w:t>
      </w:r>
      <w:r w:rsidRPr="00F13EC1">
        <w:t>, IATA, February 2010, accessed August 20, 2016, www.iata.org/whatwedo/Documents/economics/</w:t>
      </w:r>
    </w:p>
    <w:p w14:paraId="6AD5F87E" w14:textId="6EC47734" w:rsidR="00356109" w:rsidRPr="00F13EC1" w:rsidRDefault="00356109" w:rsidP="00126580">
      <w:pPr>
        <w:pStyle w:val="Footnote"/>
      </w:pPr>
      <w:r w:rsidRPr="00F13EC1">
        <w:t>Airline_Labour_Cost_Share_Feb2010.pdf.</w:t>
      </w:r>
    </w:p>
  </w:endnote>
  <w:endnote w:id="55">
    <w:p w14:paraId="2DAADA35" w14:textId="440B6758" w:rsidR="00356109" w:rsidRPr="00F13EC1" w:rsidRDefault="00356109" w:rsidP="00126580">
      <w:pPr>
        <w:pStyle w:val="Footnote"/>
      </w:pPr>
      <w:r w:rsidRPr="00F13EC1">
        <w:rPr>
          <w:rStyle w:val="EndnoteReference"/>
        </w:rPr>
        <w:endnoteRef/>
      </w:r>
      <w:r w:rsidRPr="00F13EC1">
        <w:t xml:space="preserve"> Institute for 21st Century Energy, “Metric of the Month: May 2012: A Deeper Look into Interesting Trends in Energy Security Data,” 2012, accessed March 26, 2017, www.energyxxi.org/sites/default/files/file-tool/MetricoftheMonth-MAY12CrudeOilPriceVolatility.pdf.</w:t>
      </w:r>
    </w:p>
  </w:endnote>
  <w:endnote w:id="56">
    <w:p w14:paraId="553B0CE2" w14:textId="1781D142" w:rsidR="00356109" w:rsidRPr="00F13EC1" w:rsidRDefault="00356109" w:rsidP="00126580">
      <w:pPr>
        <w:pStyle w:val="Footnote"/>
      </w:pPr>
      <w:r w:rsidRPr="00F13EC1">
        <w:rPr>
          <w:rStyle w:val="EndnoteReference"/>
        </w:rPr>
        <w:endnoteRef/>
      </w:r>
      <w:r w:rsidRPr="00F13EC1">
        <w:t xml:space="preserve"> “Gaining Technological Advantage A&amp;D Insights,” accessed February 9, 2017, www.pwc.com/im/en/publications/assets/</w:t>
      </w:r>
    </w:p>
    <w:p w14:paraId="0E81F468" w14:textId="556A1A75" w:rsidR="00356109" w:rsidRPr="00F13EC1" w:rsidRDefault="00356109" w:rsidP="00126580">
      <w:pPr>
        <w:pStyle w:val="Footnote"/>
      </w:pPr>
      <w:r w:rsidRPr="00F13EC1">
        <w:t>shipping-aircraft-space/aerospace-defence-insights.pdf.</w:t>
      </w:r>
    </w:p>
  </w:endnote>
  <w:endnote w:id="57">
    <w:p w14:paraId="2A89E265" w14:textId="5DA1470D" w:rsidR="00356109" w:rsidRPr="00F13EC1" w:rsidRDefault="00356109" w:rsidP="00126580">
      <w:pPr>
        <w:pStyle w:val="Footnote"/>
      </w:pPr>
      <w:r w:rsidRPr="00F13EC1">
        <w:rPr>
          <w:rStyle w:val="EndnoteReference"/>
        </w:rPr>
        <w:endnoteRef/>
      </w:r>
      <w:r w:rsidRPr="00F13EC1">
        <w:t xml:space="preserve"> Aram Geser, “</w:t>
      </w:r>
      <w:r w:rsidRPr="00F13EC1">
        <w:rPr>
          <w:bCs/>
        </w:rPr>
        <w:t>Boeing’s Yellowstone Project Is Meant to Replace Its Entire Civil Aircraft Portfolio for 21</w:t>
      </w:r>
      <w:r w:rsidRPr="00F13EC1">
        <w:rPr>
          <w:bCs/>
          <w:vertAlign w:val="superscript"/>
        </w:rPr>
        <w:t>st</w:t>
      </w:r>
      <w:r w:rsidRPr="00F13EC1">
        <w:rPr>
          <w:bCs/>
        </w:rPr>
        <w:t xml:space="preserve"> Century,” Airguide, May 2013, accessed</w:t>
      </w:r>
      <w:r w:rsidRPr="00F13EC1">
        <w:t xml:space="preserve"> August 24, 2017, www.airguideonline.com/boeings-yellowstone-project-is-meant-to-replace-its-entire-civil-aircraft-portfolio-for-21st-century.</w:t>
      </w:r>
    </w:p>
  </w:endnote>
  <w:endnote w:id="58">
    <w:p w14:paraId="06BF0168" w14:textId="72B7839C" w:rsidR="00356109" w:rsidRPr="00126580" w:rsidRDefault="00356109" w:rsidP="00126580">
      <w:pPr>
        <w:pStyle w:val="Footnote"/>
      </w:pPr>
      <w:r w:rsidRPr="00F13EC1">
        <w:rPr>
          <w:rStyle w:val="EndnoteReference"/>
        </w:rPr>
        <w:endnoteRef/>
      </w:r>
      <w:r w:rsidRPr="00F13EC1">
        <w:t xml:space="preserve"> </w:t>
      </w:r>
      <w:r>
        <w:t xml:space="preserve">Aerospace &amp; Defence Industry, </w:t>
      </w:r>
      <w:r w:rsidRPr="00F13EC1">
        <w:rPr>
          <w:i/>
        </w:rPr>
        <w:t>Changing Dynamics: India’s Aerospace</w:t>
      </w:r>
      <w:r w:rsidRPr="00126580">
        <w:rPr>
          <w:i/>
        </w:rPr>
        <w:t xml:space="preserve"> Industry</w:t>
      </w:r>
      <w:r>
        <w:t xml:space="preserve">, PriceWaterhouseCoopers, </w:t>
      </w:r>
      <w:r w:rsidRPr="00126580">
        <w:t>2008</w:t>
      </w:r>
      <w:r>
        <w:t xml:space="preserve">, accessed August 24, 2017, </w:t>
      </w:r>
      <w:r w:rsidRPr="00F13EC1">
        <w:t>www.pwc.in/assets/pdfs/industries/changing-dynamics-india-aerospace-industry-091211.pdf</w:t>
      </w:r>
      <w:r>
        <w:t xml:space="preserve">; Department of </w:t>
      </w:r>
      <w:r w:rsidRPr="00126580">
        <w:t>Science</w:t>
      </w:r>
      <w:r>
        <w:t xml:space="preserve"> &amp; </w:t>
      </w:r>
      <w:r w:rsidRPr="00126580">
        <w:t>Technology,</w:t>
      </w:r>
      <w:r>
        <w:t xml:space="preserve"> </w:t>
      </w:r>
      <w:r w:rsidRPr="00126580">
        <w:rPr>
          <w:i/>
        </w:rPr>
        <w:t>Research and Development Statistics</w:t>
      </w:r>
      <w:r>
        <w:rPr>
          <w:i/>
        </w:rPr>
        <w:t xml:space="preserve"> at a Glance</w:t>
      </w:r>
      <w:r w:rsidRPr="00126580">
        <w:rPr>
          <w:i/>
        </w:rPr>
        <w:t xml:space="preserve"> </w:t>
      </w:r>
      <w:r w:rsidRPr="00474906">
        <w:rPr>
          <w:i/>
        </w:rPr>
        <w:t>2011–12</w:t>
      </w:r>
      <w:r w:rsidRPr="00126580">
        <w:t>,</w:t>
      </w:r>
      <w:r>
        <w:t xml:space="preserve"> Ministry of Science &amp; Technology, Government of India, September 2013, </w:t>
      </w:r>
      <w:r w:rsidRPr="00126580">
        <w:t xml:space="preserve">accessed January 31, 2016, </w:t>
      </w:r>
      <w:r w:rsidRPr="00C245E6">
        <w:t>www.nstmis-dst.org/pdf/finalrndstatisticsataglance2011121.pdf</w:t>
      </w:r>
      <w:r w:rsidRPr="00126580">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94259" w14:textId="77777777" w:rsidR="00356109" w:rsidRDefault="00356109" w:rsidP="00D75295">
      <w:r>
        <w:separator/>
      </w:r>
    </w:p>
  </w:footnote>
  <w:footnote w:type="continuationSeparator" w:id="0">
    <w:p w14:paraId="223735AD" w14:textId="77777777" w:rsidR="00356109" w:rsidRDefault="0035610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F43CA" w14:textId="0C7D0CFA" w:rsidR="00356109" w:rsidRDefault="0035610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D224D">
      <w:rPr>
        <w:rFonts w:ascii="Arial" w:hAnsi="Arial"/>
        <w:b/>
        <w:noProof/>
      </w:rPr>
      <w:t>2</w:t>
    </w:r>
    <w:r>
      <w:rPr>
        <w:rFonts w:ascii="Arial" w:hAnsi="Arial"/>
        <w:b/>
      </w:rPr>
      <w:fldChar w:fldCharType="end"/>
    </w:r>
    <w:r>
      <w:rPr>
        <w:rFonts w:ascii="Arial" w:hAnsi="Arial"/>
        <w:b/>
      </w:rPr>
      <w:tab/>
      <w:t>9B17M151</w:t>
    </w:r>
  </w:p>
  <w:p w14:paraId="67D8905F" w14:textId="77777777" w:rsidR="00356109" w:rsidRPr="00C92CC4" w:rsidRDefault="00356109">
    <w:pPr>
      <w:pStyle w:val="Header"/>
      <w:rPr>
        <w:sz w:val="18"/>
        <w:szCs w:val="18"/>
      </w:rPr>
    </w:pPr>
  </w:p>
  <w:p w14:paraId="7A276D3E" w14:textId="77777777" w:rsidR="00356109" w:rsidRPr="00C92CC4" w:rsidRDefault="0035610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DB487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E30984"/>
    <w:multiLevelType w:val="hybridMultilevel"/>
    <w:tmpl w:val="D38C3936"/>
    <w:lvl w:ilvl="0" w:tplc="35406772">
      <w:start w:val="1"/>
      <w:numFmt w:val="bullet"/>
      <w:lvlText w:val=""/>
      <w:lvlJc w:val="left"/>
      <w:pPr>
        <w:ind w:left="360" w:hanging="360"/>
      </w:pPr>
      <w:rPr>
        <w:rFonts w:ascii="Symbol" w:hAnsi="Symbol" w:hint="default"/>
        <w:b w:val="0"/>
        <w:vertAlign w:val="baseline"/>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1"/>
  </w:num>
  <w:num w:numId="13">
    <w:abstractNumId w:val="14"/>
  </w:num>
  <w:num w:numId="14">
    <w:abstractNumId w:val="22"/>
  </w:num>
  <w:num w:numId="15">
    <w:abstractNumId w:val="23"/>
  </w:num>
  <w:num w:numId="16">
    <w:abstractNumId w:val="24"/>
  </w:num>
  <w:num w:numId="17">
    <w:abstractNumId w:val="18"/>
  </w:num>
  <w:num w:numId="18">
    <w:abstractNumId w:val="25"/>
  </w:num>
  <w:num w:numId="19">
    <w:abstractNumId w:val="13"/>
  </w:num>
  <w:num w:numId="20">
    <w:abstractNumId w:val="12"/>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19"/>
  </w:num>
  <w:num w:numId="28">
    <w:abstractNumId w:val="11"/>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153"/>
    <w:rsid w:val="00013360"/>
    <w:rsid w:val="00013944"/>
    <w:rsid w:val="00014B15"/>
    <w:rsid w:val="00014F3E"/>
    <w:rsid w:val="00015D21"/>
    <w:rsid w:val="00020109"/>
    <w:rsid w:val="000216CE"/>
    <w:rsid w:val="00022E3E"/>
    <w:rsid w:val="00025DC7"/>
    <w:rsid w:val="00026486"/>
    <w:rsid w:val="00032ABA"/>
    <w:rsid w:val="00040427"/>
    <w:rsid w:val="00043CB1"/>
    <w:rsid w:val="00044ECC"/>
    <w:rsid w:val="00046E58"/>
    <w:rsid w:val="00047D17"/>
    <w:rsid w:val="00052E34"/>
    <w:rsid w:val="000531D3"/>
    <w:rsid w:val="00054624"/>
    <w:rsid w:val="0005646B"/>
    <w:rsid w:val="00056C75"/>
    <w:rsid w:val="00061511"/>
    <w:rsid w:val="00072E39"/>
    <w:rsid w:val="000776C7"/>
    <w:rsid w:val="0008102D"/>
    <w:rsid w:val="000812B5"/>
    <w:rsid w:val="00094C0E"/>
    <w:rsid w:val="000A22C0"/>
    <w:rsid w:val="000A46AC"/>
    <w:rsid w:val="000B272C"/>
    <w:rsid w:val="000C2ABA"/>
    <w:rsid w:val="000C4012"/>
    <w:rsid w:val="000C72C8"/>
    <w:rsid w:val="000D0E21"/>
    <w:rsid w:val="000D3D61"/>
    <w:rsid w:val="000D43C0"/>
    <w:rsid w:val="000D5883"/>
    <w:rsid w:val="000F0348"/>
    <w:rsid w:val="000F0C22"/>
    <w:rsid w:val="000F5281"/>
    <w:rsid w:val="000F57E9"/>
    <w:rsid w:val="000F5E52"/>
    <w:rsid w:val="000F6B09"/>
    <w:rsid w:val="000F6EBE"/>
    <w:rsid w:val="000F6FDC"/>
    <w:rsid w:val="000F7143"/>
    <w:rsid w:val="00102A8B"/>
    <w:rsid w:val="001033DF"/>
    <w:rsid w:val="00104567"/>
    <w:rsid w:val="00106508"/>
    <w:rsid w:val="0010659A"/>
    <w:rsid w:val="00111C99"/>
    <w:rsid w:val="00111E3A"/>
    <w:rsid w:val="00126580"/>
    <w:rsid w:val="0012732D"/>
    <w:rsid w:val="00127B56"/>
    <w:rsid w:val="00132807"/>
    <w:rsid w:val="001358E4"/>
    <w:rsid w:val="00135A34"/>
    <w:rsid w:val="00136132"/>
    <w:rsid w:val="00136CDD"/>
    <w:rsid w:val="00154FC9"/>
    <w:rsid w:val="00167995"/>
    <w:rsid w:val="00170057"/>
    <w:rsid w:val="00170B1C"/>
    <w:rsid w:val="00170F18"/>
    <w:rsid w:val="00175F4B"/>
    <w:rsid w:val="0018634A"/>
    <w:rsid w:val="0018724E"/>
    <w:rsid w:val="001873D9"/>
    <w:rsid w:val="0018761C"/>
    <w:rsid w:val="00192040"/>
    <w:rsid w:val="0019241A"/>
    <w:rsid w:val="00193653"/>
    <w:rsid w:val="001A5335"/>
    <w:rsid w:val="001A752D"/>
    <w:rsid w:val="001B31AB"/>
    <w:rsid w:val="001B485F"/>
    <w:rsid w:val="001B709B"/>
    <w:rsid w:val="001C211A"/>
    <w:rsid w:val="001C4A47"/>
    <w:rsid w:val="001D224D"/>
    <w:rsid w:val="001D2D20"/>
    <w:rsid w:val="001D3FBC"/>
    <w:rsid w:val="001E15A6"/>
    <w:rsid w:val="001E1B07"/>
    <w:rsid w:val="001E4257"/>
    <w:rsid w:val="001F1041"/>
    <w:rsid w:val="001F6DF0"/>
    <w:rsid w:val="00203AA1"/>
    <w:rsid w:val="00204E5D"/>
    <w:rsid w:val="00213E98"/>
    <w:rsid w:val="00213FD7"/>
    <w:rsid w:val="00223FD1"/>
    <w:rsid w:val="002244F0"/>
    <w:rsid w:val="002314CA"/>
    <w:rsid w:val="00235725"/>
    <w:rsid w:val="0023737A"/>
    <w:rsid w:val="00245DDD"/>
    <w:rsid w:val="00253ACD"/>
    <w:rsid w:val="002541C5"/>
    <w:rsid w:val="00256412"/>
    <w:rsid w:val="002576A1"/>
    <w:rsid w:val="00261F74"/>
    <w:rsid w:val="00264783"/>
    <w:rsid w:val="002669BE"/>
    <w:rsid w:val="00266AE8"/>
    <w:rsid w:val="002701D3"/>
    <w:rsid w:val="0027369E"/>
    <w:rsid w:val="002817C5"/>
    <w:rsid w:val="002834B7"/>
    <w:rsid w:val="002923D5"/>
    <w:rsid w:val="00295FBF"/>
    <w:rsid w:val="002A2879"/>
    <w:rsid w:val="002A4A2B"/>
    <w:rsid w:val="002A4DDB"/>
    <w:rsid w:val="002A51C4"/>
    <w:rsid w:val="002B4E3C"/>
    <w:rsid w:val="002B6B57"/>
    <w:rsid w:val="002C245C"/>
    <w:rsid w:val="002C389A"/>
    <w:rsid w:val="002C67E2"/>
    <w:rsid w:val="002C75D0"/>
    <w:rsid w:val="002D41D0"/>
    <w:rsid w:val="002D5083"/>
    <w:rsid w:val="002E0A00"/>
    <w:rsid w:val="002E32F0"/>
    <w:rsid w:val="002E6318"/>
    <w:rsid w:val="002F460C"/>
    <w:rsid w:val="002F48D6"/>
    <w:rsid w:val="0031678F"/>
    <w:rsid w:val="003215C8"/>
    <w:rsid w:val="003220D6"/>
    <w:rsid w:val="00325080"/>
    <w:rsid w:val="00325CC3"/>
    <w:rsid w:val="00326A79"/>
    <w:rsid w:val="00326B84"/>
    <w:rsid w:val="00342E2E"/>
    <w:rsid w:val="0035202B"/>
    <w:rsid w:val="00354899"/>
    <w:rsid w:val="00354F19"/>
    <w:rsid w:val="00355FD6"/>
    <w:rsid w:val="00356109"/>
    <w:rsid w:val="00361C8E"/>
    <w:rsid w:val="00364A5C"/>
    <w:rsid w:val="00373FB1"/>
    <w:rsid w:val="0038014A"/>
    <w:rsid w:val="003829B3"/>
    <w:rsid w:val="0038416C"/>
    <w:rsid w:val="0038707B"/>
    <w:rsid w:val="003906F5"/>
    <w:rsid w:val="00397BE0"/>
    <w:rsid w:val="003A24A1"/>
    <w:rsid w:val="003B30D8"/>
    <w:rsid w:val="003B3D71"/>
    <w:rsid w:val="003B42DA"/>
    <w:rsid w:val="003B45C4"/>
    <w:rsid w:val="003B7867"/>
    <w:rsid w:val="003B7EF2"/>
    <w:rsid w:val="003C3179"/>
    <w:rsid w:val="003C34EA"/>
    <w:rsid w:val="003C3FA4"/>
    <w:rsid w:val="003D5039"/>
    <w:rsid w:val="003E16EE"/>
    <w:rsid w:val="003E6231"/>
    <w:rsid w:val="003E6CD2"/>
    <w:rsid w:val="003F278F"/>
    <w:rsid w:val="003F2B0C"/>
    <w:rsid w:val="003F3F9F"/>
    <w:rsid w:val="003F4E57"/>
    <w:rsid w:val="003F6043"/>
    <w:rsid w:val="0040098E"/>
    <w:rsid w:val="004014D1"/>
    <w:rsid w:val="0040438C"/>
    <w:rsid w:val="004078F0"/>
    <w:rsid w:val="00414C63"/>
    <w:rsid w:val="004221E4"/>
    <w:rsid w:val="00441772"/>
    <w:rsid w:val="0044232E"/>
    <w:rsid w:val="00444828"/>
    <w:rsid w:val="0045326A"/>
    <w:rsid w:val="00460581"/>
    <w:rsid w:val="004629A7"/>
    <w:rsid w:val="00462D98"/>
    <w:rsid w:val="00464BED"/>
    <w:rsid w:val="00466335"/>
    <w:rsid w:val="00471088"/>
    <w:rsid w:val="004723D7"/>
    <w:rsid w:val="00475665"/>
    <w:rsid w:val="00476186"/>
    <w:rsid w:val="00483AF9"/>
    <w:rsid w:val="00484FC1"/>
    <w:rsid w:val="00493839"/>
    <w:rsid w:val="00497A76"/>
    <w:rsid w:val="004A31C1"/>
    <w:rsid w:val="004A47CC"/>
    <w:rsid w:val="004B1CCB"/>
    <w:rsid w:val="004B234A"/>
    <w:rsid w:val="004B44DE"/>
    <w:rsid w:val="004C2798"/>
    <w:rsid w:val="004C620F"/>
    <w:rsid w:val="004D0301"/>
    <w:rsid w:val="004D73A5"/>
    <w:rsid w:val="004E067B"/>
    <w:rsid w:val="004E6611"/>
    <w:rsid w:val="004E7821"/>
    <w:rsid w:val="004F2B2A"/>
    <w:rsid w:val="004F42EC"/>
    <w:rsid w:val="004F4A98"/>
    <w:rsid w:val="004F4AA2"/>
    <w:rsid w:val="004F77BE"/>
    <w:rsid w:val="005012EF"/>
    <w:rsid w:val="0050351F"/>
    <w:rsid w:val="00506F4A"/>
    <w:rsid w:val="00515E53"/>
    <w:rsid w:val="005206F7"/>
    <w:rsid w:val="00531C82"/>
    <w:rsid w:val="00532CF5"/>
    <w:rsid w:val="00534B2F"/>
    <w:rsid w:val="00541514"/>
    <w:rsid w:val="005431ED"/>
    <w:rsid w:val="00545BE9"/>
    <w:rsid w:val="005528CB"/>
    <w:rsid w:val="0055396C"/>
    <w:rsid w:val="00555E48"/>
    <w:rsid w:val="00556B29"/>
    <w:rsid w:val="00557601"/>
    <w:rsid w:val="005617EA"/>
    <w:rsid w:val="005618ED"/>
    <w:rsid w:val="00566771"/>
    <w:rsid w:val="00566FE0"/>
    <w:rsid w:val="005760A2"/>
    <w:rsid w:val="00581E2E"/>
    <w:rsid w:val="00584838"/>
    <w:rsid w:val="00584F15"/>
    <w:rsid w:val="005873F4"/>
    <w:rsid w:val="0058745D"/>
    <w:rsid w:val="00593428"/>
    <w:rsid w:val="005A37D8"/>
    <w:rsid w:val="005A4EB4"/>
    <w:rsid w:val="005B4F84"/>
    <w:rsid w:val="005C2105"/>
    <w:rsid w:val="005D2926"/>
    <w:rsid w:val="005E1D73"/>
    <w:rsid w:val="005F203C"/>
    <w:rsid w:val="0060123A"/>
    <w:rsid w:val="0060727E"/>
    <w:rsid w:val="00607BD4"/>
    <w:rsid w:val="00610C9B"/>
    <w:rsid w:val="00612B21"/>
    <w:rsid w:val="006163F7"/>
    <w:rsid w:val="00624780"/>
    <w:rsid w:val="006338E7"/>
    <w:rsid w:val="00636798"/>
    <w:rsid w:val="00637359"/>
    <w:rsid w:val="00644C1E"/>
    <w:rsid w:val="00644E27"/>
    <w:rsid w:val="006516D7"/>
    <w:rsid w:val="00652606"/>
    <w:rsid w:val="00653F2C"/>
    <w:rsid w:val="0066502A"/>
    <w:rsid w:val="006652FB"/>
    <w:rsid w:val="00665605"/>
    <w:rsid w:val="00666C42"/>
    <w:rsid w:val="0067061B"/>
    <w:rsid w:val="00670FAA"/>
    <w:rsid w:val="00672046"/>
    <w:rsid w:val="00672BE1"/>
    <w:rsid w:val="00682754"/>
    <w:rsid w:val="00685F66"/>
    <w:rsid w:val="00691CE8"/>
    <w:rsid w:val="006A4ED2"/>
    <w:rsid w:val="006A58A9"/>
    <w:rsid w:val="006A606D"/>
    <w:rsid w:val="006A7168"/>
    <w:rsid w:val="006A7185"/>
    <w:rsid w:val="006B7F7A"/>
    <w:rsid w:val="006C0371"/>
    <w:rsid w:val="006C08B6"/>
    <w:rsid w:val="006C0B1A"/>
    <w:rsid w:val="006C2F86"/>
    <w:rsid w:val="006C4384"/>
    <w:rsid w:val="006C6065"/>
    <w:rsid w:val="006C7F9F"/>
    <w:rsid w:val="006D0C5B"/>
    <w:rsid w:val="006D1CBB"/>
    <w:rsid w:val="006D2D3C"/>
    <w:rsid w:val="006D4D05"/>
    <w:rsid w:val="006D64D1"/>
    <w:rsid w:val="006E152A"/>
    <w:rsid w:val="006E2F6D"/>
    <w:rsid w:val="006E58F6"/>
    <w:rsid w:val="006E77E1"/>
    <w:rsid w:val="006F131D"/>
    <w:rsid w:val="006F1D9E"/>
    <w:rsid w:val="006F2351"/>
    <w:rsid w:val="006F49F8"/>
    <w:rsid w:val="006F5115"/>
    <w:rsid w:val="006F6D96"/>
    <w:rsid w:val="00705B77"/>
    <w:rsid w:val="00712E65"/>
    <w:rsid w:val="0071509F"/>
    <w:rsid w:val="00722B6B"/>
    <w:rsid w:val="00742984"/>
    <w:rsid w:val="00752BCD"/>
    <w:rsid w:val="007531A2"/>
    <w:rsid w:val="00754190"/>
    <w:rsid w:val="007551FC"/>
    <w:rsid w:val="00760161"/>
    <w:rsid w:val="00760A1C"/>
    <w:rsid w:val="00762766"/>
    <w:rsid w:val="00765DFC"/>
    <w:rsid w:val="0076620D"/>
    <w:rsid w:val="00766DA1"/>
    <w:rsid w:val="00771825"/>
    <w:rsid w:val="00771D29"/>
    <w:rsid w:val="007723B0"/>
    <w:rsid w:val="00772E58"/>
    <w:rsid w:val="007732F5"/>
    <w:rsid w:val="00776DF2"/>
    <w:rsid w:val="007840C3"/>
    <w:rsid w:val="00784927"/>
    <w:rsid w:val="00785A99"/>
    <w:rsid w:val="00785D9E"/>
    <w:rsid w:val="00785EB3"/>
    <w:rsid w:val="007866A6"/>
    <w:rsid w:val="00790697"/>
    <w:rsid w:val="007918F9"/>
    <w:rsid w:val="007A130D"/>
    <w:rsid w:val="007A1CEC"/>
    <w:rsid w:val="007C1F7B"/>
    <w:rsid w:val="007C4779"/>
    <w:rsid w:val="007D3C14"/>
    <w:rsid w:val="007D4102"/>
    <w:rsid w:val="007D58B3"/>
    <w:rsid w:val="007E55C4"/>
    <w:rsid w:val="007E5921"/>
    <w:rsid w:val="007E6FE1"/>
    <w:rsid w:val="007F3872"/>
    <w:rsid w:val="007F499D"/>
    <w:rsid w:val="008041A5"/>
    <w:rsid w:val="00804439"/>
    <w:rsid w:val="00805C88"/>
    <w:rsid w:val="00805E75"/>
    <w:rsid w:val="00806E65"/>
    <w:rsid w:val="008076D5"/>
    <w:rsid w:val="0081200F"/>
    <w:rsid w:val="008139CA"/>
    <w:rsid w:val="00821A43"/>
    <w:rsid w:val="00821FFC"/>
    <w:rsid w:val="00823E7C"/>
    <w:rsid w:val="008271CA"/>
    <w:rsid w:val="00832A1F"/>
    <w:rsid w:val="008354EE"/>
    <w:rsid w:val="0084184E"/>
    <w:rsid w:val="00843A34"/>
    <w:rsid w:val="00844274"/>
    <w:rsid w:val="00844464"/>
    <w:rsid w:val="00844C7B"/>
    <w:rsid w:val="008467D5"/>
    <w:rsid w:val="00856D9F"/>
    <w:rsid w:val="00857874"/>
    <w:rsid w:val="00861A65"/>
    <w:rsid w:val="00866F6D"/>
    <w:rsid w:val="00867E4E"/>
    <w:rsid w:val="00870CCA"/>
    <w:rsid w:val="00872DAE"/>
    <w:rsid w:val="008748FC"/>
    <w:rsid w:val="00882A00"/>
    <w:rsid w:val="00883BE5"/>
    <w:rsid w:val="008848C5"/>
    <w:rsid w:val="008925D4"/>
    <w:rsid w:val="00892FD6"/>
    <w:rsid w:val="00894455"/>
    <w:rsid w:val="00894D92"/>
    <w:rsid w:val="0089693C"/>
    <w:rsid w:val="008A40B7"/>
    <w:rsid w:val="008A4DC4"/>
    <w:rsid w:val="008A5F05"/>
    <w:rsid w:val="008B34DA"/>
    <w:rsid w:val="008B4F05"/>
    <w:rsid w:val="008D1A70"/>
    <w:rsid w:val="008D3FC8"/>
    <w:rsid w:val="008D620C"/>
    <w:rsid w:val="008E0A69"/>
    <w:rsid w:val="008E0F1A"/>
    <w:rsid w:val="008E13F8"/>
    <w:rsid w:val="008E239F"/>
    <w:rsid w:val="008E2AC4"/>
    <w:rsid w:val="008E35AD"/>
    <w:rsid w:val="008E7AA1"/>
    <w:rsid w:val="00900294"/>
    <w:rsid w:val="00903B48"/>
    <w:rsid w:val="009067A4"/>
    <w:rsid w:val="00906B84"/>
    <w:rsid w:val="0090722E"/>
    <w:rsid w:val="00907610"/>
    <w:rsid w:val="009105FB"/>
    <w:rsid w:val="00911CCB"/>
    <w:rsid w:val="00913110"/>
    <w:rsid w:val="00933B98"/>
    <w:rsid w:val="009340DB"/>
    <w:rsid w:val="0093624C"/>
    <w:rsid w:val="00937700"/>
    <w:rsid w:val="0093790E"/>
    <w:rsid w:val="00941FB6"/>
    <w:rsid w:val="0094351F"/>
    <w:rsid w:val="00943E40"/>
    <w:rsid w:val="00944C00"/>
    <w:rsid w:val="00945F9E"/>
    <w:rsid w:val="00946E3B"/>
    <w:rsid w:val="009523E3"/>
    <w:rsid w:val="00953200"/>
    <w:rsid w:val="0095390D"/>
    <w:rsid w:val="00963342"/>
    <w:rsid w:val="00964FD7"/>
    <w:rsid w:val="00966CED"/>
    <w:rsid w:val="00971368"/>
    <w:rsid w:val="00972498"/>
    <w:rsid w:val="00974CC6"/>
    <w:rsid w:val="00974E0E"/>
    <w:rsid w:val="00976AD4"/>
    <w:rsid w:val="00981846"/>
    <w:rsid w:val="0098274B"/>
    <w:rsid w:val="0098508D"/>
    <w:rsid w:val="009867D6"/>
    <w:rsid w:val="009A312F"/>
    <w:rsid w:val="009A5348"/>
    <w:rsid w:val="009A5C55"/>
    <w:rsid w:val="009A67BB"/>
    <w:rsid w:val="009B092F"/>
    <w:rsid w:val="009B0971"/>
    <w:rsid w:val="009B1D84"/>
    <w:rsid w:val="009B2A1E"/>
    <w:rsid w:val="009B2F5F"/>
    <w:rsid w:val="009B4275"/>
    <w:rsid w:val="009B55ED"/>
    <w:rsid w:val="009B7717"/>
    <w:rsid w:val="009C2156"/>
    <w:rsid w:val="009C76D5"/>
    <w:rsid w:val="009D00C1"/>
    <w:rsid w:val="009D51FD"/>
    <w:rsid w:val="009D7162"/>
    <w:rsid w:val="009E5580"/>
    <w:rsid w:val="009E79C8"/>
    <w:rsid w:val="009F653A"/>
    <w:rsid w:val="009F7AA4"/>
    <w:rsid w:val="00A006D6"/>
    <w:rsid w:val="00A00ADF"/>
    <w:rsid w:val="00A0189C"/>
    <w:rsid w:val="00A1072A"/>
    <w:rsid w:val="00A203BB"/>
    <w:rsid w:val="00A21F2A"/>
    <w:rsid w:val="00A23D96"/>
    <w:rsid w:val="00A26105"/>
    <w:rsid w:val="00A311D9"/>
    <w:rsid w:val="00A324A9"/>
    <w:rsid w:val="00A400EC"/>
    <w:rsid w:val="00A42D30"/>
    <w:rsid w:val="00A559DB"/>
    <w:rsid w:val="00A674C2"/>
    <w:rsid w:val="00A75222"/>
    <w:rsid w:val="00A756C6"/>
    <w:rsid w:val="00A804C9"/>
    <w:rsid w:val="00A80986"/>
    <w:rsid w:val="00A8312E"/>
    <w:rsid w:val="00A869EF"/>
    <w:rsid w:val="00A916A0"/>
    <w:rsid w:val="00A965D2"/>
    <w:rsid w:val="00A96FAD"/>
    <w:rsid w:val="00AA1FE3"/>
    <w:rsid w:val="00AA3C9D"/>
    <w:rsid w:val="00AA6063"/>
    <w:rsid w:val="00AA65F6"/>
    <w:rsid w:val="00AA789E"/>
    <w:rsid w:val="00AB184A"/>
    <w:rsid w:val="00AB3AF5"/>
    <w:rsid w:val="00AB7F3A"/>
    <w:rsid w:val="00AC420D"/>
    <w:rsid w:val="00AC78FD"/>
    <w:rsid w:val="00AC7ECB"/>
    <w:rsid w:val="00AD530E"/>
    <w:rsid w:val="00AD6A44"/>
    <w:rsid w:val="00AD7C3F"/>
    <w:rsid w:val="00AE6AFB"/>
    <w:rsid w:val="00AE7C5D"/>
    <w:rsid w:val="00AF0593"/>
    <w:rsid w:val="00AF35FC"/>
    <w:rsid w:val="00B03639"/>
    <w:rsid w:val="00B0652A"/>
    <w:rsid w:val="00B07D9B"/>
    <w:rsid w:val="00B14668"/>
    <w:rsid w:val="00B15800"/>
    <w:rsid w:val="00B15E30"/>
    <w:rsid w:val="00B15EDD"/>
    <w:rsid w:val="00B20A3D"/>
    <w:rsid w:val="00B2164F"/>
    <w:rsid w:val="00B2214A"/>
    <w:rsid w:val="00B2344B"/>
    <w:rsid w:val="00B24257"/>
    <w:rsid w:val="00B251F6"/>
    <w:rsid w:val="00B2543E"/>
    <w:rsid w:val="00B27676"/>
    <w:rsid w:val="00B31310"/>
    <w:rsid w:val="00B33477"/>
    <w:rsid w:val="00B34623"/>
    <w:rsid w:val="00B352A3"/>
    <w:rsid w:val="00B370C7"/>
    <w:rsid w:val="00B3757D"/>
    <w:rsid w:val="00B40937"/>
    <w:rsid w:val="00B423EF"/>
    <w:rsid w:val="00B4527F"/>
    <w:rsid w:val="00B453DE"/>
    <w:rsid w:val="00B4742F"/>
    <w:rsid w:val="00B50A0D"/>
    <w:rsid w:val="00B52604"/>
    <w:rsid w:val="00B52F9B"/>
    <w:rsid w:val="00B54189"/>
    <w:rsid w:val="00B6292C"/>
    <w:rsid w:val="00B66710"/>
    <w:rsid w:val="00B77FBD"/>
    <w:rsid w:val="00B81733"/>
    <w:rsid w:val="00B82050"/>
    <w:rsid w:val="00B829FF"/>
    <w:rsid w:val="00B82E35"/>
    <w:rsid w:val="00B86C7C"/>
    <w:rsid w:val="00B901F9"/>
    <w:rsid w:val="00B91AE8"/>
    <w:rsid w:val="00BB18BE"/>
    <w:rsid w:val="00BB3175"/>
    <w:rsid w:val="00BB4D38"/>
    <w:rsid w:val="00BC1113"/>
    <w:rsid w:val="00BD2279"/>
    <w:rsid w:val="00BD6EFB"/>
    <w:rsid w:val="00BE0788"/>
    <w:rsid w:val="00BE0BAB"/>
    <w:rsid w:val="00BE10C5"/>
    <w:rsid w:val="00BE20D5"/>
    <w:rsid w:val="00BE7DEE"/>
    <w:rsid w:val="00BF0447"/>
    <w:rsid w:val="00BF6B13"/>
    <w:rsid w:val="00BF7B6D"/>
    <w:rsid w:val="00C037A3"/>
    <w:rsid w:val="00C05906"/>
    <w:rsid w:val="00C06C7F"/>
    <w:rsid w:val="00C11373"/>
    <w:rsid w:val="00C1248E"/>
    <w:rsid w:val="00C15BE2"/>
    <w:rsid w:val="00C164C8"/>
    <w:rsid w:val="00C216E5"/>
    <w:rsid w:val="00C22219"/>
    <w:rsid w:val="00C22A91"/>
    <w:rsid w:val="00C245E6"/>
    <w:rsid w:val="00C272A2"/>
    <w:rsid w:val="00C27ED1"/>
    <w:rsid w:val="00C31417"/>
    <w:rsid w:val="00C3187A"/>
    <w:rsid w:val="00C3447F"/>
    <w:rsid w:val="00C36ABD"/>
    <w:rsid w:val="00C40F4E"/>
    <w:rsid w:val="00C4153F"/>
    <w:rsid w:val="00C61B7E"/>
    <w:rsid w:val="00C70141"/>
    <w:rsid w:val="00C72E6B"/>
    <w:rsid w:val="00C81491"/>
    <w:rsid w:val="00C81676"/>
    <w:rsid w:val="00C8322C"/>
    <w:rsid w:val="00C852C0"/>
    <w:rsid w:val="00C861AB"/>
    <w:rsid w:val="00C86F3A"/>
    <w:rsid w:val="00C91ED2"/>
    <w:rsid w:val="00C92CC4"/>
    <w:rsid w:val="00CA0AFB"/>
    <w:rsid w:val="00CA2CE1"/>
    <w:rsid w:val="00CA3976"/>
    <w:rsid w:val="00CA757B"/>
    <w:rsid w:val="00CB585D"/>
    <w:rsid w:val="00CB6B09"/>
    <w:rsid w:val="00CC1787"/>
    <w:rsid w:val="00CC182C"/>
    <w:rsid w:val="00CC4D44"/>
    <w:rsid w:val="00CD0824"/>
    <w:rsid w:val="00CD1EC2"/>
    <w:rsid w:val="00CD2908"/>
    <w:rsid w:val="00CD4204"/>
    <w:rsid w:val="00CD5DD3"/>
    <w:rsid w:val="00CE108C"/>
    <w:rsid w:val="00CE2A18"/>
    <w:rsid w:val="00CE66E7"/>
    <w:rsid w:val="00CE7EBA"/>
    <w:rsid w:val="00CF15B0"/>
    <w:rsid w:val="00CF573F"/>
    <w:rsid w:val="00CF61DF"/>
    <w:rsid w:val="00D0030B"/>
    <w:rsid w:val="00D03A82"/>
    <w:rsid w:val="00D10767"/>
    <w:rsid w:val="00D14E20"/>
    <w:rsid w:val="00D15344"/>
    <w:rsid w:val="00D240CB"/>
    <w:rsid w:val="00D250E4"/>
    <w:rsid w:val="00D31BEC"/>
    <w:rsid w:val="00D32A41"/>
    <w:rsid w:val="00D45D41"/>
    <w:rsid w:val="00D466BF"/>
    <w:rsid w:val="00D511F8"/>
    <w:rsid w:val="00D554F9"/>
    <w:rsid w:val="00D55533"/>
    <w:rsid w:val="00D63150"/>
    <w:rsid w:val="00D64725"/>
    <w:rsid w:val="00D64A32"/>
    <w:rsid w:val="00D64EFC"/>
    <w:rsid w:val="00D65694"/>
    <w:rsid w:val="00D71A68"/>
    <w:rsid w:val="00D75295"/>
    <w:rsid w:val="00D76CE9"/>
    <w:rsid w:val="00D80225"/>
    <w:rsid w:val="00D90648"/>
    <w:rsid w:val="00D95E2D"/>
    <w:rsid w:val="00D97F12"/>
    <w:rsid w:val="00DB3C2D"/>
    <w:rsid w:val="00DB42E7"/>
    <w:rsid w:val="00DC06F2"/>
    <w:rsid w:val="00DC15D4"/>
    <w:rsid w:val="00DC33D0"/>
    <w:rsid w:val="00DC44AD"/>
    <w:rsid w:val="00DD3EFF"/>
    <w:rsid w:val="00DD5FDB"/>
    <w:rsid w:val="00DD6AAA"/>
    <w:rsid w:val="00DD7D1D"/>
    <w:rsid w:val="00DE0A6D"/>
    <w:rsid w:val="00DE3A15"/>
    <w:rsid w:val="00DF0FA9"/>
    <w:rsid w:val="00DF1DF2"/>
    <w:rsid w:val="00DF32C2"/>
    <w:rsid w:val="00DF3EB7"/>
    <w:rsid w:val="00DF7C52"/>
    <w:rsid w:val="00E05E9C"/>
    <w:rsid w:val="00E11875"/>
    <w:rsid w:val="00E11905"/>
    <w:rsid w:val="00E149C8"/>
    <w:rsid w:val="00E1504C"/>
    <w:rsid w:val="00E153D8"/>
    <w:rsid w:val="00E17787"/>
    <w:rsid w:val="00E17B5B"/>
    <w:rsid w:val="00E2131C"/>
    <w:rsid w:val="00E23455"/>
    <w:rsid w:val="00E24416"/>
    <w:rsid w:val="00E249C4"/>
    <w:rsid w:val="00E3380F"/>
    <w:rsid w:val="00E355E3"/>
    <w:rsid w:val="00E45287"/>
    <w:rsid w:val="00E467AF"/>
    <w:rsid w:val="00E4680F"/>
    <w:rsid w:val="00E471A7"/>
    <w:rsid w:val="00E507FA"/>
    <w:rsid w:val="00E563DC"/>
    <w:rsid w:val="00E57312"/>
    <w:rsid w:val="00E62097"/>
    <w:rsid w:val="00E62F8F"/>
    <w:rsid w:val="00E635CF"/>
    <w:rsid w:val="00E64B89"/>
    <w:rsid w:val="00E65204"/>
    <w:rsid w:val="00E70DFA"/>
    <w:rsid w:val="00E7773B"/>
    <w:rsid w:val="00E834A5"/>
    <w:rsid w:val="00E86F29"/>
    <w:rsid w:val="00E87537"/>
    <w:rsid w:val="00E905B4"/>
    <w:rsid w:val="00E93AD7"/>
    <w:rsid w:val="00EA1B6D"/>
    <w:rsid w:val="00EA1F7D"/>
    <w:rsid w:val="00EA4A71"/>
    <w:rsid w:val="00EA59BD"/>
    <w:rsid w:val="00EA7431"/>
    <w:rsid w:val="00EB0ADB"/>
    <w:rsid w:val="00EB347C"/>
    <w:rsid w:val="00EB34BE"/>
    <w:rsid w:val="00EB34CF"/>
    <w:rsid w:val="00EB46D9"/>
    <w:rsid w:val="00EB5410"/>
    <w:rsid w:val="00EB5981"/>
    <w:rsid w:val="00EC58F5"/>
    <w:rsid w:val="00EC6E0A"/>
    <w:rsid w:val="00ED17F7"/>
    <w:rsid w:val="00ED358A"/>
    <w:rsid w:val="00ED4E18"/>
    <w:rsid w:val="00ED59F9"/>
    <w:rsid w:val="00EE1F37"/>
    <w:rsid w:val="00EE5075"/>
    <w:rsid w:val="00EE5A02"/>
    <w:rsid w:val="00EF2957"/>
    <w:rsid w:val="00EF4511"/>
    <w:rsid w:val="00EF48AB"/>
    <w:rsid w:val="00F007F4"/>
    <w:rsid w:val="00F0159C"/>
    <w:rsid w:val="00F04478"/>
    <w:rsid w:val="00F05122"/>
    <w:rsid w:val="00F105B7"/>
    <w:rsid w:val="00F1238B"/>
    <w:rsid w:val="00F13EC1"/>
    <w:rsid w:val="00F15CBB"/>
    <w:rsid w:val="00F17A21"/>
    <w:rsid w:val="00F17E45"/>
    <w:rsid w:val="00F221DB"/>
    <w:rsid w:val="00F2311D"/>
    <w:rsid w:val="00F258D5"/>
    <w:rsid w:val="00F33513"/>
    <w:rsid w:val="00F34497"/>
    <w:rsid w:val="00F3771B"/>
    <w:rsid w:val="00F40CD8"/>
    <w:rsid w:val="00F4767E"/>
    <w:rsid w:val="00F47F7E"/>
    <w:rsid w:val="00F50E91"/>
    <w:rsid w:val="00F51EF2"/>
    <w:rsid w:val="00F57D29"/>
    <w:rsid w:val="00F66B82"/>
    <w:rsid w:val="00F66CFF"/>
    <w:rsid w:val="00F67D79"/>
    <w:rsid w:val="00F75AA6"/>
    <w:rsid w:val="00F92A99"/>
    <w:rsid w:val="00F958D2"/>
    <w:rsid w:val="00F96201"/>
    <w:rsid w:val="00F97D21"/>
    <w:rsid w:val="00FA2AAA"/>
    <w:rsid w:val="00FA3C0B"/>
    <w:rsid w:val="00FA41A8"/>
    <w:rsid w:val="00FA5189"/>
    <w:rsid w:val="00FB0A56"/>
    <w:rsid w:val="00FB4147"/>
    <w:rsid w:val="00FB64A6"/>
    <w:rsid w:val="00FC30E9"/>
    <w:rsid w:val="00FC364A"/>
    <w:rsid w:val="00FC4AD7"/>
    <w:rsid w:val="00FD0B18"/>
    <w:rsid w:val="00FD0F82"/>
    <w:rsid w:val="00FD14BD"/>
    <w:rsid w:val="00FD2EB1"/>
    <w:rsid w:val="00FD365A"/>
    <w:rsid w:val="00FD3824"/>
    <w:rsid w:val="00FD6624"/>
    <w:rsid w:val="00FD6864"/>
    <w:rsid w:val="00FD75E2"/>
    <w:rsid w:val="00FE0387"/>
    <w:rsid w:val="00FE4702"/>
    <w:rsid w:val="00FE64E5"/>
    <w:rsid w:val="00FE714F"/>
    <w:rsid w:val="00FF1190"/>
    <w:rsid w:val="00FF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F5081C"/>
  <w15:docId w15:val="{17216826-52AD-4C7C-9A5C-5C273819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B158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6502A"/>
    <w:pPr>
      <w:spacing w:before="100" w:beforeAutospacing="1" w:after="100" w:afterAutospacing="1"/>
      <w:outlineLvl w:val="1"/>
    </w:pPr>
    <w:rPr>
      <w:rFonts w:eastAsiaTheme="minorHAnsi"/>
      <w:b/>
      <w:bCs/>
      <w:sz w:val="36"/>
      <w:szCs w:val="36"/>
    </w:rPr>
  </w:style>
  <w:style w:type="paragraph" w:styleId="Heading4">
    <w:name w:val="heading 4"/>
    <w:basedOn w:val="Normal"/>
    <w:next w:val="Normal"/>
    <w:link w:val="Heading4Char"/>
    <w:uiPriority w:val="9"/>
    <w:semiHidden/>
    <w:unhideWhenUsed/>
    <w:qFormat/>
    <w:rsid w:val="00B234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uiPriority w:val="99"/>
    <w:semiHidden/>
    <w:unhideWhenUsed/>
    <w:rsid w:val="004C2798"/>
    <w:rPr>
      <w:color w:val="800080"/>
      <w:u w:val="single"/>
    </w:rPr>
  </w:style>
  <w:style w:type="character" w:customStyle="1" w:styleId="s1">
    <w:name w:val="s1"/>
    <w:basedOn w:val="DefaultParagraphFont"/>
    <w:rsid w:val="00326B84"/>
  </w:style>
  <w:style w:type="character" w:customStyle="1" w:styleId="Heading2Char">
    <w:name w:val="Heading 2 Char"/>
    <w:basedOn w:val="DefaultParagraphFont"/>
    <w:link w:val="Heading2"/>
    <w:uiPriority w:val="9"/>
    <w:rsid w:val="0066502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B1580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B2344B"/>
    <w:rPr>
      <w:rFonts w:asciiTheme="majorHAnsi" w:eastAsiaTheme="majorEastAsia" w:hAnsiTheme="majorHAnsi" w:cstheme="majorBidi"/>
      <w:i/>
      <w:iCs/>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242345">
      <w:bodyDiv w:val="1"/>
      <w:marLeft w:val="0"/>
      <w:marRight w:val="0"/>
      <w:marTop w:val="0"/>
      <w:marBottom w:val="0"/>
      <w:divBdr>
        <w:top w:val="none" w:sz="0" w:space="0" w:color="auto"/>
        <w:left w:val="none" w:sz="0" w:space="0" w:color="auto"/>
        <w:bottom w:val="none" w:sz="0" w:space="0" w:color="auto"/>
        <w:right w:val="none" w:sz="0" w:space="0" w:color="auto"/>
      </w:divBdr>
    </w:div>
    <w:div w:id="604188488">
      <w:bodyDiv w:val="1"/>
      <w:marLeft w:val="0"/>
      <w:marRight w:val="0"/>
      <w:marTop w:val="0"/>
      <w:marBottom w:val="0"/>
      <w:divBdr>
        <w:top w:val="none" w:sz="0" w:space="0" w:color="auto"/>
        <w:left w:val="none" w:sz="0" w:space="0" w:color="auto"/>
        <w:bottom w:val="none" w:sz="0" w:space="0" w:color="auto"/>
        <w:right w:val="none" w:sz="0" w:space="0" w:color="auto"/>
      </w:divBdr>
    </w:div>
    <w:div w:id="621767661">
      <w:bodyDiv w:val="1"/>
      <w:marLeft w:val="0"/>
      <w:marRight w:val="0"/>
      <w:marTop w:val="0"/>
      <w:marBottom w:val="0"/>
      <w:divBdr>
        <w:top w:val="none" w:sz="0" w:space="0" w:color="auto"/>
        <w:left w:val="none" w:sz="0" w:space="0" w:color="auto"/>
        <w:bottom w:val="none" w:sz="0" w:space="0" w:color="auto"/>
        <w:right w:val="none" w:sz="0" w:space="0" w:color="auto"/>
      </w:divBdr>
    </w:div>
    <w:div w:id="888416110">
      <w:bodyDiv w:val="1"/>
      <w:marLeft w:val="0"/>
      <w:marRight w:val="0"/>
      <w:marTop w:val="0"/>
      <w:marBottom w:val="0"/>
      <w:divBdr>
        <w:top w:val="none" w:sz="0" w:space="0" w:color="auto"/>
        <w:left w:val="none" w:sz="0" w:space="0" w:color="auto"/>
        <w:bottom w:val="none" w:sz="0" w:space="0" w:color="auto"/>
        <w:right w:val="none" w:sz="0" w:space="0" w:color="auto"/>
      </w:divBdr>
    </w:div>
    <w:div w:id="1468165340">
      <w:bodyDiv w:val="1"/>
      <w:marLeft w:val="0"/>
      <w:marRight w:val="0"/>
      <w:marTop w:val="0"/>
      <w:marBottom w:val="0"/>
      <w:divBdr>
        <w:top w:val="none" w:sz="0" w:space="0" w:color="auto"/>
        <w:left w:val="none" w:sz="0" w:space="0" w:color="auto"/>
        <w:bottom w:val="none" w:sz="0" w:space="0" w:color="auto"/>
        <w:right w:val="none" w:sz="0" w:space="0" w:color="auto"/>
      </w:divBdr>
    </w:div>
    <w:div w:id="187662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yperlink" Target="http://www.iata.org/pressroom/facts_figures/fact_sheets/Documents/fact-sheet-fuel.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2.deloitte.com/content/dam/Deloitte/global/Documents/Manufacturing/gx-mnfg-2015-global-a-and-d-outlook.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cltech.com/investors/results-reports?year=2008-09"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www.iveycases.com"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rahulkumarsett:Desktop:Profit%20Trends%20for%20Aero%20OEM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Macintosh%20HD:Users:rahulkumarsett:Desktop:Profit%20Trends%20for%20Aero%20OEM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ahulkumarsett:Desktop:Profit%20Trends%20for%20Aero%20OEMS.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Macintosh%20HD:Users:rahulkumarsett:Desktop:Profit%20Trends%20for%20Aero%20OEMS.xlsx"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Macintosh%20HD:Users:rahulkumarsett:Desktop:Profit%20Trends%20for%20Aero%20OEMS.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Sheet1!$F$6</c:f>
              <c:strCache>
                <c:ptCount val="1"/>
                <c:pt idx="0">
                  <c:v>Airframer</c:v>
                </c:pt>
              </c:strCache>
            </c:strRef>
          </c:tx>
          <c:spPr>
            <a:ln>
              <a:prstDash val="sysDot"/>
            </a:ln>
          </c:spPr>
          <c:marker>
            <c:symbol val="none"/>
          </c:marker>
          <c:cat>
            <c:numRef>
              <c:f>Sheet1!$E$7:$E$20</c:f>
              <c:numCache>
                <c:formatCode>General</c:formatCode>
                <c:ptCount val="14"/>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numCache>
            </c:numRef>
          </c:cat>
          <c:val>
            <c:numRef>
              <c:f>Sheet1!$F$7:$F$20</c:f>
              <c:numCache>
                <c:formatCode>0.00%</c:formatCode>
                <c:ptCount val="14"/>
                <c:pt idx="0" formatCode="0%">
                  <c:v>0.12</c:v>
                </c:pt>
                <c:pt idx="1">
                  <c:v>0.11600000000000001</c:v>
                </c:pt>
                <c:pt idx="2">
                  <c:v>8.7499999999999994E-2</c:v>
                </c:pt>
                <c:pt idx="3" formatCode="0%">
                  <c:v>7.0000000000000007E-2</c:v>
                </c:pt>
                <c:pt idx="4">
                  <c:v>6.9000000000000006E-2</c:v>
                </c:pt>
                <c:pt idx="5">
                  <c:v>6.8000000000000005E-2</c:v>
                </c:pt>
                <c:pt idx="6">
                  <c:v>0.06</c:v>
                </c:pt>
                <c:pt idx="7">
                  <c:v>7.0000000000000007E-2</c:v>
                </c:pt>
                <c:pt idx="8">
                  <c:v>7.1999999999999995E-2</c:v>
                </c:pt>
                <c:pt idx="9">
                  <c:v>7.2999999999999995E-2</c:v>
                </c:pt>
                <c:pt idx="10">
                  <c:v>5.8999999999999997E-2</c:v>
                </c:pt>
                <c:pt idx="11" formatCode="0%">
                  <c:v>0.05</c:v>
                </c:pt>
                <c:pt idx="12" formatCode="0%">
                  <c:v>0.06</c:v>
                </c:pt>
                <c:pt idx="13">
                  <c:v>4.8000000000000001E-2</c:v>
                </c:pt>
              </c:numCache>
            </c:numRef>
          </c:val>
          <c:smooth val="0"/>
          <c:extLst xmlns:c16r2="http://schemas.microsoft.com/office/drawing/2015/06/chart">
            <c:ext xmlns:c16="http://schemas.microsoft.com/office/drawing/2014/chart" uri="{C3380CC4-5D6E-409C-BE32-E72D297353CC}">
              <c16:uniqueId val="{00000000-4390-4134-9F23-B22E453A035C}"/>
            </c:ext>
          </c:extLst>
        </c:ser>
        <c:ser>
          <c:idx val="1"/>
          <c:order val="1"/>
          <c:tx>
            <c:strRef>
              <c:f>Sheet1!$G$6</c:f>
              <c:strCache>
                <c:ptCount val="1"/>
                <c:pt idx="0">
                  <c:v>Supplier</c:v>
                </c:pt>
              </c:strCache>
            </c:strRef>
          </c:tx>
          <c:marker>
            <c:symbol val="none"/>
          </c:marker>
          <c:cat>
            <c:numRef>
              <c:f>Sheet1!$E$7:$E$20</c:f>
              <c:numCache>
                <c:formatCode>General</c:formatCode>
                <c:ptCount val="14"/>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numCache>
            </c:numRef>
          </c:cat>
          <c:val>
            <c:numRef>
              <c:f>Sheet1!$G$7:$G$20</c:f>
              <c:numCache>
                <c:formatCode>0.00%</c:formatCode>
                <c:ptCount val="14"/>
                <c:pt idx="0" formatCode="0%">
                  <c:v>0.06</c:v>
                </c:pt>
                <c:pt idx="1">
                  <c:v>7.9000000000000001E-2</c:v>
                </c:pt>
                <c:pt idx="2">
                  <c:v>8.6999999999999994E-2</c:v>
                </c:pt>
                <c:pt idx="3" formatCode="0%">
                  <c:v>0.1</c:v>
                </c:pt>
                <c:pt idx="4" formatCode="0%">
                  <c:v>0.12</c:v>
                </c:pt>
                <c:pt idx="5">
                  <c:v>0.125</c:v>
                </c:pt>
                <c:pt idx="6">
                  <c:v>0.13700000000000001</c:v>
                </c:pt>
                <c:pt idx="7" formatCode="0%">
                  <c:v>0.13800000000000001</c:v>
                </c:pt>
                <c:pt idx="8">
                  <c:v>0.13100000000000001</c:v>
                </c:pt>
                <c:pt idx="9">
                  <c:v>0.126</c:v>
                </c:pt>
                <c:pt idx="10">
                  <c:v>0.123</c:v>
                </c:pt>
                <c:pt idx="11">
                  <c:v>0.12</c:v>
                </c:pt>
                <c:pt idx="12">
                  <c:v>0.122</c:v>
                </c:pt>
                <c:pt idx="13">
                  <c:v>0.124</c:v>
                </c:pt>
              </c:numCache>
            </c:numRef>
          </c:val>
          <c:smooth val="0"/>
          <c:extLst xmlns:c16r2="http://schemas.microsoft.com/office/drawing/2015/06/chart">
            <c:ext xmlns:c16="http://schemas.microsoft.com/office/drawing/2014/chart" uri="{C3380CC4-5D6E-409C-BE32-E72D297353CC}">
              <c16:uniqueId val="{00000001-4390-4134-9F23-B22E453A035C}"/>
            </c:ext>
          </c:extLst>
        </c:ser>
        <c:dLbls>
          <c:showLegendKey val="0"/>
          <c:showVal val="0"/>
          <c:showCatName val="0"/>
          <c:showSerName val="0"/>
          <c:showPercent val="0"/>
          <c:showBubbleSize val="0"/>
        </c:dLbls>
        <c:smooth val="0"/>
        <c:axId val="532238592"/>
        <c:axId val="532239376"/>
      </c:lineChart>
      <c:catAx>
        <c:axId val="532238592"/>
        <c:scaling>
          <c:orientation val="minMax"/>
        </c:scaling>
        <c:delete val="0"/>
        <c:axPos val="b"/>
        <c:numFmt formatCode="General" sourceLinked="1"/>
        <c:majorTickMark val="out"/>
        <c:minorTickMark val="none"/>
        <c:tickLblPos val="nextTo"/>
        <c:txPr>
          <a:bodyPr/>
          <a:lstStyle/>
          <a:p>
            <a:pPr>
              <a:defRPr sz="800">
                <a:latin typeface="Arial" panose="020B0604020202020204" pitchFamily="34" charset="0"/>
                <a:cs typeface="Arial" panose="020B0604020202020204" pitchFamily="34" charset="0"/>
              </a:defRPr>
            </a:pPr>
            <a:endParaRPr lang="en-US"/>
          </a:p>
        </c:txPr>
        <c:crossAx val="532239376"/>
        <c:crosses val="autoZero"/>
        <c:auto val="1"/>
        <c:lblAlgn val="ctr"/>
        <c:lblOffset val="100"/>
        <c:noMultiLvlLbl val="0"/>
      </c:catAx>
      <c:valAx>
        <c:axId val="532239376"/>
        <c:scaling>
          <c:orientation val="minMax"/>
        </c:scaling>
        <c:delete val="0"/>
        <c:axPos val="l"/>
        <c:numFmt formatCode="0%"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532238592"/>
        <c:crosses val="autoZero"/>
        <c:crossBetween val="between"/>
      </c:valAx>
    </c:plotArea>
    <c:legend>
      <c:legendPos val="r"/>
      <c:layout>
        <c:manualLayout>
          <c:xMode val="edge"/>
          <c:yMode val="edge"/>
          <c:x val="0.73857140426328405"/>
          <c:y val="0.30107240671003099"/>
          <c:w val="0.26064318223329802"/>
          <c:h val="0.21307257788428599"/>
        </c:manualLayout>
      </c:layout>
      <c:overlay val="0"/>
      <c:txPr>
        <a:bodyPr/>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Sheet2!$C$5</c:f>
              <c:strCache>
                <c:ptCount val="1"/>
                <c:pt idx="0">
                  <c:v>Airframer</c:v>
                </c:pt>
              </c:strCache>
            </c:strRef>
          </c:tx>
          <c:spPr>
            <a:ln>
              <a:prstDash val="sysDot"/>
            </a:ln>
          </c:spPr>
          <c:marker>
            <c:symbol val="none"/>
          </c:marker>
          <c:cat>
            <c:numRef>
              <c:f>Sheet2!$B$6:$B$19</c:f>
              <c:numCache>
                <c:formatCode>General</c:formatCode>
                <c:ptCount val="14"/>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numCache>
            </c:numRef>
          </c:cat>
          <c:val>
            <c:numRef>
              <c:f>Sheet2!$C$6:$C$19</c:f>
              <c:numCache>
                <c:formatCode>0.00%</c:formatCode>
                <c:ptCount val="14"/>
                <c:pt idx="0" formatCode="0%">
                  <c:v>0.10100000000000001</c:v>
                </c:pt>
                <c:pt idx="1">
                  <c:v>9.9000000000000005E-2</c:v>
                </c:pt>
                <c:pt idx="2">
                  <c:v>7.4999999999999997E-2</c:v>
                </c:pt>
                <c:pt idx="3" formatCode="0%">
                  <c:v>0.04</c:v>
                </c:pt>
                <c:pt idx="4">
                  <c:v>3.1E-2</c:v>
                </c:pt>
                <c:pt idx="5">
                  <c:v>2.5999999999999999E-2</c:v>
                </c:pt>
                <c:pt idx="6">
                  <c:v>1.9E-2</c:v>
                </c:pt>
                <c:pt idx="7">
                  <c:v>2.3E-2</c:v>
                </c:pt>
                <c:pt idx="8">
                  <c:v>1.7000000000000001E-2</c:v>
                </c:pt>
                <c:pt idx="9">
                  <c:v>1.2E-2</c:v>
                </c:pt>
                <c:pt idx="10">
                  <c:v>0</c:v>
                </c:pt>
                <c:pt idx="11" formatCode="0%">
                  <c:v>-2.9000000000000001E-2</c:v>
                </c:pt>
                <c:pt idx="12" formatCode="0%">
                  <c:v>-3.2000000000000001E-2</c:v>
                </c:pt>
                <c:pt idx="13">
                  <c:v>-0.04</c:v>
                </c:pt>
              </c:numCache>
            </c:numRef>
          </c:val>
          <c:smooth val="0"/>
          <c:extLst xmlns:c16r2="http://schemas.microsoft.com/office/drawing/2015/06/chart">
            <c:ext xmlns:c16="http://schemas.microsoft.com/office/drawing/2014/chart" uri="{C3380CC4-5D6E-409C-BE32-E72D297353CC}">
              <c16:uniqueId val="{00000000-2077-4753-AD99-348F93101E73}"/>
            </c:ext>
          </c:extLst>
        </c:ser>
        <c:ser>
          <c:idx val="1"/>
          <c:order val="1"/>
          <c:tx>
            <c:strRef>
              <c:f>Sheet2!$D$5</c:f>
              <c:strCache>
                <c:ptCount val="1"/>
                <c:pt idx="0">
                  <c:v>Supplier</c:v>
                </c:pt>
              </c:strCache>
            </c:strRef>
          </c:tx>
          <c:marker>
            <c:symbol val="none"/>
          </c:marker>
          <c:cat>
            <c:numRef>
              <c:f>Sheet2!$B$6:$B$19</c:f>
              <c:numCache>
                <c:formatCode>General</c:formatCode>
                <c:ptCount val="14"/>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numCache>
            </c:numRef>
          </c:cat>
          <c:val>
            <c:numRef>
              <c:f>Sheet2!$D$6:$D$19</c:f>
              <c:numCache>
                <c:formatCode>0.00%</c:formatCode>
                <c:ptCount val="14"/>
                <c:pt idx="0" formatCode="0%">
                  <c:v>-8.0000000000000002E-3</c:v>
                </c:pt>
                <c:pt idx="1">
                  <c:v>4.0000000000000001E-3</c:v>
                </c:pt>
                <c:pt idx="2">
                  <c:v>0.02</c:v>
                </c:pt>
                <c:pt idx="3" formatCode="0%">
                  <c:v>2.7E-2</c:v>
                </c:pt>
                <c:pt idx="4" formatCode="0%">
                  <c:v>3.5999999999999997E-2</c:v>
                </c:pt>
                <c:pt idx="5">
                  <c:v>4.4999999999999998E-2</c:v>
                </c:pt>
                <c:pt idx="6">
                  <c:v>5.2999999999999999E-2</c:v>
                </c:pt>
                <c:pt idx="7" formatCode="0%">
                  <c:v>5.3100000000000001E-2</c:v>
                </c:pt>
                <c:pt idx="8">
                  <c:v>4.5999999999999999E-2</c:v>
                </c:pt>
                <c:pt idx="9">
                  <c:v>0.04</c:v>
                </c:pt>
                <c:pt idx="10">
                  <c:v>3.6999999999999998E-2</c:v>
                </c:pt>
                <c:pt idx="11">
                  <c:v>3.2000000000000001E-2</c:v>
                </c:pt>
                <c:pt idx="12">
                  <c:v>3.4000000000000002E-2</c:v>
                </c:pt>
                <c:pt idx="13">
                  <c:v>3.6999999999999998E-2</c:v>
                </c:pt>
              </c:numCache>
            </c:numRef>
          </c:val>
          <c:smooth val="0"/>
          <c:extLst xmlns:c16r2="http://schemas.microsoft.com/office/drawing/2015/06/chart">
            <c:ext xmlns:c16="http://schemas.microsoft.com/office/drawing/2014/chart" uri="{C3380CC4-5D6E-409C-BE32-E72D297353CC}">
              <c16:uniqueId val="{00000001-2077-4753-AD99-348F93101E73}"/>
            </c:ext>
          </c:extLst>
        </c:ser>
        <c:dLbls>
          <c:showLegendKey val="0"/>
          <c:showVal val="0"/>
          <c:showCatName val="0"/>
          <c:showSerName val="0"/>
          <c:showPercent val="0"/>
          <c:showBubbleSize val="0"/>
        </c:dLbls>
        <c:smooth val="0"/>
        <c:axId val="533040976"/>
        <c:axId val="533041368"/>
      </c:lineChart>
      <c:catAx>
        <c:axId val="533040976"/>
        <c:scaling>
          <c:orientation val="minMax"/>
        </c:scaling>
        <c:delete val="0"/>
        <c:axPos val="b"/>
        <c:numFmt formatCode="General" sourceLinked="1"/>
        <c:majorTickMark val="out"/>
        <c:minorTickMark val="none"/>
        <c:tickLblPos val="nextTo"/>
        <c:txPr>
          <a:bodyPr/>
          <a:lstStyle/>
          <a:p>
            <a:pPr>
              <a:defRPr sz="800"/>
            </a:pPr>
            <a:endParaRPr lang="en-US"/>
          </a:p>
        </c:txPr>
        <c:crossAx val="533041368"/>
        <c:crosses val="autoZero"/>
        <c:auto val="1"/>
        <c:lblAlgn val="ctr"/>
        <c:lblOffset val="100"/>
        <c:noMultiLvlLbl val="0"/>
      </c:catAx>
      <c:valAx>
        <c:axId val="533041368"/>
        <c:scaling>
          <c:orientation val="minMax"/>
        </c:scaling>
        <c:delete val="0"/>
        <c:axPos val="l"/>
        <c:numFmt formatCode="0%" sourceLinked="1"/>
        <c:majorTickMark val="out"/>
        <c:minorTickMark val="none"/>
        <c:tickLblPos val="nextTo"/>
        <c:crossAx val="533040976"/>
        <c:crosses val="autoZero"/>
        <c:crossBetween val="between"/>
      </c:valAx>
    </c:plotArea>
    <c:legend>
      <c:legendPos val="r"/>
      <c:layout/>
      <c:overlay val="0"/>
      <c:txPr>
        <a:bodyPr/>
        <a:lstStyle/>
        <a:p>
          <a:pPr>
            <a:defRPr sz="900"/>
          </a:pPr>
          <a:endParaRPr lang="en-US"/>
        </a:p>
      </c:txPr>
    </c:legend>
    <c:plotVisOnly val="1"/>
    <c:dispBlanksAs val="gap"/>
    <c:showDLblsOverMax val="0"/>
  </c:chart>
  <c:spPr>
    <a:ln>
      <a:noFill/>
    </a:ln>
  </c:spPr>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'Aircraft Orders'!$G$14</c:f>
              <c:strCache>
                <c:ptCount val="1"/>
                <c:pt idx="0">
                  <c:v>Production </c:v>
                </c:pt>
              </c:strCache>
            </c:strRef>
          </c:tx>
          <c:spPr>
            <a:ln>
              <a:prstDash val="sysDot"/>
            </a:ln>
          </c:spPr>
          <c:marker>
            <c:symbol val="none"/>
          </c:marker>
          <c:cat>
            <c:numRef>
              <c:f>'Aircraft Orders'!$F$15:$F$30</c:f>
              <c:numCache>
                <c:formatCode>General</c:formatCode>
                <c:ptCount val="16"/>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numCache>
            </c:numRef>
          </c:cat>
          <c:val>
            <c:numRef>
              <c:f>'Aircraft Orders'!$G$15:$G$30</c:f>
              <c:numCache>
                <c:formatCode>General</c:formatCode>
                <c:ptCount val="16"/>
                <c:pt idx="0">
                  <c:v>490</c:v>
                </c:pt>
                <c:pt idx="1">
                  <c:v>480</c:v>
                </c:pt>
                <c:pt idx="2">
                  <c:v>490</c:v>
                </c:pt>
                <c:pt idx="3">
                  <c:v>500</c:v>
                </c:pt>
                <c:pt idx="4">
                  <c:v>750</c:v>
                </c:pt>
                <c:pt idx="5">
                  <c:v>920</c:v>
                </c:pt>
                <c:pt idx="6">
                  <c:v>760</c:v>
                </c:pt>
                <c:pt idx="7">
                  <c:v>800</c:v>
                </c:pt>
                <c:pt idx="8">
                  <c:v>520</c:v>
                </c:pt>
                <c:pt idx="9">
                  <c:v>508</c:v>
                </c:pt>
                <c:pt idx="10">
                  <c:v>510</c:v>
                </c:pt>
                <c:pt idx="11">
                  <c:v>610</c:v>
                </c:pt>
                <c:pt idx="12">
                  <c:v>650</c:v>
                </c:pt>
                <c:pt idx="13">
                  <c:v>900</c:v>
                </c:pt>
                <c:pt idx="14">
                  <c:v>800</c:v>
                </c:pt>
                <c:pt idx="15">
                  <c:v>1000</c:v>
                </c:pt>
              </c:numCache>
            </c:numRef>
          </c:val>
          <c:smooth val="0"/>
          <c:extLst xmlns:c16r2="http://schemas.microsoft.com/office/drawing/2015/06/chart">
            <c:ext xmlns:c16="http://schemas.microsoft.com/office/drawing/2014/chart" uri="{C3380CC4-5D6E-409C-BE32-E72D297353CC}">
              <c16:uniqueId val="{00000000-1790-4650-9C5A-F5465EC2CED9}"/>
            </c:ext>
          </c:extLst>
        </c:ser>
        <c:ser>
          <c:idx val="1"/>
          <c:order val="1"/>
          <c:tx>
            <c:strRef>
              <c:f>'Aircraft Orders'!$H$14</c:f>
              <c:strCache>
                <c:ptCount val="1"/>
                <c:pt idx="0">
                  <c:v>Order</c:v>
                </c:pt>
              </c:strCache>
            </c:strRef>
          </c:tx>
          <c:marker>
            <c:symbol val="none"/>
          </c:marker>
          <c:cat>
            <c:numRef>
              <c:f>'Aircraft Orders'!$F$15:$F$30</c:f>
              <c:numCache>
                <c:formatCode>General</c:formatCode>
                <c:ptCount val="16"/>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numCache>
            </c:numRef>
          </c:cat>
          <c:val>
            <c:numRef>
              <c:f>'Aircraft Orders'!$H$15:$H$30</c:f>
              <c:numCache>
                <c:formatCode>General</c:formatCode>
                <c:ptCount val="16"/>
                <c:pt idx="0">
                  <c:v>250</c:v>
                </c:pt>
                <c:pt idx="1">
                  <c:v>500</c:v>
                </c:pt>
                <c:pt idx="2">
                  <c:v>1050</c:v>
                </c:pt>
                <c:pt idx="3">
                  <c:v>1000</c:v>
                </c:pt>
                <c:pt idx="4">
                  <c:v>1100</c:v>
                </c:pt>
                <c:pt idx="5">
                  <c:v>880</c:v>
                </c:pt>
                <c:pt idx="6">
                  <c:v>1050</c:v>
                </c:pt>
                <c:pt idx="7">
                  <c:v>600</c:v>
                </c:pt>
                <c:pt idx="8">
                  <c:v>470</c:v>
                </c:pt>
                <c:pt idx="9">
                  <c:v>460</c:v>
                </c:pt>
                <c:pt idx="10">
                  <c:v>550</c:v>
                </c:pt>
                <c:pt idx="11">
                  <c:v>2000</c:v>
                </c:pt>
                <c:pt idx="12">
                  <c:v>1800</c:v>
                </c:pt>
                <c:pt idx="13">
                  <c:v>2750</c:v>
                </c:pt>
                <c:pt idx="14">
                  <c:v>1500</c:v>
                </c:pt>
                <c:pt idx="15">
                  <c:v>400</c:v>
                </c:pt>
              </c:numCache>
            </c:numRef>
          </c:val>
          <c:smooth val="0"/>
          <c:extLst xmlns:c16r2="http://schemas.microsoft.com/office/drawing/2015/06/chart">
            <c:ext xmlns:c16="http://schemas.microsoft.com/office/drawing/2014/chart" uri="{C3380CC4-5D6E-409C-BE32-E72D297353CC}">
              <c16:uniqueId val="{00000001-1790-4650-9C5A-F5465EC2CED9}"/>
            </c:ext>
          </c:extLst>
        </c:ser>
        <c:dLbls>
          <c:showLegendKey val="0"/>
          <c:showVal val="0"/>
          <c:showCatName val="0"/>
          <c:showSerName val="0"/>
          <c:showPercent val="0"/>
          <c:showBubbleSize val="0"/>
        </c:dLbls>
        <c:smooth val="0"/>
        <c:axId val="533042152"/>
        <c:axId val="533042544"/>
      </c:lineChart>
      <c:catAx>
        <c:axId val="533042152"/>
        <c:scaling>
          <c:orientation val="minMax"/>
        </c:scaling>
        <c:delete val="0"/>
        <c:axPos val="b"/>
        <c:numFmt formatCode="General" sourceLinked="1"/>
        <c:majorTickMark val="out"/>
        <c:minorTickMark val="none"/>
        <c:tickLblPos val="nextTo"/>
        <c:crossAx val="533042544"/>
        <c:crosses val="autoZero"/>
        <c:auto val="1"/>
        <c:lblAlgn val="ctr"/>
        <c:lblOffset val="100"/>
        <c:noMultiLvlLbl val="0"/>
      </c:catAx>
      <c:valAx>
        <c:axId val="533042544"/>
        <c:scaling>
          <c:orientation val="minMax"/>
        </c:scaling>
        <c:delete val="0"/>
        <c:axPos val="l"/>
        <c:numFmt formatCode="#,##0" sourceLinked="0"/>
        <c:majorTickMark val="out"/>
        <c:minorTickMark val="none"/>
        <c:tickLblPos val="nextTo"/>
        <c:crossAx val="533042152"/>
        <c:crosses val="autoZero"/>
        <c:crossBetween val="between"/>
      </c:valAx>
      <c:spPr>
        <a:noFill/>
        <a:ln w="25400">
          <a:noFill/>
        </a:ln>
      </c:spPr>
    </c:plotArea>
    <c:legend>
      <c:legendPos val="r"/>
      <c:layout/>
      <c:overlay val="0"/>
    </c:legend>
    <c:plotVisOnly val="1"/>
    <c:dispBlanksAs val="gap"/>
    <c:showDLblsOverMax val="0"/>
  </c:chart>
  <c:spPr>
    <a:ln>
      <a:noFill/>
    </a:ln>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'Profit and Traffic'!$D$3</c:f>
              <c:strCache>
                <c:ptCount val="1"/>
                <c:pt idx="0">
                  <c:v>Operating Margin</c:v>
                </c:pt>
              </c:strCache>
            </c:strRef>
          </c:tx>
          <c:marker>
            <c:symbol val="none"/>
          </c:marker>
          <c:cat>
            <c:numRef>
              <c:f>'Profit and Traffic'!$C$4:$C$19</c:f>
              <c:numCache>
                <c:formatCode>General</c:formatCode>
                <c:ptCount val="16"/>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numCache>
            </c:numRef>
          </c:cat>
          <c:val>
            <c:numRef>
              <c:f>'Profit and Traffic'!$D$4:$D$19</c:f>
              <c:numCache>
                <c:formatCode>0%</c:formatCode>
                <c:ptCount val="16"/>
                <c:pt idx="0">
                  <c:v>0.03</c:v>
                </c:pt>
                <c:pt idx="1">
                  <c:v>0.05</c:v>
                </c:pt>
                <c:pt idx="2" formatCode="0.00%">
                  <c:v>4.2000000000000003E-2</c:v>
                </c:pt>
                <c:pt idx="3">
                  <c:v>0.06</c:v>
                </c:pt>
                <c:pt idx="4">
                  <c:v>0.06</c:v>
                </c:pt>
                <c:pt idx="5">
                  <c:v>0.04</c:v>
                </c:pt>
                <c:pt idx="6" formatCode="0.00%">
                  <c:v>3.7999999999999999E-2</c:v>
                </c:pt>
                <c:pt idx="7">
                  <c:v>-0.04</c:v>
                </c:pt>
                <c:pt idx="8" formatCode="0.00%">
                  <c:v>-1.7999999999999999E-2</c:v>
                </c:pt>
                <c:pt idx="9" formatCode="0.00%">
                  <c:v>-2E-3</c:v>
                </c:pt>
                <c:pt idx="10">
                  <c:v>0.01</c:v>
                </c:pt>
                <c:pt idx="11">
                  <c:v>0.01</c:v>
                </c:pt>
                <c:pt idx="12" formatCode="0.00%">
                  <c:v>3.7999999999999999E-2</c:v>
                </c:pt>
                <c:pt idx="13" formatCode="0.00%">
                  <c:v>4.2000000000000003E-2</c:v>
                </c:pt>
                <c:pt idx="14">
                  <c:v>0</c:v>
                </c:pt>
                <c:pt idx="15" formatCode="0.00%">
                  <c:v>0.03</c:v>
                </c:pt>
              </c:numCache>
            </c:numRef>
          </c:val>
          <c:smooth val="0"/>
          <c:extLst xmlns:c16r2="http://schemas.microsoft.com/office/drawing/2015/06/chart">
            <c:ext xmlns:c16="http://schemas.microsoft.com/office/drawing/2014/chart" uri="{C3380CC4-5D6E-409C-BE32-E72D297353CC}">
              <c16:uniqueId val="{00000000-D7A1-4024-80FC-B3F1148882EC}"/>
            </c:ext>
          </c:extLst>
        </c:ser>
        <c:ser>
          <c:idx val="1"/>
          <c:order val="1"/>
          <c:tx>
            <c:strRef>
              <c:f>'Profit and Traffic'!$E$3</c:f>
              <c:strCache>
                <c:ptCount val="1"/>
                <c:pt idx="0">
                  <c:v>Passenger Traffic Growth </c:v>
                </c:pt>
              </c:strCache>
            </c:strRef>
          </c:tx>
          <c:spPr>
            <a:ln>
              <a:prstDash val="sysDot"/>
            </a:ln>
          </c:spPr>
          <c:marker>
            <c:symbol val="none"/>
          </c:marker>
          <c:cat>
            <c:numRef>
              <c:f>'Profit and Traffic'!$C$4:$C$19</c:f>
              <c:numCache>
                <c:formatCode>General</c:formatCode>
                <c:ptCount val="16"/>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numCache>
            </c:numRef>
          </c:cat>
          <c:val>
            <c:numRef>
              <c:f>'Profit and Traffic'!$E$4:$E$19</c:f>
              <c:numCache>
                <c:formatCode>0.00%</c:formatCode>
                <c:ptCount val="16"/>
                <c:pt idx="0">
                  <c:v>6.2E-2</c:v>
                </c:pt>
                <c:pt idx="1">
                  <c:v>6.2E-2</c:v>
                </c:pt>
                <c:pt idx="2" formatCode="0%">
                  <c:v>0.05</c:v>
                </c:pt>
                <c:pt idx="3" formatCode="0%">
                  <c:v>0.01</c:v>
                </c:pt>
                <c:pt idx="4">
                  <c:v>6.4000000000000001E-2</c:v>
                </c:pt>
                <c:pt idx="5">
                  <c:v>0.122</c:v>
                </c:pt>
                <c:pt idx="6">
                  <c:v>-2.1000000000000001E-2</c:v>
                </c:pt>
                <c:pt idx="7">
                  <c:v>2E-3</c:v>
                </c:pt>
                <c:pt idx="8">
                  <c:v>5.8999999999999997E-2</c:v>
                </c:pt>
                <c:pt idx="9">
                  <c:v>0.123</c:v>
                </c:pt>
                <c:pt idx="10" formatCode="0%">
                  <c:v>0.09</c:v>
                </c:pt>
                <c:pt idx="11" formatCode="0%">
                  <c:v>0.06</c:v>
                </c:pt>
                <c:pt idx="12" formatCode="0%">
                  <c:v>0.09</c:v>
                </c:pt>
                <c:pt idx="13">
                  <c:v>-1E-3</c:v>
                </c:pt>
                <c:pt idx="14">
                  <c:v>1.9E-2</c:v>
                </c:pt>
                <c:pt idx="15">
                  <c:v>8.8999999999999996E-2</c:v>
                </c:pt>
              </c:numCache>
            </c:numRef>
          </c:val>
          <c:smooth val="0"/>
          <c:extLst xmlns:c16r2="http://schemas.microsoft.com/office/drawing/2015/06/chart">
            <c:ext xmlns:c16="http://schemas.microsoft.com/office/drawing/2014/chart" uri="{C3380CC4-5D6E-409C-BE32-E72D297353CC}">
              <c16:uniqueId val="{00000001-D7A1-4024-80FC-B3F1148882EC}"/>
            </c:ext>
          </c:extLst>
        </c:ser>
        <c:dLbls>
          <c:showLegendKey val="0"/>
          <c:showVal val="0"/>
          <c:showCatName val="0"/>
          <c:showSerName val="0"/>
          <c:showPercent val="0"/>
          <c:showBubbleSize val="0"/>
        </c:dLbls>
        <c:smooth val="0"/>
        <c:axId val="341619744"/>
        <c:axId val="341620136"/>
      </c:lineChart>
      <c:catAx>
        <c:axId val="341619744"/>
        <c:scaling>
          <c:orientation val="minMax"/>
        </c:scaling>
        <c:delete val="0"/>
        <c:axPos val="b"/>
        <c:numFmt formatCode="General" sourceLinked="1"/>
        <c:majorTickMark val="out"/>
        <c:minorTickMark val="none"/>
        <c:tickLblPos val="nextTo"/>
        <c:txPr>
          <a:bodyPr/>
          <a:lstStyle/>
          <a:p>
            <a:pPr>
              <a:defRPr sz="900"/>
            </a:pPr>
            <a:endParaRPr lang="en-US"/>
          </a:p>
        </c:txPr>
        <c:crossAx val="341620136"/>
        <c:crosses val="autoZero"/>
        <c:auto val="1"/>
        <c:lblAlgn val="ctr"/>
        <c:lblOffset val="100"/>
        <c:noMultiLvlLbl val="0"/>
      </c:catAx>
      <c:valAx>
        <c:axId val="341620136"/>
        <c:scaling>
          <c:orientation val="minMax"/>
        </c:scaling>
        <c:delete val="0"/>
        <c:axPos val="l"/>
        <c:numFmt formatCode="0%" sourceLinked="1"/>
        <c:majorTickMark val="out"/>
        <c:minorTickMark val="none"/>
        <c:tickLblPos val="nextTo"/>
        <c:crossAx val="341619744"/>
        <c:crosses val="autoZero"/>
        <c:crossBetween val="between"/>
      </c:valAx>
    </c:plotArea>
    <c:legend>
      <c:legendPos val="r"/>
      <c:layout/>
      <c:overlay val="0"/>
      <c:txPr>
        <a:bodyPr/>
        <a:lstStyle/>
        <a:p>
          <a:pPr>
            <a:defRPr sz="900"/>
          </a:pPr>
          <a:endParaRPr lang="en-US"/>
        </a:p>
      </c:txPr>
    </c:legend>
    <c:plotVisOnly val="1"/>
    <c:dispBlanksAs val="gap"/>
    <c:showDLblsOverMax val="0"/>
  </c:chart>
  <c:spPr>
    <a:ln>
      <a:noFill/>
    </a:ln>
  </c:spPr>
  <c:txPr>
    <a:bodyPr/>
    <a:lstStyle/>
    <a:p>
      <a:pPr>
        <a:defRPr>
          <a:latin typeface="Arial" panose="020B0604020202020204" pitchFamily="34" charset="0"/>
          <a:cs typeface="Arial" panose="020B0604020202020204" pitchFamily="34" charset="0"/>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investments!$E$5</c:f>
              <c:strCache>
                <c:ptCount val="1"/>
                <c:pt idx="0">
                  <c:v>R&amp;D</c:v>
                </c:pt>
              </c:strCache>
            </c:strRef>
          </c:tx>
          <c:cat>
            <c:numRef>
              <c:f>investments!$D$6:$D$15</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investments!$E$6:$E$15</c:f>
              <c:numCache>
                <c:formatCode>General</c:formatCode>
                <c:ptCount val="10"/>
                <c:pt idx="0">
                  <c:v>2</c:v>
                </c:pt>
                <c:pt idx="1">
                  <c:v>2</c:v>
                </c:pt>
                <c:pt idx="2">
                  <c:v>1</c:v>
                </c:pt>
                <c:pt idx="3">
                  <c:v>3</c:v>
                </c:pt>
                <c:pt idx="4">
                  <c:v>2</c:v>
                </c:pt>
                <c:pt idx="5">
                  <c:v>3</c:v>
                </c:pt>
                <c:pt idx="6">
                  <c:v>6</c:v>
                </c:pt>
                <c:pt idx="7">
                  <c:v>7</c:v>
                </c:pt>
                <c:pt idx="8">
                  <c:v>9</c:v>
                </c:pt>
                <c:pt idx="9">
                  <c:v>5</c:v>
                </c:pt>
              </c:numCache>
            </c:numRef>
          </c:val>
          <c:smooth val="0"/>
          <c:extLst xmlns:c16r2="http://schemas.microsoft.com/office/drawing/2015/06/chart">
            <c:ext xmlns:c16="http://schemas.microsoft.com/office/drawing/2014/chart" uri="{C3380CC4-5D6E-409C-BE32-E72D297353CC}">
              <c16:uniqueId val="{00000000-8527-4A23-AD45-C61C2C3DB6CF}"/>
            </c:ext>
          </c:extLst>
        </c:ser>
        <c:ser>
          <c:idx val="1"/>
          <c:order val="1"/>
          <c:tx>
            <c:strRef>
              <c:f>investments!$F$5</c:f>
              <c:strCache>
                <c:ptCount val="1"/>
                <c:pt idx="0">
                  <c:v>Manufacturing </c:v>
                </c:pt>
              </c:strCache>
            </c:strRef>
          </c:tx>
          <c:spPr>
            <a:ln>
              <a:prstDash val="sysDot"/>
            </a:ln>
          </c:spPr>
          <c:cat>
            <c:numRef>
              <c:f>investments!$D$6:$D$15</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investments!$F$6:$F$15</c:f>
              <c:numCache>
                <c:formatCode>General</c:formatCode>
                <c:ptCount val="10"/>
                <c:pt idx="0">
                  <c:v>7</c:v>
                </c:pt>
                <c:pt idx="1">
                  <c:v>5</c:v>
                </c:pt>
                <c:pt idx="2">
                  <c:v>9</c:v>
                </c:pt>
                <c:pt idx="3">
                  <c:v>6</c:v>
                </c:pt>
                <c:pt idx="4">
                  <c:v>3</c:v>
                </c:pt>
                <c:pt idx="5">
                  <c:v>6</c:v>
                </c:pt>
                <c:pt idx="6">
                  <c:v>7</c:v>
                </c:pt>
                <c:pt idx="7">
                  <c:v>7</c:v>
                </c:pt>
                <c:pt idx="8">
                  <c:v>13</c:v>
                </c:pt>
                <c:pt idx="9">
                  <c:v>18</c:v>
                </c:pt>
              </c:numCache>
            </c:numRef>
          </c:val>
          <c:smooth val="0"/>
          <c:extLst xmlns:c16r2="http://schemas.microsoft.com/office/drawing/2015/06/chart">
            <c:ext xmlns:c16="http://schemas.microsoft.com/office/drawing/2014/chart" uri="{C3380CC4-5D6E-409C-BE32-E72D297353CC}">
              <c16:uniqueId val="{00000001-8527-4A23-AD45-C61C2C3DB6CF}"/>
            </c:ext>
          </c:extLst>
        </c:ser>
        <c:dLbls>
          <c:showLegendKey val="0"/>
          <c:showVal val="0"/>
          <c:showCatName val="0"/>
          <c:showSerName val="0"/>
          <c:showPercent val="0"/>
          <c:showBubbleSize val="0"/>
        </c:dLbls>
        <c:marker val="1"/>
        <c:smooth val="0"/>
        <c:axId val="534017752"/>
        <c:axId val="534018144"/>
      </c:lineChart>
      <c:catAx>
        <c:axId val="534017752"/>
        <c:scaling>
          <c:orientation val="minMax"/>
        </c:scaling>
        <c:delete val="0"/>
        <c:axPos val="b"/>
        <c:numFmt formatCode="General" sourceLinked="1"/>
        <c:majorTickMark val="out"/>
        <c:minorTickMark val="none"/>
        <c:tickLblPos val="nextTo"/>
        <c:crossAx val="534018144"/>
        <c:crosses val="autoZero"/>
        <c:auto val="1"/>
        <c:lblAlgn val="ctr"/>
        <c:lblOffset val="100"/>
        <c:noMultiLvlLbl val="0"/>
      </c:catAx>
      <c:valAx>
        <c:axId val="534018144"/>
        <c:scaling>
          <c:orientation val="minMax"/>
        </c:scaling>
        <c:delete val="0"/>
        <c:axPos val="l"/>
        <c:numFmt formatCode="General" sourceLinked="1"/>
        <c:majorTickMark val="out"/>
        <c:minorTickMark val="none"/>
        <c:tickLblPos val="nextTo"/>
        <c:crossAx val="534017752"/>
        <c:crosses val="autoZero"/>
        <c:crossBetween val="between"/>
      </c:valAx>
    </c:plotArea>
    <c:legend>
      <c:legendPos val="r"/>
      <c:layout/>
      <c:overlay val="0"/>
    </c:legend>
    <c:plotVisOnly val="1"/>
    <c:dispBlanksAs val="gap"/>
    <c:showDLblsOverMax val="0"/>
  </c:chart>
  <c:spPr>
    <a:ln>
      <a:noFill/>
    </a:ln>
  </c:spPr>
  <c:txPr>
    <a:bodyPr/>
    <a:lstStyle/>
    <a:p>
      <a:pPr>
        <a:defRPr sz="900">
          <a:latin typeface="Arial" panose="020B0604020202020204" pitchFamily="34" charset="0"/>
          <a:cs typeface="Arial" panose="020B0604020202020204"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1B754-6FA5-4E74-A56B-7FCFE263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2017-09-12T14:14:00Z</cp:lastPrinted>
  <dcterms:created xsi:type="dcterms:W3CDTF">2017-09-29T21:51:00Z</dcterms:created>
  <dcterms:modified xsi:type="dcterms:W3CDTF">2017-09-29T21:51:00Z</dcterms:modified>
</cp:coreProperties>
</file>