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1A2D" w:rsidRDefault="00390ED4" w:rsidP="008467D5">
      <w:pPr>
        <w:pBdr>
          <w:bottom w:val="single" w:sz="18" w:space="1" w:color="auto"/>
        </w:pBdr>
        <w:tabs>
          <w:tab w:val="left" w:pos="-1440"/>
          <w:tab w:val="left" w:pos="-720"/>
          <w:tab w:val="left" w:pos="1"/>
        </w:tabs>
        <w:jc w:val="both"/>
        <w:rPr>
          <w:rFonts w:ascii="Arial" w:hAnsi="Arial"/>
          <w:b/>
          <w:sz w:val="24"/>
        </w:rPr>
      </w:pPr>
      <w:r>
        <w:rPr>
          <w:rFonts w:ascii="Arial" w:hAnsi="Arial"/>
          <w:b/>
          <w:sz w:val="24"/>
        </w:rPr>
        <w:t>`</w:t>
      </w:r>
      <w:r w:rsidR="00A569EA" w:rsidRPr="00A569EA">
        <w:rPr>
          <w:rFonts w:ascii="Arial" w:hAnsi="Arial"/>
          <w:b/>
          <w:noProof/>
          <w:sz w:val="24"/>
          <w:lang w:val="en-GB" w:eastAsia="en-GB"/>
        </w:rPr>
        <w:drawing>
          <wp:inline distT="0" distB="0" distL="0" distR="0" wp14:anchorId="1EB74339" wp14:editId="779AA211">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rsidR="00F13220" w:rsidRDefault="00F13220" w:rsidP="008467D5">
      <w:pPr>
        <w:pBdr>
          <w:bottom w:val="single" w:sz="18" w:space="1" w:color="auto"/>
        </w:pBdr>
        <w:tabs>
          <w:tab w:val="left" w:pos="-1440"/>
          <w:tab w:val="left" w:pos="-720"/>
          <w:tab w:val="left" w:pos="1"/>
        </w:tabs>
        <w:jc w:val="both"/>
        <w:rPr>
          <w:rFonts w:ascii="Arial" w:hAnsi="Arial"/>
          <w:b/>
          <w:sz w:val="24"/>
        </w:rPr>
      </w:pPr>
    </w:p>
    <w:p w:rsidR="00D75295" w:rsidRDefault="003664A6" w:rsidP="00F105B7">
      <w:pPr>
        <w:pStyle w:val="ProductNumber"/>
      </w:pPr>
      <w:r>
        <w:t>9B17M159</w:t>
      </w:r>
    </w:p>
    <w:p w:rsidR="00D75295" w:rsidRDefault="00D75295" w:rsidP="00D75295">
      <w:pPr>
        <w:jc w:val="right"/>
        <w:rPr>
          <w:rFonts w:ascii="Arial" w:hAnsi="Arial"/>
          <w:b/>
          <w:sz w:val="28"/>
          <w:szCs w:val="28"/>
        </w:rPr>
      </w:pPr>
    </w:p>
    <w:p w:rsidR="00013360" w:rsidRPr="00013360" w:rsidRDefault="00013360" w:rsidP="00D75295">
      <w:pPr>
        <w:jc w:val="right"/>
        <w:rPr>
          <w:rFonts w:ascii="Arial" w:hAnsi="Arial"/>
          <w:b/>
          <w:sz w:val="28"/>
          <w:szCs w:val="28"/>
        </w:rPr>
      </w:pPr>
    </w:p>
    <w:p w:rsidR="00013360" w:rsidRDefault="003664A6" w:rsidP="00013360">
      <w:pPr>
        <w:pStyle w:val="CaseTitle"/>
        <w:spacing w:after="0" w:line="240" w:lineRule="auto"/>
        <w:rPr>
          <w:sz w:val="20"/>
          <w:szCs w:val="20"/>
        </w:rPr>
      </w:pPr>
      <w:r>
        <w:rPr>
          <w:rFonts w:eastAsia="Times New Roman"/>
          <w:szCs w:val="20"/>
        </w:rPr>
        <w:t>mogo: spearheading fintech adoption in canada</w:t>
      </w:r>
    </w:p>
    <w:p w:rsidR="00CA3976" w:rsidRDefault="00CA3976" w:rsidP="00013360">
      <w:pPr>
        <w:pStyle w:val="CaseTitle"/>
        <w:spacing w:after="0" w:line="240" w:lineRule="auto"/>
        <w:rPr>
          <w:sz w:val="20"/>
          <w:szCs w:val="20"/>
        </w:rPr>
      </w:pPr>
    </w:p>
    <w:p w:rsidR="00013360" w:rsidRPr="00013360" w:rsidRDefault="00013360" w:rsidP="00013360">
      <w:pPr>
        <w:pStyle w:val="CaseTitle"/>
        <w:spacing w:after="0" w:line="240" w:lineRule="auto"/>
        <w:rPr>
          <w:sz w:val="20"/>
          <w:szCs w:val="20"/>
        </w:rPr>
      </w:pPr>
    </w:p>
    <w:p w:rsidR="00627C63" w:rsidRPr="00627C63" w:rsidRDefault="003664A6" w:rsidP="00627C63">
      <w:pPr>
        <w:pStyle w:val="StyleCopyrightStatementAfter0ptBottomSinglesolidline1"/>
      </w:pPr>
      <w:r>
        <w:t>Nicole Miles</w:t>
      </w:r>
      <w:r w:rsidR="001C7777">
        <w:t xml:space="preserve"> </w:t>
      </w:r>
      <w:r w:rsidR="004B632F" w:rsidRPr="00104567">
        <w:t>wrote this</w:t>
      </w:r>
      <w:r w:rsidR="004B632F">
        <w:t xml:space="preserve"> </w:t>
      </w:r>
      <w:r w:rsidR="00152682">
        <w:t>case</w:t>
      </w:r>
      <w:r w:rsidR="004B632F">
        <w:t xml:space="preserve"> </w:t>
      </w:r>
      <w:r>
        <w:t xml:space="preserve">under the supervision of Professor Cara Maurer </w:t>
      </w:r>
      <w:r w:rsidR="00152682" w:rsidRPr="00104567">
        <w:t>solely to provide material for class discussion. The</w:t>
      </w:r>
      <w:r w:rsidR="001C7777">
        <w:t xml:space="preserve"> author</w:t>
      </w:r>
      <w:r w:rsidR="001A22D1">
        <w:t>s</w:t>
      </w:r>
      <w:r w:rsidR="00152682">
        <w:t xml:space="preserve"> do not intend to illustrate either effective or ineffective handling of a managerial situation. The author</w:t>
      </w:r>
      <w:r w:rsidR="001A22D1">
        <w:t>s</w:t>
      </w:r>
      <w:r w:rsidR="00152682">
        <w:t xml:space="preserve"> may have disguised certain names and other identifying information to protect confidentiality.</w:t>
      </w:r>
    </w:p>
    <w:p w:rsidR="00751E0B" w:rsidRDefault="00751E0B" w:rsidP="00751E0B">
      <w:pPr>
        <w:pStyle w:val="StyleCopyrightStatementAfter0ptBottomSinglesolidline1"/>
      </w:pPr>
    </w:p>
    <w:p w:rsidR="00A569EA" w:rsidRPr="00E23AB7" w:rsidRDefault="00A569EA" w:rsidP="003664A6">
      <w:pPr>
        <w:pBdr>
          <w:top w:val="single" w:sz="8" w:space="4" w:color="auto"/>
        </w:pBdr>
        <w:tabs>
          <w:tab w:val="right" w:pos="9360"/>
        </w:tabs>
        <w:autoSpaceDE w:val="0"/>
        <w:autoSpaceDN w:val="0"/>
        <w:adjustRightInd w:val="0"/>
        <w:jc w:val="both"/>
        <w:textAlignment w:val="center"/>
        <w:rPr>
          <w:rFonts w:ascii="Arial" w:hAnsi="Arial"/>
          <w:i/>
          <w:iCs/>
          <w:color w:val="000000"/>
          <w:sz w:val="16"/>
        </w:rPr>
      </w:pPr>
      <w:r w:rsidRPr="00E23AB7">
        <w:rPr>
          <w:rFonts w:ascii="Arial" w:hAnsi="Arial"/>
          <w:i/>
          <w:iCs/>
          <w:color w:val="000000"/>
          <w:sz w:val="16"/>
        </w:rPr>
        <w:t>This publication may not be transmitted, photocopied, digitized</w:t>
      </w:r>
      <w:r w:rsidR="00024ED4">
        <w:rPr>
          <w:rFonts w:ascii="Arial" w:hAnsi="Arial"/>
          <w:i/>
          <w:iCs/>
          <w:color w:val="000000"/>
          <w:sz w:val="16"/>
        </w:rPr>
        <w:t>,</w:t>
      </w:r>
      <w:r w:rsidRPr="00E23AB7">
        <w:rPr>
          <w:rFonts w:ascii="Arial" w:hAnsi="Arial"/>
          <w:i/>
          <w:iCs/>
          <w:color w:val="000000"/>
          <w:sz w:val="16"/>
        </w:rPr>
        <w:t xml:space="preserve">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10" w:history="1">
        <w:r w:rsidRPr="00E23AB7">
          <w:rPr>
            <w:rFonts w:ascii="Arial" w:hAnsi="Arial"/>
            <w:i/>
            <w:iCs/>
            <w:color w:val="000000"/>
            <w:sz w:val="16"/>
          </w:rPr>
          <w:t>cases@ivey.ca</w:t>
        </w:r>
      </w:hyperlink>
      <w:r w:rsidRPr="00E23AB7">
        <w:rPr>
          <w:rFonts w:ascii="Arial" w:hAnsi="Arial"/>
          <w:i/>
          <w:iCs/>
          <w:color w:val="000000"/>
          <w:sz w:val="16"/>
        </w:rPr>
        <w:t xml:space="preserve">; </w:t>
      </w:r>
      <w:hyperlink r:id="rId11" w:history="1">
        <w:r w:rsidRPr="00E23AB7">
          <w:rPr>
            <w:rFonts w:ascii="Arial" w:hAnsi="Arial"/>
            <w:i/>
            <w:iCs/>
            <w:color w:val="000000"/>
            <w:sz w:val="16"/>
          </w:rPr>
          <w:t>www.iveycases.com</w:t>
        </w:r>
      </w:hyperlink>
      <w:r w:rsidRPr="00E23AB7">
        <w:rPr>
          <w:rFonts w:ascii="Arial" w:hAnsi="Arial"/>
          <w:i/>
          <w:iCs/>
          <w:color w:val="000000"/>
          <w:sz w:val="16"/>
        </w:rPr>
        <w:t>.</w:t>
      </w:r>
    </w:p>
    <w:p w:rsidR="00A569EA" w:rsidRPr="00E23AB7" w:rsidRDefault="00A569EA" w:rsidP="003664A6">
      <w:pPr>
        <w:pBdr>
          <w:top w:val="single" w:sz="8" w:space="4" w:color="auto"/>
        </w:pBdr>
        <w:tabs>
          <w:tab w:val="right" w:pos="9360"/>
        </w:tabs>
        <w:autoSpaceDE w:val="0"/>
        <w:autoSpaceDN w:val="0"/>
        <w:adjustRightInd w:val="0"/>
        <w:jc w:val="both"/>
        <w:textAlignment w:val="center"/>
        <w:rPr>
          <w:rFonts w:ascii="Arial" w:hAnsi="Arial"/>
          <w:i/>
          <w:iCs/>
          <w:color w:val="000000"/>
          <w:sz w:val="16"/>
        </w:rPr>
      </w:pPr>
    </w:p>
    <w:p w:rsidR="00751E0B" w:rsidRDefault="00A569EA" w:rsidP="00751E0B">
      <w:pPr>
        <w:pStyle w:val="StyleStyleCopyrightStatementAfter0ptBottomSinglesolid"/>
      </w:pPr>
      <w:r w:rsidRPr="00E23AB7">
        <w:rPr>
          <w:rFonts w:cs="Arial"/>
          <w:szCs w:val="16"/>
        </w:rPr>
        <w:t>Copyright © 201</w:t>
      </w:r>
      <w:r w:rsidR="00024ED4">
        <w:rPr>
          <w:rFonts w:cs="Arial"/>
          <w:szCs w:val="16"/>
        </w:rPr>
        <w:t>7</w:t>
      </w:r>
      <w:r w:rsidRPr="00E23AB7">
        <w:rPr>
          <w:rFonts w:cs="Arial"/>
          <w:szCs w:val="16"/>
        </w:rPr>
        <w:t xml:space="preserve">, </w:t>
      </w:r>
      <w:r w:rsidR="007160F9">
        <w:rPr>
          <w:rFonts w:cs="Arial"/>
          <w:szCs w:val="16"/>
          <w:lang w:val="en-CA"/>
        </w:rPr>
        <w:t>Ivey Business School Foundation</w:t>
      </w:r>
      <w:r>
        <w:rPr>
          <w:rFonts w:cs="Arial"/>
          <w:szCs w:val="16"/>
          <w:lang w:val="en-CA"/>
        </w:rPr>
        <w:tab/>
      </w:r>
      <w:r w:rsidR="00751E0B">
        <w:t xml:space="preserve">Version: </w:t>
      </w:r>
      <w:r w:rsidR="003664A6">
        <w:t>201</w:t>
      </w:r>
      <w:r w:rsidR="007160F9">
        <w:t>8</w:t>
      </w:r>
      <w:r w:rsidR="001C7777">
        <w:t>-</w:t>
      </w:r>
      <w:r w:rsidR="007160F9">
        <w:t>02</w:t>
      </w:r>
      <w:r w:rsidR="00751E0B">
        <w:t>-</w:t>
      </w:r>
      <w:r w:rsidR="00545CE3">
        <w:t>28</w:t>
      </w:r>
    </w:p>
    <w:p w:rsidR="00751E0B" w:rsidRPr="003B7EF2" w:rsidRDefault="00751E0B" w:rsidP="00751E0B">
      <w:pPr>
        <w:pStyle w:val="StyleCopyrightStatementAfter0ptBottomSinglesolidline1"/>
        <w:rPr>
          <w:rFonts w:ascii="Times New Roman" w:hAnsi="Times New Roman"/>
          <w:sz w:val="20"/>
        </w:rPr>
      </w:pPr>
    </w:p>
    <w:p w:rsidR="004B632F" w:rsidRDefault="004B632F" w:rsidP="004B632F">
      <w:pPr>
        <w:pStyle w:val="StyleCopyrightStatementAfter0ptBottomSinglesolidline1"/>
        <w:rPr>
          <w:rFonts w:ascii="Times New Roman" w:hAnsi="Times New Roman"/>
          <w:sz w:val="20"/>
        </w:rPr>
      </w:pPr>
    </w:p>
    <w:p w:rsidR="00613BFD" w:rsidRPr="00613BFD" w:rsidRDefault="00613BFD" w:rsidP="001E5FD8">
      <w:pPr>
        <w:pStyle w:val="BodyTextMain"/>
        <w:rPr>
          <w:lang w:val="en-CA"/>
        </w:rPr>
      </w:pPr>
      <w:r>
        <w:rPr>
          <w:lang w:val="en-CA"/>
        </w:rPr>
        <w:t>It was January 2018</w:t>
      </w:r>
      <w:r w:rsidRPr="00613BFD">
        <w:rPr>
          <w:lang w:val="en-CA"/>
        </w:rPr>
        <w:t xml:space="preserve"> in Vancouver, Canada, the home of Mogo Finance Technology Inc (Mogo),</w:t>
      </w:r>
      <w:r>
        <w:rPr>
          <w:lang w:val="en-CA"/>
        </w:rPr>
        <w:t xml:space="preserve"> as</w:t>
      </w:r>
      <w:r w:rsidRPr="00613BFD">
        <w:rPr>
          <w:lang w:val="en-CA"/>
        </w:rPr>
        <w:t xml:space="preserve"> the company’s co-founder and chief executive officer, David Feller, reflected on the decisions he would have to make to help Mogo </w:t>
      </w:r>
      <w:r>
        <w:rPr>
          <w:lang w:val="en-CA"/>
        </w:rPr>
        <w:t>provide</w:t>
      </w:r>
      <w:r w:rsidRPr="00613BFD">
        <w:rPr>
          <w:lang w:val="en-CA"/>
        </w:rPr>
        <w:t xml:space="preserve"> Canada’s </w:t>
      </w:r>
      <w:r>
        <w:rPr>
          <w:lang w:val="en-CA"/>
        </w:rPr>
        <w:t>best</w:t>
      </w:r>
      <w:r w:rsidRPr="00613BFD">
        <w:rPr>
          <w:lang w:val="en-CA"/>
        </w:rPr>
        <w:t xml:space="preserve"> digital </w:t>
      </w:r>
      <w:r>
        <w:rPr>
          <w:lang w:val="en-CA"/>
        </w:rPr>
        <w:t>banking experience</w:t>
      </w:r>
      <w:r w:rsidRPr="006524E1">
        <w:rPr>
          <w:lang w:val="en-CA"/>
        </w:rPr>
        <w:t>.</w:t>
      </w:r>
      <w:r w:rsidRPr="00613BFD">
        <w:rPr>
          <w:lang w:val="en-CA"/>
        </w:rPr>
        <w:t xml:space="preserve"> The online lender </w:t>
      </w:r>
      <w:r>
        <w:rPr>
          <w:lang w:val="en-CA"/>
        </w:rPr>
        <w:t xml:space="preserve">and payments solutions provider </w:t>
      </w:r>
      <w:r w:rsidRPr="00613BFD">
        <w:rPr>
          <w:lang w:val="en-CA"/>
        </w:rPr>
        <w:t xml:space="preserve">had achieved positive </w:t>
      </w:r>
      <w:r>
        <w:rPr>
          <w:lang w:val="en-CA"/>
        </w:rPr>
        <w:t>EBITDA</w:t>
      </w:r>
      <w:r w:rsidRPr="00613BFD">
        <w:rPr>
          <w:lang w:val="en-CA"/>
        </w:rPr>
        <w:t xml:space="preserve"> for the first time in </w:t>
      </w:r>
      <w:r>
        <w:rPr>
          <w:lang w:val="en-CA"/>
        </w:rPr>
        <w:t>2015,</w:t>
      </w:r>
      <w:r w:rsidRPr="006524E1">
        <w:rPr>
          <w:lang w:val="en-CA"/>
        </w:rPr>
        <w:t xml:space="preserve"> </w:t>
      </w:r>
      <w:r w:rsidRPr="00613BFD">
        <w:rPr>
          <w:lang w:val="en-CA"/>
        </w:rPr>
        <w:t xml:space="preserve">but </w:t>
      </w:r>
      <w:r>
        <w:rPr>
          <w:lang w:val="en-CA"/>
        </w:rPr>
        <w:t xml:space="preserve">still </w:t>
      </w:r>
      <w:r w:rsidRPr="00613BFD">
        <w:rPr>
          <w:lang w:val="en-CA"/>
        </w:rPr>
        <w:t xml:space="preserve">had yet to achieve </w:t>
      </w:r>
      <w:r>
        <w:rPr>
          <w:lang w:val="en-CA"/>
        </w:rPr>
        <w:t>profitability</w:t>
      </w:r>
      <w:r w:rsidRPr="006524E1">
        <w:rPr>
          <w:lang w:val="en-CA"/>
        </w:rPr>
        <w:t>.</w:t>
      </w:r>
      <w:r w:rsidRPr="00613BFD">
        <w:rPr>
          <w:lang w:val="en-CA"/>
        </w:rPr>
        <w:t xml:space="preserve"> Despite a </w:t>
      </w:r>
      <w:r>
        <w:rPr>
          <w:lang w:val="en-CA"/>
        </w:rPr>
        <w:t>43</w:t>
      </w:r>
      <w:r w:rsidRPr="00613BFD">
        <w:rPr>
          <w:lang w:val="en-CA"/>
        </w:rPr>
        <w:t xml:space="preserve"> per cent growth in membership during </w:t>
      </w:r>
      <w:r>
        <w:rPr>
          <w:lang w:val="en-CA"/>
        </w:rPr>
        <w:t>2017 and</w:t>
      </w:r>
      <w:r w:rsidRPr="00613BFD">
        <w:rPr>
          <w:lang w:val="en-CA"/>
        </w:rPr>
        <w:t xml:space="preserve"> revenues of CA$</w:t>
      </w:r>
      <w:r>
        <w:rPr>
          <w:lang w:val="en-CA"/>
        </w:rPr>
        <w:t>49.9</w:t>
      </w:r>
      <w:r w:rsidRPr="006524E1">
        <w:rPr>
          <w:lang w:val="en-CA"/>
        </w:rPr>
        <w:t xml:space="preserve"> million</w:t>
      </w:r>
      <w:r w:rsidR="001E5FD8">
        <w:rPr>
          <w:lang w:val="en-CA"/>
        </w:rPr>
        <w:t>,</w:t>
      </w:r>
      <w:r w:rsidRPr="006524E1">
        <w:rPr>
          <w:rStyle w:val="EndnoteReference"/>
          <w:lang w:val="en-CA"/>
        </w:rPr>
        <w:endnoteReference w:id="1"/>
      </w:r>
      <w:r w:rsidRPr="00613BFD">
        <w:rPr>
          <w:lang w:val="en-CA"/>
        </w:rPr>
        <w:t xml:space="preserve"> the company had incurred a net loss of $</w:t>
      </w:r>
      <w:r>
        <w:rPr>
          <w:lang w:val="en-CA"/>
        </w:rPr>
        <w:t>17.1</w:t>
      </w:r>
      <w:r w:rsidRPr="00613BFD">
        <w:rPr>
          <w:lang w:val="en-CA"/>
        </w:rPr>
        <w:t xml:space="preserve"> million. Having </w:t>
      </w:r>
      <w:r>
        <w:rPr>
          <w:lang w:val="en-CA"/>
        </w:rPr>
        <w:t>just closed</w:t>
      </w:r>
      <w:r w:rsidRPr="00613BFD">
        <w:rPr>
          <w:lang w:val="en-CA"/>
        </w:rPr>
        <w:t xml:space="preserve"> a public offering </w:t>
      </w:r>
      <w:r>
        <w:rPr>
          <w:lang w:val="en-CA"/>
        </w:rPr>
        <w:t>of $26.25 million</w:t>
      </w:r>
      <w:r w:rsidRPr="00613BFD">
        <w:rPr>
          <w:lang w:val="en-CA"/>
        </w:rPr>
        <w:t xml:space="preserve"> </w:t>
      </w:r>
      <w:r>
        <w:rPr>
          <w:lang w:val="en-CA"/>
        </w:rPr>
        <w:t>at</w:t>
      </w:r>
      <w:r w:rsidRPr="00613BFD">
        <w:rPr>
          <w:lang w:val="en-CA"/>
        </w:rPr>
        <w:t xml:space="preserve"> year</w:t>
      </w:r>
      <w:r>
        <w:rPr>
          <w:lang w:val="en-CA"/>
        </w:rPr>
        <w:t xml:space="preserve"> end 2017</w:t>
      </w:r>
      <w:r w:rsidRPr="00613BFD">
        <w:rPr>
          <w:lang w:val="en-CA"/>
        </w:rPr>
        <w:t>, Mogo faced pressure to create a clear roadmap towards profitability</w:t>
      </w:r>
      <w:r w:rsidRPr="006524E1">
        <w:rPr>
          <w:lang w:val="en-CA"/>
        </w:rPr>
        <w:t xml:space="preserve"> in order</w:t>
      </w:r>
      <w:r w:rsidRPr="00613BFD">
        <w:rPr>
          <w:lang w:val="en-CA"/>
        </w:rPr>
        <w:t xml:space="preserve"> to deliver on shareholder expectations. In Feller’s mind, it was equally important to balance the prospect of short-term revenue gains with a longer-term focus on “the multi-billion-dollar opportunity” of financial technology (fintech) in Canada</w:t>
      </w:r>
      <w:r w:rsidRPr="006524E1">
        <w:rPr>
          <w:lang w:val="en-CA"/>
        </w:rPr>
        <w:t>, as he described</w:t>
      </w:r>
      <w:r w:rsidRPr="00613BFD">
        <w:rPr>
          <w:lang w:val="en-CA"/>
        </w:rPr>
        <w:t>:</w:t>
      </w:r>
    </w:p>
    <w:p w:rsidR="00613BFD" w:rsidRPr="00613BFD" w:rsidRDefault="00613BFD" w:rsidP="001E5FD8">
      <w:pPr>
        <w:pStyle w:val="BodyTextMain"/>
        <w:rPr>
          <w:lang w:val="en-CA"/>
        </w:rPr>
      </w:pPr>
    </w:p>
    <w:p w:rsidR="00613BFD" w:rsidRPr="00613BFD" w:rsidRDefault="00613BFD" w:rsidP="001E5FD8">
      <w:pPr>
        <w:pStyle w:val="BodyTextMain"/>
        <w:ind w:left="720"/>
        <w:rPr>
          <w:lang w:val="en-CA"/>
        </w:rPr>
      </w:pPr>
      <w:r w:rsidRPr="00613BFD">
        <w:rPr>
          <w:lang w:val="en-CA"/>
        </w:rPr>
        <w:t>At the end of the day, we’re going up against big banks that compete on product variety and customer volume, but revenue and profitability are critical now that we’re public. As much as we want to commercialize new products, we have to find the right balance between investing money into our platform and moving towards profitability.</w:t>
      </w:r>
    </w:p>
    <w:p w:rsidR="00613BFD" w:rsidRPr="00613BFD" w:rsidRDefault="00613BFD" w:rsidP="001E5FD8">
      <w:pPr>
        <w:pStyle w:val="BodyTextMain"/>
        <w:rPr>
          <w:lang w:val="en-CA"/>
        </w:rPr>
      </w:pPr>
    </w:p>
    <w:p w:rsidR="00613BFD" w:rsidRPr="00613BFD" w:rsidRDefault="00613BFD" w:rsidP="001E5FD8">
      <w:pPr>
        <w:pStyle w:val="BodyTextMain"/>
        <w:rPr>
          <w:lang w:val="en-CA"/>
        </w:rPr>
      </w:pPr>
      <w:r w:rsidRPr="00613BFD">
        <w:rPr>
          <w:lang w:val="en-CA"/>
        </w:rPr>
        <w:t xml:space="preserve">Mogo’s ability to provide loan </w:t>
      </w:r>
      <w:r>
        <w:rPr>
          <w:lang w:val="en-CA"/>
        </w:rPr>
        <w:t>and payments</w:t>
      </w:r>
      <w:r w:rsidRPr="006524E1">
        <w:rPr>
          <w:lang w:val="en-CA"/>
        </w:rPr>
        <w:t xml:space="preserve"> </w:t>
      </w:r>
      <w:r w:rsidRPr="00613BFD">
        <w:rPr>
          <w:lang w:val="en-CA"/>
        </w:rPr>
        <w:t>products through its</w:t>
      </w:r>
      <w:r w:rsidRPr="006524E1">
        <w:rPr>
          <w:lang w:val="en-CA"/>
        </w:rPr>
        <w:t xml:space="preserve"> </w:t>
      </w:r>
      <w:r>
        <w:rPr>
          <w:lang w:val="en-CA"/>
        </w:rPr>
        <w:t>“mobile-first”</w:t>
      </w:r>
      <w:r w:rsidRPr="00613BFD">
        <w:rPr>
          <w:lang w:val="en-CA"/>
        </w:rPr>
        <w:t xml:space="preserve"> digital platform positioned the company as a convenient, millennial-friendly alternative to traditional banks. </w:t>
      </w:r>
      <w:r>
        <w:rPr>
          <w:lang w:val="en-CA"/>
        </w:rPr>
        <w:t>The company had acquired 500,000 users through the rapid development and deployment of its five product lines: loans, free credit score monitoring, mortgages, payments, and fraud detection services—the latter three were released in 2017.</w:t>
      </w:r>
      <w:r w:rsidRPr="006524E1">
        <w:rPr>
          <w:lang w:val="en-CA"/>
        </w:rPr>
        <w:t xml:space="preserve"> </w:t>
      </w:r>
      <w:r>
        <w:rPr>
          <w:lang w:val="en-CA"/>
        </w:rPr>
        <w:t>But, with big banks establishing digital offerings and competitive start-ups expanding equally as rapidly</w:t>
      </w:r>
      <w:r w:rsidRPr="00613BFD">
        <w:rPr>
          <w:lang w:val="en-CA"/>
        </w:rPr>
        <w:t xml:space="preserve">, </w:t>
      </w:r>
      <w:r w:rsidRPr="006524E1">
        <w:t xml:space="preserve">Feller knew that the most critical decision he needed to make was that of Mogo’s overarching strategy: </w:t>
      </w:r>
      <w:r>
        <w:t>how could his team best deploy this capital to provide the best digital banking experience to customers while actively moving towards profitability?</w:t>
      </w:r>
    </w:p>
    <w:p w:rsidR="00613BFD" w:rsidRPr="006524E1" w:rsidRDefault="00613BFD" w:rsidP="001E5FD8">
      <w:pPr>
        <w:pStyle w:val="BodyTextMain"/>
      </w:pPr>
    </w:p>
    <w:p w:rsidR="00613BFD" w:rsidRPr="006524E1" w:rsidRDefault="00613BFD" w:rsidP="001E5FD8">
      <w:pPr>
        <w:pStyle w:val="BodyTextMain"/>
      </w:pPr>
    </w:p>
    <w:p w:rsidR="00613BFD" w:rsidRPr="00613BFD" w:rsidRDefault="00613BFD" w:rsidP="001E5FD8">
      <w:pPr>
        <w:pStyle w:val="Casehead1"/>
      </w:pPr>
      <w:r w:rsidRPr="00613BFD">
        <w:t>Financial Services in Canada</w:t>
      </w:r>
    </w:p>
    <w:p w:rsidR="00613BFD" w:rsidRPr="001E5FD8" w:rsidRDefault="00613BFD" w:rsidP="001E5FD8">
      <w:pPr>
        <w:pStyle w:val="BodyTextMain"/>
      </w:pPr>
    </w:p>
    <w:p w:rsidR="00613BFD" w:rsidRPr="001E5FD8" w:rsidRDefault="00613BFD" w:rsidP="001E5FD8">
      <w:pPr>
        <w:pStyle w:val="BodyTextMain"/>
      </w:pPr>
      <w:r w:rsidRPr="001E5FD8">
        <w:t xml:space="preserve">As the second-largest sector in Canadian business by gross domestic product, the financial services industry was composed of seven distinct segments: banking, credit unions, insurance, asset management, </w:t>
      </w:r>
      <w:r w:rsidRPr="001E5FD8">
        <w:lastRenderedPageBreak/>
        <w:t>securities, exchanges, and back office operations (see Exhibit 1). Within this, banking, insurance, and securities accounted for a combined 90.7 per cent of total business across the industry.</w:t>
      </w:r>
      <w:r w:rsidRPr="001E5FD8">
        <w:rPr>
          <w:rStyle w:val="EndnoteReference"/>
        </w:rPr>
        <w:endnoteReference w:id="2"/>
      </w:r>
    </w:p>
    <w:p w:rsidR="00613BFD" w:rsidRPr="001E5FD8" w:rsidRDefault="00613BFD" w:rsidP="001E5FD8">
      <w:pPr>
        <w:pStyle w:val="BodyTextMain"/>
      </w:pPr>
    </w:p>
    <w:p w:rsidR="00613BFD" w:rsidRPr="001E5FD8" w:rsidRDefault="00613BFD" w:rsidP="001E5FD8">
      <w:pPr>
        <w:pStyle w:val="BodyTextMain"/>
      </w:pPr>
      <w:r w:rsidRPr="001E5FD8">
        <w:t>Canada’s banking market was highly consolidated between the “Big Six” Canadian banks: Bank of Montreal (BMO), The Bank of Nova Scotia (Scotiabank), Canadian Imperial Bank of Commerce (CIBC), National Bank of Canada (NBC), Royal Bank of Canada (RBC), and Toronto-Dominion Bank (TD). With a collective market capitalization of $435.8 billion in 2016</w:t>
      </w:r>
      <w:r w:rsidR="001E5FD8">
        <w:t>,</w:t>
      </w:r>
      <w:r w:rsidRPr="001E5FD8">
        <w:rPr>
          <w:rStyle w:val="EndnoteReference"/>
        </w:rPr>
        <w:endnoteReference w:id="3"/>
      </w:r>
      <w:r w:rsidRPr="001E5FD8">
        <w:t xml:space="preserve"> these banking giants offered a comprehensive mix of retail, commercial, and investment banking services to clients. Within their retail services, all of the Big Six offered savings and chequing accounts, mortgages, debit cards, credit cards, and personal loans, in addition to client services (see Exhibit 2).</w:t>
      </w:r>
    </w:p>
    <w:p w:rsidR="00613BFD" w:rsidRPr="001E5FD8" w:rsidRDefault="00613BFD" w:rsidP="001E5FD8">
      <w:pPr>
        <w:pStyle w:val="BodyTextMain"/>
      </w:pPr>
    </w:p>
    <w:p w:rsidR="00613BFD" w:rsidRPr="001E5FD8" w:rsidRDefault="00613BFD" w:rsidP="001E5FD8">
      <w:pPr>
        <w:pStyle w:val="BodyTextMain"/>
      </w:pPr>
      <w:r w:rsidRPr="001E5FD8">
        <w:t>Since 2002, Canadian banking had experienced revenue growth of 4.3 per cent.</w:t>
      </w:r>
      <w:r w:rsidRPr="001E5FD8">
        <w:rPr>
          <w:rStyle w:val="EndnoteReference"/>
        </w:rPr>
        <w:endnoteReference w:id="4"/>
      </w:r>
      <w:r w:rsidRPr="001E5FD8">
        <w:t xml:space="preserve"> Compared to average private sector revenue increases of 3.8 per cent over the same period, financial services growth was driven primarily by increased loan volumes due to low interest rates.</w:t>
      </w:r>
      <w:r w:rsidRPr="001E5FD8">
        <w:rPr>
          <w:rStyle w:val="EndnoteReference"/>
        </w:rPr>
        <w:endnoteReference w:id="5"/>
      </w:r>
      <w:r w:rsidRPr="001E5FD8">
        <w:t xml:space="preserve"> However, with Canadian household debt at an average of 167.8 per cent of disposable income, Moody’s Investors Service cut the credit ratings of the Big Six in 2016 to reflect concerns over increasing exposure to indebted customers.</w:t>
      </w:r>
      <w:r w:rsidRPr="001E5FD8">
        <w:rPr>
          <w:rStyle w:val="EndnoteReference"/>
        </w:rPr>
        <w:endnoteReference w:id="6"/>
      </w:r>
    </w:p>
    <w:p w:rsidR="00613BFD" w:rsidRPr="001E5FD8" w:rsidRDefault="00613BFD" w:rsidP="001E5FD8">
      <w:pPr>
        <w:pStyle w:val="BodyTextMain"/>
      </w:pPr>
    </w:p>
    <w:p w:rsidR="00613BFD" w:rsidRPr="001E5FD8" w:rsidRDefault="00613BFD" w:rsidP="001E5FD8">
      <w:pPr>
        <w:pStyle w:val="BodyTextMain"/>
      </w:pPr>
    </w:p>
    <w:p w:rsidR="00613BFD" w:rsidRPr="006524E1" w:rsidRDefault="00613BFD" w:rsidP="001E5FD8">
      <w:pPr>
        <w:pStyle w:val="Casehead2"/>
      </w:pPr>
      <w:r w:rsidRPr="006524E1">
        <w:t>Shifting Customer Expectations</w:t>
      </w:r>
    </w:p>
    <w:p w:rsidR="00613BFD" w:rsidRPr="00613BFD" w:rsidRDefault="00613BFD" w:rsidP="001E5FD8">
      <w:pPr>
        <w:pStyle w:val="BodyTextMain"/>
      </w:pPr>
    </w:p>
    <w:p w:rsidR="00613BFD" w:rsidRPr="006524E1" w:rsidRDefault="00613BFD" w:rsidP="001E5FD8">
      <w:pPr>
        <w:pStyle w:val="BodyTextMain"/>
      </w:pPr>
      <w:r w:rsidRPr="006524E1">
        <w:t xml:space="preserve">Since the 2008 global recession, global banks’ rankings in satisfaction surveys decreased across a number of dimensions, and Canadian institutions were no exception. </w:t>
      </w:r>
      <w:r w:rsidRPr="00B25141">
        <w:t>In 2016, a</w:t>
      </w:r>
      <w:r w:rsidRPr="006524E1">
        <w:t xml:space="preserve"> Performance Against Customer Expectations (PACE) Index of Canadians identified that although banks excelled in terms of in-person banking support, significant expectation gaps existed between consumers’ perceptions of customization and </w:t>
      </w:r>
      <w:r>
        <w:t>ease of product use and understanding.</w:t>
      </w:r>
      <w:r>
        <w:rPr>
          <w:rStyle w:val="EndnoteReference"/>
        </w:rPr>
        <w:endnoteReference w:id="7"/>
      </w:r>
      <w:r w:rsidRPr="006524E1">
        <w:t xml:space="preserve"> </w:t>
      </w:r>
      <w:r>
        <w:t>Even t</w:t>
      </w:r>
      <w:r w:rsidRPr="006524E1">
        <w:t xml:space="preserve">hough one in four respondents believed that banks met customer needs in basic trust and relationship areas (e.g., fair pricing and transparency), </w:t>
      </w:r>
      <w:r>
        <w:t>a 20 per cent point gap existed between bank performance and customer expectations. In this context, customers equated fairness with absence of hidden charges and fees.</w:t>
      </w:r>
    </w:p>
    <w:p w:rsidR="00613BFD" w:rsidRPr="006524E1" w:rsidRDefault="00613BFD" w:rsidP="001E5FD8">
      <w:pPr>
        <w:pStyle w:val="BodyTextMain"/>
      </w:pPr>
    </w:p>
    <w:p w:rsidR="00613BFD" w:rsidRPr="006524E1" w:rsidRDefault="00613BFD" w:rsidP="001E5FD8">
      <w:pPr>
        <w:pStyle w:val="BodyTextMain"/>
      </w:pPr>
      <w:r w:rsidRPr="006524E1">
        <w:t>The demographic that experienced the greatest trust decrease was comprised of customers aged 22 to 34 (so-called “millennials”) with healthy credit scores, a segment that made up approximately 40 per cent of global banks’ customer bases. This segment was characterized by a preference for personalized service through convenient platforms. In fact, 69–75 per cent of customers in this demographic were twice as likely to prefer using online and Internet channels to perform transactions, view their balances, and receive information. The average customer in this segment owned 5.8 bank products, ranging from basic chequing and savings accounts to personal loans</w:t>
      </w:r>
      <w:r>
        <w:t>.</w:t>
      </w:r>
      <w:r>
        <w:rPr>
          <w:rStyle w:val="EndnoteReference"/>
        </w:rPr>
        <w:endnoteReference w:id="8"/>
      </w:r>
    </w:p>
    <w:p w:rsidR="00613BFD" w:rsidRPr="006524E1" w:rsidRDefault="00613BFD" w:rsidP="001E5FD8">
      <w:pPr>
        <w:pStyle w:val="BodyTextMain"/>
      </w:pPr>
    </w:p>
    <w:p w:rsidR="00613BFD" w:rsidRPr="006524E1" w:rsidRDefault="00613BFD" w:rsidP="001E5FD8">
      <w:pPr>
        <w:pStyle w:val="BodyTextMain"/>
      </w:pPr>
      <w:r>
        <w:t>Since</w:t>
      </w:r>
      <w:r w:rsidRPr="006524E1">
        <w:t xml:space="preserve"> the 2008 recession, the composition of the Big Six’s customer base had increasingly shifted towards clients with strong credit scores. Credit scores were issued by credit-reporting agencies such as Equifax and TransUnion. These institutions evaluated credit history and provided a score on a scale of 300 to 900 that could be used by financial institutions to judge creditworthiness. Customers with credit scores above 600 were typically considered “prime” clients with high probability of repaying loans. In contrast, scores below 600 fell in the “near-prime” and “sub-prime” categories; customers in these categories were considered more likely to default on credit obligations. Facing increased regulation following the 2008 financial crisis in the sub-prime lending market, the Big Six increasingly targeted customers with prime credit histories to the exclusion of their near- and sub-prime counterparts. For example, the average millennial using banking services had a median income of $35,348, against the national average of $32,790</w:t>
      </w:r>
      <w:r>
        <w:t>.</w:t>
      </w:r>
      <w:r>
        <w:rPr>
          <w:rStyle w:val="EndnoteReference"/>
        </w:rPr>
        <w:endnoteReference w:id="9"/>
      </w:r>
      <w:r w:rsidRPr="006524E1">
        <w:t xml:space="preserve"> </w:t>
      </w:r>
    </w:p>
    <w:p w:rsidR="00613BFD" w:rsidRPr="006524E1" w:rsidRDefault="00613BFD" w:rsidP="001E5FD8">
      <w:pPr>
        <w:pStyle w:val="BodyTextMain"/>
      </w:pPr>
    </w:p>
    <w:p w:rsidR="001E5FD8" w:rsidRDefault="001E5FD8" w:rsidP="00613BFD">
      <w:pPr>
        <w:pStyle w:val="casehead20"/>
        <w:outlineLvl w:val="0"/>
      </w:pPr>
    </w:p>
    <w:p w:rsidR="00613BFD" w:rsidRPr="006524E1" w:rsidRDefault="00613BFD" w:rsidP="001E5FD8">
      <w:pPr>
        <w:pStyle w:val="Casehead2"/>
      </w:pPr>
      <w:r w:rsidRPr="006524E1">
        <w:lastRenderedPageBreak/>
        <w:t>Big Bank Innovation</w:t>
      </w:r>
    </w:p>
    <w:p w:rsidR="00613BFD" w:rsidRPr="00613BFD" w:rsidRDefault="00613BFD" w:rsidP="001E5FD8">
      <w:pPr>
        <w:pStyle w:val="BodyTextMain"/>
      </w:pPr>
    </w:p>
    <w:p w:rsidR="00613BFD" w:rsidRPr="006524E1" w:rsidRDefault="00613BFD" w:rsidP="001E5FD8">
      <w:pPr>
        <w:pStyle w:val="BodyTextMain"/>
      </w:pPr>
      <w:r w:rsidRPr="006524E1">
        <w:t>In response to market trends, particularly increased competition for the millennial market, banks faced mounting pressure to develop more convenient, accessible</w:t>
      </w:r>
      <w:r>
        <w:t xml:space="preserve">, and intuitive services with </w:t>
      </w:r>
      <w:r w:rsidRPr="006524E1">
        <w:t>strong technological backbone</w:t>
      </w:r>
      <w:r>
        <w:t>s. It had been</w:t>
      </w:r>
      <w:r w:rsidRPr="006524E1">
        <w:t xml:space="preserve"> widely reported that Canadian banks’ primary challenge was upgrading legacy information technology systems that, in some cases, dated back to the 1970s and were ill-equipped to facilitate technological and product innovation. The Conference Board of Canada reported that 73.5 per cent of Canadian financial services companies undertook some form of organizational innovation, compared to 63.5 per cent for all sectors</w:t>
      </w:r>
      <w:r>
        <w:t>.</w:t>
      </w:r>
      <w:r>
        <w:rPr>
          <w:rStyle w:val="EndnoteReference"/>
        </w:rPr>
        <w:endnoteReference w:id="10"/>
      </w:r>
      <w:r w:rsidRPr="006524E1">
        <w:t xml:space="preserve"> The bulk of this funding was spent on upgrading existing systems to cater to a market demanding more and better digital services. Despite efforts to increase digitization, The Boston Consulting Group reported that, globally, only one in five commercial banks offered consistent digitization for any given process</w:t>
      </w:r>
      <w:r>
        <w:t>.</w:t>
      </w:r>
      <w:r>
        <w:rPr>
          <w:rStyle w:val="EndnoteReference"/>
        </w:rPr>
        <w:endnoteReference w:id="11"/>
      </w:r>
      <w:r w:rsidRPr="006524E1">
        <w:t xml:space="preserve"> </w:t>
      </w:r>
    </w:p>
    <w:p w:rsidR="00613BFD" w:rsidRPr="00613BFD" w:rsidRDefault="00613BFD" w:rsidP="001E5FD8">
      <w:pPr>
        <w:pStyle w:val="BodyTextMain"/>
      </w:pPr>
    </w:p>
    <w:p w:rsidR="00613BFD" w:rsidRPr="00613BFD" w:rsidRDefault="00613BFD" w:rsidP="001E5FD8">
      <w:pPr>
        <w:pStyle w:val="BodyTextMain"/>
        <w:rPr>
          <w:spacing w:val="-1"/>
        </w:rPr>
      </w:pPr>
      <w:r w:rsidRPr="00613BFD">
        <w:rPr>
          <w:spacing w:val="-1"/>
        </w:rPr>
        <w:t>Since 2013, Canadian banks had increasingly turned to developing fintech offerings through acquisition, internal investment, or incubation programs aimed at fostering an agile start-up culture within the banks’ bureaucracy. For example, TD launched a real-time budgeting tool called “MySpend” in partnership with fintech start-up Moven.</w:t>
      </w:r>
      <w:r w:rsidRPr="00613BFD">
        <w:rPr>
          <w:rStyle w:val="EndnoteReference"/>
          <w:spacing w:val="-1"/>
        </w:rPr>
        <w:endnoteReference w:id="12"/>
      </w:r>
      <w:r w:rsidRPr="00613BFD">
        <w:rPr>
          <w:spacing w:val="-1"/>
        </w:rPr>
        <w:t xml:space="preserve"> Moreover, Scotiabank announced the development of a “Digital Factory” to serve as a fintech incubator scheduled for launch in late 2016.</w:t>
      </w:r>
      <w:r w:rsidRPr="00613BFD">
        <w:rPr>
          <w:rStyle w:val="EndnoteReference"/>
          <w:spacing w:val="-1"/>
        </w:rPr>
        <w:endnoteReference w:id="13"/>
      </w:r>
      <w:r w:rsidRPr="00613BFD">
        <w:rPr>
          <w:spacing w:val="-1"/>
        </w:rPr>
        <w:t xml:space="preserve"> Lastly, CIBC initiated a partnership with start-up Payfirma to allow its business clients to accept payments through their mobile devices.</w:t>
      </w:r>
      <w:r w:rsidRPr="00613BFD">
        <w:rPr>
          <w:rStyle w:val="EndnoteReference"/>
          <w:spacing w:val="-1"/>
        </w:rPr>
        <w:endnoteReference w:id="14"/>
      </w:r>
    </w:p>
    <w:p w:rsidR="00613BFD" w:rsidRPr="006524E1" w:rsidRDefault="00613BFD" w:rsidP="001E5FD8">
      <w:pPr>
        <w:pStyle w:val="BodyTextMain"/>
      </w:pPr>
    </w:p>
    <w:p w:rsidR="00613BFD" w:rsidRPr="00613BFD" w:rsidRDefault="00613BFD" w:rsidP="001E5FD8">
      <w:pPr>
        <w:pStyle w:val="BodyTextMain"/>
      </w:pPr>
    </w:p>
    <w:p w:rsidR="00613BFD" w:rsidRPr="006524E1" w:rsidRDefault="00613BFD" w:rsidP="001E5FD8">
      <w:pPr>
        <w:pStyle w:val="Casehead1"/>
      </w:pPr>
      <w:r w:rsidRPr="006524E1">
        <w:t>Financial Technology in Canada</w:t>
      </w:r>
    </w:p>
    <w:p w:rsidR="00613BFD" w:rsidRPr="00613BFD" w:rsidRDefault="00613BFD" w:rsidP="001E5FD8">
      <w:pPr>
        <w:pStyle w:val="BodyTextMain"/>
      </w:pPr>
    </w:p>
    <w:p w:rsidR="00613BFD" w:rsidRPr="006524E1" w:rsidRDefault="00613BFD" w:rsidP="001E5FD8">
      <w:pPr>
        <w:pStyle w:val="BodyTextMain"/>
      </w:pPr>
      <w:r w:rsidRPr="006524E1">
        <w:t xml:space="preserve">Fintech was a burgeoning industry that used digital innovation to provide accessibility and convenience to a market that was becoming gradually dissatisfied with the inefficient and inflexible traditional banks. Within Canada, four major fintech segments competed with commercial banks: personal lending, digital payment systems, residential mortgages, and wealth management platforms. </w:t>
      </w:r>
      <w:r w:rsidRPr="00E45B52">
        <w:t>In</w:t>
      </w:r>
      <w:r>
        <w:t xml:space="preserve"> addition, new digital innovations such as cryptocurrencies and blockchain were beginning to present opportunities for fintechs. In 2017</w:t>
      </w:r>
      <w:r w:rsidRPr="00E45B52">
        <w:t>, Canadian fintech firms typically specialized in one of these segments and rarely offered more than a single service type</w:t>
      </w:r>
      <w:r w:rsidRPr="006524E1">
        <w:t>.</w:t>
      </w:r>
      <w:r>
        <w:rPr>
          <w:rStyle w:val="EndnoteReference"/>
        </w:rPr>
        <w:endnoteReference w:id="15"/>
      </w:r>
      <w:r w:rsidRPr="006524E1">
        <w:t xml:space="preserve"> Regardless of segment, fintech companies achieved notoriety and early growth for their ability to offer similar products to those of commercial banks at lower rates, due to their lack of brick-and-mortar (B&amp;M) branches</w:t>
      </w:r>
      <w:r>
        <w:t>.</w:t>
      </w:r>
      <w:r>
        <w:rPr>
          <w:rStyle w:val="EndnoteReference"/>
        </w:rPr>
        <w:endnoteReference w:id="16"/>
      </w:r>
    </w:p>
    <w:p w:rsidR="00613BFD" w:rsidRPr="006524E1" w:rsidRDefault="00613BFD" w:rsidP="001E5FD8">
      <w:pPr>
        <w:pStyle w:val="BodyTextMain"/>
      </w:pPr>
    </w:p>
    <w:p w:rsidR="00613BFD" w:rsidRPr="006524E1" w:rsidRDefault="00613BFD" w:rsidP="001E5FD8">
      <w:pPr>
        <w:pStyle w:val="BodyTextMain"/>
      </w:pPr>
      <w:r w:rsidRPr="00E45B52">
        <w:t>In 2017, the Canadian marketplace for fintech was lagging behind its global counterparts.</w:t>
      </w:r>
      <w:r w:rsidRPr="00E45B52">
        <w:rPr>
          <w:rStyle w:val="EndnoteReference"/>
        </w:rPr>
        <w:endnoteReference w:id="17"/>
      </w:r>
      <w:r w:rsidRPr="00E45B52">
        <w:t xml:space="preserve"> In a survey of the digitally active population, only 18</w:t>
      </w:r>
      <w:r>
        <w:t xml:space="preserve"> per cent</w:t>
      </w:r>
      <w:r w:rsidRPr="00E45B52">
        <w:t xml:space="preserve"> of Canadians used a financial technology service against</w:t>
      </w:r>
      <w:r>
        <w:t xml:space="preserve"> a global average of 33 per cent. </w:t>
      </w:r>
      <w:r w:rsidRPr="006524E1">
        <w:t>Experts identified this low adoption rate as stemming from a lower awareness among consumers about the types of services Canadian fintech companies offered.</w:t>
      </w:r>
      <w:r>
        <w:rPr>
          <w:rStyle w:val="EndnoteReference"/>
        </w:rPr>
        <w:endnoteReference w:id="18"/>
      </w:r>
      <w:r w:rsidRPr="006524E1">
        <w:t xml:space="preserve"> Predicting that media exposure and marketing efforts within this industry would increase sig</w:t>
      </w:r>
      <w:r>
        <w:t xml:space="preserve">nificantly in the coming five years, </w:t>
      </w:r>
      <w:r w:rsidRPr="006524E1">
        <w:t>Ernst &amp; Young reported that</w:t>
      </w:r>
      <w:r>
        <w:t xml:space="preserve"> global</w:t>
      </w:r>
      <w:r w:rsidRPr="006524E1">
        <w:t xml:space="preserve"> adoption could</w:t>
      </w:r>
      <w:r>
        <w:t xml:space="preserve"> scale to 52 per cent</w:t>
      </w:r>
      <w:r w:rsidRPr="006524E1">
        <w:t>.</w:t>
      </w:r>
      <w:r>
        <w:rPr>
          <w:rStyle w:val="EndnoteReference"/>
        </w:rPr>
        <w:endnoteReference w:id="19"/>
      </w:r>
    </w:p>
    <w:p w:rsidR="00613BFD" w:rsidRPr="006524E1" w:rsidRDefault="00613BFD" w:rsidP="001E5FD8">
      <w:pPr>
        <w:pStyle w:val="BodyTextMain"/>
      </w:pPr>
    </w:p>
    <w:p w:rsidR="00613BFD" w:rsidRPr="006524E1" w:rsidRDefault="00613BFD" w:rsidP="001E5FD8">
      <w:pPr>
        <w:pStyle w:val="BodyTextMain"/>
      </w:pPr>
      <w:r w:rsidRPr="006524E1">
        <w:t>To achieve growth against a highly consolidated market for commercial banking products, fintech companies had leveraged their small scale to rapidly prototype and commercialize products at a faster rate than traditional banks. With lower regulatory restrictions on client type and limited shareholder pressure, fintech firms were able to offer customer-focused solutions to a wider client base. Feller summarized:</w:t>
      </w:r>
    </w:p>
    <w:p w:rsidR="00613BFD" w:rsidRPr="006524E1" w:rsidRDefault="00613BFD" w:rsidP="001E5FD8">
      <w:pPr>
        <w:pStyle w:val="BodyTextMain"/>
      </w:pPr>
    </w:p>
    <w:p w:rsidR="00613BFD" w:rsidRPr="006524E1" w:rsidRDefault="00613BFD" w:rsidP="001E5FD8">
      <w:pPr>
        <w:pStyle w:val="BodyTextMain"/>
        <w:ind w:left="720"/>
      </w:pPr>
      <w:r w:rsidRPr="006524E1">
        <w:t>The advantage that [smaller fintech start-ups] had was that we were not yet traded to the wider market, and so were not wed to high profit margin products. People said that big banks had the most capital in the industry so it would be impossible to compete with them, but they’re spending billions of dollars trying to turn their legacy platforms digital. There’s almost no amount of money that can do that both effectively and efficiently.</w:t>
      </w:r>
    </w:p>
    <w:p w:rsidR="00613BFD" w:rsidRPr="006524E1" w:rsidRDefault="00613BFD" w:rsidP="001E5FD8">
      <w:pPr>
        <w:pStyle w:val="Casehead2"/>
      </w:pPr>
      <w:r w:rsidRPr="006524E1">
        <w:lastRenderedPageBreak/>
        <w:t xml:space="preserve">Personal Loans </w:t>
      </w:r>
    </w:p>
    <w:p w:rsidR="00613BFD" w:rsidRPr="00613BFD" w:rsidRDefault="00613BFD" w:rsidP="001E5FD8">
      <w:pPr>
        <w:pStyle w:val="BodyTextMain"/>
      </w:pPr>
    </w:p>
    <w:p w:rsidR="00613BFD" w:rsidRPr="006524E1" w:rsidRDefault="00613BFD" w:rsidP="001E5FD8">
      <w:pPr>
        <w:pStyle w:val="BodyTextMain"/>
      </w:pPr>
      <w:r w:rsidRPr="00347C5F">
        <w:t>The Canadian personal lending market represented $587 billion in commitments, with market growth accelerating to 5 per cent in 2017.</w:t>
      </w:r>
      <w:r w:rsidRPr="00347C5F">
        <w:rPr>
          <w:rStyle w:val="EndnoteReference"/>
        </w:rPr>
        <w:endnoteReference w:id="20"/>
      </w:r>
      <w:r w:rsidRPr="00347C5F">
        <w:t xml:space="preserve"> Loans could take the form of business loans, residential mortgages, credit card loans, personal loans, and personal lines of credit. These products could be issued by a variety of institutions, from commercial banks to payday lenders.</w:t>
      </w:r>
      <w:r w:rsidRPr="00347C5F">
        <w:rPr>
          <w:rStyle w:val="EndnoteReference"/>
        </w:rPr>
        <w:endnoteReference w:id="21"/>
      </w:r>
      <w:r w:rsidRPr="00347C5F">
        <w:t xml:space="preserve"> Within this market, approximately $94.2 billion was credit card related in the fourth quarter of 2016 (see Exhibit 3).</w:t>
      </w:r>
      <w:r w:rsidRPr="00347C5F">
        <w:rPr>
          <w:rStyle w:val="EndnoteReference"/>
        </w:rPr>
        <w:endnoteReference w:id="22"/>
      </w:r>
      <w:r w:rsidRPr="006524E1">
        <w:t xml:space="preserve"> </w:t>
      </w:r>
    </w:p>
    <w:p w:rsidR="00613BFD" w:rsidRPr="006524E1" w:rsidRDefault="00613BFD" w:rsidP="001E5FD8">
      <w:pPr>
        <w:pStyle w:val="BodyTextMain"/>
      </w:pPr>
    </w:p>
    <w:p w:rsidR="00613BFD" w:rsidRPr="006524E1" w:rsidRDefault="00613BFD" w:rsidP="001E5FD8">
      <w:pPr>
        <w:pStyle w:val="BodyTextMain"/>
      </w:pPr>
      <w:r w:rsidRPr="006524E1">
        <w:t>The personal lending market could be split into prime and sub-prime consumer segments: the Big Six banks and credit unions predominately engaged with prime customers, while “shadow banks,”</w:t>
      </w:r>
      <w:r w:rsidRPr="006524E1">
        <w:rPr>
          <w:rStyle w:val="EndnoteReference"/>
        </w:rPr>
        <w:endnoteReference w:id="23"/>
      </w:r>
      <w:r w:rsidRPr="006524E1">
        <w:t xml:space="preserve"> such as fintech companies and payday lenders, offered loans to both segments. Despite substantial growth as a result of low post-recession interest rates, analysts had warned of the eventual contraction of this market as Canadians faced record household debt levels.</w:t>
      </w:r>
      <w:r>
        <w:rPr>
          <w:rStyle w:val="EndnoteReference"/>
        </w:rPr>
        <w:endnoteReference w:id="24"/>
      </w:r>
      <w:r w:rsidRPr="006524E1">
        <w:t xml:space="preserve"> </w:t>
      </w:r>
    </w:p>
    <w:p w:rsidR="00613BFD" w:rsidRPr="006524E1" w:rsidRDefault="00613BFD" w:rsidP="001E5FD8">
      <w:pPr>
        <w:pStyle w:val="BodyTextMain"/>
      </w:pPr>
    </w:p>
    <w:p w:rsidR="00613BFD" w:rsidRPr="006524E1" w:rsidRDefault="00613BFD" w:rsidP="001E5FD8">
      <w:pPr>
        <w:pStyle w:val="BodyTextMain"/>
      </w:pPr>
      <w:r w:rsidRPr="006524E1">
        <w:t>In addition to the Big Six Canadian banks and Canadian credit unions, a number of fintech companies had entered the personal lending space, including Canadian players Mogo, Borrowell, and Lending Loop. Though each lender’s business model was focused on providing affordable loans to clients, they differed in their methods of financing these transactions. Canadian online lenders financed their operations in two forms: on-balance sheet and peer-to-peer (P2P) lending. On-balance sheet lenders partnered with outside funding sources, such as financial institutions or secured credit facilities, and held the outstanding commitments on their balance sheets. Conversely, P2P lenders matched customers seeking loans with investors willing to provide these loans through an online platform. By 2020, the global online marketplace lending industry was expected to issue $376–$711 billion</w:t>
      </w:r>
      <w:r>
        <w:t xml:space="preserve"> in loans.</w:t>
      </w:r>
    </w:p>
    <w:p w:rsidR="00613BFD" w:rsidRPr="006524E1" w:rsidRDefault="00613BFD" w:rsidP="001E5FD8">
      <w:pPr>
        <w:pStyle w:val="BodyTextMain"/>
      </w:pPr>
    </w:p>
    <w:p w:rsidR="00613BFD" w:rsidRPr="006524E1" w:rsidRDefault="00613BFD" w:rsidP="001E5FD8">
      <w:pPr>
        <w:pStyle w:val="BodyTextMain"/>
      </w:pPr>
      <w:r w:rsidRPr="006524E1">
        <w:t>As a customer-facing industry, online lending in Canada wa</w:t>
      </w:r>
      <w:r>
        <w:t>s heavily regulated. Due</w:t>
      </w:r>
      <w:r w:rsidRPr="006524E1">
        <w:t xml:space="preserve"> to un-harmonized provincial and federal legislation, a national online lending platform would have</w:t>
      </w:r>
      <w:r>
        <w:t xml:space="preserve"> had</w:t>
      </w:r>
      <w:r w:rsidRPr="006524E1">
        <w:t xml:space="preserve"> to pay large annual fees to file documentation in each Canadian province. Though online lending had matured in the United States and the United Kingdom as a result of flexible regulatory systems, Canadian securities commissions limited the rapid evolution of local platforms and increased barriers for new entrants from international markets. As a result, national online lenders in Canada enjoyed a relatively captive market in comparison to their international counterparts</w:t>
      </w:r>
      <w:r>
        <w:t>.</w:t>
      </w:r>
      <w:r>
        <w:rPr>
          <w:rStyle w:val="EndnoteReference"/>
        </w:rPr>
        <w:endnoteReference w:id="25"/>
      </w:r>
    </w:p>
    <w:p w:rsidR="00613BFD" w:rsidRPr="006524E1" w:rsidRDefault="00613BFD" w:rsidP="001E5FD8">
      <w:pPr>
        <w:pStyle w:val="BodyTextMain"/>
      </w:pPr>
    </w:p>
    <w:p w:rsidR="00613BFD" w:rsidRPr="006524E1" w:rsidRDefault="00613BFD" w:rsidP="001E5FD8">
      <w:pPr>
        <w:pStyle w:val="BodyTextMain"/>
      </w:pPr>
    </w:p>
    <w:p w:rsidR="00613BFD" w:rsidRPr="006524E1" w:rsidRDefault="00613BFD" w:rsidP="001E5FD8">
      <w:pPr>
        <w:pStyle w:val="Casehead2"/>
      </w:pPr>
      <w:r w:rsidRPr="006524E1">
        <w:t>Payments</w:t>
      </w:r>
    </w:p>
    <w:p w:rsidR="00613BFD" w:rsidRPr="00613BFD" w:rsidRDefault="00613BFD" w:rsidP="001E5FD8">
      <w:pPr>
        <w:pStyle w:val="BodyTextMain"/>
      </w:pPr>
    </w:p>
    <w:p w:rsidR="00613BFD" w:rsidRPr="006524E1" w:rsidRDefault="00613BFD" w:rsidP="001E5FD8">
      <w:pPr>
        <w:pStyle w:val="BodyTextMain"/>
      </w:pPr>
      <w:r w:rsidRPr="006524E1">
        <w:t>The payments industry contained four major segments: acquirers and processors, card networks, issuers, and gateways. Acquirers and processors were third-party businesses that worked with merchants to process credit and debit card payments from customers. In contrast, card networks, such as Mastercard Inc. and Visa Inc., provided physical credit card numbers that consumers could use to purchase goods. Issuers were originators of chequing and savings accounts associated with debit and credit cards, and gateways provided digital platforms through which debit and credit accounts could be connected to merchants. The industry’s largest gateways included PayPal and Apple Pay, which respectively commanded $377 billion</w:t>
      </w:r>
      <w:r>
        <w:rPr>
          <w:rStyle w:val="EndnoteReference"/>
        </w:rPr>
        <w:endnoteReference w:id="26"/>
      </w:r>
      <w:r w:rsidRPr="006524E1">
        <w:t xml:space="preserve"> and $14.6 billion</w:t>
      </w:r>
      <w:r>
        <w:rPr>
          <w:rStyle w:val="EndnoteReference"/>
        </w:rPr>
        <w:endnoteReference w:id="27"/>
      </w:r>
      <w:r w:rsidRPr="006524E1">
        <w:t xml:space="preserve"> in total transaction volume including both mobile and online payments.</w:t>
      </w:r>
    </w:p>
    <w:p w:rsidR="00613BFD" w:rsidRPr="00613BFD" w:rsidRDefault="00613BFD" w:rsidP="001E5FD8">
      <w:pPr>
        <w:pStyle w:val="BodyTextMain"/>
      </w:pPr>
    </w:p>
    <w:p w:rsidR="00613BFD" w:rsidRPr="006524E1" w:rsidRDefault="00613BFD" w:rsidP="001E5FD8">
      <w:pPr>
        <w:pStyle w:val="BodyTextMain"/>
      </w:pPr>
      <w:r w:rsidRPr="006524E1">
        <w:t>Significant digital innovation had occurred in the gateway segment, parti</w:t>
      </w:r>
      <w:r>
        <w:t xml:space="preserve">cularly within mobile payments, </w:t>
      </w:r>
      <w:r w:rsidRPr="006524E1">
        <w:t xml:space="preserve">a </w:t>
      </w:r>
      <w:r>
        <w:t>market projected to grow</w:t>
      </w:r>
      <w:r w:rsidRPr="006524E1">
        <w:t xml:space="preserve"> to $36 billion by 2020. Due to these promising projections, a number of Canadian fintech firms had entered the gateway segment through point of sale solutions, contactless payment technology, mobile wallets, and merchant payment platforms. </w:t>
      </w:r>
    </w:p>
    <w:p w:rsidR="00613BFD" w:rsidRPr="00613BFD" w:rsidRDefault="00613BFD" w:rsidP="001E5FD8">
      <w:pPr>
        <w:pStyle w:val="BodyTextMain"/>
      </w:pPr>
    </w:p>
    <w:p w:rsidR="00613BFD" w:rsidRPr="006524E1" w:rsidRDefault="00613BFD" w:rsidP="001E5FD8">
      <w:pPr>
        <w:pStyle w:val="BodyTextMain"/>
      </w:pPr>
      <w:r w:rsidRPr="004B4BCD">
        <w:lastRenderedPageBreak/>
        <w:t>With various segments of the payments industry approaching saturation, Canadian fintech companies began to penetrate the issuer sector in partnership with financial institutions. Koho, a Vancouver-based fintech, partnered with the card platform of People’s Trust to provide customers with the ability to perform day-to-day banking transactions online for no fee. In turn, People’s Trust maintained partnerships with card network Visa and automated teller machine network DC Bank. Services offered through the Koho card included direct deposits, bill payments, money transfers, and an online budgeting and savings tool. The company did not directly charge consumers, and instead retained a percentage of each credit card transaction. Koho closed an $8 million cash injection in the third quarter of 2017 to facilitate national growth.</w:t>
      </w:r>
      <w:r w:rsidRPr="004B4BCD">
        <w:rPr>
          <w:rStyle w:val="EndnoteReference"/>
        </w:rPr>
        <w:endnoteReference w:id="28"/>
      </w:r>
      <w:r w:rsidRPr="006524E1">
        <w:t xml:space="preserve"> </w:t>
      </w:r>
    </w:p>
    <w:p w:rsidR="00613BFD" w:rsidRDefault="00613BFD" w:rsidP="001E5FD8">
      <w:pPr>
        <w:pStyle w:val="BodyTextMain"/>
      </w:pPr>
    </w:p>
    <w:p w:rsidR="001E5FD8" w:rsidRPr="006524E1" w:rsidRDefault="001E5FD8" w:rsidP="001E5FD8">
      <w:pPr>
        <w:pStyle w:val="BodyTextMain"/>
      </w:pPr>
    </w:p>
    <w:p w:rsidR="00613BFD" w:rsidRPr="006452DC" w:rsidRDefault="00613BFD" w:rsidP="001E5FD8">
      <w:pPr>
        <w:pStyle w:val="Casehead2"/>
        <w:rPr>
          <w:lang w:val="en-CA"/>
        </w:rPr>
      </w:pPr>
      <w:r w:rsidRPr="006452DC">
        <w:rPr>
          <w:lang w:val="en-CA"/>
        </w:rPr>
        <w:t>Cryptocurrencies</w:t>
      </w:r>
      <w:r>
        <w:rPr>
          <w:lang w:val="en-CA"/>
        </w:rPr>
        <w:t xml:space="preserve"> &amp; Blockchain</w:t>
      </w:r>
    </w:p>
    <w:p w:rsidR="00613BFD" w:rsidRPr="00467B44" w:rsidRDefault="00613BFD" w:rsidP="001E5FD8">
      <w:pPr>
        <w:pStyle w:val="BodyTextMain"/>
        <w:rPr>
          <w:lang w:val="en-CA"/>
        </w:rPr>
      </w:pPr>
    </w:p>
    <w:p w:rsidR="00613BFD" w:rsidRPr="00467B44" w:rsidRDefault="00613BFD" w:rsidP="001E5FD8">
      <w:pPr>
        <w:pStyle w:val="BodyTextMain"/>
        <w:rPr>
          <w:lang w:val="en-CA"/>
        </w:rPr>
      </w:pPr>
      <w:r w:rsidRPr="00467B44">
        <w:rPr>
          <w:lang w:val="en-CA"/>
        </w:rPr>
        <w:t xml:space="preserve">In an effort to decentralize the creation and trade of currency, a self-regulated, peer to peer digital currency network </w:t>
      </w:r>
      <w:r>
        <w:rPr>
          <w:lang w:val="en-CA"/>
        </w:rPr>
        <w:t xml:space="preserve">was created </w:t>
      </w:r>
      <w:r w:rsidRPr="00467B44">
        <w:rPr>
          <w:lang w:val="en-CA"/>
        </w:rPr>
        <w:t xml:space="preserve">as an alternative to </w:t>
      </w:r>
      <w:r>
        <w:rPr>
          <w:lang w:val="en-CA"/>
        </w:rPr>
        <w:t>“</w:t>
      </w:r>
      <w:r w:rsidRPr="00467B44">
        <w:rPr>
          <w:lang w:val="en-CA"/>
        </w:rPr>
        <w:t>fiat</w:t>
      </w:r>
      <w:r>
        <w:rPr>
          <w:lang w:val="en-CA"/>
        </w:rPr>
        <w:t>” money</w:t>
      </w:r>
      <w:r>
        <w:rPr>
          <w:rStyle w:val="EndnoteReference"/>
          <w:lang w:val="en-CA"/>
        </w:rPr>
        <w:endnoteReference w:id="29"/>
      </w:r>
      <w:r>
        <w:rPr>
          <w:lang w:val="en-CA"/>
        </w:rPr>
        <w:t>: bitcoin</w:t>
      </w:r>
      <w:r w:rsidRPr="00467B44">
        <w:rPr>
          <w:lang w:val="en-CA"/>
        </w:rPr>
        <w:t>. Leading up to 2017, increased business and user acceptance of the currency spearheaded significant increases in both volume available and quoted value. Bitcoin’s path towards acceptance as a legitimate alternative to fiat money surged in 2017, when the currencies total market capitalization hit $96.7</w:t>
      </w:r>
      <w:r>
        <w:rPr>
          <w:lang w:val="en-CA"/>
        </w:rPr>
        <w:t xml:space="preserve"> billion,</w:t>
      </w:r>
      <w:r w:rsidRPr="00467B44">
        <w:rPr>
          <w:rStyle w:val="EndnoteReference"/>
          <w:lang w:val="en-CA"/>
        </w:rPr>
        <w:endnoteReference w:id="30"/>
      </w:r>
      <w:r w:rsidRPr="00467B44">
        <w:rPr>
          <w:lang w:val="en-CA"/>
        </w:rPr>
        <w:t xml:space="preserve"> twice the market capitalization of the next leading cryptocurrency, Ethereum.</w:t>
      </w:r>
      <w:r>
        <w:rPr>
          <w:lang w:val="en-CA"/>
        </w:rPr>
        <w:t xml:space="preserve"> Having witnessed surges in value of up to 1,100 per cent in 2017, experts began questioning whether the price frenzy was indicative of a looming collapse in value.</w:t>
      </w:r>
      <w:r>
        <w:rPr>
          <w:rStyle w:val="EndnoteReference"/>
          <w:lang w:val="en-CA"/>
        </w:rPr>
        <w:endnoteReference w:id="31"/>
      </w:r>
    </w:p>
    <w:p w:rsidR="00613BFD" w:rsidRPr="00467B44" w:rsidRDefault="00613BFD" w:rsidP="001E5FD8">
      <w:pPr>
        <w:pStyle w:val="BodyTextMain"/>
        <w:rPr>
          <w:lang w:val="en-CA"/>
        </w:rPr>
      </w:pPr>
    </w:p>
    <w:p w:rsidR="00613BFD" w:rsidRPr="00467B44" w:rsidRDefault="00613BFD" w:rsidP="001E5FD8">
      <w:pPr>
        <w:pStyle w:val="BodyTextMain"/>
        <w:rPr>
          <w:lang w:val="en-CA"/>
        </w:rPr>
      </w:pPr>
      <w:r w:rsidRPr="00467B44">
        <w:rPr>
          <w:lang w:val="en-CA"/>
        </w:rPr>
        <w:t xml:space="preserve">Bitcoins </w:t>
      </w:r>
      <w:r>
        <w:rPr>
          <w:lang w:val="en-CA"/>
        </w:rPr>
        <w:t>were</w:t>
      </w:r>
      <w:r w:rsidRPr="00467B44">
        <w:rPr>
          <w:lang w:val="en-CA"/>
        </w:rPr>
        <w:t xml:space="preserve"> </w:t>
      </w:r>
      <w:r>
        <w:rPr>
          <w:lang w:val="en-CA"/>
        </w:rPr>
        <w:t xml:space="preserve">mined through a computationally and energy intensive process whereby miners verified transactions that had occurred throughout the system, and added them to a public leger held on a blockchain. A blockchain was a de-centralized public repository of blocks of information that serve as a “transparent and incorruptible” source of truth for transactions. Bitcoin was </w:t>
      </w:r>
      <w:r w:rsidRPr="00467B44">
        <w:rPr>
          <w:lang w:val="en-CA"/>
        </w:rPr>
        <w:t>purchased, sold, and converted to fiat money or goods through the use of exchanges. Due to intense regulations within the Canadian financial services industry, major global exchanges, such as Bistamp, did not directly serve Canadians; to trade, Canadian currency was converted to U</w:t>
      </w:r>
      <w:r>
        <w:rPr>
          <w:lang w:val="en-CA"/>
        </w:rPr>
        <w:t>.</w:t>
      </w:r>
      <w:r w:rsidRPr="00467B44">
        <w:rPr>
          <w:lang w:val="en-CA"/>
        </w:rPr>
        <w:t>S</w:t>
      </w:r>
      <w:r>
        <w:rPr>
          <w:lang w:val="en-CA"/>
        </w:rPr>
        <w:t>. dollars</w:t>
      </w:r>
      <w:r w:rsidRPr="00467B44">
        <w:rPr>
          <w:lang w:val="en-CA"/>
        </w:rPr>
        <w:t xml:space="preserve"> by the exchange with the user paying fees on the conversion</w:t>
      </w:r>
      <w:r>
        <w:rPr>
          <w:lang w:val="en-CA"/>
        </w:rPr>
        <w:t xml:space="preserve">. Further, </w:t>
      </w:r>
      <w:r w:rsidRPr="00467B44">
        <w:rPr>
          <w:lang w:val="en-CA"/>
        </w:rPr>
        <w:t>bitcoins could not be converted to Canadian dollars</w:t>
      </w:r>
      <w:r>
        <w:rPr>
          <w:lang w:val="en-CA"/>
        </w:rPr>
        <w:t xml:space="preserve"> when using these globally recognized exchanges.</w:t>
      </w:r>
      <w:r w:rsidRPr="00467B44">
        <w:rPr>
          <w:rStyle w:val="EndnoteReference"/>
          <w:lang w:val="en-CA"/>
        </w:rPr>
        <w:endnoteReference w:id="32"/>
      </w:r>
      <w:r w:rsidRPr="00467B44">
        <w:rPr>
          <w:lang w:val="en-CA"/>
        </w:rPr>
        <w:t xml:space="preserve"> These restrictions created a complex and difficult to navigate environment for Canadian bitcoin traders.</w:t>
      </w:r>
    </w:p>
    <w:p w:rsidR="00613BFD" w:rsidRPr="00467B44" w:rsidRDefault="00613BFD" w:rsidP="001E5FD8">
      <w:pPr>
        <w:pStyle w:val="BodyTextMain"/>
        <w:rPr>
          <w:lang w:val="en-CA"/>
        </w:rPr>
      </w:pPr>
    </w:p>
    <w:p w:rsidR="00613BFD" w:rsidRPr="00467B44" w:rsidRDefault="00613BFD" w:rsidP="001E5FD8">
      <w:pPr>
        <w:pStyle w:val="BodyTextMain"/>
        <w:rPr>
          <w:lang w:val="en-CA"/>
        </w:rPr>
      </w:pPr>
      <w:r w:rsidRPr="00467B44">
        <w:rPr>
          <w:lang w:val="en-CA"/>
        </w:rPr>
        <w:t xml:space="preserve">The largest </w:t>
      </w:r>
      <w:r>
        <w:rPr>
          <w:lang w:val="en-CA"/>
        </w:rPr>
        <w:t>crypto-</w:t>
      </w:r>
      <w:r w:rsidRPr="00467B44">
        <w:rPr>
          <w:lang w:val="en-CA"/>
        </w:rPr>
        <w:t>currency</w:t>
      </w:r>
      <w:r>
        <w:rPr>
          <w:lang w:val="en-CA"/>
        </w:rPr>
        <w:t xml:space="preserve"> exchange</w:t>
      </w:r>
      <w:r w:rsidRPr="00467B44">
        <w:rPr>
          <w:lang w:val="en-CA"/>
        </w:rPr>
        <w:t xml:space="preserve"> in Canada was the Vancouver-based</w:t>
      </w:r>
      <w:r>
        <w:rPr>
          <w:lang w:val="en-CA"/>
        </w:rPr>
        <w:t xml:space="preserve"> QuadrigaCX</w:t>
      </w:r>
      <w:r w:rsidRPr="00467B44">
        <w:rPr>
          <w:lang w:val="en-CA"/>
        </w:rPr>
        <w:t xml:space="preserve"> with a daily trading volume of $950,000; however, high demand ha</w:t>
      </w:r>
      <w:r>
        <w:rPr>
          <w:lang w:val="en-CA"/>
        </w:rPr>
        <w:t>d</w:t>
      </w:r>
      <w:r w:rsidRPr="00467B44">
        <w:rPr>
          <w:lang w:val="en-CA"/>
        </w:rPr>
        <w:t xml:space="preserve"> led to sub-par efficiency. In order to access an exchange, users must apply and have their identities verified, a process that, in late 2017, had a </w:t>
      </w:r>
      <w:r>
        <w:rPr>
          <w:lang w:val="en-CA"/>
        </w:rPr>
        <w:t xml:space="preserve">three </w:t>
      </w:r>
      <w:r w:rsidRPr="00467B44">
        <w:rPr>
          <w:lang w:val="en-CA"/>
        </w:rPr>
        <w:t>week wait time</w:t>
      </w:r>
      <w:r>
        <w:rPr>
          <w:lang w:val="en-CA"/>
        </w:rPr>
        <w:t>.</w:t>
      </w:r>
      <w:r w:rsidRPr="00467B44">
        <w:rPr>
          <w:rStyle w:val="EndnoteReference"/>
          <w:lang w:val="en-CA"/>
        </w:rPr>
        <w:endnoteReference w:id="33"/>
      </w:r>
      <w:r w:rsidRPr="00467B44">
        <w:rPr>
          <w:lang w:val="en-CA"/>
        </w:rPr>
        <w:t xml:space="preserve"> Though competitor exchanges, including Coinsquare and Localbitcoins, offered rapid or no verification, bitcoins traded on them were typically priced higher than going market rate or were traded at higher fees</w:t>
      </w:r>
      <w:r>
        <w:rPr>
          <w:lang w:val="en-CA"/>
        </w:rPr>
        <w:t>.</w:t>
      </w:r>
      <w:r w:rsidRPr="00467B44">
        <w:rPr>
          <w:rStyle w:val="EndnoteReference"/>
          <w:lang w:val="en-CA"/>
        </w:rPr>
        <w:endnoteReference w:id="34"/>
      </w:r>
      <w:r w:rsidRPr="00467B44">
        <w:rPr>
          <w:lang w:val="en-CA"/>
        </w:rPr>
        <w:t xml:space="preserve"> </w:t>
      </w:r>
    </w:p>
    <w:p w:rsidR="00613BFD" w:rsidRPr="00467B44" w:rsidRDefault="00613BFD" w:rsidP="001E5FD8">
      <w:pPr>
        <w:pStyle w:val="BodyTextMain"/>
        <w:rPr>
          <w:lang w:val="en-CA"/>
        </w:rPr>
      </w:pPr>
    </w:p>
    <w:p w:rsidR="00613BFD" w:rsidRPr="00467B44" w:rsidRDefault="00613BFD" w:rsidP="001E5FD8">
      <w:pPr>
        <w:pStyle w:val="BodyTextMain"/>
        <w:rPr>
          <w:lang w:val="en-CA"/>
        </w:rPr>
      </w:pPr>
      <w:r w:rsidRPr="00467B44">
        <w:rPr>
          <w:lang w:val="en-CA"/>
        </w:rPr>
        <w:t xml:space="preserve">Though press coverage of </w:t>
      </w:r>
      <w:r>
        <w:rPr>
          <w:lang w:val="en-CA"/>
        </w:rPr>
        <w:t>crypto-</w:t>
      </w:r>
      <w:r w:rsidRPr="00467B44">
        <w:rPr>
          <w:lang w:val="en-CA"/>
        </w:rPr>
        <w:t>currencies, including bitcoin, had increased immensely, a proportional increase of usage was not observed in Canada. At the end of 2017, the Bank of Canada reported that 64</w:t>
      </w:r>
      <w:r>
        <w:rPr>
          <w:lang w:val="en-CA"/>
        </w:rPr>
        <w:t xml:space="preserve"> per cent</w:t>
      </w:r>
      <w:r w:rsidRPr="00467B44">
        <w:rPr>
          <w:lang w:val="en-CA"/>
        </w:rPr>
        <w:t xml:space="preserve"> of Canadians had heard of bitcoin, </w:t>
      </w:r>
      <w:r>
        <w:rPr>
          <w:lang w:val="en-CA"/>
        </w:rPr>
        <w:t xml:space="preserve">but </w:t>
      </w:r>
      <w:r w:rsidRPr="00467B44">
        <w:rPr>
          <w:lang w:val="en-CA"/>
        </w:rPr>
        <w:t>only 2.9</w:t>
      </w:r>
      <w:r>
        <w:rPr>
          <w:lang w:val="en-CA"/>
        </w:rPr>
        <w:t xml:space="preserve"> per cent</w:t>
      </w:r>
      <w:r w:rsidRPr="00467B44">
        <w:rPr>
          <w:lang w:val="en-CA"/>
        </w:rPr>
        <w:t xml:space="preserve"> owned it</w:t>
      </w:r>
      <w:r>
        <w:rPr>
          <w:lang w:val="en-CA"/>
        </w:rPr>
        <w:t>.</w:t>
      </w:r>
      <w:r w:rsidRPr="00467B44">
        <w:rPr>
          <w:rStyle w:val="EndnoteReference"/>
          <w:lang w:val="en-CA"/>
        </w:rPr>
        <w:endnoteReference w:id="35"/>
      </w:r>
      <w:r w:rsidRPr="00467B44">
        <w:rPr>
          <w:lang w:val="en-CA"/>
        </w:rPr>
        <w:t xml:space="preserve"> Within this, 29</w:t>
      </w:r>
      <w:r>
        <w:rPr>
          <w:lang w:val="en-CA"/>
        </w:rPr>
        <w:t xml:space="preserve"> per cent</w:t>
      </w:r>
      <w:r w:rsidRPr="00467B44">
        <w:rPr>
          <w:lang w:val="en-CA"/>
        </w:rPr>
        <w:t xml:space="preserve"> reported that their primary driver for owning bitcoin was an interest in new technology, while other reasons included investment and making international payments. Though Bitcoin </w:t>
      </w:r>
      <w:r>
        <w:rPr>
          <w:lang w:val="en-CA"/>
        </w:rPr>
        <w:t>was</w:t>
      </w:r>
      <w:r w:rsidRPr="00467B44">
        <w:rPr>
          <w:lang w:val="en-CA"/>
        </w:rPr>
        <w:t xml:space="preserve"> differentiated from fiat money due to its secure blockchain technology and ability to facilitate anonymous payments, few users cited these inherent properties as reasons for using the currency.</w:t>
      </w:r>
    </w:p>
    <w:p w:rsidR="00613BFD" w:rsidRPr="00467B44" w:rsidRDefault="00613BFD" w:rsidP="001E5FD8">
      <w:pPr>
        <w:pStyle w:val="BodyTextMain"/>
        <w:rPr>
          <w:lang w:val="en-CA"/>
        </w:rPr>
      </w:pPr>
    </w:p>
    <w:p w:rsidR="00613BFD" w:rsidRPr="00467B44" w:rsidRDefault="00613BFD" w:rsidP="001E5FD8">
      <w:pPr>
        <w:pStyle w:val="BodyTextMain"/>
        <w:rPr>
          <w:lang w:val="en-CA"/>
        </w:rPr>
      </w:pPr>
      <w:r w:rsidRPr="00467B44">
        <w:rPr>
          <w:lang w:val="en-CA"/>
        </w:rPr>
        <w:t>Canadians who did not own bitcoin cited two reasons for their lack of adoption: their current payment method met their needs, or they did not understand the advantages of the technology. With only 1</w:t>
      </w:r>
      <w:r>
        <w:rPr>
          <w:lang w:val="en-CA"/>
        </w:rPr>
        <w:t xml:space="preserve"> per cent</w:t>
      </w:r>
      <w:r w:rsidRPr="00467B44">
        <w:rPr>
          <w:lang w:val="en-CA"/>
        </w:rPr>
        <w:t xml:space="preserve"> </w:t>
      </w:r>
      <w:r w:rsidRPr="00467B44">
        <w:rPr>
          <w:lang w:val="en-CA"/>
        </w:rPr>
        <w:lastRenderedPageBreak/>
        <w:t xml:space="preserve">of merchants in Canada accepting bitcoin as a payment alternative, the average consumer lacked options to translate the value of a bitcoin into tangible goods. Further, </w:t>
      </w:r>
      <w:r>
        <w:rPr>
          <w:lang w:val="en-CA"/>
        </w:rPr>
        <w:t>bitcoin’s</w:t>
      </w:r>
      <w:r w:rsidRPr="00467B44">
        <w:rPr>
          <w:lang w:val="en-CA"/>
        </w:rPr>
        <w:t xml:space="preserve"> historical use as the payment method of choice in shadow economies</w:t>
      </w:r>
      <w:r w:rsidRPr="00467B44">
        <w:rPr>
          <w:rStyle w:val="EndnoteReference"/>
          <w:lang w:val="en-CA"/>
        </w:rPr>
        <w:endnoteReference w:id="36"/>
      </w:r>
      <w:r w:rsidRPr="00467B44">
        <w:rPr>
          <w:lang w:val="en-CA"/>
        </w:rPr>
        <w:t xml:space="preserve"> attached it to illegal activity. In fact, a survey distributed by the Central Bank of Canada showed that 21</w:t>
      </w:r>
      <w:r>
        <w:rPr>
          <w:lang w:val="en-CA"/>
        </w:rPr>
        <w:t xml:space="preserve"> per cent</w:t>
      </w:r>
      <w:r w:rsidRPr="00467B44">
        <w:rPr>
          <w:lang w:val="en-CA"/>
        </w:rPr>
        <w:t xml:space="preserve"> of non-users were reluctant to purchase bitcoin because they did not trust a currency with no central regulation. </w:t>
      </w:r>
    </w:p>
    <w:p w:rsidR="00613BFD" w:rsidRDefault="00613BFD" w:rsidP="001E5FD8">
      <w:pPr>
        <w:pStyle w:val="BodyTextMain"/>
      </w:pPr>
    </w:p>
    <w:p w:rsidR="00613BFD" w:rsidRPr="00467B44" w:rsidRDefault="00613BFD" w:rsidP="001E5FD8">
      <w:pPr>
        <w:pStyle w:val="BodyTextMain"/>
      </w:pPr>
    </w:p>
    <w:p w:rsidR="00613BFD" w:rsidRPr="006524E1" w:rsidRDefault="00613BFD" w:rsidP="001E5FD8">
      <w:pPr>
        <w:pStyle w:val="Casehead2"/>
      </w:pPr>
      <w:r w:rsidRPr="006524E1">
        <w:t>Residential Mortgages</w:t>
      </w:r>
    </w:p>
    <w:p w:rsidR="00613BFD" w:rsidRPr="006524E1" w:rsidRDefault="00613BFD" w:rsidP="001E5FD8">
      <w:pPr>
        <w:pStyle w:val="BodyTextMain"/>
      </w:pPr>
    </w:p>
    <w:p w:rsidR="00613BFD" w:rsidRPr="006524E1" w:rsidRDefault="00613BFD" w:rsidP="001E5FD8">
      <w:pPr>
        <w:pStyle w:val="BodyTextMain"/>
      </w:pPr>
      <w:r>
        <w:t>T</w:t>
      </w:r>
      <w:r w:rsidRPr="006524E1">
        <w:t xml:space="preserve">he Canadian mortgage market </w:t>
      </w:r>
      <w:r>
        <w:t>was segmented between two channels: direct bank and mortgage brokers. Together they r</w:t>
      </w:r>
      <w:r w:rsidRPr="006524E1">
        <w:t>epresent</w:t>
      </w:r>
      <w:r>
        <w:t>ed</w:t>
      </w:r>
      <w:r w:rsidRPr="006524E1">
        <w:t xml:space="preserve"> an outstanding loan volume of $1.4</w:t>
      </w:r>
      <w:r>
        <w:t>7</w:t>
      </w:r>
      <w:r w:rsidRPr="006524E1">
        <w:t xml:space="preserve"> trillion</w:t>
      </w:r>
      <w:r>
        <w:rPr>
          <w:rStyle w:val="EndnoteReference"/>
        </w:rPr>
        <w:endnoteReference w:id="37"/>
      </w:r>
      <w:r>
        <w:t xml:space="preserve"> </w:t>
      </w:r>
      <w:r w:rsidRPr="006524E1">
        <w:t xml:space="preserve">with </w:t>
      </w:r>
      <w:r>
        <w:t>more than</w:t>
      </w:r>
      <w:r w:rsidRPr="006524E1">
        <w:t xml:space="preserve"> 74 per cent of originations made by commercial banks</w:t>
      </w:r>
      <w:r>
        <w:t>.</w:t>
      </w:r>
      <w:r w:rsidRPr="006524E1">
        <w:t xml:space="preserve"> </w:t>
      </w:r>
      <w:r>
        <w:t xml:space="preserve">The channel chosen depended heavily on the preferred method of purchase. The first channel involved customers directly negotiating with banks to achieve discounts from posted interest rates. Customers not wishing to involve themselves in this process could hire a mortgage broker to identify the best rate on their behalf. </w:t>
      </w:r>
    </w:p>
    <w:p w:rsidR="00613BFD" w:rsidRPr="006524E1" w:rsidRDefault="00613BFD" w:rsidP="001E5FD8">
      <w:pPr>
        <w:pStyle w:val="BodyTextMain"/>
      </w:pPr>
    </w:p>
    <w:p w:rsidR="00613BFD" w:rsidRPr="006524E1" w:rsidRDefault="00613BFD" w:rsidP="001E5FD8">
      <w:pPr>
        <w:pStyle w:val="BodyTextMain"/>
      </w:pPr>
      <w:r>
        <w:t>By 2024,</w:t>
      </w:r>
      <w:r w:rsidRPr="009A7D5E">
        <w:t xml:space="preserve"> 82 per cent of millennials were projected to become first-time home purchasers.</w:t>
      </w:r>
      <w:r w:rsidRPr="009A7D5E">
        <w:rPr>
          <w:rStyle w:val="EndnoteReference"/>
        </w:rPr>
        <w:endnoteReference w:id="38"/>
      </w:r>
      <w:r w:rsidRPr="009A7D5E">
        <w:rPr>
          <w:color w:val="1A1A1A"/>
        </w:rPr>
        <w:t xml:space="preserve"> </w:t>
      </w:r>
      <w:r w:rsidRPr="009A7D5E">
        <w:t>With</w:t>
      </w:r>
      <w:r w:rsidRPr="006524E1">
        <w:t xml:space="preserve"> mortgages typically representing a customer’s first major independent financial decision, a client’s first mortgage was a prime milestone to be leveraged in client relationship development. Millennials’ mortgage acquisition experiences consisted of a three-stage process: social and online research, uncertainty, and outreach to bank representatives. In the first phase, millennials began their search for a mortgage by reaching out to their social network and performing independent research online. Next, after realizing the complexities of acquiring a mortgage, millennials often felt uncertain about their grasp of financial management. Finally, they engaged with bank representatives to obtain further information that was trustworthy and of high quality. On average, it took 25 person-hours to fill out the paperwork required to obtain a mortgage and between four and six weeks for a broker to make a final decision</w:t>
      </w:r>
      <w:r>
        <w:t>.</w:t>
      </w:r>
      <w:r>
        <w:rPr>
          <w:rStyle w:val="EndnoteReference"/>
        </w:rPr>
        <w:endnoteReference w:id="39"/>
      </w:r>
    </w:p>
    <w:p w:rsidR="00613BFD" w:rsidRDefault="00613BFD" w:rsidP="001E5FD8">
      <w:pPr>
        <w:pStyle w:val="BodyTextMain"/>
      </w:pPr>
    </w:p>
    <w:p w:rsidR="00613BFD" w:rsidRDefault="00613BFD" w:rsidP="001E5FD8">
      <w:pPr>
        <w:pStyle w:val="BodyTextMain"/>
      </w:pPr>
      <w:r>
        <w:t>Despite representing a large market, fintech firms had been slow to disrupt B&amp;M operations with online platforms. IntelliMortgage, a start-up founded in 2014, allowed users to bypass both banks and brokers by comparing and selecting rates through their online platform.</w:t>
      </w:r>
      <w:r>
        <w:rPr>
          <w:rStyle w:val="EndnoteReference"/>
        </w:rPr>
        <w:endnoteReference w:id="40"/>
      </w:r>
      <w:r>
        <w:t xml:space="preserve"> In late 2016, Mogo launched MogoMortgage to provide market-leading rates combined with an industry leading digital mortgage experience.</w:t>
      </w:r>
    </w:p>
    <w:p w:rsidR="00613BFD" w:rsidRPr="006524E1" w:rsidRDefault="00613BFD" w:rsidP="001E5FD8">
      <w:pPr>
        <w:pStyle w:val="BodyTextMain"/>
      </w:pPr>
    </w:p>
    <w:p w:rsidR="00613BFD" w:rsidRPr="006524E1" w:rsidRDefault="00613BFD" w:rsidP="001E5FD8">
      <w:pPr>
        <w:pStyle w:val="BodyTextMain"/>
      </w:pPr>
      <w:r>
        <w:t xml:space="preserve">As with online lending, mortgage brokers were subject to unharmonized provincial legislation. Fintech companies that operated as mortgage brokers were required to licenses from provincial securities commissions for each province that they operated within. </w:t>
      </w:r>
    </w:p>
    <w:p w:rsidR="00613BFD" w:rsidRPr="006524E1" w:rsidRDefault="00613BFD" w:rsidP="001E5FD8">
      <w:pPr>
        <w:pStyle w:val="BodyTextMain"/>
      </w:pPr>
    </w:p>
    <w:p w:rsidR="00613BFD" w:rsidRPr="006524E1" w:rsidRDefault="00613BFD" w:rsidP="001E5FD8">
      <w:pPr>
        <w:pStyle w:val="BodyTextMain"/>
      </w:pPr>
    </w:p>
    <w:p w:rsidR="00613BFD" w:rsidRPr="006524E1" w:rsidRDefault="00613BFD" w:rsidP="001E5FD8">
      <w:pPr>
        <w:pStyle w:val="Casehead2"/>
      </w:pPr>
      <w:r w:rsidRPr="006524E1">
        <w:t>Wealth Management</w:t>
      </w:r>
    </w:p>
    <w:p w:rsidR="00613BFD" w:rsidRPr="006524E1" w:rsidRDefault="00613BFD" w:rsidP="001E5FD8">
      <w:pPr>
        <w:pStyle w:val="BodyTextMain"/>
      </w:pPr>
    </w:p>
    <w:p w:rsidR="00613BFD" w:rsidRPr="006524E1" w:rsidRDefault="00613BFD" w:rsidP="001E5FD8">
      <w:pPr>
        <w:pStyle w:val="BodyTextMain"/>
      </w:pPr>
      <w:r w:rsidRPr="006524E1">
        <w:t xml:space="preserve">The wealth management segment had experienced significant disruption from innovations in the robo-advisory field. A robo-advisor was a digital financial advisor that delivered objective, data-driven online portfolio management without the need for human interaction. Robo-advisors passively invested deposits in exchange-traded funds (ETFs) or low-cost mutual funds, which consisted of diversified assets such as stocks, commodities, or bonds. The core advantages of holding an ETF were the diversification it provided and the low costs associated with management. By removing the need for detailed investment advice and instituting automatic portfolio rebalancing, robo-advisors provided lower fees and investment minima to a wider variety of customers, many of whom would not have qualified for a financial advisor. </w:t>
      </w:r>
      <w:r>
        <w:t>I</w:t>
      </w:r>
      <w:r w:rsidRPr="006524E1">
        <w:t>t was generally expected that by 2019, robo-advisors would collectively manage $255 billion in assets across the globe.</w:t>
      </w:r>
      <w:r>
        <w:rPr>
          <w:rStyle w:val="EndnoteReference"/>
        </w:rPr>
        <w:endnoteReference w:id="41"/>
      </w:r>
      <w:r w:rsidRPr="006524E1">
        <w:t xml:space="preserve"> </w:t>
      </w:r>
    </w:p>
    <w:p w:rsidR="00613BFD" w:rsidRPr="006524E1" w:rsidRDefault="00613BFD" w:rsidP="001E5FD8">
      <w:pPr>
        <w:pStyle w:val="BodyTextMain"/>
      </w:pPr>
      <w:r w:rsidRPr="006524E1">
        <w:lastRenderedPageBreak/>
        <w:t>After selecting a robo-advisor, a customer’s onboarding process typically took less than 10 minutes. During this time, a customer filled out an online questionnaire about their investment knowledge and risk tolerance, with questions ranging from their reason for saving and current debt commitments to annual income and net worth. The robo-advisor then automatically recommended an investment allocation and portfolio mix using fixed income and equity ETFs. Subsequently, investors chose the type of accounts they would like to open, with typical options including tax-free savings accounts, registered retirement savings plans, personal accounts, locked-in retirement accounts, and registered retirement income funds. Lastly, the user’s funds were transferred into these newly created accounts, where they could be monitored in real-time using the robo-advisor’s online interface.</w:t>
      </w:r>
    </w:p>
    <w:p w:rsidR="00613BFD" w:rsidRPr="006524E1" w:rsidRDefault="00613BFD" w:rsidP="001E5FD8">
      <w:pPr>
        <w:pStyle w:val="BodyTextMain"/>
      </w:pPr>
    </w:p>
    <w:p w:rsidR="00613BFD" w:rsidRPr="006524E1" w:rsidRDefault="00613BFD" w:rsidP="001E5FD8">
      <w:pPr>
        <w:pStyle w:val="BodyTextMain"/>
      </w:pPr>
      <w:r w:rsidRPr="006524E1">
        <w:t>The Canadian regulatory framework for robo-advisors was considered one of the strictest environments to operate within globally. In Canada, robo-advisors were required to register as portfolio managers with each provincial securities commission in order to operate in a specific geographical area. Under recent guidance issued by the Canadian Securities Administrators (CSA), a live, licensed portfolio manager was required to review the results of each client’s information before recommending a suitable portfolio. According to the CSA, this review process involved a live discussion between a licensed portfolio manager and each client, though the conversation did not have to occur in person</w:t>
      </w:r>
      <w:r>
        <w:t xml:space="preserve">. The </w:t>
      </w:r>
      <w:r w:rsidRPr="006524E1">
        <w:t>Ontario Securities Commission provided guidance on what this meant for human advising representatives (ARs) within robo-advisory firms:</w:t>
      </w:r>
    </w:p>
    <w:p w:rsidR="00613BFD" w:rsidRPr="006524E1" w:rsidRDefault="00613BFD" w:rsidP="001E5FD8">
      <w:pPr>
        <w:pStyle w:val="BodyTextMain"/>
      </w:pPr>
    </w:p>
    <w:p w:rsidR="00613BFD" w:rsidRPr="006524E1" w:rsidRDefault="00613BFD" w:rsidP="001E5FD8">
      <w:pPr>
        <w:pStyle w:val="BodyTextMain"/>
        <w:ind w:left="720"/>
      </w:pPr>
      <w:r w:rsidRPr="006524E1">
        <w:t>The online advice model that we considered acceptable involved an interactive website used to collect [client] information, which will be reviewed by a registered AR. The AR should communicate with the client by telephone, video link, email, or Internet chats. The AR must ensure that sufficient [client] information has been gathered to support the [robo-advisory] firm’s obligation to make suitability determinations for the client.</w:t>
      </w:r>
    </w:p>
    <w:p w:rsidR="00613BFD" w:rsidRPr="006524E1" w:rsidRDefault="00613BFD" w:rsidP="001E5FD8">
      <w:pPr>
        <w:pStyle w:val="BodyTextMain"/>
      </w:pPr>
    </w:p>
    <w:p w:rsidR="00613BFD" w:rsidRPr="006524E1" w:rsidRDefault="00613BFD" w:rsidP="001E5FD8">
      <w:pPr>
        <w:pStyle w:val="BodyTextMain"/>
        <w:ind w:left="720"/>
      </w:pPr>
      <w:r w:rsidRPr="006524E1">
        <w:t xml:space="preserve">As noted, this arrangement is not the so-called “robo-advice” model seen in the United States, where online advice had seen rapid growth in the last few years. The [robo] advisors operating in </w:t>
      </w:r>
      <w:r w:rsidRPr="001371F5">
        <w:t>Ontario were offering hybrid services that utilized an online platform for the efficiencies they provided, while ARs remained actively involved in decision making</w:t>
      </w:r>
      <w:r w:rsidRPr="006524E1">
        <w:t>.”</w:t>
      </w:r>
      <w:r>
        <w:rPr>
          <w:rStyle w:val="EndnoteReference"/>
        </w:rPr>
        <w:endnoteReference w:id="42"/>
      </w:r>
    </w:p>
    <w:p w:rsidR="00613BFD" w:rsidRPr="006524E1" w:rsidRDefault="00613BFD" w:rsidP="001E5FD8">
      <w:pPr>
        <w:pStyle w:val="BodyTextMain"/>
      </w:pPr>
    </w:p>
    <w:p w:rsidR="00613BFD" w:rsidRPr="006524E1" w:rsidRDefault="00613BFD" w:rsidP="001E5FD8">
      <w:pPr>
        <w:pStyle w:val="BodyTextMain"/>
      </w:pPr>
      <w:r w:rsidRPr="001371F5">
        <w:t>Within the Canadian market, 11 robo-advisors competed against the financial advisory branches of big banks and wealth managers; of these, three competitors operated across the nation: WealthBar, Questrade Portfolio iQ, and WealthSimple (see Exhibit 5).</w:t>
      </w:r>
      <w:r w:rsidRPr="001371F5">
        <w:rPr>
          <w:rStyle w:val="EndnoteReference"/>
        </w:rPr>
        <w:endnoteReference w:id="43"/>
      </w:r>
    </w:p>
    <w:p w:rsidR="00613BFD" w:rsidRPr="006524E1" w:rsidRDefault="00613BFD" w:rsidP="001E5FD8">
      <w:pPr>
        <w:pStyle w:val="BodyTextMain"/>
      </w:pPr>
    </w:p>
    <w:p w:rsidR="00613BFD" w:rsidRPr="006524E1" w:rsidRDefault="00613BFD" w:rsidP="001E5FD8">
      <w:pPr>
        <w:pStyle w:val="BodyTextMain"/>
      </w:pPr>
    </w:p>
    <w:p w:rsidR="00613BFD" w:rsidRPr="006524E1" w:rsidRDefault="00613BFD" w:rsidP="001E5FD8">
      <w:pPr>
        <w:pStyle w:val="Casehead1"/>
      </w:pPr>
      <w:r w:rsidRPr="006524E1">
        <w:t>Mogo</w:t>
      </w:r>
    </w:p>
    <w:p w:rsidR="00613BFD" w:rsidRPr="006524E1" w:rsidRDefault="00613BFD" w:rsidP="001E5FD8">
      <w:pPr>
        <w:pStyle w:val="BodyTextMain"/>
      </w:pPr>
    </w:p>
    <w:p w:rsidR="00613BFD" w:rsidRPr="006524E1" w:rsidRDefault="00613BFD" w:rsidP="001E5FD8">
      <w:pPr>
        <w:pStyle w:val="Casehead2"/>
      </w:pPr>
      <w:r w:rsidRPr="006524E1">
        <w:t>Company History</w:t>
      </w:r>
    </w:p>
    <w:p w:rsidR="00613BFD" w:rsidRPr="006524E1" w:rsidRDefault="00613BFD" w:rsidP="001E5FD8">
      <w:pPr>
        <w:pStyle w:val="BodyTextMain"/>
      </w:pPr>
    </w:p>
    <w:p w:rsidR="00613BFD" w:rsidRPr="006524E1" w:rsidRDefault="00613BFD" w:rsidP="001E5FD8">
      <w:pPr>
        <w:pStyle w:val="BodyTextMain"/>
      </w:pPr>
      <w:r w:rsidRPr="006524E1">
        <w:t xml:space="preserve">After graduating from Western University with a bachelor’s degree in economics and French, David Feller was drawn to the entrepreneurial community in Vancouver, British Columbia. Through this community, he gained exposure to payday lenders. These lenders did not perform credit checks, and so required interest payments averaging 30 per cent annualized percentage rate (APR)—a monthly figure that totaled nearly 400 per cent annually. These staggeringly high rates and the quick application times offered, some of which could be turned around in under one business day, established the perception that payday lenders predominately served sub-prime clients with low credit scores and an urgent need for funds.With minimal information, a customer could receive a loan from a payday lender. In contrast, the average loan application process with a commercial bank lasted between three and 14 days, provided the applicant had a prime credit score. Should the applicant be one of the 35 per cent of Canadians who fell in </w:t>
      </w:r>
      <w:r w:rsidRPr="006524E1">
        <w:lastRenderedPageBreak/>
        <w:t>the near- to sub-prime credit score segment, it was unlikely that the loan would be approved at all. This significant disparity in time to process reflected a gap in the market that impacted “banked” and “underbanked”</w:t>
      </w:r>
      <w:r w:rsidRPr="006524E1">
        <w:rPr>
          <w:rStyle w:val="EndnoteReference"/>
        </w:rPr>
        <w:endnoteReference w:id="44"/>
      </w:r>
      <w:r w:rsidRPr="006524E1">
        <w:t xml:space="preserve"> customers across the credit spectrum. As Feller described:</w:t>
      </w:r>
    </w:p>
    <w:p w:rsidR="00613BFD" w:rsidRPr="006524E1" w:rsidRDefault="00613BFD" w:rsidP="001E5FD8">
      <w:pPr>
        <w:pStyle w:val="BodyTextMain"/>
      </w:pPr>
    </w:p>
    <w:p w:rsidR="00613BFD" w:rsidRPr="006524E1" w:rsidRDefault="00613BFD" w:rsidP="001E5FD8">
      <w:pPr>
        <w:pStyle w:val="BodyTextMain"/>
        <w:ind w:left="720"/>
      </w:pPr>
      <w:r w:rsidRPr="006524E1">
        <w:rPr>
          <w:lang w:val="en-CA"/>
        </w:rPr>
        <w:t>Before Mogo entered the market, there was this mindset that prime customers were well served by the big banks. That left only underbanked customers with sub-prime credit scores for new entrants. We disagreed: our belief was that, with the right mix of convenience and accessibility, we would be able to access the full spectrum of consumers across Canada.</w:t>
      </w:r>
    </w:p>
    <w:p w:rsidR="00613BFD" w:rsidRPr="006524E1" w:rsidRDefault="00613BFD" w:rsidP="001E5FD8">
      <w:pPr>
        <w:pStyle w:val="BodyTextMain"/>
      </w:pPr>
    </w:p>
    <w:p w:rsidR="00613BFD" w:rsidRPr="006524E1" w:rsidRDefault="00613BFD" w:rsidP="001E5FD8">
      <w:pPr>
        <w:pStyle w:val="BodyTextMain"/>
      </w:pPr>
      <w:r w:rsidRPr="006524E1">
        <w:t>In addition to providing accessible services to underserved retail bank customers, Feller realized that payday lenders were capitalizing on a segment of consumers who were not receiving adequate banking services. For example, a traditional bank may offer clients credit card products and ancillary rewards programs to incentivize adoption. Subsequently, when credit card debt became unwieldy, customers could take out a consolidated loan to keep up with expenses. However, as interest payments on these outstanding commitments increased, clients could become unable to make payments. In this situation, payday lenders were one of the few alternatives underbanked customers could turn to. As Feller noted, “It was relatively easy to get into financial trouble, but banks did not offer solutions to these challenges.”</w:t>
      </w:r>
    </w:p>
    <w:p w:rsidR="00613BFD" w:rsidRPr="006524E1" w:rsidRDefault="00613BFD" w:rsidP="001E5FD8">
      <w:pPr>
        <w:pStyle w:val="BodyTextMain"/>
      </w:pPr>
    </w:p>
    <w:p w:rsidR="00613BFD" w:rsidRPr="006524E1" w:rsidRDefault="00613BFD" w:rsidP="001E5FD8">
      <w:pPr>
        <w:pStyle w:val="BodyTextMain"/>
      </w:pPr>
      <w:r w:rsidRPr="006524E1">
        <w:t>To capitalize on this unmet demand for convenient and fair financial services, Feller and his brother co-founded Mogo in 2003 as a B&amp;M payday lender that offered loans at an average rate of $30 per $100 granted. In 2005, following early indications that financial services would trend towards digitization in the long term, Feller transitioned Mogo into an online service that would provide increased convenience at a significant discount: $1.83 per $100 at minimum. Though the company was embracing a cost leadership strategy that appealed to near and sub-prime customers, Feller emphasized that Mogo’s ultimate goal was to provide convenient services to consumers of all credit backgrounds: “The more I learned about this space, the more I was interested in the question: How do you bring this level of convenience that payday lenders provide across the entire lending spectrum?”</w:t>
      </w:r>
    </w:p>
    <w:p w:rsidR="00613BFD" w:rsidRPr="006524E1" w:rsidRDefault="00613BFD" w:rsidP="001E5FD8">
      <w:pPr>
        <w:pStyle w:val="BodyTextMain"/>
      </w:pPr>
    </w:p>
    <w:p w:rsidR="00613BFD" w:rsidRPr="00613BFD" w:rsidRDefault="00613BFD" w:rsidP="001E5FD8">
      <w:pPr>
        <w:pStyle w:val="BodyTextMain"/>
        <w:rPr>
          <w:spacing w:val="-1"/>
        </w:rPr>
      </w:pPr>
      <w:r w:rsidRPr="00613BFD">
        <w:rPr>
          <w:spacing w:val="-1"/>
        </w:rPr>
        <w:t xml:space="preserve">With aspirations to spearhead Canada’s transition from traditional banking to digital financial services, Mogo aimed to offer convenient financial products at competitive rates through its online and mobile platforms. By democratizing access to financial services, the company sought to build products that “made it easier for consumers to get in control of their financial wellbeing.” At the close of </w:t>
      </w:r>
      <w:r w:rsidRPr="001371F5">
        <w:t>2017</w:t>
      </w:r>
      <w:r w:rsidRPr="00613BFD">
        <w:rPr>
          <w:spacing w:val="-1"/>
        </w:rPr>
        <w:t>, Mogo was a purely digital platform providing personal loans</w:t>
      </w:r>
      <w:r w:rsidRPr="001371F5">
        <w:t>, mortgages, payments services,</w:t>
      </w:r>
      <w:r w:rsidRPr="00613BFD">
        <w:rPr>
          <w:spacing w:val="-1"/>
        </w:rPr>
        <w:t xml:space="preserve"> and free credit score assessments to customers. The company had raised $</w:t>
      </w:r>
      <w:r w:rsidRPr="001371F5">
        <w:t>202</w:t>
      </w:r>
      <w:r w:rsidRPr="00613BFD">
        <w:rPr>
          <w:spacing w:val="-1"/>
        </w:rPr>
        <w:t xml:space="preserve"> million in cumulative funding to support a rapid growth trajectory, and had recently surpassed </w:t>
      </w:r>
      <w:r w:rsidRPr="001371F5">
        <w:t>500</w:t>
      </w:r>
      <w:r w:rsidRPr="00613BFD">
        <w:rPr>
          <w:spacing w:val="-1"/>
        </w:rPr>
        <w:t xml:space="preserve">,000 users. Though Mogo had yet to achieve positive </w:t>
      </w:r>
      <w:r w:rsidRPr="006524E1">
        <w:t>e</w:t>
      </w:r>
      <w:r>
        <w:t>net income</w:t>
      </w:r>
      <w:r w:rsidRPr="00613BFD">
        <w:rPr>
          <w:spacing w:val="-1"/>
        </w:rPr>
        <w:t>, it delivered annual revenues of $</w:t>
      </w:r>
      <w:r>
        <w:t>49.8</w:t>
      </w:r>
      <w:r w:rsidRPr="00613BFD">
        <w:rPr>
          <w:spacing w:val="-1"/>
        </w:rPr>
        <w:t xml:space="preserve"> million—</w:t>
      </w:r>
      <w:r>
        <w:t>a</w:t>
      </w:r>
      <w:r w:rsidRPr="006524E1">
        <w:t xml:space="preserve"> </w:t>
      </w:r>
      <w:r>
        <w:t>14.5</w:t>
      </w:r>
      <w:r w:rsidRPr="00613BFD">
        <w:rPr>
          <w:spacing w:val="-1"/>
        </w:rPr>
        <w:t xml:space="preserve"> per cent increase from the previous year (see Exhibits 6A and 6B). </w:t>
      </w:r>
    </w:p>
    <w:p w:rsidR="00613BFD" w:rsidRPr="006524E1" w:rsidRDefault="00613BFD" w:rsidP="001E5FD8">
      <w:pPr>
        <w:pStyle w:val="BodyTextMain"/>
      </w:pPr>
    </w:p>
    <w:p w:rsidR="00613BFD" w:rsidRPr="006524E1" w:rsidRDefault="00613BFD" w:rsidP="001E5FD8">
      <w:pPr>
        <w:pStyle w:val="BodyTextMain"/>
        <w:rPr>
          <w:color w:val="1A1A1A"/>
        </w:rPr>
      </w:pPr>
    </w:p>
    <w:p w:rsidR="00613BFD" w:rsidRPr="006524E1" w:rsidRDefault="00613BFD" w:rsidP="001E5FD8">
      <w:pPr>
        <w:pStyle w:val="Casehead2"/>
      </w:pPr>
      <w:r w:rsidRPr="006524E1">
        <w:t>Product Strategy</w:t>
      </w:r>
    </w:p>
    <w:p w:rsidR="00613BFD" w:rsidRPr="00613BFD" w:rsidRDefault="00613BFD" w:rsidP="001E5FD8">
      <w:pPr>
        <w:pStyle w:val="BodyTextMain"/>
      </w:pPr>
    </w:p>
    <w:p w:rsidR="00613BFD" w:rsidRPr="006524E1" w:rsidRDefault="00613BFD" w:rsidP="001E5FD8">
      <w:pPr>
        <w:pStyle w:val="BodyTextMain"/>
      </w:pPr>
      <w:r w:rsidRPr="006524E1">
        <w:t xml:space="preserve">Mogo’s product development strategy focused on identifying the most efficient and effective way to build new offerings. Due to the nature of the Canadian fintech industry, the majority of financial services products had to be executed in partnership with larger institutions. Thus, the company faced the challenge of balancing the need to quickly commercialize products through partnerships with its desire to invest both time and capital in creating differentiated financial services solutions. </w:t>
      </w:r>
    </w:p>
    <w:p w:rsidR="00613BFD" w:rsidRPr="006524E1" w:rsidRDefault="00613BFD" w:rsidP="001E5FD8">
      <w:pPr>
        <w:pStyle w:val="BodyTextMain"/>
      </w:pPr>
    </w:p>
    <w:p w:rsidR="00613BFD" w:rsidRPr="006524E1" w:rsidRDefault="00613BFD" w:rsidP="001E5FD8">
      <w:pPr>
        <w:pStyle w:val="BodyTextMain"/>
      </w:pPr>
      <w:r w:rsidRPr="006524E1">
        <w:t xml:space="preserve">Within its burgeoning loan segment, Mogo developed complementary products to achieve its vision of developing into a full-service digital financial services company. Each product was designed to appeal to </w:t>
      </w:r>
      <w:r w:rsidRPr="006524E1">
        <w:lastRenderedPageBreak/>
        <w:t>a customer at a specific stage of the client’s lifecycle, and was accessible to consumers through Mogo’s online digital platform and mobile application (see Exhibit 7). Chantel Chapman, a personal financial fitness coach at Mogo, explained the company’s offerings:</w:t>
      </w:r>
    </w:p>
    <w:p w:rsidR="00613BFD" w:rsidRPr="006524E1" w:rsidRDefault="00613BFD" w:rsidP="001E5FD8">
      <w:pPr>
        <w:pStyle w:val="BodyTextMain"/>
      </w:pPr>
    </w:p>
    <w:p w:rsidR="00613BFD" w:rsidRPr="006524E1" w:rsidRDefault="00613BFD" w:rsidP="001E5FD8">
      <w:pPr>
        <w:pStyle w:val="BodyTextMain"/>
        <w:ind w:left="720"/>
      </w:pPr>
      <w:r w:rsidRPr="006524E1">
        <w:t>Our goal was to become an inflection point business, which means we aimed to have products at each stage of the customer’s lifecycle. We offered a free credit score product for when you would become aware of the importance of your financial health. Later, when you wanted to refinance expensive credit card debt, we were there for you with MogoLiquid. If you had payday loan debt and needed to refinance it with lower cost options, we had MogoMini. After a few years, you’d return to us for additional services.</w:t>
      </w:r>
    </w:p>
    <w:p w:rsidR="00613BFD" w:rsidRPr="006524E1" w:rsidRDefault="00613BFD" w:rsidP="001E5FD8">
      <w:pPr>
        <w:pStyle w:val="BodyTextMain"/>
      </w:pPr>
    </w:p>
    <w:p w:rsidR="00613BFD" w:rsidRPr="006524E1" w:rsidRDefault="00613BFD" w:rsidP="001E5FD8">
      <w:pPr>
        <w:pStyle w:val="BodyTextMain"/>
      </w:pPr>
      <w:r w:rsidRPr="006524E1">
        <w:t xml:space="preserve">Mogo’s product development process centred on identifying where consumers were most underserved in the market. After identifying a niche, Mogo’s strategic team placed equal focus on alignment with the company’s overall vision and on financial measures, including total investment cost and payback periods. This logic resulted in the launch of two product lines: personal loans and credit score assessments. </w:t>
      </w:r>
    </w:p>
    <w:p w:rsidR="00613BFD" w:rsidRDefault="00613BFD" w:rsidP="001E5FD8">
      <w:pPr>
        <w:pStyle w:val="BodyTextMain"/>
      </w:pPr>
    </w:p>
    <w:p w:rsidR="001E5FD8" w:rsidRPr="006524E1" w:rsidRDefault="001E5FD8" w:rsidP="001E5FD8">
      <w:pPr>
        <w:pStyle w:val="BodyTextMain"/>
      </w:pPr>
    </w:p>
    <w:p w:rsidR="00613BFD" w:rsidRPr="006524E1" w:rsidRDefault="00613BFD" w:rsidP="001E5FD8">
      <w:pPr>
        <w:pStyle w:val="Casehead2"/>
      </w:pPr>
      <w:r w:rsidRPr="006524E1">
        <w:t>Brand Strategy</w:t>
      </w:r>
      <w:r>
        <w:t xml:space="preserve"> &amp; Portfolio</w:t>
      </w:r>
    </w:p>
    <w:p w:rsidR="00613BFD" w:rsidRPr="006524E1" w:rsidRDefault="00613BFD" w:rsidP="001E5FD8">
      <w:pPr>
        <w:pStyle w:val="BodyTextMain"/>
      </w:pPr>
    </w:p>
    <w:p w:rsidR="00613BFD" w:rsidRPr="006524E1" w:rsidRDefault="00613BFD" w:rsidP="001E5FD8">
      <w:pPr>
        <w:pStyle w:val="BodyTextMain"/>
      </w:pPr>
      <w:r w:rsidRPr="006524E1">
        <w:t xml:space="preserve">To support Mogo’s goal of enabling customers to achieve financial fitness, the company set its sights on becoming an aspirational lifestyle brand. </w:t>
      </w:r>
      <w:r w:rsidRPr="00613BFD">
        <w:rPr>
          <w:lang w:val="en-CA"/>
        </w:rPr>
        <w:t xml:space="preserve">The core of Mogo’s brand strategy was its effective design: first, customers were attracted to the brand by millennial-focused marketing tactics; subsequently, their experiences within the mobile application and online platform were structured to reflect the company’s goal. </w:t>
      </w:r>
      <w:r w:rsidRPr="006524E1">
        <w:t>To this end, Mogo dedicated $</w:t>
      </w:r>
      <w:r>
        <w:t xml:space="preserve">560,000 </w:t>
      </w:r>
      <w:r w:rsidRPr="006524E1">
        <w:t>monthly in marketing spend to increase brand awareness, an expense that was primarily concentrated on digital tactics. In addition, the company inspired customers to achieve financial fitness through “gamification” principles.</w:t>
      </w:r>
      <w:r w:rsidRPr="006524E1">
        <w:rPr>
          <w:rStyle w:val="EndnoteReference"/>
        </w:rPr>
        <w:endnoteReference w:id="45"/>
      </w:r>
      <w:r w:rsidRPr="006524E1">
        <w:t xml:space="preserve"> Gamification at Mogo </w:t>
      </w:r>
      <w:r>
        <w:t>was reflected through both</w:t>
      </w:r>
      <w:r w:rsidRPr="006524E1">
        <w:t xml:space="preserve"> its online platform and </w:t>
      </w:r>
      <w:r>
        <w:t xml:space="preserve">unique product portfolio. </w:t>
      </w:r>
    </w:p>
    <w:p w:rsidR="00613BFD" w:rsidRPr="006524E1" w:rsidRDefault="00613BFD" w:rsidP="001E5FD8">
      <w:pPr>
        <w:pStyle w:val="BodyTextMain"/>
      </w:pPr>
    </w:p>
    <w:p w:rsidR="00613BFD" w:rsidRPr="006524E1" w:rsidRDefault="00613BFD" w:rsidP="001E5FD8">
      <w:pPr>
        <w:pStyle w:val="BodyTextMain"/>
      </w:pPr>
    </w:p>
    <w:p w:rsidR="00613BFD" w:rsidRPr="006524E1" w:rsidRDefault="00613BFD" w:rsidP="001E5FD8">
      <w:pPr>
        <w:pStyle w:val="Casehead3"/>
      </w:pPr>
      <w:r w:rsidRPr="006524E1">
        <w:t>Online and Mobile Platforms</w:t>
      </w:r>
    </w:p>
    <w:p w:rsidR="00613BFD" w:rsidRPr="006524E1" w:rsidRDefault="00613BFD" w:rsidP="001E5FD8">
      <w:pPr>
        <w:pStyle w:val="BodyTextMain"/>
      </w:pPr>
    </w:p>
    <w:p w:rsidR="00613BFD" w:rsidRPr="006524E1" w:rsidRDefault="00613BFD" w:rsidP="001E5FD8">
      <w:pPr>
        <w:pStyle w:val="BodyTextMain"/>
        <w:rPr>
          <w:color w:val="000000" w:themeColor="text1"/>
        </w:rPr>
      </w:pPr>
      <w:r w:rsidRPr="006524E1">
        <w:rPr>
          <w:color w:val="1A1A1A"/>
        </w:rPr>
        <w:t xml:space="preserve">In Feller’s opinion, Mogo was a technology company before it was a financial services organization. The company’s online platform was designed to increase accessibility, transparency, and ease of use for clients. First, Mogo developed both an online dashboard and mobile application with similar functionality to enable seamless user experience. </w:t>
      </w:r>
      <w:r w:rsidRPr="006524E1">
        <w:rPr>
          <w:color w:val="000000" w:themeColor="text1"/>
        </w:rPr>
        <w:t xml:space="preserve">Though Mogo’s mission was to develop into Canada’s first digital financial brand, Feller stated, “We’re not licensed as a bank, and we don’t want to be one. We believe that it’s technology platforms like ours, though, which will ultimately be the banks of the future.” </w:t>
      </w:r>
    </w:p>
    <w:p w:rsidR="00613BFD" w:rsidRPr="006524E1" w:rsidRDefault="00613BFD" w:rsidP="001E5FD8">
      <w:pPr>
        <w:pStyle w:val="BodyTextMain"/>
        <w:rPr>
          <w:color w:val="000000" w:themeColor="text1"/>
        </w:rPr>
      </w:pPr>
    </w:p>
    <w:p w:rsidR="00613BFD" w:rsidRPr="006524E1" w:rsidRDefault="00613BFD" w:rsidP="001E5FD8">
      <w:pPr>
        <w:pStyle w:val="BodyTextMain"/>
        <w:rPr>
          <w:color w:val="1A1A1A"/>
        </w:rPr>
      </w:pPr>
      <w:r w:rsidRPr="006524E1">
        <w:rPr>
          <w:color w:val="1A1A1A"/>
        </w:rPr>
        <w:t xml:space="preserve">Mogo’s platform developers built a step-by-step user experience that led customers through the process of applying for a loan. For example, the MogoMoney application clearly stated the biweekly payments, term, and monthly interest rates that consumers were committing to. Next, ease of use was achieved through an easy-to-navigate online and mobile dashboard that prompted users with simple instructions. Where possible, Mogo’s in-application experiences were gamified to increase engagement and generate loyalty. For instance, when viewing their credit scores, customers received notifications on how many points they needed until they could “level up.” Further, Mogo developed the potential to receive rewards for on-time payments to motivate customers to become financially fit. </w:t>
      </w:r>
    </w:p>
    <w:p w:rsidR="00613BFD" w:rsidRDefault="00613BFD" w:rsidP="001E5FD8">
      <w:pPr>
        <w:pStyle w:val="BodyTextMain"/>
      </w:pPr>
    </w:p>
    <w:p w:rsidR="00613BFD" w:rsidRDefault="00613BFD" w:rsidP="001E5FD8">
      <w:pPr>
        <w:pStyle w:val="BodyTextMain"/>
      </w:pPr>
    </w:p>
    <w:p w:rsidR="001E5FD8" w:rsidRPr="00146E79" w:rsidRDefault="001E5FD8" w:rsidP="001E5FD8">
      <w:pPr>
        <w:pStyle w:val="BodyTextMain"/>
      </w:pPr>
    </w:p>
    <w:p w:rsidR="00613BFD" w:rsidRPr="006524E1" w:rsidRDefault="00613BFD" w:rsidP="001E5FD8">
      <w:pPr>
        <w:pStyle w:val="Casehead3"/>
      </w:pPr>
      <w:r>
        <w:lastRenderedPageBreak/>
        <w:t>MogoMoney</w:t>
      </w:r>
    </w:p>
    <w:p w:rsidR="00613BFD" w:rsidRPr="006524E1" w:rsidRDefault="00613BFD" w:rsidP="001E5FD8">
      <w:pPr>
        <w:pStyle w:val="BodyTextMain"/>
      </w:pPr>
    </w:p>
    <w:p w:rsidR="00613BFD" w:rsidRPr="006524E1" w:rsidRDefault="00613BFD" w:rsidP="001E5FD8">
      <w:pPr>
        <w:pStyle w:val="BodyTextMain"/>
      </w:pPr>
      <w:r w:rsidRPr="006524E1">
        <w:t>Having been the company’s core product since its beginnings as a payday lender, Mogo’s loan pro</w:t>
      </w:r>
      <w:r>
        <w:t xml:space="preserve">ducts were </w:t>
      </w:r>
      <w:r w:rsidRPr="006524E1">
        <w:t xml:space="preserve">marketed as </w:t>
      </w:r>
      <w:r>
        <w:t>methods of</w:t>
      </w:r>
      <w:r w:rsidRPr="006524E1">
        <w:t xml:space="preserve"> refinancing higher-cost debt at a lower interest rate, regardless of credit score. To improve acquisition rates, the company offered a three-minute application process in which consumers entered their information and found out the interest rates they qualified for within three minutes. Mogo had developed three loan products: </w:t>
      </w:r>
      <w:r w:rsidRPr="00B77550">
        <w:t>MogoMini, MogoZip, and MogoLiquid. With MogoMini, clients could access a “mini,” low-cost line of credit of up to $3,500 at 13 cents per day per $100; this product was intended as a payday loan alternative. MogoZip offered customers an immediate-term loan of $500–$1,500, payable within 14 days of issuance. Finally, MogoLiquid allowed consumers to take out $3,500–$35,000 with risk-adjusted rates starting at 5.5 per cent APR. These loan products were financed through a revolving credit facility in partnership with Fortress Credit Co LLC.</w:t>
      </w:r>
      <w:r w:rsidRPr="006524E1">
        <w:t xml:space="preserve"> </w:t>
      </w:r>
    </w:p>
    <w:p w:rsidR="00613BFD" w:rsidRPr="006524E1" w:rsidRDefault="00613BFD" w:rsidP="001E5FD8">
      <w:pPr>
        <w:pStyle w:val="BodyTextMain"/>
      </w:pPr>
    </w:p>
    <w:p w:rsidR="00613BFD" w:rsidRPr="00613BFD" w:rsidRDefault="00613BFD" w:rsidP="001E5FD8">
      <w:pPr>
        <w:pStyle w:val="BodyTextMain"/>
        <w:rPr>
          <w:spacing w:val="-1"/>
        </w:rPr>
      </w:pPr>
      <w:r w:rsidRPr="00613BFD">
        <w:rPr>
          <w:spacing w:val="-1"/>
        </w:rPr>
        <w:t xml:space="preserve">With Mogo’s positioning as an online lender that served customers across the credit spectrum, it was critical that the company </w:t>
      </w:r>
      <w:r w:rsidRPr="006524E1">
        <w:t>developed</w:t>
      </w:r>
      <w:r w:rsidRPr="00613BFD">
        <w:rPr>
          <w:spacing w:val="-1"/>
        </w:rPr>
        <w:t xml:space="preserve"> an alternative to the in-person tactics that traditional banks used to evaluate the creditworthiness of their customers. Accordingly, Mogo developed a big data platform that analyzed more than 1,000 data sources when a client made a loan application. In addition to examining credit scores, the platform assessed consumers through analysis of their bank transactions, personal browsing history, and time spent viewing the loan disclosure form. Using these elements, the system provided a clear picture of the client’s likelihood to repay</w:t>
      </w:r>
      <w:r w:rsidRPr="006524E1">
        <w:t>,</w:t>
      </w:r>
      <w:r w:rsidRPr="00613BFD">
        <w:rPr>
          <w:spacing w:val="-1"/>
        </w:rPr>
        <w:t xml:space="preserve"> and was also capable of detecting and limiting fraud. </w:t>
      </w:r>
    </w:p>
    <w:p w:rsidR="00613BFD" w:rsidRDefault="00613BFD" w:rsidP="001E5FD8">
      <w:pPr>
        <w:pStyle w:val="BodyTextMain"/>
      </w:pPr>
    </w:p>
    <w:p w:rsidR="001E5FD8" w:rsidRPr="006524E1" w:rsidRDefault="001E5FD8" w:rsidP="001E5FD8">
      <w:pPr>
        <w:pStyle w:val="BodyTextMain"/>
      </w:pPr>
    </w:p>
    <w:p w:rsidR="00613BFD" w:rsidRPr="006524E1" w:rsidRDefault="00613BFD" w:rsidP="001E5FD8">
      <w:pPr>
        <w:pStyle w:val="Casehead3"/>
      </w:pPr>
      <w:r w:rsidRPr="006524E1">
        <w:t>Credit Score Assessment</w:t>
      </w:r>
    </w:p>
    <w:p w:rsidR="00613BFD" w:rsidRPr="006524E1" w:rsidRDefault="00613BFD" w:rsidP="001E5FD8">
      <w:pPr>
        <w:pStyle w:val="BodyTextMain"/>
      </w:pPr>
    </w:p>
    <w:p w:rsidR="00613BFD" w:rsidRPr="006524E1" w:rsidRDefault="00613BFD" w:rsidP="001E5FD8">
      <w:pPr>
        <w:pStyle w:val="BodyTextMain"/>
      </w:pPr>
      <w:r w:rsidRPr="006524E1">
        <w:t xml:space="preserve">The company’s next major development was its free credit score product, a partnership with Equifax that provided consumers with their credit score at no cost. When signing up to Mogo’s mobile application, customers were prompted to authorize a free credit score check as their first step towards becoming “financially fit.” Mogo’s “Level Up” program enabled customers to gradually lower interest rates on outstanding loans by improving their credit score. Though the company incurred a fee for providing monthly score monitoring (typically valued at a $200 annually), its ultimate goal was to “educate consumers on what a credit score means as well as strategies to improve it.” </w:t>
      </w:r>
    </w:p>
    <w:p w:rsidR="00613BFD" w:rsidRDefault="00613BFD" w:rsidP="001E5FD8">
      <w:pPr>
        <w:pStyle w:val="BodyTextMain"/>
      </w:pPr>
    </w:p>
    <w:p w:rsidR="001E5FD8" w:rsidRDefault="001E5FD8" w:rsidP="001E5FD8">
      <w:pPr>
        <w:pStyle w:val="BodyTextMain"/>
      </w:pPr>
    </w:p>
    <w:p w:rsidR="00613BFD" w:rsidRDefault="00613BFD" w:rsidP="001E5FD8">
      <w:pPr>
        <w:pStyle w:val="Casehead3"/>
      </w:pPr>
      <w:r w:rsidRPr="00A12183">
        <w:t>MogoProtect</w:t>
      </w:r>
    </w:p>
    <w:p w:rsidR="00613BFD" w:rsidRDefault="00613BFD" w:rsidP="001E5FD8">
      <w:pPr>
        <w:pStyle w:val="BodyTextMain"/>
      </w:pPr>
    </w:p>
    <w:p w:rsidR="00613BFD" w:rsidRDefault="00613BFD" w:rsidP="001E5FD8">
      <w:pPr>
        <w:pStyle w:val="BodyTextMain"/>
      </w:pPr>
      <w:r>
        <w:t>In 2017, Mogo’s fraud detection service was implemented to help customers avoid identity theft and fraud. When fraudsters obtained personal financial information, they sought to quickly convert it to liquidity by illegally applying for loans, mortgages, or opening bank accounts. In order to be approved for an account such as this in Canada, customers must consent to have banks, creditors, and insurance providers conduct credit checks. MogoProtect sent an alert to users when credit inquiries were submitted on their personal information, thereby immediately drawing attention to instances when a credit inquiry was submitted without the explicit permission of the user. For $8.99 a month against a going market price of up to $20, MogoMembers could protect themselves from this form of identity fraud.</w:t>
      </w:r>
    </w:p>
    <w:p w:rsidR="00613BFD" w:rsidRDefault="00613BFD" w:rsidP="001E5FD8">
      <w:pPr>
        <w:pStyle w:val="BodyTextMain"/>
      </w:pPr>
    </w:p>
    <w:p w:rsidR="00613BFD" w:rsidRDefault="00613BFD" w:rsidP="001E5FD8">
      <w:pPr>
        <w:pStyle w:val="BodyTextMain"/>
      </w:pPr>
    </w:p>
    <w:p w:rsidR="001E5FD8" w:rsidRDefault="001E5FD8" w:rsidP="001E5FD8">
      <w:pPr>
        <w:pStyle w:val="BodyTextMain"/>
      </w:pPr>
    </w:p>
    <w:p w:rsidR="001E5FD8" w:rsidRDefault="001E5FD8" w:rsidP="001E5FD8">
      <w:pPr>
        <w:pStyle w:val="BodyTextMain"/>
      </w:pPr>
    </w:p>
    <w:p w:rsidR="001E5FD8" w:rsidRDefault="001E5FD8" w:rsidP="001E5FD8">
      <w:pPr>
        <w:pStyle w:val="BodyTextMain"/>
      </w:pPr>
    </w:p>
    <w:p w:rsidR="00613BFD" w:rsidRPr="00A12183" w:rsidRDefault="00613BFD" w:rsidP="001E5FD8">
      <w:pPr>
        <w:pStyle w:val="Casehead3"/>
      </w:pPr>
      <w:r w:rsidRPr="00A12183">
        <w:lastRenderedPageBreak/>
        <w:t>MogoMortgage</w:t>
      </w:r>
    </w:p>
    <w:p w:rsidR="00613BFD" w:rsidRPr="00613BFD" w:rsidRDefault="00613BFD" w:rsidP="001E5FD8">
      <w:pPr>
        <w:pStyle w:val="BodyTextMain"/>
      </w:pPr>
    </w:p>
    <w:p w:rsidR="00613BFD" w:rsidRDefault="00613BFD" w:rsidP="001E5FD8">
      <w:pPr>
        <w:pStyle w:val="BodyTextMain"/>
      </w:pPr>
      <w:r w:rsidRPr="006524E1">
        <w:t>Having noted the lack of fintech firms in the Canadian mortgage space</w:t>
      </w:r>
      <w:r>
        <w:t xml:space="preserve"> in 2017</w:t>
      </w:r>
      <w:r w:rsidRPr="006524E1">
        <w:t xml:space="preserve">, Feller and his team </w:t>
      </w:r>
      <w:r>
        <w:t>developed</w:t>
      </w:r>
      <w:r w:rsidRPr="006524E1">
        <w:t xml:space="preserve"> a new mortgage segment to compliment Mogo’s </w:t>
      </w:r>
      <w:r>
        <w:t>existing loan offerings. By partnering with an established mortgage broker, Mogo</w:t>
      </w:r>
      <w:r w:rsidRPr="006524E1">
        <w:t xml:space="preserve"> would receive a commission on mortgages completed through the service without assuming significant credit risk. By leveraging its limited operating costs and lack of B&amp;M presence, Mogo could offer mortgage rates as low as 2.54 per cent APR, compared to Big Six rates of between 2.89 and 4.49 per cent. </w:t>
      </w:r>
    </w:p>
    <w:p w:rsidR="00613BFD" w:rsidRDefault="00613BFD" w:rsidP="001E5FD8">
      <w:pPr>
        <w:pStyle w:val="BodyTextMain"/>
      </w:pPr>
    </w:p>
    <w:p w:rsidR="00613BFD" w:rsidRPr="006524E1" w:rsidRDefault="00613BFD" w:rsidP="001E5FD8">
      <w:pPr>
        <w:pStyle w:val="BodyTextMain"/>
      </w:pPr>
      <w:r>
        <w:t>In keeping with Mogo’s gamification principles, MogoMortgage was built to include special rewards that motivated users to meet their repayment goals. For example, at each milestone payment, users would be surprised with a reward such as a free dinner on Mogo or a gift card. Mogo was licensed to operate in British Columbia, Alberta, and Ontario with ambitions to expand across the country.</w:t>
      </w:r>
    </w:p>
    <w:p w:rsidR="00613BFD" w:rsidRDefault="00613BFD" w:rsidP="001E5FD8">
      <w:pPr>
        <w:pStyle w:val="BodyTextMain"/>
      </w:pPr>
    </w:p>
    <w:p w:rsidR="00613BFD" w:rsidRPr="00146E79" w:rsidRDefault="00613BFD" w:rsidP="001E5FD8">
      <w:pPr>
        <w:pStyle w:val="BodyTextMain"/>
      </w:pPr>
    </w:p>
    <w:p w:rsidR="00613BFD" w:rsidRDefault="00613BFD" w:rsidP="001E5FD8">
      <w:pPr>
        <w:pStyle w:val="Casehead3"/>
      </w:pPr>
      <w:r>
        <w:t>MogoCard</w:t>
      </w:r>
    </w:p>
    <w:p w:rsidR="00613BFD" w:rsidRDefault="00613BFD" w:rsidP="001E5FD8">
      <w:pPr>
        <w:pStyle w:val="BodyTextMain"/>
      </w:pPr>
    </w:p>
    <w:p w:rsidR="00613BFD" w:rsidRDefault="00613BFD" w:rsidP="001E5FD8">
      <w:pPr>
        <w:pStyle w:val="BodyTextMain"/>
      </w:pPr>
      <w:r w:rsidRPr="00813EC8">
        <w:t>To help MogoMembers establish and maintain healthy spending habits, Mogo launched the reloadable MogoCard, a platinum prepaid VISA card. However, the instrument was not a traditional credit card. Instead of racking up debt, users added money to the card through Mogo’s mobile application. Then, they could set spending goals. As a result of this information, Mogo’s online platform</w:t>
      </w:r>
      <w:r>
        <w:t xml:space="preserve"> would recommend a daily budget.</w:t>
      </w:r>
    </w:p>
    <w:p w:rsidR="00613BFD" w:rsidRDefault="00613BFD" w:rsidP="001E5FD8">
      <w:pPr>
        <w:pStyle w:val="BodyTextMain"/>
      </w:pPr>
    </w:p>
    <w:p w:rsidR="00613BFD" w:rsidRPr="00813EC8" w:rsidRDefault="00613BFD" w:rsidP="001E5FD8">
      <w:pPr>
        <w:pStyle w:val="BodyTextMain"/>
      </w:pPr>
      <w:r>
        <w:t>Unlike typical payment cards, Mogo enabled users to select the design of their MogoCard for a small additional fee.</w:t>
      </w:r>
    </w:p>
    <w:p w:rsidR="00613BFD" w:rsidRDefault="00613BFD" w:rsidP="001E5FD8">
      <w:pPr>
        <w:pStyle w:val="BodyTextMain"/>
        <w:rPr>
          <w:u w:val="single"/>
        </w:rPr>
      </w:pPr>
    </w:p>
    <w:p w:rsidR="00613BFD" w:rsidRPr="00613BFD" w:rsidRDefault="00613BFD" w:rsidP="001E5FD8">
      <w:pPr>
        <w:pStyle w:val="BodyTextMain"/>
        <w:rPr>
          <w:u w:val="single"/>
        </w:rPr>
      </w:pPr>
    </w:p>
    <w:p w:rsidR="00613BFD" w:rsidRPr="006524E1" w:rsidRDefault="00613BFD" w:rsidP="001E5FD8">
      <w:pPr>
        <w:pStyle w:val="Casehead2"/>
      </w:pPr>
      <w:r w:rsidRPr="006524E1">
        <w:t>Organizational Structure</w:t>
      </w:r>
    </w:p>
    <w:p w:rsidR="00613BFD" w:rsidRPr="00613BFD" w:rsidRDefault="00613BFD" w:rsidP="001E5FD8">
      <w:pPr>
        <w:pStyle w:val="BodyTextMain"/>
      </w:pPr>
    </w:p>
    <w:p w:rsidR="00613BFD" w:rsidRPr="006524E1" w:rsidRDefault="00613BFD" w:rsidP="001E5FD8">
      <w:pPr>
        <w:pStyle w:val="BodyTextMain"/>
      </w:pPr>
      <w:r w:rsidRPr="006524E1">
        <w:t xml:space="preserve">Because Mogo was a lifestyle brand, Feller believed that it was critical that the company’s internal structure reflected its mission and goals. To empower customers to increase their “financial fitness,” Mogo developed an internal culture focused on maintaining two characteristics: agile decision making and internal education. </w:t>
      </w:r>
    </w:p>
    <w:p w:rsidR="00613BFD" w:rsidRPr="006524E1" w:rsidRDefault="00613BFD" w:rsidP="001E5FD8">
      <w:pPr>
        <w:pStyle w:val="BodyTextMain"/>
      </w:pPr>
    </w:p>
    <w:p w:rsidR="00613BFD" w:rsidRPr="006524E1" w:rsidRDefault="00613BFD" w:rsidP="001E5FD8">
      <w:pPr>
        <w:pStyle w:val="BodyTextMain"/>
      </w:pPr>
      <w:r w:rsidRPr="006524E1">
        <w:t>Mogo maintained a flat organizational structure that promoted collaboration and innovation. Its le</w:t>
      </w:r>
      <w:r>
        <w:t xml:space="preserve">adership team was comprised of three </w:t>
      </w:r>
      <w:r w:rsidRPr="006524E1">
        <w:t xml:space="preserve">functions: </w:t>
      </w:r>
      <w:r>
        <w:t>finance, data, and legal</w:t>
      </w:r>
      <w:r w:rsidRPr="00CC3E1B">
        <w:t xml:space="preserve"> (see Exhibit 8).</w:t>
      </w:r>
      <w:r w:rsidRPr="006524E1">
        <w:t xml:space="preserve"> Within this structure, the company’s largest team was its technology</w:t>
      </w:r>
      <w:r>
        <w:t xml:space="preserve"> and data</w:t>
      </w:r>
      <w:r w:rsidRPr="006524E1">
        <w:t xml:space="preserve"> division, an area that consisted of over 100 product and platform developers. By encouraging employees—regardless of background—to contribute platform and product development ideas, Feller felt that Mogo maintained “the type of environment where anyone could and should feel able to contribute to the company’s success.” </w:t>
      </w:r>
    </w:p>
    <w:p w:rsidR="00613BFD" w:rsidRPr="006524E1" w:rsidRDefault="00613BFD" w:rsidP="001E5FD8">
      <w:pPr>
        <w:pStyle w:val="BodyTextMain"/>
      </w:pPr>
    </w:p>
    <w:p w:rsidR="00613BFD" w:rsidRPr="006524E1" w:rsidRDefault="00613BFD" w:rsidP="001E5FD8">
      <w:pPr>
        <w:pStyle w:val="BodyTextMain"/>
      </w:pPr>
      <w:r w:rsidRPr="006524E1">
        <w:t>Feller also cited the company’s internal education program as a core value for the organization at large. By hosting cultural events focused on equipping employees with the knowledge they needed to improve their credit scores and make sound financial decisions, Mogo incentivized the financial mastery it hoped to impart to clients. Each month, the company participated in an internal credit score improvement competition; once scores were updated, employees who reached Mogo’s coveted “Rockstar” credit score status received $1,000 in cash. Through this mechanism, Feller hoped to “further integrate financial literacy education into the company’s DNA.” As a result of this tactic, he felt that employees would be better equipped to spread Mogo’s mission of helping millennials achieve financial fitness.</w:t>
      </w:r>
    </w:p>
    <w:p w:rsidR="001E5FD8" w:rsidRDefault="001E5FD8" w:rsidP="00613BFD">
      <w:pPr>
        <w:pStyle w:val="casehead20"/>
        <w:rPr>
          <w:lang w:val="en-CA"/>
        </w:rPr>
      </w:pPr>
    </w:p>
    <w:p w:rsidR="00613BFD" w:rsidRPr="006524E1" w:rsidRDefault="00613BFD" w:rsidP="00613BFD">
      <w:pPr>
        <w:pStyle w:val="casehead20"/>
        <w:rPr>
          <w:lang w:val="en-CA"/>
        </w:rPr>
      </w:pPr>
      <w:r>
        <w:rPr>
          <w:lang w:val="en-CA"/>
        </w:rPr>
        <w:lastRenderedPageBreak/>
        <w:t>Corporate Branding</w:t>
      </w:r>
    </w:p>
    <w:p w:rsidR="00613BFD" w:rsidRPr="006524E1" w:rsidRDefault="00613BFD" w:rsidP="001E5FD8">
      <w:pPr>
        <w:pStyle w:val="BodyTextMain"/>
      </w:pPr>
    </w:p>
    <w:p w:rsidR="00613BFD" w:rsidRPr="00613BFD" w:rsidRDefault="00613BFD" w:rsidP="001E5FD8">
      <w:pPr>
        <w:pStyle w:val="BodyTextMain"/>
        <w:rPr>
          <w:lang w:val="en-CA"/>
        </w:rPr>
      </w:pPr>
      <w:r w:rsidRPr="006524E1">
        <w:t xml:space="preserve">The company launched its online blog in 2009, publishing targeted posts on educational topics related to personal wealth management. With publication titles ranging from “The Best Apps for Managing Money” to “Rick Ross Money: 6 Steps to Budget like Rozay,” Mogo’s content strategy—in combination with extensive search engine optimization tactics—aimed to make these posts a customer’s first interaction with the Mogo brand. Chapman noted, </w:t>
      </w:r>
      <w:r w:rsidRPr="00613BFD">
        <w:rPr>
          <w:lang w:val="en-CA"/>
        </w:rPr>
        <w:t>“Our goal was to position Mogo as a place to give millennials the information they needed to build their financial health. Our content spoke to our audience in a language that they could understand.”</w:t>
      </w:r>
    </w:p>
    <w:p w:rsidR="00613BFD" w:rsidRPr="00613BFD" w:rsidRDefault="00613BFD" w:rsidP="001E5FD8">
      <w:pPr>
        <w:pStyle w:val="BodyTextMain"/>
        <w:rPr>
          <w:lang w:val="en-CA"/>
        </w:rPr>
      </w:pPr>
    </w:p>
    <w:p w:rsidR="00613BFD" w:rsidRPr="00613BFD" w:rsidRDefault="00613BFD" w:rsidP="001E5FD8">
      <w:pPr>
        <w:pStyle w:val="BodyTextMain"/>
        <w:rPr>
          <w:lang w:val="en-CA"/>
        </w:rPr>
      </w:pPr>
      <w:r w:rsidRPr="006524E1">
        <w:t xml:space="preserve">Chapman expected that after reading the company’s educational blog posts, the average reader would be inspired to take action to increase their financial literacy, but may be unwilling to approach a financial advisor or bank representative. To increase engagement at this stage, the company established Mogo’s “Adulting 101” events. During a typical event, a group of 30–40 millennials would join a financial fitness coach at either Mogo’s lounge in Toronto, a restaurant, or a conference centre. These events were hosted three to four times per year across a number of different provinces, with each event costing approximately $3,000. Each event would be built around a theme, such as a four-round wine tasting. In between rounds, participants would play trivia games and answer questions about financial literacy for a chance to win $20 cash per question. </w:t>
      </w:r>
    </w:p>
    <w:p w:rsidR="00613BFD" w:rsidRPr="00613BFD" w:rsidRDefault="00613BFD" w:rsidP="001E5FD8">
      <w:pPr>
        <w:pStyle w:val="BodyTextMain"/>
        <w:rPr>
          <w:lang w:val="en-CA"/>
        </w:rPr>
      </w:pPr>
    </w:p>
    <w:p w:rsidR="00613BFD" w:rsidRPr="00613BFD" w:rsidRDefault="00613BFD" w:rsidP="001E5FD8">
      <w:pPr>
        <w:pStyle w:val="BodyTextMain"/>
        <w:rPr>
          <w:lang w:val="en-CA"/>
        </w:rPr>
      </w:pPr>
    </w:p>
    <w:p w:rsidR="00613BFD" w:rsidRPr="006524E1" w:rsidRDefault="00613BFD" w:rsidP="001E5FD8">
      <w:pPr>
        <w:pStyle w:val="Casehead2"/>
      </w:pPr>
      <w:r w:rsidRPr="006524E1">
        <w:t>Looking Forward: Digital Financial Services for the Masses</w:t>
      </w:r>
    </w:p>
    <w:p w:rsidR="00613BFD" w:rsidRPr="00613BFD" w:rsidRDefault="00613BFD" w:rsidP="001E5FD8">
      <w:pPr>
        <w:pStyle w:val="BodyTextMain"/>
        <w:rPr>
          <w:lang w:val="en-CA"/>
        </w:rPr>
      </w:pPr>
    </w:p>
    <w:p w:rsidR="00613BFD" w:rsidRDefault="00613BFD" w:rsidP="001E5FD8">
      <w:pPr>
        <w:pStyle w:val="BodyTextMain"/>
      </w:pPr>
      <w:r w:rsidRPr="006524E1">
        <w:t>Now that Mogo was a public company, it was more important than ever that the firm pave a clear path towards profitability. Having achieved positive cash flow for the first time in 2015, Mogo had made public promises that this would continue</w:t>
      </w:r>
      <w:r>
        <w:t xml:space="preserve"> and that profitability would be soon attained</w:t>
      </w:r>
      <w:r w:rsidRPr="006524E1">
        <w:t>.</w:t>
      </w:r>
      <w:r>
        <w:t xml:space="preserve"> Two years later, these promises had yet to materialize.</w:t>
      </w:r>
      <w:r w:rsidRPr="006524E1">
        <w:t xml:space="preserve"> </w:t>
      </w:r>
    </w:p>
    <w:p w:rsidR="00613BFD" w:rsidRDefault="00613BFD" w:rsidP="001E5FD8">
      <w:pPr>
        <w:pStyle w:val="BodyTextMain"/>
      </w:pPr>
    </w:p>
    <w:p w:rsidR="00613BFD" w:rsidRPr="006524E1" w:rsidRDefault="00613BFD" w:rsidP="001E5FD8">
      <w:pPr>
        <w:pStyle w:val="BodyTextMain"/>
      </w:pPr>
      <w:r w:rsidRPr="006524E1">
        <w:t xml:space="preserve">What would Mogo’s evolution into a digital financial brand over the next five years look like, from both a marketing and product perspective? </w:t>
      </w:r>
      <w:r w:rsidRPr="006A2218">
        <w:t xml:space="preserve">With $26.25 million available, Feller wondered which investments would best prepare Mogo and its shareholders for success. Feller reflected: “Investing assets in aggressively expanding our existing loan business would provide higher revenue and profitability in the short run. But not </w:t>
      </w:r>
      <w:r>
        <w:t xml:space="preserve">further </w:t>
      </w:r>
      <w:r w:rsidRPr="006A2218">
        <w:t>diversifying outside of loans may cause us to miss out on the bigger opportunity of creating Canada’s first digital financial services platform.”</w:t>
      </w:r>
    </w:p>
    <w:p w:rsidR="00613BFD" w:rsidRPr="006524E1" w:rsidRDefault="00613BFD" w:rsidP="001E5FD8">
      <w:pPr>
        <w:pStyle w:val="BodyTextMain"/>
      </w:pPr>
    </w:p>
    <w:p w:rsidR="00613BFD" w:rsidRPr="006524E1" w:rsidRDefault="00613BFD" w:rsidP="001E5FD8">
      <w:pPr>
        <w:pStyle w:val="BodyTextMain"/>
      </w:pPr>
    </w:p>
    <w:p w:rsidR="00613BFD" w:rsidRPr="006524E1" w:rsidRDefault="00613BFD" w:rsidP="001E5FD8">
      <w:pPr>
        <w:pStyle w:val="Casehead3"/>
      </w:pPr>
      <w:r w:rsidRPr="006524E1">
        <w:t xml:space="preserve">The Product Roadmap Dilemma </w:t>
      </w:r>
    </w:p>
    <w:p w:rsidR="00613BFD" w:rsidRPr="00613BFD" w:rsidRDefault="00613BFD" w:rsidP="001E5FD8">
      <w:pPr>
        <w:pStyle w:val="BodyTextMain"/>
      </w:pPr>
    </w:p>
    <w:p w:rsidR="00613BFD" w:rsidRDefault="00613BFD" w:rsidP="001E5FD8">
      <w:pPr>
        <w:pStyle w:val="BodyTextMain"/>
      </w:pPr>
      <w:r w:rsidRPr="006524E1">
        <w:t xml:space="preserve">Feller knew that developing a compelling product roadmap would be critical to Mogo’s evolution from a loan company to a digital financial brand. With multiple segments across the industry evolving rapidly, potential opportunities ranged from </w:t>
      </w:r>
      <w:r>
        <w:t>building out its existing product portfolio to investing in wealth management or crypto-currencies.</w:t>
      </w:r>
      <w:r w:rsidRPr="006524E1">
        <w:t xml:space="preserve"> </w:t>
      </w:r>
    </w:p>
    <w:p w:rsidR="00613BFD" w:rsidRPr="00613BFD" w:rsidRDefault="00613BFD" w:rsidP="001E5FD8">
      <w:pPr>
        <w:pStyle w:val="BodyTextMain"/>
      </w:pPr>
    </w:p>
    <w:p w:rsidR="00613BFD" w:rsidRDefault="00613BFD" w:rsidP="001E5FD8">
      <w:pPr>
        <w:pStyle w:val="BodyTextMain"/>
      </w:pPr>
      <w:r w:rsidRPr="006524E1">
        <w:t xml:space="preserve">To capitalize on rapid growth in the online investment management industry, Mogo could establish a robo-advisor; to do this, the firm would need to hire a team of portfolio managers to remotely manage client relations and portfolios as per federal and provincial regulations. Moreover, an online interface would need to be developed from scratch. Alternatively, Mogo could partner with an existing player to deliver more robust services to clients. Prior to investment or partnership, a number of questions </w:t>
      </w:r>
      <w:r>
        <w:t xml:space="preserve">would </w:t>
      </w:r>
      <w:r w:rsidRPr="006524E1">
        <w:t xml:space="preserve">need to be answered. How could the company effectively position its service to compete with both established players and newer fintech start-ups? Was the development worth the risk of building the </w:t>
      </w:r>
      <w:r w:rsidRPr="006524E1">
        <w:lastRenderedPageBreak/>
        <w:t>company’s internal capabilities? Would this path help pave Mogo’s way towards profitability in the next five years?</w:t>
      </w:r>
    </w:p>
    <w:p w:rsidR="00613BFD" w:rsidRDefault="00613BFD" w:rsidP="001E5FD8">
      <w:pPr>
        <w:pStyle w:val="BodyTextMain"/>
      </w:pPr>
    </w:p>
    <w:p w:rsidR="00613BFD" w:rsidRDefault="00613BFD" w:rsidP="001E5FD8">
      <w:pPr>
        <w:pStyle w:val="BodyTextMain"/>
      </w:pPr>
      <w:r>
        <w:t>MogoMembers were also expecting the impending launch of a developed crypto-currency trading platform that would assist the average Canadian to navigate bitcoin investments. But, what would this look like? How could Mogo establish and maintain leadership in this fragmented space? Most importantly, Feller felt it was critical to answer: how could Mogo leverage the broader blockchain opportunity moving forward?</w:t>
      </w:r>
    </w:p>
    <w:p w:rsidR="00613BFD" w:rsidRDefault="00613BFD" w:rsidP="001E5FD8">
      <w:pPr>
        <w:pStyle w:val="BodyTextMain"/>
      </w:pPr>
    </w:p>
    <w:p w:rsidR="00613BFD" w:rsidRPr="00613BFD" w:rsidRDefault="00613BFD" w:rsidP="001E5FD8">
      <w:pPr>
        <w:pStyle w:val="BodyTextMain"/>
      </w:pPr>
    </w:p>
    <w:p w:rsidR="00613BFD" w:rsidRPr="006524E1" w:rsidRDefault="00613BFD" w:rsidP="001E5FD8">
      <w:pPr>
        <w:pStyle w:val="Casehead1"/>
      </w:pPr>
      <w:r w:rsidRPr="006524E1">
        <w:t>The Decision</w:t>
      </w:r>
    </w:p>
    <w:p w:rsidR="00613BFD" w:rsidRPr="00613BFD" w:rsidRDefault="00613BFD" w:rsidP="001E5FD8">
      <w:pPr>
        <w:pStyle w:val="BodyTextMain"/>
      </w:pPr>
    </w:p>
    <w:p w:rsidR="00613BFD" w:rsidRDefault="00613BFD" w:rsidP="001E5FD8">
      <w:pPr>
        <w:pStyle w:val="BodyTextMain"/>
      </w:pPr>
      <w:r w:rsidRPr="006524E1">
        <w:t xml:space="preserve">As he sat in Mogo’s boardroom and waited for his executive team to join him, Feller wondered what was next for Mogo. Facing pressure to prove the viability of Mogo’s business strategy against a Canadian market that seemed hesitant to invest in technology start-ups, Feller reflected on his priorities. </w:t>
      </w:r>
    </w:p>
    <w:p w:rsidR="00613BFD" w:rsidRDefault="00613BFD" w:rsidP="001E5FD8">
      <w:pPr>
        <w:pStyle w:val="BodyTextMain"/>
      </w:pPr>
    </w:p>
    <w:p w:rsidR="00613BFD" w:rsidRDefault="00613BFD" w:rsidP="001E5FD8">
      <w:pPr>
        <w:pStyle w:val="BodyTextMain"/>
        <w:rPr>
          <w:lang w:val="en-CA"/>
        </w:rPr>
      </w:pPr>
      <w:r w:rsidRPr="006524E1">
        <w:t>Equipped with an extensive background of the competitive, rapidly evolving fintech landscape in Canada</w:t>
      </w:r>
      <w:r w:rsidRPr="00613BFD">
        <w:t xml:space="preserve">, Mogo’s </w:t>
      </w:r>
      <w:r w:rsidRPr="006524E1">
        <w:t xml:space="preserve">senior </w:t>
      </w:r>
      <w:r w:rsidRPr="00613BFD">
        <w:t xml:space="preserve">management team had to </w:t>
      </w:r>
      <w:r w:rsidRPr="00613BFD">
        <w:rPr>
          <w:lang w:val="en-CA"/>
        </w:rPr>
        <w:t>answer a number of questions</w:t>
      </w:r>
      <w:r w:rsidRPr="006524E1">
        <w:t xml:space="preserve">: </w:t>
      </w:r>
      <w:r w:rsidRPr="00613BFD">
        <w:rPr>
          <w:lang w:val="en-CA"/>
        </w:rPr>
        <w:t xml:space="preserve">Should the company focus on its fast-growing loan business to improve profitability in the immediate term? If not, which products or platform upgrades should it invest in? </w:t>
      </w:r>
      <w:r>
        <w:rPr>
          <w:lang w:val="en-CA"/>
        </w:rPr>
        <w:t xml:space="preserve">Just, </w:t>
      </w:r>
      <w:r w:rsidRPr="006524E1">
        <w:t>what was the right path forward?</w:t>
      </w:r>
    </w:p>
    <w:p w:rsidR="00613BFD" w:rsidRDefault="00613BFD" w:rsidP="001E5FD8">
      <w:pPr>
        <w:pStyle w:val="BodyTextMain"/>
        <w:rPr>
          <w:lang w:val="en-CA"/>
        </w:rPr>
      </w:pPr>
    </w:p>
    <w:p w:rsidR="00613BFD" w:rsidRDefault="00613BFD" w:rsidP="001E5FD8">
      <w:pPr>
        <w:pStyle w:val="BodyTextMain"/>
        <w:rPr>
          <w:rFonts w:ascii="Arial" w:hAnsi="Arial" w:cs="Arial"/>
          <w:b/>
        </w:rPr>
      </w:pPr>
      <w:r>
        <w:rPr>
          <w:rFonts w:ascii="Arial" w:hAnsi="Arial" w:cs="Arial"/>
          <w:b/>
        </w:rPr>
        <w:br w:type="page"/>
      </w:r>
    </w:p>
    <w:p w:rsidR="00613BFD" w:rsidRPr="00613BFD" w:rsidRDefault="00613BFD" w:rsidP="00AB24E3">
      <w:pPr>
        <w:pStyle w:val="Casehead1"/>
        <w:jc w:val="center"/>
        <w:rPr>
          <w:color w:val="1A1A1A"/>
          <w:sz w:val="22"/>
        </w:rPr>
      </w:pPr>
      <w:r w:rsidRPr="00613BFD">
        <w:lastRenderedPageBreak/>
        <w:t>EXHIBIT 1: THE FINANCIAL SERVICES INDUSTRY</w:t>
      </w:r>
    </w:p>
    <w:p w:rsidR="00613BFD" w:rsidRPr="00613BFD" w:rsidRDefault="00613BFD" w:rsidP="00AB24E3">
      <w:pPr>
        <w:pStyle w:val="BodyTextMain"/>
      </w:pPr>
    </w:p>
    <w:tbl>
      <w:tblPr>
        <w:tblW w:w="9500" w:type="dxa"/>
        <w:tblInd w:w="113" w:type="dxa"/>
        <w:tblLayout w:type="fixed"/>
        <w:tblLook w:val="04A0" w:firstRow="1" w:lastRow="0" w:firstColumn="1" w:lastColumn="0" w:noHBand="0" w:noVBand="1"/>
      </w:tblPr>
      <w:tblGrid>
        <w:gridCol w:w="1435"/>
        <w:gridCol w:w="810"/>
        <w:gridCol w:w="5130"/>
        <w:gridCol w:w="2125"/>
      </w:tblGrid>
      <w:tr w:rsidR="00613BFD" w:rsidRPr="0043075E" w:rsidTr="00613BFD">
        <w:trPr>
          <w:trHeight w:val="392"/>
        </w:trPr>
        <w:tc>
          <w:tcPr>
            <w:tcW w:w="1435" w:type="dxa"/>
            <w:tcBorders>
              <w:top w:val="single" w:sz="4" w:space="0" w:color="auto"/>
              <w:left w:val="single" w:sz="4" w:space="0" w:color="auto"/>
              <w:bottom w:val="single" w:sz="8" w:space="0" w:color="auto"/>
              <w:right w:val="single" w:sz="4" w:space="0" w:color="auto"/>
            </w:tcBorders>
            <w:shd w:val="clear" w:color="auto" w:fill="auto"/>
            <w:vAlign w:val="center"/>
            <w:hideMark/>
          </w:tcPr>
          <w:p w:rsidR="00613BFD" w:rsidRPr="00613BFD" w:rsidRDefault="00613BFD" w:rsidP="00613BFD">
            <w:pPr>
              <w:jc w:val="center"/>
              <w:rPr>
                <w:rFonts w:ascii="Arial" w:hAnsi="Arial"/>
                <w:b/>
                <w:color w:val="000000"/>
              </w:rPr>
            </w:pPr>
            <w:r w:rsidRPr="00613BFD">
              <w:rPr>
                <w:rFonts w:ascii="Arial" w:hAnsi="Arial"/>
                <w:b/>
                <w:color w:val="000000"/>
              </w:rPr>
              <w:t>Segment</w:t>
            </w:r>
          </w:p>
        </w:tc>
        <w:tc>
          <w:tcPr>
            <w:tcW w:w="810" w:type="dxa"/>
            <w:tcBorders>
              <w:top w:val="single" w:sz="4" w:space="0" w:color="auto"/>
              <w:left w:val="nil"/>
              <w:bottom w:val="single" w:sz="8" w:space="0" w:color="auto"/>
              <w:right w:val="single" w:sz="4" w:space="0" w:color="auto"/>
            </w:tcBorders>
            <w:shd w:val="clear" w:color="auto" w:fill="auto"/>
            <w:vAlign w:val="center"/>
            <w:hideMark/>
          </w:tcPr>
          <w:p w:rsidR="00613BFD" w:rsidRPr="00613BFD" w:rsidRDefault="00613BFD" w:rsidP="00613BFD">
            <w:pPr>
              <w:jc w:val="center"/>
              <w:rPr>
                <w:rFonts w:ascii="Arial" w:hAnsi="Arial"/>
                <w:b/>
                <w:color w:val="000000"/>
              </w:rPr>
            </w:pPr>
            <w:r w:rsidRPr="00613BFD">
              <w:rPr>
                <w:rFonts w:ascii="Arial" w:hAnsi="Arial"/>
                <w:b/>
                <w:color w:val="000000"/>
              </w:rPr>
              <w:t>Share</w:t>
            </w:r>
          </w:p>
        </w:tc>
        <w:tc>
          <w:tcPr>
            <w:tcW w:w="5130" w:type="dxa"/>
            <w:tcBorders>
              <w:top w:val="single" w:sz="4" w:space="0" w:color="auto"/>
              <w:left w:val="nil"/>
              <w:bottom w:val="single" w:sz="8" w:space="0" w:color="auto"/>
              <w:right w:val="single" w:sz="4" w:space="0" w:color="auto"/>
            </w:tcBorders>
            <w:shd w:val="clear" w:color="auto" w:fill="auto"/>
            <w:vAlign w:val="center"/>
            <w:hideMark/>
          </w:tcPr>
          <w:p w:rsidR="00613BFD" w:rsidRPr="00613BFD" w:rsidRDefault="00613BFD" w:rsidP="00613BFD">
            <w:pPr>
              <w:jc w:val="center"/>
              <w:rPr>
                <w:rFonts w:ascii="Arial" w:hAnsi="Arial"/>
                <w:b/>
                <w:color w:val="000000"/>
              </w:rPr>
            </w:pPr>
            <w:r w:rsidRPr="00613BFD">
              <w:rPr>
                <w:rFonts w:ascii="Arial" w:hAnsi="Arial"/>
                <w:b/>
                <w:color w:val="000000"/>
              </w:rPr>
              <w:t>Description</w:t>
            </w:r>
          </w:p>
        </w:tc>
        <w:tc>
          <w:tcPr>
            <w:tcW w:w="2125" w:type="dxa"/>
            <w:tcBorders>
              <w:top w:val="single" w:sz="4" w:space="0" w:color="auto"/>
              <w:left w:val="nil"/>
              <w:bottom w:val="single" w:sz="8" w:space="0" w:color="auto"/>
              <w:right w:val="single" w:sz="4" w:space="0" w:color="auto"/>
            </w:tcBorders>
            <w:shd w:val="clear" w:color="auto" w:fill="auto"/>
            <w:vAlign w:val="center"/>
            <w:hideMark/>
          </w:tcPr>
          <w:p w:rsidR="00613BFD" w:rsidRPr="00613BFD" w:rsidRDefault="00613BFD" w:rsidP="00613BFD">
            <w:pPr>
              <w:jc w:val="center"/>
              <w:rPr>
                <w:rFonts w:ascii="Arial" w:hAnsi="Arial"/>
                <w:b/>
                <w:color w:val="000000"/>
              </w:rPr>
            </w:pPr>
            <w:r w:rsidRPr="00613BFD">
              <w:rPr>
                <w:rFonts w:ascii="Arial" w:hAnsi="Arial"/>
                <w:b/>
                <w:color w:val="000000"/>
              </w:rPr>
              <w:t>Canadian Players</w:t>
            </w:r>
          </w:p>
        </w:tc>
      </w:tr>
      <w:tr w:rsidR="00613BFD" w:rsidRPr="0043075E" w:rsidTr="00613BFD">
        <w:trPr>
          <w:trHeight w:val="840"/>
        </w:trPr>
        <w:tc>
          <w:tcPr>
            <w:tcW w:w="1435" w:type="dxa"/>
            <w:tcBorders>
              <w:top w:val="nil"/>
              <w:left w:val="single" w:sz="4" w:space="0" w:color="auto"/>
              <w:bottom w:val="single" w:sz="4" w:space="0" w:color="auto"/>
              <w:right w:val="single" w:sz="4" w:space="0" w:color="auto"/>
            </w:tcBorders>
            <w:shd w:val="clear" w:color="auto" w:fill="auto"/>
            <w:vAlign w:val="center"/>
            <w:hideMark/>
          </w:tcPr>
          <w:p w:rsidR="00613BFD" w:rsidRPr="00613BFD" w:rsidRDefault="00613BFD" w:rsidP="00613BFD">
            <w:pPr>
              <w:rPr>
                <w:rFonts w:ascii="Arial" w:hAnsi="Arial"/>
                <w:color w:val="000000"/>
              </w:rPr>
            </w:pPr>
            <w:r w:rsidRPr="00613BFD">
              <w:rPr>
                <w:rFonts w:ascii="Arial" w:hAnsi="Arial"/>
                <w:color w:val="000000"/>
              </w:rPr>
              <w:t>Banking</w:t>
            </w:r>
          </w:p>
        </w:tc>
        <w:tc>
          <w:tcPr>
            <w:tcW w:w="810" w:type="dxa"/>
            <w:tcBorders>
              <w:top w:val="nil"/>
              <w:left w:val="nil"/>
              <w:bottom w:val="single" w:sz="4" w:space="0" w:color="auto"/>
              <w:right w:val="single" w:sz="4" w:space="0" w:color="auto"/>
            </w:tcBorders>
            <w:shd w:val="clear" w:color="auto" w:fill="auto"/>
            <w:vAlign w:val="center"/>
            <w:hideMark/>
          </w:tcPr>
          <w:p w:rsidR="00613BFD" w:rsidRPr="00613BFD" w:rsidRDefault="00613BFD" w:rsidP="00613BFD">
            <w:pPr>
              <w:jc w:val="center"/>
              <w:rPr>
                <w:rFonts w:ascii="Arial" w:hAnsi="Arial"/>
                <w:color w:val="000000"/>
              </w:rPr>
            </w:pPr>
            <w:r w:rsidRPr="00613BFD">
              <w:rPr>
                <w:rFonts w:ascii="Arial" w:hAnsi="Arial"/>
                <w:color w:val="000000"/>
              </w:rPr>
              <w:t>39%</w:t>
            </w:r>
          </w:p>
        </w:tc>
        <w:tc>
          <w:tcPr>
            <w:tcW w:w="5130" w:type="dxa"/>
            <w:tcBorders>
              <w:top w:val="nil"/>
              <w:left w:val="nil"/>
              <w:bottom w:val="single" w:sz="4" w:space="0" w:color="auto"/>
              <w:right w:val="single" w:sz="4" w:space="0" w:color="auto"/>
            </w:tcBorders>
            <w:shd w:val="clear" w:color="auto" w:fill="auto"/>
            <w:vAlign w:val="center"/>
            <w:hideMark/>
          </w:tcPr>
          <w:p w:rsidR="00613BFD" w:rsidRPr="00613BFD" w:rsidRDefault="00613BFD" w:rsidP="00613BFD">
            <w:pPr>
              <w:rPr>
                <w:rFonts w:ascii="Arial" w:hAnsi="Arial"/>
                <w:color w:val="000000"/>
              </w:rPr>
            </w:pPr>
            <w:r w:rsidRPr="00613BFD">
              <w:rPr>
                <w:rFonts w:ascii="Arial" w:hAnsi="Arial"/>
                <w:color w:val="000000"/>
              </w:rPr>
              <w:t>Commercial banks are licensed financial institutions that accept deposits and issue loans. Investment banks provide underwriting and merger and acquisition services to corporate clients.</w:t>
            </w:r>
          </w:p>
        </w:tc>
        <w:tc>
          <w:tcPr>
            <w:tcW w:w="2125" w:type="dxa"/>
            <w:tcBorders>
              <w:top w:val="nil"/>
              <w:left w:val="nil"/>
              <w:bottom w:val="single" w:sz="4" w:space="0" w:color="auto"/>
              <w:right w:val="single" w:sz="4" w:space="0" w:color="auto"/>
            </w:tcBorders>
            <w:shd w:val="clear" w:color="auto" w:fill="auto"/>
            <w:vAlign w:val="center"/>
            <w:hideMark/>
          </w:tcPr>
          <w:p w:rsidR="00613BFD" w:rsidRPr="00613BFD" w:rsidRDefault="00613BFD" w:rsidP="00613BFD">
            <w:pPr>
              <w:rPr>
                <w:rFonts w:ascii="Arial" w:hAnsi="Arial"/>
                <w:color w:val="000000"/>
              </w:rPr>
            </w:pPr>
            <w:r w:rsidRPr="00613BFD">
              <w:rPr>
                <w:rFonts w:ascii="Arial" w:hAnsi="Arial"/>
                <w:color w:val="000000"/>
              </w:rPr>
              <w:t>RBC, CIBC, BMO, Scotiabank, NBC, TD</w:t>
            </w:r>
          </w:p>
        </w:tc>
      </w:tr>
      <w:tr w:rsidR="00613BFD" w:rsidRPr="0043075E" w:rsidTr="00613BFD">
        <w:trPr>
          <w:trHeight w:val="560"/>
        </w:trPr>
        <w:tc>
          <w:tcPr>
            <w:tcW w:w="1435" w:type="dxa"/>
            <w:tcBorders>
              <w:top w:val="nil"/>
              <w:left w:val="single" w:sz="4" w:space="0" w:color="auto"/>
              <w:bottom w:val="single" w:sz="4" w:space="0" w:color="auto"/>
              <w:right w:val="single" w:sz="4" w:space="0" w:color="auto"/>
            </w:tcBorders>
            <w:shd w:val="clear" w:color="auto" w:fill="auto"/>
            <w:vAlign w:val="center"/>
            <w:hideMark/>
          </w:tcPr>
          <w:p w:rsidR="00613BFD" w:rsidRPr="00613BFD" w:rsidRDefault="00613BFD" w:rsidP="00613BFD">
            <w:pPr>
              <w:rPr>
                <w:rFonts w:ascii="Arial" w:hAnsi="Arial"/>
                <w:color w:val="000000"/>
              </w:rPr>
            </w:pPr>
            <w:r w:rsidRPr="00613BFD">
              <w:rPr>
                <w:rFonts w:ascii="Arial" w:hAnsi="Arial"/>
                <w:color w:val="000000"/>
              </w:rPr>
              <w:t>Insurance</w:t>
            </w:r>
          </w:p>
        </w:tc>
        <w:tc>
          <w:tcPr>
            <w:tcW w:w="810" w:type="dxa"/>
            <w:tcBorders>
              <w:top w:val="nil"/>
              <w:left w:val="nil"/>
              <w:bottom w:val="single" w:sz="4" w:space="0" w:color="auto"/>
              <w:right w:val="single" w:sz="4" w:space="0" w:color="auto"/>
            </w:tcBorders>
            <w:shd w:val="clear" w:color="auto" w:fill="auto"/>
            <w:vAlign w:val="center"/>
            <w:hideMark/>
          </w:tcPr>
          <w:p w:rsidR="00613BFD" w:rsidRPr="00613BFD" w:rsidRDefault="00613BFD" w:rsidP="00613BFD">
            <w:pPr>
              <w:jc w:val="center"/>
              <w:rPr>
                <w:rFonts w:ascii="Arial" w:hAnsi="Arial"/>
                <w:color w:val="000000"/>
              </w:rPr>
            </w:pPr>
            <w:r w:rsidRPr="00613BFD">
              <w:rPr>
                <w:rFonts w:ascii="Arial" w:hAnsi="Arial"/>
                <w:color w:val="000000"/>
              </w:rPr>
              <w:t>37%</w:t>
            </w:r>
          </w:p>
        </w:tc>
        <w:tc>
          <w:tcPr>
            <w:tcW w:w="5130" w:type="dxa"/>
            <w:tcBorders>
              <w:top w:val="nil"/>
              <w:left w:val="nil"/>
              <w:bottom w:val="single" w:sz="4" w:space="0" w:color="auto"/>
              <w:right w:val="single" w:sz="4" w:space="0" w:color="auto"/>
            </w:tcBorders>
            <w:shd w:val="clear" w:color="auto" w:fill="auto"/>
            <w:vAlign w:val="center"/>
            <w:hideMark/>
          </w:tcPr>
          <w:p w:rsidR="00613BFD" w:rsidRPr="00613BFD" w:rsidRDefault="00613BFD" w:rsidP="00613BFD">
            <w:pPr>
              <w:rPr>
                <w:rFonts w:ascii="Arial" w:hAnsi="Arial"/>
                <w:color w:val="000000"/>
              </w:rPr>
            </w:pPr>
            <w:r w:rsidRPr="00613BFD">
              <w:rPr>
                <w:rFonts w:ascii="Arial" w:hAnsi="Arial"/>
                <w:color w:val="000000"/>
              </w:rPr>
              <w:t>Includes life, health, casualty, and property insurance.</w:t>
            </w:r>
          </w:p>
        </w:tc>
        <w:tc>
          <w:tcPr>
            <w:tcW w:w="2125" w:type="dxa"/>
            <w:tcBorders>
              <w:top w:val="nil"/>
              <w:left w:val="nil"/>
              <w:bottom w:val="single" w:sz="4" w:space="0" w:color="auto"/>
              <w:right w:val="single" w:sz="4" w:space="0" w:color="auto"/>
            </w:tcBorders>
            <w:shd w:val="clear" w:color="auto" w:fill="auto"/>
            <w:vAlign w:val="center"/>
            <w:hideMark/>
          </w:tcPr>
          <w:p w:rsidR="00613BFD" w:rsidRPr="00613BFD" w:rsidRDefault="00613BFD" w:rsidP="00613BFD">
            <w:pPr>
              <w:rPr>
                <w:rFonts w:ascii="Arial" w:hAnsi="Arial"/>
                <w:color w:val="000000"/>
              </w:rPr>
            </w:pPr>
            <w:r w:rsidRPr="00613BFD">
              <w:rPr>
                <w:rFonts w:ascii="Arial" w:hAnsi="Arial"/>
                <w:color w:val="000000"/>
              </w:rPr>
              <w:t>Manulife Financial, Great-West Life, Sun Life Financial</w:t>
            </w:r>
          </w:p>
        </w:tc>
      </w:tr>
      <w:tr w:rsidR="00613BFD" w:rsidRPr="006524E1" w:rsidTr="00613BFD">
        <w:trPr>
          <w:trHeight w:val="840"/>
        </w:trPr>
        <w:tc>
          <w:tcPr>
            <w:tcW w:w="1435" w:type="dxa"/>
            <w:tcBorders>
              <w:top w:val="nil"/>
              <w:left w:val="single" w:sz="4" w:space="0" w:color="auto"/>
              <w:bottom w:val="single" w:sz="4" w:space="0" w:color="auto"/>
              <w:right w:val="single" w:sz="4" w:space="0" w:color="auto"/>
            </w:tcBorders>
            <w:shd w:val="clear" w:color="auto" w:fill="auto"/>
            <w:vAlign w:val="center"/>
            <w:hideMark/>
          </w:tcPr>
          <w:p w:rsidR="00613BFD" w:rsidRPr="00613BFD" w:rsidRDefault="00613BFD" w:rsidP="00613BFD">
            <w:pPr>
              <w:rPr>
                <w:rFonts w:ascii="Arial" w:hAnsi="Arial"/>
                <w:color w:val="000000"/>
              </w:rPr>
            </w:pPr>
            <w:r w:rsidRPr="00613BFD">
              <w:rPr>
                <w:rFonts w:ascii="Arial" w:hAnsi="Arial"/>
                <w:color w:val="000000"/>
              </w:rPr>
              <w:t>Securities and Exchanges</w:t>
            </w:r>
          </w:p>
        </w:tc>
        <w:tc>
          <w:tcPr>
            <w:tcW w:w="810" w:type="dxa"/>
            <w:tcBorders>
              <w:top w:val="nil"/>
              <w:left w:val="nil"/>
              <w:bottom w:val="single" w:sz="4" w:space="0" w:color="auto"/>
              <w:right w:val="single" w:sz="4" w:space="0" w:color="auto"/>
            </w:tcBorders>
            <w:shd w:val="clear" w:color="auto" w:fill="auto"/>
            <w:vAlign w:val="center"/>
            <w:hideMark/>
          </w:tcPr>
          <w:p w:rsidR="00613BFD" w:rsidRPr="00613BFD" w:rsidRDefault="00613BFD" w:rsidP="00613BFD">
            <w:pPr>
              <w:jc w:val="center"/>
              <w:rPr>
                <w:rFonts w:ascii="Arial" w:hAnsi="Arial"/>
                <w:color w:val="000000"/>
              </w:rPr>
            </w:pPr>
            <w:r w:rsidRPr="00613BFD">
              <w:rPr>
                <w:rFonts w:ascii="Arial" w:hAnsi="Arial"/>
                <w:color w:val="000000"/>
              </w:rPr>
              <w:t>19%</w:t>
            </w:r>
          </w:p>
        </w:tc>
        <w:tc>
          <w:tcPr>
            <w:tcW w:w="5130" w:type="dxa"/>
            <w:tcBorders>
              <w:top w:val="nil"/>
              <w:left w:val="nil"/>
              <w:bottom w:val="single" w:sz="4" w:space="0" w:color="auto"/>
              <w:right w:val="single" w:sz="4" w:space="0" w:color="auto"/>
            </w:tcBorders>
            <w:shd w:val="clear" w:color="auto" w:fill="auto"/>
            <w:vAlign w:val="center"/>
            <w:hideMark/>
          </w:tcPr>
          <w:p w:rsidR="00613BFD" w:rsidRPr="00613BFD" w:rsidRDefault="00613BFD" w:rsidP="00613BFD">
            <w:pPr>
              <w:rPr>
                <w:rFonts w:ascii="Arial" w:hAnsi="Arial"/>
                <w:color w:val="000000"/>
              </w:rPr>
            </w:pPr>
            <w:r w:rsidRPr="00613BFD">
              <w:rPr>
                <w:rFonts w:ascii="Arial" w:hAnsi="Arial"/>
                <w:color w:val="000000"/>
              </w:rPr>
              <w:t>Marketplaces that provide a platform in which securities, commodities, derivatives, and related financial instruments are traded.</w:t>
            </w:r>
          </w:p>
        </w:tc>
        <w:tc>
          <w:tcPr>
            <w:tcW w:w="2125" w:type="dxa"/>
            <w:tcBorders>
              <w:top w:val="nil"/>
              <w:left w:val="nil"/>
              <w:bottom w:val="single" w:sz="4" w:space="0" w:color="auto"/>
              <w:right w:val="single" w:sz="4" w:space="0" w:color="auto"/>
            </w:tcBorders>
            <w:shd w:val="clear" w:color="auto" w:fill="auto"/>
            <w:vAlign w:val="center"/>
            <w:hideMark/>
          </w:tcPr>
          <w:p w:rsidR="00613BFD" w:rsidRPr="00613BFD" w:rsidRDefault="00613BFD" w:rsidP="00613BFD">
            <w:pPr>
              <w:rPr>
                <w:rFonts w:ascii="Arial" w:hAnsi="Arial"/>
                <w:color w:val="000000"/>
              </w:rPr>
            </w:pPr>
            <w:r w:rsidRPr="00613BFD">
              <w:rPr>
                <w:rFonts w:ascii="Arial" w:hAnsi="Arial"/>
                <w:color w:val="000000"/>
              </w:rPr>
              <w:t>Toronto Stock Exchange, Canadian Securities Exchange</w:t>
            </w:r>
          </w:p>
        </w:tc>
      </w:tr>
      <w:tr w:rsidR="00613BFD" w:rsidRPr="006524E1" w:rsidTr="00613BFD">
        <w:trPr>
          <w:trHeight w:val="840"/>
        </w:trPr>
        <w:tc>
          <w:tcPr>
            <w:tcW w:w="1435" w:type="dxa"/>
            <w:tcBorders>
              <w:top w:val="nil"/>
              <w:left w:val="single" w:sz="4" w:space="0" w:color="auto"/>
              <w:bottom w:val="single" w:sz="4" w:space="0" w:color="auto"/>
              <w:right w:val="single" w:sz="4" w:space="0" w:color="auto"/>
            </w:tcBorders>
            <w:shd w:val="clear" w:color="auto" w:fill="auto"/>
            <w:vAlign w:val="center"/>
            <w:hideMark/>
          </w:tcPr>
          <w:p w:rsidR="00613BFD" w:rsidRPr="00613BFD" w:rsidRDefault="00613BFD" w:rsidP="00613BFD">
            <w:pPr>
              <w:rPr>
                <w:rFonts w:ascii="Arial" w:hAnsi="Arial"/>
                <w:color w:val="000000"/>
              </w:rPr>
            </w:pPr>
            <w:r w:rsidRPr="00613BFD">
              <w:rPr>
                <w:rFonts w:ascii="Arial" w:hAnsi="Arial"/>
                <w:color w:val="000000"/>
              </w:rPr>
              <w:t>Credit Unions</w:t>
            </w:r>
          </w:p>
        </w:tc>
        <w:tc>
          <w:tcPr>
            <w:tcW w:w="810" w:type="dxa"/>
            <w:tcBorders>
              <w:top w:val="nil"/>
              <w:left w:val="nil"/>
              <w:bottom w:val="single" w:sz="4" w:space="0" w:color="auto"/>
              <w:right w:val="single" w:sz="4" w:space="0" w:color="auto"/>
            </w:tcBorders>
            <w:shd w:val="clear" w:color="auto" w:fill="auto"/>
            <w:vAlign w:val="center"/>
            <w:hideMark/>
          </w:tcPr>
          <w:p w:rsidR="00613BFD" w:rsidRPr="00613BFD" w:rsidRDefault="00613BFD" w:rsidP="00613BFD">
            <w:pPr>
              <w:jc w:val="center"/>
              <w:rPr>
                <w:rFonts w:ascii="Arial" w:hAnsi="Arial"/>
                <w:color w:val="000000"/>
              </w:rPr>
            </w:pPr>
            <w:r w:rsidRPr="00613BFD">
              <w:rPr>
                <w:rFonts w:ascii="Arial" w:hAnsi="Arial"/>
                <w:color w:val="000000"/>
              </w:rPr>
              <w:t>3%</w:t>
            </w:r>
          </w:p>
        </w:tc>
        <w:tc>
          <w:tcPr>
            <w:tcW w:w="5130" w:type="dxa"/>
            <w:tcBorders>
              <w:top w:val="nil"/>
              <w:left w:val="nil"/>
              <w:bottom w:val="single" w:sz="4" w:space="0" w:color="auto"/>
              <w:right w:val="single" w:sz="4" w:space="0" w:color="auto"/>
            </w:tcBorders>
            <w:shd w:val="clear" w:color="auto" w:fill="auto"/>
            <w:vAlign w:val="center"/>
            <w:hideMark/>
          </w:tcPr>
          <w:p w:rsidR="00613BFD" w:rsidRPr="00613BFD" w:rsidRDefault="00613BFD" w:rsidP="00613BFD">
            <w:pPr>
              <w:rPr>
                <w:rFonts w:ascii="Arial" w:hAnsi="Arial"/>
                <w:color w:val="000000"/>
              </w:rPr>
            </w:pPr>
            <w:r w:rsidRPr="00613BFD">
              <w:rPr>
                <w:rFonts w:ascii="Arial" w:hAnsi="Arial"/>
                <w:color w:val="000000"/>
              </w:rPr>
              <w:t xml:space="preserve">Not-for-profit financial cooperatives in which account holders are owners. Organizations provide lower interest loans and mortgages to members. </w:t>
            </w:r>
          </w:p>
        </w:tc>
        <w:tc>
          <w:tcPr>
            <w:tcW w:w="2125" w:type="dxa"/>
            <w:tcBorders>
              <w:top w:val="nil"/>
              <w:left w:val="nil"/>
              <w:bottom w:val="single" w:sz="4" w:space="0" w:color="auto"/>
              <w:right w:val="single" w:sz="4" w:space="0" w:color="auto"/>
            </w:tcBorders>
            <w:shd w:val="clear" w:color="auto" w:fill="auto"/>
            <w:vAlign w:val="center"/>
            <w:hideMark/>
          </w:tcPr>
          <w:p w:rsidR="00613BFD" w:rsidRPr="00613BFD" w:rsidRDefault="00613BFD" w:rsidP="00613BFD">
            <w:pPr>
              <w:rPr>
                <w:rFonts w:ascii="Arial" w:hAnsi="Arial"/>
                <w:color w:val="000000"/>
              </w:rPr>
            </w:pPr>
            <w:r w:rsidRPr="00613BFD">
              <w:rPr>
                <w:rFonts w:ascii="Arial" w:hAnsi="Arial"/>
                <w:color w:val="000000"/>
              </w:rPr>
              <w:t>Desjardins, Meridian, Vancity</w:t>
            </w:r>
          </w:p>
        </w:tc>
      </w:tr>
      <w:tr w:rsidR="00613BFD" w:rsidRPr="006524E1" w:rsidTr="00613BFD">
        <w:trPr>
          <w:trHeight w:val="531"/>
        </w:trPr>
        <w:tc>
          <w:tcPr>
            <w:tcW w:w="1435" w:type="dxa"/>
            <w:tcBorders>
              <w:top w:val="nil"/>
              <w:left w:val="single" w:sz="4" w:space="0" w:color="auto"/>
              <w:bottom w:val="single" w:sz="4" w:space="0" w:color="auto"/>
              <w:right w:val="single" w:sz="4" w:space="0" w:color="auto"/>
            </w:tcBorders>
            <w:shd w:val="clear" w:color="auto" w:fill="auto"/>
            <w:vAlign w:val="center"/>
            <w:hideMark/>
          </w:tcPr>
          <w:p w:rsidR="00613BFD" w:rsidRPr="00613BFD" w:rsidRDefault="00613BFD" w:rsidP="00613BFD">
            <w:pPr>
              <w:rPr>
                <w:rFonts w:ascii="Arial" w:hAnsi="Arial"/>
                <w:color w:val="000000"/>
              </w:rPr>
            </w:pPr>
            <w:r w:rsidRPr="00613BFD">
              <w:rPr>
                <w:rFonts w:ascii="Arial" w:hAnsi="Arial"/>
                <w:color w:val="000000"/>
              </w:rPr>
              <w:t>Other</w:t>
            </w:r>
          </w:p>
        </w:tc>
        <w:tc>
          <w:tcPr>
            <w:tcW w:w="810" w:type="dxa"/>
            <w:tcBorders>
              <w:top w:val="nil"/>
              <w:left w:val="nil"/>
              <w:bottom w:val="single" w:sz="4" w:space="0" w:color="auto"/>
              <w:right w:val="single" w:sz="4" w:space="0" w:color="auto"/>
            </w:tcBorders>
            <w:shd w:val="clear" w:color="auto" w:fill="auto"/>
            <w:vAlign w:val="center"/>
            <w:hideMark/>
          </w:tcPr>
          <w:p w:rsidR="00613BFD" w:rsidRPr="00613BFD" w:rsidRDefault="00613BFD" w:rsidP="00613BFD">
            <w:pPr>
              <w:jc w:val="center"/>
              <w:rPr>
                <w:rFonts w:ascii="Arial" w:hAnsi="Arial"/>
                <w:color w:val="000000"/>
              </w:rPr>
            </w:pPr>
            <w:r w:rsidRPr="00613BFD">
              <w:rPr>
                <w:rFonts w:ascii="Arial" w:hAnsi="Arial"/>
                <w:color w:val="000000"/>
              </w:rPr>
              <w:t>2%</w:t>
            </w:r>
          </w:p>
        </w:tc>
        <w:tc>
          <w:tcPr>
            <w:tcW w:w="5130" w:type="dxa"/>
            <w:tcBorders>
              <w:top w:val="nil"/>
              <w:left w:val="nil"/>
              <w:bottom w:val="single" w:sz="4" w:space="0" w:color="auto"/>
              <w:right w:val="single" w:sz="4" w:space="0" w:color="auto"/>
            </w:tcBorders>
            <w:shd w:val="clear" w:color="auto" w:fill="auto"/>
            <w:vAlign w:val="center"/>
            <w:hideMark/>
          </w:tcPr>
          <w:p w:rsidR="00613BFD" w:rsidRPr="00613BFD" w:rsidRDefault="00613BFD" w:rsidP="00613BFD">
            <w:pPr>
              <w:rPr>
                <w:rFonts w:ascii="Arial" w:hAnsi="Arial"/>
                <w:color w:val="000000"/>
              </w:rPr>
            </w:pPr>
            <w:r w:rsidRPr="00613BFD">
              <w:rPr>
                <w:rFonts w:ascii="Arial" w:hAnsi="Arial"/>
                <w:color w:val="000000"/>
              </w:rPr>
              <w:t>Includes back office operations divisions and transaction processing across the financial sector.</w:t>
            </w:r>
          </w:p>
        </w:tc>
        <w:tc>
          <w:tcPr>
            <w:tcW w:w="2125" w:type="dxa"/>
            <w:tcBorders>
              <w:top w:val="nil"/>
              <w:left w:val="nil"/>
              <w:bottom w:val="single" w:sz="4" w:space="0" w:color="auto"/>
              <w:right w:val="single" w:sz="4" w:space="0" w:color="auto"/>
            </w:tcBorders>
            <w:shd w:val="clear" w:color="auto" w:fill="auto"/>
            <w:vAlign w:val="center"/>
            <w:hideMark/>
          </w:tcPr>
          <w:p w:rsidR="00613BFD" w:rsidRPr="00613BFD" w:rsidRDefault="00613BFD" w:rsidP="00613BFD">
            <w:pPr>
              <w:rPr>
                <w:rFonts w:ascii="Arial" w:hAnsi="Arial"/>
                <w:color w:val="000000"/>
              </w:rPr>
            </w:pPr>
            <w:r w:rsidRPr="00613BFD">
              <w:rPr>
                <w:rFonts w:ascii="Arial" w:hAnsi="Arial"/>
                <w:color w:val="000000"/>
              </w:rPr>
              <w:t>N/A</w:t>
            </w:r>
          </w:p>
        </w:tc>
      </w:tr>
    </w:tbl>
    <w:p w:rsidR="00613BFD" w:rsidRPr="00613BFD" w:rsidRDefault="00613BFD" w:rsidP="00613BFD">
      <w:pPr>
        <w:pStyle w:val="FootnoteText1"/>
      </w:pPr>
    </w:p>
    <w:p w:rsidR="00613BFD" w:rsidRPr="006524E1" w:rsidRDefault="00613BFD" w:rsidP="00613BFD">
      <w:pPr>
        <w:pStyle w:val="FootnoteText1"/>
      </w:pPr>
      <w:r w:rsidRPr="006524E1">
        <w:t xml:space="preserve">Source: Michael Burt, </w:t>
      </w:r>
      <w:r w:rsidR="00910782">
        <w:t>“</w:t>
      </w:r>
      <w:r w:rsidRPr="00910782">
        <w:t>An Engine for Growth: Report Card on Canada and Toronto’s Financial Services Sector</w:t>
      </w:r>
      <w:r w:rsidRPr="006524E1">
        <w:t>,</w:t>
      </w:r>
      <w:r w:rsidR="00910782">
        <w:t>”</w:t>
      </w:r>
      <w:r w:rsidRPr="006524E1">
        <w:t xml:space="preserve"> The Conference Board of Canada, November 2016, accessed March 4, 2017, www.tfsa.ca/storage/reports/EngineforGrowthFinancialServicesStateoftheSector2016.pdf.</w:t>
      </w:r>
    </w:p>
    <w:p w:rsidR="00613BFD" w:rsidRPr="006524E1" w:rsidRDefault="00613BFD" w:rsidP="00AB24E3">
      <w:pPr>
        <w:pStyle w:val="BodyTextMain"/>
      </w:pPr>
    </w:p>
    <w:p w:rsidR="00613BFD" w:rsidRPr="006524E1" w:rsidRDefault="00613BFD" w:rsidP="00AB24E3">
      <w:pPr>
        <w:pStyle w:val="BodyTextMain"/>
      </w:pPr>
    </w:p>
    <w:p w:rsidR="00613BFD" w:rsidRPr="006524E1" w:rsidRDefault="00613BFD" w:rsidP="00AB24E3">
      <w:pPr>
        <w:pStyle w:val="Casehead1"/>
        <w:jc w:val="center"/>
      </w:pPr>
      <w:r w:rsidRPr="006524E1">
        <w:t>EXHIBIT 2: THE BIG SIX BANKS IN CANADA</w:t>
      </w:r>
    </w:p>
    <w:p w:rsidR="00613BFD" w:rsidRPr="00613BFD" w:rsidRDefault="00613BFD" w:rsidP="00AB24E3">
      <w:pPr>
        <w:pStyle w:val="BodyTextMain"/>
      </w:pPr>
    </w:p>
    <w:tbl>
      <w:tblPr>
        <w:tblW w:w="9492" w:type="dxa"/>
        <w:jc w:val="center"/>
        <w:tblLayout w:type="fixed"/>
        <w:tblLook w:val="04A0" w:firstRow="1" w:lastRow="0" w:firstColumn="1" w:lastColumn="0" w:noHBand="0" w:noVBand="1"/>
      </w:tblPr>
      <w:tblGrid>
        <w:gridCol w:w="3444"/>
        <w:gridCol w:w="1008"/>
        <w:gridCol w:w="1008"/>
        <w:gridCol w:w="1008"/>
        <w:gridCol w:w="1008"/>
        <w:gridCol w:w="954"/>
        <w:gridCol w:w="1062"/>
      </w:tblGrid>
      <w:tr w:rsidR="00613BFD" w:rsidRPr="006524E1" w:rsidTr="00613BFD">
        <w:trPr>
          <w:trHeight w:val="475"/>
          <w:jc w:val="center"/>
        </w:trPr>
        <w:tc>
          <w:tcPr>
            <w:tcW w:w="3444"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rsidR="00613BFD" w:rsidRPr="00613BFD" w:rsidRDefault="00613BFD" w:rsidP="00613BFD">
            <w:pPr>
              <w:rPr>
                <w:rFonts w:ascii="Arial" w:hAnsi="Arial"/>
                <w:b/>
                <w:color w:val="000000"/>
              </w:rPr>
            </w:pPr>
            <w:r w:rsidRPr="00613BFD">
              <w:rPr>
                <w:rFonts w:ascii="Arial" w:hAnsi="Arial"/>
                <w:b/>
                <w:color w:val="000000"/>
              </w:rPr>
              <w:t> </w:t>
            </w:r>
          </w:p>
        </w:tc>
        <w:tc>
          <w:tcPr>
            <w:tcW w:w="1008" w:type="dxa"/>
            <w:tcBorders>
              <w:top w:val="single" w:sz="4" w:space="0" w:color="auto"/>
              <w:left w:val="nil"/>
              <w:bottom w:val="single" w:sz="8" w:space="0" w:color="auto"/>
              <w:right w:val="single" w:sz="4" w:space="0" w:color="auto"/>
            </w:tcBorders>
            <w:shd w:val="clear" w:color="auto" w:fill="auto"/>
            <w:noWrap/>
            <w:vAlign w:val="center"/>
            <w:hideMark/>
          </w:tcPr>
          <w:p w:rsidR="00613BFD" w:rsidRPr="00613BFD" w:rsidRDefault="00613BFD" w:rsidP="00613BFD">
            <w:pPr>
              <w:jc w:val="center"/>
              <w:rPr>
                <w:rFonts w:ascii="Arial" w:hAnsi="Arial"/>
                <w:b/>
                <w:color w:val="000000"/>
              </w:rPr>
            </w:pPr>
            <w:r w:rsidRPr="00613BFD">
              <w:rPr>
                <w:rFonts w:ascii="Arial" w:hAnsi="Arial"/>
                <w:b/>
                <w:color w:val="000000"/>
              </w:rPr>
              <w:t>BMO</w:t>
            </w:r>
          </w:p>
        </w:tc>
        <w:tc>
          <w:tcPr>
            <w:tcW w:w="1008" w:type="dxa"/>
            <w:tcBorders>
              <w:top w:val="single" w:sz="4" w:space="0" w:color="auto"/>
              <w:left w:val="nil"/>
              <w:bottom w:val="single" w:sz="8" w:space="0" w:color="auto"/>
              <w:right w:val="single" w:sz="4" w:space="0" w:color="auto"/>
            </w:tcBorders>
            <w:shd w:val="clear" w:color="auto" w:fill="auto"/>
            <w:noWrap/>
            <w:vAlign w:val="center"/>
            <w:hideMark/>
          </w:tcPr>
          <w:p w:rsidR="00613BFD" w:rsidRPr="00613BFD" w:rsidRDefault="00613BFD" w:rsidP="00613BFD">
            <w:pPr>
              <w:jc w:val="center"/>
              <w:rPr>
                <w:rFonts w:ascii="Arial" w:hAnsi="Arial"/>
                <w:b/>
                <w:color w:val="000000"/>
              </w:rPr>
            </w:pPr>
            <w:r w:rsidRPr="006524E1">
              <w:rPr>
                <w:rFonts w:ascii="Arial" w:hAnsi="Arial" w:cs="Arial"/>
                <w:b/>
                <w:bCs/>
                <w:color w:val="000000"/>
              </w:rPr>
              <w:t>Scotia bank</w:t>
            </w:r>
          </w:p>
        </w:tc>
        <w:tc>
          <w:tcPr>
            <w:tcW w:w="1008" w:type="dxa"/>
            <w:tcBorders>
              <w:top w:val="single" w:sz="4" w:space="0" w:color="auto"/>
              <w:left w:val="nil"/>
              <w:bottom w:val="single" w:sz="8" w:space="0" w:color="auto"/>
              <w:right w:val="single" w:sz="4" w:space="0" w:color="auto"/>
            </w:tcBorders>
            <w:shd w:val="clear" w:color="auto" w:fill="auto"/>
            <w:noWrap/>
            <w:vAlign w:val="center"/>
            <w:hideMark/>
          </w:tcPr>
          <w:p w:rsidR="00613BFD" w:rsidRPr="00613BFD" w:rsidRDefault="00613BFD" w:rsidP="00613BFD">
            <w:pPr>
              <w:jc w:val="center"/>
              <w:rPr>
                <w:rFonts w:ascii="Arial" w:hAnsi="Arial"/>
                <w:b/>
                <w:color w:val="000000"/>
              </w:rPr>
            </w:pPr>
            <w:r w:rsidRPr="00613BFD">
              <w:rPr>
                <w:rFonts w:ascii="Arial" w:hAnsi="Arial"/>
                <w:b/>
                <w:color w:val="000000"/>
              </w:rPr>
              <w:t>CIBC</w:t>
            </w:r>
          </w:p>
        </w:tc>
        <w:tc>
          <w:tcPr>
            <w:tcW w:w="1008" w:type="dxa"/>
            <w:tcBorders>
              <w:top w:val="single" w:sz="4" w:space="0" w:color="auto"/>
              <w:left w:val="nil"/>
              <w:bottom w:val="single" w:sz="8" w:space="0" w:color="auto"/>
              <w:right w:val="single" w:sz="4" w:space="0" w:color="auto"/>
            </w:tcBorders>
            <w:shd w:val="clear" w:color="auto" w:fill="auto"/>
            <w:noWrap/>
            <w:vAlign w:val="center"/>
            <w:hideMark/>
          </w:tcPr>
          <w:p w:rsidR="00613BFD" w:rsidRPr="00613BFD" w:rsidRDefault="00613BFD" w:rsidP="00613BFD">
            <w:pPr>
              <w:jc w:val="center"/>
              <w:rPr>
                <w:rFonts w:ascii="Arial" w:hAnsi="Arial"/>
                <w:b/>
                <w:color w:val="000000"/>
              </w:rPr>
            </w:pPr>
            <w:r w:rsidRPr="00613BFD">
              <w:rPr>
                <w:rFonts w:ascii="Arial" w:hAnsi="Arial"/>
                <w:b/>
                <w:color w:val="000000"/>
              </w:rPr>
              <w:t>NBC</w:t>
            </w:r>
          </w:p>
        </w:tc>
        <w:tc>
          <w:tcPr>
            <w:tcW w:w="954" w:type="dxa"/>
            <w:tcBorders>
              <w:top w:val="single" w:sz="4" w:space="0" w:color="auto"/>
              <w:left w:val="nil"/>
              <w:bottom w:val="single" w:sz="8" w:space="0" w:color="auto"/>
              <w:right w:val="single" w:sz="4" w:space="0" w:color="auto"/>
            </w:tcBorders>
            <w:shd w:val="clear" w:color="auto" w:fill="auto"/>
            <w:noWrap/>
            <w:vAlign w:val="center"/>
            <w:hideMark/>
          </w:tcPr>
          <w:p w:rsidR="00613BFD" w:rsidRPr="00613BFD" w:rsidRDefault="00613BFD" w:rsidP="00613BFD">
            <w:pPr>
              <w:jc w:val="center"/>
              <w:rPr>
                <w:rFonts w:ascii="Arial" w:hAnsi="Arial"/>
                <w:b/>
                <w:color w:val="000000"/>
              </w:rPr>
            </w:pPr>
            <w:r w:rsidRPr="00613BFD">
              <w:rPr>
                <w:rFonts w:ascii="Arial" w:hAnsi="Arial"/>
                <w:b/>
                <w:color w:val="000000"/>
              </w:rPr>
              <w:t>RBC</w:t>
            </w:r>
          </w:p>
        </w:tc>
        <w:tc>
          <w:tcPr>
            <w:tcW w:w="1062" w:type="dxa"/>
            <w:tcBorders>
              <w:top w:val="single" w:sz="4" w:space="0" w:color="auto"/>
              <w:left w:val="nil"/>
              <w:bottom w:val="single" w:sz="8" w:space="0" w:color="auto"/>
              <w:right w:val="single" w:sz="4" w:space="0" w:color="auto"/>
            </w:tcBorders>
            <w:shd w:val="clear" w:color="auto" w:fill="auto"/>
            <w:noWrap/>
            <w:vAlign w:val="center"/>
            <w:hideMark/>
          </w:tcPr>
          <w:p w:rsidR="00613BFD" w:rsidRPr="00613BFD" w:rsidRDefault="00613BFD" w:rsidP="00613BFD">
            <w:pPr>
              <w:jc w:val="center"/>
              <w:rPr>
                <w:rFonts w:ascii="Arial" w:hAnsi="Arial"/>
                <w:b/>
                <w:color w:val="000000"/>
              </w:rPr>
            </w:pPr>
            <w:r w:rsidRPr="00613BFD">
              <w:rPr>
                <w:rFonts w:ascii="Arial" w:hAnsi="Arial"/>
                <w:b/>
                <w:color w:val="000000"/>
              </w:rPr>
              <w:t>TD</w:t>
            </w:r>
          </w:p>
        </w:tc>
      </w:tr>
      <w:tr w:rsidR="00613BFD" w:rsidRPr="006524E1" w:rsidTr="00613BFD">
        <w:trPr>
          <w:trHeight w:val="20"/>
          <w:jc w:val="center"/>
        </w:trPr>
        <w:tc>
          <w:tcPr>
            <w:tcW w:w="3444" w:type="dxa"/>
            <w:tcBorders>
              <w:top w:val="nil"/>
              <w:left w:val="single" w:sz="4" w:space="0" w:color="auto"/>
              <w:bottom w:val="single" w:sz="4" w:space="0" w:color="auto"/>
              <w:right w:val="single" w:sz="4" w:space="0" w:color="auto"/>
            </w:tcBorders>
            <w:shd w:val="clear" w:color="auto" w:fill="auto"/>
            <w:vAlign w:val="center"/>
            <w:hideMark/>
          </w:tcPr>
          <w:p w:rsidR="00613BFD" w:rsidRPr="00613BFD" w:rsidRDefault="00613BFD" w:rsidP="00613BFD">
            <w:pPr>
              <w:rPr>
                <w:rFonts w:ascii="Arial" w:hAnsi="Arial"/>
                <w:color w:val="000000"/>
              </w:rPr>
            </w:pPr>
            <w:r>
              <w:rPr>
                <w:rFonts w:ascii="Arial" w:hAnsi="Arial" w:cs="Arial"/>
                <w:color w:val="000000"/>
              </w:rPr>
              <w:t>Total tier 1 capital</w:t>
            </w:r>
            <w:r w:rsidRPr="00613BFD">
              <w:rPr>
                <w:rFonts w:ascii="Arial" w:hAnsi="Arial"/>
                <w:color w:val="000000"/>
              </w:rPr>
              <w:t xml:space="preserve"> ($ millions)</w:t>
            </w:r>
          </w:p>
        </w:tc>
        <w:tc>
          <w:tcPr>
            <w:tcW w:w="1008" w:type="dxa"/>
            <w:tcBorders>
              <w:top w:val="nil"/>
              <w:left w:val="nil"/>
              <w:bottom w:val="single" w:sz="4" w:space="0" w:color="auto"/>
              <w:right w:val="single" w:sz="4" w:space="0" w:color="auto"/>
            </w:tcBorders>
            <w:shd w:val="clear" w:color="auto" w:fill="auto"/>
            <w:noWrap/>
            <w:vAlign w:val="center"/>
            <w:hideMark/>
          </w:tcPr>
          <w:p w:rsidR="00613BFD" w:rsidRPr="00613BFD" w:rsidRDefault="00613BFD" w:rsidP="00613BFD">
            <w:pPr>
              <w:jc w:val="right"/>
              <w:rPr>
                <w:rFonts w:ascii="Arial" w:hAnsi="Arial"/>
                <w:color w:val="000000"/>
              </w:rPr>
            </w:pPr>
            <w:r>
              <w:rPr>
                <w:rFonts w:ascii="Arial" w:hAnsi="Arial" w:cs="Arial"/>
                <w:color w:val="000000"/>
              </w:rPr>
              <w:t>32,236</w:t>
            </w:r>
          </w:p>
        </w:tc>
        <w:tc>
          <w:tcPr>
            <w:tcW w:w="1008" w:type="dxa"/>
            <w:tcBorders>
              <w:top w:val="nil"/>
              <w:left w:val="nil"/>
              <w:bottom w:val="single" w:sz="4" w:space="0" w:color="auto"/>
              <w:right w:val="single" w:sz="4" w:space="0" w:color="auto"/>
            </w:tcBorders>
            <w:shd w:val="clear" w:color="auto" w:fill="auto"/>
            <w:noWrap/>
            <w:vAlign w:val="center"/>
            <w:hideMark/>
          </w:tcPr>
          <w:p w:rsidR="00613BFD" w:rsidRPr="00613BFD" w:rsidRDefault="00613BFD" w:rsidP="00613BFD">
            <w:pPr>
              <w:jc w:val="right"/>
              <w:rPr>
                <w:rFonts w:ascii="Arial" w:hAnsi="Arial"/>
                <w:color w:val="000000"/>
              </w:rPr>
            </w:pPr>
            <w:r>
              <w:rPr>
                <w:rFonts w:ascii="Arial" w:hAnsi="Arial" w:cs="Arial"/>
                <w:color w:val="000000"/>
              </w:rPr>
              <w:t>45,066</w:t>
            </w:r>
          </w:p>
        </w:tc>
        <w:tc>
          <w:tcPr>
            <w:tcW w:w="1008" w:type="dxa"/>
            <w:tcBorders>
              <w:top w:val="nil"/>
              <w:left w:val="nil"/>
              <w:bottom w:val="single" w:sz="4" w:space="0" w:color="auto"/>
              <w:right w:val="single" w:sz="4" w:space="0" w:color="auto"/>
            </w:tcBorders>
            <w:shd w:val="clear" w:color="auto" w:fill="auto"/>
            <w:noWrap/>
            <w:vAlign w:val="center"/>
            <w:hideMark/>
          </w:tcPr>
          <w:p w:rsidR="00613BFD" w:rsidRPr="00613BFD" w:rsidRDefault="00613BFD" w:rsidP="00613BFD">
            <w:pPr>
              <w:jc w:val="right"/>
              <w:rPr>
                <w:rFonts w:ascii="Arial" w:hAnsi="Arial"/>
                <w:color w:val="000000"/>
              </w:rPr>
            </w:pPr>
            <w:r>
              <w:rPr>
                <w:rFonts w:ascii="Arial" w:hAnsi="Arial" w:cs="Arial"/>
                <w:color w:val="000000"/>
              </w:rPr>
              <w:t>21,666</w:t>
            </w:r>
          </w:p>
        </w:tc>
        <w:tc>
          <w:tcPr>
            <w:tcW w:w="1008" w:type="dxa"/>
            <w:tcBorders>
              <w:top w:val="nil"/>
              <w:left w:val="nil"/>
              <w:bottom w:val="single" w:sz="4" w:space="0" w:color="auto"/>
              <w:right w:val="single" w:sz="4" w:space="0" w:color="auto"/>
            </w:tcBorders>
            <w:shd w:val="clear" w:color="auto" w:fill="auto"/>
            <w:noWrap/>
            <w:vAlign w:val="center"/>
            <w:hideMark/>
          </w:tcPr>
          <w:p w:rsidR="00613BFD" w:rsidRPr="00613BFD" w:rsidRDefault="00613BFD" w:rsidP="00613BFD">
            <w:pPr>
              <w:jc w:val="right"/>
              <w:rPr>
                <w:rFonts w:ascii="Arial" w:hAnsi="Arial"/>
                <w:color w:val="000000"/>
              </w:rPr>
            </w:pPr>
            <w:r>
              <w:rPr>
                <w:rFonts w:ascii="Arial" w:hAnsi="Arial" w:cs="Arial"/>
                <w:color w:val="000000"/>
              </w:rPr>
              <w:t>9,265</w:t>
            </w:r>
          </w:p>
        </w:tc>
        <w:tc>
          <w:tcPr>
            <w:tcW w:w="954" w:type="dxa"/>
            <w:tcBorders>
              <w:top w:val="nil"/>
              <w:left w:val="nil"/>
              <w:bottom w:val="single" w:sz="4" w:space="0" w:color="auto"/>
              <w:right w:val="single" w:sz="4" w:space="0" w:color="auto"/>
            </w:tcBorders>
            <w:shd w:val="clear" w:color="auto" w:fill="auto"/>
            <w:noWrap/>
            <w:vAlign w:val="center"/>
            <w:hideMark/>
          </w:tcPr>
          <w:p w:rsidR="00613BFD" w:rsidRPr="00613BFD" w:rsidRDefault="00613BFD" w:rsidP="00613BFD">
            <w:pPr>
              <w:jc w:val="right"/>
              <w:rPr>
                <w:rFonts w:ascii="Arial" w:hAnsi="Arial"/>
                <w:color w:val="000000"/>
              </w:rPr>
            </w:pPr>
            <w:r>
              <w:rPr>
                <w:rFonts w:ascii="Arial" w:hAnsi="Arial" w:cs="Arial"/>
                <w:color w:val="000000"/>
              </w:rPr>
              <w:t>55,270</w:t>
            </w:r>
          </w:p>
        </w:tc>
        <w:tc>
          <w:tcPr>
            <w:tcW w:w="1062" w:type="dxa"/>
            <w:tcBorders>
              <w:top w:val="nil"/>
              <w:left w:val="nil"/>
              <w:bottom w:val="single" w:sz="4" w:space="0" w:color="auto"/>
              <w:right w:val="single" w:sz="4" w:space="0" w:color="auto"/>
            </w:tcBorders>
            <w:shd w:val="clear" w:color="auto" w:fill="auto"/>
            <w:noWrap/>
            <w:vAlign w:val="center"/>
            <w:hideMark/>
          </w:tcPr>
          <w:p w:rsidR="00613BFD" w:rsidRPr="00613BFD" w:rsidRDefault="00613BFD" w:rsidP="00613BFD">
            <w:pPr>
              <w:jc w:val="right"/>
              <w:rPr>
                <w:rFonts w:ascii="Arial" w:hAnsi="Arial"/>
                <w:color w:val="000000"/>
              </w:rPr>
            </w:pPr>
            <w:r>
              <w:rPr>
                <w:rFonts w:ascii="Arial" w:hAnsi="Arial" w:cs="Arial"/>
                <w:color w:val="000000"/>
              </w:rPr>
              <w:t>49,397</w:t>
            </w:r>
          </w:p>
        </w:tc>
      </w:tr>
      <w:tr w:rsidR="00613BFD" w:rsidRPr="006524E1" w:rsidTr="00613BFD">
        <w:trPr>
          <w:trHeight w:val="20"/>
          <w:jc w:val="center"/>
        </w:trPr>
        <w:tc>
          <w:tcPr>
            <w:tcW w:w="3444" w:type="dxa"/>
            <w:tcBorders>
              <w:top w:val="nil"/>
              <w:left w:val="single" w:sz="4" w:space="0" w:color="auto"/>
              <w:bottom w:val="single" w:sz="4" w:space="0" w:color="auto"/>
              <w:right w:val="single" w:sz="4" w:space="0" w:color="auto"/>
            </w:tcBorders>
            <w:shd w:val="clear" w:color="auto" w:fill="auto"/>
            <w:vAlign w:val="center"/>
            <w:hideMark/>
          </w:tcPr>
          <w:p w:rsidR="00613BFD" w:rsidRPr="00613BFD" w:rsidRDefault="00613BFD" w:rsidP="00613BFD">
            <w:pPr>
              <w:rPr>
                <w:rFonts w:ascii="Arial" w:hAnsi="Arial"/>
                <w:color w:val="000000"/>
              </w:rPr>
            </w:pPr>
            <w:r w:rsidRPr="00613BFD">
              <w:rPr>
                <w:rFonts w:ascii="Arial" w:hAnsi="Arial"/>
                <w:color w:val="000000"/>
              </w:rPr>
              <w:t>Net income before tax ($ millions)</w:t>
            </w:r>
          </w:p>
        </w:tc>
        <w:tc>
          <w:tcPr>
            <w:tcW w:w="1008" w:type="dxa"/>
            <w:tcBorders>
              <w:top w:val="nil"/>
              <w:left w:val="nil"/>
              <w:bottom w:val="single" w:sz="4" w:space="0" w:color="auto"/>
              <w:right w:val="single" w:sz="4" w:space="0" w:color="auto"/>
            </w:tcBorders>
            <w:shd w:val="clear" w:color="auto" w:fill="auto"/>
            <w:noWrap/>
            <w:vAlign w:val="center"/>
            <w:hideMark/>
          </w:tcPr>
          <w:p w:rsidR="00613BFD" w:rsidRPr="00613BFD" w:rsidRDefault="00613BFD" w:rsidP="00613BFD">
            <w:pPr>
              <w:jc w:val="right"/>
              <w:rPr>
                <w:rFonts w:ascii="Arial" w:hAnsi="Arial"/>
                <w:color w:val="000000"/>
              </w:rPr>
            </w:pPr>
            <w:r>
              <w:rPr>
                <w:rFonts w:ascii="Arial" w:hAnsi="Arial" w:cs="Arial"/>
                <w:color w:val="000000"/>
              </w:rPr>
              <w:t>4,600</w:t>
            </w:r>
          </w:p>
        </w:tc>
        <w:tc>
          <w:tcPr>
            <w:tcW w:w="1008" w:type="dxa"/>
            <w:tcBorders>
              <w:top w:val="nil"/>
              <w:left w:val="nil"/>
              <w:bottom w:val="single" w:sz="4" w:space="0" w:color="auto"/>
              <w:right w:val="single" w:sz="4" w:space="0" w:color="auto"/>
            </w:tcBorders>
            <w:shd w:val="clear" w:color="auto" w:fill="auto"/>
            <w:noWrap/>
            <w:vAlign w:val="center"/>
            <w:hideMark/>
          </w:tcPr>
          <w:p w:rsidR="00613BFD" w:rsidRPr="00613BFD" w:rsidRDefault="00613BFD" w:rsidP="00613BFD">
            <w:pPr>
              <w:jc w:val="right"/>
              <w:rPr>
                <w:rFonts w:ascii="Arial" w:hAnsi="Arial"/>
                <w:color w:val="000000"/>
              </w:rPr>
            </w:pPr>
            <w:r>
              <w:rPr>
                <w:rFonts w:ascii="Arial" w:hAnsi="Arial" w:cs="Arial"/>
                <w:color w:val="000000"/>
              </w:rPr>
              <w:t>7,400</w:t>
            </w:r>
          </w:p>
        </w:tc>
        <w:tc>
          <w:tcPr>
            <w:tcW w:w="1008" w:type="dxa"/>
            <w:tcBorders>
              <w:top w:val="nil"/>
              <w:left w:val="nil"/>
              <w:bottom w:val="single" w:sz="4" w:space="0" w:color="auto"/>
              <w:right w:val="single" w:sz="4" w:space="0" w:color="auto"/>
            </w:tcBorders>
            <w:shd w:val="clear" w:color="auto" w:fill="auto"/>
            <w:noWrap/>
            <w:vAlign w:val="center"/>
            <w:hideMark/>
          </w:tcPr>
          <w:p w:rsidR="00613BFD" w:rsidRPr="00613BFD" w:rsidRDefault="00613BFD" w:rsidP="00613BFD">
            <w:pPr>
              <w:jc w:val="right"/>
              <w:rPr>
                <w:rFonts w:ascii="Arial" w:hAnsi="Arial"/>
                <w:color w:val="000000"/>
              </w:rPr>
            </w:pPr>
            <w:r>
              <w:rPr>
                <w:rFonts w:ascii="Arial" w:hAnsi="Arial" w:cs="Arial"/>
                <w:color w:val="000000"/>
              </w:rPr>
              <w:t>4,300</w:t>
            </w:r>
          </w:p>
        </w:tc>
        <w:tc>
          <w:tcPr>
            <w:tcW w:w="1008" w:type="dxa"/>
            <w:tcBorders>
              <w:top w:val="nil"/>
              <w:left w:val="nil"/>
              <w:bottom w:val="single" w:sz="4" w:space="0" w:color="auto"/>
              <w:right w:val="single" w:sz="4" w:space="0" w:color="auto"/>
            </w:tcBorders>
            <w:shd w:val="clear" w:color="auto" w:fill="auto"/>
            <w:noWrap/>
            <w:vAlign w:val="center"/>
            <w:hideMark/>
          </w:tcPr>
          <w:p w:rsidR="00613BFD" w:rsidRPr="00613BFD" w:rsidRDefault="00613BFD" w:rsidP="00613BFD">
            <w:pPr>
              <w:jc w:val="right"/>
              <w:rPr>
                <w:rFonts w:ascii="Arial" w:hAnsi="Arial"/>
                <w:color w:val="000000"/>
              </w:rPr>
            </w:pPr>
            <w:r w:rsidRPr="00613BFD">
              <w:rPr>
                <w:rFonts w:ascii="Arial" w:hAnsi="Arial"/>
                <w:color w:val="000000"/>
              </w:rPr>
              <w:t>1,</w:t>
            </w:r>
            <w:r>
              <w:rPr>
                <w:rFonts w:ascii="Arial" w:hAnsi="Arial" w:cs="Arial"/>
                <w:color w:val="000000"/>
              </w:rPr>
              <w:t>300</w:t>
            </w:r>
          </w:p>
        </w:tc>
        <w:tc>
          <w:tcPr>
            <w:tcW w:w="954" w:type="dxa"/>
            <w:tcBorders>
              <w:top w:val="nil"/>
              <w:left w:val="nil"/>
              <w:bottom w:val="single" w:sz="4" w:space="0" w:color="auto"/>
              <w:right w:val="single" w:sz="4" w:space="0" w:color="auto"/>
            </w:tcBorders>
            <w:shd w:val="clear" w:color="auto" w:fill="auto"/>
            <w:noWrap/>
            <w:vAlign w:val="center"/>
            <w:hideMark/>
          </w:tcPr>
          <w:p w:rsidR="00613BFD" w:rsidRPr="00613BFD" w:rsidRDefault="00613BFD" w:rsidP="00613BFD">
            <w:pPr>
              <w:jc w:val="right"/>
              <w:rPr>
                <w:rFonts w:ascii="Arial" w:hAnsi="Arial"/>
                <w:color w:val="000000"/>
              </w:rPr>
            </w:pPr>
            <w:r>
              <w:rPr>
                <w:rFonts w:ascii="Arial" w:hAnsi="Arial" w:cs="Arial"/>
                <w:color w:val="000000"/>
              </w:rPr>
              <w:t>10,500</w:t>
            </w:r>
          </w:p>
        </w:tc>
        <w:tc>
          <w:tcPr>
            <w:tcW w:w="1062" w:type="dxa"/>
            <w:tcBorders>
              <w:top w:val="nil"/>
              <w:left w:val="nil"/>
              <w:bottom w:val="single" w:sz="4" w:space="0" w:color="auto"/>
              <w:right w:val="single" w:sz="4" w:space="0" w:color="auto"/>
            </w:tcBorders>
            <w:shd w:val="clear" w:color="auto" w:fill="auto"/>
            <w:noWrap/>
            <w:vAlign w:val="center"/>
            <w:hideMark/>
          </w:tcPr>
          <w:p w:rsidR="00613BFD" w:rsidRPr="00613BFD" w:rsidRDefault="00613BFD" w:rsidP="00613BFD">
            <w:pPr>
              <w:jc w:val="right"/>
              <w:rPr>
                <w:rFonts w:ascii="Arial" w:hAnsi="Arial"/>
                <w:color w:val="000000"/>
              </w:rPr>
            </w:pPr>
            <w:r>
              <w:rPr>
                <w:rFonts w:ascii="Arial" w:hAnsi="Arial" w:cs="Arial"/>
                <w:color w:val="000000"/>
              </w:rPr>
              <w:t>8,900</w:t>
            </w:r>
          </w:p>
        </w:tc>
      </w:tr>
      <w:tr w:rsidR="00613BFD" w:rsidRPr="006524E1" w:rsidTr="00613BFD">
        <w:trPr>
          <w:trHeight w:val="20"/>
          <w:jc w:val="center"/>
        </w:trPr>
        <w:tc>
          <w:tcPr>
            <w:tcW w:w="3444" w:type="dxa"/>
            <w:tcBorders>
              <w:top w:val="nil"/>
              <w:left w:val="single" w:sz="4" w:space="0" w:color="auto"/>
              <w:bottom w:val="single" w:sz="4" w:space="0" w:color="auto"/>
              <w:right w:val="single" w:sz="4" w:space="0" w:color="auto"/>
            </w:tcBorders>
            <w:shd w:val="clear" w:color="auto" w:fill="auto"/>
            <w:vAlign w:val="center"/>
            <w:hideMark/>
          </w:tcPr>
          <w:p w:rsidR="00613BFD" w:rsidRPr="00613BFD" w:rsidRDefault="00613BFD" w:rsidP="00613BFD">
            <w:pPr>
              <w:rPr>
                <w:rFonts w:ascii="Arial" w:hAnsi="Arial"/>
                <w:color w:val="000000"/>
              </w:rPr>
            </w:pPr>
            <w:r w:rsidRPr="00613BFD">
              <w:rPr>
                <w:rFonts w:ascii="Arial" w:hAnsi="Arial"/>
                <w:color w:val="000000"/>
              </w:rPr>
              <w:t>Full-time employees (FTEs)</w:t>
            </w:r>
          </w:p>
        </w:tc>
        <w:tc>
          <w:tcPr>
            <w:tcW w:w="1008" w:type="dxa"/>
            <w:tcBorders>
              <w:top w:val="nil"/>
              <w:left w:val="nil"/>
              <w:bottom w:val="single" w:sz="4" w:space="0" w:color="auto"/>
              <w:right w:val="single" w:sz="4" w:space="0" w:color="auto"/>
            </w:tcBorders>
            <w:shd w:val="clear" w:color="auto" w:fill="auto"/>
            <w:noWrap/>
            <w:vAlign w:val="center"/>
            <w:hideMark/>
          </w:tcPr>
          <w:p w:rsidR="00613BFD" w:rsidRPr="00613BFD" w:rsidRDefault="00613BFD" w:rsidP="00613BFD">
            <w:pPr>
              <w:jc w:val="right"/>
              <w:rPr>
                <w:rFonts w:ascii="Arial" w:hAnsi="Arial"/>
                <w:color w:val="000000"/>
              </w:rPr>
            </w:pPr>
            <w:r w:rsidRPr="00613BFD">
              <w:rPr>
                <w:rFonts w:ascii="Arial" w:hAnsi="Arial"/>
                <w:color w:val="000000"/>
              </w:rPr>
              <w:t>46,778</w:t>
            </w:r>
          </w:p>
        </w:tc>
        <w:tc>
          <w:tcPr>
            <w:tcW w:w="1008" w:type="dxa"/>
            <w:tcBorders>
              <w:top w:val="nil"/>
              <w:left w:val="nil"/>
              <w:bottom w:val="single" w:sz="4" w:space="0" w:color="auto"/>
              <w:right w:val="single" w:sz="4" w:space="0" w:color="auto"/>
            </w:tcBorders>
            <w:shd w:val="clear" w:color="auto" w:fill="auto"/>
            <w:noWrap/>
            <w:vAlign w:val="center"/>
            <w:hideMark/>
          </w:tcPr>
          <w:p w:rsidR="00613BFD" w:rsidRPr="00613BFD" w:rsidRDefault="00613BFD" w:rsidP="00613BFD">
            <w:pPr>
              <w:jc w:val="right"/>
              <w:rPr>
                <w:rFonts w:ascii="Arial" w:hAnsi="Arial"/>
                <w:color w:val="000000"/>
              </w:rPr>
            </w:pPr>
            <w:r w:rsidRPr="00613BFD">
              <w:rPr>
                <w:rFonts w:ascii="Arial" w:hAnsi="Arial"/>
                <w:color w:val="000000"/>
              </w:rPr>
              <w:t>86,932</w:t>
            </w:r>
          </w:p>
        </w:tc>
        <w:tc>
          <w:tcPr>
            <w:tcW w:w="1008" w:type="dxa"/>
            <w:tcBorders>
              <w:top w:val="nil"/>
              <w:left w:val="nil"/>
              <w:bottom w:val="single" w:sz="4" w:space="0" w:color="auto"/>
              <w:right w:val="single" w:sz="4" w:space="0" w:color="auto"/>
            </w:tcBorders>
            <w:shd w:val="clear" w:color="auto" w:fill="auto"/>
            <w:noWrap/>
            <w:vAlign w:val="center"/>
            <w:hideMark/>
          </w:tcPr>
          <w:p w:rsidR="00613BFD" w:rsidRPr="00613BFD" w:rsidRDefault="00613BFD" w:rsidP="00613BFD">
            <w:pPr>
              <w:jc w:val="right"/>
              <w:rPr>
                <w:rFonts w:ascii="Arial" w:hAnsi="Arial"/>
                <w:color w:val="000000"/>
              </w:rPr>
            </w:pPr>
            <w:r w:rsidRPr="00613BFD">
              <w:rPr>
                <w:rFonts w:ascii="Arial" w:hAnsi="Arial"/>
                <w:color w:val="000000"/>
              </w:rPr>
              <w:t>44,424</w:t>
            </w:r>
          </w:p>
        </w:tc>
        <w:tc>
          <w:tcPr>
            <w:tcW w:w="1008" w:type="dxa"/>
            <w:tcBorders>
              <w:top w:val="nil"/>
              <w:left w:val="nil"/>
              <w:bottom w:val="single" w:sz="4" w:space="0" w:color="auto"/>
              <w:right w:val="single" w:sz="4" w:space="0" w:color="auto"/>
            </w:tcBorders>
            <w:shd w:val="clear" w:color="auto" w:fill="auto"/>
            <w:noWrap/>
            <w:vAlign w:val="center"/>
            <w:hideMark/>
          </w:tcPr>
          <w:p w:rsidR="00613BFD" w:rsidRPr="00613BFD" w:rsidRDefault="00613BFD" w:rsidP="00613BFD">
            <w:pPr>
              <w:jc w:val="right"/>
              <w:rPr>
                <w:rFonts w:ascii="Arial" w:hAnsi="Arial"/>
                <w:color w:val="000000"/>
              </w:rPr>
            </w:pPr>
            <w:r w:rsidRPr="00613BFD">
              <w:rPr>
                <w:rFonts w:ascii="Arial" w:hAnsi="Arial"/>
                <w:color w:val="000000"/>
              </w:rPr>
              <w:t>17,056</w:t>
            </w:r>
          </w:p>
        </w:tc>
        <w:tc>
          <w:tcPr>
            <w:tcW w:w="954" w:type="dxa"/>
            <w:tcBorders>
              <w:top w:val="nil"/>
              <w:left w:val="nil"/>
              <w:bottom w:val="single" w:sz="4" w:space="0" w:color="auto"/>
              <w:right w:val="single" w:sz="4" w:space="0" w:color="auto"/>
            </w:tcBorders>
            <w:shd w:val="clear" w:color="auto" w:fill="auto"/>
            <w:noWrap/>
            <w:vAlign w:val="center"/>
            <w:hideMark/>
          </w:tcPr>
          <w:p w:rsidR="00613BFD" w:rsidRPr="00613BFD" w:rsidRDefault="00613BFD" w:rsidP="00613BFD">
            <w:pPr>
              <w:jc w:val="right"/>
              <w:rPr>
                <w:rFonts w:ascii="Arial" w:hAnsi="Arial"/>
                <w:color w:val="000000"/>
              </w:rPr>
            </w:pPr>
            <w:r w:rsidRPr="00613BFD">
              <w:rPr>
                <w:rFonts w:ascii="Arial" w:hAnsi="Arial"/>
                <w:color w:val="000000"/>
              </w:rPr>
              <w:t>73,498</w:t>
            </w:r>
          </w:p>
        </w:tc>
        <w:tc>
          <w:tcPr>
            <w:tcW w:w="1062" w:type="dxa"/>
            <w:tcBorders>
              <w:top w:val="nil"/>
              <w:left w:val="nil"/>
              <w:bottom w:val="single" w:sz="4" w:space="0" w:color="auto"/>
              <w:right w:val="single" w:sz="4" w:space="0" w:color="auto"/>
            </w:tcBorders>
            <w:shd w:val="clear" w:color="auto" w:fill="auto"/>
            <w:noWrap/>
            <w:vAlign w:val="center"/>
            <w:hideMark/>
          </w:tcPr>
          <w:p w:rsidR="00613BFD" w:rsidRPr="00613BFD" w:rsidRDefault="00613BFD" w:rsidP="00613BFD">
            <w:pPr>
              <w:jc w:val="right"/>
              <w:rPr>
                <w:rFonts w:ascii="Arial" w:hAnsi="Arial"/>
                <w:color w:val="000000"/>
              </w:rPr>
            </w:pPr>
            <w:r w:rsidRPr="00613BFD">
              <w:rPr>
                <w:rFonts w:ascii="Arial" w:hAnsi="Arial"/>
                <w:color w:val="000000"/>
              </w:rPr>
              <w:t>81,137</w:t>
            </w:r>
          </w:p>
        </w:tc>
      </w:tr>
    </w:tbl>
    <w:p w:rsidR="00613BFD" w:rsidRPr="006524E1" w:rsidRDefault="00613BFD" w:rsidP="00613BFD">
      <w:pPr>
        <w:pStyle w:val="FootnoteText1"/>
      </w:pPr>
    </w:p>
    <w:p w:rsidR="00613BFD" w:rsidRPr="006524E1" w:rsidRDefault="00613BFD" w:rsidP="00613BFD">
      <w:pPr>
        <w:pStyle w:val="FootnoteText1"/>
      </w:pPr>
      <w:r w:rsidRPr="006524E1">
        <w:t xml:space="preserve">Source: PwC, “Canadian Banks in 2016: Embracing the FinTech </w:t>
      </w:r>
      <w:r>
        <w:t>M</w:t>
      </w:r>
      <w:r w:rsidRPr="006524E1">
        <w:t xml:space="preserve">ovement”, January 2016, </w:t>
      </w:r>
      <w:r w:rsidRPr="003A6986">
        <w:t>accessed</w:t>
      </w:r>
      <w:r w:rsidRPr="006524E1">
        <w:t xml:space="preserve"> March 4, 2017</w:t>
      </w:r>
      <w:r>
        <w:t xml:space="preserve">, </w:t>
      </w:r>
      <w:r w:rsidRPr="00D616EB">
        <w:t>www.pwc.com/ca/en/banking-capital-markets/publications/5056-01-canadian-banks-2016.pdf</w:t>
      </w:r>
      <w:r w:rsidRPr="006524E1">
        <w:t>.</w:t>
      </w:r>
    </w:p>
    <w:p w:rsidR="00613BFD" w:rsidRPr="006524E1" w:rsidRDefault="00613BFD" w:rsidP="00613BFD">
      <w:pPr>
        <w:pStyle w:val="FootnoteText1"/>
      </w:pPr>
    </w:p>
    <w:p w:rsidR="00613BFD" w:rsidRPr="00613BFD" w:rsidRDefault="00613BFD" w:rsidP="00613BFD">
      <w:pPr>
        <w:rPr>
          <w:spacing w:val="-1"/>
          <w:sz w:val="22"/>
        </w:rPr>
      </w:pPr>
      <w:r w:rsidRPr="006524E1">
        <w:br w:type="page"/>
      </w:r>
    </w:p>
    <w:p w:rsidR="00613BFD" w:rsidRPr="006524E1" w:rsidRDefault="00613BFD" w:rsidP="00AB24E3">
      <w:pPr>
        <w:pStyle w:val="Casehead1"/>
        <w:jc w:val="center"/>
      </w:pPr>
      <w:r w:rsidRPr="006524E1">
        <w:lastRenderedPageBreak/>
        <w:t>EXHIBIT 3: PERSONAL LOAN TYPE BREAKDOWN</w:t>
      </w:r>
    </w:p>
    <w:p w:rsidR="00613BFD" w:rsidRPr="006524E1" w:rsidRDefault="00613BFD" w:rsidP="00AB24E3">
      <w:pPr>
        <w:pStyle w:val="BodyTextMain"/>
      </w:pPr>
    </w:p>
    <w:p w:rsidR="00613BFD" w:rsidRPr="006524E1" w:rsidRDefault="00613BFD" w:rsidP="00613BFD">
      <w:pPr>
        <w:jc w:val="center"/>
        <w:rPr>
          <w:sz w:val="24"/>
          <w:szCs w:val="24"/>
        </w:rPr>
      </w:pPr>
      <w:r w:rsidRPr="006524E1">
        <w:rPr>
          <w:noProof/>
          <w:sz w:val="24"/>
          <w:szCs w:val="24"/>
          <w:lang w:val="en-GB" w:eastAsia="en-GB"/>
        </w:rPr>
        <w:drawing>
          <wp:inline distT="0" distB="0" distL="0" distR="0" wp14:anchorId="46604203" wp14:editId="75D1534A">
            <wp:extent cx="3937635" cy="3291880"/>
            <wp:effectExtent l="0" t="0" r="0" b="10160"/>
            <wp:docPr id="4" name="Picture 4" descr="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7635" cy="3291880"/>
                    </a:xfrm>
                    <a:prstGeom prst="rect">
                      <a:avLst/>
                    </a:prstGeom>
                    <a:noFill/>
                    <a:ln>
                      <a:noFill/>
                    </a:ln>
                  </pic:spPr>
                </pic:pic>
              </a:graphicData>
            </a:graphic>
          </wp:inline>
        </w:drawing>
      </w:r>
    </w:p>
    <w:p w:rsidR="00613BFD" w:rsidRPr="006524E1" w:rsidRDefault="00613BFD" w:rsidP="00613BFD">
      <w:pPr>
        <w:pStyle w:val="FootnoteText1"/>
        <w:rPr>
          <w:noProof/>
        </w:rPr>
      </w:pPr>
    </w:p>
    <w:p w:rsidR="00613BFD" w:rsidRPr="006524E1" w:rsidRDefault="00613BFD" w:rsidP="00613BFD">
      <w:pPr>
        <w:pStyle w:val="FootnoteText1"/>
      </w:pPr>
      <w:r w:rsidRPr="006524E1">
        <w:rPr>
          <w:noProof/>
        </w:rPr>
        <w:t>Source: Bank of Canada, “Banking and Financial Statistics</w:t>
      </w:r>
      <w:r w:rsidR="00910782">
        <w:rPr>
          <w:noProof/>
        </w:rPr>
        <w:t>,</w:t>
      </w:r>
      <w:r w:rsidRPr="006524E1">
        <w:rPr>
          <w:noProof/>
        </w:rPr>
        <w:t>” July 2016, accessed March 12</w:t>
      </w:r>
      <w:r>
        <w:rPr>
          <w:noProof/>
        </w:rPr>
        <w:t>.</w:t>
      </w:r>
      <w:r w:rsidRPr="006524E1">
        <w:rPr>
          <w:noProof/>
        </w:rPr>
        <w:t xml:space="preserve"> 2017</w:t>
      </w:r>
      <w:r>
        <w:rPr>
          <w:noProof/>
        </w:rPr>
        <w:t>,</w:t>
      </w:r>
      <w:r w:rsidRPr="006524E1">
        <w:rPr>
          <w:noProof/>
        </w:rPr>
        <w:t xml:space="preserve"> http://www.bankofcanada.ca/wp-content/uploads/2016/07/bfs_july16.pdf</w:t>
      </w:r>
    </w:p>
    <w:p w:rsidR="00613BFD" w:rsidRPr="006524E1" w:rsidRDefault="00613BFD" w:rsidP="00AB24E3">
      <w:pPr>
        <w:pStyle w:val="BodyTextMain"/>
      </w:pPr>
    </w:p>
    <w:p w:rsidR="00613BFD" w:rsidRPr="00613BFD" w:rsidRDefault="00613BFD" w:rsidP="00AB24E3">
      <w:pPr>
        <w:pStyle w:val="BodyTextMain"/>
      </w:pPr>
      <w:bookmarkStart w:id="0" w:name="_GoBack"/>
      <w:bookmarkEnd w:id="0"/>
    </w:p>
    <w:p w:rsidR="00613BFD" w:rsidRPr="006524E1" w:rsidRDefault="00613BFD" w:rsidP="00AB24E3">
      <w:pPr>
        <w:pStyle w:val="Casehead1"/>
        <w:jc w:val="center"/>
      </w:pPr>
      <w:r w:rsidRPr="006524E1">
        <w:t>EXHIBIT 4: KOHO CARD BREAKDOWN</w:t>
      </w:r>
    </w:p>
    <w:p w:rsidR="00613BFD" w:rsidRPr="00613BFD" w:rsidRDefault="00613BFD" w:rsidP="00AB24E3">
      <w:pPr>
        <w:pStyle w:val="BodyTextMain"/>
      </w:pPr>
    </w:p>
    <w:tbl>
      <w:tblPr>
        <w:tblW w:w="6260" w:type="dxa"/>
        <w:tblInd w:w="1917" w:type="dxa"/>
        <w:tblLook w:val="04A0" w:firstRow="1" w:lastRow="0" w:firstColumn="1" w:lastColumn="0" w:noHBand="0" w:noVBand="1"/>
      </w:tblPr>
      <w:tblGrid>
        <w:gridCol w:w="4960"/>
        <w:gridCol w:w="1300"/>
      </w:tblGrid>
      <w:tr w:rsidR="00613BFD" w:rsidRPr="00545CE3" w:rsidTr="00613BFD">
        <w:trPr>
          <w:trHeight w:val="320"/>
        </w:trPr>
        <w:tc>
          <w:tcPr>
            <w:tcW w:w="4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3BFD" w:rsidRPr="00545CE3" w:rsidRDefault="00613BFD" w:rsidP="00613BFD">
            <w:pPr>
              <w:jc w:val="center"/>
              <w:rPr>
                <w:rFonts w:ascii="Arial" w:hAnsi="Arial" w:cs="Arial"/>
                <w:b/>
                <w:bCs/>
                <w:color w:val="000000"/>
                <w:sz w:val="19"/>
                <w:szCs w:val="19"/>
              </w:rPr>
            </w:pPr>
            <w:r w:rsidRPr="00545CE3">
              <w:rPr>
                <w:rFonts w:ascii="Arial" w:hAnsi="Arial" w:cs="Arial"/>
                <w:b/>
                <w:bCs/>
                <w:color w:val="000000"/>
                <w:sz w:val="19"/>
                <w:szCs w:val="19"/>
              </w:rPr>
              <w:t>Service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rsidR="00613BFD" w:rsidRPr="00545CE3" w:rsidRDefault="00613BFD" w:rsidP="00613BFD">
            <w:pPr>
              <w:jc w:val="center"/>
              <w:rPr>
                <w:rFonts w:ascii="Arial" w:hAnsi="Arial" w:cs="Arial"/>
                <w:b/>
                <w:bCs/>
                <w:color w:val="000000"/>
                <w:sz w:val="19"/>
                <w:szCs w:val="19"/>
              </w:rPr>
            </w:pPr>
            <w:r w:rsidRPr="00545CE3">
              <w:rPr>
                <w:rFonts w:ascii="Arial" w:hAnsi="Arial" w:cs="Arial"/>
                <w:b/>
                <w:bCs/>
                <w:color w:val="000000"/>
                <w:sz w:val="19"/>
                <w:szCs w:val="19"/>
              </w:rPr>
              <w:t>Cost</w:t>
            </w:r>
          </w:p>
        </w:tc>
      </w:tr>
      <w:tr w:rsidR="00613BFD" w:rsidRPr="00545CE3" w:rsidTr="00613BFD">
        <w:trPr>
          <w:trHeight w:val="320"/>
        </w:trPr>
        <w:tc>
          <w:tcPr>
            <w:tcW w:w="4960" w:type="dxa"/>
            <w:tcBorders>
              <w:top w:val="nil"/>
              <w:left w:val="single" w:sz="4" w:space="0" w:color="auto"/>
              <w:bottom w:val="single" w:sz="4" w:space="0" w:color="auto"/>
              <w:right w:val="single" w:sz="4" w:space="0" w:color="auto"/>
            </w:tcBorders>
            <w:shd w:val="clear" w:color="auto" w:fill="auto"/>
            <w:noWrap/>
            <w:vAlign w:val="bottom"/>
            <w:hideMark/>
          </w:tcPr>
          <w:p w:rsidR="00613BFD" w:rsidRPr="00545CE3" w:rsidRDefault="00613BFD" w:rsidP="00613BFD">
            <w:pPr>
              <w:rPr>
                <w:rFonts w:ascii="Arial" w:hAnsi="Arial" w:cs="Arial"/>
                <w:color w:val="000000"/>
                <w:sz w:val="19"/>
                <w:szCs w:val="19"/>
              </w:rPr>
            </w:pPr>
            <w:r w:rsidRPr="00545CE3">
              <w:rPr>
                <w:rFonts w:ascii="Arial" w:hAnsi="Arial" w:cs="Arial"/>
                <w:color w:val="000000"/>
                <w:sz w:val="19"/>
                <w:szCs w:val="19"/>
              </w:rPr>
              <w:t>New Card</w:t>
            </w:r>
          </w:p>
        </w:tc>
        <w:tc>
          <w:tcPr>
            <w:tcW w:w="1300" w:type="dxa"/>
            <w:tcBorders>
              <w:top w:val="nil"/>
              <w:left w:val="nil"/>
              <w:bottom w:val="single" w:sz="4" w:space="0" w:color="auto"/>
              <w:right w:val="single" w:sz="4" w:space="0" w:color="auto"/>
            </w:tcBorders>
            <w:shd w:val="clear" w:color="auto" w:fill="auto"/>
            <w:noWrap/>
            <w:vAlign w:val="bottom"/>
            <w:hideMark/>
          </w:tcPr>
          <w:p w:rsidR="00613BFD" w:rsidRPr="00545CE3" w:rsidRDefault="00613BFD" w:rsidP="00613BFD">
            <w:pPr>
              <w:jc w:val="center"/>
              <w:rPr>
                <w:rFonts w:ascii="Arial" w:hAnsi="Arial" w:cs="Arial"/>
                <w:color w:val="000000"/>
                <w:sz w:val="19"/>
                <w:szCs w:val="19"/>
              </w:rPr>
            </w:pPr>
            <w:r w:rsidRPr="00545CE3">
              <w:rPr>
                <w:rFonts w:ascii="Arial" w:hAnsi="Arial" w:cs="Arial"/>
                <w:color w:val="000000"/>
                <w:sz w:val="19"/>
                <w:szCs w:val="19"/>
              </w:rPr>
              <w:t>$0/Free</w:t>
            </w:r>
          </w:p>
        </w:tc>
      </w:tr>
      <w:tr w:rsidR="00613BFD" w:rsidRPr="00545CE3" w:rsidTr="00613BFD">
        <w:trPr>
          <w:trHeight w:val="320"/>
        </w:trPr>
        <w:tc>
          <w:tcPr>
            <w:tcW w:w="4960" w:type="dxa"/>
            <w:tcBorders>
              <w:top w:val="nil"/>
              <w:left w:val="single" w:sz="4" w:space="0" w:color="auto"/>
              <w:bottom w:val="single" w:sz="4" w:space="0" w:color="auto"/>
              <w:right w:val="single" w:sz="4" w:space="0" w:color="auto"/>
            </w:tcBorders>
            <w:shd w:val="clear" w:color="auto" w:fill="auto"/>
            <w:noWrap/>
            <w:vAlign w:val="bottom"/>
            <w:hideMark/>
          </w:tcPr>
          <w:p w:rsidR="00613BFD" w:rsidRPr="00545CE3" w:rsidRDefault="00613BFD" w:rsidP="00613BFD">
            <w:pPr>
              <w:rPr>
                <w:rFonts w:ascii="Arial" w:hAnsi="Arial" w:cs="Arial"/>
                <w:color w:val="000000"/>
                <w:sz w:val="19"/>
                <w:szCs w:val="19"/>
              </w:rPr>
            </w:pPr>
            <w:r w:rsidRPr="00545CE3">
              <w:rPr>
                <w:rFonts w:ascii="Arial" w:hAnsi="Arial" w:cs="Arial"/>
                <w:color w:val="000000"/>
                <w:sz w:val="19"/>
                <w:szCs w:val="19"/>
              </w:rPr>
              <w:t>Account Activation Fee</w:t>
            </w:r>
          </w:p>
        </w:tc>
        <w:tc>
          <w:tcPr>
            <w:tcW w:w="1300" w:type="dxa"/>
            <w:tcBorders>
              <w:top w:val="nil"/>
              <w:left w:val="nil"/>
              <w:bottom w:val="single" w:sz="4" w:space="0" w:color="auto"/>
              <w:right w:val="single" w:sz="4" w:space="0" w:color="auto"/>
            </w:tcBorders>
            <w:shd w:val="clear" w:color="auto" w:fill="auto"/>
            <w:noWrap/>
            <w:vAlign w:val="bottom"/>
            <w:hideMark/>
          </w:tcPr>
          <w:p w:rsidR="00613BFD" w:rsidRPr="00545CE3" w:rsidRDefault="00613BFD" w:rsidP="00613BFD">
            <w:pPr>
              <w:jc w:val="center"/>
              <w:rPr>
                <w:rFonts w:ascii="Arial" w:hAnsi="Arial" w:cs="Arial"/>
                <w:color w:val="000000"/>
                <w:sz w:val="19"/>
                <w:szCs w:val="19"/>
              </w:rPr>
            </w:pPr>
            <w:r w:rsidRPr="00545CE3">
              <w:rPr>
                <w:rFonts w:ascii="Arial" w:hAnsi="Arial" w:cs="Arial"/>
                <w:color w:val="000000"/>
                <w:sz w:val="19"/>
                <w:szCs w:val="19"/>
              </w:rPr>
              <w:t>$0/Free</w:t>
            </w:r>
          </w:p>
        </w:tc>
      </w:tr>
      <w:tr w:rsidR="00613BFD" w:rsidRPr="00545CE3" w:rsidTr="00613BFD">
        <w:trPr>
          <w:trHeight w:val="320"/>
        </w:trPr>
        <w:tc>
          <w:tcPr>
            <w:tcW w:w="4960" w:type="dxa"/>
            <w:tcBorders>
              <w:top w:val="nil"/>
              <w:left w:val="single" w:sz="4" w:space="0" w:color="auto"/>
              <w:bottom w:val="single" w:sz="4" w:space="0" w:color="auto"/>
              <w:right w:val="single" w:sz="4" w:space="0" w:color="auto"/>
            </w:tcBorders>
            <w:shd w:val="clear" w:color="auto" w:fill="auto"/>
            <w:noWrap/>
            <w:vAlign w:val="bottom"/>
            <w:hideMark/>
          </w:tcPr>
          <w:p w:rsidR="00613BFD" w:rsidRPr="00545CE3" w:rsidRDefault="00613BFD" w:rsidP="00613BFD">
            <w:pPr>
              <w:rPr>
                <w:rFonts w:ascii="Arial" w:hAnsi="Arial" w:cs="Arial"/>
                <w:color w:val="000000"/>
                <w:sz w:val="19"/>
                <w:szCs w:val="19"/>
              </w:rPr>
            </w:pPr>
            <w:r w:rsidRPr="00545CE3">
              <w:rPr>
                <w:rFonts w:ascii="Arial" w:hAnsi="Arial" w:cs="Arial"/>
                <w:color w:val="000000"/>
                <w:sz w:val="19"/>
                <w:szCs w:val="19"/>
              </w:rPr>
              <w:t>Monthly Account Fee</w:t>
            </w:r>
          </w:p>
        </w:tc>
        <w:tc>
          <w:tcPr>
            <w:tcW w:w="1300" w:type="dxa"/>
            <w:tcBorders>
              <w:top w:val="nil"/>
              <w:left w:val="nil"/>
              <w:bottom w:val="single" w:sz="4" w:space="0" w:color="auto"/>
              <w:right w:val="single" w:sz="4" w:space="0" w:color="auto"/>
            </w:tcBorders>
            <w:shd w:val="clear" w:color="auto" w:fill="auto"/>
            <w:noWrap/>
            <w:vAlign w:val="bottom"/>
            <w:hideMark/>
          </w:tcPr>
          <w:p w:rsidR="00613BFD" w:rsidRPr="00545CE3" w:rsidRDefault="00613BFD" w:rsidP="00613BFD">
            <w:pPr>
              <w:jc w:val="center"/>
              <w:rPr>
                <w:rFonts w:ascii="Arial" w:hAnsi="Arial" w:cs="Arial"/>
                <w:color w:val="000000"/>
                <w:sz w:val="19"/>
                <w:szCs w:val="19"/>
              </w:rPr>
            </w:pPr>
            <w:r w:rsidRPr="00545CE3">
              <w:rPr>
                <w:rFonts w:ascii="Arial" w:hAnsi="Arial" w:cs="Arial"/>
                <w:color w:val="000000"/>
                <w:sz w:val="19"/>
                <w:szCs w:val="19"/>
              </w:rPr>
              <w:t>$0/Free</w:t>
            </w:r>
          </w:p>
        </w:tc>
      </w:tr>
      <w:tr w:rsidR="00613BFD" w:rsidRPr="00545CE3" w:rsidTr="00613BFD">
        <w:trPr>
          <w:trHeight w:val="320"/>
        </w:trPr>
        <w:tc>
          <w:tcPr>
            <w:tcW w:w="4960" w:type="dxa"/>
            <w:tcBorders>
              <w:top w:val="nil"/>
              <w:left w:val="single" w:sz="4" w:space="0" w:color="auto"/>
              <w:bottom w:val="single" w:sz="4" w:space="0" w:color="auto"/>
              <w:right w:val="single" w:sz="4" w:space="0" w:color="auto"/>
            </w:tcBorders>
            <w:shd w:val="clear" w:color="auto" w:fill="auto"/>
            <w:noWrap/>
            <w:vAlign w:val="bottom"/>
            <w:hideMark/>
          </w:tcPr>
          <w:p w:rsidR="00613BFD" w:rsidRPr="00545CE3" w:rsidRDefault="00613BFD" w:rsidP="00613BFD">
            <w:pPr>
              <w:rPr>
                <w:rFonts w:ascii="Arial" w:hAnsi="Arial" w:cs="Arial"/>
                <w:color w:val="000000"/>
                <w:sz w:val="19"/>
                <w:szCs w:val="19"/>
              </w:rPr>
            </w:pPr>
            <w:r w:rsidRPr="00545CE3">
              <w:rPr>
                <w:rFonts w:ascii="Arial" w:hAnsi="Arial" w:cs="Arial"/>
                <w:color w:val="000000"/>
                <w:sz w:val="19"/>
                <w:szCs w:val="19"/>
              </w:rPr>
              <w:t>Purchases</w:t>
            </w:r>
          </w:p>
        </w:tc>
        <w:tc>
          <w:tcPr>
            <w:tcW w:w="1300" w:type="dxa"/>
            <w:tcBorders>
              <w:top w:val="nil"/>
              <w:left w:val="nil"/>
              <w:bottom w:val="single" w:sz="4" w:space="0" w:color="auto"/>
              <w:right w:val="single" w:sz="4" w:space="0" w:color="auto"/>
            </w:tcBorders>
            <w:shd w:val="clear" w:color="auto" w:fill="auto"/>
            <w:noWrap/>
            <w:vAlign w:val="bottom"/>
            <w:hideMark/>
          </w:tcPr>
          <w:p w:rsidR="00613BFD" w:rsidRPr="00545CE3" w:rsidRDefault="00613BFD" w:rsidP="00613BFD">
            <w:pPr>
              <w:jc w:val="center"/>
              <w:rPr>
                <w:rFonts w:ascii="Arial" w:hAnsi="Arial" w:cs="Arial"/>
                <w:color w:val="000000"/>
                <w:sz w:val="19"/>
                <w:szCs w:val="19"/>
              </w:rPr>
            </w:pPr>
            <w:r w:rsidRPr="00545CE3">
              <w:rPr>
                <w:rFonts w:ascii="Arial" w:hAnsi="Arial" w:cs="Arial"/>
                <w:color w:val="000000"/>
                <w:sz w:val="19"/>
                <w:szCs w:val="19"/>
              </w:rPr>
              <w:t>$0/Free</w:t>
            </w:r>
          </w:p>
        </w:tc>
      </w:tr>
      <w:tr w:rsidR="00613BFD" w:rsidRPr="00545CE3" w:rsidTr="00613BFD">
        <w:trPr>
          <w:trHeight w:val="320"/>
        </w:trPr>
        <w:tc>
          <w:tcPr>
            <w:tcW w:w="4960" w:type="dxa"/>
            <w:tcBorders>
              <w:top w:val="nil"/>
              <w:left w:val="single" w:sz="4" w:space="0" w:color="auto"/>
              <w:bottom w:val="single" w:sz="4" w:space="0" w:color="auto"/>
              <w:right w:val="single" w:sz="4" w:space="0" w:color="auto"/>
            </w:tcBorders>
            <w:shd w:val="clear" w:color="auto" w:fill="auto"/>
            <w:noWrap/>
            <w:vAlign w:val="bottom"/>
            <w:hideMark/>
          </w:tcPr>
          <w:p w:rsidR="00613BFD" w:rsidRPr="00545CE3" w:rsidRDefault="00613BFD" w:rsidP="00613BFD">
            <w:pPr>
              <w:rPr>
                <w:rFonts w:ascii="Arial" w:hAnsi="Arial" w:cs="Arial"/>
                <w:color w:val="000000"/>
                <w:sz w:val="19"/>
                <w:szCs w:val="19"/>
              </w:rPr>
            </w:pPr>
            <w:r w:rsidRPr="00545CE3">
              <w:rPr>
                <w:rFonts w:ascii="Arial" w:hAnsi="Arial" w:cs="Arial"/>
                <w:color w:val="000000"/>
                <w:sz w:val="19"/>
                <w:szCs w:val="19"/>
              </w:rPr>
              <w:t>Interac e-Transfer</w:t>
            </w:r>
          </w:p>
        </w:tc>
        <w:tc>
          <w:tcPr>
            <w:tcW w:w="1300" w:type="dxa"/>
            <w:tcBorders>
              <w:top w:val="nil"/>
              <w:left w:val="nil"/>
              <w:bottom w:val="single" w:sz="4" w:space="0" w:color="auto"/>
              <w:right w:val="single" w:sz="4" w:space="0" w:color="auto"/>
            </w:tcBorders>
            <w:shd w:val="clear" w:color="auto" w:fill="auto"/>
            <w:noWrap/>
            <w:vAlign w:val="bottom"/>
            <w:hideMark/>
          </w:tcPr>
          <w:p w:rsidR="00613BFD" w:rsidRPr="00545CE3" w:rsidRDefault="00613BFD" w:rsidP="00613BFD">
            <w:pPr>
              <w:jc w:val="center"/>
              <w:rPr>
                <w:rFonts w:ascii="Arial" w:hAnsi="Arial" w:cs="Arial"/>
                <w:color w:val="000000"/>
                <w:sz w:val="19"/>
                <w:szCs w:val="19"/>
              </w:rPr>
            </w:pPr>
            <w:r w:rsidRPr="00545CE3">
              <w:rPr>
                <w:rFonts w:ascii="Arial" w:hAnsi="Arial" w:cs="Arial"/>
                <w:color w:val="000000"/>
                <w:sz w:val="19"/>
                <w:szCs w:val="19"/>
              </w:rPr>
              <w:t>$0/Free</w:t>
            </w:r>
          </w:p>
        </w:tc>
      </w:tr>
      <w:tr w:rsidR="00613BFD" w:rsidRPr="00545CE3" w:rsidTr="00613BFD">
        <w:trPr>
          <w:trHeight w:val="320"/>
        </w:trPr>
        <w:tc>
          <w:tcPr>
            <w:tcW w:w="4960" w:type="dxa"/>
            <w:tcBorders>
              <w:top w:val="nil"/>
              <w:left w:val="single" w:sz="4" w:space="0" w:color="auto"/>
              <w:bottom w:val="single" w:sz="4" w:space="0" w:color="auto"/>
              <w:right w:val="single" w:sz="4" w:space="0" w:color="auto"/>
            </w:tcBorders>
            <w:shd w:val="clear" w:color="auto" w:fill="auto"/>
            <w:noWrap/>
            <w:vAlign w:val="bottom"/>
            <w:hideMark/>
          </w:tcPr>
          <w:p w:rsidR="00613BFD" w:rsidRPr="00545CE3" w:rsidRDefault="00613BFD" w:rsidP="00613BFD">
            <w:pPr>
              <w:rPr>
                <w:rFonts w:ascii="Arial" w:hAnsi="Arial" w:cs="Arial"/>
                <w:color w:val="000000"/>
                <w:sz w:val="19"/>
                <w:szCs w:val="19"/>
              </w:rPr>
            </w:pPr>
            <w:r w:rsidRPr="00545CE3">
              <w:rPr>
                <w:rFonts w:ascii="Arial" w:hAnsi="Arial" w:cs="Arial"/>
                <w:color w:val="000000"/>
                <w:sz w:val="19"/>
                <w:szCs w:val="19"/>
              </w:rPr>
              <w:t>Automatic Paycheque Load</w:t>
            </w:r>
          </w:p>
        </w:tc>
        <w:tc>
          <w:tcPr>
            <w:tcW w:w="1300" w:type="dxa"/>
            <w:tcBorders>
              <w:top w:val="nil"/>
              <w:left w:val="nil"/>
              <w:bottom w:val="single" w:sz="4" w:space="0" w:color="auto"/>
              <w:right w:val="single" w:sz="4" w:space="0" w:color="auto"/>
            </w:tcBorders>
            <w:shd w:val="clear" w:color="auto" w:fill="auto"/>
            <w:noWrap/>
            <w:vAlign w:val="bottom"/>
            <w:hideMark/>
          </w:tcPr>
          <w:p w:rsidR="00613BFD" w:rsidRPr="00545CE3" w:rsidRDefault="00613BFD" w:rsidP="00613BFD">
            <w:pPr>
              <w:jc w:val="center"/>
              <w:rPr>
                <w:rFonts w:ascii="Arial" w:hAnsi="Arial" w:cs="Arial"/>
                <w:color w:val="000000"/>
                <w:sz w:val="19"/>
                <w:szCs w:val="19"/>
              </w:rPr>
            </w:pPr>
            <w:r w:rsidRPr="00545CE3">
              <w:rPr>
                <w:rFonts w:ascii="Arial" w:hAnsi="Arial" w:cs="Arial"/>
                <w:color w:val="000000"/>
                <w:sz w:val="19"/>
                <w:szCs w:val="19"/>
              </w:rPr>
              <w:t>$0/Free</w:t>
            </w:r>
          </w:p>
        </w:tc>
      </w:tr>
      <w:tr w:rsidR="00613BFD" w:rsidRPr="00545CE3" w:rsidTr="00613BFD">
        <w:trPr>
          <w:trHeight w:val="320"/>
        </w:trPr>
        <w:tc>
          <w:tcPr>
            <w:tcW w:w="4960" w:type="dxa"/>
            <w:tcBorders>
              <w:top w:val="nil"/>
              <w:left w:val="single" w:sz="4" w:space="0" w:color="auto"/>
              <w:bottom w:val="single" w:sz="4" w:space="0" w:color="auto"/>
              <w:right w:val="single" w:sz="4" w:space="0" w:color="auto"/>
            </w:tcBorders>
            <w:shd w:val="clear" w:color="auto" w:fill="auto"/>
            <w:noWrap/>
            <w:vAlign w:val="bottom"/>
            <w:hideMark/>
          </w:tcPr>
          <w:p w:rsidR="00613BFD" w:rsidRPr="00545CE3" w:rsidRDefault="00613BFD" w:rsidP="00613BFD">
            <w:pPr>
              <w:rPr>
                <w:rFonts w:ascii="Arial" w:hAnsi="Arial" w:cs="Arial"/>
                <w:color w:val="000000"/>
                <w:sz w:val="19"/>
                <w:szCs w:val="19"/>
              </w:rPr>
            </w:pPr>
            <w:r w:rsidRPr="00545CE3">
              <w:rPr>
                <w:rFonts w:ascii="Arial" w:hAnsi="Arial" w:cs="Arial"/>
                <w:color w:val="000000"/>
                <w:sz w:val="19"/>
                <w:szCs w:val="19"/>
              </w:rPr>
              <w:t>Live Customer Service</w:t>
            </w:r>
          </w:p>
        </w:tc>
        <w:tc>
          <w:tcPr>
            <w:tcW w:w="1300" w:type="dxa"/>
            <w:tcBorders>
              <w:top w:val="nil"/>
              <w:left w:val="nil"/>
              <w:bottom w:val="single" w:sz="4" w:space="0" w:color="auto"/>
              <w:right w:val="single" w:sz="4" w:space="0" w:color="auto"/>
            </w:tcBorders>
            <w:shd w:val="clear" w:color="auto" w:fill="auto"/>
            <w:noWrap/>
            <w:vAlign w:val="bottom"/>
            <w:hideMark/>
          </w:tcPr>
          <w:p w:rsidR="00613BFD" w:rsidRPr="00545CE3" w:rsidRDefault="00613BFD" w:rsidP="00613BFD">
            <w:pPr>
              <w:jc w:val="center"/>
              <w:rPr>
                <w:rFonts w:ascii="Arial" w:hAnsi="Arial" w:cs="Arial"/>
                <w:color w:val="000000"/>
                <w:sz w:val="19"/>
                <w:szCs w:val="19"/>
              </w:rPr>
            </w:pPr>
            <w:r w:rsidRPr="00545CE3">
              <w:rPr>
                <w:rFonts w:ascii="Arial" w:hAnsi="Arial" w:cs="Arial"/>
                <w:color w:val="000000"/>
                <w:sz w:val="19"/>
                <w:szCs w:val="19"/>
              </w:rPr>
              <w:t>$0/Free</w:t>
            </w:r>
          </w:p>
        </w:tc>
      </w:tr>
      <w:tr w:rsidR="00613BFD" w:rsidRPr="00545CE3" w:rsidTr="00613BFD">
        <w:trPr>
          <w:trHeight w:val="320"/>
        </w:trPr>
        <w:tc>
          <w:tcPr>
            <w:tcW w:w="4960" w:type="dxa"/>
            <w:tcBorders>
              <w:top w:val="nil"/>
              <w:left w:val="single" w:sz="4" w:space="0" w:color="auto"/>
              <w:bottom w:val="single" w:sz="4" w:space="0" w:color="auto"/>
              <w:right w:val="single" w:sz="4" w:space="0" w:color="auto"/>
            </w:tcBorders>
            <w:shd w:val="clear" w:color="auto" w:fill="auto"/>
            <w:noWrap/>
            <w:vAlign w:val="bottom"/>
            <w:hideMark/>
          </w:tcPr>
          <w:p w:rsidR="00613BFD" w:rsidRPr="00545CE3" w:rsidRDefault="00613BFD" w:rsidP="00613BFD">
            <w:pPr>
              <w:rPr>
                <w:rFonts w:ascii="Arial" w:hAnsi="Arial" w:cs="Arial"/>
                <w:color w:val="000000"/>
                <w:sz w:val="19"/>
                <w:szCs w:val="19"/>
              </w:rPr>
            </w:pPr>
            <w:r w:rsidRPr="00545CE3">
              <w:rPr>
                <w:rFonts w:ascii="Arial" w:hAnsi="Arial" w:cs="Arial"/>
                <w:color w:val="000000"/>
                <w:sz w:val="19"/>
                <w:szCs w:val="19"/>
              </w:rPr>
              <w:t>ATM Withdrawal - Domestic, in network ATM</w:t>
            </w:r>
          </w:p>
        </w:tc>
        <w:tc>
          <w:tcPr>
            <w:tcW w:w="1300" w:type="dxa"/>
            <w:tcBorders>
              <w:top w:val="nil"/>
              <w:left w:val="nil"/>
              <w:bottom w:val="single" w:sz="4" w:space="0" w:color="auto"/>
              <w:right w:val="single" w:sz="4" w:space="0" w:color="auto"/>
            </w:tcBorders>
            <w:shd w:val="clear" w:color="auto" w:fill="auto"/>
            <w:noWrap/>
            <w:vAlign w:val="bottom"/>
            <w:hideMark/>
          </w:tcPr>
          <w:p w:rsidR="00613BFD" w:rsidRPr="00545CE3" w:rsidRDefault="00613BFD" w:rsidP="00613BFD">
            <w:pPr>
              <w:jc w:val="center"/>
              <w:rPr>
                <w:rFonts w:ascii="Arial" w:hAnsi="Arial" w:cs="Arial"/>
                <w:color w:val="000000"/>
                <w:sz w:val="19"/>
                <w:szCs w:val="19"/>
              </w:rPr>
            </w:pPr>
            <w:r w:rsidRPr="00545CE3">
              <w:rPr>
                <w:rFonts w:ascii="Arial" w:hAnsi="Arial" w:cs="Arial"/>
                <w:color w:val="000000"/>
                <w:sz w:val="19"/>
                <w:szCs w:val="19"/>
              </w:rPr>
              <w:t>$0/Free</w:t>
            </w:r>
          </w:p>
        </w:tc>
      </w:tr>
      <w:tr w:rsidR="00613BFD" w:rsidRPr="00545CE3" w:rsidTr="00613BFD">
        <w:trPr>
          <w:trHeight w:val="320"/>
        </w:trPr>
        <w:tc>
          <w:tcPr>
            <w:tcW w:w="4960" w:type="dxa"/>
            <w:tcBorders>
              <w:top w:val="nil"/>
              <w:left w:val="single" w:sz="4" w:space="0" w:color="auto"/>
              <w:bottom w:val="single" w:sz="4" w:space="0" w:color="auto"/>
              <w:right w:val="single" w:sz="4" w:space="0" w:color="auto"/>
            </w:tcBorders>
            <w:shd w:val="clear" w:color="auto" w:fill="auto"/>
            <w:noWrap/>
            <w:vAlign w:val="bottom"/>
            <w:hideMark/>
          </w:tcPr>
          <w:p w:rsidR="00613BFD" w:rsidRPr="00545CE3" w:rsidRDefault="00613BFD" w:rsidP="00613BFD">
            <w:pPr>
              <w:rPr>
                <w:rFonts w:ascii="Arial" w:hAnsi="Arial" w:cs="Arial"/>
                <w:color w:val="000000"/>
                <w:sz w:val="19"/>
                <w:szCs w:val="19"/>
              </w:rPr>
            </w:pPr>
            <w:r w:rsidRPr="00545CE3">
              <w:rPr>
                <w:rFonts w:ascii="Arial" w:hAnsi="Arial" w:cs="Arial"/>
                <w:color w:val="000000"/>
                <w:sz w:val="19"/>
                <w:szCs w:val="19"/>
              </w:rPr>
              <w:t>ATM Withdrawal - Domestic, out of network ATM</w:t>
            </w:r>
          </w:p>
        </w:tc>
        <w:tc>
          <w:tcPr>
            <w:tcW w:w="1300" w:type="dxa"/>
            <w:tcBorders>
              <w:top w:val="nil"/>
              <w:left w:val="nil"/>
              <w:bottom w:val="single" w:sz="4" w:space="0" w:color="auto"/>
              <w:right w:val="single" w:sz="4" w:space="0" w:color="auto"/>
            </w:tcBorders>
            <w:shd w:val="clear" w:color="auto" w:fill="auto"/>
            <w:noWrap/>
            <w:vAlign w:val="bottom"/>
            <w:hideMark/>
          </w:tcPr>
          <w:p w:rsidR="00613BFD" w:rsidRPr="00545CE3" w:rsidRDefault="00613BFD" w:rsidP="00613BFD">
            <w:pPr>
              <w:jc w:val="center"/>
              <w:rPr>
                <w:rFonts w:ascii="Arial" w:hAnsi="Arial" w:cs="Arial"/>
                <w:color w:val="000000"/>
                <w:sz w:val="19"/>
                <w:szCs w:val="19"/>
              </w:rPr>
            </w:pPr>
            <w:r w:rsidRPr="00545CE3">
              <w:rPr>
                <w:rFonts w:ascii="Arial" w:hAnsi="Arial" w:cs="Arial"/>
                <w:color w:val="000000"/>
                <w:sz w:val="19"/>
                <w:szCs w:val="19"/>
              </w:rPr>
              <w:t>$2.00</w:t>
            </w:r>
          </w:p>
        </w:tc>
      </w:tr>
      <w:tr w:rsidR="00613BFD" w:rsidRPr="00545CE3" w:rsidTr="00613BFD">
        <w:trPr>
          <w:trHeight w:val="320"/>
        </w:trPr>
        <w:tc>
          <w:tcPr>
            <w:tcW w:w="4960" w:type="dxa"/>
            <w:tcBorders>
              <w:top w:val="nil"/>
              <w:left w:val="single" w:sz="4" w:space="0" w:color="auto"/>
              <w:bottom w:val="single" w:sz="4" w:space="0" w:color="auto"/>
              <w:right w:val="single" w:sz="4" w:space="0" w:color="auto"/>
            </w:tcBorders>
            <w:shd w:val="clear" w:color="auto" w:fill="auto"/>
            <w:noWrap/>
            <w:vAlign w:val="bottom"/>
            <w:hideMark/>
          </w:tcPr>
          <w:p w:rsidR="00613BFD" w:rsidRPr="00545CE3" w:rsidRDefault="00613BFD" w:rsidP="00613BFD">
            <w:pPr>
              <w:rPr>
                <w:rFonts w:ascii="Arial" w:hAnsi="Arial" w:cs="Arial"/>
                <w:color w:val="000000"/>
                <w:sz w:val="19"/>
                <w:szCs w:val="19"/>
              </w:rPr>
            </w:pPr>
            <w:r w:rsidRPr="00545CE3">
              <w:rPr>
                <w:rFonts w:ascii="Arial" w:hAnsi="Arial" w:cs="Arial"/>
                <w:color w:val="000000"/>
                <w:sz w:val="19"/>
                <w:szCs w:val="19"/>
              </w:rPr>
              <w:t>International ATM Withdrawal</w:t>
            </w:r>
          </w:p>
        </w:tc>
        <w:tc>
          <w:tcPr>
            <w:tcW w:w="1300" w:type="dxa"/>
            <w:tcBorders>
              <w:top w:val="nil"/>
              <w:left w:val="nil"/>
              <w:bottom w:val="single" w:sz="4" w:space="0" w:color="auto"/>
              <w:right w:val="single" w:sz="4" w:space="0" w:color="auto"/>
            </w:tcBorders>
            <w:shd w:val="clear" w:color="auto" w:fill="auto"/>
            <w:noWrap/>
            <w:vAlign w:val="bottom"/>
            <w:hideMark/>
          </w:tcPr>
          <w:p w:rsidR="00613BFD" w:rsidRPr="00545CE3" w:rsidRDefault="00613BFD" w:rsidP="00613BFD">
            <w:pPr>
              <w:jc w:val="center"/>
              <w:rPr>
                <w:rFonts w:ascii="Arial" w:hAnsi="Arial" w:cs="Arial"/>
                <w:color w:val="000000"/>
                <w:sz w:val="19"/>
                <w:szCs w:val="19"/>
              </w:rPr>
            </w:pPr>
            <w:r w:rsidRPr="00545CE3">
              <w:rPr>
                <w:rFonts w:ascii="Arial" w:hAnsi="Arial" w:cs="Arial"/>
                <w:color w:val="000000"/>
                <w:sz w:val="19"/>
                <w:szCs w:val="19"/>
              </w:rPr>
              <w:t>$3.00</w:t>
            </w:r>
          </w:p>
        </w:tc>
      </w:tr>
      <w:tr w:rsidR="00613BFD" w:rsidRPr="00545CE3" w:rsidTr="00613BFD">
        <w:trPr>
          <w:trHeight w:val="320"/>
        </w:trPr>
        <w:tc>
          <w:tcPr>
            <w:tcW w:w="4960" w:type="dxa"/>
            <w:tcBorders>
              <w:top w:val="nil"/>
              <w:left w:val="single" w:sz="4" w:space="0" w:color="auto"/>
              <w:bottom w:val="single" w:sz="4" w:space="0" w:color="auto"/>
              <w:right w:val="single" w:sz="4" w:space="0" w:color="auto"/>
            </w:tcBorders>
            <w:shd w:val="clear" w:color="auto" w:fill="auto"/>
            <w:noWrap/>
            <w:vAlign w:val="bottom"/>
            <w:hideMark/>
          </w:tcPr>
          <w:p w:rsidR="00613BFD" w:rsidRPr="00545CE3" w:rsidRDefault="00613BFD" w:rsidP="00613BFD">
            <w:pPr>
              <w:rPr>
                <w:rFonts w:ascii="Arial" w:hAnsi="Arial" w:cs="Arial"/>
                <w:color w:val="000000"/>
                <w:sz w:val="19"/>
                <w:szCs w:val="19"/>
              </w:rPr>
            </w:pPr>
            <w:r w:rsidRPr="00545CE3">
              <w:rPr>
                <w:rFonts w:ascii="Arial" w:hAnsi="Arial" w:cs="Arial"/>
                <w:color w:val="000000"/>
                <w:sz w:val="19"/>
                <w:szCs w:val="19"/>
              </w:rPr>
              <w:t>Foreign Exchange Transaction Fee</w:t>
            </w:r>
          </w:p>
        </w:tc>
        <w:tc>
          <w:tcPr>
            <w:tcW w:w="1300" w:type="dxa"/>
            <w:tcBorders>
              <w:top w:val="nil"/>
              <w:left w:val="nil"/>
              <w:bottom w:val="single" w:sz="4" w:space="0" w:color="auto"/>
              <w:right w:val="single" w:sz="4" w:space="0" w:color="auto"/>
            </w:tcBorders>
            <w:shd w:val="clear" w:color="auto" w:fill="auto"/>
            <w:noWrap/>
            <w:vAlign w:val="bottom"/>
            <w:hideMark/>
          </w:tcPr>
          <w:p w:rsidR="00613BFD" w:rsidRPr="00545CE3" w:rsidRDefault="00613BFD" w:rsidP="00613BFD">
            <w:pPr>
              <w:jc w:val="center"/>
              <w:rPr>
                <w:rFonts w:ascii="Arial" w:hAnsi="Arial" w:cs="Arial"/>
                <w:color w:val="000000"/>
                <w:sz w:val="19"/>
                <w:szCs w:val="19"/>
              </w:rPr>
            </w:pPr>
            <w:r w:rsidRPr="00545CE3">
              <w:rPr>
                <w:rFonts w:ascii="Arial" w:hAnsi="Arial" w:cs="Arial"/>
                <w:color w:val="000000"/>
                <w:sz w:val="19"/>
                <w:szCs w:val="19"/>
              </w:rPr>
              <w:t>1.50%</w:t>
            </w:r>
          </w:p>
        </w:tc>
      </w:tr>
      <w:tr w:rsidR="00613BFD" w:rsidRPr="00545CE3" w:rsidTr="00613BFD">
        <w:trPr>
          <w:trHeight w:val="320"/>
        </w:trPr>
        <w:tc>
          <w:tcPr>
            <w:tcW w:w="4960" w:type="dxa"/>
            <w:tcBorders>
              <w:top w:val="nil"/>
              <w:left w:val="single" w:sz="4" w:space="0" w:color="auto"/>
              <w:bottom w:val="single" w:sz="4" w:space="0" w:color="auto"/>
              <w:right w:val="single" w:sz="4" w:space="0" w:color="auto"/>
            </w:tcBorders>
            <w:shd w:val="clear" w:color="auto" w:fill="auto"/>
            <w:noWrap/>
            <w:vAlign w:val="bottom"/>
            <w:hideMark/>
          </w:tcPr>
          <w:p w:rsidR="00613BFD" w:rsidRPr="00545CE3" w:rsidRDefault="00613BFD" w:rsidP="00613BFD">
            <w:pPr>
              <w:rPr>
                <w:rFonts w:ascii="Arial" w:hAnsi="Arial" w:cs="Arial"/>
                <w:color w:val="000000"/>
                <w:sz w:val="19"/>
                <w:szCs w:val="19"/>
              </w:rPr>
            </w:pPr>
            <w:r w:rsidRPr="00545CE3">
              <w:rPr>
                <w:rFonts w:ascii="Arial" w:hAnsi="Arial" w:cs="Arial"/>
                <w:color w:val="000000"/>
                <w:sz w:val="19"/>
                <w:szCs w:val="19"/>
              </w:rPr>
              <w:t>Card Replacement Fee</w:t>
            </w:r>
          </w:p>
        </w:tc>
        <w:tc>
          <w:tcPr>
            <w:tcW w:w="1300" w:type="dxa"/>
            <w:tcBorders>
              <w:top w:val="nil"/>
              <w:left w:val="nil"/>
              <w:bottom w:val="single" w:sz="4" w:space="0" w:color="auto"/>
              <w:right w:val="single" w:sz="4" w:space="0" w:color="auto"/>
            </w:tcBorders>
            <w:shd w:val="clear" w:color="auto" w:fill="auto"/>
            <w:noWrap/>
            <w:vAlign w:val="bottom"/>
            <w:hideMark/>
          </w:tcPr>
          <w:p w:rsidR="00613BFD" w:rsidRPr="00545CE3" w:rsidRDefault="00613BFD" w:rsidP="00613BFD">
            <w:pPr>
              <w:jc w:val="center"/>
              <w:rPr>
                <w:rFonts w:ascii="Arial" w:hAnsi="Arial" w:cs="Arial"/>
                <w:color w:val="000000"/>
                <w:sz w:val="19"/>
                <w:szCs w:val="19"/>
              </w:rPr>
            </w:pPr>
            <w:r w:rsidRPr="00545CE3">
              <w:rPr>
                <w:rFonts w:ascii="Arial" w:hAnsi="Arial" w:cs="Arial"/>
                <w:color w:val="000000"/>
                <w:sz w:val="19"/>
                <w:szCs w:val="19"/>
              </w:rPr>
              <w:t>$0/Free</w:t>
            </w:r>
          </w:p>
        </w:tc>
      </w:tr>
      <w:tr w:rsidR="00613BFD" w:rsidRPr="00545CE3" w:rsidTr="00613BFD">
        <w:trPr>
          <w:trHeight w:val="320"/>
        </w:trPr>
        <w:tc>
          <w:tcPr>
            <w:tcW w:w="4960" w:type="dxa"/>
            <w:tcBorders>
              <w:top w:val="nil"/>
              <w:left w:val="single" w:sz="4" w:space="0" w:color="auto"/>
              <w:bottom w:val="single" w:sz="4" w:space="0" w:color="auto"/>
              <w:right w:val="single" w:sz="4" w:space="0" w:color="auto"/>
            </w:tcBorders>
            <w:shd w:val="clear" w:color="auto" w:fill="auto"/>
            <w:noWrap/>
            <w:vAlign w:val="bottom"/>
            <w:hideMark/>
          </w:tcPr>
          <w:p w:rsidR="00613BFD" w:rsidRPr="00545CE3" w:rsidRDefault="00613BFD" w:rsidP="00613BFD">
            <w:pPr>
              <w:rPr>
                <w:rFonts w:ascii="Arial" w:hAnsi="Arial" w:cs="Arial"/>
                <w:color w:val="000000"/>
                <w:sz w:val="19"/>
                <w:szCs w:val="19"/>
              </w:rPr>
            </w:pPr>
            <w:r w:rsidRPr="00545CE3">
              <w:rPr>
                <w:rFonts w:ascii="Arial" w:hAnsi="Arial" w:cs="Arial"/>
                <w:color w:val="000000"/>
                <w:sz w:val="19"/>
                <w:szCs w:val="19"/>
              </w:rPr>
              <w:t>Card Cancellation Fee</w:t>
            </w:r>
          </w:p>
        </w:tc>
        <w:tc>
          <w:tcPr>
            <w:tcW w:w="1300" w:type="dxa"/>
            <w:tcBorders>
              <w:top w:val="nil"/>
              <w:left w:val="nil"/>
              <w:bottom w:val="single" w:sz="4" w:space="0" w:color="auto"/>
              <w:right w:val="single" w:sz="4" w:space="0" w:color="auto"/>
            </w:tcBorders>
            <w:shd w:val="clear" w:color="auto" w:fill="auto"/>
            <w:noWrap/>
            <w:vAlign w:val="bottom"/>
            <w:hideMark/>
          </w:tcPr>
          <w:p w:rsidR="00613BFD" w:rsidRPr="00545CE3" w:rsidRDefault="00613BFD" w:rsidP="00613BFD">
            <w:pPr>
              <w:jc w:val="center"/>
              <w:rPr>
                <w:rFonts w:ascii="Arial" w:hAnsi="Arial" w:cs="Arial"/>
                <w:color w:val="000000"/>
                <w:sz w:val="19"/>
                <w:szCs w:val="19"/>
              </w:rPr>
            </w:pPr>
            <w:r w:rsidRPr="00545CE3">
              <w:rPr>
                <w:rFonts w:ascii="Arial" w:hAnsi="Arial" w:cs="Arial"/>
                <w:color w:val="000000"/>
                <w:sz w:val="19"/>
                <w:szCs w:val="19"/>
              </w:rPr>
              <w:t>$0/Free</w:t>
            </w:r>
          </w:p>
        </w:tc>
      </w:tr>
    </w:tbl>
    <w:p w:rsidR="00613BFD" w:rsidRPr="00AB24E3" w:rsidRDefault="00613BFD" w:rsidP="00AB24E3">
      <w:pPr>
        <w:pStyle w:val="FootnoteText1"/>
      </w:pPr>
    </w:p>
    <w:p w:rsidR="00AB24E3" w:rsidRDefault="00613BFD" w:rsidP="00AB24E3">
      <w:pPr>
        <w:pStyle w:val="FootnoteText1"/>
        <w:rPr>
          <w:iCs w:val="0"/>
        </w:rPr>
      </w:pPr>
      <w:r w:rsidRPr="00AB24E3">
        <w:t>Source: Koho website, accessed March 5, 2017, www.koho.ca.</w:t>
      </w:r>
      <w:r w:rsidR="00AB24E3">
        <w:br w:type="page"/>
      </w:r>
    </w:p>
    <w:p w:rsidR="00613BFD" w:rsidRPr="006524E1" w:rsidRDefault="00613BFD" w:rsidP="00AB24E3">
      <w:pPr>
        <w:pStyle w:val="Casehead1"/>
        <w:jc w:val="center"/>
      </w:pPr>
      <w:r w:rsidRPr="006524E1">
        <w:lastRenderedPageBreak/>
        <w:t>EXHIBIT 5: NATIONAL ROBO-ADVISORS</w:t>
      </w:r>
    </w:p>
    <w:p w:rsidR="00613BFD" w:rsidRPr="00AB24E3" w:rsidRDefault="00613BFD" w:rsidP="00AB24E3">
      <w:pPr>
        <w:pStyle w:val="BodyTextMain"/>
        <w:rPr>
          <w:sz w:val="18"/>
          <w:szCs w:val="18"/>
        </w:rPr>
      </w:pPr>
    </w:p>
    <w:p w:rsidR="00613BFD" w:rsidRPr="006524E1" w:rsidRDefault="00613BFD" w:rsidP="00AB24E3">
      <w:pPr>
        <w:jc w:val="center"/>
        <w:rPr>
          <w:spacing w:val="-1"/>
          <w:sz w:val="22"/>
          <w:szCs w:val="22"/>
        </w:rPr>
      </w:pPr>
      <w:r w:rsidRPr="006524E1">
        <w:rPr>
          <w:noProof/>
          <w:lang w:val="en-GB" w:eastAsia="en-GB"/>
        </w:rPr>
        <w:drawing>
          <wp:inline distT="0" distB="0" distL="0" distR="0" wp14:anchorId="051078D5" wp14:editId="63F8386D">
            <wp:extent cx="5652135" cy="2558602"/>
            <wp:effectExtent l="0" t="0" r="12065" b="6985"/>
            <wp:docPr id="3" name="Picture 3" descr="../Desktop/Exhibit%20Rob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Exhibit%20Robo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54234" cy="2559552"/>
                    </a:xfrm>
                    <a:prstGeom prst="rect">
                      <a:avLst/>
                    </a:prstGeom>
                    <a:noFill/>
                    <a:ln>
                      <a:noFill/>
                    </a:ln>
                  </pic:spPr>
                </pic:pic>
              </a:graphicData>
            </a:graphic>
          </wp:inline>
        </w:drawing>
      </w:r>
    </w:p>
    <w:p w:rsidR="00613BFD" w:rsidRPr="00AB24E3" w:rsidRDefault="00613BFD" w:rsidP="00AB24E3">
      <w:pPr>
        <w:pStyle w:val="FootnoteText1"/>
      </w:pPr>
    </w:p>
    <w:p w:rsidR="00AB24E3" w:rsidRDefault="00613BFD" w:rsidP="00AB24E3">
      <w:pPr>
        <w:pStyle w:val="FootnoteText1"/>
      </w:pPr>
      <w:r w:rsidRPr="00AB24E3">
        <w:t>Source: Rob Carrick, “The 2016 Robo-</w:t>
      </w:r>
      <w:r w:rsidR="00910782">
        <w:t>A</w:t>
      </w:r>
      <w:r w:rsidRPr="00AB24E3">
        <w:t>dvisor Round-</w:t>
      </w:r>
      <w:r w:rsidR="00910782">
        <w:t>U</w:t>
      </w:r>
      <w:r w:rsidRPr="00AB24E3">
        <w:t>p</w:t>
      </w:r>
      <w:r w:rsidR="00AB24E3">
        <w:t>,</w:t>
      </w:r>
      <w:r w:rsidRPr="00AB24E3">
        <w:t xml:space="preserve">” </w:t>
      </w:r>
      <w:r w:rsidRPr="00AB24E3">
        <w:rPr>
          <w:i/>
        </w:rPr>
        <w:t>Globe and Mail,</w:t>
      </w:r>
      <w:r w:rsidRPr="00AB24E3">
        <w:t xml:space="preserve"> October 2016, accessed March 4, 2017, </w:t>
      </w:r>
      <w:r w:rsidR="00AB24E3" w:rsidRPr="00AB24E3">
        <w:t>https://www.theglobeandmail.com/globe-investor/funds-and-etfs/etfs/everything-you-need-to-know-about-robo-advisers/</w:t>
      </w:r>
    </w:p>
    <w:p w:rsidR="00613BFD" w:rsidRPr="00AB24E3" w:rsidRDefault="00613BFD" w:rsidP="00AB24E3">
      <w:pPr>
        <w:pStyle w:val="FootnoteText1"/>
      </w:pPr>
      <w:r w:rsidRPr="00AB24E3">
        <w:t>article32302639/.</w:t>
      </w:r>
    </w:p>
    <w:p w:rsidR="00613BFD" w:rsidRDefault="00613BFD" w:rsidP="00AB24E3">
      <w:pPr>
        <w:pStyle w:val="BodyTextMain"/>
      </w:pPr>
    </w:p>
    <w:p w:rsidR="00AB24E3" w:rsidRPr="00AB24E3" w:rsidRDefault="00AB24E3" w:rsidP="00AB24E3">
      <w:pPr>
        <w:pStyle w:val="BodyTextMain"/>
        <w:rPr>
          <w:lang w:eastAsia="en-CA"/>
        </w:rPr>
      </w:pPr>
    </w:p>
    <w:p w:rsidR="00613BFD" w:rsidRPr="006524E1" w:rsidRDefault="00613BFD" w:rsidP="00AB24E3">
      <w:pPr>
        <w:pStyle w:val="Casehead1"/>
        <w:jc w:val="center"/>
      </w:pPr>
      <w:r w:rsidRPr="006524E1">
        <w:t>EXHIBIT 6A: INCOME STATEMENT</w:t>
      </w:r>
      <w:r>
        <w:t xml:space="preserve"> FOR MOGO, 2014–2016</w:t>
      </w:r>
    </w:p>
    <w:p w:rsidR="00613BFD" w:rsidRPr="006524E1" w:rsidRDefault="00613BFD" w:rsidP="00AB24E3">
      <w:pPr>
        <w:pStyle w:val="Casehead2"/>
        <w:jc w:val="center"/>
      </w:pPr>
      <w:r w:rsidRPr="00613BFD">
        <w:t xml:space="preserve">Years Ended December 31 (in </w:t>
      </w:r>
      <w:r>
        <w:rPr>
          <w:bCs/>
          <w:szCs w:val="18"/>
        </w:rPr>
        <w:t>thousands</w:t>
      </w:r>
      <w:r w:rsidRPr="006524E1">
        <w:rPr>
          <w:bCs/>
          <w:szCs w:val="18"/>
        </w:rPr>
        <w:t>, CA$)</w:t>
      </w:r>
    </w:p>
    <w:p w:rsidR="00613BFD" w:rsidRPr="00AB24E3" w:rsidRDefault="00613BFD" w:rsidP="00AB24E3">
      <w:pPr>
        <w:pStyle w:val="BodyTextMain"/>
        <w:rPr>
          <w:sz w:val="18"/>
          <w:szCs w:val="18"/>
        </w:rPr>
      </w:pPr>
    </w:p>
    <w:tbl>
      <w:tblPr>
        <w:tblW w:w="9576" w:type="dxa"/>
        <w:jc w:val="center"/>
        <w:tblLook w:val="04A0" w:firstRow="1" w:lastRow="0" w:firstColumn="1" w:lastColumn="0" w:noHBand="0" w:noVBand="1"/>
      </w:tblPr>
      <w:tblGrid>
        <w:gridCol w:w="4865"/>
        <w:gridCol w:w="1665"/>
        <w:gridCol w:w="1668"/>
        <w:gridCol w:w="1378"/>
      </w:tblGrid>
      <w:tr w:rsidR="00613BFD" w:rsidRPr="00AB24E3" w:rsidTr="00AB24E3">
        <w:trPr>
          <w:trHeight w:val="20"/>
          <w:jc w:val="center"/>
        </w:trPr>
        <w:tc>
          <w:tcPr>
            <w:tcW w:w="4865" w:type="dxa"/>
            <w:tcBorders>
              <w:top w:val="nil"/>
              <w:left w:val="nil"/>
              <w:bottom w:val="single" w:sz="8" w:space="0" w:color="auto"/>
              <w:right w:val="nil"/>
            </w:tcBorders>
            <w:shd w:val="clear" w:color="auto" w:fill="auto"/>
            <w:noWrap/>
            <w:vAlign w:val="bottom"/>
            <w:hideMark/>
          </w:tcPr>
          <w:p w:rsidR="00613BFD" w:rsidRPr="00613BFD" w:rsidRDefault="00613BFD" w:rsidP="00613BFD">
            <w:pPr>
              <w:rPr>
                <w:rFonts w:ascii="Arial" w:hAnsi="Arial"/>
                <w:b/>
                <w:i/>
                <w:color w:val="000000"/>
                <w:sz w:val="18"/>
              </w:rPr>
            </w:pPr>
            <w:r w:rsidRPr="00613BFD">
              <w:rPr>
                <w:rFonts w:ascii="Arial" w:hAnsi="Arial"/>
                <w:b/>
                <w:i/>
                <w:color w:val="000000"/>
                <w:sz w:val="18"/>
              </w:rPr>
              <w:t> </w:t>
            </w:r>
          </w:p>
        </w:tc>
        <w:tc>
          <w:tcPr>
            <w:tcW w:w="1665" w:type="dxa"/>
            <w:tcBorders>
              <w:top w:val="nil"/>
              <w:left w:val="nil"/>
              <w:bottom w:val="single" w:sz="8" w:space="0" w:color="auto"/>
              <w:right w:val="nil"/>
            </w:tcBorders>
            <w:shd w:val="clear" w:color="auto" w:fill="auto"/>
            <w:noWrap/>
            <w:vAlign w:val="bottom"/>
            <w:hideMark/>
          </w:tcPr>
          <w:p w:rsidR="00613BFD" w:rsidRPr="00AB24E3" w:rsidRDefault="00613BFD" w:rsidP="00613BFD">
            <w:pPr>
              <w:jc w:val="right"/>
              <w:rPr>
                <w:rFonts w:ascii="Arial" w:hAnsi="Arial" w:cs="Arial"/>
                <w:b/>
                <w:bCs/>
                <w:iCs/>
                <w:color w:val="000000"/>
                <w:sz w:val="18"/>
                <w:szCs w:val="18"/>
              </w:rPr>
            </w:pPr>
            <w:r w:rsidRPr="00AB24E3">
              <w:rPr>
                <w:rFonts w:ascii="Arial" w:hAnsi="Arial" w:cs="Arial"/>
                <w:b/>
                <w:bCs/>
                <w:iCs/>
                <w:color w:val="000000"/>
                <w:sz w:val="18"/>
                <w:szCs w:val="18"/>
              </w:rPr>
              <w:t>2016</w:t>
            </w:r>
          </w:p>
        </w:tc>
        <w:tc>
          <w:tcPr>
            <w:tcW w:w="1668" w:type="dxa"/>
            <w:tcBorders>
              <w:top w:val="nil"/>
              <w:left w:val="nil"/>
              <w:bottom w:val="single" w:sz="8" w:space="0" w:color="auto"/>
              <w:right w:val="nil"/>
            </w:tcBorders>
            <w:shd w:val="clear" w:color="auto" w:fill="auto"/>
            <w:noWrap/>
            <w:vAlign w:val="bottom"/>
            <w:hideMark/>
          </w:tcPr>
          <w:p w:rsidR="00613BFD" w:rsidRPr="00AB24E3" w:rsidRDefault="00613BFD" w:rsidP="00613BFD">
            <w:pPr>
              <w:jc w:val="right"/>
              <w:rPr>
                <w:rFonts w:ascii="Arial" w:hAnsi="Arial"/>
                <w:b/>
                <w:color w:val="000000"/>
                <w:sz w:val="18"/>
              </w:rPr>
            </w:pPr>
            <w:r w:rsidRPr="00AB24E3">
              <w:rPr>
                <w:rFonts w:ascii="Arial" w:hAnsi="Arial"/>
                <w:b/>
                <w:color w:val="000000"/>
                <w:sz w:val="18"/>
              </w:rPr>
              <w:t>2015</w:t>
            </w:r>
          </w:p>
        </w:tc>
        <w:tc>
          <w:tcPr>
            <w:tcW w:w="1378" w:type="dxa"/>
            <w:tcBorders>
              <w:top w:val="nil"/>
              <w:left w:val="nil"/>
              <w:bottom w:val="single" w:sz="8" w:space="0" w:color="auto"/>
              <w:right w:val="nil"/>
            </w:tcBorders>
            <w:shd w:val="clear" w:color="auto" w:fill="auto"/>
            <w:vAlign w:val="bottom"/>
          </w:tcPr>
          <w:p w:rsidR="00613BFD" w:rsidRPr="00AB24E3" w:rsidRDefault="00613BFD" w:rsidP="00613BFD">
            <w:pPr>
              <w:jc w:val="right"/>
              <w:rPr>
                <w:rFonts w:ascii="Arial" w:hAnsi="Arial"/>
                <w:b/>
                <w:color w:val="000000"/>
                <w:sz w:val="18"/>
              </w:rPr>
            </w:pPr>
            <w:r w:rsidRPr="00AB24E3">
              <w:rPr>
                <w:rFonts w:ascii="Arial" w:hAnsi="Arial"/>
                <w:b/>
                <w:color w:val="000000"/>
                <w:sz w:val="18"/>
              </w:rPr>
              <w:t>2014</w:t>
            </w:r>
          </w:p>
        </w:tc>
      </w:tr>
      <w:tr w:rsidR="00613BFD" w:rsidRPr="006524E1" w:rsidTr="00AB24E3">
        <w:trPr>
          <w:trHeight w:val="20"/>
          <w:jc w:val="center"/>
        </w:trPr>
        <w:tc>
          <w:tcPr>
            <w:tcW w:w="4865" w:type="dxa"/>
            <w:tcBorders>
              <w:top w:val="nil"/>
              <w:left w:val="nil"/>
              <w:bottom w:val="nil"/>
              <w:right w:val="nil"/>
            </w:tcBorders>
            <w:shd w:val="clear" w:color="auto" w:fill="auto"/>
            <w:vAlign w:val="bottom"/>
            <w:hideMark/>
          </w:tcPr>
          <w:p w:rsidR="00613BFD" w:rsidRPr="00613BFD" w:rsidRDefault="00613BFD" w:rsidP="00613BFD">
            <w:pPr>
              <w:rPr>
                <w:rFonts w:ascii="Arial" w:hAnsi="Arial"/>
                <w:b/>
                <w:color w:val="000000"/>
                <w:sz w:val="18"/>
              </w:rPr>
            </w:pPr>
            <w:r w:rsidRPr="00613BFD">
              <w:rPr>
                <w:rFonts w:ascii="Arial" w:hAnsi="Arial"/>
                <w:b/>
                <w:color w:val="000000"/>
                <w:sz w:val="18"/>
              </w:rPr>
              <w:t>Revenue</w:t>
            </w:r>
          </w:p>
        </w:tc>
        <w:tc>
          <w:tcPr>
            <w:tcW w:w="1665" w:type="dxa"/>
            <w:tcBorders>
              <w:top w:val="nil"/>
              <w:left w:val="nil"/>
              <w:bottom w:val="nil"/>
              <w:right w:val="nil"/>
            </w:tcBorders>
            <w:shd w:val="clear" w:color="000000" w:fill="E7E6E6"/>
            <w:noWrap/>
            <w:vAlign w:val="bottom"/>
            <w:hideMark/>
          </w:tcPr>
          <w:p w:rsidR="00613BFD" w:rsidRPr="00613BFD" w:rsidRDefault="00613BFD" w:rsidP="00613BFD">
            <w:pPr>
              <w:rPr>
                <w:rFonts w:ascii="Arial" w:hAnsi="Arial"/>
                <w:color w:val="000000"/>
                <w:sz w:val="18"/>
              </w:rPr>
            </w:pPr>
            <w:r w:rsidRPr="00613BFD">
              <w:rPr>
                <w:rFonts w:ascii="Arial" w:hAnsi="Arial"/>
                <w:color w:val="000000"/>
                <w:sz w:val="18"/>
              </w:rPr>
              <w:t> </w:t>
            </w:r>
          </w:p>
        </w:tc>
        <w:tc>
          <w:tcPr>
            <w:tcW w:w="1668" w:type="dxa"/>
            <w:tcBorders>
              <w:top w:val="nil"/>
              <w:left w:val="nil"/>
              <w:bottom w:val="nil"/>
              <w:right w:val="nil"/>
            </w:tcBorders>
            <w:shd w:val="clear" w:color="auto" w:fill="auto"/>
            <w:noWrap/>
            <w:vAlign w:val="bottom"/>
            <w:hideMark/>
          </w:tcPr>
          <w:p w:rsidR="00613BFD" w:rsidRPr="00613BFD" w:rsidRDefault="00613BFD" w:rsidP="00613BFD">
            <w:pPr>
              <w:rPr>
                <w:rFonts w:ascii="Arial" w:hAnsi="Arial"/>
                <w:color w:val="000000"/>
                <w:sz w:val="18"/>
              </w:rPr>
            </w:pPr>
          </w:p>
        </w:tc>
        <w:tc>
          <w:tcPr>
            <w:tcW w:w="1378" w:type="dxa"/>
            <w:tcBorders>
              <w:top w:val="nil"/>
              <w:left w:val="nil"/>
              <w:bottom w:val="nil"/>
              <w:right w:val="nil"/>
            </w:tcBorders>
            <w:shd w:val="clear" w:color="auto" w:fill="auto"/>
            <w:vAlign w:val="bottom"/>
          </w:tcPr>
          <w:p w:rsidR="00613BFD" w:rsidRPr="006524E1" w:rsidRDefault="00613BFD" w:rsidP="00613BFD">
            <w:pPr>
              <w:rPr>
                <w:rFonts w:ascii="Arial" w:hAnsi="Arial" w:cs="Arial"/>
                <w:color w:val="000000"/>
                <w:sz w:val="18"/>
                <w:szCs w:val="18"/>
              </w:rPr>
            </w:pPr>
          </w:p>
        </w:tc>
      </w:tr>
      <w:tr w:rsidR="00613BFD" w:rsidRPr="006524E1" w:rsidTr="00AB24E3">
        <w:trPr>
          <w:trHeight w:val="20"/>
          <w:jc w:val="center"/>
        </w:trPr>
        <w:tc>
          <w:tcPr>
            <w:tcW w:w="4865" w:type="dxa"/>
            <w:tcBorders>
              <w:top w:val="nil"/>
              <w:left w:val="nil"/>
              <w:bottom w:val="nil"/>
              <w:right w:val="nil"/>
            </w:tcBorders>
            <w:shd w:val="clear" w:color="auto" w:fill="auto"/>
            <w:vAlign w:val="bottom"/>
            <w:hideMark/>
          </w:tcPr>
          <w:p w:rsidR="00613BFD" w:rsidRPr="00613BFD" w:rsidRDefault="00613BFD" w:rsidP="00613BFD">
            <w:pPr>
              <w:ind w:firstLineChars="100" w:firstLine="180"/>
              <w:rPr>
                <w:rFonts w:ascii="Arial" w:hAnsi="Arial"/>
                <w:color w:val="000000"/>
                <w:sz w:val="18"/>
              </w:rPr>
            </w:pPr>
            <w:r w:rsidRPr="00613BFD">
              <w:rPr>
                <w:rFonts w:ascii="Arial" w:hAnsi="Arial"/>
                <w:color w:val="000000"/>
                <w:sz w:val="18"/>
              </w:rPr>
              <w:t>Loan fees</w:t>
            </w:r>
          </w:p>
        </w:tc>
        <w:tc>
          <w:tcPr>
            <w:tcW w:w="1665" w:type="dxa"/>
            <w:tcBorders>
              <w:top w:val="nil"/>
              <w:left w:val="nil"/>
              <w:bottom w:val="nil"/>
              <w:right w:val="nil"/>
            </w:tcBorders>
            <w:shd w:val="clear" w:color="000000" w:fill="E7E6E6"/>
            <w:noWrap/>
            <w:vAlign w:val="bottom"/>
            <w:hideMark/>
          </w:tcPr>
          <w:p w:rsidR="00613BFD" w:rsidRPr="006524E1" w:rsidRDefault="00613BFD" w:rsidP="00613BFD">
            <w:pPr>
              <w:jc w:val="right"/>
              <w:rPr>
                <w:rFonts w:ascii="Arial" w:hAnsi="Arial" w:cs="Arial"/>
                <w:color w:val="000000"/>
                <w:sz w:val="18"/>
                <w:szCs w:val="18"/>
              </w:rPr>
            </w:pPr>
            <w:r w:rsidRPr="006524E1">
              <w:rPr>
                <w:rFonts w:ascii="Arial" w:hAnsi="Arial" w:cs="Arial"/>
                <w:color w:val="000000"/>
                <w:sz w:val="18"/>
                <w:szCs w:val="18"/>
              </w:rPr>
              <w:t xml:space="preserve"> $</w:t>
            </w:r>
            <w:r>
              <w:rPr>
                <w:rFonts w:ascii="Arial" w:hAnsi="Arial" w:cs="Arial"/>
                <w:color w:val="000000"/>
                <w:sz w:val="18"/>
                <w:szCs w:val="18"/>
              </w:rPr>
              <w:t>25,942</w:t>
            </w:r>
            <w:r w:rsidRPr="006524E1">
              <w:rPr>
                <w:rFonts w:ascii="Arial" w:hAnsi="Arial" w:cs="Arial"/>
                <w:color w:val="000000"/>
                <w:sz w:val="18"/>
                <w:szCs w:val="18"/>
              </w:rPr>
              <w:t xml:space="preserve"> </w:t>
            </w:r>
          </w:p>
        </w:tc>
        <w:tc>
          <w:tcPr>
            <w:tcW w:w="1668" w:type="dxa"/>
            <w:tcBorders>
              <w:top w:val="nil"/>
              <w:left w:val="nil"/>
              <w:bottom w:val="nil"/>
              <w:right w:val="nil"/>
            </w:tcBorders>
            <w:shd w:val="clear" w:color="auto" w:fill="auto"/>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$30,391 </w:t>
            </w:r>
          </w:p>
        </w:tc>
        <w:tc>
          <w:tcPr>
            <w:tcW w:w="1378" w:type="dxa"/>
            <w:tcBorders>
              <w:top w:val="nil"/>
              <w:left w:val="nil"/>
              <w:bottom w:val="nil"/>
              <w:right w:val="nil"/>
            </w:tcBorders>
            <w:shd w:val="clear" w:color="auto" w:fill="auto"/>
            <w:vAlign w:val="bottom"/>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$19,413 </w:t>
            </w:r>
          </w:p>
        </w:tc>
      </w:tr>
      <w:tr w:rsidR="00613BFD" w:rsidRPr="006524E1" w:rsidTr="00AB24E3">
        <w:trPr>
          <w:trHeight w:val="20"/>
          <w:jc w:val="center"/>
        </w:trPr>
        <w:tc>
          <w:tcPr>
            <w:tcW w:w="4865" w:type="dxa"/>
            <w:tcBorders>
              <w:top w:val="nil"/>
              <w:left w:val="nil"/>
              <w:bottom w:val="nil"/>
              <w:right w:val="nil"/>
            </w:tcBorders>
            <w:shd w:val="clear" w:color="auto" w:fill="auto"/>
            <w:vAlign w:val="bottom"/>
            <w:hideMark/>
          </w:tcPr>
          <w:p w:rsidR="00613BFD" w:rsidRPr="00613BFD" w:rsidRDefault="00613BFD" w:rsidP="00613BFD">
            <w:pPr>
              <w:ind w:firstLineChars="100" w:firstLine="180"/>
              <w:rPr>
                <w:rFonts w:ascii="Arial" w:hAnsi="Arial"/>
                <w:color w:val="000000"/>
                <w:sz w:val="18"/>
              </w:rPr>
            </w:pPr>
            <w:r w:rsidRPr="00613BFD">
              <w:rPr>
                <w:rFonts w:ascii="Arial" w:hAnsi="Arial"/>
                <w:color w:val="000000"/>
                <w:sz w:val="18"/>
              </w:rPr>
              <w:t>Loan interest</w:t>
            </w:r>
          </w:p>
        </w:tc>
        <w:tc>
          <w:tcPr>
            <w:tcW w:w="1665" w:type="dxa"/>
            <w:tcBorders>
              <w:top w:val="nil"/>
              <w:left w:val="nil"/>
              <w:bottom w:val="nil"/>
              <w:right w:val="nil"/>
            </w:tcBorders>
            <w:shd w:val="clear" w:color="000000" w:fill="E7E6E6"/>
            <w:noWrap/>
            <w:vAlign w:val="bottom"/>
            <w:hideMark/>
          </w:tcPr>
          <w:p w:rsidR="00613BFD" w:rsidRPr="006524E1" w:rsidRDefault="00613BFD" w:rsidP="00613BFD">
            <w:pPr>
              <w:jc w:val="right"/>
              <w:rPr>
                <w:rFonts w:ascii="Arial" w:hAnsi="Arial" w:cs="Arial"/>
                <w:color w:val="000000"/>
                <w:sz w:val="18"/>
                <w:szCs w:val="18"/>
              </w:rPr>
            </w:pPr>
            <w:r w:rsidRPr="006524E1">
              <w:rPr>
                <w:rFonts w:ascii="Arial" w:hAnsi="Arial" w:cs="Arial"/>
                <w:color w:val="000000"/>
                <w:sz w:val="18"/>
                <w:szCs w:val="18"/>
              </w:rPr>
              <w:t xml:space="preserve"> $</w:t>
            </w:r>
            <w:r>
              <w:rPr>
                <w:rFonts w:ascii="Arial" w:hAnsi="Arial" w:cs="Arial"/>
                <w:color w:val="000000"/>
                <w:sz w:val="18"/>
                <w:szCs w:val="18"/>
              </w:rPr>
              <w:t>15,593</w:t>
            </w:r>
            <w:r w:rsidRPr="006524E1">
              <w:rPr>
                <w:rFonts w:ascii="Arial" w:hAnsi="Arial" w:cs="Arial"/>
                <w:color w:val="000000"/>
                <w:sz w:val="18"/>
                <w:szCs w:val="18"/>
              </w:rPr>
              <w:t xml:space="preserve"> </w:t>
            </w:r>
          </w:p>
        </w:tc>
        <w:tc>
          <w:tcPr>
            <w:tcW w:w="1668" w:type="dxa"/>
            <w:tcBorders>
              <w:top w:val="nil"/>
              <w:left w:val="nil"/>
              <w:bottom w:val="nil"/>
              <w:right w:val="nil"/>
            </w:tcBorders>
            <w:shd w:val="clear" w:color="auto" w:fill="auto"/>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$8,064 </w:t>
            </w:r>
          </w:p>
        </w:tc>
        <w:tc>
          <w:tcPr>
            <w:tcW w:w="1378" w:type="dxa"/>
            <w:tcBorders>
              <w:top w:val="nil"/>
              <w:left w:val="nil"/>
              <w:bottom w:val="nil"/>
              <w:right w:val="nil"/>
            </w:tcBorders>
            <w:shd w:val="clear" w:color="auto" w:fill="auto"/>
            <w:vAlign w:val="bottom"/>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$1,318 </w:t>
            </w:r>
          </w:p>
        </w:tc>
      </w:tr>
      <w:tr w:rsidR="00613BFD" w:rsidRPr="006524E1" w:rsidTr="00AB24E3">
        <w:trPr>
          <w:trHeight w:val="20"/>
          <w:jc w:val="center"/>
        </w:trPr>
        <w:tc>
          <w:tcPr>
            <w:tcW w:w="4865" w:type="dxa"/>
            <w:tcBorders>
              <w:top w:val="nil"/>
              <w:left w:val="nil"/>
              <w:bottom w:val="nil"/>
              <w:right w:val="nil"/>
            </w:tcBorders>
            <w:shd w:val="clear" w:color="auto" w:fill="auto"/>
            <w:vAlign w:val="bottom"/>
            <w:hideMark/>
          </w:tcPr>
          <w:p w:rsidR="00613BFD" w:rsidRPr="00613BFD" w:rsidRDefault="00613BFD" w:rsidP="00613BFD">
            <w:pPr>
              <w:ind w:firstLineChars="100" w:firstLine="180"/>
              <w:rPr>
                <w:rFonts w:ascii="Arial" w:hAnsi="Arial"/>
                <w:color w:val="000000"/>
                <w:sz w:val="18"/>
              </w:rPr>
            </w:pPr>
            <w:r w:rsidRPr="00613BFD">
              <w:rPr>
                <w:rFonts w:ascii="Arial" w:hAnsi="Arial"/>
                <w:color w:val="000000"/>
                <w:sz w:val="18"/>
              </w:rPr>
              <w:t>Other revenue</w:t>
            </w:r>
          </w:p>
        </w:tc>
        <w:tc>
          <w:tcPr>
            <w:tcW w:w="1665" w:type="dxa"/>
            <w:tcBorders>
              <w:top w:val="nil"/>
              <w:left w:val="nil"/>
              <w:bottom w:val="nil"/>
              <w:right w:val="nil"/>
            </w:tcBorders>
            <w:shd w:val="clear" w:color="000000" w:fill="E7E6E6"/>
            <w:noWrap/>
            <w:vAlign w:val="bottom"/>
            <w:hideMark/>
          </w:tcPr>
          <w:p w:rsidR="00613BFD" w:rsidRPr="006524E1" w:rsidRDefault="00613BFD" w:rsidP="00613BFD">
            <w:pPr>
              <w:jc w:val="right"/>
              <w:rPr>
                <w:rFonts w:ascii="Arial" w:hAnsi="Arial" w:cs="Arial"/>
                <w:color w:val="000000"/>
                <w:sz w:val="18"/>
                <w:szCs w:val="18"/>
              </w:rPr>
            </w:pPr>
            <w:r w:rsidRPr="006524E1">
              <w:rPr>
                <w:rFonts w:ascii="Arial" w:hAnsi="Arial" w:cs="Arial"/>
                <w:color w:val="000000"/>
                <w:sz w:val="18"/>
                <w:szCs w:val="18"/>
              </w:rPr>
              <w:t xml:space="preserve"> $</w:t>
            </w:r>
            <w:r>
              <w:rPr>
                <w:rFonts w:ascii="Arial" w:hAnsi="Arial" w:cs="Arial"/>
                <w:color w:val="000000"/>
                <w:sz w:val="18"/>
                <w:szCs w:val="18"/>
              </w:rPr>
              <w:t>8,333</w:t>
            </w:r>
            <w:r w:rsidRPr="006524E1">
              <w:rPr>
                <w:rFonts w:ascii="Arial" w:hAnsi="Arial" w:cs="Arial"/>
                <w:color w:val="000000"/>
                <w:sz w:val="18"/>
                <w:szCs w:val="18"/>
              </w:rPr>
              <w:t xml:space="preserve"> </w:t>
            </w:r>
          </w:p>
        </w:tc>
        <w:tc>
          <w:tcPr>
            <w:tcW w:w="1668" w:type="dxa"/>
            <w:tcBorders>
              <w:top w:val="nil"/>
              <w:left w:val="nil"/>
              <w:bottom w:val="nil"/>
              <w:right w:val="nil"/>
            </w:tcBorders>
            <w:shd w:val="clear" w:color="auto" w:fill="auto"/>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$5,077 </w:t>
            </w:r>
          </w:p>
        </w:tc>
        <w:tc>
          <w:tcPr>
            <w:tcW w:w="1378" w:type="dxa"/>
            <w:tcBorders>
              <w:top w:val="nil"/>
              <w:left w:val="nil"/>
              <w:bottom w:val="nil"/>
              <w:right w:val="nil"/>
            </w:tcBorders>
            <w:shd w:val="clear" w:color="auto" w:fill="auto"/>
            <w:vAlign w:val="bottom"/>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$2,669 </w:t>
            </w:r>
          </w:p>
        </w:tc>
      </w:tr>
      <w:tr w:rsidR="00613BFD" w:rsidRPr="006524E1" w:rsidTr="00AB24E3">
        <w:trPr>
          <w:trHeight w:val="20"/>
          <w:jc w:val="center"/>
        </w:trPr>
        <w:tc>
          <w:tcPr>
            <w:tcW w:w="4865" w:type="dxa"/>
            <w:tcBorders>
              <w:top w:val="nil"/>
              <w:left w:val="nil"/>
              <w:bottom w:val="nil"/>
              <w:right w:val="nil"/>
            </w:tcBorders>
            <w:shd w:val="clear" w:color="auto" w:fill="auto"/>
            <w:vAlign w:val="bottom"/>
            <w:hideMark/>
          </w:tcPr>
          <w:p w:rsidR="00613BFD" w:rsidRPr="00613BFD" w:rsidRDefault="00613BFD" w:rsidP="00613BFD">
            <w:pPr>
              <w:rPr>
                <w:rFonts w:ascii="Arial" w:hAnsi="Arial"/>
                <w:color w:val="000000"/>
                <w:sz w:val="18"/>
              </w:rPr>
            </w:pPr>
            <w:r w:rsidRPr="00613BFD">
              <w:rPr>
                <w:rFonts w:ascii="Arial" w:hAnsi="Arial"/>
                <w:color w:val="000000"/>
                <w:sz w:val="18"/>
              </w:rPr>
              <w:t>Total</w:t>
            </w:r>
          </w:p>
        </w:tc>
        <w:tc>
          <w:tcPr>
            <w:tcW w:w="1665" w:type="dxa"/>
            <w:tcBorders>
              <w:top w:val="nil"/>
              <w:left w:val="nil"/>
              <w:bottom w:val="nil"/>
              <w:right w:val="nil"/>
            </w:tcBorders>
            <w:shd w:val="clear" w:color="000000" w:fill="E7E6E6"/>
            <w:noWrap/>
            <w:vAlign w:val="bottom"/>
            <w:hideMark/>
          </w:tcPr>
          <w:p w:rsidR="00613BFD" w:rsidRPr="006524E1" w:rsidRDefault="00613BFD" w:rsidP="00613BFD">
            <w:pPr>
              <w:jc w:val="right"/>
              <w:rPr>
                <w:rFonts w:ascii="Arial" w:hAnsi="Arial" w:cs="Arial"/>
                <w:color w:val="000000"/>
                <w:sz w:val="18"/>
                <w:szCs w:val="18"/>
              </w:rPr>
            </w:pPr>
            <w:r w:rsidRPr="006524E1">
              <w:rPr>
                <w:rFonts w:ascii="Arial" w:hAnsi="Arial" w:cs="Arial"/>
                <w:color w:val="000000"/>
                <w:sz w:val="18"/>
                <w:szCs w:val="18"/>
              </w:rPr>
              <w:t xml:space="preserve"> $</w:t>
            </w:r>
            <w:r>
              <w:rPr>
                <w:rFonts w:ascii="Arial" w:hAnsi="Arial" w:cs="Arial"/>
                <w:color w:val="000000"/>
                <w:sz w:val="18"/>
                <w:szCs w:val="18"/>
              </w:rPr>
              <w:t>49,869</w:t>
            </w:r>
            <w:r w:rsidRPr="006524E1">
              <w:rPr>
                <w:rFonts w:ascii="Arial" w:hAnsi="Arial" w:cs="Arial"/>
                <w:color w:val="000000"/>
                <w:sz w:val="18"/>
                <w:szCs w:val="18"/>
              </w:rPr>
              <w:t xml:space="preserve"> </w:t>
            </w:r>
          </w:p>
        </w:tc>
        <w:tc>
          <w:tcPr>
            <w:tcW w:w="1668" w:type="dxa"/>
            <w:tcBorders>
              <w:top w:val="nil"/>
              <w:left w:val="nil"/>
              <w:bottom w:val="nil"/>
              <w:right w:val="nil"/>
            </w:tcBorders>
            <w:shd w:val="clear" w:color="auto" w:fill="auto"/>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$43,532 </w:t>
            </w:r>
          </w:p>
        </w:tc>
        <w:tc>
          <w:tcPr>
            <w:tcW w:w="1378" w:type="dxa"/>
            <w:tcBorders>
              <w:top w:val="nil"/>
              <w:left w:val="nil"/>
              <w:bottom w:val="nil"/>
              <w:right w:val="nil"/>
            </w:tcBorders>
            <w:shd w:val="clear" w:color="auto" w:fill="auto"/>
            <w:vAlign w:val="bottom"/>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$23,400 </w:t>
            </w:r>
          </w:p>
        </w:tc>
      </w:tr>
      <w:tr w:rsidR="00613BFD" w:rsidRPr="006524E1" w:rsidTr="00AB24E3">
        <w:trPr>
          <w:trHeight w:val="20"/>
          <w:jc w:val="center"/>
        </w:trPr>
        <w:tc>
          <w:tcPr>
            <w:tcW w:w="4865" w:type="dxa"/>
            <w:tcBorders>
              <w:top w:val="nil"/>
              <w:left w:val="nil"/>
              <w:bottom w:val="single" w:sz="4" w:space="0" w:color="auto"/>
              <w:right w:val="nil"/>
            </w:tcBorders>
            <w:shd w:val="clear" w:color="auto" w:fill="auto"/>
            <w:vAlign w:val="bottom"/>
            <w:hideMark/>
          </w:tcPr>
          <w:p w:rsidR="00613BFD" w:rsidRPr="00613BFD" w:rsidRDefault="00613BFD" w:rsidP="00613BFD">
            <w:pPr>
              <w:rPr>
                <w:rFonts w:ascii="Arial" w:hAnsi="Arial"/>
                <w:color w:val="000000"/>
                <w:sz w:val="18"/>
              </w:rPr>
            </w:pPr>
            <w:r w:rsidRPr="00613BFD">
              <w:rPr>
                <w:rFonts w:ascii="Arial" w:hAnsi="Arial"/>
                <w:color w:val="000000"/>
                <w:sz w:val="18"/>
              </w:rPr>
              <w:t>Cost of revenue</w:t>
            </w:r>
          </w:p>
        </w:tc>
        <w:tc>
          <w:tcPr>
            <w:tcW w:w="1665" w:type="dxa"/>
            <w:tcBorders>
              <w:top w:val="nil"/>
              <w:left w:val="nil"/>
              <w:bottom w:val="single" w:sz="4" w:space="0" w:color="auto"/>
              <w:right w:val="nil"/>
            </w:tcBorders>
            <w:shd w:val="clear" w:color="000000" w:fill="E7E6E6"/>
            <w:noWrap/>
            <w:vAlign w:val="bottom"/>
            <w:hideMark/>
          </w:tcPr>
          <w:p w:rsidR="00613BFD" w:rsidRPr="006524E1" w:rsidRDefault="00613BFD" w:rsidP="00613BFD">
            <w:pPr>
              <w:jc w:val="right"/>
              <w:rPr>
                <w:rFonts w:ascii="Arial" w:hAnsi="Arial" w:cs="Arial"/>
                <w:color w:val="000000"/>
                <w:sz w:val="18"/>
                <w:szCs w:val="18"/>
              </w:rPr>
            </w:pPr>
            <w:r w:rsidRPr="006524E1">
              <w:rPr>
                <w:rFonts w:ascii="Arial" w:hAnsi="Arial" w:cs="Arial"/>
                <w:color w:val="000000"/>
                <w:sz w:val="18"/>
                <w:szCs w:val="18"/>
              </w:rPr>
              <w:t xml:space="preserve"> $</w:t>
            </w:r>
            <w:r>
              <w:rPr>
                <w:rFonts w:ascii="Arial" w:hAnsi="Arial" w:cs="Arial"/>
                <w:color w:val="000000"/>
                <w:sz w:val="18"/>
                <w:szCs w:val="18"/>
              </w:rPr>
              <w:t>19,160</w:t>
            </w:r>
            <w:r w:rsidRPr="006524E1">
              <w:rPr>
                <w:rFonts w:ascii="Arial" w:hAnsi="Arial" w:cs="Arial"/>
                <w:color w:val="000000"/>
                <w:sz w:val="18"/>
                <w:szCs w:val="18"/>
              </w:rPr>
              <w:t xml:space="preserve"> </w:t>
            </w:r>
          </w:p>
        </w:tc>
        <w:tc>
          <w:tcPr>
            <w:tcW w:w="1668" w:type="dxa"/>
            <w:tcBorders>
              <w:top w:val="nil"/>
              <w:left w:val="nil"/>
              <w:bottom w:val="single" w:sz="4" w:space="0" w:color="auto"/>
              <w:right w:val="nil"/>
            </w:tcBorders>
            <w:shd w:val="clear" w:color="auto" w:fill="auto"/>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$16,406 </w:t>
            </w:r>
          </w:p>
        </w:tc>
        <w:tc>
          <w:tcPr>
            <w:tcW w:w="1378" w:type="dxa"/>
            <w:tcBorders>
              <w:top w:val="nil"/>
              <w:left w:val="nil"/>
              <w:bottom w:val="single" w:sz="4" w:space="0" w:color="auto"/>
              <w:right w:val="nil"/>
            </w:tcBorders>
            <w:shd w:val="clear" w:color="auto" w:fill="auto"/>
            <w:vAlign w:val="bottom"/>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$8,575 </w:t>
            </w:r>
          </w:p>
        </w:tc>
      </w:tr>
      <w:tr w:rsidR="00613BFD" w:rsidRPr="006524E1" w:rsidTr="00AB24E3">
        <w:trPr>
          <w:trHeight w:val="20"/>
          <w:jc w:val="center"/>
        </w:trPr>
        <w:tc>
          <w:tcPr>
            <w:tcW w:w="4865" w:type="dxa"/>
            <w:tcBorders>
              <w:top w:val="nil"/>
              <w:left w:val="nil"/>
              <w:bottom w:val="single" w:sz="4" w:space="0" w:color="auto"/>
              <w:right w:val="nil"/>
            </w:tcBorders>
            <w:shd w:val="clear" w:color="auto" w:fill="auto"/>
            <w:vAlign w:val="bottom"/>
            <w:hideMark/>
          </w:tcPr>
          <w:p w:rsidR="00613BFD" w:rsidRPr="00613BFD" w:rsidRDefault="00613BFD" w:rsidP="00613BFD">
            <w:pPr>
              <w:rPr>
                <w:rFonts w:ascii="Arial" w:hAnsi="Arial"/>
                <w:b/>
                <w:color w:val="000000"/>
                <w:sz w:val="18"/>
              </w:rPr>
            </w:pPr>
            <w:r w:rsidRPr="00613BFD">
              <w:rPr>
                <w:rFonts w:ascii="Arial" w:hAnsi="Arial"/>
                <w:b/>
                <w:color w:val="000000"/>
                <w:sz w:val="18"/>
              </w:rPr>
              <w:t>Gross profit</w:t>
            </w:r>
          </w:p>
        </w:tc>
        <w:tc>
          <w:tcPr>
            <w:tcW w:w="1665" w:type="dxa"/>
            <w:tcBorders>
              <w:top w:val="nil"/>
              <w:left w:val="nil"/>
              <w:bottom w:val="single" w:sz="4" w:space="0" w:color="auto"/>
              <w:right w:val="nil"/>
            </w:tcBorders>
            <w:shd w:val="clear" w:color="000000" w:fill="E7E6E6"/>
            <w:noWrap/>
            <w:vAlign w:val="bottom"/>
            <w:hideMark/>
          </w:tcPr>
          <w:p w:rsidR="00613BFD" w:rsidRPr="006524E1" w:rsidRDefault="00613BFD" w:rsidP="00613BFD">
            <w:pPr>
              <w:jc w:val="right"/>
              <w:rPr>
                <w:rFonts w:ascii="Arial" w:hAnsi="Arial" w:cs="Arial"/>
                <w:color w:val="000000"/>
                <w:sz w:val="18"/>
                <w:szCs w:val="18"/>
              </w:rPr>
            </w:pPr>
            <w:r w:rsidRPr="006524E1">
              <w:rPr>
                <w:rFonts w:ascii="Arial" w:hAnsi="Arial" w:cs="Arial"/>
                <w:color w:val="000000"/>
                <w:sz w:val="18"/>
                <w:szCs w:val="18"/>
              </w:rPr>
              <w:t xml:space="preserve"> $</w:t>
            </w:r>
            <w:r>
              <w:rPr>
                <w:rFonts w:ascii="Arial" w:hAnsi="Arial" w:cs="Arial"/>
                <w:color w:val="000000"/>
                <w:sz w:val="18"/>
                <w:szCs w:val="18"/>
              </w:rPr>
              <w:t>30,708</w:t>
            </w:r>
            <w:r w:rsidRPr="006524E1">
              <w:rPr>
                <w:rFonts w:ascii="Arial" w:hAnsi="Arial" w:cs="Arial"/>
                <w:color w:val="000000"/>
                <w:sz w:val="18"/>
                <w:szCs w:val="18"/>
              </w:rPr>
              <w:t xml:space="preserve"> </w:t>
            </w:r>
          </w:p>
        </w:tc>
        <w:tc>
          <w:tcPr>
            <w:tcW w:w="1668" w:type="dxa"/>
            <w:tcBorders>
              <w:top w:val="nil"/>
              <w:left w:val="nil"/>
              <w:bottom w:val="single" w:sz="4" w:space="0" w:color="auto"/>
              <w:right w:val="nil"/>
            </w:tcBorders>
            <w:shd w:val="clear" w:color="auto" w:fill="auto"/>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$27,126 </w:t>
            </w:r>
          </w:p>
        </w:tc>
        <w:tc>
          <w:tcPr>
            <w:tcW w:w="1378" w:type="dxa"/>
            <w:tcBorders>
              <w:top w:val="nil"/>
              <w:left w:val="nil"/>
              <w:bottom w:val="single" w:sz="4" w:space="0" w:color="auto"/>
              <w:right w:val="nil"/>
            </w:tcBorders>
            <w:shd w:val="clear" w:color="auto" w:fill="auto"/>
            <w:vAlign w:val="bottom"/>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$14,825 </w:t>
            </w:r>
          </w:p>
        </w:tc>
      </w:tr>
      <w:tr w:rsidR="00613BFD" w:rsidRPr="00AB24E3" w:rsidTr="00AB24E3">
        <w:trPr>
          <w:trHeight w:val="20"/>
          <w:jc w:val="center"/>
        </w:trPr>
        <w:tc>
          <w:tcPr>
            <w:tcW w:w="4865" w:type="dxa"/>
            <w:tcBorders>
              <w:top w:val="nil"/>
              <w:left w:val="nil"/>
              <w:bottom w:val="nil"/>
              <w:right w:val="nil"/>
            </w:tcBorders>
            <w:shd w:val="clear" w:color="auto" w:fill="auto"/>
            <w:vAlign w:val="bottom"/>
            <w:hideMark/>
          </w:tcPr>
          <w:p w:rsidR="00613BFD" w:rsidRPr="00AB24E3" w:rsidRDefault="00613BFD" w:rsidP="00613BFD">
            <w:pPr>
              <w:jc w:val="right"/>
              <w:rPr>
                <w:rFonts w:ascii="Arial" w:hAnsi="Arial" w:cs="Arial"/>
                <w:color w:val="000000"/>
                <w:sz w:val="12"/>
                <w:szCs w:val="12"/>
              </w:rPr>
            </w:pPr>
          </w:p>
        </w:tc>
        <w:tc>
          <w:tcPr>
            <w:tcW w:w="1665" w:type="dxa"/>
            <w:tcBorders>
              <w:top w:val="nil"/>
              <w:left w:val="nil"/>
              <w:bottom w:val="nil"/>
              <w:right w:val="nil"/>
            </w:tcBorders>
            <w:shd w:val="clear" w:color="000000" w:fill="E7E6E6"/>
            <w:noWrap/>
            <w:vAlign w:val="bottom"/>
            <w:hideMark/>
          </w:tcPr>
          <w:p w:rsidR="00613BFD" w:rsidRPr="00AB24E3" w:rsidRDefault="00613BFD" w:rsidP="00613BFD">
            <w:pPr>
              <w:rPr>
                <w:rFonts w:ascii="Arial" w:hAnsi="Arial" w:cs="Arial"/>
                <w:color w:val="000000"/>
                <w:sz w:val="12"/>
                <w:szCs w:val="12"/>
              </w:rPr>
            </w:pPr>
            <w:r w:rsidRPr="00AB24E3">
              <w:rPr>
                <w:rFonts w:ascii="Arial" w:hAnsi="Arial" w:cs="Arial"/>
                <w:color w:val="000000"/>
                <w:sz w:val="12"/>
                <w:szCs w:val="12"/>
              </w:rPr>
              <w:t> </w:t>
            </w:r>
          </w:p>
        </w:tc>
        <w:tc>
          <w:tcPr>
            <w:tcW w:w="1668" w:type="dxa"/>
            <w:tcBorders>
              <w:top w:val="nil"/>
              <w:left w:val="nil"/>
              <w:bottom w:val="nil"/>
              <w:right w:val="nil"/>
            </w:tcBorders>
            <w:shd w:val="clear" w:color="auto" w:fill="auto"/>
            <w:noWrap/>
            <w:vAlign w:val="bottom"/>
            <w:hideMark/>
          </w:tcPr>
          <w:p w:rsidR="00613BFD" w:rsidRPr="00AB24E3" w:rsidRDefault="00613BFD" w:rsidP="00613BFD">
            <w:pPr>
              <w:rPr>
                <w:rFonts w:ascii="Arial" w:hAnsi="Arial" w:cs="Arial"/>
                <w:color w:val="000000"/>
                <w:sz w:val="12"/>
                <w:szCs w:val="12"/>
              </w:rPr>
            </w:pPr>
            <w:r w:rsidRPr="00AB24E3">
              <w:rPr>
                <w:rFonts w:ascii="Arial" w:hAnsi="Arial" w:cs="Arial"/>
                <w:color w:val="000000"/>
                <w:sz w:val="12"/>
                <w:szCs w:val="12"/>
              </w:rPr>
              <w:t> </w:t>
            </w:r>
          </w:p>
        </w:tc>
        <w:tc>
          <w:tcPr>
            <w:tcW w:w="1378" w:type="dxa"/>
            <w:tcBorders>
              <w:top w:val="nil"/>
              <w:left w:val="nil"/>
              <w:bottom w:val="nil"/>
              <w:right w:val="nil"/>
            </w:tcBorders>
            <w:vAlign w:val="bottom"/>
          </w:tcPr>
          <w:p w:rsidR="00613BFD" w:rsidRPr="00AB24E3" w:rsidRDefault="00613BFD" w:rsidP="00613BFD">
            <w:pPr>
              <w:rPr>
                <w:rFonts w:ascii="Arial" w:hAnsi="Arial" w:cs="Arial"/>
                <w:color w:val="000000"/>
                <w:sz w:val="12"/>
                <w:szCs w:val="12"/>
              </w:rPr>
            </w:pPr>
          </w:p>
        </w:tc>
      </w:tr>
      <w:tr w:rsidR="00613BFD" w:rsidRPr="006524E1" w:rsidTr="00AB24E3">
        <w:trPr>
          <w:trHeight w:val="20"/>
          <w:jc w:val="center"/>
        </w:trPr>
        <w:tc>
          <w:tcPr>
            <w:tcW w:w="4865" w:type="dxa"/>
            <w:tcBorders>
              <w:top w:val="nil"/>
              <w:left w:val="nil"/>
              <w:bottom w:val="nil"/>
              <w:right w:val="nil"/>
            </w:tcBorders>
            <w:shd w:val="clear" w:color="auto" w:fill="auto"/>
            <w:vAlign w:val="bottom"/>
            <w:hideMark/>
          </w:tcPr>
          <w:p w:rsidR="00613BFD" w:rsidRPr="00613BFD" w:rsidRDefault="00613BFD" w:rsidP="00613BFD">
            <w:pPr>
              <w:rPr>
                <w:rFonts w:ascii="Arial" w:hAnsi="Arial"/>
                <w:color w:val="000000"/>
                <w:sz w:val="18"/>
              </w:rPr>
            </w:pPr>
            <w:r w:rsidRPr="00613BFD">
              <w:rPr>
                <w:rFonts w:ascii="Arial" w:hAnsi="Arial"/>
                <w:color w:val="000000"/>
                <w:sz w:val="18"/>
              </w:rPr>
              <w:t>Technology and development</w:t>
            </w:r>
          </w:p>
        </w:tc>
        <w:tc>
          <w:tcPr>
            <w:tcW w:w="1665" w:type="dxa"/>
            <w:tcBorders>
              <w:top w:val="nil"/>
              <w:left w:val="nil"/>
              <w:bottom w:val="nil"/>
              <w:right w:val="nil"/>
            </w:tcBorders>
            <w:shd w:val="clear" w:color="000000" w:fill="E7E6E6"/>
            <w:noWrap/>
            <w:vAlign w:val="bottom"/>
            <w:hideMark/>
          </w:tcPr>
          <w:p w:rsidR="00613BFD" w:rsidRPr="006524E1" w:rsidRDefault="00613BFD" w:rsidP="00613BFD">
            <w:pPr>
              <w:jc w:val="right"/>
              <w:rPr>
                <w:rFonts w:ascii="Arial" w:hAnsi="Arial" w:cs="Arial"/>
                <w:color w:val="000000"/>
                <w:sz w:val="18"/>
                <w:szCs w:val="18"/>
              </w:rPr>
            </w:pPr>
            <w:r>
              <w:rPr>
                <w:rFonts w:ascii="Arial" w:hAnsi="Arial" w:cs="Arial"/>
                <w:color w:val="000000"/>
                <w:sz w:val="18"/>
                <w:szCs w:val="18"/>
              </w:rPr>
              <w:t xml:space="preserve"> $10,144</w:t>
            </w:r>
            <w:r w:rsidRPr="006524E1">
              <w:rPr>
                <w:rFonts w:ascii="Arial" w:hAnsi="Arial" w:cs="Arial"/>
                <w:color w:val="000000"/>
                <w:sz w:val="18"/>
                <w:szCs w:val="18"/>
              </w:rPr>
              <w:t xml:space="preserve"> </w:t>
            </w:r>
          </w:p>
        </w:tc>
        <w:tc>
          <w:tcPr>
            <w:tcW w:w="1668" w:type="dxa"/>
            <w:tcBorders>
              <w:top w:val="nil"/>
              <w:left w:val="nil"/>
              <w:bottom w:val="nil"/>
              <w:right w:val="nil"/>
            </w:tcBorders>
            <w:shd w:val="clear" w:color="auto" w:fill="auto"/>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$7,596 </w:t>
            </w:r>
          </w:p>
        </w:tc>
        <w:tc>
          <w:tcPr>
            <w:tcW w:w="1378" w:type="dxa"/>
            <w:tcBorders>
              <w:top w:val="nil"/>
              <w:left w:val="nil"/>
              <w:bottom w:val="nil"/>
              <w:right w:val="nil"/>
            </w:tcBorders>
            <w:shd w:val="clear" w:color="auto" w:fill="auto"/>
            <w:vAlign w:val="bottom"/>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$3,904 </w:t>
            </w:r>
          </w:p>
        </w:tc>
      </w:tr>
      <w:tr w:rsidR="00613BFD" w:rsidRPr="006524E1" w:rsidTr="00AB24E3">
        <w:trPr>
          <w:trHeight w:val="20"/>
          <w:jc w:val="center"/>
        </w:trPr>
        <w:tc>
          <w:tcPr>
            <w:tcW w:w="4865" w:type="dxa"/>
            <w:tcBorders>
              <w:top w:val="nil"/>
              <w:left w:val="nil"/>
              <w:bottom w:val="nil"/>
              <w:right w:val="nil"/>
            </w:tcBorders>
            <w:shd w:val="clear" w:color="auto" w:fill="auto"/>
            <w:vAlign w:val="bottom"/>
            <w:hideMark/>
          </w:tcPr>
          <w:p w:rsidR="00613BFD" w:rsidRPr="00613BFD" w:rsidRDefault="00613BFD" w:rsidP="00613BFD">
            <w:pPr>
              <w:rPr>
                <w:rFonts w:ascii="Arial" w:hAnsi="Arial"/>
                <w:color w:val="000000"/>
                <w:sz w:val="18"/>
              </w:rPr>
            </w:pPr>
            <w:r w:rsidRPr="00613BFD">
              <w:rPr>
                <w:rFonts w:ascii="Arial" w:hAnsi="Arial"/>
                <w:color w:val="000000"/>
                <w:sz w:val="18"/>
              </w:rPr>
              <w:t>Customer service and operations</w:t>
            </w:r>
          </w:p>
        </w:tc>
        <w:tc>
          <w:tcPr>
            <w:tcW w:w="1665" w:type="dxa"/>
            <w:tcBorders>
              <w:top w:val="nil"/>
              <w:left w:val="nil"/>
              <w:bottom w:val="nil"/>
              <w:right w:val="nil"/>
            </w:tcBorders>
            <w:shd w:val="clear" w:color="000000" w:fill="E7E6E6"/>
            <w:noWrap/>
            <w:vAlign w:val="bottom"/>
            <w:hideMark/>
          </w:tcPr>
          <w:p w:rsidR="00613BFD" w:rsidRPr="006524E1" w:rsidRDefault="00613BFD" w:rsidP="00613BFD">
            <w:pPr>
              <w:jc w:val="right"/>
              <w:rPr>
                <w:rFonts w:ascii="Arial" w:hAnsi="Arial" w:cs="Arial"/>
                <w:color w:val="000000"/>
                <w:sz w:val="18"/>
                <w:szCs w:val="18"/>
              </w:rPr>
            </w:pPr>
            <w:r>
              <w:rPr>
                <w:rFonts w:ascii="Arial" w:hAnsi="Arial" w:cs="Arial"/>
                <w:color w:val="000000"/>
                <w:sz w:val="18"/>
                <w:szCs w:val="18"/>
              </w:rPr>
              <w:t xml:space="preserve"> $7,299</w:t>
            </w:r>
            <w:r w:rsidRPr="006524E1">
              <w:rPr>
                <w:rFonts w:ascii="Arial" w:hAnsi="Arial" w:cs="Arial"/>
                <w:color w:val="000000"/>
                <w:sz w:val="18"/>
                <w:szCs w:val="18"/>
              </w:rPr>
              <w:t xml:space="preserve"> </w:t>
            </w:r>
          </w:p>
        </w:tc>
        <w:tc>
          <w:tcPr>
            <w:tcW w:w="1668" w:type="dxa"/>
            <w:tcBorders>
              <w:top w:val="nil"/>
              <w:left w:val="nil"/>
              <w:bottom w:val="nil"/>
              <w:right w:val="nil"/>
            </w:tcBorders>
            <w:shd w:val="clear" w:color="auto" w:fill="auto"/>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$8,779 </w:t>
            </w:r>
          </w:p>
        </w:tc>
        <w:tc>
          <w:tcPr>
            <w:tcW w:w="1378" w:type="dxa"/>
            <w:tcBorders>
              <w:top w:val="nil"/>
              <w:left w:val="nil"/>
              <w:bottom w:val="nil"/>
              <w:right w:val="nil"/>
            </w:tcBorders>
            <w:shd w:val="clear" w:color="auto" w:fill="auto"/>
            <w:vAlign w:val="bottom"/>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$5,841 </w:t>
            </w:r>
          </w:p>
        </w:tc>
      </w:tr>
      <w:tr w:rsidR="00613BFD" w:rsidRPr="006524E1" w:rsidTr="00AB24E3">
        <w:trPr>
          <w:trHeight w:val="20"/>
          <w:jc w:val="center"/>
        </w:trPr>
        <w:tc>
          <w:tcPr>
            <w:tcW w:w="4865" w:type="dxa"/>
            <w:tcBorders>
              <w:top w:val="nil"/>
              <w:left w:val="nil"/>
              <w:bottom w:val="nil"/>
              <w:right w:val="nil"/>
            </w:tcBorders>
            <w:shd w:val="clear" w:color="auto" w:fill="auto"/>
            <w:vAlign w:val="bottom"/>
            <w:hideMark/>
          </w:tcPr>
          <w:p w:rsidR="00613BFD" w:rsidRPr="00613BFD" w:rsidRDefault="00613BFD" w:rsidP="00613BFD">
            <w:pPr>
              <w:rPr>
                <w:rFonts w:ascii="Arial" w:hAnsi="Arial"/>
                <w:color w:val="000000"/>
                <w:sz w:val="18"/>
              </w:rPr>
            </w:pPr>
            <w:r w:rsidRPr="00613BFD">
              <w:rPr>
                <w:rFonts w:ascii="Arial" w:hAnsi="Arial"/>
                <w:color w:val="000000"/>
                <w:sz w:val="18"/>
              </w:rPr>
              <w:t>Marketing</w:t>
            </w:r>
          </w:p>
        </w:tc>
        <w:tc>
          <w:tcPr>
            <w:tcW w:w="1665" w:type="dxa"/>
            <w:tcBorders>
              <w:top w:val="nil"/>
              <w:left w:val="nil"/>
              <w:bottom w:val="nil"/>
              <w:right w:val="nil"/>
            </w:tcBorders>
            <w:shd w:val="clear" w:color="000000" w:fill="E7E6E6"/>
            <w:noWrap/>
            <w:vAlign w:val="bottom"/>
            <w:hideMark/>
          </w:tcPr>
          <w:p w:rsidR="00613BFD" w:rsidRPr="006524E1" w:rsidRDefault="00613BFD" w:rsidP="00613BFD">
            <w:pPr>
              <w:jc w:val="right"/>
              <w:rPr>
                <w:rFonts w:ascii="Arial" w:hAnsi="Arial" w:cs="Arial"/>
                <w:color w:val="000000"/>
                <w:sz w:val="18"/>
                <w:szCs w:val="18"/>
              </w:rPr>
            </w:pPr>
            <w:r>
              <w:rPr>
                <w:rFonts w:ascii="Arial" w:hAnsi="Arial" w:cs="Arial"/>
                <w:color w:val="000000"/>
                <w:sz w:val="18"/>
                <w:szCs w:val="18"/>
              </w:rPr>
              <w:t xml:space="preserve"> $6,723</w:t>
            </w:r>
            <w:r w:rsidRPr="006524E1">
              <w:rPr>
                <w:rFonts w:ascii="Arial" w:hAnsi="Arial" w:cs="Arial"/>
                <w:color w:val="000000"/>
                <w:sz w:val="18"/>
                <w:szCs w:val="18"/>
              </w:rPr>
              <w:t xml:space="preserve"> </w:t>
            </w:r>
          </w:p>
        </w:tc>
        <w:tc>
          <w:tcPr>
            <w:tcW w:w="1668" w:type="dxa"/>
            <w:tcBorders>
              <w:top w:val="nil"/>
              <w:left w:val="nil"/>
              <w:bottom w:val="nil"/>
              <w:right w:val="nil"/>
            </w:tcBorders>
            <w:shd w:val="clear" w:color="auto" w:fill="auto"/>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$10,792 </w:t>
            </w:r>
          </w:p>
        </w:tc>
        <w:tc>
          <w:tcPr>
            <w:tcW w:w="1378" w:type="dxa"/>
            <w:tcBorders>
              <w:top w:val="nil"/>
              <w:left w:val="nil"/>
              <w:bottom w:val="nil"/>
              <w:right w:val="nil"/>
            </w:tcBorders>
            <w:shd w:val="clear" w:color="auto" w:fill="auto"/>
            <w:vAlign w:val="bottom"/>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$4,642 </w:t>
            </w:r>
          </w:p>
        </w:tc>
      </w:tr>
      <w:tr w:rsidR="00613BFD" w:rsidRPr="006524E1" w:rsidTr="00AB24E3">
        <w:trPr>
          <w:trHeight w:val="20"/>
          <w:jc w:val="center"/>
        </w:trPr>
        <w:tc>
          <w:tcPr>
            <w:tcW w:w="4865" w:type="dxa"/>
            <w:tcBorders>
              <w:top w:val="nil"/>
              <w:left w:val="nil"/>
              <w:bottom w:val="nil"/>
              <w:right w:val="nil"/>
            </w:tcBorders>
            <w:shd w:val="clear" w:color="auto" w:fill="auto"/>
            <w:vAlign w:val="bottom"/>
            <w:hideMark/>
          </w:tcPr>
          <w:p w:rsidR="00613BFD" w:rsidRPr="00613BFD" w:rsidRDefault="00613BFD" w:rsidP="00613BFD">
            <w:pPr>
              <w:rPr>
                <w:rFonts w:ascii="Arial" w:hAnsi="Arial"/>
                <w:color w:val="000000"/>
                <w:sz w:val="18"/>
              </w:rPr>
            </w:pPr>
            <w:r w:rsidRPr="00613BFD">
              <w:rPr>
                <w:rFonts w:ascii="Arial" w:hAnsi="Arial"/>
                <w:color w:val="000000"/>
                <w:sz w:val="18"/>
              </w:rPr>
              <w:t>General and administration</w:t>
            </w:r>
          </w:p>
        </w:tc>
        <w:tc>
          <w:tcPr>
            <w:tcW w:w="1665" w:type="dxa"/>
            <w:tcBorders>
              <w:top w:val="nil"/>
              <w:left w:val="nil"/>
              <w:bottom w:val="nil"/>
              <w:right w:val="nil"/>
            </w:tcBorders>
            <w:shd w:val="clear" w:color="000000" w:fill="E7E6E6"/>
            <w:noWrap/>
            <w:vAlign w:val="bottom"/>
            <w:hideMark/>
          </w:tcPr>
          <w:p w:rsidR="00613BFD" w:rsidRPr="006524E1" w:rsidRDefault="00613BFD" w:rsidP="00613BFD">
            <w:pPr>
              <w:jc w:val="right"/>
              <w:rPr>
                <w:rFonts w:ascii="Arial" w:hAnsi="Arial" w:cs="Arial"/>
                <w:color w:val="000000"/>
                <w:sz w:val="18"/>
                <w:szCs w:val="18"/>
              </w:rPr>
            </w:pPr>
            <w:r>
              <w:rPr>
                <w:rFonts w:ascii="Arial" w:hAnsi="Arial" w:cs="Arial"/>
                <w:color w:val="000000"/>
                <w:sz w:val="18"/>
                <w:szCs w:val="18"/>
              </w:rPr>
              <w:t xml:space="preserve"> $10,335</w:t>
            </w:r>
            <w:r w:rsidRPr="006524E1">
              <w:rPr>
                <w:rFonts w:ascii="Arial" w:hAnsi="Arial" w:cs="Arial"/>
                <w:color w:val="000000"/>
                <w:sz w:val="18"/>
                <w:szCs w:val="18"/>
              </w:rPr>
              <w:t xml:space="preserve"> </w:t>
            </w:r>
          </w:p>
        </w:tc>
        <w:tc>
          <w:tcPr>
            <w:tcW w:w="1668" w:type="dxa"/>
            <w:tcBorders>
              <w:top w:val="nil"/>
              <w:left w:val="nil"/>
              <w:bottom w:val="nil"/>
              <w:right w:val="nil"/>
            </w:tcBorders>
            <w:shd w:val="clear" w:color="auto" w:fill="auto"/>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$10,532 </w:t>
            </w:r>
          </w:p>
        </w:tc>
        <w:tc>
          <w:tcPr>
            <w:tcW w:w="1378" w:type="dxa"/>
            <w:tcBorders>
              <w:top w:val="nil"/>
              <w:left w:val="nil"/>
              <w:bottom w:val="nil"/>
              <w:right w:val="nil"/>
            </w:tcBorders>
            <w:shd w:val="clear" w:color="auto" w:fill="auto"/>
            <w:vAlign w:val="bottom"/>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$4,911 </w:t>
            </w:r>
          </w:p>
        </w:tc>
      </w:tr>
      <w:tr w:rsidR="00613BFD" w:rsidRPr="006524E1" w:rsidTr="00AB24E3">
        <w:trPr>
          <w:trHeight w:val="20"/>
          <w:jc w:val="center"/>
        </w:trPr>
        <w:tc>
          <w:tcPr>
            <w:tcW w:w="4865" w:type="dxa"/>
            <w:tcBorders>
              <w:top w:val="nil"/>
              <w:left w:val="nil"/>
              <w:bottom w:val="nil"/>
              <w:right w:val="nil"/>
            </w:tcBorders>
            <w:shd w:val="clear" w:color="auto" w:fill="auto"/>
            <w:vAlign w:val="bottom"/>
            <w:hideMark/>
          </w:tcPr>
          <w:p w:rsidR="00613BFD" w:rsidRPr="00613BFD" w:rsidRDefault="00613BFD" w:rsidP="00613BFD">
            <w:pPr>
              <w:rPr>
                <w:rFonts w:ascii="Arial" w:hAnsi="Arial"/>
                <w:color w:val="000000"/>
                <w:sz w:val="18"/>
              </w:rPr>
            </w:pPr>
            <w:r w:rsidRPr="00613BFD">
              <w:rPr>
                <w:rFonts w:ascii="Arial" w:hAnsi="Arial"/>
                <w:color w:val="000000"/>
                <w:sz w:val="18"/>
              </w:rPr>
              <w:t>Operating expenses</w:t>
            </w:r>
          </w:p>
        </w:tc>
        <w:tc>
          <w:tcPr>
            <w:tcW w:w="1665" w:type="dxa"/>
            <w:tcBorders>
              <w:top w:val="nil"/>
              <w:left w:val="nil"/>
              <w:bottom w:val="nil"/>
              <w:right w:val="nil"/>
            </w:tcBorders>
            <w:shd w:val="clear" w:color="000000" w:fill="E7E6E6"/>
            <w:noWrap/>
            <w:vAlign w:val="bottom"/>
            <w:hideMark/>
          </w:tcPr>
          <w:p w:rsidR="00613BFD" w:rsidRPr="006524E1" w:rsidRDefault="00613BFD" w:rsidP="00613BFD">
            <w:pPr>
              <w:jc w:val="right"/>
              <w:rPr>
                <w:rFonts w:ascii="Arial" w:hAnsi="Arial" w:cs="Arial"/>
                <w:color w:val="000000"/>
                <w:sz w:val="18"/>
                <w:szCs w:val="18"/>
              </w:rPr>
            </w:pPr>
            <w:r>
              <w:rPr>
                <w:rFonts w:ascii="Arial" w:hAnsi="Arial" w:cs="Arial"/>
                <w:color w:val="000000"/>
                <w:sz w:val="18"/>
                <w:szCs w:val="18"/>
              </w:rPr>
              <w:t xml:space="preserve"> $34,403</w:t>
            </w:r>
            <w:r w:rsidRPr="006524E1">
              <w:rPr>
                <w:rFonts w:ascii="Arial" w:hAnsi="Arial" w:cs="Arial"/>
                <w:color w:val="000000"/>
                <w:sz w:val="18"/>
                <w:szCs w:val="18"/>
              </w:rPr>
              <w:t xml:space="preserve"> </w:t>
            </w:r>
          </w:p>
        </w:tc>
        <w:tc>
          <w:tcPr>
            <w:tcW w:w="1668" w:type="dxa"/>
            <w:tcBorders>
              <w:top w:val="nil"/>
              <w:left w:val="nil"/>
              <w:bottom w:val="nil"/>
              <w:right w:val="nil"/>
            </w:tcBorders>
            <w:shd w:val="clear" w:color="auto" w:fill="auto"/>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$37,699 </w:t>
            </w:r>
          </w:p>
        </w:tc>
        <w:tc>
          <w:tcPr>
            <w:tcW w:w="1378" w:type="dxa"/>
            <w:tcBorders>
              <w:top w:val="nil"/>
              <w:left w:val="nil"/>
              <w:bottom w:val="nil"/>
              <w:right w:val="nil"/>
            </w:tcBorders>
            <w:shd w:val="clear" w:color="auto" w:fill="auto"/>
            <w:vAlign w:val="bottom"/>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$19,298 </w:t>
            </w:r>
          </w:p>
        </w:tc>
      </w:tr>
      <w:tr w:rsidR="00613BFD" w:rsidRPr="006524E1" w:rsidTr="00AB24E3">
        <w:trPr>
          <w:trHeight w:val="20"/>
          <w:jc w:val="center"/>
        </w:trPr>
        <w:tc>
          <w:tcPr>
            <w:tcW w:w="4865" w:type="dxa"/>
            <w:tcBorders>
              <w:top w:val="nil"/>
              <w:left w:val="nil"/>
              <w:bottom w:val="nil"/>
              <w:right w:val="nil"/>
            </w:tcBorders>
            <w:shd w:val="clear" w:color="auto" w:fill="auto"/>
            <w:vAlign w:val="bottom"/>
            <w:hideMark/>
          </w:tcPr>
          <w:p w:rsidR="00613BFD" w:rsidRPr="00613BFD" w:rsidRDefault="00613BFD" w:rsidP="00613BFD">
            <w:pPr>
              <w:rPr>
                <w:rFonts w:ascii="Arial" w:hAnsi="Arial"/>
                <w:color w:val="000000"/>
                <w:sz w:val="18"/>
              </w:rPr>
            </w:pPr>
            <w:r w:rsidRPr="00613BFD">
              <w:rPr>
                <w:rFonts w:ascii="Arial" w:hAnsi="Arial"/>
                <w:color w:val="000000"/>
                <w:sz w:val="18"/>
              </w:rPr>
              <w:t>Income (loss) from operations</w:t>
            </w:r>
          </w:p>
        </w:tc>
        <w:tc>
          <w:tcPr>
            <w:tcW w:w="1665" w:type="dxa"/>
            <w:tcBorders>
              <w:top w:val="nil"/>
              <w:left w:val="nil"/>
              <w:bottom w:val="nil"/>
              <w:right w:val="nil"/>
            </w:tcBorders>
            <w:shd w:val="clear" w:color="000000" w:fill="E7E6E6"/>
            <w:noWrap/>
            <w:vAlign w:val="bottom"/>
            <w:hideMark/>
          </w:tcPr>
          <w:p w:rsidR="00613BFD" w:rsidRPr="006524E1" w:rsidRDefault="00613BFD" w:rsidP="00613BFD">
            <w:pPr>
              <w:jc w:val="right"/>
              <w:rPr>
                <w:rFonts w:ascii="Arial" w:hAnsi="Arial" w:cs="Arial"/>
                <w:color w:val="000000"/>
                <w:sz w:val="18"/>
                <w:szCs w:val="18"/>
              </w:rPr>
            </w:pPr>
            <w:r>
              <w:rPr>
                <w:rFonts w:ascii="Arial" w:hAnsi="Arial" w:cs="Arial"/>
                <w:color w:val="000000"/>
                <w:sz w:val="18"/>
                <w:szCs w:val="18"/>
              </w:rPr>
              <w:t xml:space="preserve"> $(3,694)</w:t>
            </w:r>
          </w:p>
        </w:tc>
        <w:tc>
          <w:tcPr>
            <w:tcW w:w="1668" w:type="dxa"/>
            <w:tcBorders>
              <w:top w:val="nil"/>
              <w:left w:val="nil"/>
              <w:bottom w:val="nil"/>
              <w:right w:val="nil"/>
            </w:tcBorders>
            <w:shd w:val="clear" w:color="auto" w:fill="auto"/>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$(10,573)</w:t>
            </w:r>
          </w:p>
        </w:tc>
        <w:tc>
          <w:tcPr>
            <w:tcW w:w="1378" w:type="dxa"/>
            <w:tcBorders>
              <w:top w:val="nil"/>
              <w:left w:val="nil"/>
              <w:bottom w:val="nil"/>
              <w:right w:val="nil"/>
            </w:tcBorders>
            <w:shd w:val="clear" w:color="auto" w:fill="auto"/>
            <w:vAlign w:val="bottom"/>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$(4,473)</w:t>
            </w:r>
          </w:p>
        </w:tc>
      </w:tr>
      <w:tr w:rsidR="00613BFD" w:rsidRPr="006524E1" w:rsidTr="00AB24E3">
        <w:trPr>
          <w:trHeight w:val="20"/>
          <w:jc w:val="center"/>
        </w:trPr>
        <w:tc>
          <w:tcPr>
            <w:tcW w:w="4865" w:type="dxa"/>
            <w:tcBorders>
              <w:top w:val="nil"/>
              <w:left w:val="nil"/>
              <w:bottom w:val="nil"/>
              <w:right w:val="nil"/>
            </w:tcBorders>
            <w:shd w:val="clear" w:color="auto" w:fill="auto"/>
            <w:vAlign w:val="bottom"/>
            <w:hideMark/>
          </w:tcPr>
          <w:p w:rsidR="00613BFD" w:rsidRPr="00613BFD" w:rsidRDefault="00613BFD" w:rsidP="00613BFD">
            <w:pPr>
              <w:rPr>
                <w:rFonts w:ascii="Arial" w:hAnsi="Arial"/>
                <w:color w:val="000000"/>
                <w:sz w:val="18"/>
              </w:rPr>
            </w:pPr>
            <w:r w:rsidRPr="00613BFD">
              <w:rPr>
                <w:rFonts w:ascii="Arial" w:hAnsi="Arial"/>
                <w:color w:val="000000"/>
                <w:sz w:val="18"/>
              </w:rPr>
              <w:t>Funding interest expenses</w:t>
            </w:r>
          </w:p>
        </w:tc>
        <w:tc>
          <w:tcPr>
            <w:tcW w:w="1665" w:type="dxa"/>
            <w:tcBorders>
              <w:top w:val="nil"/>
              <w:left w:val="nil"/>
              <w:bottom w:val="nil"/>
              <w:right w:val="nil"/>
            </w:tcBorders>
            <w:shd w:val="clear" w:color="000000" w:fill="E7E6E6"/>
            <w:noWrap/>
            <w:vAlign w:val="bottom"/>
            <w:hideMark/>
          </w:tcPr>
          <w:p w:rsidR="00613BFD" w:rsidRPr="006524E1" w:rsidRDefault="00613BFD" w:rsidP="00613BFD">
            <w:pPr>
              <w:jc w:val="right"/>
              <w:rPr>
                <w:rFonts w:ascii="Arial" w:hAnsi="Arial" w:cs="Arial"/>
                <w:color w:val="000000"/>
                <w:sz w:val="18"/>
                <w:szCs w:val="18"/>
              </w:rPr>
            </w:pPr>
            <w:r>
              <w:rPr>
                <w:rFonts w:ascii="Arial" w:hAnsi="Arial" w:cs="Arial"/>
                <w:color w:val="000000"/>
                <w:sz w:val="18"/>
                <w:szCs w:val="18"/>
              </w:rPr>
              <w:t xml:space="preserve"> $6,120</w:t>
            </w:r>
            <w:r w:rsidRPr="006524E1">
              <w:rPr>
                <w:rFonts w:ascii="Arial" w:hAnsi="Arial" w:cs="Arial"/>
                <w:color w:val="000000"/>
                <w:sz w:val="18"/>
                <w:szCs w:val="18"/>
              </w:rPr>
              <w:t xml:space="preserve"> </w:t>
            </w:r>
          </w:p>
        </w:tc>
        <w:tc>
          <w:tcPr>
            <w:tcW w:w="1668" w:type="dxa"/>
            <w:tcBorders>
              <w:top w:val="nil"/>
              <w:left w:val="nil"/>
              <w:bottom w:val="nil"/>
              <w:right w:val="nil"/>
            </w:tcBorders>
            <w:shd w:val="clear" w:color="auto" w:fill="auto"/>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$3,468 </w:t>
            </w:r>
          </w:p>
        </w:tc>
        <w:tc>
          <w:tcPr>
            <w:tcW w:w="1378" w:type="dxa"/>
            <w:tcBorders>
              <w:top w:val="nil"/>
              <w:left w:val="nil"/>
              <w:bottom w:val="nil"/>
              <w:right w:val="nil"/>
            </w:tcBorders>
            <w:shd w:val="clear" w:color="auto" w:fill="auto"/>
            <w:vAlign w:val="bottom"/>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$1,343 </w:t>
            </w:r>
          </w:p>
        </w:tc>
      </w:tr>
      <w:tr w:rsidR="00613BFD" w:rsidRPr="006524E1" w:rsidTr="00AB24E3">
        <w:trPr>
          <w:trHeight w:val="20"/>
          <w:jc w:val="center"/>
        </w:trPr>
        <w:tc>
          <w:tcPr>
            <w:tcW w:w="4865" w:type="dxa"/>
            <w:tcBorders>
              <w:top w:val="nil"/>
              <w:left w:val="nil"/>
              <w:bottom w:val="nil"/>
              <w:right w:val="nil"/>
            </w:tcBorders>
            <w:shd w:val="clear" w:color="auto" w:fill="auto"/>
            <w:vAlign w:val="bottom"/>
            <w:hideMark/>
          </w:tcPr>
          <w:p w:rsidR="00613BFD" w:rsidRPr="00613BFD" w:rsidRDefault="00613BFD" w:rsidP="00613BFD">
            <w:pPr>
              <w:rPr>
                <w:rFonts w:ascii="Arial" w:hAnsi="Arial"/>
                <w:color w:val="000000"/>
                <w:sz w:val="18"/>
              </w:rPr>
            </w:pPr>
            <w:r w:rsidRPr="00613BFD">
              <w:rPr>
                <w:rFonts w:ascii="Arial" w:hAnsi="Arial"/>
                <w:color w:val="000000"/>
                <w:sz w:val="18"/>
              </w:rPr>
              <w:t>Corporate interest expense</w:t>
            </w:r>
          </w:p>
        </w:tc>
        <w:tc>
          <w:tcPr>
            <w:tcW w:w="1665" w:type="dxa"/>
            <w:tcBorders>
              <w:top w:val="nil"/>
              <w:left w:val="nil"/>
              <w:bottom w:val="nil"/>
              <w:right w:val="nil"/>
            </w:tcBorders>
            <w:shd w:val="clear" w:color="000000" w:fill="E7E6E6"/>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$6,259 </w:t>
            </w:r>
          </w:p>
        </w:tc>
        <w:tc>
          <w:tcPr>
            <w:tcW w:w="1668" w:type="dxa"/>
            <w:tcBorders>
              <w:top w:val="nil"/>
              <w:left w:val="nil"/>
              <w:bottom w:val="nil"/>
              <w:right w:val="nil"/>
            </w:tcBorders>
            <w:shd w:val="clear" w:color="auto" w:fill="auto"/>
            <w:noWrap/>
            <w:vAlign w:val="bottom"/>
            <w:hideMark/>
          </w:tcPr>
          <w:p w:rsidR="00613BFD" w:rsidRPr="006524E1" w:rsidRDefault="00613BFD" w:rsidP="00613BFD">
            <w:pPr>
              <w:jc w:val="right"/>
              <w:rPr>
                <w:rFonts w:ascii="Arial" w:hAnsi="Arial" w:cs="Arial"/>
                <w:color w:val="000000"/>
                <w:sz w:val="18"/>
                <w:szCs w:val="18"/>
              </w:rPr>
            </w:pPr>
            <w:r>
              <w:rPr>
                <w:rFonts w:ascii="Arial" w:hAnsi="Arial" w:cs="Arial"/>
                <w:color w:val="000000"/>
                <w:sz w:val="18"/>
                <w:szCs w:val="18"/>
              </w:rPr>
              <w:t xml:space="preserve"> $6,259</w:t>
            </w:r>
            <w:r w:rsidRPr="006524E1">
              <w:rPr>
                <w:rFonts w:ascii="Arial" w:hAnsi="Arial" w:cs="Arial"/>
                <w:color w:val="000000"/>
                <w:sz w:val="18"/>
                <w:szCs w:val="18"/>
              </w:rPr>
              <w:t xml:space="preserve"> </w:t>
            </w:r>
          </w:p>
        </w:tc>
        <w:tc>
          <w:tcPr>
            <w:tcW w:w="1378" w:type="dxa"/>
            <w:tcBorders>
              <w:top w:val="nil"/>
              <w:left w:val="nil"/>
              <w:bottom w:val="nil"/>
              <w:right w:val="nil"/>
            </w:tcBorders>
            <w:shd w:val="clear" w:color="auto" w:fill="auto"/>
            <w:vAlign w:val="bottom"/>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$6,086 </w:t>
            </w:r>
          </w:p>
        </w:tc>
      </w:tr>
      <w:tr w:rsidR="00613BFD" w:rsidRPr="006524E1" w:rsidTr="00AB24E3">
        <w:trPr>
          <w:trHeight w:val="20"/>
          <w:jc w:val="center"/>
        </w:trPr>
        <w:tc>
          <w:tcPr>
            <w:tcW w:w="4865" w:type="dxa"/>
            <w:tcBorders>
              <w:top w:val="nil"/>
              <w:left w:val="nil"/>
              <w:bottom w:val="nil"/>
              <w:right w:val="nil"/>
            </w:tcBorders>
            <w:shd w:val="clear" w:color="auto" w:fill="auto"/>
            <w:vAlign w:val="bottom"/>
            <w:hideMark/>
          </w:tcPr>
          <w:p w:rsidR="00613BFD" w:rsidRPr="00613BFD" w:rsidRDefault="00613BFD" w:rsidP="00613BFD">
            <w:pPr>
              <w:rPr>
                <w:rFonts w:ascii="Arial" w:hAnsi="Arial"/>
                <w:color w:val="000000"/>
                <w:sz w:val="18"/>
              </w:rPr>
            </w:pPr>
            <w:r w:rsidRPr="00613BFD">
              <w:rPr>
                <w:rFonts w:ascii="Arial" w:hAnsi="Arial"/>
                <w:color w:val="000000"/>
                <w:sz w:val="18"/>
              </w:rPr>
              <w:t>Unrealized foreign exchange loss</w:t>
            </w:r>
          </w:p>
        </w:tc>
        <w:tc>
          <w:tcPr>
            <w:tcW w:w="1665" w:type="dxa"/>
            <w:tcBorders>
              <w:top w:val="nil"/>
              <w:left w:val="nil"/>
              <w:bottom w:val="nil"/>
              <w:right w:val="nil"/>
            </w:tcBorders>
            <w:shd w:val="clear" w:color="000000" w:fill="E7E6E6"/>
            <w:noWrap/>
            <w:vAlign w:val="bottom"/>
            <w:hideMark/>
          </w:tcPr>
          <w:p w:rsidR="00613BFD" w:rsidRPr="006524E1" w:rsidRDefault="00613BFD" w:rsidP="00613BFD">
            <w:pPr>
              <w:jc w:val="right"/>
              <w:rPr>
                <w:rFonts w:ascii="Arial" w:hAnsi="Arial" w:cs="Arial"/>
                <w:color w:val="000000"/>
                <w:sz w:val="18"/>
                <w:szCs w:val="18"/>
              </w:rPr>
            </w:pPr>
            <w:r>
              <w:rPr>
                <w:rFonts w:ascii="Arial" w:hAnsi="Arial" w:cs="Arial"/>
                <w:color w:val="000000"/>
                <w:sz w:val="18"/>
                <w:szCs w:val="18"/>
              </w:rPr>
              <w:t xml:space="preserve"> $(217)</w:t>
            </w:r>
            <w:r w:rsidRPr="006524E1">
              <w:rPr>
                <w:rFonts w:ascii="Arial" w:hAnsi="Arial" w:cs="Arial"/>
                <w:color w:val="000000"/>
                <w:sz w:val="18"/>
                <w:szCs w:val="18"/>
              </w:rPr>
              <w:t xml:space="preserve"> </w:t>
            </w:r>
          </w:p>
        </w:tc>
        <w:tc>
          <w:tcPr>
            <w:tcW w:w="1668" w:type="dxa"/>
            <w:tcBorders>
              <w:top w:val="nil"/>
              <w:left w:val="nil"/>
              <w:bottom w:val="nil"/>
              <w:right w:val="nil"/>
            </w:tcBorders>
            <w:shd w:val="clear" w:color="auto" w:fill="auto"/>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$1,143 </w:t>
            </w:r>
          </w:p>
        </w:tc>
        <w:tc>
          <w:tcPr>
            <w:tcW w:w="1378" w:type="dxa"/>
            <w:tcBorders>
              <w:top w:val="nil"/>
              <w:left w:val="nil"/>
              <w:bottom w:val="nil"/>
              <w:right w:val="nil"/>
            </w:tcBorders>
            <w:shd w:val="clear" w:color="auto" w:fill="auto"/>
            <w:vAlign w:val="bottom"/>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$486 </w:t>
            </w:r>
          </w:p>
        </w:tc>
      </w:tr>
      <w:tr w:rsidR="00613BFD" w:rsidRPr="006524E1" w:rsidTr="00AB24E3">
        <w:trPr>
          <w:trHeight w:val="20"/>
          <w:jc w:val="center"/>
        </w:trPr>
        <w:tc>
          <w:tcPr>
            <w:tcW w:w="4865" w:type="dxa"/>
            <w:tcBorders>
              <w:top w:val="nil"/>
              <w:left w:val="nil"/>
              <w:bottom w:val="nil"/>
              <w:right w:val="nil"/>
            </w:tcBorders>
            <w:shd w:val="clear" w:color="auto" w:fill="auto"/>
            <w:vAlign w:val="bottom"/>
            <w:hideMark/>
          </w:tcPr>
          <w:p w:rsidR="00613BFD" w:rsidRPr="00613BFD" w:rsidRDefault="00613BFD" w:rsidP="00613BFD">
            <w:pPr>
              <w:rPr>
                <w:rFonts w:ascii="Arial" w:hAnsi="Arial"/>
                <w:color w:val="000000"/>
                <w:sz w:val="18"/>
              </w:rPr>
            </w:pPr>
            <w:r w:rsidRPr="00613BFD">
              <w:rPr>
                <w:rFonts w:ascii="Arial" w:hAnsi="Arial"/>
                <w:color w:val="000000"/>
                <w:sz w:val="18"/>
              </w:rPr>
              <w:t>Unrealized gain on derivative liability</w:t>
            </w:r>
          </w:p>
        </w:tc>
        <w:tc>
          <w:tcPr>
            <w:tcW w:w="1665" w:type="dxa"/>
            <w:tcBorders>
              <w:top w:val="nil"/>
              <w:left w:val="nil"/>
              <w:bottom w:val="nil"/>
              <w:right w:val="nil"/>
            </w:tcBorders>
            <w:shd w:val="clear" w:color="000000" w:fill="E7E6E6"/>
            <w:noWrap/>
            <w:vAlign w:val="bottom"/>
            <w:hideMark/>
          </w:tcPr>
          <w:p w:rsidR="00613BFD" w:rsidRPr="006524E1" w:rsidRDefault="00613BFD" w:rsidP="00613BFD">
            <w:pPr>
              <w:jc w:val="right"/>
              <w:rPr>
                <w:rFonts w:ascii="Arial" w:hAnsi="Arial" w:cs="Arial"/>
                <w:color w:val="000000"/>
                <w:sz w:val="18"/>
                <w:szCs w:val="18"/>
              </w:rPr>
            </w:pPr>
            <w:r w:rsidRPr="006524E1">
              <w:rPr>
                <w:rFonts w:ascii="Arial" w:hAnsi="Arial" w:cs="Arial"/>
                <w:color w:val="000000"/>
                <w:sz w:val="18"/>
                <w:szCs w:val="18"/>
              </w:rPr>
              <w:t xml:space="preserve"> $(</w:t>
            </w:r>
            <w:r>
              <w:rPr>
                <w:rFonts w:ascii="Arial" w:hAnsi="Arial" w:cs="Arial"/>
                <w:color w:val="000000"/>
                <w:sz w:val="18"/>
                <w:szCs w:val="18"/>
              </w:rPr>
              <w:t>89)</w:t>
            </w:r>
          </w:p>
        </w:tc>
        <w:tc>
          <w:tcPr>
            <w:tcW w:w="1668" w:type="dxa"/>
            <w:tcBorders>
              <w:top w:val="nil"/>
              <w:left w:val="nil"/>
              <w:bottom w:val="nil"/>
              <w:right w:val="nil"/>
            </w:tcBorders>
            <w:shd w:val="clear" w:color="auto" w:fill="auto"/>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$(106)</w:t>
            </w:r>
          </w:p>
        </w:tc>
        <w:tc>
          <w:tcPr>
            <w:tcW w:w="1378" w:type="dxa"/>
            <w:tcBorders>
              <w:top w:val="nil"/>
              <w:left w:val="nil"/>
              <w:bottom w:val="nil"/>
              <w:right w:val="nil"/>
            </w:tcBorders>
            <w:shd w:val="clear" w:color="auto" w:fill="auto"/>
            <w:vAlign w:val="bottom"/>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 </w:t>
            </w:r>
            <w:r>
              <w:rPr>
                <w:rFonts w:ascii="Arial" w:hAnsi="Arial" w:cs="Arial"/>
                <w:color w:val="000000"/>
                <w:sz w:val="18"/>
                <w:szCs w:val="18"/>
              </w:rPr>
              <w:t xml:space="preserve">  </w:t>
            </w:r>
          </w:p>
        </w:tc>
      </w:tr>
      <w:tr w:rsidR="00613BFD" w:rsidRPr="006524E1" w:rsidTr="00AB24E3">
        <w:trPr>
          <w:trHeight w:val="20"/>
          <w:jc w:val="center"/>
        </w:trPr>
        <w:tc>
          <w:tcPr>
            <w:tcW w:w="4865" w:type="dxa"/>
            <w:tcBorders>
              <w:top w:val="nil"/>
              <w:left w:val="nil"/>
              <w:bottom w:val="nil"/>
              <w:right w:val="nil"/>
            </w:tcBorders>
            <w:shd w:val="clear" w:color="auto" w:fill="auto"/>
            <w:vAlign w:val="bottom"/>
          </w:tcPr>
          <w:p w:rsidR="00613BFD" w:rsidRPr="006524E1" w:rsidRDefault="00613BFD" w:rsidP="00613BFD">
            <w:pPr>
              <w:rPr>
                <w:rFonts w:ascii="Arial" w:hAnsi="Arial" w:cs="Arial"/>
                <w:color w:val="000000"/>
                <w:sz w:val="18"/>
                <w:szCs w:val="18"/>
              </w:rPr>
            </w:pPr>
            <w:r>
              <w:rPr>
                <w:rFonts w:ascii="Arial" w:hAnsi="Arial" w:cs="Arial"/>
                <w:color w:val="000000"/>
                <w:sz w:val="18"/>
                <w:szCs w:val="18"/>
              </w:rPr>
              <w:t>Store closure and related expenses</w:t>
            </w:r>
          </w:p>
        </w:tc>
        <w:tc>
          <w:tcPr>
            <w:tcW w:w="1665" w:type="dxa"/>
            <w:tcBorders>
              <w:top w:val="nil"/>
              <w:left w:val="nil"/>
              <w:bottom w:val="nil"/>
              <w:right w:val="nil"/>
            </w:tcBorders>
            <w:shd w:val="clear" w:color="000000" w:fill="E7E6E6"/>
            <w:noWrap/>
            <w:vAlign w:val="bottom"/>
          </w:tcPr>
          <w:p w:rsidR="00613BFD" w:rsidRDefault="00613BFD" w:rsidP="00613BFD">
            <w:pPr>
              <w:jc w:val="right"/>
              <w:rPr>
                <w:rFonts w:ascii="Arial" w:hAnsi="Arial" w:cs="Arial"/>
                <w:color w:val="000000"/>
                <w:sz w:val="18"/>
                <w:szCs w:val="18"/>
              </w:rPr>
            </w:pPr>
            <w:r>
              <w:rPr>
                <w:rFonts w:ascii="Arial" w:hAnsi="Arial" w:cs="Arial"/>
                <w:color w:val="000000"/>
                <w:sz w:val="18"/>
                <w:szCs w:val="18"/>
              </w:rPr>
              <w:t>$1,506</w:t>
            </w:r>
          </w:p>
        </w:tc>
        <w:tc>
          <w:tcPr>
            <w:tcW w:w="1668" w:type="dxa"/>
            <w:tcBorders>
              <w:top w:val="nil"/>
              <w:left w:val="nil"/>
              <w:bottom w:val="nil"/>
              <w:right w:val="nil"/>
            </w:tcBorders>
            <w:shd w:val="clear" w:color="auto" w:fill="auto"/>
            <w:noWrap/>
            <w:vAlign w:val="bottom"/>
          </w:tcPr>
          <w:p w:rsidR="00613BFD" w:rsidRPr="006524E1" w:rsidRDefault="00613BFD" w:rsidP="00613BFD">
            <w:pPr>
              <w:jc w:val="right"/>
              <w:rPr>
                <w:rFonts w:ascii="Arial" w:hAnsi="Arial" w:cs="Arial"/>
                <w:color w:val="000000"/>
                <w:sz w:val="18"/>
                <w:szCs w:val="18"/>
              </w:rPr>
            </w:pPr>
            <w:r>
              <w:rPr>
                <w:rFonts w:ascii="Arial" w:hAnsi="Arial" w:cs="Arial"/>
                <w:color w:val="000000"/>
                <w:sz w:val="18"/>
                <w:szCs w:val="18"/>
              </w:rPr>
              <w:t>n/a</w:t>
            </w:r>
          </w:p>
        </w:tc>
        <w:tc>
          <w:tcPr>
            <w:tcW w:w="1378" w:type="dxa"/>
            <w:tcBorders>
              <w:top w:val="nil"/>
              <w:left w:val="nil"/>
              <w:bottom w:val="nil"/>
              <w:right w:val="nil"/>
            </w:tcBorders>
            <w:vAlign w:val="bottom"/>
          </w:tcPr>
          <w:p w:rsidR="00613BFD" w:rsidRDefault="00613BFD" w:rsidP="00613BFD">
            <w:pPr>
              <w:jc w:val="right"/>
              <w:rPr>
                <w:rFonts w:ascii="Arial" w:hAnsi="Arial" w:cs="Arial"/>
                <w:color w:val="000000"/>
                <w:sz w:val="18"/>
                <w:szCs w:val="18"/>
              </w:rPr>
            </w:pPr>
            <w:r>
              <w:rPr>
                <w:rFonts w:ascii="Arial" w:hAnsi="Arial" w:cs="Arial"/>
                <w:color w:val="000000"/>
                <w:sz w:val="18"/>
                <w:szCs w:val="18"/>
              </w:rPr>
              <w:t xml:space="preserve"> n/a </w:t>
            </w:r>
          </w:p>
        </w:tc>
      </w:tr>
      <w:tr w:rsidR="00613BFD" w:rsidRPr="006524E1" w:rsidTr="00AB24E3">
        <w:trPr>
          <w:trHeight w:val="20"/>
          <w:jc w:val="center"/>
        </w:trPr>
        <w:tc>
          <w:tcPr>
            <w:tcW w:w="4865" w:type="dxa"/>
            <w:tcBorders>
              <w:top w:val="nil"/>
              <w:left w:val="nil"/>
              <w:bottom w:val="nil"/>
              <w:right w:val="nil"/>
            </w:tcBorders>
            <w:shd w:val="clear" w:color="auto" w:fill="auto"/>
            <w:vAlign w:val="bottom"/>
            <w:hideMark/>
          </w:tcPr>
          <w:p w:rsidR="00613BFD" w:rsidRPr="00613BFD" w:rsidRDefault="00613BFD" w:rsidP="00613BFD">
            <w:pPr>
              <w:rPr>
                <w:rFonts w:ascii="Arial" w:hAnsi="Arial"/>
                <w:color w:val="000000"/>
                <w:sz w:val="18"/>
              </w:rPr>
            </w:pPr>
            <w:r w:rsidRPr="00613BFD">
              <w:rPr>
                <w:rFonts w:ascii="Arial" w:hAnsi="Arial"/>
                <w:color w:val="000000"/>
                <w:sz w:val="18"/>
              </w:rPr>
              <w:t>Other financing expense</w:t>
            </w:r>
          </w:p>
        </w:tc>
        <w:tc>
          <w:tcPr>
            <w:tcW w:w="1665" w:type="dxa"/>
            <w:tcBorders>
              <w:top w:val="nil"/>
              <w:left w:val="nil"/>
              <w:bottom w:val="nil"/>
              <w:right w:val="nil"/>
            </w:tcBorders>
            <w:shd w:val="clear" w:color="000000" w:fill="E7E6E6"/>
            <w:noWrap/>
            <w:vAlign w:val="bottom"/>
            <w:hideMark/>
          </w:tcPr>
          <w:p w:rsidR="00613BFD" w:rsidRPr="006524E1" w:rsidRDefault="00613BFD" w:rsidP="00613BFD">
            <w:pPr>
              <w:jc w:val="right"/>
              <w:rPr>
                <w:rFonts w:ascii="Arial" w:hAnsi="Arial" w:cs="Arial"/>
                <w:color w:val="000000"/>
                <w:sz w:val="18"/>
                <w:szCs w:val="18"/>
              </w:rPr>
            </w:pPr>
            <w:r>
              <w:rPr>
                <w:rFonts w:ascii="Arial" w:hAnsi="Arial" w:cs="Arial"/>
                <w:color w:val="000000"/>
                <w:sz w:val="18"/>
                <w:szCs w:val="18"/>
              </w:rPr>
              <w:t xml:space="preserve"> $(181)</w:t>
            </w:r>
            <w:r w:rsidRPr="006524E1">
              <w:rPr>
                <w:rFonts w:ascii="Arial" w:hAnsi="Arial" w:cs="Arial"/>
                <w:color w:val="000000"/>
                <w:sz w:val="18"/>
                <w:szCs w:val="18"/>
              </w:rPr>
              <w:t xml:space="preserve"> </w:t>
            </w:r>
          </w:p>
        </w:tc>
        <w:tc>
          <w:tcPr>
            <w:tcW w:w="1668" w:type="dxa"/>
            <w:tcBorders>
              <w:top w:val="nil"/>
              <w:left w:val="nil"/>
              <w:bottom w:val="nil"/>
              <w:right w:val="nil"/>
            </w:tcBorders>
            <w:shd w:val="clear" w:color="auto" w:fill="auto"/>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$12.00 </w:t>
            </w:r>
          </w:p>
        </w:tc>
        <w:tc>
          <w:tcPr>
            <w:tcW w:w="1378" w:type="dxa"/>
            <w:tcBorders>
              <w:top w:val="nil"/>
              <w:left w:val="nil"/>
              <w:bottom w:val="nil"/>
              <w:right w:val="nil"/>
            </w:tcBorders>
            <w:shd w:val="clear" w:color="auto" w:fill="auto"/>
            <w:vAlign w:val="bottom"/>
          </w:tcPr>
          <w:p w:rsidR="00613BFD" w:rsidRPr="00613BFD" w:rsidRDefault="00613BFD" w:rsidP="00613BFD">
            <w:pPr>
              <w:jc w:val="right"/>
              <w:rPr>
                <w:rFonts w:ascii="Arial" w:hAnsi="Arial"/>
                <w:color w:val="000000"/>
                <w:sz w:val="18"/>
              </w:rPr>
            </w:pPr>
            <w:r w:rsidRPr="00613BFD">
              <w:rPr>
                <w:rFonts w:ascii="Arial" w:hAnsi="Arial"/>
                <w:color w:val="000000"/>
                <w:sz w:val="18"/>
              </w:rPr>
              <w:t>$680</w:t>
            </w:r>
          </w:p>
        </w:tc>
      </w:tr>
      <w:tr w:rsidR="00613BFD" w:rsidRPr="00AB24E3" w:rsidTr="00AB24E3">
        <w:trPr>
          <w:trHeight w:val="20"/>
          <w:jc w:val="center"/>
        </w:trPr>
        <w:tc>
          <w:tcPr>
            <w:tcW w:w="4865" w:type="dxa"/>
            <w:tcBorders>
              <w:top w:val="nil"/>
              <w:left w:val="nil"/>
              <w:bottom w:val="nil"/>
              <w:right w:val="nil"/>
            </w:tcBorders>
            <w:shd w:val="clear" w:color="auto" w:fill="auto"/>
            <w:noWrap/>
            <w:vAlign w:val="bottom"/>
            <w:hideMark/>
          </w:tcPr>
          <w:p w:rsidR="00613BFD" w:rsidRPr="00AB24E3" w:rsidRDefault="00613BFD" w:rsidP="00613BFD">
            <w:pPr>
              <w:jc w:val="right"/>
              <w:rPr>
                <w:rFonts w:ascii="Arial" w:hAnsi="Arial" w:cs="Arial"/>
                <w:color w:val="000000"/>
                <w:sz w:val="12"/>
                <w:szCs w:val="12"/>
              </w:rPr>
            </w:pPr>
          </w:p>
        </w:tc>
        <w:tc>
          <w:tcPr>
            <w:tcW w:w="1665" w:type="dxa"/>
            <w:tcBorders>
              <w:top w:val="nil"/>
              <w:left w:val="nil"/>
              <w:bottom w:val="nil"/>
              <w:right w:val="nil"/>
            </w:tcBorders>
            <w:shd w:val="clear" w:color="000000" w:fill="E7E6E6"/>
            <w:noWrap/>
            <w:vAlign w:val="bottom"/>
            <w:hideMark/>
          </w:tcPr>
          <w:p w:rsidR="00613BFD" w:rsidRPr="00AB24E3" w:rsidRDefault="00613BFD" w:rsidP="00613BFD">
            <w:pPr>
              <w:rPr>
                <w:rFonts w:ascii="Arial" w:hAnsi="Arial" w:cs="Arial"/>
                <w:color w:val="000000"/>
                <w:sz w:val="12"/>
                <w:szCs w:val="12"/>
              </w:rPr>
            </w:pPr>
            <w:r w:rsidRPr="00AB24E3">
              <w:rPr>
                <w:rFonts w:ascii="Arial" w:hAnsi="Arial" w:cs="Arial"/>
                <w:color w:val="000000"/>
                <w:sz w:val="12"/>
                <w:szCs w:val="12"/>
              </w:rPr>
              <w:t> </w:t>
            </w:r>
          </w:p>
        </w:tc>
        <w:tc>
          <w:tcPr>
            <w:tcW w:w="1668" w:type="dxa"/>
            <w:tcBorders>
              <w:top w:val="nil"/>
              <w:left w:val="nil"/>
              <w:bottom w:val="nil"/>
              <w:right w:val="nil"/>
            </w:tcBorders>
            <w:shd w:val="clear" w:color="auto" w:fill="auto"/>
            <w:noWrap/>
            <w:vAlign w:val="bottom"/>
            <w:hideMark/>
          </w:tcPr>
          <w:p w:rsidR="00613BFD" w:rsidRPr="00AB24E3" w:rsidRDefault="00613BFD" w:rsidP="00613BFD">
            <w:pPr>
              <w:rPr>
                <w:rFonts w:ascii="Arial" w:hAnsi="Arial" w:cs="Arial"/>
                <w:color w:val="000000"/>
                <w:sz w:val="12"/>
                <w:szCs w:val="12"/>
              </w:rPr>
            </w:pPr>
            <w:r w:rsidRPr="00AB24E3">
              <w:rPr>
                <w:rFonts w:ascii="Arial" w:hAnsi="Arial" w:cs="Arial"/>
                <w:color w:val="000000"/>
                <w:sz w:val="12"/>
                <w:szCs w:val="12"/>
              </w:rPr>
              <w:t> </w:t>
            </w:r>
          </w:p>
        </w:tc>
        <w:tc>
          <w:tcPr>
            <w:tcW w:w="1378" w:type="dxa"/>
            <w:tcBorders>
              <w:top w:val="nil"/>
              <w:left w:val="nil"/>
              <w:bottom w:val="nil"/>
              <w:right w:val="nil"/>
            </w:tcBorders>
            <w:vAlign w:val="bottom"/>
          </w:tcPr>
          <w:p w:rsidR="00613BFD" w:rsidRPr="00AB24E3" w:rsidRDefault="00613BFD" w:rsidP="00613BFD">
            <w:pPr>
              <w:rPr>
                <w:rFonts w:ascii="Arial" w:hAnsi="Arial" w:cs="Arial"/>
                <w:color w:val="000000"/>
                <w:sz w:val="12"/>
                <w:szCs w:val="12"/>
              </w:rPr>
            </w:pPr>
            <w:r w:rsidRPr="00AB24E3">
              <w:rPr>
                <w:rFonts w:ascii="Arial" w:hAnsi="Arial" w:cs="Arial"/>
                <w:color w:val="000000"/>
                <w:sz w:val="12"/>
                <w:szCs w:val="12"/>
              </w:rPr>
              <w:t xml:space="preserve"> </w:t>
            </w:r>
          </w:p>
        </w:tc>
      </w:tr>
      <w:tr w:rsidR="00613BFD" w:rsidRPr="006524E1" w:rsidTr="00AB24E3">
        <w:trPr>
          <w:trHeight w:val="20"/>
          <w:jc w:val="center"/>
        </w:trPr>
        <w:tc>
          <w:tcPr>
            <w:tcW w:w="4865" w:type="dxa"/>
            <w:tcBorders>
              <w:top w:val="single" w:sz="4" w:space="0" w:color="auto"/>
              <w:left w:val="nil"/>
              <w:bottom w:val="double" w:sz="6" w:space="0" w:color="auto"/>
              <w:right w:val="nil"/>
            </w:tcBorders>
            <w:shd w:val="clear" w:color="auto" w:fill="auto"/>
            <w:noWrap/>
            <w:vAlign w:val="bottom"/>
            <w:hideMark/>
          </w:tcPr>
          <w:p w:rsidR="00613BFD" w:rsidRPr="00613BFD" w:rsidRDefault="00613BFD" w:rsidP="00613BFD">
            <w:pPr>
              <w:rPr>
                <w:rFonts w:ascii="Arial" w:hAnsi="Arial"/>
                <w:b/>
                <w:color w:val="000000"/>
                <w:sz w:val="18"/>
              </w:rPr>
            </w:pPr>
            <w:r w:rsidRPr="00613BFD">
              <w:rPr>
                <w:rFonts w:ascii="Arial" w:hAnsi="Arial"/>
                <w:b/>
                <w:color w:val="000000"/>
                <w:sz w:val="18"/>
              </w:rPr>
              <w:t>Net loss</w:t>
            </w:r>
          </w:p>
        </w:tc>
        <w:tc>
          <w:tcPr>
            <w:tcW w:w="1665" w:type="dxa"/>
            <w:tcBorders>
              <w:top w:val="single" w:sz="4" w:space="0" w:color="auto"/>
              <w:left w:val="nil"/>
              <w:bottom w:val="double" w:sz="6" w:space="0" w:color="auto"/>
              <w:right w:val="nil"/>
            </w:tcBorders>
            <w:shd w:val="clear" w:color="000000" w:fill="E7E6E6"/>
            <w:noWrap/>
            <w:vAlign w:val="bottom"/>
            <w:hideMark/>
          </w:tcPr>
          <w:p w:rsidR="00613BFD" w:rsidRPr="006524E1" w:rsidRDefault="00613BFD" w:rsidP="00613BFD">
            <w:pPr>
              <w:jc w:val="right"/>
              <w:rPr>
                <w:rFonts w:ascii="Arial" w:hAnsi="Arial" w:cs="Arial"/>
                <w:color w:val="000000"/>
                <w:sz w:val="18"/>
                <w:szCs w:val="18"/>
              </w:rPr>
            </w:pPr>
            <w:r>
              <w:rPr>
                <w:rFonts w:ascii="Arial" w:hAnsi="Arial" w:cs="Arial"/>
                <w:color w:val="000000"/>
                <w:sz w:val="18"/>
                <w:szCs w:val="18"/>
              </w:rPr>
              <w:t xml:space="preserve"> $(17,091)</w:t>
            </w:r>
          </w:p>
        </w:tc>
        <w:tc>
          <w:tcPr>
            <w:tcW w:w="1668" w:type="dxa"/>
            <w:tcBorders>
              <w:top w:val="single" w:sz="4" w:space="0" w:color="auto"/>
              <w:left w:val="nil"/>
              <w:bottom w:val="double" w:sz="6" w:space="0" w:color="auto"/>
              <w:right w:val="nil"/>
            </w:tcBorders>
            <w:shd w:val="clear" w:color="auto" w:fill="auto"/>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$(21,351)</w:t>
            </w:r>
          </w:p>
        </w:tc>
        <w:tc>
          <w:tcPr>
            <w:tcW w:w="1378" w:type="dxa"/>
            <w:tcBorders>
              <w:top w:val="single" w:sz="4" w:space="0" w:color="auto"/>
              <w:left w:val="nil"/>
              <w:bottom w:val="double" w:sz="6" w:space="0" w:color="auto"/>
              <w:right w:val="nil"/>
            </w:tcBorders>
            <w:shd w:val="clear" w:color="auto" w:fill="auto"/>
            <w:vAlign w:val="bottom"/>
          </w:tcPr>
          <w:p w:rsidR="00613BFD" w:rsidRPr="00613BFD" w:rsidRDefault="00613BFD" w:rsidP="00613BFD">
            <w:pPr>
              <w:jc w:val="right"/>
              <w:rPr>
                <w:rFonts w:ascii="Arial" w:hAnsi="Arial"/>
                <w:color w:val="000000"/>
                <w:sz w:val="18"/>
              </w:rPr>
            </w:pPr>
            <w:r w:rsidRPr="00613BFD">
              <w:rPr>
                <w:rFonts w:ascii="Arial" w:hAnsi="Arial"/>
                <w:color w:val="000000"/>
                <w:sz w:val="18"/>
              </w:rPr>
              <w:t>$(13,073)</w:t>
            </w:r>
          </w:p>
        </w:tc>
      </w:tr>
      <w:tr w:rsidR="00613BFD" w:rsidRPr="00AB24E3" w:rsidTr="00AB24E3">
        <w:trPr>
          <w:trHeight w:val="20"/>
          <w:jc w:val="center"/>
        </w:trPr>
        <w:tc>
          <w:tcPr>
            <w:tcW w:w="4865" w:type="dxa"/>
            <w:tcBorders>
              <w:top w:val="nil"/>
              <w:left w:val="nil"/>
              <w:right w:val="nil"/>
            </w:tcBorders>
            <w:shd w:val="clear" w:color="auto" w:fill="auto"/>
            <w:noWrap/>
            <w:vAlign w:val="bottom"/>
            <w:hideMark/>
          </w:tcPr>
          <w:p w:rsidR="00613BFD" w:rsidRPr="00AB24E3" w:rsidRDefault="00613BFD" w:rsidP="00613BFD">
            <w:pPr>
              <w:jc w:val="right"/>
              <w:rPr>
                <w:rFonts w:ascii="Arial" w:hAnsi="Arial" w:cs="Arial"/>
                <w:color w:val="000000"/>
                <w:sz w:val="8"/>
                <w:szCs w:val="8"/>
              </w:rPr>
            </w:pPr>
          </w:p>
        </w:tc>
        <w:tc>
          <w:tcPr>
            <w:tcW w:w="1665" w:type="dxa"/>
            <w:tcBorders>
              <w:top w:val="nil"/>
              <w:left w:val="nil"/>
              <w:right w:val="nil"/>
            </w:tcBorders>
            <w:shd w:val="clear" w:color="000000" w:fill="E7E6E6"/>
            <w:noWrap/>
            <w:vAlign w:val="bottom"/>
            <w:hideMark/>
          </w:tcPr>
          <w:p w:rsidR="00613BFD" w:rsidRPr="00AB24E3" w:rsidRDefault="00613BFD" w:rsidP="00613BFD">
            <w:pPr>
              <w:rPr>
                <w:rFonts w:ascii="Arial" w:hAnsi="Arial" w:cs="Arial"/>
                <w:color w:val="000000"/>
                <w:sz w:val="8"/>
                <w:szCs w:val="8"/>
              </w:rPr>
            </w:pPr>
            <w:r w:rsidRPr="00AB24E3">
              <w:rPr>
                <w:rFonts w:ascii="Arial" w:hAnsi="Arial" w:cs="Arial"/>
                <w:color w:val="000000"/>
                <w:sz w:val="8"/>
                <w:szCs w:val="8"/>
              </w:rPr>
              <w:t> </w:t>
            </w:r>
          </w:p>
        </w:tc>
        <w:tc>
          <w:tcPr>
            <w:tcW w:w="1668" w:type="dxa"/>
            <w:tcBorders>
              <w:top w:val="nil"/>
              <w:left w:val="nil"/>
              <w:right w:val="nil"/>
            </w:tcBorders>
            <w:shd w:val="clear" w:color="auto" w:fill="auto"/>
            <w:noWrap/>
            <w:vAlign w:val="bottom"/>
            <w:hideMark/>
          </w:tcPr>
          <w:p w:rsidR="00613BFD" w:rsidRPr="00AB24E3" w:rsidRDefault="00613BFD" w:rsidP="00613BFD">
            <w:pPr>
              <w:rPr>
                <w:rFonts w:ascii="Arial" w:hAnsi="Arial" w:cs="Arial"/>
                <w:color w:val="000000"/>
                <w:sz w:val="8"/>
                <w:szCs w:val="8"/>
              </w:rPr>
            </w:pPr>
            <w:r w:rsidRPr="00AB24E3">
              <w:rPr>
                <w:rFonts w:ascii="Arial" w:hAnsi="Arial" w:cs="Arial"/>
                <w:color w:val="000000"/>
                <w:sz w:val="8"/>
                <w:szCs w:val="8"/>
              </w:rPr>
              <w:t> </w:t>
            </w:r>
          </w:p>
        </w:tc>
        <w:tc>
          <w:tcPr>
            <w:tcW w:w="1378" w:type="dxa"/>
            <w:tcBorders>
              <w:top w:val="nil"/>
              <w:left w:val="nil"/>
              <w:right w:val="nil"/>
            </w:tcBorders>
            <w:vAlign w:val="bottom"/>
          </w:tcPr>
          <w:p w:rsidR="00613BFD" w:rsidRPr="00AB24E3" w:rsidRDefault="00613BFD" w:rsidP="00613BFD">
            <w:pPr>
              <w:rPr>
                <w:rFonts w:ascii="Arial" w:hAnsi="Arial" w:cs="Arial"/>
                <w:color w:val="000000"/>
                <w:sz w:val="8"/>
                <w:szCs w:val="8"/>
              </w:rPr>
            </w:pPr>
            <w:r w:rsidRPr="00AB24E3">
              <w:rPr>
                <w:rFonts w:ascii="Arial" w:hAnsi="Arial" w:cs="Arial"/>
                <w:color w:val="000000"/>
                <w:sz w:val="8"/>
                <w:szCs w:val="8"/>
              </w:rPr>
              <w:t> </w:t>
            </w:r>
          </w:p>
        </w:tc>
      </w:tr>
      <w:tr w:rsidR="00613BFD" w:rsidRPr="006524E1" w:rsidTr="00AB24E3">
        <w:trPr>
          <w:trHeight w:val="20"/>
          <w:jc w:val="center"/>
        </w:trPr>
        <w:tc>
          <w:tcPr>
            <w:tcW w:w="4865" w:type="dxa"/>
            <w:tcBorders>
              <w:top w:val="nil"/>
              <w:left w:val="nil"/>
              <w:bottom w:val="single" w:sz="4" w:space="0" w:color="auto"/>
              <w:right w:val="nil"/>
            </w:tcBorders>
            <w:shd w:val="clear" w:color="auto" w:fill="auto"/>
            <w:noWrap/>
            <w:vAlign w:val="bottom"/>
            <w:hideMark/>
          </w:tcPr>
          <w:p w:rsidR="00613BFD" w:rsidRPr="00613BFD" w:rsidRDefault="00613BFD" w:rsidP="00613BFD">
            <w:pPr>
              <w:rPr>
                <w:rFonts w:ascii="Arial" w:hAnsi="Arial"/>
                <w:b/>
                <w:color w:val="000000"/>
                <w:sz w:val="18"/>
              </w:rPr>
            </w:pPr>
            <w:r w:rsidRPr="00613BFD">
              <w:rPr>
                <w:rFonts w:ascii="Arial" w:hAnsi="Arial"/>
                <w:b/>
                <w:color w:val="000000"/>
                <w:sz w:val="18"/>
              </w:rPr>
              <w:t>Share metrics</w:t>
            </w:r>
          </w:p>
        </w:tc>
        <w:tc>
          <w:tcPr>
            <w:tcW w:w="1665" w:type="dxa"/>
            <w:tcBorders>
              <w:top w:val="nil"/>
              <w:left w:val="nil"/>
              <w:bottom w:val="single" w:sz="4" w:space="0" w:color="auto"/>
              <w:right w:val="nil"/>
            </w:tcBorders>
            <w:shd w:val="clear" w:color="000000" w:fill="E7E6E6"/>
            <w:noWrap/>
            <w:vAlign w:val="bottom"/>
            <w:hideMark/>
          </w:tcPr>
          <w:p w:rsidR="00613BFD" w:rsidRPr="00613BFD" w:rsidRDefault="00613BFD" w:rsidP="00613BFD">
            <w:pPr>
              <w:rPr>
                <w:rFonts w:ascii="Arial" w:hAnsi="Arial"/>
                <w:color w:val="000000"/>
                <w:sz w:val="18"/>
              </w:rPr>
            </w:pPr>
            <w:r w:rsidRPr="00613BFD">
              <w:rPr>
                <w:rFonts w:ascii="Arial" w:hAnsi="Arial"/>
                <w:color w:val="000000"/>
                <w:sz w:val="18"/>
              </w:rPr>
              <w:t> </w:t>
            </w:r>
          </w:p>
        </w:tc>
        <w:tc>
          <w:tcPr>
            <w:tcW w:w="1668" w:type="dxa"/>
            <w:tcBorders>
              <w:top w:val="nil"/>
              <w:left w:val="nil"/>
              <w:bottom w:val="single" w:sz="4" w:space="0" w:color="auto"/>
              <w:right w:val="nil"/>
            </w:tcBorders>
            <w:shd w:val="clear" w:color="auto" w:fill="auto"/>
            <w:noWrap/>
            <w:vAlign w:val="bottom"/>
            <w:hideMark/>
          </w:tcPr>
          <w:p w:rsidR="00613BFD" w:rsidRPr="00613BFD" w:rsidRDefault="00613BFD" w:rsidP="00613BFD">
            <w:pPr>
              <w:rPr>
                <w:rFonts w:ascii="Arial" w:hAnsi="Arial"/>
                <w:color w:val="000000"/>
                <w:sz w:val="18"/>
              </w:rPr>
            </w:pPr>
            <w:r w:rsidRPr="00613BFD">
              <w:rPr>
                <w:rFonts w:ascii="Arial" w:hAnsi="Arial"/>
                <w:color w:val="000000"/>
                <w:sz w:val="18"/>
              </w:rPr>
              <w:t> </w:t>
            </w:r>
          </w:p>
        </w:tc>
        <w:tc>
          <w:tcPr>
            <w:tcW w:w="1378" w:type="dxa"/>
            <w:tcBorders>
              <w:top w:val="nil"/>
              <w:left w:val="nil"/>
              <w:bottom w:val="single" w:sz="4" w:space="0" w:color="auto"/>
              <w:right w:val="nil"/>
            </w:tcBorders>
            <w:shd w:val="clear" w:color="auto" w:fill="auto"/>
            <w:vAlign w:val="bottom"/>
          </w:tcPr>
          <w:p w:rsidR="00613BFD" w:rsidRPr="006524E1" w:rsidRDefault="00613BFD" w:rsidP="00613BFD">
            <w:pPr>
              <w:rPr>
                <w:rFonts w:ascii="Arial" w:hAnsi="Arial" w:cs="Arial"/>
                <w:color w:val="000000"/>
                <w:sz w:val="18"/>
                <w:szCs w:val="18"/>
              </w:rPr>
            </w:pPr>
            <w:r>
              <w:rPr>
                <w:rFonts w:ascii="Arial" w:hAnsi="Arial" w:cs="Arial"/>
                <w:color w:val="000000"/>
                <w:sz w:val="18"/>
                <w:szCs w:val="18"/>
              </w:rPr>
              <w:t xml:space="preserve"> </w:t>
            </w:r>
          </w:p>
        </w:tc>
      </w:tr>
      <w:tr w:rsidR="00613BFD" w:rsidRPr="006524E1" w:rsidTr="00AB24E3">
        <w:trPr>
          <w:trHeight w:val="20"/>
          <w:jc w:val="center"/>
        </w:trPr>
        <w:tc>
          <w:tcPr>
            <w:tcW w:w="4865" w:type="dxa"/>
            <w:tcBorders>
              <w:top w:val="single" w:sz="4" w:space="0" w:color="auto"/>
              <w:left w:val="nil"/>
              <w:right w:val="nil"/>
            </w:tcBorders>
            <w:shd w:val="clear" w:color="auto" w:fill="auto"/>
            <w:vAlign w:val="bottom"/>
            <w:hideMark/>
          </w:tcPr>
          <w:p w:rsidR="00613BFD" w:rsidRPr="00613BFD" w:rsidRDefault="00613BFD" w:rsidP="00613BFD">
            <w:pPr>
              <w:rPr>
                <w:rFonts w:ascii="Arial" w:hAnsi="Arial"/>
                <w:color w:val="000000"/>
                <w:sz w:val="18"/>
              </w:rPr>
            </w:pPr>
            <w:r>
              <w:rPr>
                <w:rFonts w:ascii="Arial" w:hAnsi="Arial" w:cs="Arial"/>
                <w:color w:val="000000"/>
                <w:sz w:val="18"/>
                <w:szCs w:val="18"/>
              </w:rPr>
              <w:t>Basic</w:t>
            </w:r>
            <w:r w:rsidRPr="00613BFD">
              <w:rPr>
                <w:rFonts w:ascii="Arial" w:hAnsi="Arial"/>
                <w:color w:val="000000"/>
                <w:sz w:val="18"/>
              </w:rPr>
              <w:t xml:space="preserve"> and fully diluted</w:t>
            </w:r>
          </w:p>
        </w:tc>
        <w:tc>
          <w:tcPr>
            <w:tcW w:w="1665" w:type="dxa"/>
            <w:tcBorders>
              <w:top w:val="single" w:sz="4" w:space="0" w:color="auto"/>
              <w:left w:val="nil"/>
              <w:right w:val="nil"/>
            </w:tcBorders>
            <w:shd w:val="clear" w:color="000000" w:fill="E7E6E6"/>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$(0.</w:t>
            </w:r>
            <w:r>
              <w:rPr>
                <w:rFonts w:ascii="Arial" w:hAnsi="Arial" w:cs="Arial"/>
                <w:color w:val="000000"/>
                <w:sz w:val="18"/>
                <w:szCs w:val="18"/>
              </w:rPr>
              <w:t>936</w:t>
            </w:r>
            <w:r w:rsidRPr="00613BFD">
              <w:rPr>
                <w:rFonts w:ascii="Arial" w:hAnsi="Arial"/>
                <w:color w:val="000000"/>
                <w:sz w:val="18"/>
              </w:rPr>
              <w:t>)</w:t>
            </w:r>
          </w:p>
        </w:tc>
        <w:tc>
          <w:tcPr>
            <w:tcW w:w="1668" w:type="dxa"/>
            <w:tcBorders>
              <w:top w:val="single" w:sz="4" w:space="0" w:color="auto"/>
              <w:left w:val="nil"/>
              <w:right w:val="nil"/>
            </w:tcBorders>
            <w:shd w:val="clear" w:color="auto" w:fill="auto"/>
            <w:noWrap/>
            <w:vAlign w:val="bottom"/>
            <w:hideMark/>
          </w:tcPr>
          <w:p w:rsidR="00613BFD" w:rsidRPr="006524E1" w:rsidRDefault="00613BFD" w:rsidP="00613BFD">
            <w:pPr>
              <w:jc w:val="right"/>
              <w:rPr>
                <w:rFonts w:ascii="Arial" w:hAnsi="Arial" w:cs="Arial"/>
                <w:color w:val="000000"/>
                <w:sz w:val="18"/>
                <w:szCs w:val="18"/>
              </w:rPr>
            </w:pPr>
            <w:r w:rsidRPr="006524E1">
              <w:rPr>
                <w:rFonts w:ascii="Arial" w:hAnsi="Arial" w:cs="Arial"/>
                <w:color w:val="000000"/>
                <w:sz w:val="18"/>
                <w:szCs w:val="18"/>
              </w:rPr>
              <w:t xml:space="preserve"> $(</w:t>
            </w:r>
            <w:r>
              <w:rPr>
                <w:rFonts w:ascii="Arial" w:hAnsi="Arial" w:cs="Arial"/>
                <w:color w:val="000000"/>
                <w:sz w:val="18"/>
                <w:szCs w:val="18"/>
              </w:rPr>
              <w:t>1.626</w:t>
            </w:r>
            <w:r w:rsidRPr="006524E1">
              <w:rPr>
                <w:rFonts w:ascii="Arial" w:hAnsi="Arial" w:cs="Arial"/>
                <w:color w:val="000000"/>
                <w:sz w:val="18"/>
                <w:szCs w:val="18"/>
              </w:rPr>
              <w:t>)</w:t>
            </w:r>
          </w:p>
        </w:tc>
        <w:tc>
          <w:tcPr>
            <w:tcW w:w="1378" w:type="dxa"/>
            <w:tcBorders>
              <w:top w:val="single" w:sz="4" w:space="0" w:color="auto"/>
              <w:left w:val="nil"/>
              <w:right w:val="nil"/>
            </w:tcBorders>
            <w:shd w:val="clear" w:color="auto" w:fill="auto"/>
            <w:vAlign w:val="bottom"/>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$(0.58)</w:t>
            </w:r>
          </w:p>
        </w:tc>
      </w:tr>
      <w:tr w:rsidR="00613BFD" w:rsidRPr="006524E1" w:rsidTr="00AB24E3">
        <w:trPr>
          <w:trHeight w:val="20"/>
          <w:jc w:val="center"/>
        </w:trPr>
        <w:tc>
          <w:tcPr>
            <w:tcW w:w="4865" w:type="dxa"/>
            <w:tcBorders>
              <w:left w:val="nil"/>
              <w:bottom w:val="double" w:sz="4" w:space="0" w:color="auto"/>
              <w:right w:val="nil"/>
            </w:tcBorders>
            <w:shd w:val="clear" w:color="auto" w:fill="auto"/>
            <w:vAlign w:val="bottom"/>
            <w:hideMark/>
          </w:tcPr>
          <w:p w:rsidR="00613BFD" w:rsidRPr="00613BFD" w:rsidRDefault="00613BFD" w:rsidP="00613BFD">
            <w:pPr>
              <w:rPr>
                <w:rFonts w:ascii="Arial" w:hAnsi="Arial"/>
                <w:color w:val="000000"/>
                <w:sz w:val="18"/>
              </w:rPr>
            </w:pPr>
            <w:r>
              <w:rPr>
                <w:rFonts w:ascii="Arial" w:hAnsi="Arial" w:cs="Arial"/>
                <w:color w:val="000000"/>
                <w:sz w:val="18"/>
                <w:szCs w:val="18"/>
              </w:rPr>
              <w:t xml:space="preserve">Weighted average number of </w:t>
            </w:r>
            <w:r w:rsidRPr="00613BFD">
              <w:rPr>
                <w:rFonts w:ascii="Arial" w:hAnsi="Arial"/>
                <w:color w:val="000000"/>
                <w:sz w:val="18"/>
              </w:rPr>
              <w:t>basic and fully diluted</w:t>
            </w:r>
            <w:r>
              <w:rPr>
                <w:rFonts w:ascii="Arial" w:hAnsi="Arial" w:cs="Arial"/>
                <w:color w:val="000000"/>
                <w:sz w:val="18"/>
                <w:szCs w:val="18"/>
              </w:rPr>
              <w:t xml:space="preserve"> common shares</w:t>
            </w:r>
          </w:p>
        </w:tc>
        <w:tc>
          <w:tcPr>
            <w:tcW w:w="1665" w:type="dxa"/>
            <w:tcBorders>
              <w:left w:val="nil"/>
              <w:bottom w:val="double" w:sz="4" w:space="0" w:color="auto"/>
              <w:right w:val="nil"/>
            </w:tcBorders>
            <w:shd w:val="clear" w:color="000000" w:fill="E7E6E6"/>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w:t>
            </w:r>
            <w:r>
              <w:rPr>
                <w:rFonts w:ascii="Arial" w:hAnsi="Arial" w:cs="Arial"/>
                <w:color w:val="000000"/>
                <w:sz w:val="18"/>
                <w:szCs w:val="18"/>
              </w:rPr>
              <w:t>18,251,248</w:t>
            </w:r>
          </w:p>
        </w:tc>
        <w:tc>
          <w:tcPr>
            <w:tcW w:w="1668" w:type="dxa"/>
            <w:tcBorders>
              <w:left w:val="nil"/>
              <w:bottom w:val="double" w:sz="4" w:space="0" w:color="auto"/>
              <w:right w:val="nil"/>
            </w:tcBorders>
            <w:shd w:val="clear" w:color="auto" w:fill="auto"/>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w:t>
            </w:r>
            <w:r>
              <w:rPr>
                <w:rFonts w:ascii="Arial" w:hAnsi="Arial" w:cs="Arial"/>
                <w:color w:val="000000"/>
                <w:sz w:val="18"/>
                <w:szCs w:val="18"/>
              </w:rPr>
              <w:t>13,132,745</w:t>
            </w:r>
            <w:r w:rsidRPr="006524E1">
              <w:rPr>
                <w:rFonts w:ascii="Arial" w:hAnsi="Arial" w:cs="Arial"/>
                <w:color w:val="000000"/>
                <w:sz w:val="18"/>
                <w:szCs w:val="18"/>
              </w:rPr>
              <w:t xml:space="preserve"> </w:t>
            </w:r>
          </w:p>
        </w:tc>
        <w:tc>
          <w:tcPr>
            <w:tcW w:w="1378" w:type="dxa"/>
            <w:tcBorders>
              <w:left w:val="nil"/>
              <w:bottom w:val="double" w:sz="4" w:space="0" w:color="auto"/>
              <w:right w:val="nil"/>
            </w:tcBorders>
            <w:shd w:val="clear" w:color="auto" w:fill="auto"/>
            <w:vAlign w:val="bottom"/>
          </w:tcPr>
          <w:p w:rsidR="00613BFD" w:rsidRPr="006524E1" w:rsidRDefault="00613BFD" w:rsidP="00613BFD">
            <w:pPr>
              <w:jc w:val="right"/>
              <w:rPr>
                <w:rFonts w:ascii="Arial" w:hAnsi="Arial" w:cs="Arial"/>
                <w:color w:val="000000"/>
                <w:sz w:val="18"/>
                <w:szCs w:val="18"/>
              </w:rPr>
            </w:pPr>
            <w:r>
              <w:rPr>
                <w:rFonts w:ascii="Arial" w:hAnsi="Arial" w:cs="Arial"/>
                <w:color w:val="000000"/>
                <w:sz w:val="18"/>
                <w:szCs w:val="18"/>
              </w:rPr>
              <w:t xml:space="preserve"> n/a   </w:t>
            </w:r>
          </w:p>
        </w:tc>
      </w:tr>
    </w:tbl>
    <w:p w:rsidR="00613BFD" w:rsidRPr="00613BFD" w:rsidRDefault="00613BFD" w:rsidP="00AB24E3">
      <w:pPr>
        <w:pStyle w:val="FootnoteText1"/>
      </w:pPr>
    </w:p>
    <w:p w:rsidR="00613BFD" w:rsidRPr="00613BFD" w:rsidRDefault="00613BFD" w:rsidP="00AB24E3">
      <w:pPr>
        <w:pStyle w:val="FootnoteText1"/>
        <w:rPr>
          <w:spacing w:val="-1"/>
          <w:sz w:val="22"/>
        </w:rPr>
      </w:pPr>
      <w:r w:rsidRPr="006524E1">
        <w:rPr>
          <w:noProof/>
        </w:rPr>
        <w:t>Source: Company files.</w:t>
      </w:r>
      <w:r w:rsidRPr="006524E1">
        <w:br w:type="page"/>
      </w:r>
    </w:p>
    <w:p w:rsidR="00613BFD" w:rsidRPr="006524E1" w:rsidRDefault="00613BFD" w:rsidP="00AB24E3">
      <w:pPr>
        <w:pStyle w:val="Casehead1"/>
        <w:jc w:val="center"/>
      </w:pPr>
      <w:r w:rsidRPr="006524E1">
        <w:lastRenderedPageBreak/>
        <w:t>EXHIBIT 6B: BALANCE SHEET</w:t>
      </w:r>
      <w:r>
        <w:t xml:space="preserve"> FOR MOGO, 2015–2016</w:t>
      </w:r>
    </w:p>
    <w:p w:rsidR="00613BFD" w:rsidRPr="006524E1" w:rsidRDefault="00613BFD" w:rsidP="00AB24E3">
      <w:pPr>
        <w:pStyle w:val="Casehead2"/>
        <w:jc w:val="center"/>
      </w:pPr>
      <w:r w:rsidRPr="00613BFD">
        <w:t xml:space="preserve">Years Ended December 31 (in </w:t>
      </w:r>
      <w:r>
        <w:rPr>
          <w:bCs/>
          <w:szCs w:val="18"/>
        </w:rPr>
        <w:t>thousands,</w:t>
      </w:r>
      <w:r w:rsidRPr="006524E1">
        <w:rPr>
          <w:bCs/>
          <w:szCs w:val="18"/>
        </w:rPr>
        <w:t xml:space="preserve"> CA</w:t>
      </w:r>
      <w:r w:rsidRPr="00613BFD">
        <w:t>$)</w:t>
      </w:r>
    </w:p>
    <w:p w:rsidR="00613BFD" w:rsidRPr="00613BFD" w:rsidRDefault="00613BFD" w:rsidP="00AB24E3">
      <w:pPr>
        <w:pStyle w:val="BodyTextMain"/>
      </w:pPr>
    </w:p>
    <w:tbl>
      <w:tblPr>
        <w:tblW w:w="7832" w:type="dxa"/>
        <w:jc w:val="center"/>
        <w:tblLook w:val="04A0" w:firstRow="1" w:lastRow="0" w:firstColumn="1" w:lastColumn="0" w:noHBand="0" w:noVBand="1"/>
      </w:tblPr>
      <w:tblGrid>
        <w:gridCol w:w="3606"/>
        <w:gridCol w:w="2108"/>
        <w:gridCol w:w="2118"/>
      </w:tblGrid>
      <w:tr w:rsidR="00613BFD" w:rsidRPr="006524E1" w:rsidTr="00AB24E3">
        <w:trPr>
          <w:trHeight w:val="20"/>
          <w:jc w:val="center"/>
        </w:trPr>
        <w:tc>
          <w:tcPr>
            <w:tcW w:w="3606" w:type="dxa"/>
            <w:tcBorders>
              <w:top w:val="nil"/>
              <w:left w:val="nil"/>
              <w:bottom w:val="single" w:sz="8" w:space="0" w:color="auto"/>
              <w:right w:val="nil"/>
            </w:tcBorders>
            <w:shd w:val="clear" w:color="auto" w:fill="auto"/>
            <w:noWrap/>
            <w:vAlign w:val="bottom"/>
            <w:hideMark/>
          </w:tcPr>
          <w:p w:rsidR="00613BFD" w:rsidRPr="00613BFD" w:rsidRDefault="00613BFD" w:rsidP="00613BFD">
            <w:pPr>
              <w:rPr>
                <w:rFonts w:ascii="Arial" w:hAnsi="Arial"/>
                <w:b/>
                <w:i/>
                <w:color w:val="000000"/>
                <w:sz w:val="18"/>
              </w:rPr>
            </w:pPr>
            <w:r w:rsidRPr="00613BFD">
              <w:rPr>
                <w:rFonts w:ascii="Arial" w:hAnsi="Arial"/>
                <w:b/>
                <w:i/>
                <w:color w:val="000000"/>
                <w:sz w:val="18"/>
              </w:rPr>
              <w:t> </w:t>
            </w:r>
          </w:p>
        </w:tc>
        <w:tc>
          <w:tcPr>
            <w:tcW w:w="2108" w:type="dxa"/>
            <w:tcBorders>
              <w:top w:val="nil"/>
              <w:left w:val="nil"/>
              <w:bottom w:val="single" w:sz="8" w:space="0" w:color="auto"/>
              <w:right w:val="nil"/>
            </w:tcBorders>
            <w:shd w:val="clear" w:color="auto" w:fill="auto"/>
            <w:noWrap/>
            <w:vAlign w:val="bottom"/>
            <w:hideMark/>
          </w:tcPr>
          <w:p w:rsidR="00613BFD" w:rsidRPr="00613BFD" w:rsidRDefault="00613BFD" w:rsidP="00613BFD">
            <w:pPr>
              <w:jc w:val="right"/>
              <w:rPr>
                <w:rFonts w:ascii="Arial" w:hAnsi="Arial"/>
                <w:b/>
                <w:i/>
                <w:color w:val="000000"/>
                <w:sz w:val="18"/>
              </w:rPr>
            </w:pPr>
            <w:r w:rsidRPr="006524E1">
              <w:rPr>
                <w:rFonts w:ascii="Arial" w:hAnsi="Arial" w:cs="Arial"/>
                <w:b/>
                <w:bCs/>
                <w:i/>
                <w:iCs/>
                <w:color w:val="000000"/>
                <w:sz w:val="18"/>
                <w:szCs w:val="18"/>
              </w:rPr>
              <w:t>201</w:t>
            </w:r>
            <w:r>
              <w:rPr>
                <w:rFonts w:ascii="Arial" w:hAnsi="Arial" w:cs="Arial"/>
                <w:b/>
                <w:bCs/>
                <w:i/>
                <w:iCs/>
                <w:color w:val="000000"/>
                <w:sz w:val="18"/>
                <w:szCs w:val="18"/>
              </w:rPr>
              <w:t>6</w:t>
            </w:r>
          </w:p>
        </w:tc>
        <w:tc>
          <w:tcPr>
            <w:tcW w:w="2118" w:type="dxa"/>
            <w:tcBorders>
              <w:top w:val="nil"/>
              <w:left w:val="nil"/>
              <w:bottom w:val="single" w:sz="8" w:space="0" w:color="auto"/>
              <w:right w:val="nil"/>
            </w:tcBorders>
            <w:shd w:val="clear" w:color="auto" w:fill="auto"/>
            <w:noWrap/>
            <w:vAlign w:val="bottom"/>
            <w:hideMark/>
          </w:tcPr>
          <w:p w:rsidR="00613BFD" w:rsidRPr="00613BFD" w:rsidRDefault="00613BFD" w:rsidP="00613BFD">
            <w:pPr>
              <w:jc w:val="right"/>
              <w:rPr>
                <w:rFonts w:ascii="Arial" w:hAnsi="Arial"/>
                <w:b/>
                <w:i/>
                <w:color w:val="000000"/>
                <w:sz w:val="18"/>
              </w:rPr>
            </w:pPr>
            <w:r w:rsidRPr="00613BFD">
              <w:rPr>
                <w:rFonts w:ascii="Arial" w:hAnsi="Arial"/>
                <w:b/>
                <w:i/>
                <w:color w:val="000000"/>
                <w:sz w:val="18"/>
              </w:rPr>
              <w:t>2015</w:t>
            </w:r>
          </w:p>
        </w:tc>
      </w:tr>
      <w:tr w:rsidR="00613BFD" w:rsidRPr="006524E1" w:rsidTr="00AB24E3">
        <w:trPr>
          <w:trHeight w:val="20"/>
          <w:jc w:val="center"/>
        </w:trPr>
        <w:tc>
          <w:tcPr>
            <w:tcW w:w="3606" w:type="dxa"/>
            <w:tcBorders>
              <w:top w:val="nil"/>
              <w:left w:val="nil"/>
              <w:bottom w:val="nil"/>
              <w:right w:val="nil"/>
            </w:tcBorders>
            <w:shd w:val="clear" w:color="auto" w:fill="auto"/>
            <w:vAlign w:val="bottom"/>
            <w:hideMark/>
          </w:tcPr>
          <w:p w:rsidR="00613BFD" w:rsidRPr="00613BFD" w:rsidRDefault="00613BFD" w:rsidP="00613BFD">
            <w:pPr>
              <w:rPr>
                <w:rFonts w:ascii="Arial" w:hAnsi="Arial"/>
                <w:b/>
                <w:color w:val="000000"/>
                <w:sz w:val="18"/>
              </w:rPr>
            </w:pPr>
            <w:r w:rsidRPr="00613BFD">
              <w:rPr>
                <w:rFonts w:ascii="Arial" w:hAnsi="Arial"/>
                <w:b/>
                <w:color w:val="000000"/>
                <w:sz w:val="18"/>
              </w:rPr>
              <w:t>Assets</w:t>
            </w:r>
          </w:p>
        </w:tc>
        <w:tc>
          <w:tcPr>
            <w:tcW w:w="2108" w:type="dxa"/>
            <w:tcBorders>
              <w:top w:val="nil"/>
              <w:left w:val="nil"/>
              <w:bottom w:val="nil"/>
              <w:right w:val="nil"/>
            </w:tcBorders>
            <w:shd w:val="clear" w:color="000000" w:fill="E7E6E6"/>
            <w:noWrap/>
            <w:vAlign w:val="bottom"/>
            <w:hideMark/>
          </w:tcPr>
          <w:p w:rsidR="00613BFD" w:rsidRPr="00613BFD" w:rsidRDefault="00613BFD" w:rsidP="00613BFD">
            <w:pPr>
              <w:rPr>
                <w:rFonts w:ascii="Arial" w:hAnsi="Arial"/>
                <w:color w:val="000000"/>
                <w:sz w:val="18"/>
              </w:rPr>
            </w:pPr>
            <w:r w:rsidRPr="00613BFD">
              <w:rPr>
                <w:rFonts w:ascii="Arial" w:hAnsi="Arial"/>
                <w:color w:val="000000"/>
                <w:sz w:val="18"/>
              </w:rPr>
              <w:t> </w:t>
            </w:r>
          </w:p>
        </w:tc>
        <w:tc>
          <w:tcPr>
            <w:tcW w:w="2118" w:type="dxa"/>
            <w:tcBorders>
              <w:top w:val="nil"/>
              <w:left w:val="nil"/>
              <w:bottom w:val="nil"/>
              <w:right w:val="nil"/>
            </w:tcBorders>
            <w:shd w:val="clear" w:color="auto" w:fill="auto"/>
            <w:noWrap/>
            <w:vAlign w:val="bottom"/>
            <w:hideMark/>
          </w:tcPr>
          <w:p w:rsidR="00613BFD" w:rsidRPr="00613BFD" w:rsidRDefault="00613BFD" w:rsidP="00613BFD">
            <w:pPr>
              <w:rPr>
                <w:rFonts w:ascii="Arial" w:hAnsi="Arial"/>
                <w:color w:val="000000"/>
                <w:sz w:val="18"/>
              </w:rPr>
            </w:pPr>
          </w:p>
        </w:tc>
      </w:tr>
      <w:tr w:rsidR="00613BFD" w:rsidRPr="006524E1" w:rsidTr="00AB24E3">
        <w:trPr>
          <w:trHeight w:val="20"/>
          <w:jc w:val="center"/>
        </w:trPr>
        <w:tc>
          <w:tcPr>
            <w:tcW w:w="3606" w:type="dxa"/>
            <w:tcBorders>
              <w:top w:val="nil"/>
              <w:left w:val="nil"/>
              <w:bottom w:val="nil"/>
              <w:right w:val="nil"/>
            </w:tcBorders>
            <w:shd w:val="clear" w:color="auto" w:fill="auto"/>
            <w:vAlign w:val="bottom"/>
            <w:hideMark/>
          </w:tcPr>
          <w:p w:rsidR="00613BFD" w:rsidRPr="00613BFD" w:rsidRDefault="00613BFD" w:rsidP="00613BFD">
            <w:pPr>
              <w:rPr>
                <w:rFonts w:ascii="Arial" w:hAnsi="Arial"/>
                <w:color w:val="000000"/>
                <w:sz w:val="18"/>
              </w:rPr>
            </w:pPr>
            <w:r w:rsidRPr="00613BFD">
              <w:rPr>
                <w:rFonts w:ascii="Arial" w:hAnsi="Arial"/>
                <w:color w:val="000000"/>
                <w:sz w:val="18"/>
              </w:rPr>
              <w:t>Cash and cash equivalents</w:t>
            </w:r>
          </w:p>
        </w:tc>
        <w:tc>
          <w:tcPr>
            <w:tcW w:w="2108" w:type="dxa"/>
            <w:tcBorders>
              <w:top w:val="nil"/>
              <w:left w:val="nil"/>
              <w:bottom w:val="nil"/>
              <w:right w:val="nil"/>
            </w:tcBorders>
            <w:shd w:val="clear" w:color="000000" w:fill="E7E6E6"/>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w:t>
            </w:r>
            <w:r>
              <w:rPr>
                <w:rFonts w:ascii="Arial" w:hAnsi="Arial" w:cs="Arial"/>
                <w:color w:val="000000"/>
                <w:sz w:val="18"/>
                <w:szCs w:val="18"/>
              </w:rPr>
              <w:t>18,654</w:t>
            </w:r>
            <w:r w:rsidRPr="00613BFD">
              <w:rPr>
                <w:rFonts w:ascii="Arial" w:hAnsi="Arial"/>
                <w:color w:val="000000"/>
                <w:sz w:val="18"/>
              </w:rPr>
              <w:t xml:space="preserve"> </w:t>
            </w:r>
          </w:p>
        </w:tc>
        <w:tc>
          <w:tcPr>
            <w:tcW w:w="2118" w:type="dxa"/>
            <w:tcBorders>
              <w:top w:val="nil"/>
              <w:left w:val="nil"/>
              <w:bottom w:val="nil"/>
              <w:right w:val="nil"/>
            </w:tcBorders>
            <w:shd w:val="clear" w:color="auto" w:fill="auto"/>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w:t>
            </w:r>
            <w:r w:rsidRPr="006524E1">
              <w:rPr>
                <w:rFonts w:ascii="Arial" w:hAnsi="Arial" w:cs="Arial"/>
                <w:color w:val="000000"/>
                <w:sz w:val="18"/>
                <w:szCs w:val="18"/>
              </w:rPr>
              <w:t>31,723</w:t>
            </w:r>
            <w:r w:rsidRPr="00613BFD">
              <w:rPr>
                <w:rFonts w:ascii="Arial" w:hAnsi="Arial"/>
                <w:color w:val="000000"/>
                <w:sz w:val="18"/>
              </w:rPr>
              <w:t xml:space="preserve"> </w:t>
            </w:r>
          </w:p>
        </w:tc>
      </w:tr>
      <w:tr w:rsidR="00613BFD" w:rsidRPr="006524E1" w:rsidTr="00AB24E3">
        <w:trPr>
          <w:trHeight w:val="20"/>
          <w:jc w:val="center"/>
        </w:trPr>
        <w:tc>
          <w:tcPr>
            <w:tcW w:w="3606" w:type="dxa"/>
            <w:tcBorders>
              <w:top w:val="nil"/>
              <w:left w:val="nil"/>
              <w:bottom w:val="nil"/>
              <w:right w:val="nil"/>
            </w:tcBorders>
            <w:shd w:val="clear" w:color="auto" w:fill="auto"/>
            <w:vAlign w:val="bottom"/>
            <w:hideMark/>
          </w:tcPr>
          <w:p w:rsidR="00613BFD" w:rsidRPr="00613BFD" w:rsidRDefault="00613BFD" w:rsidP="00613BFD">
            <w:pPr>
              <w:rPr>
                <w:rFonts w:ascii="Arial" w:hAnsi="Arial"/>
                <w:color w:val="000000"/>
                <w:sz w:val="18"/>
              </w:rPr>
            </w:pPr>
            <w:r w:rsidRPr="00613BFD">
              <w:rPr>
                <w:rFonts w:ascii="Arial" w:hAnsi="Arial"/>
                <w:color w:val="000000"/>
                <w:sz w:val="18"/>
              </w:rPr>
              <w:t>Loans receivable</w:t>
            </w:r>
          </w:p>
        </w:tc>
        <w:tc>
          <w:tcPr>
            <w:tcW w:w="2108" w:type="dxa"/>
            <w:tcBorders>
              <w:top w:val="nil"/>
              <w:left w:val="nil"/>
              <w:bottom w:val="nil"/>
              <w:right w:val="nil"/>
            </w:tcBorders>
            <w:shd w:val="clear" w:color="000000" w:fill="E7E6E6"/>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$61,</w:t>
            </w:r>
            <w:r>
              <w:rPr>
                <w:rFonts w:ascii="Arial" w:hAnsi="Arial" w:cs="Arial"/>
                <w:color w:val="000000"/>
                <w:sz w:val="18"/>
                <w:szCs w:val="18"/>
              </w:rPr>
              <w:t>875</w:t>
            </w:r>
            <w:r w:rsidRPr="00613BFD">
              <w:rPr>
                <w:rFonts w:ascii="Arial" w:hAnsi="Arial"/>
                <w:color w:val="000000"/>
                <w:sz w:val="18"/>
              </w:rPr>
              <w:t xml:space="preserve"> </w:t>
            </w:r>
          </w:p>
        </w:tc>
        <w:tc>
          <w:tcPr>
            <w:tcW w:w="2118" w:type="dxa"/>
            <w:tcBorders>
              <w:top w:val="nil"/>
              <w:left w:val="nil"/>
              <w:bottom w:val="nil"/>
              <w:right w:val="nil"/>
            </w:tcBorders>
            <w:shd w:val="clear" w:color="auto" w:fill="auto"/>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w:t>
            </w:r>
            <w:r>
              <w:rPr>
                <w:rFonts w:ascii="Arial" w:hAnsi="Arial" w:cs="Arial"/>
                <w:color w:val="000000"/>
                <w:sz w:val="18"/>
                <w:szCs w:val="18"/>
              </w:rPr>
              <w:t>61,768</w:t>
            </w:r>
            <w:r w:rsidRPr="00613BFD">
              <w:rPr>
                <w:rFonts w:ascii="Arial" w:hAnsi="Arial"/>
                <w:color w:val="000000"/>
                <w:sz w:val="18"/>
              </w:rPr>
              <w:t xml:space="preserve"> </w:t>
            </w:r>
          </w:p>
        </w:tc>
      </w:tr>
      <w:tr w:rsidR="00613BFD" w:rsidRPr="006524E1" w:rsidTr="00AB24E3">
        <w:trPr>
          <w:trHeight w:val="20"/>
          <w:jc w:val="center"/>
        </w:trPr>
        <w:tc>
          <w:tcPr>
            <w:tcW w:w="3606" w:type="dxa"/>
            <w:tcBorders>
              <w:top w:val="nil"/>
              <w:left w:val="nil"/>
              <w:bottom w:val="nil"/>
              <w:right w:val="nil"/>
            </w:tcBorders>
            <w:shd w:val="clear" w:color="auto" w:fill="auto"/>
            <w:vAlign w:val="bottom"/>
            <w:hideMark/>
          </w:tcPr>
          <w:p w:rsidR="00613BFD" w:rsidRPr="00613BFD" w:rsidRDefault="00613BFD" w:rsidP="00613BFD">
            <w:pPr>
              <w:rPr>
                <w:rFonts w:ascii="Arial" w:hAnsi="Arial"/>
                <w:color w:val="000000"/>
                <w:sz w:val="18"/>
              </w:rPr>
            </w:pPr>
            <w:r w:rsidRPr="00613BFD">
              <w:rPr>
                <w:rFonts w:ascii="Arial" w:hAnsi="Arial"/>
                <w:color w:val="000000"/>
                <w:sz w:val="18"/>
              </w:rPr>
              <w:t>Prepaid expenses, deposits, and other assets</w:t>
            </w:r>
          </w:p>
        </w:tc>
        <w:tc>
          <w:tcPr>
            <w:tcW w:w="2108" w:type="dxa"/>
            <w:tcBorders>
              <w:top w:val="nil"/>
              <w:left w:val="nil"/>
              <w:bottom w:val="nil"/>
              <w:right w:val="nil"/>
            </w:tcBorders>
            <w:shd w:val="clear" w:color="000000" w:fill="E7E6E6"/>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$1,</w:t>
            </w:r>
            <w:r>
              <w:rPr>
                <w:rFonts w:ascii="Arial" w:hAnsi="Arial" w:cs="Arial"/>
                <w:color w:val="000000"/>
                <w:sz w:val="18"/>
                <w:szCs w:val="18"/>
              </w:rPr>
              <w:t>379</w:t>
            </w:r>
            <w:r w:rsidRPr="00613BFD">
              <w:rPr>
                <w:rFonts w:ascii="Arial" w:hAnsi="Arial"/>
                <w:color w:val="000000"/>
                <w:sz w:val="18"/>
              </w:rPr>
              <w:t xml:space="preserve"> </w:t>
            </w:r>
          </w:p>
        </w:tc>
        <w:tc>
          <w:tcPr>
            <w:tcW w:w="2118" w:type="dxa"/>
            <w:tcBorders>
              <w:top w:val="nil"/>
              <w:left w:val="nil"/>
              <w:bottom w:val="nil"/>
              <w:right w:val="nil"/>
            </w:tcBorders>
            <w:shd w:val="clear" w:color="auto" w:fill="auto"/>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$1,</w:t>
            </w:r>
            <w:r>
              <w:rPr>
                <w:rFonts w:ascii="Arial" w:hAnsi="Arial" w:cs="Arial"/>
                <w:color w:val="000000"/>
                <w:sz w:val="18"/>
                <w:szCs w:val="18"/>
              </w:rPr>
              <w:t>143</w:t>
            </w:r>
            <w:r w:rsidRPr="00613BFD">
              <w:rPr>
                <w:rFonts w:ascii="Arial" w:hAnsi="Arial"/>
                <w:color w:val="000000"/>
                <w:sz w:val="18"/>
              </w:rPr>
              <w:t xml:space="preserve"> </w:t>
            </w:r>
          </w:p>
        </w:tc>
      </w:tr>
      <w:tr w:rsidR="00613BFD" w:rsidRPr="006524E1" w:rsidTr="00AB24E3">
        <w:trPr>
          <w:trHeight w:val="20"/>
          <w:jc w:val="center"/>
        </w:trPr>
        <w:tc>
          <w:tcPr>
            <w:tcW w:w="3606" w:type="dxa"/>
            <w:tcBorders>
              <w:top w:val="nil"/>
              <w:left w:val="nil"/>
              <w:bottom w:val="nil"/>
              <w:right w:val="nil"/>
            </w:tcBorders>
            <w:shd w:val="clear" w:color="auto" w:fill="auto"/>
            <w:vAlign w:val="bottom"/>
          </w:tcPr>
          <w:p w:rsidR="00613BFD" w:rsidRPr="006524E1" w:rsidRDefault="00613BFD" w:rsidP="00613BFD">
            <w:pPr>
              <w:rPr>
                <w:rFonts w:ascii="Arial" w:hAnsi="Arial" w:cs="Arial"/>
                <w:color w:val="000000"/>
                <w:sz w:val="18"/>
                <w:szCs w:val="18"/>
              </w:rPr>
            </w:pPr>
            <w:r>
              <w:rPr>
                <w:rFonts w:ascii="Arial" w:hAnsi="Arial" w:cs="Arial"/>
                <w:color w:val="000000"/>
                <w:sz w:val="18"/>
                <w:szCs w:val="18"/>
              </w:rPr>
              <w:t>Deferred cost</w:t>
            </w:r>
          </w:p>
        </w:tc>
        <w:tc>
          <w:tcPr>
            <w:tcW w:w="2108" w:type="dxa"/>
            <w:tcBorders>
              <w:top w:val="nil"/>
              <w:left w:val="nil"/>
              <w:bottom w:val="nil"/>
              <w:right w:val="nil"/>
            </w:tcBorders>
            <w:shd w:val="clear" w:color="000000" w:fill="E7E6E6"/>
            <w:noWrap/>
            <w:vAlign w:val="bottom"/>
          </w:tcPr>
          <w:p w:rsidR="00613BFD" w:rsidRPr="006524E1" w:rsidRDefault="00613BFD" w:rsidP="00613BFD">
            <w:pPr>
              <w:jc w:val="right"/>
              <w:rPr>
                <w:rFonts w:ascii="Arial" w:hAnsi="Arial" w:cs="Arial"/>
                <w:color w:val="000000"/>
                <w:sz w:val="18"/>
                <w:szCs w:val="18"/>
              </w:rPr>
            </w:pPr>
            <w:r>
              <w:rPr>
                <w:rFonts w:ascii="Arial" w:hAnsi="Arial" w:cs="Arial"/>
                <w:color w:val="000000"/>
                <w:sz w:val="18"/>
                <w:szCs w:val="18"/>
              </w:rPr>
              <w:t>$819</w:t>
            </w:r>
          </w:p>
        </w:tc>
        <w:tc>
          <w:tcPr>
            <w:tcW w:w="2118" w:type="dxa"/>
            <w:tcBorders>
              <w:top w:val="nil"/>
              <w:left w:val="nil"/>
              <w:bottom w:val="nil"/>
              <w:right w:val="nil"/>
            </w:tcBorders>
            <w:shd w:val="clear" w:color="auto" w:fill="auto"/>
            <w:noWrap/>
            <w:vAlign w:val="bottom"/>
          </w:tcPr>
          <w:p w:rsidR="00613BFD" w:rsidRPr="006524E1" w:rsidRDefault="00613BFD" w:rsidP="00613BFD">
            <w:pPr>
              <w:jc w:val="right"/>
              <w:rPr>
                <w:rFonts w:ascii="Arial" w:hAnsi="Arial" w:cs="Arial"/>
                <w:color w:val="000000"/>
                <w:sz w:val="18"/>
                <w:szCs w:val="18"/>
              </w:rPr>
            </w:pPr>
            <w:r>
              <w:rPr>
                <w:rFonts w:ascii="Arial" w:hAnsi="Arial" w:cs="Arial"/>
                <w:color w:val="000000"/>
                <w:sz w:val="18"/>
                <w:szCs w:val="18"/>
              </w:rPr>
              <w:t>n/a</w:t>
            </w:r>
          </w:p>
        </w:tc>
      </w:tr>
      <w:tr w:rsidR="00613BFD" w:rsidRPr="006524E1" w:rsidTr="00AB24E3">
        <w:trPr>
          <w:trHeight w:val="20"/>
          <w:jc w:val="center"/>
        </w:trPr>
        <w:tc>
          <w:tcPr>
            <w:tcW w:w="3606" w:type="dxa"/>
            <w:tcBorders>
              <w:top w:val="nil"/>
              <w:left w:val="nil"/>
              <w:bottom w:val="nil"/>
              <w:right w:val="nil"/>
            </w:tcBorders>
            <w:shd w:val="clear" w:color="auto" w:fill="auto"/>
            <w:vAlign w:val="bottom"/>
            <w:hideMark/>
          </w:tcPr>
          <w:p w:rsidR="00613BFD" w:rsidRPr="00613BFD" w:rsidRDefault="00613BFD" w:rsidP="00613BFD">
            <w:pPr>
              <w:rPr>
                <w:rFonts w:ascii="Arial" w:hAnsi="Arial"/>
                <w:color w:val="000000"/>
                <w:sz w:val="18"/>
              </w:rPr>
            </w:pPr>
            <w:r w:rsidRPr="00613BFD">
              <w:rPr>
                <w:rFonts w:ascii="Arial" w:hAnsi="Arial"/>
                <w:color w:val="000000"/>
                <w:sz w:val="18"/>
              </w:rPr>
              <w:t>Investment tax credits</w:t>
            </w:r>
          </w:p>
        </w:tc>
        <w:tc>
          <w:tcPr>
            <w:tcW w:w="2108" w:type="dxa"/>
            <w:tcBorders>
              <w:top w:val="nil"/>
              <w:left w:val="nil"/>
              <w:bottom w:val="nil"/>
              <w:right w:val="nil"/>
            </w:tcBorders>
            <w:shd w:val="clear" w:color="000000" w:fill="E7E6E6"/>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w:t>
            </w:r>
            <w:r w:rsidRPr="006524E1">
              <w:rPr>
                <w:rFonts w:ascii="Arial" w:hAnsi="Arial" w:cs="Arial"/>
                <w:color w:val="000000"/>
                <w:sz w:val="18"/>
                <w:szCs w:val="18"/>
              </w:rPr>
              <w:t>1</w:t>
            </w:r>
            <w:r>
              <w:rPr>
                <w:rFonts w:ascii="Arial" w:hAnsi="Arial" w:cs="Arial"/>
                <w:color w:val="000000"/>
                <w:sz w:val="18"/>
                <w:szCs w:val="18"/>
              </w:rPr>
              <w:t>57</w:t>
            </w:r>
            <w:r w:rsidRPr="00613BFD">
              <w:rPr>
                <w:rFonts w:ascii="Arial" w:hAnsi="Arial"/>
                <w:color w:val="000000"/>
                <w:sz w:val="18"/>
              </w:rPr>
              <w:t xml:space="preserve"> </w:t>
            </w:r>
          </w:p>
        </w:tc>
        <w:tc>
          <w:tcPr>
            <w:tcW w:w="2118" w:type="dxa"/>
            <w:tcBorders>
              <w:top w:val="nil"/>
              <w:left w:val="nil"/>
              <w:bottom w:val="nil"/>
              <w:right w:val="nil"/>
            </w:tcBorders>
            <w:shd w:val="clear" w:color="auto" w:fill="auto"/>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$1,</w:t>
            </w:r>
            <w:r>
              <w:rPr>
                <w:rFonts w:ascii="Arial" w:hAnsi="Arial" w:cs="Arial"/>
                <w:color w:val="000000"/>
                <w:sz w:val="18"/>
                <w:szCs w:val="18"/>
              </w:rPr>
              <w:t>616</w:t>
            </w:r>
            <w:r w:rsidRPr="00613BFD">
              <w:rPr>
                <w:rFonts w:ascii="Arial" w:hAnsi="Arial"/>
                <w:color w:val="000000"/>
                <w:sz w:val="18"/>
              </w:rPr>
              <w:t xml:space="preserve"> </w:t>
            </w:r>
          </w:p>
        </w:tc>
      </w:tr>
      <w:tr w:rsidR="00613BFD" w:rsidRPr="006524E1" w:rsidTr="00AB24E3">
        <w:trPr>
          <w:trHeight w:val="20"/>
          <w:jc w:val="center"/>
        </w:trPr>
        <w:tc>
          <w:tcPr>
            <w:tcW w:w="3606" w:type="dxa"/>
            <w:tcBorders>
              <w:top w:val="nil"/>
              <w:left w:val="nil"/>
              <w:bottom w:val="nil"/>
              <w:right w:val="nil"/>
            </w:tcBorders>
            <w:shd w:val="clear" w:color="auto" w:fill="auto"/>
            <w:vAlign w:val="bottom"/>
            <w:hideMark/>
          </w:tcPr>
          <w:p w:rsidR="00613BFD" w:rsidRPr="00613BFD" w:rsidRDefault="00613BFD" w:rsidP="00613BFD">
            <w:pPr>
              <w:rPr>
                <w:rFonts w:ascii="Arial" w:hAnsi="Arial"/>
                <w:color w:val="000000"/>
                <w:sz w:val="18"/>
              </w:rPr>
            </w:pPr>
            <w:r w:rsidRPr="00613BFD">
              <w:rPr>
                <w:rFonts w:ascii="Arial" w:hAnsi="Arial"/>
                <w:color w:val="000000"/>
                <w:sz w:val="18"/>
              </w:rPr>
              <w:t>Property and equipment</w:t>
            </w:r>
          </w:p>
        </w:tc>
        <w:tc>
          <w:tcPr>
            <w:tcW w:w="2108" w:type="dxa"/>
            <w:tcBorders>
              <w:top w:val="nil"/>
              <w:left w:val="nil"/>
              <w:bottom w:val="nil"/>
              <w:right w:val="nil"/>
            </w:tcBorders>
            <w:shd w:val="clear" w:color="000000" w:fill="E7E6E6"/>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w:t>
            </w:r>
            <w:r>
              <w:rPr>
                <w:rFonts w:ascii="Arial" w:hAnsi="Arial" w:cs="Arial"/>
                <w:color w:val="000000"/>
                <w:sz w:val="18"/>
                <w:szCs w:val="18"/>
              </w:rPr>
              <w:t>3,921</w:t>
            </w:r>
            <w:r w:rsidRPr="00613BFD">
              <w:rPr>
                <w:rFonts w:ascii="Arial" w:hAnsi="Arial"/>
                <w:color w:val="000000"/>
                <w:sz w:val="18"/>
              </w:rPr>
              <w:t xml:space="preserve"> </w:t>
            </w:r>
          </w:p>
        </w:tc>
        <w:tc>
          <w:tcPr>
            <w:tcW w:w="2118" w:type="dxa"/>
            <w:tcBorders>
              <w:top w:val="nil"/>
              <w:left w:val="nil"/>
              <w:bottom w:val="nil"/>
              <w:right w:val="nil"/>
            </w:tcBorders>
            <w:shd w:val="clear" w:color="auto" w:fill="auto"/>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w:t>
            </w:r>
            <w:r>
              <w:rPr>
                <w:rFonts w:ascii="Arial" w:hAnsi="Arial" w:cs="Arial"/>
                <w:color w:val="000000"/>
                <w:sz w:val="18"/>
                <w:szCs w:val="18"/>
              </w:rPr>
              <w:t>4,239</w:t>
            </w:r>
            <w:r w:rsidRPr="00613BFD">
              <w:rPr>
                <w:rFonts w:ascii="Arial" w:hAnsi="Arial"/>
                <w:color w:val="000000"/>
                <w:sz w:val="18"/>
              </w:rPr>
              <w:t xml:space="preserve"> </w:t>
            </w:r>
          </w:p>
        </w:tc>
      </w:tr>
      <w:tr w:rsidR="00613BFD" w:rsidRPr="006524E1" w:rsidTr="00AB24E3">
        <w:trPr>
          <w:trHeight w:val="20"/>
          <w:jc w:val="center"/>
        </w:trPr>
        <w:tc>
          <w:tcPr>
            <w:tcW w:w="3606" w:type="dxa"/>
            <w:tcBorders>
              <w:top w:val="nil"/>
              <w:left w:val="nil"/>
              <w:bottom w:val="nil"/>
              <w:right w:val="nil"/>
            </w:tcBorders>
            <w:shd w:val="clear" w:color="auto" w:fill="auto"/>
            <w:vAlign w:val="bottom"/>
            <w:hideMark/>
          </w:tcPr>
          <w:p w:rsidR="00613BFD" w:rsidRPr="00613BFD" w:rsidRDefault="00613BFD" w:rsidP="00613BFD">
            <w:pPr>
              <w:rPr>
                <w:rFonts w:ascii="Arial" w:hAnsi="Arial"/>
                <w:color w:val="000000"/>
                <w:sz w:val="18"/>
              </w:rPr>
            </w:pPr>
            <w:r w:rsidRPr="00613BFD">
              <w:rPr>
                <w:rFonts w:ascii="Arial" w:hAnsi="Arial"/>
                <w:color w:val="000000"/>
                <w:sz w:val="18"/>
              </w:rPr>
              <w:t>Intangible assets</w:t>
            </w:r>
          </w:p>
        </w:tc>
        <w:tc>
          <w:tcPr>
            <w:tcW w:w="2108" w:type="dxa"/>
            <w:tcBorders>
              <w:top w:val="nil"/>
              <w:left w:val="nil"/>
              <w:bottom w:val="nil"/>
              <w:right w:val="nil"/>
            </w:tcBorders>
            <w:shd w:val="clear" w:color="000000" w:fill="E7E6E6"/>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w:t>
            </w:r>
            <w:r>
              <w:rPr>
                <w:rFonts w:ascii="Arial" w:hAnsi="Arial" w:cs="Arial"/>
                <w:color w:val="000000"/>
                <w:sz w:val="18"/>
                <w:szCs w:val="18"/>
              </w:rPr>
              <w:t>12,248</w:t>
            </w:r>
            <w:r w:rsidRPr="00613BFD">
              <w:rPr>
                <w:rFonts w:ascii="Arial" w:hAnsi="Arial"/>
                <w:color w:val="000000"/>
                <w:sz w:val="18"/>
              </w:rPr>
              <w:t xml:space="preserve"> </w:t>
            </w:r>
          </w:p>
        </w:tc>
        <w:tc>
          <w:tcPr>
            <w:tcW w:w="2118" w:type="dxa"/>
            <w:tcBorders>
              <w:top w:val="nil"/>
              <w:left w:val="nil"/>
              <w:bottom w:val="nil"/>
              <w:right w:val="nil"/>
            </w:tcBorders>
            <w:shd w:val="clear" w:color="auto" w:fill="auto"/>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w:t>
            </w:r>
            <w:r>
              <w:rPr>
                <w:rFonts w:ascii="Arial" w:hAnsi="Arial" w:cs="Arial"/>
                <w:color w:val="000000"/>
                <w:sz w:val="18"/>
                <w:szCs w:val="18"/>
              </w:rPr>
              <w:t>6,851</w:t>
            </w:r>
            <w:r w:rsidRPr="00613BFD">
              <w:rPr>
                <w:rFonts w:ascii="Arial" w:hAnsi="Arial"/>
                <w:color w:val="000000"/>
                <w:sz w:val="18"/>
              </w:rPr>
              <w:t xml:space="preserve"> </w:t>
            </w:r>
          </w:p>
        </w:tc>
      </w:tr>
      <w:tr w:rsidR="00613BFD" w:rsidRPr="006524E1" w:rsidTr="00AB24E3">
        <w:trPr>
          <w:trHeight w:val="20"/>
          <w:jc w:val="center"/>
        </w:trPr>
        <w:tc>
          <w:tcPr>
            <w:tcW w:w="3606" w:type="dxa"/>
            <w:tcBorders>
              <w:top w:val="single" w:sz="4" w:space="0" w:color="auto"/>
              <w:left w:val="nil"/>
              <w:bottom w:val="single" w:sz="4" w:space="0" w:color="auto"/>
              <w:right w:val="nil"/>
            </w:tcBorders>
            <w:shd w:val="clear" w:color="auto" w:fill="auto"/>
            <w:vAlign w:val="bottom"/>
            <w:hideMark/>
          </w:tcPr>
          <w:p w:rsidR="00613BFD" w:rsidRPr="00613BFD" w:rsidRDefault="00613BFD" w:rsidP="00613BFD">
            <w:pPr>
              <w:rPr>
                <w:rFonts w:ascii="Arial" w:hAnsi="Arial"/>
                <w:b/>
                <w:color w:val="000000"/>
                <w:sz w:val="18"/>
              </w:rPr>
            </w:pPr>
            <w:r w:rsidRPr="00613BFD">
              <w:rPr>
                <w:rFonts w:ascii="Arial" w:hAnsi="Arial"/>
                <w:b/>
                <w:color w:val="000000"/>
                <w:sz w:val="18"/>
              </w:rPr>
              <w:t>Total assets</w:t>
            </w:r>
          </w:p>
        </w:tc>
        <w:tc>
          <w:tcPr>
            <w:tcW w:w="2108" w:type="dxa"/>
            <w:tcBorders>
              <w:top w:val="single" w:sz="4" w:space="0" w:color="auto"/>
              <w:left w:val="nil"/>
              <w:bottom w:val="single" w:sz="4" w:space="0" w:color="auto"/>
              <w:right w:val="nil"/>
            </w:tcBorders>
            <w:shd w:val="clear" w:color="000000" w:fill="E7E6E6"/>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w:t>
            </w:r>
            <w:r>
              <w:rPr>
                <w:rFonts w:ascii="Arial" w:hAnsi="Arial" w:cs="Arial"/>
                <w:color w:val="000000"/>
                <w:sz w:val="18"/>
                <w:szCs w:val="18"/>
              </w:rPr>
              <w:t>99,026</w:t>
            </w:r>
            <w:r w:rsidRPr="00613BFD">
              <w:rPr>
                <w:rFonts w:ascii="Arial" w:hAnsi="Arial"/>
                <w:color w:val="000000"/>
                <w:sz w:val="18"/>
              </w:rPr>
              <w:t xml:space="preserve"> </w:t>
            </w:r>
          </w:p>
        </w:tc>
        <w:tc>
          <w:tcPr>
            <w:tcW w:w="2118" w:type="dxa"/>
            <w:tcBorders>
              <w:top w:val="single" w:sz="4" w:space="0" w:color="auto"/>
              <w:left w:val="nil"/>
              <w:bottom w:val="single" w:sz="4" w:space="0" w:color="auto"/>
              <w:right w:val="nil"/>
            </w:tcBorders>
            <w:shd w:val="clear" w:color="auto" w:fill="auto"/>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w:t>
            </w:r>
            <w:r>
              <w:rPr>
                <w:rFonts w:ascii="Arial" w:hAnsi="Arial" w:cs="Arial"/>
                <w:color w:val="000000"/>
                <w:sz w:val="18"/>
                <w:szCs w:val="18"/>
              </w:rPr>
              <w:t>107,342</w:t>
            </w:r>
            <w:r w:rsidRPr="00613BFD">
              <w:rPr>
                <w:rFonts w:ascii="Arial" w:hAnsi="Arial"/>
                <w:color w:val="000000"/>
                <w:sz w:val="18"/>
              </w:rPr>
              <w:t xml:space="preserve"> </w:t>
            </w:r>
          </w:p>
        </w:tc>
      </w:tr>
      <w:tr w:rsidR="00613BFD" w:rsidRPr="00AB24E3" w:rsidTr="00AB24E3">
        <w:trPr>
          <w:trHeight w:val="20"/>
          <w:jc w:val="center"/>
        </w:trPr>
        <w:tc>
          <w:tcPr>
            <w:tcW w:w="3606" w:type="dxa"/>
            <w:tcBorders>
              <w:top w:val="nil"/>
              <w:left w:val="nil"/>
              <w:bottom w:val="nil"/>
              <w:right w:val="nil"/>
            </w:tcBorders>
            <w:shd w:val="clear" w:color="auto" w:fill="auto"/>
            <w:vAlign w:val="bottom"/>
            <w:hideMark/>
          </w:tcPr>
          <w:p w:rsidR="00613BFD" w:rsidRPr="00AB24E3" w:rsidRDefault="00613BFD" w:rsidP="00613BFD">
            <w:pPr>
              <w:jc w:val="right"/>
              <w:rPr>
                <w:rFonts w:ascii="Arial" w:hAnsi="Arial" w:cs="Arial"/>
                <w:color w:val="000000"/>
                <w:sz w:val="8"/>
                <w:szCs w:val="8"/>
              </w:rPr>
            </w:pPr>
          </w:p>
        </w:tc>
        <w:tc>
          <w:tcPr>
            <w:tcW w:w="2108" w:type="dxa"/>
            <w:tcBorders>
              <w:top w:val="nil"/>
              <w:left w:val="nil"/>
              <w:bottom w:val="nil"/>
              <w:right w:val="nil"/>
            </w:tcBorders>
            <w:shd w:val="clear" w:color="000000" w:fill="E7E6E6"/>
            <w:noWrap/>
            <w:vAlign w:val="bottom"/>
            <w:hideMark/>
          </w:tcPr>
          <w:p w:rsidR="00613BFD" w:rsidRPr="00AB24E3" w:rsidRDefault="00613BFD" w:rsidP="00613BFD">
            <w:pPr>
              <w:rPr>
                <w:rFonts w:ascii="Arial" w:hAnsi="Arial" w:cs="Arial"/>
                <w:color w:val="000000"/>
                <w:sz w:val="8"/>
                <w:szCs w:val="8"/>
              </w:rPr>
            </w:pPr>
            <w:r w:rsidRPr="00AB24E3">
              <w:rPr>
                <w:rFonts w:ascii="Arial" w:hAnsi="Arial" w:cs="Arial"/>
                <w:color w:val="000000"/>
                <w:sz w:val="8"/>
                <w:szCs w:val="8"/>
              </w:rPr>
              <w:t> </w:t>
            </w:r>
          </w:p>
        </w:tc>
        <w:tc>
          <w:tcPr>
            <w:tcW w:w="2118" w:type="dxa"/>
            <w:tcBorders>
              <w:top w:val="nil"/>
              <w:left w:val="nil"/>
              <w:bottom w:val="nil"/>
              <w:right w:val="nil"/>
            </w:tcBorders>
            <w:shd w:val="clear" w:color="auto" w:fill="auto"/>
            <w:noWrap/>
            <w:vAlign w:val="bottom"/>
            <w:hideMark/>
          </w:tcPr>
          <w:p w:rsidR="00613BFD" w:rsidRPr="00AB24E3" w:rsidRDefault="00613BFD" w:rsidP="00613BFD">
            <w:pPr>
              <w:rPr>
                <w:rFonts w:ascii="Arial" w:hAnsi="Arial" w:cs="Arial"/>
                <w:color w:val="000000"/>
                <w:sz w:val="8"/>
                <w:szCs w:val="8"/>
              </w:rPr>
            </w:pPr>
            <w:r w:rsidRPr="00AB24E3">
              <w:rPr>
                <w:rFonts w:ascii="Arial" w:hAnsi="Arial" w:cs="Arial"/>
                <w:color w:val="000000"/>
                <w:sz w:val="8"/>
                <w:szCs w:val="8"/>
              </w:rPr>
              <w:t> </w:t>
            </w:r>
          </w:p>
        </w:tc>
      </w:tr>
      <w:tr w:rsidR="00613BFD" w:rsidRPr="006524E1" w:rsidTr="00AB24E3">
        <w:trPr>
          <w:trHeight w:val="20"/>
          <w:jc w:val="center"/>
        </w:trPr>
        <w:tc>
          <w:tcPr>
            <w:tcW w:w="3606" w:type="dxa"/>
            <w:tcBorders>
              <w:top w:val="nil"/>
              <w:left w:val="nil"/>
              <w:bottom w:val="nil"/>
              <w:right w:val="nil"/>
            </w:tcBorders>
            <w:shd w:val="clear" w:color="auto" w:fill="auto"/>
            <w:vAlign w:val="bottom"/>
            <w:hideMark/>
          </w:tcPr>
          <w:p w:rsidR="00613BFD" w:rsidRPr="00613BFD" w:rsidRDefault="00613BFD" w:rsidP="00613BFD">
            <w:pPr>
              <w:rPr>
                <w:rFonts w:ascii="Arial" w:hAnsi="Arial"/>
                <w:b/>
                <w:color w:val="000000"/>
                <w:sz w:val="18"/>
              </w:rPr>
            </w:pPr>
            <w:r w:rsidRPr="00613BFD">
              <w:rPr>
                <w:rFonts w:ascii="Arial" w:hAnsi="Arial"/>
                <w:b/>
                <w:color w:val="000000"/>
                <w:sz w:val="18"/>
              </w:rPr>
              <w:t>Liabilities</w:t>
            </w:r>
          </w:p>
        </w:tc>
        <w:tc>
          <w:tcPr>
            <w:tcW w:w="2108" w:type="dxa"/>
            <w:tcBorders>
              <w:top w:val="nil"/>
              <w:left w:val="nil"/>
              <w:bottom w:val="nil"/>
              <w:right w:val="nil"/>
            </w:tcBorders>
            <w:shd w:val="clear" w:color="000000" w:fill="E7E6E6"/>
            <w:noWrap/>
            <w:vAlign w:val="bottom"/>
            <w:hideMark/>
          </w:tcPr>
          <w:p w:rsidR="00613BFD" w:rsidRPr="00613BFD" w:rsidRDefault="00613BFD" w:rsidP="00613BFD">
            <w:pPr>
              <w:rPr>
                <w:rFonts w:ascii="Arial" w:hAnsi="Arial"/>
                <w:color w:val="000000"/>
                <w:sz w:val="18"/>
              </w:rPr>
            </w:pPr>
            <w:r w:rsidRPr="00613BFD">
              <w:rPr>
                <w:rFonts w:ascii="Arial" w:hAnsi="Arial"/>
                <w:color w:val="000000"/>
                <w:sz w:val="18"/>
              </w:rPr>
              <w:t> </w:t>
            </w:r>
          </w:p>
        </w:tc>
        <w:tc>
          <w:tcPr>
            <w:tcW w:w="2118" w:type="dxa"/>
            <w:tcBorders>
              <w:top w:val="nil"/>
              <w:left w:val="nil"/>
              <w:bottom w:val="nil"/>
              <w:right w:val="nil"/>
            </w:tcBorders>
            <w:shd w:val="clear" w:color="auto" w:fill="auto"/>
            <w:noWrap/>
            <w:vAlign w:val="bottom"/>
            <w:hideMark/>
          </w:tcPr>
          <w:p w:rsidR="00613BFD" w:rsidRPr="00613BFD" w:rsidRDefault="00613BFD" w:rsidP="00613BFD">
            <w:pPr>
              <w:rPr>
                <w:rFonts w:ascii="Arial" w:hAnsi="Arial"/>
                <w:color w:val="000000"/>
                <w:sz w:val="18"/>
              </w:rPr>
            </w:pPr>
            <w:r w:rsidRPr="006524E1">
              <w:rPr>
                <w:rFonts w:ascii="Arial" w:hAnsi="Arial" w:cs="Arial"/>
                <w:color w:val="000000"/>
                <w:sz w:val="18"/>
                <w:szCs w:val="18"/>
              </w:rPr>
              <w:t> </w:t>
            </w:r>
          </w:p>
        </w:tc>
      </w:tr>
      <w:tr w:rsidR="00613BFD" w:rsidRPr="006524E1" w:rsidTr="00AB24E3">
        <w:trPr>
          <w:trHeight w:val="20"/>
          <w:jc w:val="center"/>
        </w:trPr>
        <w:tc>
          <w:tcPr>
            <w:tcW w:w="3606" w:type="dxa"/>
            <w:tcBorders>
              <w:top w:val="nil"/>
              <w:left w:val="nil"/>
              <w:bottom w:val="nil"/>
              <w:right w:val="nil"/>
            </w:tcBorders>
            <w:shd w:val="clear" w:color="auto" w:fill="auto"/>
            <w:vAlign w:val="bottom"/>
            <w:hideMark/>
          </w:tcPr>
          <w:p w:rsidR="00613BFD" w:rsidRPr="00613BFD" w:rsidRDefault="00613BFD" w:rsidP="00613BFD">
            <w:pPr>
              <w:rPr>
                <w:rFonts w:ascii="Arial" w:hAnsi="Arial"/>
                <w:color w:val="000000"/>
                <w:sz w:val="18"/>
              </w:rPr>
            </w:pPr>
            <w:r w:rsidRPr="00613BFD">
              <w:rPr>
                <w:rFonts w:ascii="Arial" w:hAnsi="Arial"/>
                <w:color w:val="000000"/>
                <w:sz w:val="18"/>
              </w:rPr>
              <w:t>Accounts payable and accruals</w:t>
            </w:r>
          </w:p>
        </w:tc>
        <w:tc>
          <w:tcPr>
            <w:tcW w:w="2108" w:type="dxa"/>
            <w:tcBorders>
              <w:top w:val="nil"/>
              <w:left w:val="nil"/>
              <w:bottom w:val="nil"/>
              <w:right w:val="nil"/>
            </w:tcBorders>
            <w:shd w:val="clear" w:color="000000" w:fill="E7E6E6"/>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$5,</w:t>
            </w:r>
            <w:r>
              <w:rPr>
                <w:rFonts w:ascii="Arial" w:hAnsi="Arial" w:cs="Arial"/>
                <w:color w:val="000000"/>
                <w:sz w:val="18"/>
                <w:szCs w:val="18"/>
              </w:rPr>
              <w:t>594</w:t>
            </w:r>
            <w:r w:rsidRPr="00613BFD">
              <w:rPr>
                <w:rFonts w:ascii="Arial" w:hAnsi="Arial"/>
                <w:color w:val="000000"/>
                <w:sz w:val="18"/>
              </w:rPr>
              <w:t xml:space="preserve"> </w:t>
            </w:r>
          </w:p>
        </w:tc>
        <w:tc>
          <w:tcPr>
            <w:tcW w:w="2118" w:type="dxa"/>
            <w:tcBorders>
              <w:top w:val="nil"/>
              <w:left w:val="nil"/>
              <w:bottom w:val="nil"/>
              <w:right w:val="nil"/>
            </w:tcBorders>
            <w:shd w:val="clear" w:color="auto" w:fill="auto"/>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w:t>
            </w:r>
            <w:r>
              <w:rPr>
                <w:rFonts w:ascii="Arial" w:hAnsi="Arial" w:cs="Arial"/>
                <w:color w:val="000000"/>
                <w:sz w:val="18"/>
                <w:szCs w:val="18"/>
              </w:rPr>
              <w:t>5,057</w:t>
            </w:r>
            <w:r w:rsidRPr="00613BFD">
              <w:rPr>
                <w:rFonts w:ascii="Arial" w:hAnsi="Arial"/>
                <w:color w:val="000000"/>
                <w:sz w:val="18"/>
              </w:rPr>
              <w:t xml:space="preserve"> </w:t>
            </w:r>
          </w:p>
        </w:tc>
      </w:tr>
      <w:tr w:rsidR="00613BFD" w:rsidRPr="006524E1" w:rsidTr="00AB24E3">
        <w:trPr>
          <w:trHeight w:val="20"/>
          <w:jc w:val="center"/>
        </w:trPr>
        <w:tc>
          <w:tcPr>
            <w:tcW w:w="3606" w:type="dxa"/>
            <w:tcBorders>
              <w:top w:val="nil"/>
              <w:left w:val="nil"/>
              <w:bottom w:val="nil"/>
              <w:right w:val="nil"/>
            </w:tcBorders>
            <w:shd w:val="clear" w:color="auto" w:fill="auto"/>
            <w:vAlign w:val="bottom"/>
            <w:hideMark/>
          </w:tcPr>
          <w:p w:rsidR="00613BFD" w:rsidRPr="00613BFD" w:rsidRDefault="00613BFD" w:rsidP="00613BFD">
            <w:pPr>
              <w:rPr>
                <w:rFonts w:ascii="Arial" w:hAnsi="Arial"/>
                <w:color w:val="000000"/>
                <w:sz w:val="18"/>
              </w:rPr>
            </w:pPr>
            <w:r w:rsidRPr="00613BFD">
              <w:rPr>
                <w:rFonts w:ascii="Arial" w:hAnsi="Arial"/>
                <w:color w:val="000000"/>
                <w:sz w:val="18"/>
              </w:rPr>
              <w:t>Other liabilities</w:t>
            </w:r>
          </w:p>
        </w:tc>
        <w:tc>
          <w:tcPr>
            <w:tcW w:w="2108" w:type="dxa"/>
            <w:tcBorders>
              <w:top w:val="nil"/>
              <w:left w:val="nil"/>
              <w:bottom w:val="nil"/>
              <w:right w:val="nil"/>
            </w:tcBorders>
            <w:shd w:val="clear" w:color="000000" w:fill="E7E6E6"/>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$1,</w:t>
            </w:r>
            <w:r>
              <w:rPr>
                <w:rFonts w:ascii="Arial" w:hAnsi="Arial" w:cs="Arial"/>
                <w:color w:val="000000"/>
                <w:sz w:val="18"/>
                <w:szCs w:val="18"/>
              </w:rPr>
              <w:t>205</w:t>
            </w:r>
            <w:r w:rsidRPr="00613BFD">
              <w:rPr>
                <w:rFonts w:ascii="Arial" w:hAnsi="Arial"/>
                <w:color w:val="000000"/>
                <w:sz w:val="18"/>
              </w:rPr>
              <w:t xml:space="preserve"> </w:t>
            </w:r>
          </w:p>
        </w:tc>
        <w:tc>
          <w:tcPr>
            <w:tcW w:w="2118" w:type="dxa"/>
            <w:tcBorders>
              <w:top w:val="nil"/>
              <w:left w:val="nil"/>
              <w:bottom w:val="nil"/>
              <w:right w:val="nil"/>
            </w:tcBorders>
            <w:shd w:val="clear" w:color="auto" w:fill="auto"/>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w:t>
            </w:r>
            <w:r>
              <w:rPr>
                <w:rFonts w:ascii="Arial" w:hAnsi="Arial" w:cs="Arial"/>
                <w:color w:val="000000"/>
                <w:sz w:val="18"/>
                <w:szCs w:val="18"/>
              </w:rPr>
              <w:t>$1,419</w:t>
            </w:r>
            <w:r w:rsidRPr="00613BFD">
              <w:rPr>
                <w:rFonts w:ascii="Arial" w:hAnsi="Arial"/>
                <w:color w:val="000000"/>
                <w:sz w:val="18"/>
              </w:rPr>
              <w:t xml:space="preserve"> </w:t>
            </w:r>
          </w:p>
        </w:tc>
      </w:tr>
      <w:tr w:rsidR="00613BFD" w:rsidRPr="006524E1" w:rsidTr="00AB24E3">
        <w:trPr>
          <w:trHeight w:val="20"/>
          <w:jc w:val="center"/>
        </w:trPr>
        <w:tc>
          <w:tcPr>
            <w:tcW w:w="3606" w:type="dxa"/>
            <w:tcBorders>
              <w:top w:val="nil"/>
              <w:left w:val="nil"/>
              <w:bottom w:val="nil"/>
              <w:right w:val="nil"/>
            </w:tcBorders>
            <w:shd w:val="clear" w:color="auto" w:fill="auto"/>
            <w:vAlign w:val="bottom"/>
            <w:hideMark/>
          </w:tcPr>
          <w:p w:rsidR="00613BFD" w:rsidRPr="00613BFD" w:rsidRDefault="00613BFD" w:rsidP="00613BFD">
            <w:pPr>
              <w:rPr>
                <w:rFonts w:ascii="Arial" w:hAnsi="Arial"/>
                <w:color w:val="000000"/>
                <w:sz w:val="18"/>
              </w:rPr>
            </w:pPr>
            <w:r w:rsidRPr="00613BFD">
              <w:rPr>
                <w:rFonts w:ascii="Arial" w:hAnsi="Arial"/>
                <w:color w:val="000000"/>
                <w:sz w:val="18"/>
              </w:rPr>
              <w:t>Credit facility</w:t>
            </w:r>
          </w:p>
        </w:tc>
        <w:tc>
          <w:tcPr>
            <w:tcW w:w="2108" w:type="dxa"/>
            <w:tcBorders>
              <w:top w:val="nil"/>
              <w:left w:val="nil"/>
              <w:bottom w:val="nil"/>
              <w:right w:val="nil"/>
            </w:tcBorders>
            <w:shd w:val="clear" w:color="000000" w:fill="E7E6E6"/>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w:t>
            </w:r>
            <w:r>
              <w:rPr>
                <w:rFonts w:ascii="Arial" w:hAnsi="Arial" w:cs="Arial"/>
                <w:color w:val="000000"/>
                <w:sz w:val="18"/>
                <w:szCs w:val="18"/>
              </w:rPr>
              <w:t>45,943</w:t>
            </w:r>
            <w:r w:rsidRPr="00613BFD">
              <w:rPr>
                <w:rFonts w:ascii="Arial" w:hAnsi="Arial"/>
                <w:color w:val="000000"/>
                <w:sz w:val="18"/>
              </w:rPr>
              <w:t xml:space="preserve"> </w:t>
            </w:r>
          </w:p>
        </w:tc>
        <w:tc>
          <w:tcPr>
            <w:tcW w:w="2118" w:type="dxa"/>
            <w:tcBorders>
              <w:top w:val="nil"/>
              <w:left w:val="nil"/>
              <w:bottom w:val="nil"/>
              <w:right w:val="nil"/>
            </w:tcBorders>
            <w:shd w:val="clear" w:color="auto" w:fill="auto"/>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w:t>
            </w:r>
            <w:r>
              <w:rPr>
                <w:rFonts w:ascii="Arial" w:hAnsi="Arial" w:cs="Arial"/>
                <w:color w:val="000000"/>
                <w:sz w:val="18"/>
                <w:szCs w:val="18"/>
              </w:rPr>
              <w:t>40,384</w:t>
            </w:r>
            <w:r w:rsidRPr="00613BFD">
              <w:rPr>
                <w:rFonts w:ascii="Arial" w:hAnsi="Arial"/>
                <w:color w:val="000000"/>
                <w:sz w:val="18"/>
              </w:rPr>
              <w:t xml:space="preserve"> </w:t>
            </w:r>
          </w:p>
        </w:tc>
      </w:tr>
      <w:tr w:rsidR="00613BFD" w:rsidRPr="006524E1" w:rsidTr="00AB24E3">
        <w:trPr>
          <w:trHeight w:val="20"/>
          <w:jc w:val="center"/>
        </w:trPr>
        <w:tc>
          <w:tcPr>
            <w:tcW w:w="3606" w:type="dxa"/>
            <w:tcBorders>
              <w:top w:val="nil"/>
              <w:left w:val="nil"/>
              <w:bottom w:val="nil"/>
              <w:right w:val="nil"/>
            </w:tcBorders>
            <w:shd w:val="clear" w:color="auto" w:fill="auto"/>
            <w:vAlign w:val="bottom"/>
            <w:hideMark/>
          </w:tcPr>
          <w:p w:rsidR="00613BFD" w:rsidRPr="00613BFD" w:rsidRDefault="00613BFD" w:rsidP="00613BFD">
            <w:pPr>
              <w:rPr>
                <w:rFonts w:ascii="Arial" w:hAnsi="Arial"/>
                <w:color w:val="000000"/>
                <w:sz w:val="18"/>
              </w:rPr>
            </w:pPr>
            <w:r w:rsidRPr="00613BFD">
              <w:rPr>
                <w:rFonts w:ascii="Arial" w:hAnsi="Arial"/>
                <w:color w:val="000000"/>
                <w:sz w:val="18"/>
              </w:rPr>
              <w:t>Debentures</w:t>
            </w:r>
          </w:p>
        </w:tc>
        <w:tc>
          <w:tcPr>
            <w:tcW w:w="2108" w:type="dxa"/>
            <w:tcBorders>
              <w:top w:val="nil"/>
              <w:left w:val="nil"/>
              <w:bottom w:val="nil"/>
              <w:right w:val="nil"/>
            </w:tcBorders>
            <w:shd w:val="clear" w:color="000000" w:fill="E7E6E6"/>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$40,</w:t>
            </w:r>
            <w:r>
              <w:rPr>
                <w:rFonts w:ascii="Arial" w:hAnsi="Arial" w:cs="Arial"/>
                <w:color w:val="000000"/>
                <w:sz w:val="18"/>
                <w:szCs w:val="18"/>
              </w:rPr>
              <w:t>092</w:t>
            </w:r>
            <w:r w:rsidRPr="00613BFD">
              <w:rPr>
                <w:rFonts w:ascii="Arial" w:hAnsi="Arial"/>
                <w:color w:val="000000"/>
                <w:sz w:val="18"/>
              </w:rPr>
              <w:t xml:space="preserve"> </w:t>
            </w:r>
          </w:p>
        </w:tc>
        <w:tc>
          <w:tcPr>
            <w:tcW w:w="2118" w:type="dxa"/>
            <w:tcBorders>
              <w:top w:val="nil"/>
              <w:left w:val="nil"/>
              <w:bottom w:val="nil"/>
              <w:right w:val="nil"/>
            </w:tcBorders>
            <w:shd w:val="clear" w:color="auto" w:fill="auto"/>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w:t>
            </w:r>
            <w:r>
              <w:rPr>
                <w:rFonts w:ascii="Arial" w:hAnsi="Arial" w:cs="Arial"/>
                <w:color w:val="000000"/>
                <w:sz w:val="18"/>
                <w:szCs w:val="18"/>
              </w:rPr>
              <w:t>40,326</w:t>
            </w:r>
            <w:r w:rsidRPr="00613BFD">
              <w:rPr>
                <w:rFonts w:ascii="Arial" w:hAnsi="Arial"/>
                <w:color w:val="000000"/>
                <w:sz w:val="18"/>
              </w:rPr>
              <w:t xml:space="preserve"> </w:t>
            </w:r>
          </w:p>
        </w:tc>
      </w:tr>
      <w:tr w:rsidR="00613BFD" w:rsidRPr="006524E1" w:rsidTr="00AB24E3">
        <w:trPr>
          <w:trHeight w:val="20"/>
          <w:jc w:val="center"/>
        </w:trPr>
        <w:tc>
          <w:tcPr>
            <w:tcW w:w="3606" w:type="dxa"/>
            <w:tcBorders>
              <w:top w:val="nil"/>
              <w:left w:val="nil"/>
              <w:bottom w:val="nil"/>
              <w:right w:val="nil"/>
            </w:tcBorders>
            <w:shd w:val="clear" w:color="auto" w:fill="auto"/>
            <w:vAlign w:val="bottom"/>
            <w:hideMark/>
          </w:tcPr>
          <w:p w:rsidR="00613BFD" w:rsidRPr="00613BFD" w:rsidRDefault="00613BFD" w:rsidP="00613BFD">
            <w:pPr>
              <w:rPr>
                <w:rFonts w:ascii="Arial" w:hAnsi="Arial"/>
                <w:color w:val="000000"/>
                <w:sz w:val="18"/>
              </w:rPr>
            </w:pPr>
            <w:r w:rsidRPr="00613BFD">
              <w:rPr>
                <w:rFonts w:ascii="Arial" w:hAnsi="Arial"/>
                <w:color w:val="000000"/>
                <w:sz w:val="18"/>
              </w:rPr>
              <w:t>Derivative financial liability</w:t>
            </w:r>
          </w:p>
        </w:tc>
        <w:tc>
          <w:tcPr>
            <w:tcW w:w="2108" w:type="dxa"/>
            <w:tcBorders>
              <w:top w:val="nil"/>
              <w:left w:val="nil"/>
              <w:bottom w:val="nil"/>
              <w:right w:val="nil"/>
            </w:tcBorders>
            <w:shd w:val="clear" w:color="000000" w:fill="E7E6E6"/>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w:t>
            </w:r>
            <w:r>
              <w:rPr>
                <w:rFonts w:ascii="Arial" w:hAnsi="Arial" w:cs="Arial"/>
                <w:color w:val="000000"/>
                <w:sz w:val="18"/>
                <w:szCs w:val="18"/>
              </w:rPr>
              <w:t>489</w:t>
            </w:r>
            <w:r w:rsidRPr="00613BFD">
              <w:rPr>
                <w:rFonts w:ascii="Arial" w:hAnsi="Arial"/>
                <w:color w:val="000000"/>
                <w:sz w:val="18"/>
              </w:rPr>
              <w:t xml:space="preserve"> </w:t>
            </w:r>
          </w:p>
        </w:tc>
        <w:tc>
          <w:tcPr>
            <w:tcW w:w="2118" w:type="dxa"/>
            <w:tcBorders>
              <w:top w:val="nil"/>
              <w:left w:val="nil"/>
              <w:bottom w:val="nil"/>
              <w:right w:val="nil"/>
            </w:tcBorders>
            <w:shd w:val="clear" w:color="auto" w:fill="auto"/>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w:t>
            </w:r>
            <w:r>
              <w:rPr>
                <w:rFonts w:ascii="Arial" w:hAnsi="Arial" w:cs="Arial"/>
                <w:color w:val="000000"/>
                <w:sz w:val="18"/>
                <w:szCs w:val="18"/>
              </w:rPr>
              <w:t>$129</w:t>
            </w:r>
            <w:r w:rsidRPr="00613BFD">
              <w:rPr>
                <w:rFonts w:ascii="Arial" w:hAnsi="Arial"/>
                <w:color w:val="000000"/>
                <w:sz w:val="18"/>
              </w:rPr>
              <w:t xml:space="preserve"> </w:t>
            </w:r>
          </w:p>
        </w:tc>
      </w:tr>
      <w:tr w:rsidR="00613BFD" w:rsidRPr="006524E1" w:rsidTr="00AB24E3">
        <w:trPr>
          <w:trHeight w:val="20"/>
          <w:jc w:val="center"/>
        </w:trPr>
        <w:tc>
          <w:tcPr>
            <w:tcW w:w="3606" w:type="dxa"/>
            <w:tcBorders>
              <w:top w:val="single" w:sz="4" w:space="0" w:color="auto"/>
              <w:left w:val="nil"/>
              <w:bottom w:val="single" w:sz="4" w:space="0" w:color="auto"/>
              <w:right w:val="nil"/>
            </w:tcBorders>
            <w:shd w:val="clear" w:color="auto" w:fill="auto"/>
            <w:vAlign w:val="bottom"/>
            <w:hideMark/>
          </w:tcPr>
          <w:p w:rsidR="00613BFD" w:rsidRPr="00613BFD" w:rsidRDefault="00613BFD" w:rsidP="00613BFD">
            <w:pPr>
              <w:rPr>
                <w:rFonts w:ascii="Arial" w:hAnsi="Arial"/>
                <w:b/>
                <w:color w:val="000000"/>
                <w:sz w:val="18"/>
              </w:rPr>
            </w:pPr>
            <w:r w:rsidRPr="00613BFD">
              <w:rPr>
                <w:rFonts w:ascii="Arial" w:hAnsi="Arial"/>
                <w:b/>
                <w:color w:val="000000"/>
                <w:sz w:val="18"/>
              </w:rPr>
              <w:t>Total liabilities</w:t>
            </w:r>
          </w:p>
        </w:tc>
        <w:tc>
          <w:tcPr>
            <w:tcW w:w="2108" w:type="dxa"/>
            <w:tcBorders>
              <w:top w:val="single" w:sz="4" w:space="0" w:color="auto"/>
              <w:left w:val="nil"/>
              <w:bottom w:val="single" w:sz="4" w:space="0" w:color="auto"/>
              <w:right w:val="nil"/>
            </w:tcBorders>
            <w:shd w:val="clear" w:color="000000" w:fill="E7E6E6"/>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w:t>
            </w:r>
            <w:r>
              <w:rPr>
                <w:rFonts w:ascii="Arial" w:hAnsi="Arial" w:cs="Arial"/>
                <w:color w:val="000000"/>
                <w:sz w:val="18"/>
                <w:szCs w:val="18"/>
              </w:rPr>
              <w:t>93,325</w:t>
            </w:r>
            <w:r w:rsidRPr="00613BFD">
              <w:rPr>
                <w:rFonts w:ascii="Arial" w:hAnsi="Arial"/>
                <w:color w:val="000000"/>
                <w:sz w:val="18"/>
              </w:rPr>
              <w:t xml:space="preserve"> </w:t>
            </w:r>
          </w:p>
        </w:tc>
        <w:tc>
          <w:tcPr>
            <w:tcW w:w="2118" w:type="dxa"/>
            <w:tcBorders>
              <w:top w:val="single" w:sz="4" w:space="0" w:color="auto"/>
              <w:left w:val="nil"/>
              <w:bottom w:val="single" w:sz="4" w:space="0" w:color="auto"/>
              <w:right w:val="nil"/>
            </w:tcBorders>
            <w:shd w:val="clear" w:color="auto" w:fill="auto"/>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w:t>
            </w:r>
            <w:r>
              <w:rPr>
                <w:rFonts w:ascii="Arial" w:hAnsi="Arial" w:cs="Arial"/>
                <w:color w:val="000000"/>
                <w:sz w:val="18"/>
                <w:szCs w:val="18"/>
              </w:rPr>
              <w:t>87,316</w:t>
            </w:r>
            <w:r w:rsidRPr="00613BFD">
              <w:rPr>
                <w:rFonts w:ascii="Arial" w:hAnsi="Arial"/>
                <w:color w:val="000000"/>
                <w:sz w:val="18"/>
              </w:rPr>
              <w:t xml:space="preserve"> </w:t>
            </w:r>
          </w:p>
        </w:tc>
      </w:tr>
      <w:tr w:rsidR="00613BFD" w:rsidRPr="00AB24E3" w:rsidTr="00AB24E3">
        <w:trPr>
          <w:trHeight w:val="20"/>
          <w:jc w:val="center"/>
        </w:trPr>
        <w:tc>
          <w:tcPr>
            <w:tcW w:w="3606" w:type="dxa"/>
            <w:tcBorders>
              <w:top w:val="nil"/>
              <w:left w:val="nil"/>
              <w:bottom w:val="nil"/>
              <w:right w:val="nil"/>
            </w:tcBorders>
            <w:shd w:val="clear" w:color="auto" w:fill="auto"/>
            <w:vAlign w:val="bottom"/>
            <w:hideMark/>
          </w:tcPr>
          <w:p w:rsidR="00613BFD" w:rsidRPr="00AB24E3" w:rsidRDefault="00613BFD" w:rsidP="00613BFD">
            <w:pPr>
              <w:jc w:val="right"/>
              <w:rPr>
                <w:rFonts w:ascii="Arial" w:hAnsi="Arial" w:cs="Arial"/>
                <w:color w:val="000000"/>
                <w:sz w:val="8"/>
                <w:szCs w:val="8"/>
              </w:rPr>
            </w:pPr>
          </w:p>
        </w:tc>
        <w:tc>
          <w:tcPr>
            <w:tcW w:w="2108" w:type="dxa"/>
            <w:tcBorders>
              <w:top w:val="nil"/>
              <w:left w:val="nil"/>
              <w:bottom w:val="nil"/>
              <w:right w:val="nil"/>
            </w:tcBorders>
            <w:shd w:val="clear" w:color="000000" w:fill="E7E6E6"/>
            <w:noWrap/>
            <w:vAlign w:val="bottom"/>
            <w:hideMark/>
          </w:tcPr>
          <w:p w:rsidR="00613BFD" w:rsidRPr="00AB24E3" w:rsidRDefault="00613BFD" w:rsidP="00613BFD">
            <w:pPr>
              <w:rPr>
                <w:rFonts w:ascii="Arial" w:hAnsi="Arial" w:cs="Arial"/>
                <w:color w:val="000000"/>
                <w:sz w:val="8"/>
                <w:szCs w:val="8"/>
              </w:rPr>
            </w:pPr>
            <w:r w:rsidRPr="00AB24E3">
              <w:rPr>
                <w:rFonts w:ascii="Arial" w:hAnsi="Arial" w:cs="Arial"/>
                <w:color w:val="000000"/>
                <w:sz w:val="8"/>
                <w:szCs w:val="8"/>
              </w:rPr>
              <w:t> </w:t>
            </w:r>
          </w:p>
        </w:tc>
        <w:tc>
          <w:tcPr>
            <w:tcW w:w="2118" w:type="dxa"/>
            <w:tcBorders>
              <w:top w:val="nil"/>
              <w:left w:val="nil"/>
              <w:bottom w:val="nil"/>
              <w:right w:val="nil"/>
            </w:tcBorders>
            <w:shd w:val="clear" w:color="auto" w:fill="auto"/>
            <w:noWrap/>
            <w:vAlign w:val="bottom"/>
            <w:hideMark/>
          </w:tcPr>
          <w:p w:rsidR="00613BFD" w:rsidRPr="00AB24E3" w:rsidRDefault="00613BFD" w:rsidP="00613BFD">
            <w:pPr>
              <w:rPr>
                <w:rFonts w:ascii="Arial" w:hAnsi="Arial" w:cs="Arial"/>
                <w:color w:val="000000"/>
                <w:sz w:val="8"/>
                <w:szCs w:val="8"/>
              </w:rPr>
            </w:pPr>
            <w:r w:rsidRPr="00AB24E3">
              <w:rPr>
                <w:rFonts w:ascii="Arial" w:hAnsi="Arial" w:cs="Arial"/>
                <w:color w:val="000000"/>
                <w:sz w:val="8"/>
                <w:szCs w:val="8"/>
              </w:rPr>
              <w:t> </w:t>
            </w:r>
          </w:p>
        </w:tc>
      </w:tr>
      <w:tr w:rsidR="00613BFD" w:rsidRPr="006524E1" w:rsidTr="00AB24E3">
        <w:trPr>
          <w:trHeight w:val="20"/>
          <w:jc w:val="center"/>
        </w:trPr>
        <w:tc>
          <w:tcPr>
            <w:tcW w:w="3606" w:type="dxa"/>
            <w:tcBorders>
              <w:top w:val="nil"/>
              <w:left w:val="nil"/>
              <w:bottom w:val="nil"/>
              <w:right w:val="nil"/>
            </w:tcBorders>
            <w:shd w:val="clear" w:color="auto" w:fill="auto"/>
            <w:vAlign w:val="bottom"/>
            <w:hideMark/>
          </w:tcPr>
          <w:p w:rsidR="00613BFD" w:rsidRPr="00613BFD" w:rsidRDefault="00613BFD" w:rsidP="00613BFD">
            <w:pPr>
              <w:rPr>
                <w:rFonts w:ascii="Arial" w:hAnsi="Arial"/>
                <w:b/>
                <w:color w:val="000000"/>
                <w:sz w:val="18"/>
              </w:rPr>
            </w:pPr>
            <w:r w:rsidRPr="00613BFD">
              <w:rPr>
                <w:rFonts w:ascii="Arial" w:hAnsi="Arial"/>
                <w:b/>
                <w:color w:val="000000"/>
                <w:sz w:val="18"/>
              </w:rPr>
              <w:t>Shareholders' equity (deficit)</w:t>
            </w:r>
          </w:p>
        </w:tc>
        <w:tc>
          <w:tcPr>
            <w:tcW w:w="2108" w:type="dxa"/>
            <w:tcBorders>
              <w:top w:val="nil"/>
              <w:left w:val="nil"/>
              <w:bottom w:val="nil"/>
              <w:right w:val="nil"/>
            </w:tcBorders>
            <w:shd w:val="clear" w:color="000000" w:fill="E7E6E6"/>
            <w:noWrap/>
            <w:vAlign w:val="bottom"/>
            <w:hideMark/>
          </w:tcPr>
          <w:p w:rsidR="00613BFD" w:rsidRPr="00613BFD" w:rsidRDefault="00613BFD" w:rsidP="00613BFD">
            <w:pPr>
              <w:rPr>
                <w:rFonts w:ascii="Arial" w:hAnsi="Arial"/>
                <w:color w:val="000000"/>
                <w:sz w:val="18"/>
              </w:rPr>
            </w:pPr>
            <w:r w:rsidRPr="00613BFD">
              <w:rPr>
                <w:rFonts w:ascii="Arial" w:hAnsi="Arial"/>
                <w:color w:val="000000"/>
                <w:sz w:val="18"/>
              </w:rPr>
              <w:t> </w:t>
            </w:r>
          </w:p>
        </w:tc>
        <w:tc>
          <w:tcPr>
            <w:tcW w:w="2118" w:type="dxa"/>
            <w:tcBorders>
              <w:top w:val="nil"/>
              <w:left w:val="nil"/>
              <w:bottom w:val="nil"/>
              <w:right w:val="nil"/>
            </w:tcBorders>
            <w:shd w:val="clear" w:color="auto" w:fill="auto"/>
            <w:noWrap/>
            <w:vAlign w:val="bottom"/>
            <w:hideMark/>
          </w:tcPr>
          <w:p w:rsidR="00613BFD" w:rsidRPr="00613BFD" w:rsidRDefault="00613BFD" w:rsidP="00613BFD">
            <w:pPr>
              <w:rPr>
                <w:rFonts w:ascii="Arial" w:hAnsi="Arial"/>
                <w:color w:val="000000"/>
                <w:sz w:val="18"/>
              </w:rPr>
            </w:pPr>
            <w:r w:rsidRPr="006524E1">
              <w:rPr>
                <w:rFonts w:ascii="Arial" w:hAnsi="Arial" w:cs="Arial"/>
                <w:color w:val="000000"/>
                <w:sz w:val="18"/>
                <w:szCs w:val="18"/>
              </w:rPr>
              <w:t> </w:t>
            </w:r>
          </w:p>
        </w:tc>
      </w:tr>
      <w:tr w:rsidR="00613BFD" w:rsidRPr="006524E1" w:rsidTr="00AB24E3">
        <w:trPr>
          <w:trHeight w:val="20"/>
          <w:jc w:val="center"/>
        </w:trPr>
        <w:tc>
          <w:tcPr>
            <w:tcW w:w="3606" w:type="dxa"/>
            <w:tcBorders>
              <w:top w:val="nil"/>
              <w:left w:val="nil"/>
              <w:bottom w:val="nil"/>
              <w:right w:val="nil"/>
            </w:tcBorders>
            <w:shd w:val="clear" w:color="auto" w:fill="auto"/>
            <w:vAlign w:val="bottom"/>
            <w:hideMark/>
          </w:tcPr>
          <w:p w:rsidR="00613BFD" w:rsidRPr="00613BFD" w:rsidRDefault="00613BFD" w:rsidP="00613BFD">
            <w:pPr>
              <w:rPr>
                <w:rFonts w:ascii="Arial" w:hAnsi="Arial"/>
                <w:color w:val="000000"/>
                <w:sz w:val="18"/>
              </w:rPr>
            </w:pPr>
            <w:r w:rsidRPr="00613BFD">
              <w:rPr>
                <w:rFonts w:ascii="Arial" w:hAnsi="Arial"/>
                <w:color w:val="000000"/>
                <w:sz w:val="18"/>
              </w:rPr>
              <w:t>Share capital</w:t>
            </w:r>
          </w:p>
        </w:tc>
        <w:tc>
          <w:tcPr>
            <w:tcW w:w="2108" w:type="dxa"/>
            <w:tcBorders>
              <w:top w:val="nil"/>
              <w:left w:val="nil"/>
              <w:bottom w:val="nil"/>
              <w:right w:val="nil"/>
            </w:tcBorders>
            <w:shd w:val="clear" w:color="000000" w:fill="E7E6E6"/>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$45,</w:t>
            </w:r>
            <w:r>
              <w:rPr>
                <w:rFonts w:ascii="Arial" w:hAnsi="Arial" w:cs="Arial"/>
                <w:color w:val="000000"/>
                <w:sz w:val="18"/>
                <w:szCs w:val="18"/>
              </w:rPr>
              <w:t>654</w:t>
            </w:r>
            <w:r w:rsidRPr="00613BFD">
              <w:rPr>
                <w:rFonts w:ascii="Arial" w:hAnsi="Arial"/>
                <w:color w:val="000000"/>
                <w:sz w:val="18"/>
              </w:rPr>
              <w:t xml:space="preserve"> </w:t>
            </w:r>
          </w:p>
        </w:tc>
        <w:tc>
          <w:tcPr>
            <w:tcW w:w="2118" w:type="dxa"/>
            <w:tcBorders>
              <w:top w:val="nil"/>
              <w:left w:val="nil"/>
              <w:bottom w:val="nil"/>
              <w:right w:val="nil"/>
            </w:tcBorders>
            <w:shd w:val="clear" w:color="auto" w:fill="auto"/>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w:t>
            </w:r>
            <w:r>
              <w:rPr>
                <w:rFonts w:ascii="Arial" w:hAnsi="Arial" w:cs="Arial"/>
                <w:color w:val="000000"/>
                <w:sz w:val="18"/>
                <w:szCs w:val="18"/>
              </w:rPr>
              <w:t>45,314</w:t>
            </w:r>
            <w:r w:rsidRPr="00613BFD">
              <w:rPr>
                <w:rFonts w:ascii="Arial" w:hAnsi="Arial"/>
                <w:color w:val="000000"/>
                <w:sz w:val="18"/>
              </w:rPr>
              <w:t xml:space="preserve"> </w:t>
            </w:r>
          </w:p>
        </w:tc>
      </w:tr>
      <w:tr w:rsidR="00613BFD" w:rsidRPr="006524E1" w:rsidTr="00AB24E3">
        <w:trPr>
          <w:trHeight w:val="20"/>
          <w:jc w:val="center"/>
        </w:trPr>
        <w:tc>
          <w:tcPr>
            <w:tcW w:w="3606" w:type="dxa"/>
            <w:tcBorders>
              <w:top w:val="nil"/>
              <w:left w:val="nil"/>
              <w:bottom w:val="nil"/>
              <w:right w:val="nil"/>
            </w:tcBorders>
            <w:shd w:val="clear" w:color="auto" w:fill="auto"/>
            <w:vAlign w:val="bottom"/>
            <w:hideMark/>
          </w:tcPr>
          <w:p w:rsidR="00613BFD" w:rsidRPr="00613BFD" w:rsidRDefault="00613BFD" w:rsidP="00613BFD">
            <w:pPr>
              <w:rPr>
                <w:rFonts w:ascii="Arial" w:hAnsi="Arial"/>
                <w:color w:val="000000"/>
                <w:sz w:val="18"/>
              </w:rPr>
            </w:pPr>
            <w:r w:rsidRPr="00613BFD">
              <w:rPr>
                <w:rFonts w:ascii="Arial" w:hAnsi="Arial"/>
                <w:color w:val="000000"/>
                <w:sz w:val="18"/>
              </w:rPr>
              <w:t>Contributed surplus</w:t>
            </w:r>
          </w:p>
        </w:tc>
        <w:tc>
          <w:tcPr>
            <w:tcW w:w="2108" w:type="dxa"/>
            <w:tcBorders>
              <w:top w:val="nil"/>
              <w:left w:val="nil"/>
              <w:bottom w:val="nil"/>
              <w:right w:val="nil"/>
            </w:tcBorders>
            <w:shd w:val="clear" w:color="000000" w:fill="E7E6E6"/>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w:t>
            </w:r>
            <w:r>
              <w:rPr>
                <w:rFonts w:ascii="Arial" w:hAnsi="Arial" w:cs="Arial"/>
                <w:color w:val="000000"/>
                <w:sz w:val="18"/>
                <w:szCs w:val="18"/>
              </w:rPr>
              <w:t>3,945</w:t>
            </w:r>
            <w:r w:rsidRPr="00613BFD">
              <w:rPr>
                <w:rFonts w:ascii="Arial" w:hAnsi="Arial"/>
                <w:color w:val="000000"/>
                <w:sz w:val="18"/>
              </w:rPr>
              <w:t xml:space="preserve"> </w:t>
            </w:r>
          </w:p>
        </w:tc>
        <w:tc>
          <w:tcPr>
            <w:tcW w:w="2118" w:type="dxa"/>
            <w:tcBorders>
              <w:top w:val="nil"/>
              <w:left w:val="nil"/>
              <w:bottom w:val="nil"/>
              <w:right w:val="nil"/>
            </w:tcBorders>
            <w:shd w:val="clear" w:color="auto" w:fill="auto"/>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w:t>
            </w:r>
            <w:r>
              <w:rPr>
                <w:rFonts w:ascii="Arial" w:hAnsi="Arial" w:cs="Arial"/>
                <w:color w:val="000000"/>
                <w:sz w:val="18"/>
                <w:szCs w:val="18"/>
              </w:rPr>
              <w:t>1,517</w:t>
            </w:r>
            <w:r w:rsidRPr="00613BFD">
              <w:rPr>
                <w:rFonts w:ascii="Arial" w:hAnsi="Arial"/>
                <w:color w:val="000000"/>
                <w:sz w:val="18"/>
              </w:rPr>
              <w:t xml:space="preserve"> </w:t>
            </w:r>
          </w:p>
        </w:tc>
      </w:tr>
      <w:tr w:rsidR="00613BFD" w:rsidRPr="006524E1" w:rsidTr="00AB24E3">
        <w:trPr>
          <w:trHeight w:val="20"/>
          <w:jc w:val="center"/>
        </w:trPr>
        <w:tc>
          <w:tcPr>
            <w:tcW w:w="3606" w:type="dxa"/>
            <w:tcBorders>
              <w:top w:val="nil"/>
              <w:left w:val="nil"/>
              <w:bottom w:val="nil"/>
              <w:right w:val="nil"/>
            </w:tcBorders>
            <w:shd w:val="clear" w:color="auto" w:fill="auto"/>
            <w:vAlign w:val="bottom"/>
            <w:hideMark/>
          </w:tcPr>
          <w:p w:rsidR="00613BFD" w:rsidRPr="00613BFD" w:rsidRDefault="00613BFD" w:rsidP="00613BFD">
            <w:pPr>
              <w:rPr>
                <w:rFonts w:ascii="Arial" w:hAnsi="Arial"/>
                <w:color w:val="000000"/>
                <w:sz w:val="18"/>
              </w:rPr>
            </w:pPr>
            <w:r w:rsidRPr="00613BFD">
              <w:rPr>
                <w:rFonts w:ascii="Arial" w:hAnsi="Arial"/>
                <w:color w:val="000000"/>
                <w:sz w:val="18"/>
              </w:rPr>
              <w:t>Deficit</w:t>
            </w:r>
          </w:p>
        </w:tc>
        <w:tc>
          <w:tcPr>
            <w:tcW w:w="2108" w:type="dxa"/>
            <w:tcBorders>
              <w:top w:val="nil"/>
              <w:left w:val="nil"/>
              <w:bottom w:val="nil"/>
              <w:right w:val="nil"/>
            </w:tcBorders>
            <w:shd w:val="clear" w:color="000000" w:fill="E7E6E6"/>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w:t>
            </w:r>
            <w:r>
              <w:rPr>
                <w:rFonts w:ascii="Arial" w:hAnsi="Arial" w:cs="Arial"/>
                <w:color w:val="000000"/>
                <w:sz w:val="18"/>
                <w:szCs w:val="18"/>
              </w:rPr>
              <w:t>43,898</w:t>
            </w:r>
            <w:r w:rsidRPr="00613BFD">
              <w:rPr>
                <w:rFonts w:ascii="Arial" w:hAnsi="Arial"/>
                <w:color w:val="000000"/>
                <w:sz w:val="18"/>
              </w:rPr>
              <w:t>)</w:t>
            </w:r>
          </w:p>
        </w:tc>
        <w:tc>
          <w:tcPr>
            <w:tcW w:w="2118" w:type="dxa"/>
            <w:tcBorders>
              <w:top w:val="nil"/>
              <w:left w:val="nil"/>
              <w:bottom w:val="nil"/>
              <w:right w:val="nil"/>
            </w:tcBorders>
            <w:shd w:val="clear" w:color="auto" w:fill="auto"/>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w:t>
            </w:r>
            <w:r>
              <w:rPr>
                <w:rFonts w:ascii="Arial" w:hAnsi="Arial" w:cs="Arial"/>
                <w:color w:val="000000"/>
                <w:sz w:val="18"/>
                <w:szCs w:val="18"/>
              </w:rPr>
              <w:t>26,806</w:t>
            </w:r>
            <w:r w:rsidRPr="00613BFD">
              <w:rPr>
                <w:rFonts w:ascii="Arial" w:hAnsi="Arial"/>
                <w:color w:val="000000"/>
                <w:sz w:val="18"/>
              </w:rPr>
              <w:t>)</w:t>
            </w:r>
          </w:p>
        </w:tc>
      </w:tr>
      <w:tr w:rsidR="00613BFD" w:rsidRPr="006524E1" w:rsidTr="00AB24E3">
        <w:trPr>
          <w:trHeight w:val="20"/>
          <w:jc w:val="center"/>
        </w:trPr>
        <w:tc>
          <w:tcPr>
            <w:tcW w:w="3606" w:type="dxa"/>
            <w:tcBorders>
              <w:top w:val="single" w:sz="4" w:space="0" w:color="auto"/>
              <w:left w:val="nil"/>
              <w:right w:val="nil"/>
            </w:tcBorders>
            <w:shd w:val="clear" w:color="auto" w:fill="auto"/>
            <w:vAlign w:val="bottom"/>
            <w:hideMark/>
          </w:tcPr>
          <w:p w:rsidR="00613BFD" w:rsidRPr="00613BFD" w:rsidRDefault="00613BFD" w:rsidP="00613BFD">
            <w:pPr>
              <w:rPr>
                <w:rFonts w:ascii="Arial" w:hAnsi="Arial"/>
                <w:b/>
                <w:color w:val="000000"/>
                <w:sz w:val="18"/>
              </w:rPr>
            </w:pPr>
            <w:r w:rsidRPr="00613BFD">
              <w:rPr>
                <w:rFonts w:ascii="Arial" w:hAnsi="Arial"/>
                <w:b/>
                <w:color w:val="000000"/>
                <w:sz w:val="18"/>
              </w:rPr>
              <w:t>Total equity</w:t>
            </w:r>
          </w:p>
        </w:tc>
        <w:tc>
          <w:tcPr>
            <w:tcW w:w="2108" w:type="dxa"/>
            <w:tcBorders>
              <w:top w:val="single" w:sz="4" w:space="0" w:color="auto"/>
              <w:left w:val="nil"/>
              <w:right w:val="nil"/>
            </w:tcBorders>
            <w:shd w:val="clear" w:color="000000" w:fill="E7E6E6"/>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w:t>
            </w:r>
            <w:r>
              <w:rPr>
                <w:rFonts w:ascii="Arial" w:hAnsi="Arial" w:cs="Arial"/>
                <w:color w:val="000000"/>
                <w:sz w:val="18"/>
                <w:szCs w:val="18"/>
              </w:rPr>
              <w:t>5,701</w:t>
            </w:r>
            <w:r w:rsidRPr="00613BFD">
              <w:rPr>
                <w:rFonts w:ascii="Arial" w:hAnsi="Arial"/>
                <w:color w:val="000000"/>
                <w:sz w:val="18"/>
              </w:rPr>
              <w:t xml:space="preserve"> </w:t>
            </w:r>
          </w:p>
        </w:tc>
        <w:tc>
          <w:tcPr>
            <w:tcW w:w="2118" w:type="dxa"/>
            <w:tcBorders>
              <w:top w:val="single" w:sz="4" w:space="0" w:color="auto"/>
              <w:left w:val="nil"/>
              <w:right w:val="nil"/>
            </w:tcBorders>
            <w:shd w:val="clear" w:color="auto" w:fill="auto"/>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w:t>
            </w:r>
            <w:r w:rsidRPr="006524E1">
              <w:rPr>
                <w:rFonts w:ascii="Arial" w:hAnsi="Arial" w:cs="Arial"/>
                <w:color w:val="000000"/>
                <w:sz w:val="18"/>
                <w:szCs w:val="18"/>
              </w:rPr>
              <w:t xml:space="preserve">$20,025 </w:t>
            </w:r>
          </w:p>
        </w:tc>
      </w:tr>
      <w:tr w:rsidR="00613BFD" w:rsidRPr="006524E1" w:rsidTr="00AB24E3">
        <w:trPr>
          <w:trHeight w:val="20"/>
          <w:jc w:val="center"/>
        </w:trPr>
        <w:tc>
          <w:tcPr>
            <w:tcW w:w="3606" w:type="dxa"/>
            <w:tcBorders>
              <w:top w:val="nil"/>
              <w:left w:val="nil"/>
              <w:bottom w:val="double" w:sz="4" w:space="0" w:color="auto"/>
              <w:right w:val="nil"/>
            </w:tcBorders>
            <w:shd w:val="clear" w:color="auto" w:fill="auto"/>
            <w:noWrap/>
            <w:vAlign w:val="bottom"/>
            <w:hideMark/>
          </w:tcPr>
          <w:p w:rsidR="00613BFD" w:rsidRPr="00613BFD" w:rsidRDefault="00613BFD" w:rsidP="00613BFD">
            <w:pPr>
              <w:rPr>
                <w:rFonts w:ascii="Arial" w:hAnsi="Arial"/>
                <w:color w:val="000000"/>
                <w:sz w:val="18"/>
              </w:rPr>
            </w:pPr>
            <w:r w:rsidRPr="00613BFD">
              <w:rPr>
                <w:rFonts w:ascii="Arial" w:hAnsi="Arial"/>
                <w:color w:val="000000"/>
                <w:sz w:val="18"/>
              </w:rPr>
              <w:t> </w:t>
            </w:r>
          </w:p>
        </w:tc>
        <w:tc>
          <w:tcPr>
            <w:tcW w:w="2108" w:type="dxa"/>
            <w:tcBorders>
              <w:top w:val="nil"/>
              <w:left w:val="nil"/>
              <w:bottom w:val="double" w:sz="4" w:space="0" w:color="auto"/>
              <w:right w:val="nil"/>
            </w:tcBorders>
            <w:shd w:val="clear" w:color="000000" w:fill="E7E6E6"/>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w:t>
            </w:r>
            <w:r>
              <w:rPr>
                <w:rFonts w:ascii="Arial" w:hAnsi="Arial" w:cs="Arial"/>
                <w:color w:val="000000"/>
                <w:sz w:val="18"/>
                <w:szCs w:val="18"/>
              </w:rPr>
              <w:t>99,026</w:t>
            </w:r>
            <w:r w:rsidRPr="00613BFD">
              <w:rPr>
                <w:rFonts w:ascii="Arial" w:hAnsi="Arial"/>
                <w:color w:val="000000"/>
                <w:sz w:val="18"/>
              </w:rPr>
              <w:t xml:space="preserve"> </w:t>
            </w:r>
          </w:p>
        </w:tc>
        <w:tc>
          <w:tcPr>
            <w:tcW w:w="2118" w:type="dxa"/>
            <w:tcBorders>
              <w:top w:val="nil"/>
              <w:left w:val="nil"/>
              <w:bottom w:val="double" w:sz="4" w:space="0" w:color="auto"/>
              <w:right w:val="nil"/>
            </w:tcBorders>
            <w:shd w:val="clear" w:color="auto" w:fill="auto"/>
            <w:noWrap/>
            <w:vAlign w:val="bottom"/>
            <w:hideMark/>
          </w:tcPr>
          <w:p w:rsidR="00613BFD" w:rsidRPr="00613BFD" w:rsidRDefault="00613BFD" w:rsidP="00613BFD">
            <w:pPr>
              <w:jc w:val="right"/>
              <w:rPr>
                <w:rFonts w:ascii="Arial" w:hAnsi="Arial"/>
                <w:color w:val="000000"/>
                <w:sz w:val="18"/>
              </w:rPr>
            </w:pPr>
            <w:r w:rsidRPr="00613BFD">
              <w:rPr>
                <w:rFonts w:ascii="Arial" w:hAnsi="Arial"/>
                <w:color w:val="000000"/>
                <w:sz w:val="18"/>
              </w:rPr>
              <w:t xml:space="preserve"> $</w:t>
            </w:r>
            <w:r>
              <w:rPr>
                <w:rFonts w:ascii="Arial" w:hAnsi="Arial" w:cs="Arial"/>
                <w:color w:val="000000"/>
                <w:sz w:val="18"/>
                <w:szCs w:val="18"/>
              </w:rPr>
              <w:t>107,342</w:t>
            </w:r>
            <w:r w:rsidRPr="00613BFD">
              <w:rPr>
                <w:rFonts w:ascii="Arial" w:hAnsi="Arial"/>
                <w:color w:val="000000"/>
                <w:sz w:val="18"/>
              </w:rPr>
              <w:t xml:space="preserve"> </w:t>
            </w:r>
          </w:p>
        </w:tc>
      </w:tr>
    </w:tbl>
    <w:p w:rsidR="00613BFD" w:rsidRPr="00AB24E3" w:rsidRDefault="00613BFD" w:rsidP="00AB24E3">
      <w:pPr>
        <w:pStyle w:val="FootnoteText1"/>
      </w:pPr>
    </w:p>
    <w:p w:rsidR="00613BFD" w:rsidRPr="00AB24E3" w:rsidRDefault="00613BFD" w:rsidP="00AB24E3">
      <w:pPr>
        <w:pStyle w:val="FootnoteText1"/>
      </w:pPr>
      <w:r w:rsidRPr="00AB24E3">
        <w:t>Source: Company files.</w:t>
      </w:r>
    </w:p>
    <w:p w:rsidR="00613BFD" w:rsidRDefault="00613BFD" w:rsidP="00613BFD"/>
    <w:p w:rsidR="00613BFD" w:rsidRPr="00613BFD" w:rsidRDefault="00613BFD" w:rsidP="00613BFD">
      <w:pPr>
        <w:rPr>
          <w:spacing w:val="-1"/>
          <w:sz w:val="22"/>
        </w:rPr>
      </w:pPr>
    </w:p>
    <w:p w:rsidR="00613BFD" w:rsidRPr="006524E1" w:rsidRDefault="00613BFD" w:rsidP="00AB24E3">
      <w:pPr>
        <w:pStyle w:val="Casehead1"/>
        <w:jc w:val="center"/>
      </w:pPr>
      <w:r w:rsidRPr="006524E1">
        <w:t>EXHIBIT 7: MOGO WEBSITE AND APPLICATION</w:t>
      </w:r>
    </w:p>
    <w:p w:rsidR="00613BFD" w:rsidRPr="006524E1" w:rsidRDefault="00613BFD" w:rsidP="00AB24E3">
      <w:pPr>
        <w:pStyle w:val="BodyTextMain"/>
      </w:pPr>
    </w:p>
    <w:p w:rsidR="00613BFD" w:rsidRPr="006524E1" w:rsidRDefault="00613BFD" w:rsidP="00613BFD">
      <w:pPr>
        <w:pStyle w:val="casehead20"/>
        <w:jc w:val="center"/>
      </w:pPr>
      <w:r w:rsidRPr="006524E1">
        <w:rPr>
          <w:noProof/>
          <w:lang w:val="en-GB" w:eastAsia="en-GB"/>
        </w:rPr>
        <w:drawing>
          <wp:inline distT="0" distB="0" distL="0" distR="0" wp14:anchorId="40626D25" wp14:editId="1B01EDCC">
            <wp:extent cx="4509135" cy="2441484"/>
            <wp:effectExtent l="0" t="0" r="571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4">
                      <a:extLst>
                        <a:ext uri="{BEBA8EAE-BF5A-486C-A8C5-ECC9F3942E4B}">
                          <a14:imgProps xmlns:a14="http://schemas.microsoft.com/office/drawing/2010/main">
                            <a14:imgLayer r:embed="rId15">
                              <a14:imgEffect>
                                <a14:saturation sat="0"/>
                              </a14:imgEffect>
                              <a14:imgEffect>
                                <a14:brightnessContrast contrast="40000"/>
                              </a14:imgEffect>
                            </a14:imgLayer>
                          </a14:imgProps>
                        </a:ext>
                      </a:extLst>
                    </a:blip>
                    <a:stretch>
                      <a:fillRect/>
                    </a:stretch>
                  </pic:blipFill>
                  <pic:spPr>
                    <a:xfrm>
                      <a:off x="0" y="0"/>
                      <a:ext cx="4525761" cy="2450486"/>
                    </a:xfrm>
                    <a:prstGeom prst="rect">
                      <a:avLst/>
                    </a:prstGeom>
                  </pic:spPr>
                </pic:pic>
              </a:graphicData>
            </a:graphic>
          </wp:inline>
        </w:drawing>
      </w:r>
    </w:p>
    <w:p w:rsidR="00AB24E3" w:rsidRDefault="00AB24E3">
      <w:pPr>
        <w:spacing w:after="200" w:line="276" w:lineRule="auto"/>
        <w:rPr>
          <w:sz w:val="22"/>
          <w:szCs w:val="22"/>
        </w:rPr>
      </w:pPr>
      <w:r>
        <w:br w:type="page"/>
      </w:r>
    </w:p>
    <w:p w:rsidR="00613BFD" w:rsidRPr="006524E1" w:rsidRDefault="00AB24E3" w:rsidP="00AB24E3">
      <w:pPr>
        <w:pStyle w:val="Casehead1"/>
        <w:jc w:val="center"/>
      </w:pPr>
      <w:r w:rsidRPr="006524E1">
        <w:lastRenderedPageBreak/>
        <w:t>EXHIBIT 7</w:t>
      </w:r>
      <w:r>
        <w:t xml:space="preserve"> (continued)</w:t>
      </w:r>
    </w:p>
    <w:p w:rsidR="00613BFD" w:rsidRDefault="00613BFD" w:rsidP="00AB24E3">
      <w:pPr>
        <w:pStyle w:val="BodyTextMain"/>
      </w:pPr>
    </w:p>
    <w:p w:rsidR="00AB24E3" w:rsidRDefault="00AB24E3" w:rsidP="00AB24E3">
      <w:pPr>
        <w:pStyle w:val="BodyTextMain"/>
      </w:pPr>
      <w:r w:rsidRPr="00AB24E3">
        <w:rPr>
          <w:noProof/>
          <w:lang w:val="en-GB" w:eastAsia="en-GB"/>
        </w:rPr>
        <w:drawing>
          <wp:anchor distT="0" distB="0" distL="114300" distR="114300" simplePos="0" relativeHeight="251660288" behindDoc="0" locked="0" layoutInCell="1" allowOverlap="1" wp14:anchorId="46B786F8" wp14:editId="09C1B2E9">
            <wp:simplePos x="0" y="0"/>
            <wp:positionH relativeFrom="column">
              <wp:posOffset>4044315</wp:posOffset>
            </wp:positionH>
            <wp:positionV relativeFrom="paragraph">
              <wp:posOffset>8890</wp:posOffset>
            </wp:positionV>
            <wp:extent cx="1871345" cy="3425190"/>
            <wp:effectExtent l="0" t="0" r="0" b="3810"/>
            <wp:wrapNone/>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a:extLst>
                        <a:ext uri="{BEBA8EAE-BF5A-486C-A8C5-ECC9F3942E4B}">
                          <a14:imgProps xmlns:a14="http://schemas.microsoft.com/office/drawing/2010/main">
                            <a14:imgLayer r:embed="rId17">
                              <a14:imgEffect>
                                <a14:saturation sat="0"/>
                              </a14:imgEffect>
                              <a14:imgEffect>
                                <a14:brightnessContrast contrast="20000"/>
                              </a14:imgEffect>
                            </a14:imgLayer>
                          </a14:imgProps>
                        </a:ext>
                      </a:extLst>
                    </a:blip>
                    <a:stretch>
                      <a:fillRect/>
                    </a:stretch>
                  </pic:blipFill>
                  <pic:spPr>
                    <a:xfrm>
                      <a:off x="0" y="0"/>
                      <a:ext cx="1871345" cy="3425190"/>
                    </a:xfrm>
                    <a:prstGeom prst="rect">
                      <a:avLst/>
                    </a:prstGeom>
                  </pic:spPr>
                </pic:pic>
              </a:graphicData>
            </a:graphic>
            <wp14:sizeRelH relativeFrom="margin">
              <wp14:pctWidth>0</wp14:pctWidth>
            </wp14:sizeRelH>
            <wp14:sizeRelV relativeFrom="margin">
              <wp14:pctHeight>0</wp14:pctHeight>
            </wp14:sizeRelV>
          </wp:anchor>
        </w:drawing>
      </w:r>
      <w:r w:rsidRPr="00AB24E3">
        <w:rPr>
          <w:noProof/>
          <w:lang w:val="en-GB" w:eastAsia="en-GB"/>
        </w:rPr>
        <w:drawing>
          <wp:anchor distT="0" distB="0" distL="114300" distR="114300" simplePos="0" relativeHeight="251661312" behindDoc="0" locked="0" layoutInCell="1" allowOverlap="1" wp14:anchorId="299B2AF0" wp14:editId="40CAFF78">
            <wp:simplePos x="0" y="0"/>
            <wp:positionH relativeFrom="column">
              <wp:posOffset>2056765</wp:posOffset>
            </wp:positionH>
            <wp:positionV relativeFrom="paragraph">
              <wp:posOffset>8890</wp:posOffset>
            </wp:positionV>
            <wp:extent cx="1887220" cy="3420745"/>
            <wp:effectExtent l="0" t="0" r="0" b="8255"/>
            <wp:wrapNone/>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extLst>
                        <a:ext uri="{BEBA8EAE-BF5A-486C-A8C5-ECC9F3942E4B}">
                          <a14:imgProps xmlns:a14="http://schemas.microsoft.com/office/drawing/2010/main">
                            <a14:imgLayer r:embed="rId19">
                              <a14:imgEffect>
                                <a14:saturation sat="0"/>
                              </a14:imgEffect>
                              <a14:imgEffect>
                                <a14:brightnessContrast contrast="20000"/>
                              </a14:imgEffect>
                            </a14:imgLayer>
                          </a14:imgProps>
                        </a:ext>
                      </a:extLst>
                    </a:blip>
                    <a:stretch>
                      <a:fillRect/>
                    </a:stretch>
                  </pic:blipFill>
                  <pic:spPr>
                    <a:xfrm>
                      <a:off x="0" y="0"/>
                      <a:ext cx="1887220" cy="3420745"/>
                    </a:xfrm>
                    <a:prstGeom prst="rect">
                      <a:avLst/>
                    </a:prstGeom>
                  </pic:spPr>
                </pic:pic>
              </a:graphicData>
            </a:graphic>
            <wp14:sizeRelH relativeFrom="margin">
              <wp14:pctWidth>0</wp14:pctWidth>
            </wp14:sizeRelH>
            <wp14:sizeRelV relativeFrom="margin">
              <wp14:pctHeight>0</wp14:pctHeight>
            </wp14:sizeRelV>
          </wp:anchor>
        </w:drawing>
      </w:r>
      <w:r w:rsidRPr="00AB24E3">
        <w:rPr>
          <w:noProof/>
          <w:lang w:val="en-GB" w:eastAsia="en-GB"/>
        </w:rPr>
        <w:drawing>
          <wp:anchor distT="0" distB="0" distL="114300" distR="114300" simplePos="0" relativeHeight="251659264" behindDoc="0" locked="0" layoutInCell="1" allowOverlap="1" wp14:anchorId="396C9F7E" wp14:editId="172F7639">
            <wp:simplePos x="0" y="0"/>
            <wp:positionH relativeFrom="column">
              <wp:posOffset>45085</wp:posOffset>
            </wp:positionH>
            <wp:positionV relativeFrom="paragraph">
              <wp:posOffset>-1270</wp:posOffset>
            </wp:positionV>
            <wp:extent cx="1895475" cy="3431540"/>
            <wp:effectExtent l="0" t="0" r="9525" b="0"/>
            <wp:wrapNone/>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extLst>
                        <a:ext uri="{BEBA8EAE-BF5A-486C-A8C5-ECC9F3942E4B}">
                          <a14:imgProps xmlns:a14="http://schemas.microsoft.com/office/drawing/2010/main">
                            <a14:imgLayer r:embed="rId21">
                              <a14:imgEffect>
                                <a14:saturation sat="0"/>
                              </a14:imgEffect>
                              <a14:imgEffect>
                                <a14:brightnessContrast contrast="20000"/>
                              </a14:imgEffect>
                            </a14:imgLayer>
                          </a14:imgProps>
                        </a:ext>
                      </a:extLst>
                    </a:blip>
                    <a:stretch>
                      <a:fillRect/>
                    </a:stretch>
                  </pic:blipFill>
                  <pic:spPr>
                    <a:xfrm>
                      <a:off x="0" y="0"/>
                      <a:ext cx="1895475" cy="3431540"/>
                    </a:xfrm>
                    <a:prstGeom prst="rect">
                      <a:avLst/>
                    </a:prstGeom>
                  </pic:spPr>
                </pic:pic>
              </a:graphicData>
            </a:graphic>
            <wp14:sizeRelH relativeFrom="margin">
              <wp14:pctWidth>0</wp14:pctWidth>
            </wp14:sizeRelH>
            <wp14:sizeRelV relativeFrom="margin">
              <wp14:pctHeight>0</wp14:pctHeight>
            </wp14:sizeRelV>
          </wp:anchor>
        </w:drawing>
      </w:r>
    </w:p>
    <w:p w:rsidR="00AB24E3" w:rsidRPr="006524E1" w:rsidRDefault="00AB24E3" w:rsidP="00AB24E3">
      <w:pPr>
        <w:pStyle w:val="BodyTextMain"/>
      </w:pPr>
    </w:p>
    <w:p w:rsidR="00613BFD" w:rsidRPr="00AB24E3" w:rsidRDefault="00613BFD" w:rsidP="00AB24E3">
      <w:pPr>
        <w:pStyle w:val="BodyTextMain"/>
      </w:pPr>
    </w:p>
    <w:p w:rsidR="00613BFD" w:rsidRPr="00AB24E3" w:rsidRDefault="00613BFD" w:rsidP="00AB24E3">
      <w:pPr>
        <w:pStyle w:val="BodyTextMain"/>
      </w:pPr>
    </w:p>
    <w:p w:rsidR="00613BFD" w:rsidRPr="00AB24E3" w:rsidRDefault="00613BFD" w:rsidP="00AB24E3">
      <w:pPr>
        <w:pStyle w:val="BodyTextMain"/>
      </w:pPr>
    </w:p>
    <w:p w:rsidR="00613BFD" w:rsidRPr="00AB24E3" w:rsidRDefault="00613BFD" w:rsidP="00AB24E3">
      <w:pPr>
        <w:pStyle w:val="BodyTextMain"/>
      </w:pPr>
    </w:p>
    <w:p w:rsidR="00613BFD" w:rsidRPr="00AB24E3" w:rsidRDefault="00613BFD" w:rsidP="00AB24E3">
      <w:pPr>
        <w:pStyle w:val="BodyTextMain"/>
      </w:pPr>
    </w:p>
    <w:p w:rsidR="00613BFD" w:rsidRPr="00AB24E3" w:rsidRDefault="00613BFD" w:rsidP="00AB24E3">
      <w:pPr>
        <w:pStyle w:val="BodyTextMain"/>
      </w:pPr>
    </w:p>
    <w:p w:rsidR="00613BFD" w:rsidRPr="00AB24E3" w:rsidRDefault="00613BFD" w:rsidP="00AB24E3">
      <w:pPr>
        <w:pStyle w:val="BodyTextMain"/>
      </w:pPr>
    </w:p>
    <w:p w:rsidR="00613BFD" w:rsidRPr="00AB24E3" w:rsidRDefault="00613BFD" w:rsidP="00AB24E3">
      <w:pPr>
        <w:pStyle w:val="BodyTextMain"/>
      </w:pPr>
    </w:p>
    <w:p w:rsidR="00613BFD" w:rsidRPr="00AB24E3" w:rsidRDefault="00613BFD" w:rsidP="00AB24E3">
      <w:pPr>
        <w:pStyle w:val="BodyTextMain"/>
      </w:pPr>
    </w:p>
    <w:p w:rsidR="00613BFD" w:rsidRDefault="00613BFD" w:rsidP="00AB24E3">
      <w:pPr>
        <w:pStyle w:val="BodyTextMain"/>
      </w:pPr>
    </w:p>
    <w:p w:rsidR="00AB24E3" w:rsidRDefault="00AB24E3" w:rsidP="00AB24E3">
      <w:pPr>
        <w:pStyle w:val="BodyTextMain"/>
      </w:pPr>
    </w:p>
    <w:p w:rsidR="00AB24E3" w:rsidRDefault="00AB24E3" w:rsidP="00AB24E3">
      <w:pPr>
        <w:pStyle w:val="BodyTextMain"/>
      </w:pPr>
    </w:p>
    <w:p w:rsidR="00AB24E3" w:rsidRDefault="00AB24E3" w:rsidP="00AB24E3">
      <w:pPr>
        <w:pStyle w:val="BodyTextMain"/>
      </w:pPr>
    </w:p>
    <w:p w:rsidR="00AB24E3" w:rsidRDefault="00AB24E3" w:rsidP="00AB24E3">
      <w:pPr>
        <w:pStyle w:val="BodyTextMain"/>
      </w:pPr>
    </w:p>
    <w:p w:rsidR="00AB24E3" w:rsidRDefault="00AB24E3" w:rsidP="00AB24E3">
      <w:pPr>
        <w:pStyle w:val="BodyTextMain"/>
      </w:pPr>
    </w:p>
    <w:p w:rsidR="00AB24E3" w:rsidRPr="00AB24E3" w:rsidRDefault="00AB24E3" w:rsidP="00AB24E3">
      <w:pPr>
        <w:pStyle w:val="BodyTextMain"/>
      </w:pPr>
    </w:p>
    <w:p w:rsidR="00613BFD" w:rsidRPr="00AB24E3" w:rsidRDefault="00613BFD" w:rsidP="00AB24E3">
      <w:pPr>
        <w:pStyle w:val="BodyTextMain"/>
      </w:pPr>
    </w:p>
    <w:p w:rsidR="00613BFD" w:rsidRPr="00AB24E3" w:rsidRDefault="00613BFD" w:rsidP="00AB24E3">
      <w:pPr>
        <w:pStyle w:val="BodyTextMain"/>
      </w:pPr>
    </w:p>
    <w:p w:rsidR="00613BFD" w:rsidRPr="00AB24E3" w:rsidRDefault="00613BFD" w:rsidP="00AB24E3">
      <w:pPr>
        <w:pStyle w:val="BodyTextMain"/>
      </w:pPr>
    </w:p>
    <w:p w:rsidR="00613BFD" w:rsidRPr="00AB24E3" w:rsidRDefault="00613BFD" w:rsidP="00AB24E3">
      <w:pPr>
        <w:pStyle w:val="FootnoteText1"/>
      </w:pPr>
    </w:p>
    <w:p w:rsidR="00613BFD" w:rsidRPr="00AB24E3" w:rsidRDefault="00613BFD" w:rsidP="00AB24E3">
      <w:pPr>
        <w:pStyle w:val="FootnoteText1"/>
      </w:pPr>
      <w:r w:rsidRPr="00AB24E3">
        <w:t>Source: Company files.</w:t>
      </w:r>
    </w:p>
    <w:p w:rsidR="00613BFD" w:rsidRDefault="00613BFD" w:rsidP="00613BFD">
      <w:pPr>
        <w:rPr>
          <w:noProof/>
          <w:spacing w:val="-1"/>
          <w:sz w:val="22"/>
          <w:szCs w:val="22"/>
        </w:rPr>
      </w:pPr>
    </w:p>
    <w:p w:rsidR="00AB24E3" w:rsidRPr="006524E1" w:rsidRDefault="00AB24E3" w:rsidP="00613BFD">
      <w:pPr>
        <w:rPr>
          <w:noProof/>
          <w:spacing w:val="-1"/>
          <w:sz w:val="22"/>
          <w:szCs w:val="22"/>
        </w:rPr>
      </w:pPr>
    </w:p>
    <w:p w:rsidR="00613BFD" w:rsidRPr="006524E1" w:rsidRDefault="00613BFD" w:rsidP="00AB24E3">
      <w:pPr>
        <w:pStyle w:val="Casehead1"/>
        <w:jc w:val="center"/>
      </w:pPr>
      <w:r w:rsidRPr="006524E1">
        <w:t>EXHIBIT 8: MOGO’S ORGANIZATIONAL STRUCTURE</w:t>
      </w:r>
    </w:p>
    <w:p w:rsidR="00613BFD" w:rsidRPr="00613BFD" w:rsidRDefault="00613BFD" w:rsidP="00AB24E3">
      <w:pPr>
        <w:pStyle w:val="BodyTextMain"/>
      </w:pPr>
    </w:p>
    <w:p w:rsidR="00613BFD" w:rsidRPr="006524E1" w:rsidRDefault="00613BFD" w:rsidP="00613BFD">
      <w:pPr>
        <w:pStyle w:val="BodyText"/>
        <w:jc w:val="center"/>
        <w:rPr>
          <w:noProof/>
        </w:rPr>
      </w:pPr>
      <w:r>
        <w:rPr>
          <w:noProof/>
          <w:lang w:val="en-GB" w:eastAsia="en-GB"/>
        </w:rPr>
        <w:drawing>
          <wp:inline distT="0" distB="0" distL="0" distR="0" wp14:anchorId="07F3BA8D" wp14:editId="2C4860A1">
            <wp:extent cx="5355495" cy="1630680"/>
            <wp:effectExtent l="0" t="0" r="0" b="7620"/>
            <wp:docPr id="2" name="Picture 2" descr="org%20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20structur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46836" cy="1658492"/>
                    </a:xfrm>
                    <a:prstGeom prst="rect">
                      <a:avLst/>
                    </a:prstGeom>
                    <a:noFill/>
                    <a:ln>
                      <a:noFill/>
                    </a:ln>
                  </pic:spPr>
                </pic:pic>
              </a:graphicData>
            </a:graphic>
          </wp:inline>
        </w:drawing>
      </w:r>
    </w:p>
    <w:p w:rsidR="00613BFD" w:rsidRPr="006524E1" w:rsidRDefault="00613BFD" w:rsidP="00AB24E3">
      <w:pPr>
        <w:pStyle w:val="FootnoteText1"/>
        <w:rPr>
          <w:noProof/>
        </w:rPr>
      </w:pPr>
    </w:p>
    <w:p w:rsidR="00613BFD" w:rsidRPr="0008375E" w:rsidRDefault="00613BFD" w:rsidP="00AB24E3">
      <w:pPr>
        <w:pStyle w:val="FootnoteText1"/>
        <w:rPr>
          <w:noProof/>
        </w:rPr>
      </w:pPr>
      <w:r w:rsidRPr="00613BFD">
        <w:t>Source: Company files.</w:t>
      </w:r>
    </w:p>
    <w:p w:rsidR="00613BFD" w:rsidRPr="00AB24E3" w:rsidRDefault="00613BFD" w:rsidP="00AB24E3">
      <w:pPr>
        <w:pStyle w:val="BodyTextMain"/>
      </w:pPr>
    </w:p>
    <w:p w:rsidR="00613BFD" w:rsidRPr="00AB24E3" w:rsidRDefault="00613BFD" w:rsidP="00AB24E3">
      <w:pPr>
        <w:pStyle w:val="BodyTextMain"/>
      </w:pPr>
      <w:r w:rsidRPr="00AB24E3">
        <w:br w:type="page"/>
      </w:r>
    </w:p>
    <w:p w:rsidR="00613BFD" w:rsidRDefault="00613BFD" w:rsidP="00613BFD">
      <w:pPr>
        <w:pStyle w:val="casehead10"/>
        <w:outlineLvl w:val="0"/>
        <w:rPr>
          <w:noProof/>
        </w:rPr>
      </w:pPr>
      <w:r>
        <w:rPr>
          <w:noProof/>
        </w:rPr>
        <w:lastRenderedPageBreak/>
        <w:t>Endnotes</w:t>
      </w:r>
    </w:p>
    <w:sectPr w:rsidR="00613BFD" w:rsidSect="00F35495">
      <w:headerReference w:type="default" r:id="rId23"/>
      <w:endnotePr>
        <w:numFmt w:val="decimal"/>
      </w:endnotePr>
      <w:type w:val="continuous"/>
      <w:pgSz w:w="12240" w:h="15840" w:code="1"/>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3BFD" w:rsidRDefault="00613BFD" w:rsidP="00D75295">
      <w:r>
        <w:separator/>
      </w:r>
    </w:p>
  </w:endnote>
  <w:endnote w:type="continuationSeparator" w:id="0">
    <w:p w:rsidR="00613BFD" w:rsidRDefault="00613BFD" w:rsidP="00D75295">
      <w:r>
        <w:continuationSeparator/>
      </w:r>
    </w:p>
  </w:endnote>
  <w:endnote w:id="1">
    <w:p w:rsidR="00613BFD" w:rsidRPr="000A1C6D" w:rsidRDefault="00613BFD" w:rsidP="000A1C6D">
      <w:pPr>
        <w:pStyle w:val="FootnoteText1"/>
      </w:pPr>
      <w:r w:rsidRPr="000A1C6D">
        <w:rPr>
          <w:rStyle w:val="EndnoteReference"/>
        </w:rPr>
        <w:endnoteRef/>
      </w:r>
      <w:r w:rsidRPr="000A1C6D">
        <w:t xml:space="preserve"> </w:t>
      </w:r>
      <w:r w:rsidRPr="000A1C6D">
        <w:rPr>
          <w:rFonts w:eastAsiaTheme="minorEastAsia"/>
        </w:rPr>
        <w:t>All currency amounts are in CA$ unless otherwise specified; CA$1 = US$0.0.81 on January 31, 2018.</w:t>
      </w:r>
    </w:p>
  </w:endnote>
  <w:endnote w:id="2">
    <w:p w:rsidR="00613BFD" w:rsidRPr="000A1C6D" w:rsidRDefault="00613BFD" w:rsidP="000A1C6D">
      <w:pPr>
        <w:pStyle w:val="FootnoteText1"/>
      </w:pPr>
      <w:r w:rsidRPr="000A1C6D">
        <w:rPr>
          <w:rStyle w:val="EndnoteReference"/>
        </w:rPr>
        <w:endnoteRef/>
      </w:r>
      <w:r w:rsidRPr="000A1C6D">
        <w:t xml:space="preserve"> Michael Burt, Kristelle Audet, and Greg Sutherland, “Ensuring the Future: Understanding the Importance of Toronto’s Financial Services Sector,” The Conference Board of Canada,</w:t>
      </w:r>
      <w:r w:rsidRPr="000A1C6D" w:rsidDel="00B808D3">
        <w:t xml:space="preserve"> </w:t>
      </w:r>
      <w:r w:rsidRPr="000A1C6D">
        <w:t>3-33, November 2013, accessed March 4, 2017, www.tfsa.ca/storage/reports/Ensuring%20the%20Future%20-%20Understanding%20the%20Importance%20of%20Toronto’s%20Financial%20Services%20Sector.pdf.</w:t>
      </w:r>
    </w:p>
  </w:endnote>
  <w:endnote w:id="3">
    <w:p w:rsidR="00613BFD" w:rsidRPr="000A1C6D" w:rsidRDefault="00613BFD" w:rsidP="000A1C6D">
      <w:pPr>
        <w:pStyle w:val="FootnoteText1"/>
      </w:pPr>
      <w:r w:rsidRPr="000A1C6D">
        <w:rPr>
          <w:rStyle w:val="EndnoteReference"/>
        </w:rPr>
        <w:endnoteRef/>
      </w:r>
      <w:r w:rsidRPr="000A1C6D">
        <w:t xml:space="preserve"> PricewaterhouseCoopers, Canadian Banks 201, 2017, accessed February 3, 2018 https://www.pwc.com/ca/en/industries/banking-capital-markets/canadian-banks-2017.html</w:t>
      </w:r>
    </w:p>
  </w:endnote>
  <w:endnote w:id="4">
    <w:p w:rsidR="00613BFD" w:rsidRPr="000A1C6D" w:rsidRDefault="00613BFD" w:rsidP="000A1C6D">
      <w:pPr>
        <w:pStyle w:val="FootnoteText1"/>
      </w:pPr>
      <w:r w:rsidRPr="000A1C6D">
        <w:rPr>
          <w:rStyle w:val="EndnoteReference"/>
        </w:rPr>
        <w:endnoteRef/>
      </w:r>
      <w:r w:rsidRPr="000A1C6D">
        <w:t xml:space="preserve"> Michael Burt, “An Engine for Growth: Report Card on Canada and Toronto’s Financial Services Sector,” The Conference Board of Canada, 1-23, November 2016, accessed March 4, 2017, www.tfsa.ca/storage/reports/EngineforGrowthFinancialServicesStateoftheSector2016.pdf.</w:t>
      </w:r>
    </w:p>
  </w:endnote>
  <w:endnote w:id="5">
    <w:p w:rsidR="00613BFD" w:rsidRPr="000A1C6D" w:rsidRDefault="00613BFD" w:rsidP="000A1C6D">
      <w:pPr>
        <w:pStyle w:val="FootnoteText1"/>
      </w:pPr>
      <w:r w:rsidRPr="000A1C6D">
        <w:rPr>
          <w:rStyle w:val="EndnoteReference"/>
        </w:rPr>
        <w:endnoteRef/>
      </w:r>
      <w:r w:rsidRPr="000A1C6D">
        <w:t xml:space="preserve"> The Conference Board of Canada, “The Financial Services Sector: A Source of Growth for Canada’s Economy,” November 26, 2015, accessed March 8, 2017, www.conferenceboard.ca/press/newsrelease/15-11-26/the_financial_services_sector_a_source_of_growth_for_canada_s_economy.aspx.</w:t>
      </w:r>
    </w:p>
  </w:endnote>
  <w:endnote w:id="6">
    <w:p w:rsidR="00613BFD" w:rsidRPr="000A1C6D" w:rsidRDefault="00613BFD" w:rsidP="000A1C6D">
      <w:pPr>
        <w:pStyle w:val="FootnoteText1"/>
      </w:pPr>
      <w:r w:rsidRPr="000A1C6D">
        <w:rPr>
          <w:rStyle w:val="EndnoteReference"/>
        </w:rPr>
        <w:endnoteRef/>
      </w:r>
      <w:r w:rsidRPr="000A1C6D">
        <w:t xml:space="preserve"> Wong. Craig, “Canada’s Household Debt Burden Hits Record</w:t>
      </w:r>
      <w:r w:rsidR="000A1C6D">
        <w:t>,</w:t>
      </w:r>
      <w:r w:rsidRPr="000A1C6D">
        <w:t xml:space="preserve">” </w:t>
      </w:r>
      <w:r w:rsidRPr="000A1C6D">
        <w:rPr>
          <w:i/>
        </w:rPr>
        <w:t>Globe and Mail</w:t>
      </w:r>
      <w:r w:rsidRPr="000A1C6D">
        <w:t>, September 15 2017, accessed February 2018, https://www.theglobeandmail.com/report-on-business/economy/canadas-household-debt-to-disposable-income-ratio-climbs/article36275898/.</w:t>
      </w:r>
    </w:p>
  </w:endnote>
  <w:endnote w:id="7">
    <w:p w:rsidR="00613BFD" w:rsidRPr="000A1C6D" w:rsidRDefault="00613BFD" w:rsidP="000A1C6D">
      <w:pPr>
        <w:pStyle w:val="FootnoteText1"/>
      </w:pPr>
      <w:r w:rsidRPr="000A1C6D">
        <w:rPr>
          <w:rStyle w:val="EndnoteReference"/>
        </w:rPr>
        <w:endnoteRef/>
      </w:r>
      <w:r w:rsidRPr="000A1C6D">
        <w:t xml:space="preserve"> “FIS Consumer Banking PACE Index 2016”, 2016, accessed February 3, 2018, https://www.fisglobal.com/closethegaps.</w:t>
      </w:r>
    </w:p>
  </w:endnote>
  <w:endnote w:id="8">
    <w:p w:rsidR="00613BFD" w:rsidRPr="000A1C6D" w:rsidRDefault="00613BFD" w:rsidP="000A1C6D">
      <w:pPr>
        <w:pStyle w:val="FootnoteText1"/>
      </w:pPr>
      <w:r w:rsidRPr="000A1C6D">
        <w:rPr>
          <w:rStyle w:val="EndnoteReference"/>
        </w:rPr>
        <w:endnoteRef/>
      </w:r>
      <w:r w:rsidRPr="000A1C6D">
        <w:t xml:space="preserve"> </w:t>
      </w:r>
      <w:r w:rsidRPr="000A1C6D">
        <w:rPr>
          <w:rStyle w:val="EndnoteReference"/>
          <w:vertAlign w:val="baseline"/>
        </w:rPr>
        <w:t>Ernst &amp; Young</w:t>
      </w:r>
      <w:r w:rsidRPr="000A1C6D">
        <w:t>, Understanding Customer Behavior in Retail Banking: The Impact of the Credit Crisis across Europe, February 2010, accessed March 8, 2017, 1-18, www.ey.com/Publication/vwLUAssets/Understanding_customer_behavior_in_retail_banking_-_February_2010/$FILE/EY_Understanding_customer_behavior_in_retail_banking_-_February_2010.pdf.</w:t>
      </w:r>
    </w:p>
  </w:endnote>
  <w:endnote w:id="9">
    <w:p w:rsidR="00613BFD" w:rsidRPr="000A1C6D" w:rsidRDefault="00613BFD" w:rsidP="000A1C6D">
      <w:pPr>
        <w:pStyle w:val="FootnoteText1"/>
      </w:pPr>
      <w:r w:rsidRPr="000A1C6D">
        <w:rPr>
          <w:rStyle w:val="EndnoteReference"/>
        </w:rPr>
        <w:endnoteRef/>
      </w:r>
      <w:r w:rsidRPr="000A1C6D">
        <w:t xml:space="preserve"> </w:t>
      </w:r>
      <w:r w:rsidRPr="000A1C6D">
        <w:rPr>
          <w:rStyle w:val="EndnoteReference"/>
          <w:vertAlign w:val="baseline"/>
        </w:rPr>
        <w:t>Ernst &amp; Young</w:t>
      </w:r>
      <w:r w:rsidRPr="000A1C6D">
        <w:t>, Winning through Customer Experience: EY Global Consumer Banking Survey 2014, 2014, accessed March 8, 2017, 3-15, www.ey.com/Publication/vwLUAssets/EY_-_Global_Consumer_Banking_Survey_2014/$FILE/EY-Global-Consumer-Banking-Survey-2014.pdf.</w:t>
      </w:r>
    </w:p>
  </w:endnote>
  <w:endnote w:id="10">
    <w:p w:rsidR="00613BFD" w:rsidRPr="000A1C6D" w:rsidRDefault="00613BFD" w:rsidP="000A1C6D">
      <w:pPr>
        <w:pStyle w:val="FootnoteText1"/>
      </w:pPr>
      <w:r w:rsidRPr="000A1C6D">
        <w:rPr>
          <w:rStyle w:val="EndnoteReference"/>
        </w:rPr>
        <w:endnoteRef/>
      </w:r>
      <w:r w:rsidRPr="000A1C6D">
        <w:t xml:space="preserve"> Amanda Reaume, “How Canada’s Big Five Banks Are Investing in FinTech,” RateSupermarket.ca, November 3, 2015, accessed March 10, 2017, www.ratesupermarket.ca/blog/how-canadas-big-five-banks-are-investing-in-fintech</w:t>
      </w:r>
      <w:r w:rsidR="000A1C6D">
        <w:t>.</w:t>
      </w:r>
    </w:p>
  </w:endnote>
  <w:endnote w:id="11">
    <w:p w:rsidR="00613BFD" w:rsidRPr="000A1C6D" w:rsidRDefault="00613BFD" w:rsidP="000A1C6D">
      <w:pPr>
        <w:pStyle w:val="FootnoteText1"/>
      </w:pPr>
      <w:r w:rsidRPr="000A1C6D">
        <w:rPr>
          <w:rStyle w:val="EndnoteReference"/>
        </w:rPr>
        <w:endnoteRef/>
      </w:r>
      <w:r w:rsidRPr="000A1C6D">
        <w:t xml:space="preserve"> Roman Regelman, Derek Hayes, Olivier Morbé, Julia Lingel, and Michal Reshef, “How Digitized Customer Journeys Can Help Banks Win Hearts, Minds, and Profits,” BCG Perspectives, June 2, 2016, accessed March 8, 2017, www.bcgperspectives.com/content/articles/financial-institutions-technology-digital-how-digitized-customer-journeys-help-banks-win-hearts-minds-profits/.</w:t>
      </w:r>
    </w:p>
  </w:endnote>
  <w:endnote w:id="12">
    <w:p w:rsidR="00613BFD" w:rsidRPr="000A1C6D" w:rsidRDefault="00613BFD" w:rsidP="000A1C6D">
      <w:pPr>
        <w:pStyle w:val="FootnoteText1"/>
      </w:pPr>
      <w:r w:rsidRPr="000A1C6D">
        <w:rPr>
          <w:rStyle w:val="EndnoteReference"/>
        </w:rPr>
        <w:endnoteRef/>
      </w:r>
      <w:r w:rsidRPr="000A1C6D">
        <w:t xml:space="preserve"> Brad Bergan, “TD Bank Launches Moven-Powered MySpend to Help Canadians Spend Wisely,” Bank Innovation, April 15, 2016, accessed March 8, 2017, http://bankinnovation.net/2016/04/td-bank-launches-moven-powered-myspend-to-help-canadians-spend-wisely/.</w:t>
      </w:r>
    </w:p>
  </w:endnote>
  <w:endnote w:id="13">
    <w:p w:rsidR="00613BFD" w:rsidRPr="000A1C6D" w:rsidRDefault="00613BFD" w:rsidP="000A1C6D">
      <w:pPr>
        <w:pStyle w:val="FootnoteText1"/>
      </w:pPr>
      <w:r w:rsidRPr="000A1C6D">
        <w:rPr>
          <w:rStyle w:val="EndnoteReference"/>
        </w:rPr>
        <w:endnoteRef/>
      </w:r>
      <w:r w:rsidRPr="000A1C6D">
        <w:t xml:space="preserve"> Alexandra Posadski, “Scotiabank Launches ‘Digital Factory,’</w:t>
      </w:r>
      <w:r w:rsidR="000A1C6D">
        <w:t>”</w:t>
      </w:r>
      <w:r w:rsidRPr="000A1C6D">
        <w:t xml:space="preserve"> </w:t>
      </w:r>
      <w:r w:rsidRPr="000A1C6D">
        <w:rPr>
          <w:i/>
        </w:rPr>
        <w:t>Globe and Mail</w:t>
      </w:r>
      <w:r w:rsidRPr="000A1C6D">
        <w:t>, October 16, 2015, accessed March 4, 2017, https://theglobeandmail.com/report-on-business/scotiabank-launches-digital-factory-that-will-house-350-tech-jobs/article26843317.</w:t>
      </w:r>
    </w:p>
  </w:endnote>
  <w:endnote w:id="14">
    <w:p w:rsidR="00613BFD" w:rsidRPr="000A1C6D" w:rsidRDefault="00613BFD" w:rsidP="000A1C6D">
      <w:pPr>
        <w:pStyle w:val="FootnoteText1"/>
      </w:pPr>
      <w:r w:rsidRPr="000A1C6D">
        <w:rPr>
          <w:rStyle w:val="EndnoteReference"/>
        </w:rPr>
        <w:endnoteRef/>
      </w:r>
      <w:r w:rsidRPr="000A1C6D">
        <w:t xml:space="preserve"> Jonathan Woods, “How Banks are Making Friends with Fintech,” BetaKit, August 29, 2016, accessed March 4, 2017, http://betakit.com/how-banks-are-making-friends-with-fintech/.</w:t>
      </w:r>
    </w:p>
  </w:endnote>
  <w:endnote w:id="15">
    <w:p w:rsidR="00613BFD" w:rsidRPr="000A1C6D" w:rsidRDefault="00613BFD" w:rsidP="000A1C6D">
      <w:pPr>
        <w:pStyle w:val="FootnoteText1"/>
      </w:pPr>
      <w:r w:rsidRPr="000A1C6D">
        <w:rPr>
          <w:rStyle w:val="EndnoteReference"/>
        </w:rPr>
        <w:endnoteRef/>
      </w:r>
      <w:r w:rsidRPr="000A1C6D">
        <w:t xml:space="preserve"> Murad Hemmadi, “How Canadian Startups Are Changing the Way We Bank,” </w:t>
      </w:r>
      <w:r w:rsidRPr="000A1C6D">
        <w:rPr>
          <w:i/>
        </w:rPr>
        <w:t>Canadian Business</w:t>
      </w:r>
      <w:r w:rsidRPr="000A1C6D">
        <w:t>, June 15, 2015, accessed March 14, 2017, www.canadianbusiness.com/innovation/how-canadian-startups-are-changing-the-way-we-bank/.</w:t>
      </w:r>
    </w:p>
  </w:endnote>
  <w:endnote w:id="16">
    <w:p w:rsidR="00613BFD" w:rsidRPr="000A1C6D" w:rsidRDefault="00613BFD" w:rsidP="000A1C6D">
      <w:pPr>
        <w:pStyle w:val="FootnoteText1"/>
      </w:pPr>
      <w:r w:rsidRPr="000A1C6D">
        <w:rPr>
          <w:rStyle w:val="EndnoteReference"/>
        </w:rPr>
        <w:endnoteRef/>
      </w:r>
      <w:r w:rsidRPr="000A1C6D">
        <w:t xml:space="preserve"> Digital Finance Institute; McCarthy Tétrault LLP, FinTech in Canada: British Columbia Edition 2016, 2016, accessed March 17, 2017, www.digitalfinanceinstitute.org/wp-content/uploads/2016/09/Fintech-Report-2016-1.pdf.</w:t>
      </w:r>
    </w:p>
  </w:endnote>
  <w:endnote w:id="17">
    <w:p w:rsidR="00613BFD" w:rsidRPr="000A1C6D" w:rsidRDefault="00613BFD" w:rsidP="000A1C6D">
      <w:pPr>
        <w:pStyle w:val="FootnoteText1"/>
      </w:pPr>
      <w:r w:rsidRPr="000A1C6D">
        <w:rPr>
          <w:rStyle w:val="EndnoteReference"/>
        </w:rPr>
        <w:endnoteRef/>
      </w:r>
      <w:r w:rsidRPr="000A1C6D">
        <w:t xml:space="preserve"> Anderson, Tyler, “Canadian Fintechs Shine as Venture Capital-Backed Investments Hit Highest Level in Nearly Two Decades,” </w:t>
      </w:r>
      <w:r w:rsidRPr="000A1C6D">
        <w:rPr>
          <w:i/>
        </w:rPr>
        <w:t>Financial Post</w:t>
      </w:r>
      <w:r w:rsidRPr="000A1C6D">
        <w:t>, January 3, 2017, accessed March 25, 2017, http://business.financialpost.com/fp-tech-desk/canadian-fintechs-shine-as-venture-capital-backed-investments-hit-highest-level-in-nearly-two-decades?__lsa=2b78-d9d5</w:t>
      </w:r>
      <w:r w:rsidRPr="000A1C6D">
        <w:rPr>
          <w:rStyle w:val="Hyperlink"/>
          <w:color w:val="auto"/>
          <w:u w:val="none"/>
        </w:rPr>
        <w:t>.</w:t>
      </w:r>
    </w:p>
  </w:endnote>
  <w:endnote w:id="18">
    <w:p w:rsidR="00613BFD" w:rsidRPr="000A1C6D" w:rsidRDefault="00613BFD" w:rsidP="000A1C6D">
      <w:pPr>
        <w:pStyle w:val="FootnoteText1"/>
      </w:pPr>
      <w:r w:rsidRPr="000A1C6D">
        <w:rPr>
          <w:rStyle w:val="EndnoteReference"/>
        </w:rPr>
        <w:endnoteRef/>
      </w:r>
      <w:r w:rsidRPr="000A1C6D">
        <w:t xml:space="preserve"> Madhvi Mavadiya, “Does the 2017 Canada Hype Include Fintech?” Forbes, February 23, 2017, accessed March 4, 2017, www.forbes.com/sites/madhvimavadiya/2017/02/23/canada-hype-fintech/#1d16b58d7517.</w:t>
      </w:r>
    </w:p>
  </w:endnote>
  <w:endnote w:id="19">
    <w:p w:rsidR="00613BFD" w:rsidRPr="000A1C6D" w:rsidRDefault="00613BFD" w:rsidP="000A1C6D">
      <w:pPr>
        <w:pStyle w:val="FootnoteText1"/>
      </w:pPr>
      <w:r w:rsidRPr="000A1C6D">
        <w:rPr>
          <w:rStyle w:val="EndnoteReference"/>
        </w:rPr>
        <w:endnoteRef/>
      </w:r>
      <w:r w:rsidRPr="000A1C6D">
        <w:t xml:space="preserve"> Ernst &amp; Young, “Fintech Adoption Index,” ey.com, 2017, accessed February 3, 2018, http://www.ey.com/Publication/vwLUAssets/ey-fintech-exec-summary-2017/$FILE/ey-fintech-exec-summary-2017.pdf.</w:t>
      </w:r>
    </w:p>
  </w:endnote>
  <w:endnote w:id="20">
    <w:p w:rsidR="00613BFD" w:rsidRPr="000A1C6D" w:rsidRDefault="00613BFD" w:rsidP="000A1C6D">
      <w:pPr>
        <w:pStyle w:val="FootnoteText1"/>
      </w:pPr>
      <w:r w:rsidRPr="000A1C6D">
        <w:rPr>
          <w:rStyle w:val="EndnoteReference"/>
        </w:rPr>
        <w:endnoteRef/>
      </w:r>
      <w:r w:rsidRPr="000A1C6D">
        <w:t xml:space="preserve"> Statistics Canada, “Consumer Credit, Excluding Mortgages”. November 27, 2015, accessed February 3, 2018</w:t>
      </w:r>
      <w:r w:rsidR="00A3181F">
        <w:t>,</w:t>
      </w:r>
      <w:r w:rsidRPr="000A1C6D">
        <w:t xml:space="preserve"> http://www.statcan.gc.ca/tables-tableaux/sum-som/l01/cst01/fin20-eng.htm</w:t>
      </w:r>
      <w:r w:rsidR="000A1C6D">
        <w:t>.</w:t>
      </w:r>
    </w:p>
  </w:endnote>
  <w:endnote w:id="21">
    <w:p w:rsidR="00613BFD" w:rsidRPr="000A1C6D" w:rsidRDefault="00613BFD" w:rsidP="000A1C6D">
      <w:pPr>
        <w:pStyle w:val="FootnoteText1"/>
      </w:pPr>
      <w:r w:rsidRPr="000A1C6D">
        <w:rPr>
          <w:rStyle w:val="EndnoteReference"/>
        </w:rPr>
        <w:endnoteRef/>
      </w:r>
      <w:r w:rsidRPr="000A1C6D">
        <w:t xml:space="preserve"> Payday lenders were companies that offered small, short-term, unsecured loans at high interest rates. Applicants did not require prime credit scores and could obtain the funds in one business day. </w:t>
      </w:r>
    </w:p>
  </w:endnote>
  <w:endnote w:id="22">
    <w:p w:rsidR="00613BFD" w:rsidRPr="000A1C6D" w:rsidRDefault="00613BFD" w:rsidP="000A1C6D">
      <w:pPr>
        <w:pStyle w:val="FootnoteText1"/>
      </w:pPr>
      <w:r w:rsidRPr="000A1C6D">
        <w:rPr>
          <w:rStyle w:val="EndnoteReference"/>
        </w:rPr>
        <w:endnoteRef/>
      </w:r>
      <w:r w:rsidRPr="000A1C6D">
        <w:t xml:space="preserve"> Bank of Canada, “Household Credit,” 2017, accessed March 25, 2017, http://credit.bankofcanada.ca/householdcredit.</w:t>
      </w:r>
    </w:p>
  </w:endnote>
  <w:endnote w:id="23">
    <w:p w:rsidR="00613BFD" w:rsidRPr="000A1C6D" w:rsidRDefault="00613BFD" w:rsidP="000A1C6D">
      <w:pPr>
        <w:pStyle w:val="FootnoteText1"/>
      </w:pPr>
      <w:r w:rsidRPr="000A1C6D">
        <w:rPr>
          <w:rStyle w:val="EndnoteReference"/>
        </w:rPr>
        <w:endnoteRef/>
      </w:r>
      <w:r w:rsidRPr="000A1C6D">
        <w:t xml:space="preserve"> Shadow banks were financial intermediaries; they were not subject to the same regulations as traditional banks because they did not accept deposits.</w:t>
      </w:r>
    </w:p>
  </w:endnote>
  <w:endnote w:id="24">
    <w:p w:rsidR="00613BFD" w:rsidRPr="000A1C6D" w:rsidRDefault="00613BFD" w:rsidP="000A1C6D">
      <w:pPr>
        <w:pStyle w:val="FootnoteText1"/>
      </w:pPr>
      <w:r w:rsidRPr="000A1C6D">
        <w:rPr>
          <w:rStyle w:val="EndnoteReference"/>
        </w:rPr>
        <w:endnoteRef/>
      </w:r>
      <w:r w:rsidRPr="000A1C6D">
        <w:t xml:space="preserve"> Benjamin Tal, “Household Borrowing: Elevated, but Slowing,” CIBC; In Focus, February 2, 2017, accessed March 10, 2017, https://economics.cibccm.com/economicsweb/cds?ID=2272&amp;TYPE=EC_pdf.</w:t>
      </w:r>
    </w:p>
  </w:endnote>
  <w:endnote w:id="25">
    <w:p w:rsidR="00613BFD" w:rsidRPr="000A1C6D" w:rsidRDefault="00613BFD" w:rsidP="000A1C6D">
      <w:pPr>
        <w:pStyle w:val="FootnoteText1"/>
      </w:pPr>
      <w:r w:rsidRPr="000A1C6D">
        <w:rPr>
          <w:rStyle w:val="EndnoteReference"/>
        </w:rPr>
        <w:endnoteRef/>
      </w:r>
      <w:r w:rsidRPr="000A1C6D">
        <w:t xml:space="preserve"> Borden Ladner Gervais, Regulating Fintech in Canada, October 2016, accessed March 12, 2017, http://blg.com/en/News-And-Publications/Documents/Publication_4717.pdf?utm_source=Mondaq&amp;utm_medium=syndication&amp;utm_campaign=View-Original.</w:t>
      </w:r>
    </w:p>
  </w:endnote>
  <w:endnote w:id="26">
    <w:p w:rsidR="00613BFD" w:rsidRPr="000A1C6D" w:rsidRDefault="00613BFD" w:rsidP="000A1C6D">
      <w:pPr>
        <w:pStyle w:val="FootnoteText1"/>
      </w:pPr>
      <w:r w:rsidRPr="000A1C6D">
        <w:rPr>
          <w:rStyle w:val="EndnoteReference"/>
        </w:rPr>
        <w:endnoteRef/>
      </w:r>
      <w:r w:rsidRPr="000A1C6D">
        <w:t xml:space="preserve"> PayPal Holdings, Inc, 2015 Form 10K, January 2015, accessed March 12, 2017, https://investor.paypal-corp.com/secfiling.cfm?filingID=1633917-16-113&amp;CIK=1633917.</w:t>
      </w:r>
    </w:p>
  </w:endnote>
  <w:endnote w:id="27">
    <w:p w:rsidR="00613BFD" w:rsidRPr="000A1C6D" w:rsidRDefault="00613BFD" w:rsidP="000A1C6D">
      <w:pPr>
        <w:pStyle w:val="FootnoteText1"/>
      </w:pPr>
      <w:r w:rsidRPr="000A1C6D">
        <w:rPr>
          <w:rStyle w:val="EndnoteReference"/>
        </w:rPr>
        <w:endnoteRef/>
      </w:r>
      <w:r w:rsidRPr="000A1C6D">
        <w:t xml:space="preserve"> Apple Inc., 2015 Form 10-K, January 2015, accessed March 12, 2017, http://investor.apple.com/secfiling.cfm?filingid=1193125-14-383437.</w:t>
      </w:r>
    </w:p>
  </w:endnote>
  <w:endnote w:id="28">
    <w:p w:rsidR="00613BFD" w:rsidRPr="000A1C6D" w:rsidRDefault="00613BFD" w:rsidP="000A1C6D">
      <w:pPr>
        <w:pStyle w:val="FootnoteText1"/>
      </w:pPr>
      <w:r w:rsidRPr="000A1C6D">
        <w:rPr>
          <w:rStyle w:val="EndnoteReference"/>
        </w:rPr>
        <w:endnoteRef/>
      </w:r>
      <w:r w:rsidRPr="000A1C6D">
        <w:t xml:space="preserve"> Geoff Zochodne, “Koho Locks Down $8M Investment from Desmarais-Backed Venture Fund,” </w:t>
      </w:r>
      <w:r w:rsidRPr="000A1C6D">
        <w:rPr>
          <w:i/>
        </w:rPr>
        <w:t>Financial Post</w:t>
      </w:r>
      <w:r w:rsidR="000A1C6D">
        <w:rPr>
          <w:i/>
        </w:rPr>
        <w:t>,</w:t>
      </w:r>
      <w:r w:rsidRPr="000A1C6D">
        <w:t xml:space="preserve"> September 25, 2017, accessed February 3, 2018, </w:t>
      </w:r>
      <w:r w:rsidR="000A1C6D" w:rsidRPr="000A1C6D">
        <w:t>http://business.financialpost.com/business/koho-locks-down-8m-investment-from-desmarais-backed-venture-fund</w:t>
      </w:r>
      <w:r w:rsidRPr="000A1C6D">
        <w:t>.</w:t>
      </w:r>
    </w:p>
  </w:endnote>
  <w:endnote w:id="29">
    <w:p w:rsidR="00613BFD" w:rsidRPr="000A1C6D" w:rsidRDefault="00613BFD" w:rsidP="000A1C6D">
      <w:pPr>
        <w:pStyle w:val="FootnoteText1"/>
      </w:pPr>
      <w:r w:rsidRPr="000A1C6D">
        <w:rPr>
          <w:rStyle w:val="EndnoteReference"/>
        </w:rPr>
        <w:endnoteRef/>
      </w:r>
      <w:r w:rsidRPr="000A1C6D">
        <w:t xml:space="preserve"> Currencies recognized by a government as legal tender.</w:t>
      </w:r>
    </w:p>
  </w:endnote>
  <w:endnote w:id="30">
    <w:p w:rsidR="00613BFD" w:rsidRPr="000A1C6D" w:rsidRDefault="00613BFD" w:rsidP="000A1C6D">
      <w:pPr>
        <w:pStyle w:val="FootnoteText1"/>
      </w:pPr>
      <w:r w:rsidRPr="000A1C6D">
        <w:rPr>
          <w:rStyle w:val="EndnoteReference"/>
        </w:rPr>
        <w:endnoteRef/>
      </w:r>
      <w:r w:rsidRPr="000A1C6D">
        <w:t xml:space="preserve"> Arjun Kharpal, “Bitcoin’s Market Value is Now Larger than Goldman Sachs and Morgan Stanley,” CNBC, October 13, 2017, accessed February 3, 2018, https://www.cnbc.com/2017/10/13/bitcoin-market-cap-bigger-than-goldman-sachs-and-morgan-stanley.html.</w:t>
      </w:r>
    </w:p>
  </w:endnote>
  <w:endnote w:id="31">
    <w:p w:rsidR="00613BFD" w:rsidRPr="000A1C6D" w:rsidRDefault="00613BFD" w:rsidP="000A1C6D">
      <w:pPr>
        <w:pStyle w:val="FootnoteText1"/>
      </w:pPr>
      <w:r w:rsidRPr="000A1C6D">
        <w:rPr>
          <w:rStyle w:val="EndnoteReference"/>
        </w:rPr>
        <w:endnoteRef/>
      </w:r>
      <w:r w:rsidRPr="000A1C6D">
        <w:t xml:space="preserve"> Lewis, Michael, “Is Bitcoin a Boon or a Bubble?,” </w:t>
      </w:r>
      <w:r w:rsidRPr="000A1C6D">
        <w:rPr>
          <w:i/>
        </w:rPr>
        <w:t>The Toronto Star</w:t>
      </w:r>
      <w:r w:rsidRPr="000A1C6D">
        <w:t>, December 1 2017, accessed February 3, 2018, https://www.thestar.com/business/wealth/2017/11/30/is-bitcoin-a-boon-or-a-bubble.html.</w:t>
      </w:r>
    </w:p>
  </w:endnote>
  <w:endnote w:id="32">
    <w:p w:rsidR="00613BFD" w:rsidRPr="000A1C6D" w:rsidRDefault="00613BFD" w:rsidP="000A1C6D">
      <w:pPr>
        <w:pStyle w:val="FootnoteText1"/>
      </w:pPr>
      <w:r w:rsidRPr="000A1C6D">
        <w:rPr>
          <w:rStyle w:val="EndnoteReference"/>
        </w:rPr>
        <w:endnoteRef/>
      </w:r>
      <w:r w:rsidRPr="000A1C6D">
        <w:t xml:space="preserve"> Finder, “Bitstamp Bitcoin Exchange Review—February 2018, January 29, 2018, accessed February 3, 2018, https://www.finder.com/ca/bitstamp-exchange-review.</w:t>
      </w:r>
    </w:p>
  </w:endnote>
  <w:endnote w:id="33">
    <w:p w:rsidR="00613BFD" w:rsidRPr="000A1C6D" w:rsidRDefault="00613BFD" w:rsidP="000A1C6D">
      <w:pPr>
        <w:pStyle w:val="FootnoteText1"/>
      </w:pPr>
      <w:r w:rsidRPr="000A1C6D">
        <w:rPr>
          <w:rStyle w:val="EndnoteReference"/>
        </w:rPr>
        <w:endnoteRef/>
      </w:r>
      <w:r w:rsidRPr="000A1C6D">
        <w:t xml:space="preserve"> CryptoCompare, QuadrigaCX Exchange, accessed February 3, 2018, https://www.cryptocompare.com/exchanges/quadrigacx/overview.</w:t>
      </w:r>
    </w:p>
  </w:endnote>
  <w:endnote w:id="34">
    <w:p w:rsidR="00613BFD" w:rsidRPr="000A1C6D" w:rsidRDefault="00613BFD" w:rsidP="000A1C6D">
      <w:pPr>
        <w:pStyle w:val="FootnoteText1"/>
      </w:pPr>
      <w:r w:rsidRPr="000A1C6D">
        <w:rPr>
          <w:rStyle w:val="EndnoteReference"/>
        </w:rPr>
        <w:endnoteRef/>
      </w:r>
      <w:r w:rsidRPr="000A1C6D">
        <w:t xml:space="preserve"> CryptoCompare, “Exchanges Overview,” accessed February 3, 2018, https://www.cryptocompare.com/</w:t>
      </w:r>
      <w:r w:rsidR="000A1C6D">
        <w:t>.</w:t>
      </w:r>
    </w:p>
  </w:endnote>
  <w:endnote w:id="35">
    <w:p w:rsidR="00613BFD" w:rsidRPr="000A1C6D" w:rsidRDefault="00613BFD" w:rsidP="000A1C6D">
      <w:pPr>
        <w:pStyle w:val="FootnoteText1"/>
      </w:pPr>
      <w:r w:rsidRPr="000A1C6D">
        <w:rPr>
          <w:rStyle w:val="EndnoteReference"/>
        </w:rPr>
        <w:endnoteRef/>
      </w:r>
      <w:r w:rsidRPr="000A1C6D">
        <w:t xml:space="preserve"> Bank of Canada, “Bitcoin Awareness and Usage in Canada,” December 2017, accessed February 3, 2018, https://www.bankofcanada.ca/wp-content/uploads/2017/12/swp2017-56.pdf.</w:t>
      </w:r>
    </w:p>
  </w:endnote>
  <w:endnote w:id="36">
    <w:p w:rsidR="00613BFD" w:rsidRPr="000A1C6D" w:rsidRDefault="00613BFD" w:rsidP="000A1C6D">
      <w:pPr>
        <w:pStyle w:val="FootnoteText1"/>
      </w:pPr>
      <w:r w:rsidRPr="000A1C6D">
        <w:rPr>
          <w:rStyle w:val="EndnoteReference"/>
        </w:rPr>
        <w:endnoteRef/>
      </w:r>
      <w:r w:rsidRPr="000A1C6D">
        <w:t xml:space="preserve"> “Black markets” unconnected to official economies that typically facilitate illegal activity, such as the trading of illicit goods and services.</w:t>
      </w:r>
    </w:p>
  </w:endnote>
  <w:endnote w:id="37">
    <w:p w:rsidR="00613BFD" w:rsidRPr="000A1C6D" w:rsidRDefault="00613BFD" w:rsidP="000A1C6D">
      <w:pPr>
        <w:pStyle w:val="FootnoteText1"/>
      </w:pPr>
      <w:r w:rsidRPr="000A1C6D">
        <w:rPr>
          <w:rStyle w:val="EndnoteReference"/>
        </w:rPr>
        <w:endnoteRef/>
      </w:r>
      <w:r w:rsidRPr="000A1C6D">
        <w:t xml:space="preserve"> Statistics Canada, “Residential Mortgage Credit</w:t>
      </w:r>
      <w:r w:rsidR="000A1C6D">
        <w:t>,</w:t>
      </w:r>
      <w:r w:rsidRPr="000A1C6D">
        <w:t>” Janaury 2018, accessed February 3 2018, http://www.statcan.gc.ca/tables-tableaux/sum-som/l01/cst01/fin21-eng.htm</w:t>
      </w:r>
      <w:r w:rsidR="000A1C6D">
        <w:t>.</w:t>
      </w:r>
    </w:p>
  </w:endnote>
  <w:endnote w:id="38">
    <w:p w:rsidR="00613BFD" w:rsidRPr="000A1C6D" w:rsidRDefault="00613BFD" w:rsidP="000A1C6D">
      <w:pPr>
        <w:pStyle w:val="FootnoteText1"/>
      </w:pPr>
      <w:r w:rsidRPr="000A1C6D">
        <w:rPr>
          <w:rStyle w:val="EndnoteReference"/>
        </w:rPr>
        <w:endnoteRef/>
      </w:r>
      <w:r w:rsidRPr="000A1C6D">
        <w:t xml:space="preserve"> HSBC, “Millennial Home Ownership,” February, 2017, accessed March 25, 2017, 1-5 www.about.hsbc.ca/~/media/canada/en/news-and.../170228-new-global-study-en.pdf</w:t>
      </w:r>
      <w:r w:rsidR="000A1C6D">
        <w:t>.</w:t>
      </w:r>
    </w:p>
  </w:endnote>
  <w:endnote w:id="39">
    <w:p w:rsidR="00613BFD" w:rsidRPr="000A1C6D" w:rsidRDefault="00613BFD" w:rsidP="000A1C6D">
      <w:pPr>
        <w:pStyle w:val="FootnoteText1"/>
      </w:pPr>
      <w:r w:rsidRPr="000A1C6D">
        <w:rPr>
          <w:rStyle w:val="EndnoteReference"/>
        </w:rPr>
        <w:endnoteRef/>
      </w:r>
      <w:r w:rsidRPr="000A1C6D">
        <w:t xml:space="preserve"> Evry, Whitepaper: First Home Buying for Millennials, November 2014, accessed March 14, 2017, www.evry.com/globalassets/insight/bank2020/first-home-buying-for-millennials---labs-whitepaper.pdf.</w:t>
      </w:r>
    </w:p>
  </w:endnote>
  <w:endnote w:id="40">
    <w:p w:rsidR="00613BFD" w:rsidRPr="000A1C6D" w:rsidRDefault="00613BFD" w:rsidP="000A1C6D">
      <w:pPr>
        <w:pStyle w:val="FootnoteText1"/>
      </w:pPr>
      <w:r w:rsidRPr="000A1C6D">
        <w:rPr>
          <w:rStyle w:val="EndnoteReference"/>
        </w:rPr>
        <w:endnoteRef/>
      </w:r>
      <w:r w:rsidRPr="000A1C6D">
        <w:t xml:space="preserve"> intelliMortgage, accessed February 3, 2018, https://intellimortgage.com</w:t>
      </w:r>
    </w:p>
  </w:endnote>
  <w:endnote w:id="41">
    <w:p w:rsidR="00613BFD" w:rsidRPr="000A1C6D" w:rsidRDefault="00613BFD" w:rsidP="000A1C6D">
      <w:pPr>
        <w:pStyle w:val="FootnoteText1"/>
      </w:pPr>
      <w:r w:rsidRPr="000A1C6D">
        <w:rPr>
          <w:rStyle w:val="EndnoteReference"/>
        </w:rPr>
        <w:endnoteRef/>
      </w:r>
      <w:r w:rsidRPr="000A1C6D">
        <w:t xml:space="preserve"> Daniel Kobler, Felix Hauber, and Bernjamin Ernst, Millennials and Wealth Management: Trends and Challenges of the New Clientele, Deloitte, June 2015, accessed March 14, 2017, www2.deloitte.com/content/dam/Deloitte/lu/Documents/financial-services/lu-millennials-wealth-management-trends-challenges-new-clientele-0106205.pdf.</w:t>
      </w:r>
    </w:p>
  </w:endnote>
  <w:endnote w:id="42">
    <w:p w:rsidR="00613BFD" w:rsidRPr="000A1C6D" w:rsidRDefault="00613BFD" w:rsidP="000A1C6D">
      <w:pPr>
        <w:pStyle w:val="FootnoteText1"/>
      </w:pPr>
      <w:r w:rsidRPr="000A1C6D">
        <w:rPr>
          <w:rStyle w:val="EndnoteReference"/>
        </w:rPr>
        <w:endnoteRef/>
      </w:r>
      <w:r w:rsidRPr="000A1C6D">
        <w:t xml:space="preserve"> Ontario Securities Commission, “CSA Staff Notice 31-342: Guidance for Portfolio Managers Regarding Online Advice,” 2016, accessed March 25, 2017, www.osc.gov.on.ca/en/SecuritiesLaw_csa_20150924_31-342_portfolio-managers-online-advice.htm</w:t>
      </w:r>
      <w:r w:rsidR="000A1C6D">
        <w:t>.</w:t>
      </w:r>
    </w:p>
  </w:endnote>
  <w:endnote w:id="43">
    <w:p w:rsidR="00613BFD" w:rsidRPr="000A1C6D" w:rsidRDefault="00613BFD" w:rsidP="000A1C6D">
      <w:pPr>
        <w:pStyle w:val="FootnoteText1"/>
      </w:pPr>
      <w:r w:rsidRPr="000A1C6D">
        <w:rPr>
          <w:rStyle w:val="EndnoteReference"/>
        </w:rPr>
        <w:endnoteRef/>
      </w:r>
      <w:r w:rsidRPr="000A1C6D">
        <w:t xml:space="preserve"> Rob Carrick, “The 2016 Robo-Advisor Guide: Find out Which Firms Deserve Your Business,” </w:t>
      </w:r>
      <w:r w:rsidRPr="000A1C6D">
        <w:rPr>
          <w:i/>
        </w:rPr>
        <w:t>Globe and Mail</w:t>
      </w:r>
      <w:r w:rsidRPr="000A1C6D">
        <w:t>, October 7, 2016, accessed March 26, 2017, www.theglobeandmail.com/globe-investor/funds-and-etfs/etfs/everything-you-need-to-know-about-robo-advisers/article32302639/.</w:t>
      </w:r>
    </w:p>
  </w:endnote>
  <w:endnote w:id="44">
    <w:p w:rsidR="00613BFD" w:rsidRPr="000A1C6D" w:rsidRDefault="00613BFD" w:rsidP="000A1C6D">
      <w:pPr>
        <w:pStyle w:val="FootnoteText1"/>
      </w:pPr>
      <w:r w:rsidRPr="000A1C6D">
        <w:rPr>
          <w:rStyle w:val="EndnoteReference"/>
        </w:rPr>
        <w:endnoteRef/>
      </w:r>
      <w:r w:rsidRPr="000A1C6D">
        <w:t xml:space="preserve"> Underbanked customers had limited access to financial products from retail banks due to lower or nonexistent credit scores. As a result, they relied more heavily than the average banked consumer on loans or credit card funding.</w:t>
      </w:r>
    </w:p>
  </w:endnote>
  <w:endnote w:id="45">
    <w:p w:rsidR="00613BFD" w:rsidRPr="000A1C6D" w:rsidRDefault="00613BFD" w:rsidP="000A1C6D">
      <w:pPr>
        <w:pStyle w:val="FootnoteText1"/>
      </w:pPr>
      <w:r w:rsidRPr="000A1C6D">
        <w:rPr>
          <w:rStyle w:val="EndnoteReference"/>
        </w:rPr>
        <w:endnoteRef/>
      </w:r>
      <w:r w:rsidRPr="000A1C6D">
        <w:t xml:space="preserve"> Gamification referred to the process of imbuing products and marketing tactics with typical elements of a game that inspired competition and improved engagement.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3BFD" w:rsidRDefault="00613BFD" w:rsidP="00D75295">
      <w:r>
        <w:separator/>
      </w:r>
    </w:p>
  </w:footnote>
  <w:footnote w:type="continuationSeparator" w:id="0">
    <w:p w:rsidR="00613BFD" w:rsidRDefault="00613BFD" w:rsidP="00D752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3BFD" w:rsidRPr="00C92CC4" w:rsidRDefault="00613BFD"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545CE3">
      <w:rPr>
        <w:rFonts w:ascii="Arial" w:hAnsi="Arial"/>
        <w:b/>
        <w:noProof/>
      </w:rPr>
      <w:t>20</w:t>
    </w:r>
    <w:r>
      <w:rPr>
        <w:rFonts w:ascii="Arial" w:hAnsi="Arial"/>
        <w:b/>
      </w:rPr>
      <w:fldChar w:fldCharType="end"/>
    </w:r>
    <w:r>
      <w:rPr>
        <w:rFonts w:ascii="Arial" w:hAnsi="Arial"/>
        <w:b/>
      </w:rPr>
      <w:tab/>
      <w:t>9B17M159</w:t>
    </w:r>
  </w:p>
  <w:p w:rsidR="00613BFD" w:rsidRDefault="00613BFD" w:rsidP="00D13667">
    <w:pPr>
      <w:pStyle w:val="Header"/>
      <w:tabs>
        <w:tab w:val="clear" w:pos="4680"/>
      </w:tabs>
      <w:rPr>
        <w:sz w:val="18"/>
        <w:szCs w:val="18"/>
      </w:rPr>
    </w:pPr>
  </w:p>
  <w:p w:rsidR="00613BFD" w:rsidRPr="00C92CC4" w:rsidRDefault="00613BFD" w:rsidP="00D13667">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A4E42A4"/>
    <w:lvl w:ilvl="0">
      <w:start w:val="1"/>
      <w:numFmt w:val="decimal"/>
      <w:lvlText w:val="%1."/>
      <w:lvlJc w:val="left"/>
      <w:pPr>
        <w:tabs>
          <w:tab w:val="num" w:pos="1800"/>
        </w:tabs>
        <w:ind w:left="1800" w:hanging="360"/>
      </w:pPr>
    </w:lvl>
  </w:abstractNum>
  <w:abstractNum w:abstractNumId="1">
    <w:nsid w:val="FFFFFF7D"/>
    <w:multiLevelType w:val="singleLevel"/>
    <w:tmpl w:val="EAB8395C"/>
    <w:lvl w:ilvl="0">
      <w:start w:val="1"/>
      <w:numFmt w:val="decimal"/>
      <w:lvlText w:val="%1."/>
      <w:lvlJc w:val="left"/>
      <w:pPr>
        <w:tabs>
          <w:tab w:val="num" w:pos="1440"/>
        </w:tabs>
        <w:ind w:left="1440" w:hanging="360"/>
      </w:pPr>
    </w:lvl>
  </w:abstractNum>
  <w:abstractNum w:abstractNumId="2">
    <w:nsid w:val="FFFFFF7E"/>
    <w:multiLevelType w:val="singleLevel"/>
    <w:tmpl w:val="2C2288EA"/>
    <w:lvl w:ilvl="0">
      <w:start w:val="1"/>
      <w:numFmt w:val="decimal"/>
      <w:lvlText w:val="%1."/>
      <w:lvlJc w:val="left"/>
      <w:pPr>
        <w:tabs>
          <w:tab w:val="num" w:pos="1080"/>
        </w:tabs>
        <w:ind w:left="1080" w:hanging="360"/>
      </w:pPr>
    </w:lvl>
  </w:abstractNum>
  <w:abstractNum w:abstractNumId="3">
    <w:nsid w:val="FFFFFF7F"/>
    <w:multiLevelType w:val="singleLevel"/>
    <w:tmpl w:val="DF7AE510"/>
    <w:lvl w:ilvl="0">
      <w:start w:val="1"/>
      <w:numFmt w:val="decimal"/>
      <w:lvlText w:val="%1."/>
      <w:lvlJc w:val="left"/>
      <w:pPr>
        <w:tabs>
          <w:tab w:val="num" w:pos="720"/>
        </w:tabs>
        <w:ind w:left="720" w:hanging="360"/>
      </w:pPr>
    </w:lvl>
  </w:abstractNum>
  <w:abstractNum w:abstractNumId="4">
    <w:nsid w:val="FFFFFF80"/>
    <w:multiLevelType w:val="singleLevel"/>
    <w:tmpl w:val="498013F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AB9C032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C7B88D3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AF09AE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C3056A8"/>
    <w:lvl w:ilvl="0">
      <w:start w:val="1"/>
      <w:numFmt w:val="decimal"/>
      <w:lvlText w:val="%1."/>
      <w:lvlJc w:val="left"/>
      <w:pPr>
        <w:tabs>
          <w:tab w:val="num" w:pos="360"/>
        </w:tabs>
        <w:ind w:left="360" w:hanging="360"/>
      </w:pPr>
    </w:lvl>
  </w:abstractNum>
  <w:abstractNum w:abstractNumId="9">
    <w:nsid w:val="FFFFFF89"/>
    <w:multiLevelType w:val="singleLevel"/>
    <w:tmpl w:val="AD8EA94A"/>
    <w:lvl w:ilvl="0">
      <w:start w:val="1"/>
      <w:numFmt w:val="bullet"/>
      <w:lvlText w:val=""/>
      <w:lvlJc w:val="left"/>
      <w:pPr>
        <w:tabs>
          <w:tab w:val="num" w:pos="360"/>
        </w:tabs>
        <w:ind w:left="360" w:hanging="360"/>
      </w:pPr>
      <w:rPr>
        <w:rFonts w:ascii="Symbol" w:hAnsi="Symbol" w:hint="default"/>
      </w:rPr>
    </w:lvl>
  </w:abstractNum>
  <w:abstractNum w:abstractNumId="10">
    <w:nsid w:val="01D752FC"/>
    <w:multiLevelType w:val="hybridMultilevel"/>
    <w:tmpl w:val="97901CC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B1F59C3"/>
    <w:multiLevelType w:val="hybridMultilevel"/>
    <w:tmpl w:val="AE00A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1E127EC"/>
    <w:multiLevelType w:val="hybridMultilevel"/>
    <w:tmpl w:val="8CC4D5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F762D04"/>
    <w:multiLevelType w:val="hybridMultilevel"/>
    <w:tmpl w:val="B0B6C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34D0859"/>
    <w:multiLevelType w:val="hybridMultilevel"/>
    <w:tmpl w:val="FB2662E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4841B6D"/>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5057872"/>
    <w:multiLevelType w:val="hybridMultilevel"/>
    <w:tmpl w:val="203C00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1F09BA"/>
    <w:multiLevelType w:val="hybridMultilevel"/>
    <w:tmpl w:val="B03EC9B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7D3169C"/>
    <w:multiLevelType w:val="hybridMultilevel"/>
    <w:tmpl w:val="1952A3D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7E71053"/>
    <w:multiLevelType w:val="hybridMultilevel"/>
    <w:tmpl w:val="0588A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1565E2E"/>
    <w:multiLevelType w:val="hybridMultilevel"/>
    <w:tmpl w:val="CE7033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9C73B2A"/>
    <w:multiLevelType w:val="hybridMultilevel"/>
    <w:tmpl w:val="DB90CF5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F765C7B"/>
    <w:multiLevelType w:val="hybridMultilevel"/>
    <w:tmpl w:val="ACC81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410D4D30"/>
    <w:multiLevelType w:val="multilevel"/>
    <w:tmpl w:val="CAB07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22D7B89"/>
    <w:multiLevelType w:val="singleLevel"/>
    <w:tmpl w:val="0409000F"/>
    <w:lvl w:ilvl="0">
      <w:start w:val="1"/>
      <w:numFmt w:val="decimal"/>
      <w:lvlText w:val="%1."/>
      <w:lvlJc w:val="left"/>
      <w:pPr>
        <w:tabs>
          <w:tab w:val="num" w:pos="360"/>
        </w:tabs>
        <w:ind w:left="360" w:hanging="360"/>
      </w:pPr>
    </w:lvl>
  </w:abstractNum>
  <w:abstractNum w:abstractNumId="25">
    <w:nsid w:val="429176D2"/>
    <w:multiLevelType w:val="hybridMultilevel"/>
    <w:tmpl w:val="4118907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D02492"/>
    <w:multiLevelType w:val="hybridMultilevel"/>
    <w:tmpl w:val="6900B558"/>
    <w:lvl w:ilvl="0" w:tplc="79F400E6">
      <w:start w:val="1"/>
      <w:numFmt w:val="decimal"/>
      <w:lvlText w:val="%1."/>
      <w:lvlJc w:val="left"/>
      <w:pPr>
        <w:tabs>
          <w:tab w:val="num" w:pos="720"/>
        </w:tabs>
        <w:ind w:left="720" w:hanging="360"/>
      </w:pPr>
    </w:lvl>
    <w:lvl w:ilvl="1" w:tplc="BEBE2F52" w:tentative="1">
      <w:start w:val="1"/>
      <w:numFmt w:val="decimal"/>
      <w:lvlText w:val="%2."/>
      <w:lvlJc w:val="left"/>
      <w:pPr>
        <w:tabs>
          <w:tab w:val="num" w:pos="1440"/>
        </w:tabs>
        <w:ind w:left="1440" w:hanging="360"/>
      </w:pPr>
    </w:lvl>
    <w:lvl w:ilvl="2" w:tplc="E836E7D6" w:tentative="1">
      <w:start w:val="1"/>
      <w:numFmt w:val="decimal"/>
      <w:lvlText w:val="%3."/>
      <w:lvlJc w:val="left"/>
      <w:pPr>
        <w:tabs>
          <w:tab w:val="num" w:pos="2160"/>
        </w:tabs>
        <w:ind w:left="2160" w:hanging="360"/>
      </w:pPr>
    </w:lvl>
    <w:lvl w:ilvl="3" w:tplc="BC98AF2A" w:tentative="1">
      <w:start w:val="1"/>
      <w:numFmt w:val="decimal"/>
      <w:lvlText w:val="%4."/>
      <w:lvlJc w:val="left"/>
      <w:pPr>
        <w:tabs>
          <w:tab w:val="num" w:pos="2880"/>
        </w:tabs>
        <w:ind w:left="2880" w:hanging="360"/>
      </w:pPr>
    </w:lvl>
    <w:lvl w:ilvl="4" w:tplc="53789B4C" w:tentative="1">
      <w:start w:val="1"/>
      <w:numFmt w:val="decimal"/>
      <w:lvlText w:val="%5."/>
      <w:lvlJc w:val="left"/>
      <w:pPr>
        <w:tabs>
          <w:tab w:val="num" w:pos="3600"/>
        </w:tabs>
        <w:ind w:left="3600" w:hanging="360"/>
      </w:pPr>
    </w:lvl>
    <w:lvl w:ilvl="5" w:tplc="2DB6F7C8" w:tentative="1">
      <w:start w:val="1"/>
      <w:numFmt w:val="decimal"/>
      <w:lvlText w:val="%6."/>
      <w:lvlJc w:val="left"/>
      <w:pPr>
        <w:tabs>
          <w:tab w:val="num" w:pos="4320"/>
        </w:tabs>
        <w:ind w:left="4320" w:hanging="360"/>
      </w:pPr>
    </w:lvl>
    <w:lvl w:ilvl="6" w:tplc="3426E984" w:tentative="1">
      <w:start w:val="1"/>
      <w:numFmt w:val="decimal"/>
      <w:lvlText w:val="%7."/>
      <w:lvlJc w:val="left"/>
      <w:pPr>
        <w:tabs>
          <w:tab w:val="num" w:pos="5040"/>
        </w:tabs>
        <w:ind w:left="5040" w:hanging="360"/>
      </w:pPr>
    </w:lvl>
    <w:lvl w:ilvl="7" w:tplc="3460BBFE" w:tentative="1">
      <w:start w:val="1"/>
      <w:numFmt w:val="decimal"/>
      <w:lvlText w:val="%8."/>
      <w:lvlJc w:val="left"/>
      <w:pPr>
        <w:tabs>
          <w:tab w:val="num" w:pos="5760"/>
        </w:tabs>
        <w:ind w:left="5760" w:hanging="360"/>
      </w:pPr>
    </w:lvl>
    <w:lvl w:ilvl="8" w:tplc="AEB00602" w:tentative="1">
      <w:start w:val="1"/>
      <w:numFmt w:val="decimal"/>
      <w:lvlText w:val="%9."/>
      <w:lvlJc w:val="left"/>
      <w:pPr>
        <w:tabs>
          <w:tab w:val="num" w:pos="6480"/>
        </w:tabs>
        <w:ind w:left="6480" w:hanging="360"/>
      </w:pPr>
    </w:lvl>
  </w:abstractNum>
  <w:abstractNum w:abstractNumId="27">
    <w:nsid w:val="4A8D39D5"/>
    <w:multiLevelType w:val="hybridMultilevel"/>
    <w:tmpl w:val="C278F98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B0D051A"/>
    <w:multiLevelType w:val="hybridMultilevel"/>
    <w:tmpl w:val="B9E2959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2028A0"/>
    <w:multiLevelType w:val="hybridMultilevel"/>
    <w:tmpl w:val="936C399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4934816"/>
    <w:multiLevelType w:val="multilevel"/>
    <w:tmpl w:val="7F824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4C5603A"/>
    <w:multiLevelType w:val="hybridMultilevel"/>
    <w:tmpl w:val="17D24AAA"/>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6C229C9"/>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84A6537"/>
    <w:multiLevelType w:val="hybridMultilevel"/>
    <w:tmpl w:val="7898BD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5AAC469B"/>
    <w:multiLevelType w:val="hybridMultilevel"/>
    <w:tmpl w:val="21E49C62"/>
    <w:lvl w:ilvl="0" w:tplc="E5661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44E5E5B"/>
    <w:multiLevelType w:val="hybridMultilevel"/>
    <w:tmpl w:val="2C9A544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3510A0"/>
    <w:multiLevelType w:val="hybridMultilevel"/>
    <w:tmpl w:val="19A41218"/>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BC358F5"/>
    <w:multiLevelType w:val="hybridMultilevel"/>
    <w:tmpl w:val="05D04DF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B397D96"/>
    <w:multiLevelType w:val="hybridMultilevel"/>
    <w:tmpl w:val="4E30187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CD120EB"/>
    <w:multiLevelType w:val="hybridMultilevel"/>
    <w:tmpl w:val="0E181EF4"/>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34"/>
  </w:num>
  <w:num w:numId="3">
    <w:abstractNumId w:val="32"/>
  </w:num>
  <w:num w:numId="4">
    <w:abstractNumId w:val="15"/>
  </w:num>
  <w:num w:numId="5">
    <w:abstractNumId w:val="26"/>
  </w:num>
  <w:num w:numId="6">
    <w:abstractNumId w:val="30"/>
  </w:num>
  <w:num w:numId="7">
    <w:abstractNumId w:val="23"/>
  </w:num>
  <w:num w:numId="8">
    <w:abstractNumId w:val="31"/>
  </w:num>
  <w:num w:numId="9">
    <w:abstractNumId w:val="11"/>
  </w:num>
  <w:num w:numId="10">
    <w:abstractNumId w:val="19"/>
  </w:num>
  <w:num w:numId="11">
    <w:abstractNumId w:val="12"/>
  </w:num>
  <w:num w:numId="12">
    <w:abstractNumId w:val="36"/>
  </w:num>
  <w:num w:numId="13">
    <w:abstractNumId w:val="16"/>
  </w:num>
  <w:num w:numId="14">
    <w:abstractNumId w:val="29"/>
  </w:num>
  <w:num w:numId="15">
    <w:abstractNumId w:val="37"/>
  </w:num>
  <w:num w:numId="16">
    <w:abstractNumId w:val="18"/>
  </w:num>
  <w:num w:numId="17">
    <w:abstractNumId w:val="25"/>
  </w:num>
  <w:num w:numId="18">
    <w:abstractNumId w:val="17"/>
  </w:num>
  <w:num w:numId="19">
    <w:abstractNumId w:val="21"/>
  </w:num>
  <w:num w:numId="20">
    <w:abstractNumId w:val="35"/>
  </w:num>
  <w:num w:numId="21">
    <w:abstractNumId w:val="27"/>
  </w:num>
  <w:num w:numId="22">
    <w:abstractNumId w:val="28"/>
  </w:num>
  <w:num w:numId="23">
    <w:abstractNumId w:val="10"/>
  </w:num>
  <w:num w:numId="24">
    <w:abstractNumId w:val="14"/>
  </w:num>
  <w:num w:numId="25">
    <w:abstractNumId w:val="38"/>
  </w:num>
  <w:num w:numId="26">
    <w:abstractNumId w:val="39"/>
  </w:num>
  <w:num w:numId="27">
    <w:abstractNumId w:val="20"/>
  </w:num>
  <w:num w:numId="28">
    <w:abstractNumId w:val="9"/>
  </w:num>
  <w:num w:numId="29">
    <w:abstractNumId w:val="7"/>
  </w:num>
  <w:num w:numId="30">
    <w:abstractNumId w:val="6"/>
  </w:num>
  <w:num w:numId="31">
    <w:abstractNumId w:val="5"/>
  </w:num>
  <w:num w:numId="32">
    <w:abstractNumId w:val="4"/>
  </w:num>
  <w:num w:numId="33">
    <w:abstractNumId w:val="8"/>
  </w:num>
  <w:num w:numId="34">
    <w:abstractNumId w:val="3"/>
  </w:num>
  <w:num w:numId="35">
    <w:abstractNumId w:val="2"/>
  </w:num>
  <w:num w:numId="36">
    <w:abstractNumId w:val="1"/>
  </w:num>
  <w:num w:numId="37">
    <w:abstractNumId w:val="0"/>
  </w:num>
  <w:num w:numId="38">
    <w:abstractNumId w:val="33"/>
  </w:num>
  <w:num w:numId="39">
    <w:abstractNumId w:val="24"/>
  </w:num>
  <w:num w:numId="40">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90113"/>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DC4"/>
    <w:rsid w:val="0000085A"/>
    <w:rsid w:val="00013360"/>
    <w:rsid w:val="00016759"/>
    <w:rsid w:val="000216CE"/>
    <w:rsid w:val="00024ED4"/>
    <w:rsid w:val="00025DC7"/>
    <w:rsid w:val="00035F09"/>
    <w:rsid w:val="00042476"/>
    <w:rsid w:val="00044ECC"/>
    <w:rsid w:val="000531D3"/>
    <w:rsid w:val="0005646B"/>
    <w:rsid w:val="0008102D"/>
    <w:rsid w:val="00094C0E"/>
    <w:rsid w:val="000A1C6D"/>
    <w:rsid w:val="000D7091"/>
    <w:rsid w:val="000F0C22"/>
    <w:rsid w:val="000F6B09"/>
    <w:rsid w:val="000F6FDC"/>
    <w:rsid w:val="00104567"/>
    <w:rsid w:val="00104916"/>
    <w:rsid w:val="00104AA7"/>
    <w:rsid w:val="0012732D"/>
    <w:rsid w:val="00140699"/>
    <w:rsid w:val="00143245"/>
    <w:rsid w:val="00143F25"/>
    <w:rsid w:val="00152682"/>
    <w:rsid w:val="00154FC9"/>
    <w:rsid w:val="00186FE5"/>
    <w:rsid w:val="0019241A"/>
    <w:rsid w:val="001A22D1"/>
    <w:rsid w:val="001A752D"/>
    <w:rsid w:val="001A757E"/>
    <w:rsid w:val="001B5032"/>
    <w:rsid w:val="001C7777"/>
    <w:rsid w:val="001E364F"/>
    <w:rsid w:val="001E5FD8"/>
    <w:rsid w:val="00203AA1"/>
    <w:rsid w:val="00213E98"/>
    <w:rsid w:val="0023081A"/>
    <w:rsid w:val="002F460C"/>
    <w:rsid w:val="002F48D6"/>
    <w:rsid w:val="00317391"/>
    <w:rsid w:val="00326216"/>
    <w:rsid w:val="00336580"/>
    <w:rsid w:val="0035228E"/>
    <w:rsid w:val="00352D6A"/>
    <w:rsid w:val="00354899"/>
    <w:rsid w:val="00355FD6"/>
    <w:rsid w:val="00364A5C"/>
    <w:rsid w:val="003664A6"/>
    <w:rsid w:val="00373FB1"/>
    <w:rsid w:val="00390ED4"/>
    <w:rsid w:val="00396C76"/>
    <w:rsid w:val="003B30D8"/>
    <w:rsid w:val="003B7EF2"/>
    <w:rsid w:val="003C3FA4"/>
    <w:rsid w:val="003F2B0C"/>
    <w:rsid w:val="004105B2"/>
    <w:rsid w:val="004221E4"/>
    <w:rsid w:val="00423CBF"/>
    <w:rsid w:val="004273F8"/>
    <w:rsid w:val="004355A3"/>
    <w:rsid w:val="00446546"/>
    <w:rsid w:val="00452769"/>
    <w:rsid w:val="00465348"/>
    <w:rsid w:val="004B1CCB"/>
    <w:rsid w:val="004B632F"/>
    <w:rsid w:val="004D3FB1"/>
    <w:rsid w:val="004D6F21"/>
    <w:rsid w:val="004D73A5"/>
    <w:rsid w:val="005160F1"/>
    <w:rsid w:val="00524F2F"/>
    <w:rsid w:val="00527E5C"/>
    <w:rsid w:val="00532CF5"/>
    <w:rsid w:val="00545CE3"/>
    <w:rsid w:val="005528CB"/>
    <w:rsid w:val="00566771"/>
    <w:rsid w:val="00581E2E"/>
    <w:rsid w:val="00584F15"/>
    <w:rsid w:val="0059514B"/>
    <w:rsid w:val="005A1B0F"/>
    <w:rsid w:val="00613BFD"/>
    <w:rsid w:val="006163F7"/>
    <w:rsid w:val="00627C63"/>
    <w:rsid w:val="0063350B"/>
    <w:rsid w:val="00652606"/>
    <w:rsid w:val="006946EE"/>
    <w:rsid w:val="006A58A9"/>
    <w:rsid w:val="006A606D"/>
    <w:rsid w:val="006C0371"/>
    <w:rsid w:val="006C08B6"/>
    <w:rsid w:val="006C0B1A"/>
    <w:rsid w:val="006C6065"/>
    <w:rsid w:val="006C7F9F"/>
    <w:rsid w:val="006E2F6D"/>
    <w:rsid w:val="006E58F6"/>
    <w:rsid w:val="006E77E1"/>
    <w:rsid w:val="006F131D"/>
    <w:rsid w:val="00711642"/>
    <w:rsid w:val="007160F9"/>
    <w:rsid w:val="007507C6"/>
    <w:rsid w:val="00751E0B"/>
    <w:rsid w:val="00752BCD"/>
    <w:rsid w:val="00766DA1"/>
    <w:rsid w:val="00767C79"/>
    <w:rsid w:val="007866A6"/>
    <w:rsid w:val="007A130D"/>
    <w:rsid w:val="007D1A2D"/>
    <w:rsid w:val="007D4102"/>
    <w:rsid w:val="007F43B7"/>
    <w:rsid w:val="00821FFC"/>
    <w:rsid w:val="008271CA"/>
    <w:rsid w:val="008467D5"/>
    <w:rsid w:val="008A4DC4"/>
    <w:rsid w:val="008B438C"/>
    <w:rsid w:val="008D3A46"/>
    <w:rsid w:val="009067A4"/>
    <w:rsid w:val="00910782"/>
    <w:rsid w:val="00933D68"/>
    <w:rsid w:val="009340DB"/>
    <w:rsid w:val="0094618C"/>
    <w:rsid w:val="0095684B"/>
    <w:rsid w:val="00972498"/>
    <w:rsid w:val="00972D02"/>
    <w:rsid w:val="0097481F"/>
    <w:rsid w:val="00974CC6"/>
    <w:rsid w:val="00976AD4"/>
    <w:rsid w:val="00995547"/>
    <w:rsid w:val="009A312F"/>
    <w:rsid w:val="009A5348"/>
    <w:rsid w:val="009B0AB7"/>
    <w:rsid w:val="009C76D5"/>
    <w:rsid w:val="009F7AA4"/>
    <w:rsid w:val="00A10AD7"/>
    <w:rsid w:val="00A3181F"/>
    <w:rsid w:val="00A559DB"/>
    <w:rsid w:val="00A569EA"/>
    <w:rsid w:val="00AA2262"/>
    <w:rsid w:val="00AB24E3"/>
    <w:rsid w:val="00AF35FC"/>
    <w:rsid w:val="00AF5556"/>
    <w:rsid w:val="00B03639"/>
    <w:rsid w:val="00B0652A"/>
    <w:rsid w:val="00B40937"/>
    <w:rsid w:val="00B423EF"/>
    <w:rsid w:val="00B453DE"/>
    <w:rsid w:val="00B72597"/>
    <w:rsid w:val="00B901F9"/>
    <w:rsid w:val="00BD6EFB"/>
    <w:rsid w:val="00C1584D"/>
    <w:rsid w:val="00C15BE2"/>
    <w:rsid w:val="00C3447F"/>
    <w:rsid w:val="00C67102"/>
    <w:rsid w:val="00C81491"/>
    <w:rsid w:val="00C81676"/>
    <w:rsid w:val="00C85C5D"/>
    <w:rsid w:val="00C92CC4"/>
    <w:rsid w:val="00C97E7C"/>
    <w:rsid w:val="00CA0AFB"/>
    <w:rsid w:val="00CA2CE1"/>
    <w:rsid w:val="00CA3976"/>
    <w:rsid w:val="00CA50E3"/>
    <w:rsid w:val="00CA757B"/>
    <w:rsid w:val="00CC1787"/>
    <w:rsid w:val="00CC182C"/>
    <w:rsid w:val="00CD0824"/>
    <w:rsid w:val="00CD2908"/>
    <w:rsid w:val="00D03A82"/>
    <w:rsid w:val="00D100F7"/>
    <w:rsid w:val="00D13667"/>
    <w:rsid w:val="00D15344"/>
    <w:rsid w:val="00D23F57"/>
    <w:rsid w:val="00D3047D"/>
    <w:rsid w:val="00D31BEC"/>
    <w:rsid w:val="00D63150"/>
    <w:rsid w:val="00D636BA"/>
    <w:rsid w:val="00D64A32"/>
    <w:rsid w:val="00D64EFC"/>
    <w:rsid w:val="00D75295"/>
    <w:rsid w:val="00D76CE9"/>
    <w:rsid w:val="00D97F12"/>
    <w:rsid w:val="00DA6095"/>
    <w:rsid w:val="00DB42E7"/>
    <w:rsid w:val="00DE01A6"/>
    <w:rsid w:val="00DE7A98"/>
    <w:rsid w:val="00DF32C2"/>
    <w:rsid w:val="00E471A7"/>
    <w:rsid w:val="00E635CF"/>
    <w:rsid w:val="00EC6E0A"/>
    <w:rsid w:val="00ED4E18"/>
    <w:rsid w:val="00EE1F37"/>
    <w:rsid w:val="00F0159C"/>
    <w:rsid w:val="00F105B7"/>
    <w:rsid w:val="00F13220"/>
    <w:rsid w:val="00F17A21"/>
    <w:rsid w:val="00F309B5"/>
    <w:rsid w:val="00F35495"/>
    <w:rsid w:val="00F37B27"/>
    <w:rsid w:val="00F46556"/>
    <w:rsid w:val="00F50E91"/>
    <w:rsid w:val="00F57D29"/>
    <w:rsid w:val="00F87187"/>
    <w:rsid w:val="00F96201"/>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011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FollowedHyperlink" w:uiPriority="0"/>
    <w:lsdException w:name="Strong" w:semiHidden="0" w:uiPriority="22" w:unhideWhenUsed="0" w:qFormat="1"/>
    <w:lsdException w:name="Emphasis" w:semiHidden="0" w:uiPriority="0" w:unhideWhenUsed="0" w:qFormat="1"/>
    <w:lsdException w:name="annotation subject"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 w:val="16"/>
      <w:szCs w:val="16"/>
    </w:rPr>
  </w:style>
  <w:style w:type="character" w:customStyle="1" w:styleId="BalloonTextChar">
    <w:name w:val="Balloon Text Char"/>
    <w:basedOn w:val="DefaultParagraphFont"/>
    <w:link w:val="BalloonText"/>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6C0B1A"/>
    <w:pPr>
      <w:jc w:val="both"/>
    </w:pPr>
    <w:rPr>
      <w:rFonts w:ascii="Arial" w:hAnsi="Arial" w:cs="Arial"/>
      <w:i/>
      <w:sz w:val="17"/>
      <w:szCs w:val="17"/>
    </w:rPr>
  </w:style>
  <w:style w:type="character" w:customStyle="1" w:styleId="FootnoteChar">
    <w:name w:val="Footnote Char"/>
    <w:basedOn w:val="FootnoteTextChar"/>
    <w:link w:val="Footnote"/>
    <w:rsid w:val="006C0B1A"/>
    <w:rPr>
      <w:rFonts w:ascii="Arial" w:eastAsia="Times New Roman" w:hAnsi="Arial" w:cs="Arial"/>
      <w:i/>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rsid w:val="00F105B7"/>
    <w:rPr>
      <w:rFonts w:ascii="Times New Roman" w:eastAsia="Times New Roman" w:hAnsi="Times New Roman" w:cs="Times New Roman"/>
      <w:sz w:val="20"/>
      <w:szCs w:val="20"/>
    </w:rPr>
  </w:style>
  <w:style w:type="paragraph" w:styleId="Footer">
    <w:name w:val="footer"/>
    <w:basedOn w:val="Normal"/>
    <w:link w:val="FooterChar"/>
    <w:unhideWhenUsed/>
    <w:rsid w:val="00F105B7"/>
    <w:pPr>
      <w:tabs>
        <w:tab w:val="center" w:pos="4680"/>
        <w:tab w:val="right" w:pos="9360"/>
      </w:tabs>
    </w:pPr>
  </w:style>
  <w:style w:type="character" w:customStyle="1" w:styleId="FooterChar">
    <w:name w:val="Footer Char"/>
    <w:basedOn w:val="DefaultParagraphFont"/>
    <w:link w:val="Footer"/>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semiHidden/>
    <w:unhideWhenUsed/>
    <w:rsid w:val="009A5348"/>
    <w:rPr>
      <w:sz w:val="16"/>
      <w:szCs w:val="16"/>
    </w:rPr>
  </w:style>
  <w:style w:type="paragraph" w:styleId="CommentText">
    <w:name w:val="annotation text"/>
    <w:basedOn w:val="Normal"/>
    <w:link w:val="CommentTextChar"/>
    <w:semiHidden/>
    <w:unhideWhenUsed/>
    <w:rsid w:val="009A5348"/>
  </w:style>
  <w:style w:type="character" w:customStyle="1" w:styleId="CommentTextChar">
    <w:name w:val="Comment Text Char"/>
    <w:basedOn w:val="DefaultParagraphFont"/>
    <w:link w:val="CommentText"/>
    <w:semiHidden/>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unhideWhenUsed/>
    <w:rsid w:val="009A5348"/>
    <w:rPr>
      <w:b/>
      <w:bCs/>
    </w:rPr>
  </w:style>
  <w:style w:type="character" w:customStyle="1" w:styleId="CommentSubjectChar">
    <w:name w:val="Comment Subject Char"/>
    <w:basedOn w:val="CommentTextChar"/>
    <w:link w:val="CommentSubject"/>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rsid w:val="00AB24E3"/>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paragraph" w:customStyle="1" w:styleId="casehead30">
    <w:name w:val="casehead3"/>
    <w:basedOn w:val="Normal"/>
    <w:next w:val="BodyText"/>
    <w:rsid w:val="003664A6"/>
    <w:pPr>
      <w:jc w:val="both"/>
    </w:pPr>
    <w:rPr>
      <w:sz w:val="22"/>
      <w:u w:val="single"/>
      <w:lang w:val="en-GB"/>
    </w:rPr>
  </w:style>
  <w:style w:type="paragraph" w:customStyle="1" w:styleId="Style1">
    <w:name w:val="Style1"/>
    <w:basedOn w:val="Quote"/>
    <w:qFormat/>
    <w:rsid w:val="003664A6"/>
    <w:pPr>
      <w:ind w:left="720"/>
      <w:jc w:val="both"/>
    </w:pPr>
    <w:rPr>
      <w:sz w:val="22"/>
      <w:szCs w:val="22"/>
    </w:rPr>
  </w:style>
  <w:style w:type="paragraph" w:styleId="Quote">
    <w:name w:val="Quote"/>
    <w:basedOn w:val="Normal"/>
    <w:next w:val="Normal"/>
    <w:link w:val="QuoteChar"/>
    <w:uiPriority w:val="29"/>
    <w:qFormat/>
    <w:rsid w:val="003664A6"/>
    <w:pPr>
      <w:spacing w:before="200" w:after="160"/>
      <w:ind w:left="864" w:right="864"/>
      <w:jc w:val="center"/>
    </w:pPr>
    <w:rPr>
      <w:i/>
      <w:iCs/>
      <w:color w:val="404040" w:themeColor="text1" w:themeTint="BF"/>
      <w:lang w:val="en-GB"/>
    </w:rPr>
  </w:style>
  <w:style w:type="character" w:customStyle="1" w:styleId="QuoteChar">
    <w:name w:val="Quote Char"/>
    <w:basedOn w:val="DefaultParagraphFont"/>
    <w:link w:val="Quote"/>
    <w:uiPriority w:val="29"/>
    <w:rsid w:val="003664A6"/>
    <w:rPr>
      <w:rFonts w:ascii="Times New Roman" w:eastAsia="Times New Roman" w:hAnsi="Times New Roman" w:cs="Times New Roman"/>
      <w:i/>
      <w:iCs/>
      <w:color w:val="404040" w:themeColor="text1" w:themeTint="BF"/>
      <w:sz w:val="20"/>
      <w:szCs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FollowedHyperlink" w:uiPriority="0"/>
    <w:lsdException w:name="Strong" w:semiHidden="0" w:uiPriority="22" w:unhideWhenUsed="0" w:qFormat="1"/>
    <w:lsdException w:name="Emphasis" w:semiHidden="0" w:uiPriority="0" w:unhideWhenUsed="0" w:qFormat="1"/>
    <w:lsdException w:name="annotation subject"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 w:val="16"/>
      <w:szCs w:val="16"/>
    </w:rPr>
  </w:style>
  <w:style w:type="character" w:customStyle="1" w:styleId="BalloonTextChar">
    <w:name w:val="Balloon Text Char"/>
    <w:basedOn w:val="DefaultParagraphFont"/>
    <w:link w:val="BalloonText"/>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6C0B1A"/>
    <w:pPr>
      <w:jc w:val="both"/>
    </w:pPr>
    <w:rPr>
      <w:rFonts w:ascii="Arial" w:hAnsi="Arial" w:cs="Arial"/>
      <w:i/>
      <w:sz w:val="17"/>
      <w:szCs w:val="17"/>
    </w:rPr>
  </w:style>
  <w:style w:type="character" w:customStyle="1" w:styleId="FootnoteChar">
    <w:name w:val="Footnote Char"/>
    <w:basedOn w:val="FootnoteTextChar"/>
    <w:link w:val="Footnote"/>
    <w:rsid w:val="006C0B1A"/>
    <w:rPr>
      <w:rFonts w:ascii="Arial" w:eastAsia="Times New Roman" w:hAnsi="Arial" w:cs="Arial"/>
      <w:i/>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rsid w:val="00F105B7"/>
    <w:rPr>
      <w:rFonts w:ascii="Times New Roman" w:eastAsia="Times New Roman" w:hAnsi="Times New Roman" w:cs="Times New Roman"/>
      <w:sz w:val="20"/>
      <w:szCs w:val="20"/>
    </w:rPr>
  </w:style>
  <w:style w:type="paragraph" w:styleId="Footer">
    <w:name w:val="footer"/>
    <w:basedOn w:val="Normal"/>
    <w:link w:val="FooterChar"/>
    <w:unhideWhenUsed/>
    <w:rsid w:val="00F105B7"/>
    <w:pPr>
      <w:tabs>
        <w:tab w:val="center" w:pos="4680"/>
        <w:tab w:val="right" w:pos="9360"/>
      </w:tabs>
    </w:pPr>
  </w:style>
  <w:style w:type="character" w:customStyle="1" w:styleId="FooterChar">
    <w:name w:val="Footer Char"/>
    <w:basedOn w:val="DefaultParagraphFont"/>
    <w:link w:val="Footer"/>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semiHidden/>
    <w:unhideWhenUsed/>
    <w:rsid w:val="009A5348"/>
    <w:rPr>
      <w:sz w:val="16"/>
      <w:szCs w:val="16"/>
    </w:rPr>
  </w:style>
  <w:style w:type="paragraph" w:styleId="CommentText">
    <w:name w:val="annotation text"/>
    <w:basedOn w:val="Normal"/>
    <w:link w:val="CommentTextChar"/>
    <w:semiHidden/>
    <w:unhideWhenUsed/>
    <w:rsid w:val="009A5348"/>
  </w:style>
  <w:style w:type="character" w:customStyle="1" w:styleId="CommentTextChar">
    <w:name w:val="Comment Text Char"/>
    <w:basedOn w:val="DefaultParagraphFont"/>
    <w:link w:val="CommentText"/>
    <w:semiHidden/>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unhideWhenUsed/>
    <w:rsid w:val="009A5348"/>
    <w:rPr>
      <w:b/>
      <w:bCs/>
    </w:rPr>
  </w:style>
  <w:style w:type="character" w:customStyle="1" w:styleId="CommentSubjectChar">
    <w:name w:val="Comment Subject Char"/>
    <w:basedOn w:val="CommentTextChar"/>
    <w:link w:val="CommentSubject"/>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rsid w:val="00AB24E3"/>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paragraph" w:customStyle="1" w:styleId="casehead30">
    <w:name w:val="casehead3"/>
    <w:basedOn w:val="Normal"/>
    <w:next w:val="BodyText"/>
    <w:rsid w:val="003664A6"/>
    <w:pPr>
      <w:jc w:val="both"/>
    </w:pPr>
    <w:rPr>
      <w:sz w:val="22"/>
      <w:u w:val="single"/>
      <w:lang w:val="en-GB"/>
    </w:rPr>
  </w:style>
  <w:style w:type="paragraph" w:customStyle="1" w:styleId="Style1">
    <w:name w:val="Style1"/>
    <w:basedOn w:val="Quote"/>
    <w:qFormat/>
    <w:rsid w:val="003664A6"/>
    <w:pPr>
      <w:ind w:left="720"/>
      <w:jc w:val="both"/>
    </w:pPr>
    <w:rPr>
      <w:sz w:val="22"/>
      <w:szCs w:val="22"/>
    </w:rPr>
  </w:style>
  <w:style w:type="paragraph" w:styleId="Quote">
    <w:name w:val="Quote"/>
    <w:basedOn w:val="Normal"/>
    <w:next w:val="Normal"/>
    <w:link w:val="QuoteChar"/>
    <w:uiPriority w:val="29"/>
    <w:qFormat/>
    <w:rsid w:val="003664A6"/>
    <w:pPr>
      <w:spacing w:before="200" w:after="160"/>
      <w:ind w:left="864" w:right="864"/>
      <w:jc w:val="center"/>
    </w:pPr>
    <w:rPr>
      <w:i/>
      <w:iCs/>
      <w:color w:val="404040" w:themeColor="text1" w:themeTint="BF"/>
      <w:lang w:val="en-GB"/>
    </w:rPr>
  </w:style>
  <w:style w:type="character" w:customStyle="1" w:styleId="QuoteChar">
    <w:name w:val="Quote Char"/>
    <w:basedOn w:val="DefaultParagraphFont"/>
    <w:link w:val="Quote"/>
    <w:uiPriority w:val="29"/>
    <w:rsid w:val="003664A6"/>
    <w:rPr>
      <w:rFonts w:ascii="Times New Roman" w:eastAsia="Times New Roman" w:hAnsi="Times New Roman" w:cs="Times New Roman"/>
      <w:i/>
      <w:iCs/>
      <w:color w:val="404040" w:themeColor="text1" w:themeTint="BF"/>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jpeg"/><Relationship Id="rId3" Type="http://schemas.openxmlformats.org/officeDocument/2006/relationships/styles" Target="styles.xml"/><Relationship Id="rId21" Type="http://schemas.microsoft.com/office/2007/relationships/hdphoto" Target="media/hdphoto4.wdp"/><Relationship Id="rId7" Type="http://schemas.openxmlformats.org/officeDocument/2006/relationships/footnotes" Target="footnotes.xml"/><Relationship Id="rId12" Type="http://schemas.openxmlformats.org/officeDocument/2006/relationships/image" Target="media/image2.png"/><Relationship Id="rId17" Type="http://schemas.microsoft.com/office/2007/relationships/hdphoto" Target="media/hdphoto2.wdp"/><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veycases.com" TargetMode="External"/><Relationship Id="rId24" Type="http://schemas.openxmlformats.org/officeDocument/2006/relationships/fontTable" Target="fontTable.xml"/><Relationship Id="rId5" Type="http://schemas.openxmlformats.org/officeDocument/2006/relationships/settings" Target="settings.xml"/><Relationship Id="rId15" Type="http://schemas.microsoft.com/office/2007/relationships/hdphoto" Target="media/hdphoto1.wdp"/><Relationship Id="rId23" Type="http://schemas.openxmlformats.org/officeDocument/2006/relationships/header" Target="header1.xml"/><Relationship Id="rId10" Type="http://schemas.openxmlformats.org/officeDocument/2006/relationships/hyperlink" Target="mailto:cases@ivey.ca" TargetMode="External"/><Relationship Id="rId19" Type="http://schemas.microsoft.com/office/2007/relationships/hdphoto" Target="media/hdphoto3.wdp"/><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0FEFD7-532D-499C-A63B-3F850E213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20</Pages>
  <Words>7519</Words>
  <Characters>42860</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50279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Karen Pepers1</cp:lastModifiedBy>
  <cp:revision>25</cp:revision>
  <cp:lastPrinted>2015-03-04T20:34:00Z</cp:lastPrinted>
  <dcterms:created xsi:type="dcterms:W3CDTF">2015-03-04T20:39:00Z</dcterms:created>
  <dcterms:modified xsi:type="dcterms:W3CDTF">2018-02-28T12:52:00Z</dcterms:modified>
</cp:coreProperties>
</file>