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B80A" w14:textId="42A951CE" w:rsidR="008467D5" w:rsidRPr="00CB6B09" w:rsidRDefault="00A67AF2" w:rsidP="007B429C">
      <w:pPr>
        <w:pStyle w:val="IveyQuotes"/>
        <w:ind w:left="0"/>
      </w:pPr>
      <w:r>
        <w:rPr>
          <w:rFonts w:ascii="Arial" w:hAnsi="Arial"/>
          <w:b/>
          <w:noProof/>
          <w:sz w:val="24"/>
          <w:lang w:eastAsia="en-GB"/>
        </w:rPr>
        <w:drawing>
          <wp:inline distT="0" distB="0" distL="0" distR="0" wp14:anchorId="74B4132A" wp14:editId="3B502F77">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1BCDAD" w14:textId="77777777" w:rsidR="00856D9F" w:rsidRPr="00CB6B09" w:rsidRDefault="00856D9F" w:rsidP="007B429C">
      <w:pPr>
        <w:pBdr>
          <w:bottom w:val="single" w:sz="18" w:space="1" w:color="auto"/>
        </w:pBdr>
        <w:tabs>
          <w:tab w:val="left" w:pos="-1440"/>
          <w:tab w:val="left" w:pos="-720"/>
          <w:tab w:val="left" w:pos="1"/>
        </w:tabs>
        <w:jc w:val="both"/>
        <w:rPr>
          <w:rFonts w:ascii="Arial" w:hAnsi="Arial"/>
          <w:b/>
          <w:sz w:val="24"/>
        </w:rPr>
      </w:pPr>
    </w:p>
    <w:p w14:paraId="08AE3739" w14:textId="05AC3CE0" w:rsidR="00D75295" w:rsidRPr="00CB6B09" w:rsidRDefault="00A67AF2" w:rsidP="007B429C">
      <w:pPr>
        <w:pStyle w:val="ProductNumber"/>
        <w:outlineLvl w:val="0"/>
      </w:pPr>
      <w:r>
        <w:t>9B17M</w:t>
      </w:r>
      <w:r w:rsidR="00AC24B6">
        <w:t>160</w:t>
      </w:r>
    </w:p>
    <w:p w14:paraId="1E89433A" w14:textId="77777777" w:rsidR="00D75295" w:rsidRPr="00CB6B09" w:rsidRDefault="00D75295" w:rsidP="007B429C">
      <w:pPr>
        <w:jc w:val="right"/>
        <w:rPr>
          <w:rFonts w:ascii="Arial" w:hAnsi="Arial"/>
          <w:b/>
          <w:sz w:val="28"/>
          <w:szCs w:val="28"/>
        </w:rPr>
      </w:pPr>
    </w:p>
    <w:p w14:paraId="12E4C06B" w14:textId="77777777" w:rsidR="00866F6D" w:rsidRPr="00CB6B09" w:rsidRDefault="00866F6D" w:rsidP="007B429C">
      <w:pPr>
        <w:jc w:val="right"/>
        <w:rPr>
          <w:rFonts w:ascii="Arial" w:hAnsi="Arial"/>
          <w:b/>
          <w:sz w:val="28"/>
          <w:szCs w:val="28"/>
        </w:rPr>
      </w:pPr>
    </w:p>
    <w:p w14:paraId="6CB6931F" w14:textId="77777777" w:rsidR="00013360" w:rsidRPr="00CB6B09" w:rsidRDefault="00777CED" w:rsidP="007B429C">
      <w:pPr>
        <w:pStyle w:val="CaseTitle"/>
        <w:spacing w:after="0" w:line="240" w:lineRule="auto"/>
        <w:outlineLvl w:val="0"/>
      </w:pPr>
      <w:r>
        <w:t>PSA PEUGEOT CITROËN: Re-entering the United States</w:t>
      </w:r>
      <w:r w:rsidR="00C34E4B">
        <w:rPr>
          <w:rStyle w:val="EndnoteReference"/>
        </w:rPr>
        <w:endnoteReference w:id="1"/>
      </w:r>
    </w:p>
    <w:p w14:paraId="33370CB1" w14:textId="77777777" w:rsidR="00013360" w:rsidRPr="00CB6B09" w:rsidRDefault="00013360" w:rsidP="007B429C">
      <w:pPr>
        <w:pStyle w:val="CaseTitle"/>
        <w:spacing w:after="0" w:line="240" w:lineRule="auto"/>
        <w:rPr>
          <w:sz w:val="20"/>
          <w:szCs w:val="20"/>
        </w:rPr>
      </w:pPr>
    </w:p>
    <w:p w14:paraId="61EEA2AA" w14:textId="77777777" w:rsidR="00CA3976" w:rsidRPr="00CB6B09" w:rsidRDefault="00CA3976" w:rsidP="007B429C">
      <w:pPr>
        <w:pStyle w:val="CaseTitle"/>
        <w:spacing w:after="0" w:line="240" w:lineRule="auto"/>
        <w:rPr>
          <w:sz w:val="20"/>
          <w:szCs w:val="20"/>
        </w:rPr>
      </w:pPr>
    </w:p>
    <w:p w14:paraId="18843651" w14:textId="36091F8E" w:rsidR="00013360" w:rsidRPr="00CB6B09" w:rsidRDefault="00A67AF2" w:rsidP="007B429C">
      <w:pPr>
        <w:pStyle w:val="StyleCopyrightStatementAfter0ptBottomSinglesolidline1"/>
      </w:pPr>
      <w:r>
        <w:t xml:space="preserve">Irina </w:t>
      </w:r>
      <w:r w:rsidR="00777CED">
        <w:t xml:space="preserve">Surdu and Kamel Mellahi </w:t>
      </w:r>
      <w:r w:rsidR="007E5921" w:rsidRPr="00CB6B09">
        <w:t>wrote this case sol</w:t>
      </w:r>
      <w:r w:rsidR="00D75295" w:rsidRPr="00CB6B09">
        <w:t>ely to provide material f</w:t>
      </w:r>
      <w:r w:rsidR="001A04F0">
        <w:t>or class discussion. The author</w:t>
      </w:r>
      <w:r w:rsidR="00F764C2">
        <w:t>s</w:t>
      </w:r>
      <w:r w:rsidR="00D75295" w:rsidRPr="00CB6B09">
        <w:t xml:space="preserve"> do not intend to illustrate either effective or ineffective handling of a managerial situation. The authors may have disguised certain names and other identifying information to protect confidentiality.</w:t>
      </w:r>
    </w:p>
    <w:p w14:paraId="2324835D" w14:textId="77777777" w:rsidR="00013360" w:rsidRPr="00CB6B09" w:rsidRDefault="00013360" w:rsidP="007B429C">
      <w:pPr>
        <w:pStyle w:val="StyleCopyrightStatementAfter0ptBottomSinglesolidline1"/>
      </w:pPr>
    </w:p>
    <w:p w14:paraId="6505A47A" w14:textId="77777777" w:rsidR="00A67AF2" w:rsidRDefault="00A67AF2" w:rsidP="007B429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483B75C" w14:textId="77777777" w:rsidR="00A67AF2" w:rsidRDefault="00A67AF2" w:rsidP="007B429C">
      <w:pPr>
        <w:pStyle w:val="StyleCopyrightStatementAfter0ptBottomSinglesolidline1"/>
        <w:pBdr>
          <w:top w:val="none" w:sz="0" w:space="0" w:color="auto"/>
        </w:pBdr>
      </w:pPr>
    </w:p>
    <w:p w14:paraId="5406009D" w14:textId="2F5BE4B0" w:rsidR="003B7EF2" w:rsidRPr="00CB6B09" w:rsidRDefault="00A67AF2" w:rsidP="007B429C">
      <w:pPr>
        <w:pStyle w:val="StyleStyleCopyrightStatementAfter0ptBottomSinglesolid"/>
      </w:pPr>
      <w:r>
        <w:t>Copyright © 2017, Richard Ivey School of Business Foundation</w:t>
      </w:r>
      <w:r w:rsidR="003B7EF2" w:rsidRPr="00CB6B09">
        <w:tab/>
        <w:t xml:space="preserve">Version: </w:t>
      </w:r>
      <w:r w:rsidR="00361C8E" w:rsidRPr="00CB6B09">
        <w:t>201</w:t>
      </w:r>
      <w:r w:rsidR="001A04F0">
        <w:t>7</w:t>
      </w:r>
      <w:r w:rsidR="00361C8E" w:rsidRPr="00CB6B09">
        <w:t>-</w:t>
      </w:r>
      <w:r w:rsidR="00AC24B6">
        <w:t>10-31</w:t>
      </w:r>
    </w:p>
    <w:p w14:paraId="05526B85" w14:textId="77777777" w:rsidR="003B7EF2" w:rsidRPr="00CB6B09" w:rsidRDefault="003B7EF2" w:rsidP="007B429C">
      <w:pPr>
        <w:pStyle w:val="StyleCopyrightStatementAfter0ptBottomSinglesolidline1"/>
        <w:rPr>
          <w:rFonts w:ascii="Times New Roman" w:hAnsi="Times New Roman"/>
          <w:sz w:val="20"/>
        </w:rPr>
      </w:pPr>
    </w:p>
    <w:p w14:paraId="45F370AF" w14:textId="77777777" w:rsidR="003B7EF2" w:rsidRDefault="003B7EF2" w:rsidP="007B429C">
      <w:pPr>
        <w:pStyle w:val="BodyTextMain"/>
      </w:pPr>
    </w:p>
    <w:p w14:paraId="2736B93A" w14:textId="28B6B650" w:rsidR="00777CED" w:rsidRDefault="00777CED" w:rsidP="007B429C">
      <w:pPr>
        <w:pStyle w:val="BodyTextMain"/>
        <w:rPr>
          <w:rFonts w:ascii="Times" w:hAnsi="Times"/>
          <w:color w:val="000000" w:themeColor="text1"/>
        </w:rPr>
      </w:pPr>
      <w:r>
        <w:rPr>
          <w:rFonts w:ascii="Times" w:hAnsi="Times"/>
          <w:color w:val="000000" w:themeColor="text1"/>
        </w:rPr>
        <w:t>Could</w:t>
      </w:r>
      <w:r w:rsidRPr="00AE5814">
        <w:rPr>
          <w:rFonts w:ascii="Times" w:hAnsi="Times"/>
          <w:color w:val="000000" w:themeColor="text1"/>
        </w:rPr>
        <w:t xml:space="preserve"> we, should we, and how do we re-enter the U.S. automotive market? These were some of the </w:t>
      </w:r>
      <w:r w:rsidR="00444654">
        <w:rPr>
          <w:rFonts w:ascii="Times" w:hAnsi="Times"/>
          <w:color w:val="000000" w:themeColor="text1"/>
        </w:rPr>
        <w:t>questions</w:t>
      </w:r>
      <w:r w:rsidRPr="00AE5814">
        <w:rPr>
          <w:rFonts w:ascii="Times" w:hAnsi="Times"/>
          <w:color w:val="000000" w:themeColor="text1"/>
        </w:rPr>
        <w:t xml:space="preserve"> </w:t>
      </w:r>
      <w:r w:rsidR="00444654">
        <w:rPr>
          <w:rFonts w:ascii="Times" w:hAnsi="Times"/>
          <w:color w:val="000000" w:themeColor="text1"/>
        </w:rPr>
        <w:t xml:space="preserve">asked </w:t>
      </w:r>
      <w:r>
        <w:rPr>
          <w:rFonts w:ascii="Times" w:hAnsi="Times"/>
          <w:color w:val="000000" w:themeColor="text1"/>
        </w:rPr>
        <w:t xml:space="preserve">by </w:t>
      </w:r>
      <w:r w:rsidRPr="00AE5814">
        <w:rPr>
          <w:rFonts w:ascii="Times" w:hAnsi="Times"/>
          <w:color w:val="000000" w:themeColor="text1"/>
        </w:rPr>
        <w:t xml:space="preserve">chief executive </w:t>
      </w:r>
      <w:r w:rsidR="00086E74">
        <w:rPr>
          <w:rFonts w:ascii="Times" w:hAnsi="Times"/>
          <w:color w:val="000000" w:themeColor="text1"/>
        </w:rPr>
        <w:t xml:space="preserve">officer (CEO) </w:t>
      </w:r>
      <w:r w:rsidRPr="00AE5814">
        <w:rPr>
          <w:rFonts w:ascii="Times" w:hAnsi="Times"/>
          <w:color w:val="000000" w:themeColor="text1"/>
        </w:rPr>
        <w:t xml:space="preserve">Carlos Tavares </w:t>
      </w:r>
      <w:r w:rsidR="00880A06">
        <w:rPr>
          <w:rFonts w:ascii="Times" w:hAnsi="Times"/>
          <w:color w:val="000000" w:themeColor="text1"/>
        </w:rPr>
        <w:t xml:space="preserve">after </w:t>
      </w:r>
      <w:r w:rsidRPr="00AE5814">
        <w:rPr>
          <w:rFonts w:ascii="Times" w:hAnsi="Times"/>
          <w:color w:val="000000" w:themeColor="text1"/>
        </w:rPr>
        <w:t xml:space="preserve">he was placed at the helm of </w:t>
      </w:r>
      <w:r w:rsidR="00086E74" w:rsidRPr="00AE5814">
        <w:rPr>
          <w:rFonts w:ascii="Times" w:hAnsi="Times"/>
          <w:color w:val="000000" w:themeColor="text1"/>
        </w:rPr>
        <w:t>France-based automa</w:t>
      </w:r>
      <w:r w:rsidR="00163527">
        <w:rPr>
          <w:rFonts w:ascii="Times" w:hAnsi="Times"/>
          <w:color w:val="000000" w:themeColor="text1"/>
        </w:rPr>
        <w:t>ker PSA Peugeot Citroën (PSA</w:t>
      </w:r>
      <w:r w:rsidR="00086E74" w:rsidRPr="00AE5814">
        <w:rPr>
          <w:rFonts w:ascii="Times" w:hAnsi="Times"/>
          <w:color w:val="000000" w:themeColor="text1"/>
        </w:rPr>
        <w:t xml:space="preserve">) </w:t>
      </w:r>
      <w:r w:rsidRPr="00AE5814">
        <w:rPr>
          <w:rFonts w:ascii="Times" w:hAnsi="Times"/>
          <w:color w:val="000000" w:themeColor="text1"/>
        </w:rPr>
        <w:t>in 2014 to run the</w:t>
      </w:r>
      <w:r w:rsidR="0054077E">
        <w:rPr>
          <w:rFonts w:ascii="Times" w:hAnsi="Times"/>
          <w:color w:val="000000" w:themeColor="text1"/>
        </w:rPr>
        <w:t xml:space="preserve"> company’s </w:t>
      </w:r>
      <w:r w:rsidRPr="00AE5814">
        <w:rPr>
          <w:rFonts w:ascii="Times" w:hAnsi="Times"/>
          <w:color w:val="000000" w:themeColor="text1"/>
        </w:rPr>
        <w:t>revival plan and reduce</w:t>
      </w:r>
      <w:r w:rsidR="0054077E">
        <w:rPr>
          <w:rFonts w:ascii="Times" w:hAnsi="Times"/>
          <w:color w:val="000000" w:themeColor="text1"/>
        </w:rPr>
        <w:t xml:space="preserve"> its</w:t>
      </w:r>
      <w:r w:rsidRPr="00AE5814">
        <w:rPr>
          <w:rFonts w:ascii="Times" w:hAnsi="Times"/>
          <w:color w:val="000000" w:themeColor="text1"/>
        </w:rPr>
        <w:t xml:space="preserve"> heavy reliance on vehicle sales from Europe</w:t>
      </w:r>
      <w:r w:rsidR="005034ED">
        <w:rPr>
          <w:rFonts w:ascii="Times" w:hAnsi="Times"/>
          <w:color w:val="000000" w:themeColor="text1"/>
        </w:rPr>
        <w:t>.</w:t>
      </w:r>
      <w:r>
        <w:rPr>
          <w:rStyle w:val="EndnoteReference"/>
          <w:rFonts w:ascii="Times" w:hAnsi="Times"/>
          <w:color w:val="000000" w:themeColor="text1"/>
        </w:rPr>
        <w:endnoteReference w:id="2"/>
      </w:r>
      <w:r w:rsidRPr="00AE5814">
        <w:rPr>
          <w:rFonts w:ascii="Times" w:hAnsi="Times"/>
          <w:color w:val="000000" w:themeColor="text1"/>
        </w:rPr>
        <w:t xml:space="preserve"> </w:t>
      </w:r>
      <w:r>
        <w:rPr>
          <w:rFonts w:ascii="Times" w:hAnsi="Times"/>
          <w:color w:val="000000" w:themeColor="text1"/>
        </w:rPr>
        <w:t>In 2017,</w:t>
      </w:r>
      <w:r w:rsidR="005034ED">
        <w:rPr>
          <w:rFonts w:ascii="Times" w:hAnsi="Times"/>
          <w:color w:val="000000" w:themeColor="text1"/>
        </w:rPr>
        <w:t xml:space="preserve"> 26</w:t>
      </w:r>
      <w:r w:rsidRPr="00AE5814">
        <w:rPr>
          <w:rFonts w:ascii="Times" w:hAnsi="Times"/>
          <w:color w:val="000000" w:themeColor="text1"/>
        </w:rPr>
        <w:t xml:space="preserve"> years after leaving the North American market, which marked the end of French vehicles being sold in the U</w:t>
      </w:r>
      <w:r w:rsidR="005034ED">
        <w:rPr>
          <w:rFonts w:ascii="Times" w:hAnsi="Times"/>
          <w:color w:val="000000" w:themeColor="text1"/>
        </w:rPr>
        <w:t>nited States,</w:t>
      </w:r>
      <w:r>
        <w:rPr>
          <w:rStyle w:val="EndnoteReference"/>
          <w:rFonts w:ascii="Times" w:hAnsi="Times"/>
          <w:color w:val="000000" w:themeColor="text1"/>
          <w:sz w:val="24"/>
        </w:rPr>
        <w:endnoteReference w:id="3"/>
      </w:r>
      <w:r w:rsidRPr="00AE5814">
        <w:rPr>
          <w:rFonts w:ascii="Times" w:hAnsi="Times"/>
          <w:color w:val="000000" w:themeColor="text1"/>
        </w:rPr>
        <w:t xml:space="preserve"> Canada</w:t>
      </w:r>
      <w:r w:rsidR="005034ED">
        <w:rPr>
          <w:rFonts w:ascii="Times" w:hAnsi="Times"/>
          <w:color w:val="000000" w:themeColor="text1"/>
        </w:rPr>
        <w:t>,</w:t>
      </w:r>
      <w:r w:rsidRPr="00AE5814">
        <w:rPr>
          <w:rFonts w:ascii="Times" w:hAnsi="Times"/>
          <w:color w:val="000000" w:themeColor="text1"/>
        </w:rPr>
        <w:t xml:space="preserve"> </w:t>
      </w:r>
      <w:r w:rsidR="00444654">
        <w:rPr>
          <w:rFonts w:ascii="Times" w:hAnsi="Times"/>
          <w:color w:val="000000" w:themeColor="text1"/>
        </w:rPr>
        <w:t>and</w:t>
      </w:r>
      <w:r w:rsidRPr="00AE5814">
        <w:rPr>
          <w:rFonts w:ascii="Times" w:hAnsi="Times"/>
          <w:color w:val="000000" w:themeColor="text1"/>
        </w:rPr>
        <w:t xml:space="preserve"> Mexico, P</w:t>
      </w:r>
      <w:r w:rsidR="00163527">
        <w:rPr>
          <w:rFonts w:ascii="Times" w:hAnsi="Times"/>
          <w:color w:val="000000" w:themeColor="text1"/>
        </w:rPr>
        <w:t>SA</w:t>
      </w:r>
      <w:r w:rsidRPr="00AE5814">
        <w:rPr>
          <w:rFonts w:ascii="Times" w:hAnsi="Times"/>
          <w:color w:val="000000" w:themeColor="text1"/>
        </w:rPr>
        <w:t>’s internationali</w:t>
      </w:r>
      <w:r w:rsidR="005034ED">
        <w:rPr>
          <w:rFonts w:ascii="Times" w:hAnsi="Times"/>
          <w:color w:val="000000" w:themeColor="text1"/>
        </w:rPr>
        <w:t>z</w:t>
      </w:r>
      <w:r w:rsidRPr="00AE5814">
        <w:rPr>
          <w:rFonts w:ascii="Times" w:hAnsi="Times"/>
          <w:color w:val="000000" w:themeColor="text1"/>
        </w:rPr>
        <w:t xml:space="preserve">ation strategy included plans to re-enter these markets within </w:t>
      </w:r>
      <w:r w:rsidR="00086E74">
        <w:rPr>
          <w:rFonts w:ascii="Times" w:hAnsi="Times"/>
          <w:color w:val="000000" w:themeColor="text1"/>
        </w:rPr>
        <w:t>10</w:t>
      </w:r>
      <w:r w:rsidRPr="00AE5814">
        <w:rPr>
          <w:rFonts w:ascii="Times" w:hAnsi="Times"/>
          <w:color w:val="000000" w:themeColor="text1"/>
        </w:rPr>
        <w:t xml:space="preserve"> years. According to Tavares, “PSA will not become a global company if it doesn’t come back to North America</w:t>
      </w:r>
      <w:r w:rsidR="005034ED">
        <w:rPr>
          <w:rFonts w:ascii="Times" w:hAnsi="Times"/>
          <w:color w:val="000000" w:themeColor="text1"/>
        </w:rPr>
        <w:t>.</w:t>
      </w:r>
      <w:r w:rsidRPr="00AE5814">
        <w:rPr>
          <w:rFonts w:ascii="Times" w:hAnsi="Times"/>
          <w:color w:val="000000" w:themeColor="text1"/>
        </w:rPr>
        <w:t>”</w:t>
      </w:r>
      <w:r w:rsidRPr="00AE5814">
        <w:rPr>
          <w:rStyle w:val="EndnoteReference"/>
          <w:rFonts w:ascii="Times" w:hAnsi="Times"/>
          <w:color w:val="000000" w:themeColor="text1"/>
        </w:rPr>
        <w:endnoteReference w:id="4"/>
      </w:r>
      <w:r w:rsidRPr="00AE5814">
        <w:rPr>
          <w:rFonts w:ascii="Times" w:hAnsi="Times"/>
          <w:color w:val="000000" w:themeColor="text1"/>
        </w:rPr>
        <w:t xml:space="preserve"> </w:t>
      </w:r>
      <w:r>
        <w:rPr>
          <w:rFonts w:ascii="Times" w:hAnsi="Times"/>
          <w:color w:val="000000" w:themeColor="text1"/>
        </w:rPr>
        <w:t>I</w:t>
      </w:r>
      <w:r w:rsidRPr="00AE5814">
        <w:rPr>
          <w:rFonts w:ascii="Times" w:hAnsi="Times"/>
          <w:color w:val="000000" w:themeColor="text1"/>
        </w:rPr>
        <w:t>n 2016, the company announced</w:t>
      </w:r>
      <w:r>
        <w:rPr>
          <w:rFonts w:ascii="Times" w:hAnsi="Times"/>
          <w:color w:val="000000" w:themeColor="text1"/>
        </w:rPr>
        <w:t xml:space="preserve"> </w:t>
      </w:r>
      <w:r w:rsidR="00086E74">
        <w:rPr>
          <w:rFonts w:ascii="Times" w:hAnsi="Times"/>
          <w:color w:val="000000" w:themeColor="text1"/>
        </w:rPr>
        <w:t>its</w:t>
      </w:r>
      <w:r>
        <w:rPr>
          <w:rFonts w:ascii="Times" w:hAnsi="Times"/>
          <w:color w:val="000000" w:themeColor="text1"/>
        </w:rPr>
        <w:t xml:space="preserve"> U.S. re-entry strategy</w:t>
      </w:r>
      <w:r w:rsidRPr="00AE5814">
        <w:rPr>
          <w:rFonts w:ascii="Times" w:hAnsi="Times"/>
          <w:color w:val="000000" w:themeColor="text1"/>
        </w:rPr>
        <w:t xml:space="preserve"> </w:t>
      </w:r>
      <w:r>
        <w:rPr>
          <w:rFonts w:ascii="Times" w:hAnsi="Times"/>
          <w:color w:val="000000" w:themeColor="text1"/>
        </w:rPr>
        <w:t>through a</w:t>
      </w:r>
      <w:r w:rsidRPr="00AE5814">
        <w:rPr>
          <w:rFonts w:ascii="Times" w:hAnsi="Times"/>
          <w:color w:val="000000" w:themeColor="text1"/>
        </w:rPr>
        <w:t xml:space="preserve"> car-sharing partnership with a Paris-based electric operator </w:t>
      </w:r>
      <w:r w:rsidR="00086E74">
        <w:rPr>
          <w:rFonts w:ascii="Times" w:hAnsi="Times"/>
          <w:color w:val="000000" w:themeColor="text1"/>
        </w:rPr>
        <w:t>that</w:t>
      </w:r>
      <w:r w:rsidRPr="00AE5814">
        <w:rPr>
          <w:rFonts w:ascii="Times" w:hAnsi="Times"/>
          <w:color w:val="000000" w:themeColor="text1"/>
        </w:rPr>
        <w:t xml:space="preserve"> would, in time, stock its fleets with Peugeot cars.</w:t>
      </w:r>
      <w:r>
        <w:rPr>
          <w:rFonts w:ascii="Times" w:hAnsi="Times"/>
          <w:color w:val="000000" w:themeColor="text1"/>
        </w:rPr>
        <w:t xml:space="preserve"> </w:t>
      </w:r>
    </w:p>
    <w:p w14:paraId="796C9CC4" w14:textId="77777777" w:rsidR="00777CED" w:rsidRDefault="00777CED" w:rsidP="007B429C">
      <w:pPr>
        <w:pStyle w:val="BodyTextMain"/>
        <w:rPr>
          <w:rFonts w:ascii="Times" w:hAnsi="Times"/>
          <w:b/>
          <w:color w:val="000000" w:themeColor="text1"/>
        </w:rPr>
      </w:pPr>
    </w:p>
    <w:p w14:paraId="3979F3ED" w14:textId="093F094A" w:rsidR="00880A06" w:rsidRDefault="00777CED" w:rsidP="007B429C">
      <w:pPr>
        <w:pStyle w:val="BodyTextMain"/>
        <w:rPr>
          <w:rFonts w:ascii="Times" w:hAnsi="Times"/>
          <w:color w:val="000000" w:themeColor="text1"/>
        </w:rPr>
      </w:pPr>
      <w:r w:rsidRPr="00AE5814">
        <w:rPr>
          <w:rFonts w:ascii="Times" w:hAnsi="Times"/>
          <w:color w:val="000000" w:themeColor="text1"/>
        </w:rPr>
        <w:t>Tavares had be</w:t>
      </w:r>
      <w:r w:rsidR="00880A06">
        <w:rPr>
          <w:rFonts w:ascii="Times" w:hAnsi="Times"/>
          <w:color w:val="000000" w:themeColor="text1"/>
        </w:rPr>
        <w:t>en appointed</w:t>
      </w:r>
      <w:r w:rsidRPr="00AE5814">
        <w:rPr>
          <w:rFonts w:ascii="Times" w:hAnsi="Times"/>
          <w:color w:val="000000" w:themeColor="text1"/>
        </w:rPr>
        <w:t xml:space="preserve"> CEO and </w:t>
      </w:r>
      <w:r w:rsidR="00086E74">
        <w:rPr>
          <w:rFonts w:ascii="Times" w:hAnsi="Times"/>
          <w:color w:val="000000" w:themeColor="text1"/>
        </w:rPr>
        <w:t>c</w:t>
      </w:r>
      <w:r w:rsidRPr="00AE5814">
        <w:rPr>
          <w:rFonts w:ascii="Times" w:hAnsi="Times"/>
          <w:color w:val="000000" w:themeColor="text1"/>
        </w:rPr>
        <w:t>hair</w:t>
      </w:r>
      <w:r w:rsidR="00086E74">
        <w:rPr>
          <w:rFonts w:ascii="Times" w:hAnsi="Times"/>
          <w:color w:val="000000" w:themeColor="text1"/>
        </w:rPr>
        <w:t xml:space="preserve"> </w:t>
      </w:r>
      <w:r w:rsidRPr="00AE5814">
        <w:rPr>
          <w:rFonts w:ascii="Times" w:hAnsi="Times"/>
          <w:color w:val="000000" w:themeColor="text1"/>
        </w:rPr>
        <w:t xml:space="preserve">of the company in 2014 to achieve a strategic turnaround of </w:t>
      </w:r>
      <w:r w:rsidR="00163527">
        <w:rPr>
          <w:rFonts w:ascii="Times" w:hAnsi="Times"/>
          <w:color w:val="000000" w:themeColor="text1"/>
        </w:rPr>
        <w:t>PSA</w:t>
      </w:r>
      <w:r w:rsidR="00213E1F">
        <w:rPr>
          <w:rFonts w:ascii="Times" w:hAnsi="Times"/>
          <w:color w:val="000000" w:themeColor="text1"/>
        </w:rPr>
        <w:t xml:space="preserve"> </w:t>
      </w:r>
      <w:r w:rsidRPr="00AE5814">
        <w:rPr>
          <w:rFonts w:ascii="Times" w:hAnsi="Times"/>
          <w:color w:val="000000" w:themeColor="text1"/>
        </w:rPr>
        <w:t xml:space="preserve">following two consecutive years of </w:t>
      </w:r>
      <w:r>
        <w:rPr>
          <w:rFonts w:ascii="Times" w:hAnsi="Times"/>
          <w:color w:val="000000" w:themeColor="text1"/>
        </w:rPr>
        <w:t>revenue falls</w:t>
      </w:r>
      <w:r w:rsidRPr="00AE5814">
        <w:rPr>
          <w:rFonts w:ascii="Times" w:hAnsi="Times"/>
          <w:color w:val="000000" w:themeColor="text1"/>
        </w:rPr>
        <w:t>,</w:t>
      </w:r>
      <w:r>
        <w:rPr>
          <w:rFonts w:ascii="Times" w:hAnsi="Times"/>
          <w:color w:val="000000" w:themeColor="text1"/>
        </w:rPr>
        <w:t xml:space="preserve"> job cuts</w:t>
      </w:r>
      <w:r w:rsidR="00086E74">
        <w:rPr>
          <w:rFonts w:ascii="Times" w:hAnsi="Times"/>
          <w:color w:val="000000" w:themeColor="text1"/>
        </w:rPr>
        <w:t>,</w:t>
      </w:r>
      <w:r>
        <w:rPr>
          <w:rFonts w:ascii="Times" w:hAnsi="Times"/>
          <w:color w:val="000000" w:themeColor="text1"/>
        </w:rPr>
        <w:t xml:space="preserve"> and the closure of </w:t>
      </w:r>
      <w:r w:rsidR="00213E1F">
        <w:rPr>
          <w:rFonts w:ascii="Times" w:hAnsi="Times"/>
          <w:color w:val="000000" w:themeColor="text1"/>
        </w:rPr>
        <w:t>its</w:t>
      </w:r>
      <w:r w:rsidRPr="00AE5814">
        <w:rPr>
          <w:rFonts w:ascii="Times" w:hAnsi="Times"/>
          <w:color w:val="000000" w:themeColor="text1"/>
        </w:rPr>
        <w:t xml:space="preserve"> largest manufacturing facility in France. In 2013, </w:t>
      </w:r>
      <w:r>
        <w:rPr>
          <w:rFonts w:ascii="Times" w:hAnsi="Times"/>
          <w:color w:val="000000" w:themeColor="text1"/>
        </w:rPr>
        <w:t xml:space="preserve">income from new </w:t>
      </w:r>
      <w:r w:rsidRPr="00AE5814">
        <w:rPr>
          <w:rFonts w:ascii="Times" w:hAnsi="Times"/>
          <w:color w:val="000000" w:themeColor="text1"/>
        </w:rPr>
        <w:t xml:space="preserve">sales </w:t>
      </w:r>
      <w:r>
        <w:rPr>
          <w:rFonts w:ascii="Times" w:hAnsi="Times"/>
          <w:color w:val="000000" w:themeColor="text1"/>
        </w:rPr>
        <w:t xml:space="preserve">had </w:t>
      </w:r>
      <w:r w:rsidRPr="00AE5814">
        <w:rPr>
          <w:rFonts w:ascii="Times" w:hAnsi="Times"/>
          <w:color w:val="000000" w:themeColor="text1"/>
        </w:rPr>
        <w:t xml:space="preserve">dropped </w:t>
      </w:r>
      <w:r>
        <w:rPr>
          <w:rFonts w:ascii="Times" w:hAnsi="Times"/>
          <w:color w:val="000000" w:themeColor="text1"/>
        </w:rPr>
        <w:t>significantly as the company sold</w:t>
      </w:r>
      <w:r w:rsidRPr="00AE5814">
        <w:rPr>
          <w:rFonts w:ascii="Times" w:hAnsi="Times"/>
          <w:color w:val="000000" w:themeColor="text1"/>
        </w:rPr>
        <w:t xml:space="preserve"> less than 2.82 million vehicles worldwide, down almost </w:t>
      </w:r>
      <w:r w:rsidR="009E378E">
        <w:rPr>
          <w:rFonts w:ascii="Times" w:hAnsi="Times"/>
          <w:color w:val="000000" w:themeColor="text1"/>
        </w:rPr>
        <w:t>5</w:t>
      </w:r>
      <w:r w:rsidRPr="00AE5814">
        <w:rPr>
          <w:rFonts w:ascii="Times" w:hAnsi="Times"/>
          <w:color w:val="000000" w:themeColor="text1"/>
        </w:rPr>
        <w:t xml:space="preserve"> per cent </w:t>
      </w:r>
      <w:r w:rsidR="00880A06">
        <w:rPr>
          <w:rFonts w:ascii="Times" w:hAnsi="Times"/>
          <w:color w:val="000000" w:themeColor="text1"/>
        </w:rPr>
        <w:t>from</w:t>
      </w:r>
      <w:r w:rsidRPr="00AE5814">
        <w:rPr>
          <w:rFonts w:ascii="Times" w:hAnsi="Times"/>
          <w:color w:val="000000" w:themeColor="text1"/>
        </w:rPr>
        <w:t xml:space="preserve"> 2012</w:t>
      </w:r>
      <w:r w:rsidR="008B4431">
        <w:rPr>
          <w:rFonts w:ascii="Times" w:hAnsi="Times"/>
          <w:color w:val="000000" w:themeColor="text1"/>
        </w:rPr>
        <w:t>,</w:t>
      </w:r>
      <w:r w:rsidRPr="00AE5814">
        <w:rPr>
          <w:rFonts w:ascii="Times" w:hAnsi="Times"/>
          <w:color w:val="000000" w:themeColor="text1"/>
        </w:rPr>
        <w:t xml:space="preserve"> mainly due to a declining car market in European countries</w:t>
      </w:r>
      <w:r w:rsidR="005034ED">
        <w:rPr>
          <w:rFonts w:ascii="Times" w:hAnsi="Times"/>
          <w:color w:val="000000" w:themeColor="text1"/>
        </w:rPr>
        <w:t>.</w:t>
      </w:r>
      <w:r w:rsidRPr="00AE5814">
        <w:rPr>
          <w:rStyle w:val="EndnoteReference"/>
          <w:rFonts w:ascii="Times" w:hAnsi="Times"/>
          <w:color w:val="000000" w:themeColor="text1"/>
        </w:rPr>
        <w:endnoteReference w:id="5"/>
      </w:r>
      <w:r w:rsidRPr="00AE5814">
        <w:rPr>
          <w:rFonts w:ascii="Times" w:hAnsi="Times"/>
          <w:color w:val="000000" w:themeColor="text1"/>
        </w:rPr>
        <w:t xml:space="preserve"> It had proven increasingly difficult to focus on </w:t>
      </w:r>
      <w:r w:rsidR="00444654">
        <w:rPr>
          <w:rFonts w:ascii="Times" w:hAnsi="Times"/>
          <w:color w:val="000000" w:themeColor="text1"/>
        </w:rPr>
        <w:t xml:space="preserve">an </w:t>
      </w:r>
      <w:r>
        <w:rPr>
          <w:rFonts w:ascii="Times" w:hAnsi="Times"/>
          <w:color w:val="000000" w:themeColor="text1"/>
        </w:rPr>
        <w:t>international expansion strategy</w:t>
      </w:r>
      <w:r w:rsidR="00444654">
        <w:rPr>
          <w:rFonts w:ascii="Times" w:hAnsi="Times"/>
          <w:color w:val="000000" w:themeColor="text1"/>
        </w:rPr>
        <w:t>,</w:t>
      </w:r>
      <w:r w:rsidRPr="00AE5814">
        <w:rPr>
          <w:rFonts w:ascii="Times" w:hAnsi="Times"/>
          <w:color w:val="000000" w:themeColor="text1"/>
        </w:rPr>
        <w:t xml:space="preserve"> </w:t>
      </w:r>
      <w:r w:rsidR="008B4431">
        <w:rPr>
          <w:rFonts w:ascii="Times" w:hAnsi="Times"/>
          <w:color w:val="000000" w:themeColor="text1"/>
        </w:rPr>
        <w:t>because</w:t>
      </w:r>
      <w:r w:rsidR="008B4431" w:rsidRPr="00AE5814">
        <w:rPr>
          <w:rFonts w:ascii="Times" w:hAnsi="Times"/>
          <w:color w:val="000000" w:themeColor="text1"/>
        </w:rPr>
        <w:t xml:space="preserve"> </w:t>
      </w:r>
      <w:r w:rsidR="00163527">
        <w:rPr>
          <w:rFonts w:ascii="Times" w:hAnsi="Times"/>
          <w:color w:val="000000" w:themeColor="text1"/>
        </w:rPr>
        <w:t>PSA</w:t>
      </w:r>
      <w:r w:rsidRPr="00AE5814">
        <w:rPr>
          <w:rFonts w:ascii="Times" w:hAnsi="Times"/>
          <w:color w:val="000000" w:themeColor="text1"/>
        </w:rPr>
        <w:t xml:space="preserve"> drew most of its profits from its home market and other European markets such as Spain, Italy</w:t>
      </w:r>
      <w:r w:rsidR="005034ED">
        <w:rPr>
          <w:rFonts w:ascii="Times" w:hAnsi="Times"/>
          <w:color w:val="000000" w:themeColor="text1"/>
        </w:rPr>
        <w:t>,</w:t>
      </w:r>
      <w:r w:rsidRPr="00AE5814">
        <w:rPr>
          <w:rFonts w:ascii="Times" w:hAnsi="Times"/>
          <w:color w:val="000000" w:themeColor="text1"/>
        </w:rPr>
        <w:t xml:space="preserve"> and the </w:t>
      </w:r>
      <w:r w:rsidR="005034ED">
        <w:rPr>
          <w:rFonts w:ascii="Times" w:hAnsi="Times"/>
          <w:color w:val="000000" w:themeColor="text1"/>
        </w:rPr>
        <w:t>United Kingdom</w:t>
      </w:r>
      <w:r w:rsidRPr="00AE5814">
        <w:rPr>
          <w:rFonts w:ascii="Times" w:hAnsi="Times"/>
          <w:color w:val="000000" w:themeColor="text1"/>
        </w:rPr>
        <w:t>.</w:t>
      </w:r>
      <w:r w:rsidRPr="00AE5814">
        <w:rPr>
          <w:rStyle w:val="EndnoteReference"/>
          <w:rFonts w:ascii="Times" w:hAnsi="Times"/>
          <w:color w:val="000000" w:themeColor="text1"/>
        </w:rPr>
        <w:endnoteReference w:id="6"/>
      </w:r>
      <w:r w:rsidRPr="00AE5814">
        <w:rPr>
          <w:rFonts w:ascii="Times" w:hAnsi="Times"/>
          <w:color w:val="000000" w:themeColor="text1"/>
        </w:rPr>
        <w:t xml:space="preserve"> </w:t>
      </w:r>
      <w:r w:rsidR="00880A06">
        <w:rPr>
          <w:rFonts w:ascii="Times" w:hAnsi="Times"/>
          <w:color w:val="000000" w:themeColor="text1"/>
        </w:rPr>
        <w:t>However, b</w:t>
      </w:r>
      <w:r>
        <w:rPr>
          <w:rFonts w:ascii="Times" w:hAnsi="Times"/>
          <w:color w:val="000000" w:themeColor="text1"/>
        </w:rPr>
        <w:t>y early 2017</w:t>
      </w:r>
      <w:r w:rsidR="00086E74">
        <w:rPr>
          <w:rFonts w:ascii="Times" w:hAnsi="Times"/>
          <w:color w:val="000000" w:themeColor="text1"/>
        </w:rPr>
        <w:t>,</w:t>
      </w:r>
      <w:r w:rsidRPr="00AE5814">
        <w:rPr>
          <w:rFonts w:ascii="Times" w:hAnsi="Times"/>
          <w:color w:val="000000" w:themeColor="text1"/>
        </w:rPr>
        <w:t xml:space="preserve"> </w:t>
      </w:r>
      <w:r w:rsidR="00880A06">
        <w:rPr>
          <w:rFonts w:ascii="Times" w:hAnsi="Times"/>
          <w:color w:val="000000" w:themeColor="text1"/>
        </w:rPr>
        <w:t xml:space="preserve">it was </w:t>
      </w:r>
      <w:r w:rsidRPr="00AE5814">
        <w:rPr>
          <w:rFonts w:ascii="Times" w:hAnsi="Times"/>
          <w:color w:val="000000" w:themeColor="text1"/>
        </w:rPr>
        <w:t xml:space="preserve">clear that </w:t>
      </w:r>
      <w:r w:rsidR="00081DEC">
        <w:rPr>
          <w:rFonts w:ascii="Times" w:hAnsi="Times"/>
          <w:color w:val="000000" w:themeColor="text1"/>
        </w:rPr>
        <w:t>PSA</w:t>
      </w:r>
      <w:r w:rsidRPr="00AE5814">
        <w:rPr>
          <w:rFonts w:ascii="Times" w:hAnsi="Times"/>
          <w:color w:val="000000" w:themeColor="text1"/>
        </w:rPr>
        <w:t xml:space="preserve"> had little option but to continue growing internationally and compete head on with key global players in the auto</w:t>
      </w:r>
      <w:r w:rsidR="00753074">
        <w:rPr>
          <w:rFonts w:ascii="Times" w:hAnsi="Times"/>
          <w:color w:val="000000" w:themeColor="text1"/>
        </w:rPr>
        <w:t>motive</w:t>
      </w:r>
      <w:r w:rsidRPr="00AE5814">
        <w:rPr>
          <w:rFonts w:ascii="Times" w:hAnsi="Times"/>
          <w:color w:val="000000" w:themeColor="text1"/>
        </w:rPr>
        <w:t xml:space="preserve"> industry such as Toyota</w:t>
      </w:r>
      <w:r w:rsidR="00324617">
        <w:rPr>
          <w:rFonts w:ascii="Times" w:hAnsi="Times"/>
          <w:color w:val="000000" w:themeColor="text1"/>
        </w:rPr>
        <w:t xml:space="preserve"> Motor Corporation (Toyota)</w:t>
      </w:r>
      <w:r w:rsidRPr="00AE5814">
        <w:rPr>
          <w:rFonts w:ascii="Times" w:hAnsi="Times"/>
          <w:color w:val="000000" w:themeColor="text1"/>
        </w:rPr>
        <w:t>, Volkswagen</w:t>
      </w:r>
      <w:r w:rsidR="00324617">
        <w:rPr>
          <w:rFonts w:ascii="Times" w:hAnsi="Times"/>
          <w:color w:val="000000" w:themeColor="text1"/>
        </w:rPr>
        <w:t xml:space="preserve"> Group (VW)</w:t>
      </w:r>
      <w:r w:rsidRPr="00AE5814">
        <w:rPr>
          <w:rFonts w:ascii="Times" w:hAnsi="Times"/>
          <w:color w:val="000000" w:themeColor="text1"/>
        </w:rPr>
        <w:t>, Tata Motors</w:t>
      </w:r>
      <w:r w:rsidR="00324617">
        <w:rPr>
          <w:rFonts w:ascii="Times" w:hAnsi="Times"/>
          <w:color w:val="000000" w:themeColor="text1"/>
        </w:rPr>
        <w:t xml:space="preserve"> Limited (Tata</w:t>
      </w:r>
      <w:r w:rsidR="003F4FFD">
        <w:rPr>
          <w:rFonts w:ascii="Times" w:hAnsi="Times"/>
          <w:color w:val="000000" w:themeColor="text1"/>
        </w:rPr>
        <w:t xml:space="preserve"> Motors</w:t>
      </w:r>
      <w:r w:rsidR="00324617">
        <w:rPr>
          <w:rFonts w:ascii="Times" w:hAnsi="Times"/>
          <w:color w:val="000000" w:themeColor="text1"/>
        </w:rPr>
        <w:t>)</w:t>
      </w:r>
      <w:r w:rsidR="005034ED">
        <w:rPr>
          <w:rFonts w:ascii="Times" w:hAnsi="Times"/>
          <w:color w:val="000000" w:themeColor="text1"/>
        </w:rPr>
        <w:t>,</w:t>
      </w:r>
      <w:r w:rsidRPr="00AE5814">
        <w:rPr>
          <w:rFonts w:ascii="Times" w:hAnsi="Times"/>
          <w:color w:val="000000" w:themeColor="text1"/>
        </w:rPr>
        <w:t xml:space="preserve"> and Tesla</w:t>
      </w:r>
      <w:r w:rsidR="00324617">
        <w:rPr>
          <w:rFonts w:ascii="Times" w:hAnsi="Times"/>
          <w:color w:val="000000" w:themeColor="text1"/>
        </w:rPr>
        <w:t xml:space="preserve"> Inc</w:t>
      </w:r>
      <w:r w:rsidR="00CE3204">
        <w:rPr>
          <w:rFonts w:ascii="Times" w:hAnsi="Times"/>
          <w:color w:val="000000" w:themeColor="text1"/>
        </w:rPr>
        <w:t>.</w:t>
      </w:r>
      <w:r w:rsidR="00324617">
        <w:rPr>
          <w:rFonts w:ascii="Times" w:hAnsi="Times"/>
          <w:color w:val="000000" w:themeColor="text1"/>
        </w:rPr>
        <w:t xml:space="preserve"> (Tesla)</w:t>
      </w:r>
      <w:r w:rsidRPr="00AE5814">
        <w:rPr>
          <w:rFonts w:ascii="Times" w:hAnsi="Times"/>
          <w:color w:val="000000" w:themeColor="text1"/>
        </w:rPr>
        <w:t xml:space="preserve">. It was not enough for </w:t>
      </w:r>
      <w:r w:rsidR="00081DEC">
        <w:rPr>
          <w:rFonts w:ascii="Times" w:hAnsi="Times"/>
          <w:color w:val="000000" w:themeColor="text1"/>
        </w:rPr>
        <w:t>PSA</w:t>
      </w:r>
      <w:r w:rsidRPr="00AE5814">
        <w:rPr>
          <w:rFonts w:ascii="Times" w:hAnsi="Times"/>
          <w:color w:val="000000" w:themeColor="text1"/>
        </w:rPr>
        <w:t xml:space="preserve"> to concentrate on the European market and on emerging markets such as China and Russia</w:t>
      </w:r>
      <w:r w:rsidR="00880A06">
        <w:rPr>
          <w:rFonts w:ascii="Times" w:hAnsi="Times"/>
          <w:color w:val="000000" w:themeColor="text1"/>
        </w:rPr>
        <w:t>,</w:t>
      </w:r>
      <w:r w:rsidRPr="00AE5814">
        <w:rPr>
          <w:rFonts w:ascii="Times" w:hAnsi="Times"/>
          <w:color w:val="000000" w:themeColor="text1"/>
        </w:rPr>
        <w:t xml:space="preserve"> where </w:t>
      </w:r>
      <w:r w:rsidR="00213E1F">
        <w:rPr>
          <w:rFonts w:ascii="Times" w:hAnsi="Times"/>
          <w:color w:val="000000" w:themeColor="text1"/>
        </w:rPr>
        <w:t>it was</w:t>
      </w:r>
      <w:r w:rsidRPr="00AE5814">
        <w:rPr>
          <w:rFonts w:ascii="Times" w:hAnsi="Times"/>
          <w:color w:val="000000" w:themeColor="text1"/>
        </w:rPr>
        <w:t xml:space="preserve"> also experiencing declining sales</w:t>
      </w:r>
      <w:r w:rsidR="005034ED">
        <w:rPr>
          <w:rFonts w:ascii="Times" w:hAnsi="Times"/>
          <w:color w:val="000000" w:themeColor="text1"/>
        </w:rPr>
        <w:t>.</w:t>
      </w:r>
      <w:r w:rsidRPr="00AE5814">
        <w:rPr>
          <w:rStyle w:val="EndnoteReference"/>
          <w:rFonts w:ascii="Times" w:hAnsi="Times"/>
          <w:color w:val="000000" w:themeColor="text1"/>
        </w:rPr>
        <w:endnoteReference w:id="7"/>
      </w:r>
      <w:r w:rsidRPr="00AE5814">
        <w:rPr>
          <w:rFonts w:ascii="Times" w:hAnsi="Times"/>
          <w:color w:val="000000" w:themeColor="text1"/>
        </w:rPr>
        <w:t xml:space="preserve"> </w:t>
      </w:r>
    </w:p>
    <w:p w14:paraId="168F94C1" w14:textId="77777777" w:rsidR="00880A06" w:rsidRDefault="00880A06" w:rsidP="007B429C">
      <w:pPr>
        <w:pStyle w:val="BodyTextMain"/>
        <w:rPr>
          <w:rFonts w:ascii="Times" w:hAnsi="Times"/>
          <w:color w:val="000000" w:themeColor="text1"/>
        </w:rPr>
      </w:pPr>
    </w:p>
    <w:p w14:paraId="1D4A78CC" w14:textId="14F1DDC1" w:rsidR="00777CED" w:rsidRDefault="00777CED" w:rsidP="007B429C">
      <w:pPr>
        <w:pStyle w:val="BodyTextMain"/>
        <w:rPr>
          <w:rFonts w:ascii="Times" w:hAnsi="Times"/>
          <w:color w:val="000000" w:themeColor="text1"/>
        </w:rPr>
      </w:pPr>
      <w:r>
        <w:rPr>
          <w:rFonts w:ascii="Times" w:hAnsi="Times"/>
          <w:color w:val="000000" w:themeColor="text1"/>
        </w:rPr>
        <w:t>Given these changes in the competitive environment, s</w:t>
      </w:r>
      <w:r w:rsidRPr="00AE5814">
        <w:rPr>
          <w:rFonts w:ascii="Times" w:hAnsi="Times"/>
          <w:color w:val="000000" w:themeColor="text1"/>
        </w:rPr>
        <w:t xml:space="preserve">hould </w:t>
      </w:r>
      <w:r w:rsidR="00081DEC">
        <w:rPr>
          <w:rFonts w:ascii="Times" w:hAnsi="Times"/>
          <w:color w:val="000000" w:themeColor="text1"/>
        </w:rPr>
        <w:t>PSA</w:t>
      </w:r>
      <w:r w:rsidRPr="00AE5814">
        <w:rPr>
          <w:rFonts w:ascii="Times" w:hAnsi="Times"/>
          <w:color w:val="000000" w:themeColor="text1"/>
        </w:rPr>
        <w:t xml:space="preserve"> re-enter the U.S. market to sustain growth and get closer to becoming a truly global company? If so, what</w:t>
      </w:r>
      <w:r w:rsidR="00880A06">
        <w:rPr>
          <w:rFonts w:ascii="Times" w:hAnsi="Times"/>
          <w:color w:val="000000" w:themeColor="text1"/>
        </w:rPr>
        <w:t xml:space="preserve"> re-entry</w:t>
      </w:r>
      <w:r w:rsidRPr="00AE5814">
        <w:rPr>
          <w:rFonts w:ascii="Times" w:hAnsi="Times"/>
          <w:color w:val="000000" w:themeColor="text1"/>
        </w:rPr>
        <w:t xml:space="preserve"> strategies should</w:t>
      </w:r>
      <w:r w:rsidR="00880A06">
        <w:rPr>
          <w:rFonts w:ascii="Times" w:hAnsi="Times"/>
          <w:color w:val="000000" w:themeColor="text1"/>
        </w:rPr>
        <w:t xml:space="preserve"> the company undertake</w:t>
      </w:r>
      <w:r w:rsidRPr="00AE5814">
        <w:rPr>
          <w:rFonts w:ascii="Times" w:hAnsi="Times"/>
          <w:color w:val="000000" w:themeColor="text1"/>
        </w:rPr>
        <w:t xml:space="preserve">? </w:t>
      </w:r>
      <w:r>
        <w:rPr>
          <w:rFonts w:ascii="Times" w:hAnsi="Times"/>
          <w:color w:val="000000" w:themeColor="text1"/>
        </w:rPr>
        <w:t>Could</w:t>
      </w:r>
      <w:r w:rsidRPr="00AE5814">
        <w:rPr>
          <w:rFonts w:ascii="Times" w:hAnsi="Times"/>
          <w:color w:val="000000" w:themeColor="text1"/>
        </w:rPr>
        <w:t xml:space="preserve"> </w:t>
      </w:r>
      <w:r w:rsidR="00952738">
        <w:rPr>
          <w:rFonts w:ascii="Times" w:hAnsi="Times"/>
          <w:color w:val="000000" w:themeColor="text1"/>
        </w:rPr>
        <w:t>it</w:t>
      </w:r>
      <w:r w:rsidRPr="00AE5814">
        <w:rPr>
          <w:rFonts w:ascii="Times" w:hAnsi="Times"/>
          <w:color w:val="000000" w:themeColor="text1"/>
        </w:rPr>
        <w:t xml:space="preserve"> benefit from having </w:t>
      </w:r>
      <w:r>
        <w:rPr>
          <w:rFonts w:ascii="Times" w:hAnsi="Times"/>
          <w:color w:val="000000" w:themeColor="text1"/>
        </w:rPr>
        <w:t xml:space="preserve">previously </w:t>
      </w:r>
      <w:r w:rsidRPr="00AE5814">
        <w:rPr>
          <w:rFonts w:ascii="Times" w:hAnsi="Times"/>
          <w:color w:val="000000" w:themeColor="text1"/>
        </w:rPr>
        <w:t>operated in the market or ha</w:t>
      </w:r>
      <w:r>
        <w:rPr>
          <w:rFonts w:ascii="Times" w:hAnsi="Times"/>
          <w:color w:val="000000" w:themeColor="text1"/>
        </w:rPr>
        <w:t>d</w:t>
      </w:r>
      <w:r w:rsidRPr="00AE5814">
        <w:rPr>
          <w:rFonts w:ascii="Times" w:hAnsi="Times"/>
          <w:color w:val="000000" w:themeColor="text1"/>
        </w:rPr>
        <w:t xml:space="preserve"> </w:t>
      </w:r>
      <w:r w:rsidR="00952738">
        <w:rPr>
          <w:rFonts w:ascii="Times" w:hAnsi="Times"/>
          <w:color w:val="000000" w:themeColor="text1"/>
        </w:rPr>
        <w:t xml:space="preserve">the market </w:t>
      </w:r>
      <w:r w:rsidRPr="00AE5814">
        <w:rPr>
          <w:rFonts w:ascii="Times" w:hAnsi="Times"/>
          <w:color w:val="000000" w:themeColor="text1"/>
        </w:rPr>
        <w:t>changed</w:t>
      </w:r>
      <w:r w:rsidR="00213E1F">
        <w:rPr>
          <w:rFonts w:ascii="Times" w:hAnsi="Times"/>
          <w:color w:val="000000" w:themeColor="text1"/>
        </w:rPr>
        <w:t xml:space="preserve"> too much</w:t>
      </w:r>
      <w:r w:rsidRPr="00AE5814">
        <w:rPr>
          <w:rFonts w:ascii="Times" w:hAnsi="Times"/>
          <w:color w:val="000000" w:themeColor="text1"/>
        </w:rPr>
        <w:t xml:space="preserve">? In short, </w:t>
      </w:r>
      <w:r>
        <w:rPr>
          <w:rFonts w:ascii="Times" w:hAnsi="Times"/>
          <w:color w:val="000000" w:themeColor="text1"/>
        </w:rPr>
        <w:t>could</w:t>
      </w:r>
      <w:r w:rsidRPr="00AE5814">
        <w:rPr>
          <w:rFonts w:ascii="Times" w:hAnsi="Times"/>
          <w:color w:val="000000" w:themeColor="text1"/>
        </w:rPr>
        <w:t xml:space="preserve"> re-entering the U.S. market help </w:t>
      </w:r>
      <w:r w:rsidR="00081DEC">
        <w:rPr>
          <w:rFonts w:ascii="Times" w:hAnsi="Times"/>
          <w:color w:val="000000" w:themeColor="text1"/>
        </w:rPr>
        <w:t>PSA</w:t>
      </w:r>
      <w:r w:rsidRPr="00AE5814">
        <w:rPr>
          <w:rFonts w:ascii="Times" w:hAnsi="Times"/>
          <w:color w:val="000000" w:themeColor="text1"/>
        </w:rPr>
        <w:t xml:space="preserve"> respond to growing competitive pressures in the global automotive industry? </w:t>
      </w:r>
    </w:p>
    <w:p w14:paraId="4D08E4ED" w14:textId="77777777" w:rsidR="00777CED" w:rsidRDefault="00777CED" w:rsidP="007B429C">
      <w:pPr>
        <w:pStyle w:val="BodyTextMain"/>
      </w:pPr>
    </w:p>
    <w:p w14:paraId="6943487D" w14:textId="77777777" w:rsidR="00606B63" w:rsidRDefault="00606B63" w:rsidP="007B429C">
      <w:pPr>
        <w:pStyle w:val="BodyTextMain"/>
        <w:rPr>
          <w:rFonts w:ascii="Arial" w:hAnsi="Arial" w:cs="Arial"/>
        </w:rPr>
      </w:pPr>
      <w:r>
        <w:br w:type="page"/>
      </w:r>
    </w:p>
    <w:p w14:paraId="5540CEEE" w14:textId="1DD4F87A" w:rsidR="00777CED" w:rsidRDefault="00777CED" w:rsidP="007B429C">
      <w:pPr>
        <w:pStyle w:val="Casehead1"/>
        <w:outlineLvl w:val="0"/>
        <w:rPr>
          <w:sz w:val="22"/>
          <w:szCs w:val="22"/>
        </w:rPr>
      </w:pPr>
      <w:r w:rsidRPr="00AE5814">
        <w:rPr>
          <w:sz w:val="22"/>
          <w:szCs w:val="22"/>
        </w:rPr>
        <w:lastRenderedPageBreak/>
        <w:t>GLOBAL AUTOMOTIVE INDUSTRY: UNEVEN MARKETS</w:t>
      </w:r>
    </w:p>
    <w:p w14:paraId="324F7367" w14:textId="77777777" w:rsidR="00606B63" w:rsidRPr="00157BF7" w:rsidRDefault="00606B63" w:rsidP="007B429C">
      <w:pPr>
        <w:pStyle w:val="BodyTextMain"/>
      </w:pPr>
    </w:p>
    <w:p w14:paraId="2D0B0252" w14:textId="6E2B1427" w:rsidR="00777CED" w:rsidRDefault="00777CED" w:rsidP="007B429C">
      <w:pPr>
        <w:pStyle w:val="BodyTextMain"/>
      </w:pPr>
      <w:r w:rsidRPr="00AE5814">
        <w:t xml:space="preserve">For the global automotive industry, the </w:t>
      </w:r>
      <w:r w:rsidR="00F159DC">
        <w:t>previous</w:t>
      </w:r>
      <w:r w:rsidR="00F159DC" w:rsidRPr="00AE5814">
        <w:t xml:space="preserve"> </w:t>
      </w:r>
      <w:r>
        <w:t>decade (2006</w:t>
      </w:r>
      <w:r w:rsidR="005034ED">
        <w:t>–</w:t>
      </w:r>
      <w:r>
        <w:t>2016)</w:t>
      </w:r>
      <w:r w:rsidRPr="00AE5814">
        <w:t xml:space="preserve"> </w:t>
      </w:r>
      <w:r w:rsidR="00F159DC">
        <w:t>had been</w:t>
      </w:r>
      <w:r w:rsidR="00F159DC" w:rsidRPr="00AE5814">
        <w:t xml:space="preserve"> </w:t>
      </w:r>
      <w:r w:rsidRPr="00AE5814">
        <w:t xml:space="preserve">somewhat of a </w:t>
      </w:r>
      <w:r w:rsidR="00086E74">
        <w:t>“</w:t>
      </w:r>
      <w:r w:rsidRPr="00AE5814">
        <w:t>mixed bag</w:t>
      </w:r>
      <w:r w:rsidR="00086E74">
        <w:t>.”</w:t>
      </w:r>
      <w:r w:rsidRPr="00AE5814">
        <w:t xml:space="preserve"> Toyota, V</w:t>
      </w:r>
      <w:r w:rsidR="006C2C49">
        <w:t>W</w:t>
      </w:r>
      <w:r w:rsidR="005034ED">
        <w:t>,</w:t>
      </w:r>
      <w:r w:rsidRPr="00AE5814">
        <w:t xml:space="preserve"> and General Motors </w:t>
      </w:r>
      <w:r w:rsidR="006C2C49">
        <w:t xml:space="preserve">Company (GM) </w:t>
      </w:r>
      <w:r w:rsidRPr="00AE5814">
        <w:t>topped the list of best-selling automakers in 2016 (see</w:t>
      </w:r>
      <w:r w:rsidR="003B61DD">
        <w:t xml:space="preserve"> </w:t>
      </w:r>
      <w:r w:rsidRPr="00AE5814">
        <w:t>Exhibit</w:t>
      </w:r>
      <w:r w:rsidR="003B61DD">
        <w:t xml:space="preserve"> </w:t>
      </w:r>
      <w:r w:rsidRPr="00AE5814">
        <w:t>1).</w:t>
      </w:r>
      <w:r w:rsidR="00F159DC" w:rsidRPr="00AE5814">
        <w:rPr>
          <w:rStyle w:val="EndnoteReference"/>
          <w:rFonts w:ascii="Times" w:hAnsi="Times"/>
          <w:color w:val="000000" w:themeColor="text1"/>
        </w:rPr>
        <w:endnoteReference w:id="8"/>
      </w:r>
    </w:p>
    <w:p w14:paraId="1A64DDB5" w14:textId="77777777" w:rsidR="00777CED" w:rsidRDefault="00777CED" w:rsidP="007B429C">
      <w:pPr>
        <w:pStyle w:val="BodyTextMain"/>
      </w:pPr>
    </w:p>
    <w:p w14:paraId="2A9A1B08" w14:textId="05B0FBDB" w:rsidR="00F25226" w:rsidRDefault="00777CED" w:rsidP="007B429C">
      <w:pPr>
        <w:pStyle w:val="BodyTextMain"/>
      </w:pPr>
      <w:r w:rsidRPr="009E4F44">
        <w:t xml:space="preserve">However, </w:t>
      </w:r>
      <w:r w:rsidR="00086E74">
        <w:t xml:space="preserve">the </w:t>
      </w:r>
      <w:r w:rsidRPr="009E4F44">
        <w:t>decline in sales in European markets dampened prospects for global automakers</w:t>
      </w:r>
      <w:r w:rsidR="00F25226">
        <w:t>,</w:t>
      </w:r>
      <w:r w:rsidRPr="009E4F44">
        <w:t xml:space="preserve"> showing that the industry was still in transition. Although sales started to improve following a six-year slump </w:t>
      </w:r>
      <w:r w:rsidR="00F25226">
        <w:t xml:space="preserve">caused </w:t>
      </w:r>
      <w:r w:rsidRPr="009E4F44">
        <w:t>by the economic recession</w:t>
      </w:r>
      <w:r w:rsidR="0057699B">
        <w:t>—</w:t>
      </w:r>
      <w:r w:rsidRPr="009E4F44">
        <w:t xml:space="preserve">12.6 million new cars </w:t>
      </w:r>
      <w:r w:rsidR="005E1F50">
        <w:t xml:space="preserve">were </w:t>
      </w:r>
      <w:r w:rsidRPr="009E4F44">
        <w:t>registered in Europe in 2015, representing a 9 per cent growth since 2009</w:t>
      </w:r>
      <w:r w:rsidR="0057699B">
        <w:t>—</w:t>
      </w:r>
      <w:r w:rsidR="005E1F50">
        <w:t>sales</w:t>
      </w:r>
      <w:r w:rsidR="005E1F50" w:rsidRPr="009E4F44">
        <w:t xml:space="preserve"> </w:t>
      </w:r>
      <w:r w:rsidRPr="009E4F44">
        <w:t>remained well under the 2007 mark of 18 million</w:t>
      </w:r>
      <w:r w:rsidR="005034ED">
        <w:t>.</w:t>
      </w:r>
      <w:r w:rsidRPr="009E4F44">
        <w:rPr>
          <w:rStyle w:val="EndnoteReference"/>
          <w:rFonts w:ascii="Times" w:hAnsi="Times"/>
          <w:color w:val="000000" w:themeColor="text1"/>
        </w:rPr>
        <w:endnoteReference w:id="9"/>
      </w:r>
      <w:r w:rsidRPr="009E4F44">
        <w:t xml:space="preserve"> </w:t>
      </w:r>
      <w:r>
        <w:t>In April 2016, industry a</w:t>
      </w:r>
      <w:r w:rsidRPr="009E4F44">
        <w:t xml:space="preserve">nalysts </w:t>
      </w:r>
      <w:r>
        <w:t xml:space="preserve">warned </w:t>
      </w:r>
      <w:r w:rsidRPr="009E4F44">
        <w:t>that</w:t>
      </w:r>
      <w:r w:rsidR="005E1F50">
        <w:t>,</w:t>
      </w:r>
      <w:r w:rsidRPr="009E4F44">
        <w:t xml:space="preserve"> </w:t>
      </w:r>
    </w:p>
    <w:p w14:paraId="750BD72C" w14:textId="77777777" w:rsidR="00F25226" w:rsidRDefault="00F25226" w:rsidP="007B429C">
      <w:pPr>
        <w:pStyle w:val="BodyTextMain"/>
      </w:pPr>
    </w:p>
    <w:p w14:paraId="624AA7F2" w14:textId="63BC2CFE" w:rsidR="00F25226" w:rsidRDefault="00777CED" w:rsidP="007B429C">
      <w:pPr>
        <w:pStyle w:val="BodyTextMain"/>
        <w:ind w:left="720"/>
        <w:rPr>
          <w:i/>
          <w:shd w:val="clear" w:color="auto" w:fill="FFFFFF"/>
        </w:rPr>
      </w:pPr>
      <w:r w:rsidRPr="00A67AF2">
        <w:t>[…] passenger car registrations in Europe marked their 31st consecutive month of growth in March, showing that car manufacturing and consumption is one of European Union</w:t>
      </w:r>
      <w:r w:rsidR="00F25226" w:rsidRPr="00A67AF2">
        <w:t>’</w:t>
      </w:r>
      <w:r w:rsidRPr="00A67AF2">
        <w:t>s most robust and resilient industries. But while the numbers add up, Europe</w:t>
      </w:r>
      <w:r w:rsidR="00F25226" w:rsidRPr="00A67AF2">
        <w:t>’</w:t>
      </w:r>
      <w:r w:rsidRPr="00A67AF2">
        <w:t>s car industry is nonetheless a hostage to the economic and political fortunes of the region.</w:t>
      </w:r>
      <w:r w:rsidRPr="00A67AF2">
        <w:rPr>
          <w:rStyle w:val="EndnoteReference"/>
          <w:rFonts w:ascii="Times" w:hAnsi="Times"/>
          <w:color w:val="000000" w:themeColor="text1"/>
        </w:rPr>
        <w:endnoteReference w:id="10"/>
      </w:r>
      <w:r w:rsidRPr="009E4F44">
        <w:rPr>
          <w:i/>
          <w:shd w:val="clear" w:color="auto" w:fill="FFFFFF"/>
        </w:rPr>
        <w:t xml:space="preserve"> </w:t>
      </w:r>
    </w:p>
    <w:p w14:paraId="6519DD95" w14:textId="77777777" w:rsidR="00F25226" w:rsidRDefault="00F25226" w:rsidP="007B429C">
      <w:pPr>
        <w:pStyle w:val="BodyTextMain"/>
        <w:rPr>
          <w:i/>
          <w:shd w:val="clear" w:color="auto" w:fill="FFFFFF"/>
        </w:rPr>
      </w:pPr>
    </w:p>
    <w:p w14:paraId="2C5681D6" w14:textId="225A51CA" w:rsidR="00777CED" w:rsidRDefault="00777CED" w:rsidP="007B429C">
      <w:pPr>
        <w:pStyle w:val="BodyTextMain"/>
      </w:pPr>
      <w:r w:rsidRPr="009E4F44">
        <w:t xml:space="preserve">European car sales were driven mostly by consumers in </w:t>
      </w:r>
      <w:r>
        <w:t>Western European countries, whereas</w:t>
      </w:r>
      <w:r w:rsidRPr="009E4F44">
        <w:t xml:space="preserve"> some of the other, less advanced</w:t>
      </w:r>
      <w:r>
        <w:t xml:space="preserve"> nations remained</w:t>
      </w:r>
      <w:r w:rsidRPr="009E4F44">
        <w:t xml:space="preserve"> at the brink of recession</w:t>
      </w:r>
      <w:r w:rsidR="005034ED">
        <w:t>.</w:t>
      </w:r>
      <w:r w:rsidRPr="00AE5814">
        <w:rPr>
          <w:rStyle w:val="EndnoteReference"/>
          <w:rFonts w:ascii="Times" w:hAnsi="Times"/>
          <w:color w:val="000000" w:themeColor="text1"/>
        </w:rPr>
        <w:endnoteReference w:id="11"/>
      </w:r>
      <w:r w:rsidRPr="00AE5814">
        <w:t xml:space="preserve"> Globally, shifts in consumer demand drove down consumer willingness to pay higher prices for cars as quality standards increased throughout the industry</w:t>
      </w:r>
      <w:r>
        <w:t xml:space="preserve"> </w:t>
      </w:r>
      <w:r w:rsidR="00F25226">
        <w:t>and led</w:t>
      </w:r>
      <w:r>
        <w:t xml:space="preserve"> to</w:t>
      </w:r>
      <w:r w:rsidRPr="00AE5814">
        <w:t xml:space="preserve"> consumers </w:t>
      </w:r>
      <w:r>
        <w:t>keeping</w:t>
      </w:r>
      <w:r w:rsidRPr="00AE5814">
        <w:t xml:space="preserve"> their cars longer</w:t>
      </w:r>
      <w:r w:rsidR="005034ED">
        <w:t>.</w:t>
      </w:r>
      <w:r w:rsidRPr="00AE5814">
        <w:rPr>
          <w:rStyle w:val="EndnoteReference"/>
          <w:rFonts w:ascii="Times" w:hAnsi="Times"/>
          <w:color w:val="000000" w:themeColor="text1"/>
        </w:rPr>
        <w:endnoteReference w:id="12"/>
      </w:r>
      <w:r w:rsidRPr="00AE5814">
        <w:t xml:space="preserve"> </w:t>
      </w:r>
    </w:p>
    <w:p w14:paraId="0DBFA704" w14:textId="77777777" w:rsidR="00777CED" w:rsidRDefault="00777CED" w:rsidP="007B429C">
      <w:pPr>
        <w:pStyle w:val="BodyTextMain"/>
        <w:rPr>
          <w:b/>
        </w:rPr>
      </w:pPr>
    </w:p>
    <w:p w14:paraId="0C7707BE" w14:textId="3BDBDD7F" w:rsidR="00777CED" w:rsidRPr="009E4F44" w:rsidRDefault="00777CED" w:rsidP="007B429C">
      <w:pPr>
        <w:pStyle w:val="BodyTextMain"/>
        <w:rPr>
          <w:rFonts w:ascii="Times" w:hAnsi="Times"/>
          <w:b/>
          <w:color w:val="000000" w:themeColor="text1"/>
        </w:rPr>
      </w:pPr>
      <w:r w:rsidRPr="00AE5814">
        <w:rPr>
          <w:rFonts w:ascii="Times" w:hAnsi="Times"/>
          <w:color w:val="000000" w:themeColor="text1"/>
        </w:rPr>
        <w:t>Trends also included consumer</w:t>
      </w:r>
      <w:r w:rsidR="00F25226">
        <w:rPr>
          <w:rFonts w:ascii="Times" w:hAnsi="Times"/>
          <w:color w:val="000000" w:themeColor="text1"/>
        </w:rPr>
        <w:t>s</w:t>
      </w:r>
      <w:r w:rsidRPr="00AE5814">
        <w:rPr>
          <w:rFonts w:ascii="Times" w:hAnsi="Times"/>
          <w:color w:val="000000" w:themeColor="text1"/>
        </w:rPr>
        <w:t xml:space="preserve"> shifting to</w:t>
      </w:r>
      <w:r w:rsidR="00F25226">
        <w:rPr>
          <w:rFonts w:ascii="Times" w:hAnsi="Times"/>
          <w:color w:val="000000" w:themeColor="text1"/>
        </w:rPr>
        <w:t xml:space="preserve"> </w:t>
      </w:r>
      <w:r w:rsidRPr="00AE5814">
        <w:rPr>
          <w:rFonts w:ascii="Times" w:hAnsi="Times"/>
          <w:color w:val="000000" w:themeColor="text1"/>
        </w:rPr>
        <w:t>smaller and more fuel-efficient vehicles</w:t>
      </w:r>
      <w:r w:rsidR="00F25226">
        <w:rPr>
          <w:rFonts w:ascii="Times" w:hAnsi="Times"/>
          <w:color w:val="000000" w:themeColor="text1"/>
        </w:rPr>
        <w:t>,</w:t>
      </w:r>
      <w:r w:rsidRPr="00AE5814">
        <w:rPr>
          <w:rStyle w:val="EndnoteReference"/>
          <w:rFonts w:ascii="Times" w:hAnsi="Times"/>
          <w:color w:val="000000" w:themeColor="text1"/>
        </w:rPr>
        <w:endnoteReference w:id="13"/>
      </w:r>
      <w:r w:rsidRPr="00AE5814">
        <w:rPr>
          <w:rFonts w:ascii="Times" w:hAnsi="Times"/>
          <w:color w:val="000000" w:themeColor="text1"/>
        </w:rPr>
        <w:t xml:space="preserve"> paralleled by more robust technologies and innovations in vehicle manufacturing such as new safety features, navigational connectivity</w:t>
      </w:r>
      <w:r w:rsidR="00F25226">
        <w:rPr>
          <w:rFonts w:ascii="Times" w:hAnsi="Times"/>
          <w:color w:val="000000" w:themeColor="text1"/>
        </w:rPr>
        <w:t>,</w:t>
      </w:r>
      <w:r w:rsidRPr="00AE5814">
        <w:rPr>
          <w:rFonts w:ascii="Times" w:hAnsi="Times"/>
          <w:color w:val="000000" w:themeColor="text1"/>
        </w:rPr>
        <w:t xml:space="preserve"> and entertainment to meet changing demand. The global automotive industry remained characteri</w:t>
      </w:r>
      <w:r w:rsidR="00F25226">
        <w:rPr>
          <w:rFonts w:ascii="Times" w:hAnsi="Times"/>
          <w:color w:val="000000" w:themeColor="text1"/>
        </w:rPr>
        <w:t>z</w:t>
      </w:r>
      <w:r w:rsidRPr="00AE5814">
        <w:rPr>
          <w:rFonts w:ascii="Times" w:hAnsi="Times"/>
          <w:color w:val="000000" w:themeColor="text1"/>
        </w:rPr>
        <w:t>ed by high capital and labour intensity</w:t>
      </w:r>
      <w:r w:rsidR="00F25226">
        <w:rPr>
          <w:rFonts w:ascii="Times" w:hAnsi="Times"/>
          <w:color w:val="000000" w:themeColor="text1"/>
        </w:rPr>
        <w:t>. R</w:t>
      </w:r>
      <w:r w:rsidRPr="00AE5814">
        <w:rPr>
          <w:rFonts w:ascii="Times" w:hAnsi="Times"/>
          <w:color w:val="000000" w:themeColor="text1"/>
        </w:rPr>
        <w:t>evenues to cover the costs of labour, materials</w:t>
      </w:r>
      <w:r w:rsidR="0054077E">
        <w:rPr>
          <w:rFonts w:ascii="Times" w:hAnsi="Times"/>
          <w:color w:val="000000" w:themeColor="text1"/>
        </w:rPr>
        <w:t>,</w:t>
      </w:r>
      <w:r w:rsidRPr="00AE5814">
        <w:rPr>
          <w:rFonts w:ascii="Times" w:hAnsi="Times"/>
          <w:color w:val="000000" w:themeColor="text1"/>
        </w:rPr>
        <w:t xml:space="preserve"> and advertising c</w:t>
      </w:r>
      <w:r w:rsidR="00F25226">
        <w:rPr>
          <w:rFonts w:ascii="Times" w:hAnsi="Times"/>
          <w:color w:val="000000" w:themeColor="text1"/>
        </w:rPr>
        <w:t>ame</w:t>
      </w:r>
      <w:r w:rsidRPr="00AE5814">
        <w:rPr>
          <w:rFonts w:ascii="Times" w:hAnsi="Times"/>
          <w:color w:val="000000" w:themeColor="text1"/>
        </w:rPr>
        <w:t xml:space="preserve"> from vehicle sales as well as financing, leases</w:t>
      </w:r>
      <w:r w:rsidR="00F25226">
        <w:rPr>
          <w:rFonts w:ascii="Times" w:hAnsi="Times"/>
          <w:color w:val="000000" w:themeColor="text1"/>
        </w:rPr>
        <w:t>,</w:t>
      </w:r>
      <w:r w:rsidRPr="00AE5814">
        <w:rPr>
          <w:rFonts w:ascii="Times" w:hAnsi="Times"/>
          <w:color w:val="000000" w:themeColor="text1"/>
        </w:rPr>
        <w:t xml:space="preserve"> and warranties. Tighter fuel economy regulations</w:t>
      </w:r>
      <w:r w:rsidR="000A5313">
        <w:rPr>
          <w:rFonts w:ascii="Times" w:hAnsi="Times"/>
          <w:color w:val="000000" w:themeColor="text1"/>
        </w:rPr>
        <w:t xml:space="preserve"> </w:t>
      </w:r>
      <w:r w:rsidR="000A5313" w:rsidRPr="00AE5814">
        <w:rPr>
          <w:rFonts w:ascii="Times" w:hAnsi="Times"/>
          <w:color w:val="000000" w:themeColor="text1"/>
        </w:rPr>
        <w:t xml:space="preserve">were more expensive to comply </w:t>
      </w:r>
      <w:r w:rsidR="000A5313">
        <w:rPr>
          <w:rFonts w:ascii="Times" w:hAnsi="Times"/>
          <w:color w:val="000000" w:themeColor="text1"/>
        </w:rPr>
        <w:t xml:space="preserve">with </w:t>
      </w:r>
      <w:r w:rsidR="000A5313" w:rsidRPr="00AE5814">
        <w:rPr>
          <w:rFonts w:ascii="Times" w:hAnsi="Times"/>
          <w:color w:val="000000" w:themeColor="text1"/>
        </w:rPr>
        <w:t>and required increased operational efficiency, agile manufacturing processes (such as Toyota</w:t>
      </w:r>
      <w:r w:rsidR="000A5313">
        <w:rPr>
          <w:rFonts w:ascii="Times" w:hAnsi="Times"/>
          <w:color w:val="000000" w:themeColor="text1"/>
        </w:rPr>
        <w:t>’</w:t>
      </w:r>
      <w:r w:rsidR="000A5313" w:rsidRPr="00AE5814">
        <w:rPr>
          <w:rFonts w:ascii="Times" w:hAnsi="Times"/>
          <w:color w:val="000000" w:themeColor="text1"/>
        </w:rPr>
        <w:t>s lean management production systems)</w:t>
      </w:r>
      <w:r w:rsidR="000A5313">
        <w:rPr>
          <w:rFonts w:ascii="Times" w:hAnsi="Times"/>
          <w:color w:val="000000" w:themeColor="text1"/>
        </w:rPr>
        <w:t>,</w:t>
      </w:r>
      <w:r w:rsidR="000A5313" w:rsidRPr="00AE5814">
        <w:rPr>
          <w:rFonts w:ascii="Times" w:hAnsi="Times"/>
          <w:color w:val="000000" w:themeColor="text1"/>
        </w:rPr>
        <w:t xml:space="preserve"> and greater </w:t>
      </w:r>
      <w:r w:rsidR="000A5313">
        <w:rPr>
          <w:rFonts w:ascii="Times" w:hAnsi="Times"/>
          <w:color w:val="000000" w:themeColor="text1"/>
        </w:rPr>
        <w:t xml:space="preserve">sales </w:t>
      </w:r>
      <w:r w:rsidR="000A5313" w:rsidRPr="00AE5814">
        <w:rPr>
          <w:rFonts w:ascii="Times" w:hAnsi="Times"/>
          <w:color w:val="000000" w:themeColor="text1"/>
        </w:rPr>
        <w:t>volume to amortize the higher production costs.</w:t>
      </w:r>
      <w:r w:rsidRPr="00AE5814">
        <w:rPr>
          <w:rStyle w:val="EndnoteReference"/>
          <w:rFonts w:ascii="Times" w:hAnsi="Times"/>
          <w:color w:val="000000" w:themeColor="text1"/>
        </w:rPr>
        <w:endnoteReference w:id="14"/>
      </w:r>
      <w:r w:rsidRPr="00AE5814">
        <w:rPr>
          <w:rFonts w:ascii="Times" w:hAnsi="Times"/>
          <w:color w:val="000000" w:themeColor="text1"/>
        </w:rPr>
        <w:t xml:space="preserve"> </w:t>
      </w:r>
    </w:p>
    <w:p w14:paraId="4D70BBD8" w14:textId="77777777" w:rsidR="00777CED" w:rsidRDefault="00777CED" w:rsidP="007B429C">
      <w:pPr>
        <w:pStyle w:val="BodyTextMain"/>
      </w:pPr>
    </w:p>
    <w:p w14:paraId="78E333AB" w14:textId="77777777" w:rsidR="00777CED" w:rsidRDefault="00777CED" w:rsidP="007B429C">
      <w:pPr>
        <w:pStyle w:val="BodyTextMain"/>
      </w:pPr>
    </w:p>
    <w:p w14:paraId="3F421E08" w14:textId="77777777" w:rsidR="00777CED" w:rsidRDefault="00777CED" w:rsidP="007B429C">
      <w:pPr>
        <w:pStyle w:val="Casehead1"/>
        <w:outlineLvl w:val="0"/>
      </w:pPr>
      <w:r w:rsidRPr="00AE5814">
        <w:t>Emerging markets</w:t>
      </w:r>
    </w:p>
    <w:p w14:paraId="6686FCEF" w14:textId="77777777" w:rsidR="00777CED" w:rsidRPr="00AE5814" w:rsidRDefault="00777CED" w:rsidP="007B429C">
      <w:pPr>
        <w:pStyle w:val="BodyTextMain"/>
      </w:pPr>
    </w:p>
    <w:p w14:paraId="63A24978" w14:textId="31C53D36" w:rsidR="00A22739" w:rsidRDefault="00777CED" w:rsidP="007B429C">
      <w:pPr>
        <w:pStyle w:val="BodyTextMain"/>
      </w:pPr>
      <w:r w:rsidRPr="00AE5814">
        <w:t>Perhaps what contributed most</w:t>
      </w:r>
      <w:r w:rsidR="00880A06">
        <w:t xml:space="preserve"> </w:t>
      </w:r>
      <w:r w:rsidRPr="00AE5814">
        <w:t>to the decline in the global automotive industry was the underperformance of emerging markets</w:t>
      </w:r>
      <w:r w:rsidR="00A22739">
        <w:t>,</w:t>
      </w:r>
      <w:r w:rsidRPr="00AE5814">
        <w:t xml:space="preserve"> </w:t>
      </w:r>
      <w:r>
        <w:t xml:space="preserve">which were considered </w:t>
      </w:r>
      <w:r w:rsidRPr="00AE5814">
        <w:t>saving graces for automakers seeking to sustain growth</w:t>
      </w:r>
      <w:r w:rsidR="005034ED">
        <w:t>.</w:t>
      </w:r>
      <w:r>
        <w:rPr>
          <w:rStyle w:val="EndnoteReference"/>
          <w:rFonts w:ascii="Times" w:hAnsi="Times"/>
          <w:color w:val="000000" w:themeColor="text1"/>
        </w:rPr>
        <w:endnoteReference w:id="15"/>
      </w:r>
      <w:r w:rsidRPr="00AE5814">
        <w:t xml:space="preserve"> Growth in China</w:t>
      </w:r>
      <w:r w:rsidR="005034ED">
        <w:t>—</w:t>
      </w:r>
      <w:r w:rsidR="00A22739">
        <w:t xml:space="preserve">the </w:t>
      </w:r>
      <w:r w:rsidRPr="00AE5814">
        <w:t>world’s largest automotive market</w:t>
      </w:r>
      <w:r w:rsidR="005034ED">
        <w:t>—</w:t>
      </w:r>
      <w:r w:rsidRPr="00AE5814">
        <w:t>slowed to 7.3 per cent compared to</w:t>
      </w:r>
      <w:r w:rsidR="00A22739">
        <w:t xml:space="preserve"> </w:t>
      </w:r>
      <w:r w:rsidRPr="00AE5814">
        <w:t>10 per cent i</w:t>
      </w:r>
      <w:r>
        <w:t>n 2014 and 13 per cent in 2013</w:t>
      </w:r>
      <w:r w:rsidR="00A22739">
        <w:t>,</w:t>
      </w:r>
      <w:r>
        <w:t xml:space="preserve"> mainly due</w:t>
      </w:r>
      <w:r w:rsidRPr="00AE5814">
        <w:t xml:space="preserve"> to vehicle restrictions in large cities</w:t>
      </w:r>
      <w:r>
        <w:t>.</w:t>
      </w:r>
      <w:r w:rsidRPr="00AE5814">
        <w:rPr>
          <w:rStyle w:val="EndnoteReference"/>
          <w:rFonts w:ascii="Times" w:hAnsi="Times"/>
          <w:color w:val="000000" w:themeColor="text1"/>
        </w:rPr>
        <w:endnoteReference w:id="16"/>
      </w:r>
      <w:r w:rsidRPr="00AE5814">
        <w:t xml:space="preserve"> In 2016, the Indian </w:t>
      </w:r>
      <w:r w:rsidR="00280BCC">
        <w:t>g</w:t>
      </w:r>
      <w:r w:rsidRPr="00AE5814">
        <w:t>overnment’s demoneti</w:t>
      </w:r>
      <w:r w:rsidR="00086E74">
        <w:t>z</w:t>
      </w:r>
      <w:r w:rsidRPr="00AE5814">
        <w:t xml:space="preserve">ation of </w:t>
      </w:r>
      <w:r w:rsidR="00AA7CA1" w:rsidRPr="00A67AF2">
        <w:rPr>
          <w:rFonts w:ascii="Calibri" w:hAnsi="Calibri"/>
        </w:rPr>
        <w:t>₹</w:t>
      </w:r>
      <w:r w:rsidRPr="00A67AF2">
        <w:t xml:space="preserve">500 and </w:t>
      </w:r>
      <w:r w:rsidR="00AA7CA1" w:rsidRPr="00A67AF2">
        <w:rPr>
          <w:rFonts w:ascii="Calibri" w:hAnsi="Calibri"/>
        </w:rPr>
        <w:t>₹</w:t>
      </w:r>
      <w:r w:rsidRPr="00A67AF2">
        <w:t>1,000</w:t>
      </w:r>
      <w:r w:rsidRPr="00AE5814">
        <w:t xml:space="preserve"> </w:t>
      </w:r>
      <w:r w:rsidR="00AA7CA1">
        <w:t>banknotes</w:t>
      </w:r>
      <w:r w:rsidRPr="00AE5814">
        <w:t xml:space="preserve"> and the cash crunch with passenger car buyers weighed heav</w:t>
      </w:r>
      <w:r w:rsidR="00A22739">
        <w:t>ily</w:t>
      </w:r>
      <w:r w:rsidRPr="00AE5814">
        <w:t xml:space="preserve"> on automakers operating there.</w:t>
      </w:r>
      <w:r w:rsidRPr="00AE5814">
        <w:rPr>
          <w:rStyle w:val="EndnoteReference"/>
          <w:rFonts w:ascii="Times" w:hAnsi="Times"/>
          <w:color w:val="000000" w:themeColor="text1"/>
        </w:rPr>
        <w:endnoteReference w:id="17"/>
      </w:r>
      <w:r w:rsidRPr="00AE5814">
        <w:t xml:space="preserve"> </w:t>
      </w:r>
      <w:r>
        <w:t>S</w:t>
      </w:r>
      <w:r w:rsidRPr="00AE5814">
        <w:t>ales in Russia were 50 per cent less</w:t>
      </w:r>
      <w:r>
        <w:t xml:space="preserve"> in 2016 compared to</w:t>
      </w:r>
      <w:r w:rsidRPr="00AE5814">
        <w:t xml:space="preserve"> 2012</w:t>
      </w:r>
      <w:r w:rsidR="00A22739">
        <w:t>,</w:t>
      </w:r>
      <w:r w:rsidRPr="00AE5814">
        <w:t xml:space="preserve"> which </w:t>
      </w:r>
      <w:r>
        <w:t>was</w:t>
      </w:r>
      <w:r w:rsidRPr="00AE5814">
        <w:t xml:space="preserve"> attributed to trade sanctions, price hikes in response to the weak ruble, insufficient state subsidies</w:t>
      </w:r>
      <w:r w:rsidR="00A22739">
        <w:t>,</w:t>
      </w:r>
      <w:r w:rsidRPr="00AE5814">
        <w:t xml:space="preserve"> and a slump in oil revenue</w:t>
      </w:r>
      <w:r w:rsidR="0057699B">
        <w:t>.</w:t>
      </w:r>
      <w:r w:rsidRPr="00AE5814">
        <w:rPr>
          <w:rStyle w:val="EndnoteReference"/>
          <w:rFonts w:ascii="Times" w:hAnsi="Times"/>
          <w:color w:val="000000" w:themeColor="text1"/>
        </w:rPr>
        <w:endnoteReference w:id="18"/>
      </w:r>
      <w:r w:rsidRPr="00AE5814">
        <w:t xml:space="preserve"> Brazil experienced a 30 per cent drop in sales compared to 2012</w:t>
      </w:r>
      <w:r w:rsidR="00A22739">
        <w:t>,</w:t>
      </w:r>
      <w:r>
        <w:t xml:space="preserve"> as low-income consumers found it hard to obtain loans and </w:t>
      </w:r>
      <w:r w:rsidR="00A22739">
        <w:t>buy</w:t>
      </w:r>
      <w:r>
        <w:t xml:space="preserve"> new cars.</w:t>
      </w:r>
      <w:r w:rsidRPr="00AE5814">
        <w:rPr>
          <w:rStyle w:val="EndnoteReference"/>
          <w:rFonts w:ascii="Times" w:hAnsi="Times"/>
          <w:color w:val="000000" w:themeColor="text1"/>
        </w:rPr>
        <w:endnoteReference w:id="19"/>
      </w:r>
      <w:r w:rsidRPr="00AE5814">
        <w:t xml:space="preserve"> </w:t>
      </w:r>
      <w:r>
        <w:t>Whil</w:t>
      </w:r>
      <w:r w:rsidR="00F64F79">
        <w:t>e</w:t>
      </w:r>
      <w:r>
        <w:t xml:space="preserve"> </w:t>
      </w:r>
      <w:r w:rsidRPr="00AE5814">
        <w:t>Middle Eastern and African markets were expected to attract investor interest</w:t>
      </w:r>
      <w:r w:rsidR="005034ED">
        <w:t>,</w:t>
      </w:r>
      <w:r w:rsidRPr="00AE5814">
        <w:rPr>
          <w:rStyle w:val="EndnoteReference"/>
          <w:rFonts w:ascii="Times" w:hAnsi="Times"/>
          <w:color w:val="000000" w:themeColor="text1"/>
        </w:rPr>
        <w:endnoteReference w:id="20"/>
      </w:r>
      <w:r w:rsidRPr="00AE5814">
        <w:t xml:space="preserve"> </w:t>
      </w:r>
      <w:r>
        <w:t>g</w:t>
      </w:r>
      <w:r w:rsidRPr="00AE5814">
        <w:t xml:space="preserve">iven the </w:t>
      </w:r>
      <w:r w:rsidR="00280BCC">
        <w:t>distinctive</w:t>
      </w:r>
      <w:r w:rsidR="00280BCC" w:rsidRPr="00AE5814">
        <w:t xml:space="preserve"> </w:t>
      </w:r>
      <w:r w:rsidRPr="00AE5814">
        <w:t>local requirements for production, tariffs</w:t>
      </w:r>
      <w:r w:rsidR="00A22739">
        <w:t>,</w:t>
      </w:r>
      <w:r w:rsidRPr="00AE5814">
        <w:t xml:space="preserve"> and quotas, entry into these markets was made difficult for automakers that did not already </w:t>
      </w:r>
      <w:r w:rsidR="00A22739">
        <w:t>have</w:t>
      </w:r>
      <w:r w:rsidRPr="00AE5814">
        <w:t xml:space="preserve"> wide production and distribution facilities</w:t>
      </w:r>
      <w:r>
        <w:t xml:space="preserve"> there</w:t>
      </w:r>
      <w:r w:rsidRPr="00AE5814">
        <w:t xml:space="preserve">. </w:t>
      </w:r>
    </w:p>
    <w:p w14:paraId="63E968F8" w14:textId="77777777" w:rsidR="00A22739" w:rsidRDefault="00A22739" w:rsidP="007B429C">
      <w:pPr>
        <w:pStyle w:val="BodyTextMain"/>
      </w:pPr>
    </w:p>
    <w:p w14:paraId="0C6CCCE9" w14:textId="76CA1D60" w:rsidR="00777CED" w:rsidRDefault="00777CED" w:rsidP="007B429C">
      <w:pPr>
        <w:pStyle w:val="BodyTextMain"/>
      </w:pPr>
      <w:r>
        <w:t>As of 2017,</w:t>
      </w:r>
      <w:r w:rsidRPr="00AE5814">
        <w:t xml:space="preserve"> markets that were stagnating were expected to recover</w:t>
      </w:r>
      <w:r w:rsidR="00880A06">
        <w:t>. In contrast, h</w:t>
      </w:r>
      <w:r w:rsidRPr="00AE5814">
        <w:t>igh</w:t>
      </w:r>
      <w:r w:rsidR="00A22739">
        <w:t>-</w:t>
      </w:r>
      <w:r w:rsidRPr="00AE5814">
        <w:t>growth markets were expected to slow due to market saturation</w:t>
      </w:r>
      <w:r w:rsidR="005034ED">
        <w:t>.</w:t>
      </w:r>
      <w:r w:rsidRPr="00AE5814">
        <w:rPr>
          <w:rStyle w:val="EndnoteReference"/>
          <w:rFonts w:ascii="Times" w:hAnsi="Times"/>
          <w:color w:val="000000" w:themeColor="text1"/>
        </w:rPr>
        <w:endnoteReference w:id="21"/>
      </w:r>
      <w:r w:rsidRPr="00AE5814">
        <w:t xml:space="preserve"> </w:t>
      </w:r>
    </w:p>
    <w:p w14:paraId="55B47F1B" w14:textId="5481B257" w:rsidR="00777CED" w:rsidRPr="003D731E" w:rsidRDefault="00777CED" w:rsidP="007B429C">
      <w:pPr>
        <w:pStyle w:val="BodyTextMain"/>
        <w:rPr>
          <w:b/>
          <w:spacing w:val="-2"/>
          <w:kern w:val="22"/>
        </w:rPr>
      </w:pPr>
      <w:r w:rsidRPr="003D731E">
        <w:rPr>
          <w:spacing w:val="-2"/>
          <w:kern w:val="22"/>
        </w:rPr>
        <w:lastRenderedPageBreak/>
        <w:t>Some companies dealt better than others with the unevenness of global markets. Toyota continued to grow its sales in emerging markets such as China (up 13 per cent) and Brazil (up 10 per cent)</w:t>
      </w:r>
      <w:r w:rsidR="00A22739" w:rsidRPr="003D731E">
        <w:rPr>
          <w:spacing w:val="-2"/>
          <w:kern w:val="22"/>
        </w:rPr>
        <w:t>,</w:t>
      </w:r>
      <w:r w:rsidRPr="003D731E">
        <w:rPr>
          <w:spacing w:val="-2"/>
          <w:kern w:val="22"/>
        </w:rPr>
        <w:t xml:space="preserve"> whil</w:t>
      </w:r>
      <w:r w:rsidR="00A22739" w:rsidRPr="003D731E">
        <w:rPr>
          <w:spacing w:val="-2"/>
          <w:kern w:val="22"/>
        </w:rPr>
        <w:t>e</w:t>
      </w:r>
      <w:r w:rsidRPr="003D731E">
        <w:rPr>
          <w:spacing w:val="-2"/>
          <w:kern w:val="22"/>
        </w:rPr>
        <w:t xml:space="preserve"> it remained a market leader in Japan w</w:t>
      </w:r>
      <w:r w:rsidR="00880A06" w:rsidRPr="003D731E">
        <w:rPr>
          <w:spacing w:val="-2"/>
          <w:kern w:val="22"/>
        </w:rPr>
        <w:t>ith</w:t>
      </w:r>
      <w:r w:rsidRPr="003D731E">
        <w:rPr>
          <w:spacing w:val="-2"/>
          <w:kern w:val="22"/>
        </w:rPr>
        <w:t xml:space="preserve"> over 40 per cent share in 2015</w:t>
      </w:r>
      <w:r w:rsidR="005034ED" w:rsidRPr="003D731E">
        <w:rPr>
          <w:spacing w:val="-2"/>
          <w:kern w:val="22"/>
        </w:rPr>
        <w:t>.</w:t>
      </w:r>
      <w:r w:rsidRPr="003D731E">
        <w:rPr>
          <w:rStyle w:val="EndnoteReference"/>
          <w:rFonts w:ascii="Times" w:hAnsi="Times"/>
          <w:color w:val="000000" w:themeColor="text1"/>
          <w:spacing w:val="-2"/>
          <w:kern w:val="22"/>
        </w:rPr>
        <w:endnoteReference w:id="22"/>
      </w:r>
      <w:r w:rsidRPr="003D731E">
        <w:rPr>
          <w:spacing w:val="-2"/>
          <w:kern w:val="22"/>
        </w:rPr>
        <w:t xml:space="preserve"> Sales of V</w:t>
      </w:r>
      <w:r w:rsidR="00CD4DDF" w:rsidRPr="003D731E">
        <w:rPr>
          <w:spacing w:val="-2"/>
          <w:kern w:val="22"/>
        </w:rPr>
        <w:t>W</w:t>
      </w:r>
      <w:r w:rsidRPr="003D731E">
        <w:rPr>
          <w:spacing w:val="-2"/>
          <w:kern w:val="22"/>
        </w:rPr>
        <w:t xml:space="preserve"> cars were also up</w:t>
      </w:r>
      <w:r w:rsidR="00280BCC" w:rsidRPr="003D731E">
        <w:rPr>
          <w:spacing w:val="-2"/>
          <w:kern w:val="22"/>
        </w:rPr>
        <w:t>,</w:t>
      </w:r>
      <w:r w:rsidRPr="003D731E">
        <w:rPr>
          <w:spacing w:val="-2"/>
          <w:kern w:val="22"/>
        </w:rPr>
        <w:t xml:space="preserve"> not only in the </w:t>
      </w:r>
      <w:r w:rsidR="00A22739" w:rsidRPr="003D731E">
        <w:rPr>
          <w:spacing w:val="-2"/>
          <w:kern w:val="22"/>
        </w:rPr>
        <w:t>United States</w:t>
      </w:r>
      <w:r w:rsidRPr="003D731E">
        <w:rPr>
          <w:spacing w:val="-2"/>
          <w:kern w:val="22"/>
        </w:rPr>
        <w:t xml:space="preserve"> </w:t>
      </w:r>
      <w:r w:rsidR="00A22739" w:rsidRPr="003D731E">
        <w:rPr>
          <w:spacing w:val="-2"/>
          <w:kern w:val="22"/>
        </w:rPr>
        <w:t>in 2016</w:t>
      </w:r>
      <w:r w:rsidR="00280BCC" w:rsidRPr="003D731E">
        <w:rPr>
          <w:spacing w:val="-2"/>
          <w:kern w:val="22"/>
        </w:rPr>
        <w:t>,</w:t>
      </w:r>
      <w:r w:rsidR="00A22739" w:rsidRPr="003D731E">
        <w:rPr>
          <w:spacing w:val="-2"/>
          <w:kern w:val="22"/>
        </w:rPr>
        <w:t xml:space="preserve"> </w:t>
      </w:r>
      <w:r w:rsidRPr="003D731E">
        <w:rPr>
          <w:spacing w:val="-2"/>
          <w:kern w:val="22"/>
        </w:rPr>
        <w:t>but also in China</w:t>
      </w:r>
      <w:r w:rsidR="00A22739" w:rsidRPr="003D731E">
        <w:rPr>
          <w:spacing w:val="-2"/>
          <w:kern w:val="22"/>
        </w:rPr>
        <w:t>,</w:t>
      </w:r>
      <w:r w:rsidRPr="003D731E">
        <w:rPr>
          <w:spacing w:val="-2"/>
          <w:kern w:val="22"/>
        </w:rPr>
        <w:t xml:space="preserve"> despite the emissions scandal</w:t>
      </w:r>
      <w:r w:rsidR="005034ED" w:rsidRPr="003D731E">
        <w:rPr>
          <w:spacing w:val="-2"/>
          <w:kern w:val="22"/>
        </w:rPr>
        <w:t>.</w:t>
      </w:r>
      <w:r w:rsidRPr="003D731E">
        <w:rPr>
          <w:rStyle w:val="EndnoteReference"/>
          <w:rFonts w:ascii="Times" w:hAnsi="Times"/>
          <w:color w:val="000000" w:themeColor="text1"/>
          <w:spacing w:val="-2"/>
          <w:kern w:val="22"/>
        </w:rPr>
        <w:endnoteReference w:id="23"/>
      </w:r>
      <w:r w:rsidRPr="003D731E">
        <w:rPr>
          <w:spacing w:val="-2"/>
          <w:kern w:val="22"/>
        </w:rPr>
        <w:t xml:space="preserve"> Whil</w:t>
      </w:r>
      <w:r w:rsidR="00A22739" w:rsidRPr="003D731E">
        <w:rPr>
          <w:spacing w:val="-2"/>
          <w:kern w:val="22"/>
        </w:rPr>
        <w:t>e</w:t>
      </w:r>
      <w:r w:rsidRPr="003D731E">
        <w:rPr>
          <w:spacing w:val="-2"/>
          <w:kern w:val="22"/>
        </w:rPr>
        <w:t xml:space="preserve"> the passenger vehicle segment was dominated by foreign brands, the commercial vehicle segment in China remained dominated by a small number of Chinese players such as Dongfeng</w:t>
      </w:r>
      <w:r w:rsidR="003F4FFD" w:rsidRPr="003D731E">
        <w:rPr>
          <w:spacing w:val="-2"/>
          <w:kern w:val="22"/>
        </w:rPr>
        <w:t xml:space="preserve"> Motor Corporation (Dongfeng)</w:t>
      </w:r>
      <w:r w:rsidRPr="003D731E">
        <w:rPr>
          <w:spacing w:val="-2"/>
          <w:kern w:val="22"/>
        </w:rPr>
        <w:t>, Chery</w:t>
      </w:r>
      <w:r w:rsidR="003F4FFD" w:rsidRPr="003D731E">
        <w:rPr>
          <w:spacing w:val="-2"/>
          <w:kern w:val="22"/>
        </w:rPr>
        <w:t xml:space="preserve"> Aut</w:t>
      </w:r>
      <w:r w:rsidR="0001029C" w:rsidRPr="003D731E">
        <w:rPr>
          <w:spacing w:val="-2"/>
          <w:kern w:val="22"/>
        </w:rPr>
        <w:t>o</w:t>
      </w:r>
      <w:r w:rsidR="003F4FFD" w:rsidRPr="003D731E">
        <w:rPr>
          <w:spacing w:val="-2"/>
          <w:kern w:val="22"/>
        </w:rPr>
        <w:t>mobile Co.</w:t>
      </w:r>
      <w:r w:rsidR="00853B69" w:rsidRPr="003D731E">
        <w:rPr>
          <w:spacing w:val="-2"/>
          <w:kern w:val="22"/>
        </w:rPr>
        <w:t>,</w:t>
      </w:r>
      <w:r w:rsidR="003F4FFD" w:rsidRPr="003D731E">
        <w:rPr>
          <w:spacing w:val="-2"/>
          <w:kern w:val="22"/>
        </w:rPr>
        <w:t xml:space="preserve"> Ltd.</w:t>
      </w:r>
      <w:r w:rsidR="00A22739" w:rsidRPr="003D731E">
        <w:rPr>
          <w:spacing w:val="-2"/>
          <w:kern w:val="22"/>
        </w:rPr>
        <w:t>,</w:t>
      </w:r>
      <w:r w:rsidRPr="003D731E">
        <w:rPr>
          <w:spacing w:val="-2"/>
          <w:kern w:val="22"/>
        </w:rPr>
        <w:t xml:space="preserve"> and Geely</w:t>
      </w:r>
      <w:r w:rsidR="00853B69" w:rsidRPr="003D731E">
        <w:rPr>
          <w:spacing w:val="-2"/>
          <w:kern w:val="22"/>
        </w:rPr>
        <w:t xml:space="preserve"> Automobile Holdings Limited</w:t>
      </w:r>
      <w:r w:rsidRPr="003D731E">
        <w:rPr>
          <w:spacing w:val="-2"/>
          <w:kern w:val="22"/>
        </w:rPr>
        <w:t>. In India, the top car manufacturers</w:t>
      </w:r>
      <w:r w:rsidR="0057699B" w:rsidRPr="003D731E">
        <w:rPr>
          <w:spacing w:val="-2"/>
          <w:kern w:val="22"/>
        </w:rPr>
        <w:t>—</w:t>
      </w:r>
      <w:r w:rsidRPr="003D731E">
        <w:rPr>
          <w:spacing w:val="-2"/>
          <w:kern w:val="22"/>
        </w:rPr>
        <w:t>Maruti Suzuki</w:t>
      </w:r>
      <w:r w:rsidR="00853B69" w:rsidRPr="003D731E">
        <w:rPr>
          <w:spacing w:val="-2"/>
          <w:kern w:val="22"/>
        </w:rPr>
        <w:t xml:space="preserve"> India Limited</w:t>
      </w:r>
      <w:r w:rsidRPr="003D731E">
        <w:rPr>
          <w:spacing w:val="-2"/>
          <w:kern w:val="22"/>
        </w:rPr>
        <w:t>, Tata Motor</w:t>
      </w:r>
      <w:r w:rsidR="003F4FFD" w:rsidRPr="003D731E">
        <w:rPr>
          <w:spacing w:val="-2"/>
          <w:kern w:val="22"/>
        </w:rPr>
        <w:t>s</w:t>
      </w:r>
      <w:r w:rsidR="00A22739" w:rsidRPr="003D731E">
        <w:rPr>
          <w:spacing w:val="-2"/>
          <w:kern w:val="22"/>
        </w:rPr>
        <w:t>,</w:t>
      </w:r>
      <w:r w:rsidRPr="003D731E">
        <w:rPr>
          <w:spacing w:val="-2"/>
          <w:kern w:val="22"/>
        </w:rPr>
        <w:t xml:space="preserve"> and Mahindra &amp; Mahindra</w:t>
      </w:r>
      <w:r w:rsidR="00853B69" w:rsidRPr="003D731E">
        <w:rPr>
          <w:spacing w:val="-2"/>
          <w:kern w:val="22"/>
        </w:rPr>
        <w:t xml:space="preserve"> Limited</w:t>
      </w:r>
      <w:r w:rsidR="0057699B" w:rsidRPr="003D731E">
        <w:rPr>
          <w:spacing w:val="-2"/>
          <w:kern w:val="22"/>
        </w:rPr>
        <w:t>—</w:t>
      </w:r>
      <w:r w:rsidRPr="003D731E">
        <w:rPr>
          <w:spacing w:val="-2"/>
          <w:kern w:val="22"/>
        </w:rPr>
        <w:t xml:space="preserve">held around 70 per cent of market share in 2015 compared to 67 per cent in 2012. According to industry experts, these firms generally </w:t>
      </w:r>
      <w:r w:rsidR="00A22739" w:rsidRPr="003D731E">
        <w:rPr>
          <w:spacing w:val="-2"/>
          <w:kern w:val="22"/>
        </w:rPr>
        <w:t xml:space="preserve">had </w:t>
      </w:r>
      <w:r w:rsidRPr="003D731E">
        <w:rPr>
          <w:spacing w:val="-2"/>
          <w:kern w:val="22"/>
        </w:rPr>
        <w:t>a superior knowledge of the local market demand and infrastructure, delivered effective advertising through appropriate positioning</w:t>
      </w:r>
      <w:r w:rsidR="00A22739" w:rsidRPr="003D731E">
        <w:rPr>
          <w:spacing w:val="-2"/>
          <w:kern w:val="22"/>
        </w:rPr>
        <w:t>,</w:t>
      </w:r>
      <w:r w:rsidRPr="003D731E">
        <w:rPr>
          <w:spacing w:val="-2"/>
          <w:kern w:val="22"/>
        </w:rPr>
        <w:t xml:space="preserve"> and established stronger networks of dealerships compared to most foreign entrants</w:t>
      </w:r>
      <w:r w:rsidR="00A22739" w:rsidRPr="003D731E">
        <w:rPr>
          <w:spacing w:val="-2"/>
          <w:kern w:val="22"/>
        </w:rPr>
        <w:t>.</w:t>
      </w:r>
      <w:r w:rsidRPr="003D731E">
        <w:rPr>
          <w:rStyle w:val="EndnoteReference"/>
          <w:rFonts w:ascii="Times" w:hAnsi="Times"/>
          <w:color w:val="000000" w:themeColor="text1"/>
          <w:spacing w:val="-2"/>
          <w:kern w:val="22"/>
        </w:rPr>
        <w:endnoteReference w:id="24"/>
      </w:r>
      <w:r w:rsidRPr="003D731E">
        <w:rPr>
          <w:rStyle w:val="EndnoteReference"/>
          <w:rFonts w:ascii="Times" w:hAnsi="Times"/>
          <w:color w:val="000000" w:themeColor="text1"/>
          <w:spacing w:val="-2"/>
          <w:kern w:val="22"/>
        </w:rPr>
        <w:t xml:space="preserve"> </w:t>
      </w:r>
    </w:p>
    <w:p w14:paraId="087D01E8" w14:textId="77777777" w:rsidR="00777CED" w:rsidRDefault="00777CED" w:rsidP="007B429C">
      <w:pPr>
        <w:pStyle w:val="BodyTextMain"/>
      </w:pPr>
    </w:p>
    <w:p w14:paraId="3EBEE59E" w14:textId="77777777" w:rsidR="00777CED" w:rsidRDefault="00777CED" w:rsidP="007B429C">
      <w:pPr>
        <w:pStyle w:val="BodyTextMain"/>
      </w:pPr>
    </w:p>
    <w:p w14:paraId="3C7BAB0D" w14:textId="77777777" w:rsidR="00777CED" w:rsidRDefault="00777CED" w:rsidP="007B429C">
      <w:pPr>
        <w:pStyle w:val="Casehead1"/>
        <w:outlineLvl w:val="0"/>
      </w:pPr>
      <w:r w:rsidRPr="00AE5814">
        <w:t>North America</w:t>
      </w:r>
    </w:p>
    <w:p w14:paraId="6F5DE497" w14:textId="77777777" w:rsidR="00777CED" w:rsidRPr="00AE5814" w:rsidRDefault="00777CED" w:rsidP="007B429C">
      <w:pPr>
        <w:pStyle w:val="BodyTextMain"/>
      </w:pPr>
    </w:p>
    <w:p w14:paraId="00177104" w14:textId="42D5E722" w:rsidR="00C35238" w:rsidRDefault="00777CED" w:rsidP="007B429C">
      <w:pPr>
        <w:pStyle w:val="BodyTextMain"/>
        <w:rPr>
          <w:shd w:val="clear" w:color="auto" w:fill="FFFFFF"/>
        </w:rPr>
      </w:pPr>
      <w:r w:rsidRPr="007B429C">
        <w:t xml:space="preserve">For over a century, the North American market </w:t>
      </w:r>
      <w:r w:rsidR="0005640D" w:rsidRPr="007B429C">
        <w:t>was</w:t>
      </w:r>
      <w:r w:rsidRPr="007B429C">
        <w:t xml:space="preserve"> the largest automotive market in the world</w:t>
      </w:r>
      <w:r w:rsidR="007B3E50" w:rsidRPr="007B429C">
        <w:t>,</w:t>
      </w:r>
      <w:r w:rsidRPr="007B429C">
        <w:t xml:space="preserve"> historically dominated by the </w:t>
      </w:r>
      <w:r w:rsidR="00C33E3D" w:rsidRPr="007B429C">
        <w:t>“</w:t>
      </w:r>
      <w:r w:rsidRPr="007B429C">
        <w:t>big three</w:t>
      </w:r>
      <w:r w:rsidR="00C33E3D" w:rsidRPr="007B429C">
        <w:t>”</w:t>
      </w:r>
      <w:r w:rsidRPr="007B429C">
        <w:t xml:space="preserve"> with headquarters in the Detroit area: GM, Ford Motor</w:t>
      </w:r>
      <w:r w:rsidR="0001029C" w:rsidRPr="007B429C">
        <w:t xml:space="preserve"> Company (Ford)</w:t>
      </w:r>
      <w:r w:rsidR="007B3E50" w:rsidRPr="007B429C">
        <w:t>,</w:t>
      </w:r>
      <w:r w:rsidRPr="007B429C">
        <w:t xml:space="preserve"> and Chrysler</w:t>
      </w:r>
      <w:r w:rsidR="00410DA2" w:rsidRPr="007B429C">
        <w:t xml:space="preserve"> Corporation (Chrysler)</w:t>
      </w:r>
      <w:r w:rsidRPr="007B429C">
        <w:t xml:space="preserve">. After Honda </w:t>
      </w:r>
      <w:r w:rsidR="00410DA2" w:rsidRPr="007B429C">
        <w:t>Motor Co</w:t>
      </w:r>
      <w:r w:rsidR="00DE4366" w:rsidRPr="007B429C">
        <w:t>.</w:t>
      </w:r>
      <w:r w:rsidR="00410DA2" w:rsidRPr="007B429C">
        <w:t xml:space="preserve"> Ltd. (Honda) </w:t>
      </w:r>
      <w:r w:rsidRPr="007B429C">
        <w:t xml:space="preserve">opened its first U.S. plant in 1982, almost every major European and Japanese automaker produced vehicles at one or more U.S. assembly plants. </w:t>
      </w:r>
      <w:r w:rsidRPr="007B429C">
        <w:rPr>
          <w:lang w:val="it-IT"/>
        </w:rPr>
        <w:t>Fiat</w:t>
      </w:r>
      <w:r w:rsidR="00267AA5" w:rsidRPr="007B429C">
        <w:rPr>
          <w:lang w:val="it-IT"/>
        </w:rPr>
        <w:t xml:space="preserve"> S.p.A</w:t>
      </w:r>
      <w:r w:rsidR="005763B2" w:rsidRPr="007B429C">
        <w:rPr>
          <w:lang w:val="it-IT"/>
        </w:rPr>
        <w:t>.</w:t>
      </w:r>
      <w:r w:rsidR="00267AA5" w:rsidRPr="007B429C">
        <w:rPr>
          <w:lang w:val="it-IT"/>
        </w:rPr>
        <w:t xml:space="preserve"> (Fiat)</w:t>
      </w:r>
      <w:r w:rsidRPr="007B429C">
        <w:rPr>
          <w:lang w:val="it-IT"/>
        </w:rPr>
        <w:t>, Honda, Toyota, Nissan</w:t>
      </w:r>
      <w:r w:rsidR="00267AA5" w:rsidRPr="007B429C">
        <w:rPr>
          <w:lang w:val="it-IT"/>
        </w:rPr>
        <w:t xml:space="preserve"> Motor Co. Ltd.</w:t>
      </w:r>
      <w:r w:rsidR="002C01E0" w:rsidRPr="007B429C">
        <w:rPr>
          <w:lang w:val="it-IT"/>
        </w:rPr>
        <w:t xml:space="preserve"> </w:t>
      </w:r>
      <w:r w:rsidR="002C01E0" w:rsidRPr="007B429C">
        <w:t>(Nissan)</w:t>
      </w:r>
      <w:r w:rsidRPr="007B429C">
        <w:t>, Hyundai</w:t>
      </w:r>
      <w:r w:rsidR="002C01E0" w:rsidRPr="007B429C">
        <w:t xml:space="preserve"> Motor Company</w:t>
      </w:r>
      <w:r w:rsidR="002C01E0">
        <w:rPr>
          <w:shd w:val="clear" w:color="auto" w:fill="FFFFFF"/>
        </w:rPr>
        <w:t xml:space="preserve"> </w:t>
      </w:r>
      <w:r w:rsidR="002C01E0" w:rsidRPr="007B429C">
        <w:t>(Hyundai)</w:t>
      </w:r>
      <w:r w:rsidRPr="007B429C">
        <w:t>, Kia</w:t>
      </w:r>
      <w:r w:rsidR="002C01E0" w:rsidRPr="007B429C">
        <w:t xml:space="preserve"> Motors Corporation (Kia)</w:t>
      </w:r>
      <w:r w:rsidRPr="007B429C">
        <w:t>, BMW</w:t>
      </w:r>
      <w:r w:rsidR="00D26DE1" w:rsidRPr="007B429C">
        <w:t xml:space="preserve"> Group</w:t>
      </w:r>
      <w:r w:rsidR="002C01E0" w:rsidRPr="007B429C">
        <w:t xml:space="preserve"> (BMW)</w:t>
      </w:r>
      <w:r w:rsidRPr="007B429C">
        <w:t xml:space="preserve">, Mercedes-Benz, </w:t>
      </w:r>
      <w:r w:rsidR="003E565C" w:rsidRPr="007B429C">
        <w:t>Mazda Motor Corporation (</w:t>
      </w:r>
      <w:r w:rsidRPr="007B429C">
        <w:t>Mazda</w:t>
      </w:r>
      <w:r w:rsidR="003E565C" w:rsidRPr="007B429C">
        <w:t>)</w:t>
      </w:r>
      <w:r w:rsidRPr="007B429C">
        <w:t>, Mitsubishi</w:t>
      </w:r>
      <w:r w:rsidR="003E565C" w:rsidRPr="007B429C">
        <w:t xml:space="preserve"> Motors Corporation (Misubishi)</w:t>
      </w:r>
      <w:r w:rsidRPr="007B429C">
        <w:t>, Subaru</w:t>
      </w:r>
      <w:r w:rsidR="003E565C" w:rsidRPr="007B429C">
        <w:t xml:space="preserve"> Corporation</w:t>
      </w:r>
      <w:r w:rsidRPr="007B429C">
        <w:t>, V</w:t>
      </w:r>
      <w:r w:rsidR="003F4FFD" w:rsidRPr="007B429C">
        <w:t>W</w:t>
      </w:r>
      <w:r w:rsidRPr="007B429C">
        <w:t xml:space="preserve">, and Tesla all had manufacturing facilities in the </w:t>
      </w:r>
      <w:r w:rsidR="007B3E50" w:rsidRPr="007B429C">
        <w:t>United States from</w:t>
      </w:r>
      <w:r w:rsidRPr="007B429C">
        <w:t xml:space="preserve"> 2000 onward.</w:t>
      </w:r>
      <w:r w:rsidRPr="00AE5814">
        <w:rPr>
          <w:shd w:val="clear" w:color="auto" w:fill="FFFFFF"/>
        </w:rPr>
        <w:t xml:space="preserve"> </w:t>
      </w:r>
    </w:p>
    <w:p w14:paraId="1E57592F" w14:textId="77777777" w:rsidR="00C35238" w:rsidRDefault="00C35238" w:rsidP="007B429C">
      <w:pPr>
        <w:pStyle w:val="BodyTextMain"/>
        <w:rPr>
          <w:shd w:val="clear" w:color="auto" w:fill="FFFFFF"/>
        </w:rPr>
      </w:pPr>
    </w:p>
    <w:p w14:paraId="1805126E" w14:textId="72690868" w:rsidR="00777CED" w:rsidRDefault="00777CED" w:rsidP="007B429C">
      <w:pPr>
        <w:pStyle w:val="BodyTextMain"/>
        <w:rPr>
          <w:shd w:val="clear" w:color="auto" w:fill="FFFFFF"/>
        </w:rPr>
      </w:pPr>
      <w:r w:rsidRPr="007B429C">
        <w:t>In 2016, some manufacturers</w:t>
      </w:r>
      <w:r w:rsidR="00295BA5" w:rsidRPr="007B429C">
        <w:t>,</w:t>
      </w:r>
      <w:r w:rsidRPr="007B429C">
        <w:t xml:space="preserve"> </w:t>
      </w:r>
      <w:r w:rsidR="00AF4DBF" w:rsidRPr="007B429C">
        <w:t xml:space="preserve">such as </w:t>
      </w:r>
      <w:r w:rsidRPr="007B429C">
        <w:t>Tesla</w:t>
      </w:r>
      <w:r w:rsidR="00295BA5" w:rsidRPr="007B429C">
        <w:t>,</w:t>
      </w:r>
      <w:r w:rsidRPr="007B429C">
        <w:t xml:space="preserve"> were more vertically integrated</w:t>
      </w:r>
      <w:r w:rsidR="00C35238" w:rsidRPr="007B429C">
        <w:t>,</w:t>
      </w:r>
      <w:r w:rsidRPr="007B429C">
        <w:t xml:space="preserve"> and also conducted</w:t>
      </w:r>
      <w:r w:rsidR="007B3E50" w:rsidRPr="007B429C">
        <w:t xml:space="preserve"> research and development (</w:t>
      </w:r>
      <w:r w:rsidRPr="007B429C">
        <w:t>R&amp;D</w:t>
      </w:r>
      <w:r w:rsidR="007B3E50" w:rsidRPr="007B429C">
        <w:t>)</w:t>
      </w:r>
      <w:r w:rsidRPr="007B429C">
        <w:t>, design, and testing in the U</w:t>
      </w:r>
      <w:r w:rsidR="007B3E50" w:rsidRPr="007B429C">
        <w:t>.</w:t>
      </w:r>
      <w:r w:rsidRPr="007B429C">
        <w:t>S</w:t>
      </w:r>
      <w:r w:rsidR="007B3E50" w:rsidRPr="007B429C">
        <w:t>.</w:t>
      </w:r>
      <w:r w:rsidRPr="007B429C">
        <w:t xml:space="preserve"> market. </w:t>
      </w:r>
      <w:r w:rsidR="00C35238" w:rsidRPr="007B429C">
        <w:t>Many considered t</w:t>
      </w:r>
      <w:r w:rsidRPr="007B429C">
        <w:t>he emergence of innovative new entrants such as Tesla (much like Honda</w:t>
      </w:r>
      <w:r w:rsidR="00F64F79" w:rsidRPr="007B429C">
        <w:t>’</w:t>
      </w:r>
      <w:r w:rsidRPr="007B429C">
        <w:t xml:space="preserve">s success </w:t>
      </w:r>
      <w:r w:rsidR="007B3E50" w:rsidRPr="007B429C">
        <w:t>in</w:t>
      </w:r>
      <w:r w:rsidRPr="007B429C">
        <w:t xml:space="preserve"> opening its Ohio plant) </w:t>
      </w:r>
      <w:r w:rsidR="00C35238" w:rsidRPr="007B429C">
        <w:t xml:space="preserve">as a </w:t>
      </w:r>
      <w:r w:rsidRPr="007B429C">
        <w:t>threat</w:t>
      </w:r>
      <w:r w:rsidR="00C35238" w:rsidRPr="007B429C">
        <w:t xml:space="preserve"> to</w:t>
      </w:r>
      <w:r w:rsidRPr="007B429C">
        <w:t xml:space="preserve"> the position of more established automakers such as V</w:t>
      </w:r>
      <w:r w:rsidR="003F4FFD" w:rsidRPr="007B429C">
        <w:t>W</w:t>
      </w:r>
      <w:r w:rsidRPr="007B429C">
        <w:t xml:space="preserve"> and BMW</w:t>
      </w:r>
      <w:r w:rsidR="007B3E50" w:rsidRPr="007B429C">
        <w:t>,</w:t>
      </w:r>
      <w:r w:rsidRPr="007B429C">
        <w:t xml:space="preserve"> particularly in the emerg</w:t>
      </w:r>
      <w:r w:rsidR="007B3E50" w:rsidRPr="007B429C">
        <w:t>ing</w:t>
      </w:r>
      <w:r w:rsidRPr="007B429C">
        <w:t xml:space="preserve"> all-electric car segment in the U.S. market.</w:t>
      </w:r>
      <w:r w:rsidRPr="007B429C">
        <w:rPr>
          <w:rStyle w:val="EndnoteReference"/>
          <w:rFonts w:ascii="Times" w:hAnsi="Times"/>
          <w:color w:val="000000" w:themeColor="text1"/>
        </w:rPr>
        <w:endnoteReference w:id="25"/>
      </w:r>
    </w:p>
    <w:p w14:paraId="15A0C979" w14:textId="77777777" w:rsidR="00777CED" w:rsidRPr="00AE5814" w:rsidRDefault="00777CED" w:rsidP="007B429C">
      <w:pPr>
        <w:pStyle w:val="BodyTextMain"/>
        <w:rPr>
          <w:b/>
          <w:shd w:val="clear" w:color="auto" w:fill="FFFFFF"/>
        </w:rPr>
      </w:pPr>
    </w:p>
    <w:p w14:paraId="545DF3AF" w14:textId="2310D58D" w:rsidR="00777CED" w:rsidRDefault="00777CED" w:rsidP="007B429C">
      <w:pPr>
        <w:pStyle w:val="BodyTextMain"/>
      </w:pPr>
      <w:r w:rsidRPr="00AE5814">
        <w:t>Record sales in the North American market in 2016 gave the sector a boost</w:t>
      </w:r>
      <w:r w:rsidR="00C35238">
        <w:t xml:space="preserve">. The </w:t>
      </w:r>
      <w:r w:rsidRPr="00AE5814">
        <w:t>sale of almost 17.5 million vehicles represent</w:t>
      </w:r>
      <w:r w:rsidR="00C35238">
        <w:t>ed</w:t>
      </w:r>
      <w:r w:rsidRPr="00AE5814">
        <w:t xml:space="preserve"> a 5.7 per cent growth from the year before</w:t>
      </w:r>
      <w:r w:rsidR="00295BA5">
        <w:t>,</w:t>
      </w:r>
      <w:r w:rsidRPr="00AE5814">
        <w:t xml:space="preserve"> compared to 13 million in 2008 and 10.4 million in 2009</w:t>
      </w:r>
      <w:r w:rsidR="00F64F79">
        <w:t>.</w:t>
      </w:r>
      <w:r w:rsidRPr="00AE5814">
        <w:rPr>
          <w:rStyle w:val="EndnoteReference"/>
          <w:rFonts w:ascii="Times" w:hAnsi="Times"/>
          <w:color w:val="000000" w:themeColor="text1"/>
        </w:rPr>
        <w:endnoteReference w:id="26"/>
      </w:r>
      <w:r w:rsidRPr="00AE5814">
        <w:t xml:space="preserve"> </w:t>
      </w:r>
      <w:r w:rsidR="00C35238">
        <w:t>M</w:t>
      </w:r>
      <w:r w:rsidRPr="00AE5814">
        <w:t>eanwhile, more investment was attracted into Mexico as companies such as Chrysler, Ford, GM, Mazda, Toyota, Nissan</w:t>
      </w:r>
      <w:r w:rsidR="00C35238">
        <w:t>,</w:t>
      </w:r>
      <w:r w:rsidRPr="00AE5814">
        <w:t xml:space="preserve"> and </w:t>
      </w:r>
      <w:r w:rsidR="003F4FFD">
        <w:t>VW</w:t>
      </w:r>
      <w:r w:rsidRPr="00AE5814">
        <w:t xml:space="preserve"> continued to invest in their Mexican factories for North American consumption as well as </w:t>
      </w:r>
      <w:r w:rsidR="009141CA">
        <w:t xml:space="preserve">for </w:t>
      </w:r>
      <w:r w:rsidRPr="00AE5814">
        <w:t>exporting. GM remained the top automaker in the U</w:t>
      </w:r>
      <w:r w:rsidR="00C35238">
        <w:t xml:space="preserve">nited States </w:t>
      </w:r>
      <w:r w:rsidRPr="00AE5814">
        <w:t>with over 3 million cars sold in 2016 (down 1.3 per cent from 2015)</w:t>
      </w:r>
      <w:r w:rsidR="00C35238">
        <w:t>,</w:t>
      </w:r>
      <w:r w:rsidRPr="00AE5814">
        <w:t xml:space="preserve"> followed by Ford with just over 2.6 </w:t>
      </w:r>
      <w:r w:rsidRPr="00566757">
        <w:t xml:space="preserve">million (less than </w:t>
      </w:r>
      <w:r w:rsidR="00C35238">
        <w:t xml:space="preserve">a </w:t>
      </w:r>
      <w:r w:rsidR="00880A06">
        <w:t>1</w:t>
      </w:r>
      <w:r w:rsidRPr="00566757">
        <w:t xml:space="preserve"> per cent increase from 2015). Other carmakers t</w:t>
      </w:r>
      <w:r w:rsidR="009141CA">
        <w:t xml:space="preserve">aking </w:t>
      </w:r>
      <w:r w:rsidR="00C35238">
        <w:t xml:space="preserve">a </w:t>
      </w:r>
      <w:r w:rsidRPr="00566757">
        <w:t>share of the U.S. pie were Toyota, Nissan, Fiat Chrysler</w:t>
      </w:r>
      <w:r w:rsidR="00410DA2">
        <w:t xml:space="preserve"> Automobiles NV (Fiat Chrysler)</w:t>
      </w:r>
      <w:r w:rsidRPr="00566757">
        <w:t>, Honda</w:t>
      </w:r>
      <w:r w:rsidR="00C35238">
        <w:t>,</w:t>
      </w:r>
      <w:r w:rsidRPr="00566757">
        <w:t xml:space="preserve"> and Hy</w:t>
      </w:r>
      <w:r>
        <w:t>undai</w:t>
      </w:r>
      <w:r w:rsidR="00F764C2">
        <w:t>.</w:t>
      </w:r>
      <w:r>
        <w:rPr>
          <w:rStyle w:val="EndnoteReference"/>
          <w:rFonts w:ascii="Times" w:hAnsi="Times"/>
          <w:color w:val="000000" w:themeColor="text1"/>
        </w:rPr>
        <w:endnoteReference w:id="27"/>
      </w:r>
      <w:r w:rsidRPr="00566757">
        <w:t xml:space="preserve"> </w:t>
      </w:r>
    </w:p>
    <w:p w14:paraId="335A5A6A" w14:textId="77777777" w:rsidR="00777CED" w:rsidRDefault="00777CED" w:rsidP="007B429C">
      <w:pPr>
        <w:pStyle w:val="BodyTextMain"/>
        <w:rPr>
          <w:b/>
        </w:rPr>
      </w:pPr>
    </w:p>
    <w:p w14:paraId="2C4B662E" w14:textId="7F042893" w:rsidR="00C35238" w:rsidRDefault="00777CED" w:rsidP="007B429C">
      <w:pPr>
        <w:pStyle w:val="BodyTextMain"/>
        <w:rPr>
          <w:shd w:val="clear" w:color="auto" w:fill="FFFFFF"/>
        </w:rPr>
      </w:pPr>
      <w:r w:rsidRPr="00566757">
        <w:t>Industry analysts</w:t>
      </w:r>
      <w:r w:rsidR="00183AC3">
        <w:t xml:space="preserve"> </w:t>
      </w:r>
      <w:r w:rsidR="00183AC3" w:rsidRPr="00566757">
        <w:t>expect</w:t>
      </w:r>
      <w:r w:rsidR="00183AC3">
        <w:t>ed</w:t>
      </w:r>
      <w:r w:rsidR="00183AC3" w:rsidRPr="00566757">
        <w:t xml:space="preserve"> that</w:t>
      </w:r>
      <w:r w:rsidR="00183AC3">
        <w:t xml:space="preserve"> </w:t>
      </w:r>
      <w:r w:rsidR="00183AC3" w:rsidRPr="00566757">
        <w:t xml:space="preserve">competition </w:t>
      </w:r>
      <w:r w:rsidR="00183AC3">
        <w:t>was</w:t>
      </w:r>
      <w:r w:rsidR="00183AC3" w:rsidRPr="00566757">
        <w:t xml:space="preserve"> likely to intensify in the U.S. marke</w:t>
      </w:r>
      <w:r w:rsidR="00183AC3">
        <w:t>t</w:t>
      </w:r>
      <w:r w:rsidR="00183AC3" w:rsidRPr="007B429C">
        <w:t>.</w:t>
      </w:r>
      <w:r w:rsidRPr="007B429C">
        <w:rPr>
          <w:rStyle w:val="EndnoteReference"/>
          <w:rFonts w:ascii="Times" w:hAnsi="Times"/>
          <w:color w:val="000000" w:themeColor="text1"/>
        </w:rPr>
        <w:endnoteReference w:id="28"/>
      </w:r>
      <w:r w:rsidRPr="007B429C">
        <w:t xml:space="preserve"> </w:t>
      </w:r>
      <w:r w:rsidR="00C35238" w:rsidRPr="007B429C">
        <w:t>F</w:t>
      </w:r>
      <w:r w:rsidRPr="007B429C">
        <w:t>irms</w:t>
      </w:r>
      <w:r w:rsidRPr="00566757">
        <w:t xml:space="preserve"> could neither pass on increases in raw material prices to the c</w:t>
      </w:r>
      <w:r w:rsidR="00C35238">
        <w:t>u</w:t>
      </w:r>
      <w:r w:rsidRPr="00566757">
        <w:t>st</w:t>
      </w:r>
      <w:r w:rsidR="00C35238">
        <w:t>o</w:t>
      </w:r>
      <w:r w:rsidRPr="00566757">
        <w:t>mer, nor could they avoid competing on price</w:t>
      </w:r>
      <w:r w:rsidR="00F64F79">
        <w:t>. R</w:t>
      </w:r>
      <w:r w:rsidRPr="00566757">
        <w:t>ebates, preferred financing</w:t>
      </w:r>
      <w:r w:rsidR="00C35238">
        <w:t>,</w:t>
      </w:r>
      <w:r w:rsidRPr="00566757">
        <w:t xml:space="preserve"> and long-term warranties </w:t>
      </w:r>
      <w:r>
        <w:t>helped to attract</w:t>
      </w:r>
      <w:r w:rsidRPr="00566757">
        <w:t xml:space="preserve"> customers but simultaneously lowered the profit margins for vehicle sales. According to a report</w:t>
      </w:r>
      <w:r>
        <w:t xml:space="preserve"> by McKinsey</w:t>
      </w:r>
      <w:r w:rsidR="00C35238">
        <w:t xml:space="preserve"> &amp; Company, </w:t>
      </w:r>
      <w:r w:rsidR="00F764C2">
        <w:t>“</w:t>
      </w:r>
      <w:r w:rsidRPr="007B429C">
        <w:t>the share of young people (16 to 24 years) who hold a driver’s license dropped from 76</w:t>
      </w:r>
      <w:r w:rsidR="00F64F79" w:rsidRPr="007B429C">
        <w:t xml:space="preserve"> per cent</w:t>
      </w:r>
      <w:r w:rsidRPr="007B429C">
        <w:t xml:space="preserve"> in 2000 to 71</w:t>
      </w:r>
      <w:r w:rsidR="00F64F79" w:rsidRPr="007B429C">
        <w:t xml:space="preserve"> per cent</w:t>
      </w:r>
      <w:r w:rsidRPr="007B429C">
        <w:t xml:space="preserve"> in 2013, while there has been over 30</w:t>
      </w:r>
      <w:r w:rsidR="00F64F79" w:rsidRPr="007B429C">
        <w:t xml:space="preserve"> per cent</w:t>
      </w:r>
      <w:r w:rsidRPr="007B429C">
        <w:t xml:space="preserve"> annual growth in car-sharing members in North America and Germany over the last five years</w:t>
      </w:r>
      <w:r w:rsidR="005034ED" w:rsidRPr="007B429C">
        <w:t>.”</w:t>
      </w:r>
      <w:r w:rsidRPr="007B429C">
        <w:rPr>
          <w:rStyle w:val="EndnoteReference"/>
          <w:rFonts w:ascii="Times" w:hAnsi="Times"/>
          <w:color w:val="000000" w:themeColor="text1"/>
        </w:rPr>
        <w:endnoteReference w:id="29"/>
      </w:r>
      <w:r w:rsidRPr="007B429C">
        <w:t xml:space="preserve"> </w:t>
      </w:r>
    </w:p>
    <w:p w14:paraId="639BCC19" w14:textId="77777777" w:rsidR="00C35238" w:rsidRDefault="00C35238" w:rsidP="007B429C">
      <w:pPr>
        <w:pStyle w:val="BodyTextMain"/>
        <w:rPr>
          <w:shd w:val="clear" w:color="auto" w:fill="FFFFFF"/>
        </w:rPr>
      </w:pPr>
    </w:p>
    <w:p w14:paraId="6AF1CFAB" w14:textId="77777777" w:rsidR="007568BA" w:rsidRDefault="007568BA" w:rsidP="007B429C">
      <w:pPr>
        <w:pStyle w:val="BodyTextMain"/>
      </w:pPr>
    </w:p>
    <w:p w14:paraId="59B8C53C" w14:textId="57DD3FAA" w:rsidR="00777CED" w:rsidRPr="003D731E" w:rsidRDefault="00777CED" w:rsidP="007B429C">
      <w:pPr>
        <w:pStyle w:val="BodyTextMain"/>
        <w:rPr>
          <w:spacing w:val="-2"/>
          <w:kern w:val="22"/>
        </w:rPr>
      </w:pPr>
      <w:r w:rsidRPr="003D731E">
        <w:rPr>
          <w:spacing w:val="-2"/>
          <w:kern w:val="22"/>
        </w:rPr>
        <w:lastRenderedPageBreak/>
        <w:t>If customer loyalty to specific automotive brands was indeed eroding</w:t>
      </w:r>
      <w:r w:rsidR="00C35238" w:rsidRPr="003D731E">
        <w:rPr>
          <w:spacing w:val="-2"/>
          <w:kern w:val="22"/>
        </w:rPr>
        <w:t>,</w:t>
      </w:r>
      <w:r w:rsidRPr="003D731E">
        <w:rPr>
          <w:rStyle w:val="EndnoteReference"/>
          <w:rFonts w:ascii="Times" w:hAnsi="Times"/>
          <w:color w:val="000000" w:themeColor="text1"/>
          <w:spacing w:val="-2"/>
          <w:kern w:val="22"/>
        </w:rPr>
        <w:endnoteReference w:id="30"/>
      </w:r>
      <w:r w:rsidRPr="003D731E">
        <w:rPr>
          <w:spacing w:val="-2"/>
          <w:kern w:val="22"/>
        </w:rPr>
        <w:t xml:space="preserve"> companies that were positioned to produce low</w:t>
      </w:r>
      <w:r w:rsidR="00C35238" w:rsidRPr="003D731E">
        <w:rPr>
          <w:spacing w:val="-2"/>
          <w:kern w:val="22"/>
        </w:rPr>
        <w:t>-</w:t>
      </w:r>
      <w:r w:rsidRPr="003D731E">
        <w:rPr>
          <w:spacing w:val="-2"/>
          <w:kern w:val="22"/>
        </w:rPr>
        <w:t>cost but high</w:t>
      </w:r>
      <w:r w:rsidR="00C35238" w:rsidRPr="003D731E">
        <w:rPr>
          <w:spacing w:val="-2"/>
          <w:kern w:val="22"/>
        </w:rPr>
        <w:t>-</w:t>
      </w:r>
      <w:r w:rsidRPr="003D731E">
        <w:rPr>
          <w:spacing w:val="-2"/>
          <w:kern w:val="22"/>
        </w:rPr>
        <w:t xml:space="preserve">quality vehicles (such as Kia and </w:t>
      </w:r>
      <w:r w:rsidR="003F4FFD" w:rsidRPr="003D731E">
        <w:rPr>
          <w:spacing w:val="-2"/>
          <w:kern w:val="22"/>
        </w:rPr>
        <w:t>Tata Motors</w:t>
      </w:r>
      <w:r w:rsidRPr="003D731E">
        <w:rPr>
          <w:spacing w:val="-2"/>
          <w:kern w:val="22"/>
        </w:rPr>
        <w:t xml:space="preserve">) could take market share from local U.S. manufacturers. Companies such as Ford and GM had already embraced smaller cars and smaller engines in the past few years as the tastes of U.S. consumers began to align more with those of consumers in Western European markets. </w:t>
      </w:r>
      <w:r w:rsidR="009723A4" w:rsidRPr="003D731E">
        <w:rPr>
          <w:spacing w:val="-2"/>
          <w:kern w:val="22"/>
        </w:rPr>
        <w:t>As well</w:t>
      </w:r>
      <w:r w:rsidRPr="003D731E">
        <w:rPr>
          <w:spacing w:val="-2"/>
          <w:kern w:val="22"/>
        </w:rPr>
        <w:t xml:space="preserve">, consumer mobility behaviour was expected to change further as the importance of private car ownership continued to decline </w:t>
      </w:r>
      <w:r w:rsidR="00C35238" w:rsidRPr="003D731E">
        <w:rPr>
          <w:spacing w:val="-2"/>
          <w:kern w:val="22"/>
        </w:rPr>
        <w:t>after</w:t>
      </w:r>
      <w:r w:rsidRPr="003D731E">
        <w:rPr>
          <w:spacing w:val="-2"/>
          <w:kern w:val="22"/>
        </w:rPr>
        <w:t xml:space="preserve"> 2012</w:t>
      </w:r>
      <w:r w:rsidR="00C35238" w:rsidRPr="003D731E">
        <w:rPr>
          <w:spacing w:val="-2"/>
          <w:kern w:val="22"/>
        </w:rPr>
        <w:t>,</w:t>
      </w:r>
      <w:r w:rsidRPr="003D731E">
        <w:rPr>
          <w:spacing w:val="-2"/>
          <w:kern w:val="22"/>
        </w:rPr>
        <w:t xml:space="preserve"> particularly in heavily populated urban areas</w:t>
      </w:r>
      <w:r w:rsidR="00F764C2" w:rsidRPr="003D731E">
        <w:rPr>
          <w:spacing w:val="-2"/>
          <w:kern w:val="22"/>
        </w:rPr>
        <w:t>.</w:t>
      </w:r>
      <w:r w:rsidRPr="003D731E">
        <w:rPr>
          <w:rStyle w:val="EndnoteReference"/>
          <w:rFonts w:ascii="Times" w:hAnsi="Times"/>
          <w:color w:val="000000" w:themeColor="text1"/>
          <w:spacing w:val="-2"/>
          <w:kern w:val="22"/>
        </w:rPr>
        <w:endnoteReference w:id="31"/>
      </w:r>
      <w:r w:rsidRPr="003D731E">
        <w:rPr>
          <w:spacing w:val="-2"/>
          <w:kern w:val="22"/>
        </w:rPr>
        <w:t xml:space="preserve"> Whil</w:t>
      </w:r>
      <w:r w:rsidR="00C35238" w:rsidRPr="003D731E">
        <w:rPr>
          <w:spacing w:val="-2"/>
          <w:kern w:val="22"/>
        </w:rPr>
        <w:t>e</w:t>
      </w:r>
      <w:r w:rsidRPr="003D731E">
        <w:rPr>
          <w:spacing w:val="-2"/>
          <w:kern w:val="22"/>
        </w:rPr>
        <w:t xml:space="preserve"> the fall in car use was associated with the recession, the trend was, in fact, observed prior to 2007.</w:t>
      </w:r>
      <w:r w:rsidRPr="003D731E">
        <w:rPr>
          <w:rStyle w:val="EndnoteReference"/>
          <w:rFonts w:ascii="Times" w:hAnsi="Times"/>
          <w:color w:val="000000" w:themeColor="text1"/>
          <w:spacing w:val="-2"/>
          <w:kern w:val="22"/>
        </w:rPr>
        <w:endnoteReference w:id="32"/>
      </w:r>
    </w:p>
    <w:p w14:paraId="20738137" w14:textId="77777777" w:rsidR="00777CED" w:rsidRPr="0091093C" w:rsidRDefault="00777CED" w:rsidP="007B429C">
      <w:pPr>
        <w:pStyle w:val="BodyTextMain"/>
        <w:rPr>
          <w:b/>
        </w:rPr>
      </w:pPr>
    </w:p>
    <w:p w14:paraId="0A30DC79" w14:textId="3A795441" w:rsidR="00777CED" w:rsidRDefault="00777CED" w:rsidP="007B429C">
      <w:pPr>
        <w:pStyle w:val="BodyTextMain"/>
      </w:pPr>
      <w:r w:rsidRPr="00AE5814">
        <w:t xml:space="preserve">Opportunities for growth and profitability in the U.S. market </w:t>
      </w:r>
      <w:r>
        <w:t xml:space="preserve">could </w:t>
      </w:r>
      <w:r w:rsidRPr="00AE5814">
        <w:t>be associated with alternative propositions such as hybrid transport options,</w:t>
      </w:r>
      <w:r>
        <w:t xml:space="preserve"> smaller vehicles, </w:t>
      </w:r>
      <w:r w:rsidRPr="00AE5814">
        <w:t>all-electric or driverless car</w:t>
      </w:r>
      <w:r>
        <w:t>s,</w:t>
      </w:r>
      <w:r w:rsidRPr="00AE5814">
        <w:t xml:space="preserve"> and significant capital to invest in sizeable dealership networks. </w:t>
      </w:r>
      <w:r>
        <w:t>New business models, including on-demand mobility services</w:t>
      </w:r>
      <w:r w:rsidR="009141CA">
        <w:t>,</w:t>
      </w:r>
      <w:r>
        <w:t xml:space="preserve"> were predicted to expand automotive revenues pools in the U</w:t>
      </w:r>
      <w:r w:rsidR="00C35238">
        <w:t xml:space="preserve">nited States </w:t>
      </w:r>
      <w:r>
        <w:t>by about 30 per cent by 2030</w:t>
      </w:r>
      <w:r w:rsidR="009141CA">
        <w:t xml:space="preserve">, </w:t>
      </w:r>
      <w:r>
        <w:t>allowing cars to become platforms for passengers to consume other services and forms of media.</w:t>
      </w:r>
      <w:r>
        <w:rPr>
          <w:rStyle w:val="EndnoteReference"/>
          <w:rFonts w:ascii="Times" w:hAnsi="Times"/>
          <w:color w:val="000000" w:themeColor="text1"/>
        </w:rPr>
        <w:endnoteReference w:id="33"/>
      </w:r>
      <w:r>
        <w:t xml:space="preserve"> This </w:t>
      </w:r>
      <w:r w:rsidR="009141CA">
        <w:t xml:space="preserve">change </w:t>
      </w:r>
      <w:r>
        <w:t>would require traditional automakers to make cars more upgradeable to take advantage of new technological innovations. In this new context, key challenges included pricing, upgrading the value proposition</w:t>
      </w:r>
      <w:r w:rsidR="009141CA">
        <w:t>,</w:t>
      </w:r>
      <w:r>
        <w:t xml:space="preserve"> and effectively managing safety and security issues. </w:t>
      </w:r>
    </w:p>
    <w:p w14:paraId="0F86B7FF" w14:textId="77777777" w:rsidR="00777CED" w:rsidRDefault="00777CED" w:rsidP="007B429C">
      <w:pPr>
        <w:pStyle w:val="BodyTextMain"/>
      </w:pPr>
    </w:p>
    <w:p w14:paraId="3E4D614B" w14:textId="77777777" w:rsidR="00777CED" w:rsidRPr="00455C99" w:rsidRDefault="00777CED" w:rsidP="007B429C">
      <w:pPr>
        <w:pStyle w:val="BodyTextMain"/>
        <w:rPr>
          <w:b/>
        </w:rPr>
      </w:pPr>
    </w:p>
    <w:p w14:paraId="399A41CE" w14:textId="763794F9" w:rsidR="00777CED" w:rsidRDefault="00081DEC" w:rsidP="007B429C">
      <w:pPr>
        <w:pStyle w:val="Casehead1"/>
        <w:outlineLvl w:val="0"/>
      </w:pPr>
      <w:r>
        <w:t>PSA</w:t>
      </w:r>
      <w:r w:rsidR="00915C18">
        <w:t xml:space="preserve"> </w:t>
      </w:r>
      <w:r w:rsidR="00777CED" w:rsidRPr="00AE5814">
        <w:t>HISTORY AND INTERNATIONAL PRESENCE</w:t>
      </w:r>
    </w:p>
    <w:p w14:paraId="6DDB4138" w14:textId="77777777" w:rsidR="00777CED" w:rsidRPr="00AE5814" w:rsidRDefault="00777CED" w:rsidP="007B429C">
      <w:pPr>
        <w:pStyle w:val="BodyTextMain"/>
        <w:rPr>
          <w:lang w:eastAsia="en-GB"/>
        </w:rPr>
      </w:pPr>
    </w:p>
    <w:p w14:paraId="0F61E2D4" w14:textId="1E2E8663" w:rsidR="00697849" w:rsidRDefault="00777CED" w:rsidP="007B429C">
      <w:pPr>
        <w:pStyle w:val="BodyTextMain"/>
      </w:pPr>
      <w:r w:rsidRPr="00AE5814">
        <w:t>PSA (known as PSA Peugeot Citroën from 1991 to 2016</w:t>
      </w:r>
      <w:r w:rsidR="00915C18">
        <w:t xml:space="preserve"> and as PSA Group starting in 2017</w:t>
      </w:r>
      <w:r w:rsidRPr="00AE5814">
        <w:t>)</w:t>
      </w:r>
      <w:r w:rsidR="00880A06">
        <w:t xml:space="preserve"> was</w:t>
      </w:r>
      <w:r w:rsidRPr="00AE5814">
        <w:t xml:space="preserve"> one of the principal European automotive manufacturers producing mainly passenger cars and light commercial vehicles under the famous Peugeot and Citroën brand names</w:t>
      </w:r>
      <w:r>
        <w:t>. In 2017,</w:t>
      </w:r>
      <w:r w:rsidR="00915C18">
        <w:t xml:space="preserve"> the company</w:t>
      </w:r>
      <w:r>
        <w:t xml:space="preserve"> continued to be</w:t>
      </w:r>
      <w:r w:rsidRPr="00AE5814">
        <w:t xml:space="preserve"> one of Europe’s largest supplier</w:t>
      </w:r>
      <w:r w:rsidR="00915C18">
        <w:t>s</w:t>
      </w:r>
      <w:r w:rsidRPr="00AE5814">
        <w:t xml:space="preserve"> of parts to the </w:t>
      </w:r>
      <w:r>
        <w:t>automotive industry</w:t>
      </w:r>
      <w:r w:rsidR="00307F04">
        <w:t>,</w:t>
      </w:r>
      <w:r>
        <w:t xml:space="preserve"> and operated</w:t>
      </w:r>
      <w:r w:rsidRPr="00AE5814">
        <w:t xml:space="preserve"> its own financial and distribution subsidiaries.</w:t>
      </w:r>
    </w:p>
    <w:p w14:paraId="39479EA1" w14:textId="77777777" w:rsidR="00697849" w:rsidRDefault="00697849" w:rsidP="007B429C">
      <w:pPr>
        <w:pStyle w:val="BodyTextMain"/>
      </w:pPr>
    </w:p>
    <w:p w14:paraId="0B9D687F" w14:textId="661BF528" w:rsidR="00307807" w:rsidRPr="003D731E" w:rsidRDefault="00777CED" w:rsidP="007B429C">
      <w:pPr>
        <w:pStyle w:val="BodyTextMain"/>
        <w:rPr>
          <w:spacing w:val="-2"/>
          <w:kern w:val="22"/>
        </w:rPr>
      </w:pPr>
      <w:r w:rsidRPr="003D731E">
        <w:rPr>
          <w:spacing w:val="-2"/>
          <w:kern w:val="22"/>
        </w:rPr>
        <w:t xml:space="preserve">In France, the Peugeot and Citroën names held a prominent position among car manufacturers in the </w:t>
      </w:r>
      <w:r w:rsidR="006A0263" w:rsidRPr="003D731E">
        <w:rPr>
          <w:spacing w:val="-2"/>
          <w:kern w:val="22"/>
        </w:rPr>
        <w:t xml:space="preserve">nineteenth </w:t>
      </w:r>
      <w:r w:rsidRPr="003D731E">
        <w:rPr>
          <w:spacing w:val="-2"/>
          <w:kern w:val="22"/>
        </w:rPr>
        <w:t>century. The company (then family owned) started by operating a textile mill in France, after which it turned to steel production and subsequently</w:t>
      </w:r>
      <w:r w:rsidR="006A0263" w:rsidRPr="003D731E">
        <w:rPr>
          <w:spacing w:val="-2"/>
          <w:kern w:val="22"/>
        </w:rPr>
        <w:t>,</w:t>
      </w:r>
      <w:r w:rsidRPr="003D731E">
        <w:rPr>
          <w:spacing w:val="-2"/>
          <w:kern w:val="22"/>
        </w:rPr>
        <w:t xml:space="preserve"> wheeled vehicle production given the growing number of adopters of bicycles. </w:t>
      </w:r>
      <w:r w:rsidR="006A0263" w:rsidRPr="003D731E">
        <w:rPr>
          <w:spacing w:val="-2"/>
          <w:kern w:val="22"/>
        </w:rPr>
        <w:t xml:space="preserve">The company </w:t>
      </w:r>
      <w:r w:rsidRPr="003D731E">
        <w:rPr>
          <w:spacing w:val="-2"/>
          <w:kern w:val="22"/>
        </w:rPr>
        <w:t xml:space="preserve">produced the first passenger vehicle in </w:t>
      </w:r>
      <w:r w:rsidR="00307F04" w:rsidRPr="003D731E">
        <w:rPr>
          <w:spacing w:val="-2"/>
          <w:kern w:val="22"/>
        </w:rPr>
        <w:t xml:space="preserve">the </w:t>
      </w:r>
      <w:r w:rsidRPr="003D731E">
        <w:rPr>
          <w:spacing w:val="-2"/>
          <w:kern w:val="22"/>
        </w:rPr>
        <w:t xml:space="preserve">late 1880s using Daimler engines. </w:t>
      </w:r>
    </w:p>
    <w:p w14:paraId="30BE9A18" w14:textId="77777777" w:rsidR="00307807" w:rsidRDefault="00307807" w:rsidP="007B429C">
      <w:pPr>
        <w:pStyle w:val="BodyTextMain"/>
      </w:pPr>
    </w:p>
    <w:p w14:paraId="1B2A48E9" w14:textId="551A56F5" w:rsidR="00777CED" w:rsidRDefault="00777CED" w:rsidP="007B429C">
      <w:pPr>
        <w:pStyle w:val="BodyTextMain"/>
      </w:pPr>
      <w:r>
        <w:t>Following</w:t>
      </w:r>
      <w:r w:rsidRPr="00AE5814">
        <w:t xml:space="preserve"> partnerships with other carmakers such as Ford and BMW</w:t>
      </w:r>
      <w:r w:rsidR="00697849">
        <w:t>,</w:t>
      </w:r>
      <w:r w:rsidRPr="00AE5814">
        <w:t xml:space="preserve"> </w:t>
      </w:r>
      <w:r w:rsidR="00915C18">
        <w:t>the company</w:t>
      </w:r>
      <w:r w:rsidRPr="00AE5814">
        <w:t xml:space="preserve"> </w:t>
      </w:r>
      <w:r>
        <w:t>developed the necessary capabilities and technological knowledge</w:t>
      </w:r>
      <w:r w:rsidR="00697849">
        <w:t xml:space="preserve"> to</w:t>
      </w:r>
      <w:r>
        <w:t xml:space="preserve"> ma</w:t>
      </w:r>
      <w:r w:rsidR="00697849">
        <w:t>ke</w:t>
      </w:r>
      <w:r w:rsidRPr="00AE5814">
        <w:t xml:space="preserve"> </w:t>
      </w:r>
      <w:r w:rsidR="00697849">
        <w:t>its</w:t>
      </w:r>
      <w:r w:rsidRPr="00AE5814">
        <w:t xml:space="preserve"> own innovative car </w:t>
      </w:r>
      <w:r>
        <w:t>engines. By</w:t>
      </w:r>
      <w:r w:rsidRPr="00AE5814">
        <w:t xml:space="preserve"> 1896, </w:t>
      </w:r>
      <w:r w:rsidR="00915C18">
        <w:t>it</w:t>
      </w:r>
      <w:r w:rsidRPr="00AE5814">
        <w:t xml:space="preserve"> </w:t>
      </w:r>
      <w:r>
        <w:t>had made</w:t>
      </w:r>
      <w:r w:rsidRPr="00AE5814">
        <w:t xml:space="preserve"> its mark and consolidat</w:t>
      </w:r>
      <w:r>
        <w:t>ed</w:t>
      </w:r>
      <w:r w:rsidRPr="00AE5814">
        <w:t xml:space="preserve"> the Peugeot brand name</w:t>
      </w:r>
      <w:r>
        <w:t xml:space="preserve"> as a symbol of forward thinking and innovation</w:t>
      </w:r>
      <w:r w:rsidRPr="00AE5814">
        <w:t xml:space="preserve">. In the late 1920s, </w:t>
      </w:r>
      <w:r w:rsidR="00915C18">
        <w:t>the company</w:t>
      </w:r>
      <w:r w:rsidRPr="00AE5814">
        <w:t xml:space="preserve"> introduced the first diesel-powered passenger automobile</w:t>
      </w:r>
      <w:r w:rsidR="00697849">
        <w:t>.</w:t>
      </w:r>
      <w:r w:rsidRPr="00AE5814">
        <w:t xml:space="preserve"> </w:t>
      </w:r>
      <w:r w:rsidR="00697849">
        <w:t>C</w:t>
      </w:r>
      <w:r w:rsidRPr="00AE5814">
        <w:t>ollaborations with other manufacturers such as Renault</w:t>
      </w:r>
      <w:r w:rsidR="002D686C">
        <w:t xml:space="preserve"> Group (Renault)</w:t>
      </w:r>
      <w:r w:rsidRPr="00AE5814">
        <w:t xml:space="preserve"> (1966) and Volvo </w:t>
      </w:r>
      <w:r w:rsidR="002746C1">
        <w:t xml:space="preserve">Group (Volvo) </w:t>
      </w:r>
      <w:r w:rsidRPr="00AE5814">
        <w:t>(1972) followed</w:t>
      </w:r>
      <w:r w:rsidR="00915C18">
        <w:t xml:space="preserve"> with the </w:t>
      </w:r>
      <w:r w:rsidRPr="00AE5814">
        <w:t>renew</w:t>
      </w:r>
      <w:r w:rsidR="00915C18">
        <w:t>al of</w:t>
      </w:r>
      <w:r w:rsidRPr="00AE5814">
        <w:t xml:space="preserve"> car manufacturing operations after World War II.</w:t>
      </w:r>
      <w:r w:rsidRPr="00AE5814">
        <w:rPr>
          <w:rStyle w:val="EndnoteReference"/>
          <w:rFonts w:ascii="Times" w:hAnsi="Times"/>
          <w:color w:val="000000" w:themeColor="text1"/>
        </w:rPr>
        <w:endnoteReference w:id="34"/>
      </w:r>
    </w:p>
    <w:p w14:paraId="403BE358" w14:textId="77777777" w:rsidR="00777CED" w:rsidRPr="00AE5814" w:rsidRDefault="00777CED" w:rsidP="007B429C">
      <w:pPr>
        <w:pStyle w:val="BodyTextMain"/>
        <w:rPr>
          <w:b/>
        </w:rPr>
      </w:pPr>
    </w:p>
    <w:p w14:paraId="548D727F" w14:textId="5C97CC7A" w:rsidR="00777CED" w:rsidRDefault="00777CED" w:rsidP="007B429C">
      <w:pPr>
        <w:pStyle w:val="BodyTextMain"/>
      </w:pPr>
      <w:r w:rsidRPr="00AE5814">
        <w:t xml:space="preserve">PSA </w:t>
      </w:r>
      <w:r w:rsidRPr="00B8719D">
        <w:t>(</w:t>
      </w:r>
      <w:r w:rsidRPr="00AC24B6">
        <w:rPr>
          <w:rFonts w:asciiTheme="majorBidi" w:hAnsiTheme="majorBidi" w:cstheme="majorBidi"/>
        </w:rPr>
        <w:t xml:space="preserve">Peugeot </w:t>
      </w:r>
      <w:r w:rsidRPr="007B429C">
        <w:rPr>
          <w:rStyle w:val="Emphasis"/>
          <w:rFonts w:asciiTheme="majorBidi" w:hAnsiTheme="majorBidi" w:cstheme="majorBidi"/>
          <w:i w:val="0"/>
        </w:rPr>
        <w:t>Société</w:t>
      </w:r>
      <w:r w:rsidRPr="007B429C" w:rsidDel="00B8719D">
        <w:t xml:space="preserve"> </w:t>
      </w:r>
      <w:r w:rsidRPr="00AC24B6">
        <w:t>Anonyme</w:t>
      </w:r>
      <w:r w:rsidRPr="00B8719D">
        <w:t>)</w:t>
      </w:r>
      <w:r w:rsidRPr="00AE5814">
        <w:t xml:space="preserve"> was formed in 1975 when Peugeot took over </w:t>
      </w:r>
      <w:r>
        <w:t>Citroën</w:t>
      </w:r>
      <w:r w:rsidRPr="00AE5814">
        <w:t xml:space="preserve">. Although the two companies kept separate identities, they shared engineering and technical resources. </w:t>
      </w:r>
      <w:r>
        <w:t>New Peugeot mod</w:t>
      </w:r>
      <w:r w:rsidRPr="00AE5814">
        <w:t>e</w:t>
      </w:r>
      <w:r>
        <w:t>l</w:t>
      </w:r>
      <w:r w:rsidRPr="00AE5814">
        <w:t>s were in</w:t>
      </w:r>
      <w:r>
        <w:t>troduced in the 1990s and 2000s</w:t>
      </w:r>
      <w:r w:rsidR="00697849">
        <w:t>,</w:t>
      </w:r>
      <w:r>
        <w:t xml:space="preserve"> </w:t>
      </w:r>
      <w:r w:rsidRPr="00AE5814">
        <w:t>produced in the U</w:t>
      </w:r>
      <w:r w:rsidR="00697849">
        <w:t>nited Kingdom</w:t>
      </w:r>
      <w:r w:rsidRPr="00AE5814">
        <w:t xml:space="preserve"> and </w:t>
      </w:r>
      <w:r>
        <w:t>France</w:t>
      </w:r>
      <w:r w:rsidR="00697849">
        <w:t>,</w:t>
      </w:r>
      <w:r>
        <w:t xml:space="preserve"> as well as in</w:t>
      </w:r>
      <w:r w:rsidRPr="00AE5814">
        <w:t xml:space="preserve"> China. In 2017, </w:t>
      </w:r>
      <w:r w:rsidR="00081DEC">
        <w:t>PSA</w:t>
      </w:r>
      <w:r w:rsidRPr="00AE5814">
        <w:t xml:space="preserve"> owned other brands such as DS Automobiles</w:t>
      </w:r>
      <w:r w:rsidR="004010EE">
        <w:t xml:space="preserve"> (</w:t>
      </w:r>
      <w:r w:rsidR="00A04115">
        <w:t>DS</w:t>
      </w:r>
      <w:r w:rsidR="004010EE">
        <w:t>)</w:t>
      </w:r>
      <w:r w:rsidR="00483B6F">
        <w:t>, which it had owned</w:t>
      </w:r>
      <w:r w:rsidR="004010EE">
        <w:t xml:space="preserve"> since 2009. </w:t>
      </w:r>
      <w:r w:rsidR="00697849">
        <w:t>F</w:t>
      </w:r>
      <w:r w:rsidRPr="00AE5814">
        <w:t xml:space="preserve">ollowing the completion of </w:t>
      </w:r>
      <w:r w:rsidR="00697849">
        <w:t>its</w:t>
      </w:r>
      <w:r w:rsidRPr="00AE5814">
        <w:t xml:space="preserve"> deal with GM in March 201</w:t>
      </w:r>
      <w:r>
        <w:t>7</w:t>
      </w:r>
      <w:r w:rsidR="00183AC3">
        <w:t>,</w:t>
      </w:r>
      <w:r w:rsidR="00697849">
        <w:t xml:space="preserve"> </w:t>
      </w:r>
      <w:r w:rsidR="00697849" w:rsidRPr="00AE5814">
        <w:t xml:space="preserve">PSA </w:t>
      </w:r>
      <w:r w:rsidR="00697849">
        <w:t xml:space="preserve">also </w:t>
      </w:r>
      <w:r w:rsidR="00697849" w:rsidRPr="00AE5814">
        <w:t xml:space="preserve">owned Opel </w:t>
      </w:r>
      <w:r w:rsidR="00A04115">
        <w:t xml:space="preserve">Automobile GmbH (Opel) </w:t>
      </w:r>
      <w:r w:rsidR="00697849" w:rsidRPr="00AE5814">
        <w:t>and Vauxhall Motors</w:t>
      </w:r>
      <w:r w:rsidR="00697849" w:rsidRPr="004039D0">
        <w:rPr>
          <w:rStyle w:val="EndnoteReference"/>
          <w:rFonts w:ascii="Times" w:hAnsi="Times"/>
          <w:color w:val="000000" w:themeColor="text1"/>
          <w:vertAlign w:val="baseline"/>
        </w:rPr>
        <w:t>.</w:t>
      </w:r>
      <w:r w:rsidRPr="00AE5814">
        <w:rPr>
          <w:rStyle w:val="EndnoteReference"/>
          <w:rFonts w:ascii="Times" w:hAnsi="Times"/>
          <w:color w:val="000000" w:themeColor="text1"/>
        </w:rPr>
        <w:endnoteReference w:id="35"/>
      </w:r>
      <w:r w:rsidRPr="00AE5814">
        <w:t xml:space="preserve"> </w:t>
      </w:r>
    </w:p>
    <w:p w14:paraId="723FA0E9" w14:textId="77777777" w:rsidR="000B6465" w:rsidRDefault="000B6465" w:rsidP="007B429C">
      <w:pPr>
        <w:pStyle w:val="BodyTextMain"/>
      </w:pPr>
    </w:p>
    <w:p w14:paraId="0E0D1138" w14:textId="76927C14" w:rsidR="003D731E" w:rsidRDefault="003D731E" w:rsidP="007B429C">
      <w:pPr>
        <w:spacing w:after="200" w:line="276" w:lineRule="auto"/>
        <w:rPr>
          <w:rFonts w:ascii="Arial" w:hAnsi="Arial" w:cs="Arial"/>
          <w:sz w:val="22"/>
          <w:szCs w:val="22"/>
        </w:rPr>
      </w:pPr>
      <w:r>
        <w:rPr>
          <w:rFonts w:ascii="Arial" w:hAnsi="Arial" w:cs="Arial"/>
        </w:rPr>
        <w:br w:type="page"/>
      </w:r>
    </w:p>
    <w:p w14:paraId="265A4D83" w14:textId="7F17EF9C" w:rsidR="00777CED" w:rsidRDefault="00777CED" w:rsidP="007B429C">
      <w:pPr>
        <w:pStyle w:val="Casehead1"/>
        <w:keepNext/>
        <w:outlineLvl w:val="0"/>
      </w:pPr>
      <w:r w:rsidRPr="00AE5814">
        <w:lastRenderedPageBreak/>
        <w:t xml:space="preserve">Financial decline and notable </w:t>
      </w:r>
      <w:r>
        <w:t>strategic initiatives</w:t>
      </w:r>
      <w:r w:rsidRPr="00AE5814">
        <w:t xml:space="preserve"> </w:t>
      </w:r>
    </w:p>
    <w:p w14:paraId="715C6EF5" w14:textId="77777777" w:rsidR="00777CED" w:rsidRPr="00AE5814" w:rsidRDefault="00777CED" w:rsidP="007B429C">
      <w:pPr>
        <w:pStyle w:val="BodyTextMain"/>
        <w:keepNext/>
      </w:pPr>
    </w:p>
    <w:p w14:paraId="02199B14" w14:textId="54501E98" w:rsidR="0057699B" w:rsidRPr="000628C0" w:rsidRDefault="00777CED" w:rsidP="007B429C">
      <w:pPr>
        <w:pStyle w:val="Casehead2"/>
      </w:pPr>
      <w:r w:rsidRPr="000628C0">
        <w:t>2006</w:t>
      </w:r>
      <w:r w:rsidR="0057699B" w:rsidRPr="000628C0">
        <w:t>–</w:t>
      </w:r>
      <w:r w:rsidRPr="000628C0">
        <w:t>2009</w:t>
      </w:r>
    </w:p>
    <w:p w14:paraId="2B5EFB4D" w14:textId="77777777" w:rsidR="0057699B" w:rsidRDefault="0057699B" w:rsidP="007B429C">
      <w:pPr>
        <w:pStyle w:val="BodyTextMain"/>
        <w:rPr>
          <w:i/>
        </w:rPr>
      </w:pPr>
    </w:p>
    <w:p w14:paraId="75DB72D1" w14:textId="7CB6DB57" w:rsidR="00777CED" w:rsidRDefault="00777CED" w:rsidP="007B429C">
      <w:pPr>
        <w:pStyle w:val="BodyTextMain"/>
      </w:pPr>
      <w:r w:rsidRPr="00AE5814">
        <w:t xml:space="preserve">In April 2006, </w:t>
      </w:r>
      <w:r w:rsidR="00081DEC">
        <w:t>PSA</w:t>
      </w:r>
      <w:r w:rsidRPr="00AE5814">
        <w:t xml:space="preserve"> announced the closure of its manufacturing facilities in Coventry, United Kingdom</w:t>
      </w:r>
      <w:r w:rsidR="00CB5D4E">
        <w:t>,</w:t>
      </w:r>
      <w:r w:rsidRPr="00AE5814">
        <w:t xml:space="preserve"> </w:t>
      </w:r>
      <w:r w:rsidRPr="00C2328B">
        <w:t xml:space="preserve">which resulted in the loss of over 2,000 local jobs and 3,000 </w:t>
      </w:r>
      <w:r w:rsidR="00915C18">
        <w:t xml:space="preserve">more </w:t>
      </w:r>
      <w:r w:rsidRPr="00C2328B">
        <w:t>jobs along the supply chain.</w:t>
      </w:r>
      <w:r w:rsidRPr="00C2328B">
        <w:rPr>
          <w:rStyle w:val="EndnoteReference"/>
          <w:rFonts w:ascii="Times" w:hAnsi="Times"/>
          <w:color w:val="000000" w:themeColor="text1"/>
        </w:rPr>
        <w:endnoteReference w:id="36"/>
      </w:r>
      <w:r w:rsidRPr="00C2328B">
        <w:t xml:space="preserve"> Despite the company’s ambition to sell four million units annually, in 2008</w:t>
      </w:r>
      <w:r w:rsidR="00CB5D4E">
        <w:t>,</w:t>
      </w:r>
      <w:r w:rsidRPr="00C2328B">
        <w:t xml:space="preserve"> its sales were below two</w:t>
      </w:r>
      <w:r>
        <w:t xml:space="preserve"> million, which was blamed principally on</w:t>
      </w:r>
      <w:r w:rsidRPr="00C2328B">
        <w:t xml:space="preserve"> adverse market conditions and slow rates of growth</w:t>
      </w:r>
      <w:r w:rsidR="00CB5D4E">
        <w:t>.</w:t>
      </w:r>
      <w:r w:rsidRPr="00C2328B">
        <w:t xml:space="preserve"> In 2009, Christian Streiff was replaced as CEO by Philippe Varin</w:t>
      </w:r>
      <w:r w:rsidR="0057699B">
        <w:t>.</w:t>
      </w:r>
      <w:r w:rsidRPr="00C2328B">
        <w:rPr>
          <w:rStyle w:val="EndnoteReference"/>
          <w:rFonts w:ascii="Times" w:hAnsi="Times"/>
          <w:color w:val="000000" w:themeColor="text1"/>
        </w:rPr>
        <w:endnoteReference w:id="37"/>
      </w:r>
    </w:p>
    <w:p w14:paraId="7ED0B575" w14:textId="77777777" w:rsidR="00777CED" w:rsidRDefault="00777CED" w:rsidP="007B429C">
      <w:pPr>
        <w:pStyle w:val="BodyTextMain"/>
        <w:rPr>
          <w:b/>
        </w:rPr>
      </w:pPr>
    </w:p>
    <w:p w14:paraId="27CE3B52" w14:textId="77777777" w:rsidR="007568BA" w:rsidRPr="00C2328B" w:rsidRDefault="007568BA" w:rsidP="007B429C">
      <w:pPr>
        <w:pStyle w:val="BodyTextMain"/>
        <w:rPr>
          <w:b/>
        </w:rPr>
      </w:pPr>
    </w:p>
    <w:p w14:paraId="2DC68F55" w14:textId="1D99F9C8" w:rsidR="0057699B" w:rsidRPr="000628C0" w:rsidRDefault="00777CED" w:rsidP="007B429C">
      <w:pPr>
        <w:pStyle w:val="Casehead2"/>
      </w:pPr>
      <w:r w:rsidRPr="000628C0">
        <w:t>2010</w:t>
      </w:r>
      <w:r w:rsidR="0057699B" w:rsidRPr="000628C0">
        <w:t>–</w:t>
      </w:r>
      <w:r w:rsidRPr="000628C0">
        <w:t>2013</w:t>
      </w:r>
    </w:p>
    <w:p w14:paraId="357581DA" w14:textId="0E098362" w:rsidR="0057699B" w:rsidRPr="000628C0" w:rsidRDefault="0057699B" w:rsidP="007B429C">
      <w:pPr>
        <w:pStyle w:val="BodyTextMain"/>
        <w:rPr>
          <w:b/>
        </w:rPr>
      </w:pPr>
    </w:p>
    <w:p w14:paraId="78035717" w14:textId="77A10D5C" w:rsidR="00777CED" w:rsidRDefault="00777CED" w:rsidP="007B429C">
      <w:pPr>
        <w:pStyle w:val="BodyTextMain"/>
      </w:pPr>
      <w:r w:rsidRPr="00C2328B">
        <w:t xml:space="preserve">Varin, who </w:t>
      </w:r>
      <w:r>
        <w:t xml:space="preserve">was credited </w:t>
      </w:r>
      <w:r w:rsidR="00CB5D4E">
        <w:t>with</w:t>
      </w:r>
      <w:r w:rsidRPr="00C2328B">
        <w:t xml:space="preserve"> turn</w:t>
      </w:r>
      <w:r w:rsidR="00CB5D4E">
        <w:t>ing</w:t>
      </w:r>
      <w:r w:rsidRPr="00C2328B">
        <w:t xml:space="preserve"> around steel group Corus, was </w:t>
      </w:r>
      <w:r>
        <w:t>appointed to do the same for PSA through</w:t>
      </w:r>
      <w:r w:rsidRPr="00C2328B">
        <w:t xml:space="preserve"> finding new international mark</w:t>
      </w:r>
      <w:r>
        <w:t>ets to increase sales and reduce</w:t>
      </w:r>
      <w:r w:rsidRPr="00C2328B">
        <w:t xml:space="preserve"> the company’s dependency on Europe. The centrepiece of Varin</w:t>
      </w:r>
      <w:r w:rsidR="00CB5D4E">
        <w:t>’</w:t>
      </w:r>
      <w:r w:rsidRPr="00C2328B">
        <w:t>s strategy was the Hybrid Air System</w:t>
      </w:r>
      <w:r w:rsidR="00B815F5">
        <w:t>,</w:t>
      </w:r>
      <w:r w:rsidR="00F764C2">
        <w:t xml:space="preserve"> </w:t>
      </w:r>
      <w:r w:rsidRPr="00C2328B">
        <w:t xml:space="preserve">a car prototype that would drive through town </w:t>
      </w:r>
      <w:r w:rsidR="0057699B">
        <w:t>“</w:t>
      </w:r>
      <w:r w:rsidRPr="00C2328B">
        <w:t>largely on thin air</w:t>
      </w:r>
      <w:r w:rsidR="0057699B">
        <w:t>”</w:t>
      </w:r>
      <w:r>
        <w:t xml:space="preserve"> as it ran off compressed nitrogen, which </w:t>
      </w:r>
      <w:r w:rsidR="00B815F5">
        <w:t>“</w:t>
      </w:r>
      <w:r>
        <w:t xml:space="preserve">makes up </w:t>
      </w:r>
      <w:r w:rsidR="00B815F5">
        <w:t xml:space="preserve">most of </w:t>
      </w:r>
      <w:r>
        <w:t>the air we breathe</w:t>
      </w:r>
      <w:r w:rsidRPr="00C2328B">
        <w:t>.</w:t>
      </w:r>
      <w:r w:rsidR="00B815F5">
        <w:t>”</w:t>
      </w:r>
      <w:r w:rsidRPr="00C2328B">
        <w:rPr>
          <w:rStyle w:val="EndnoteReference"/>
          <w:rFonts w:ascii="Times" w:hAnsi="Times"/>
          <w:color w:val="000000" w:themeColor="text1"/>
        </w:rPr>
        <w:endnoteReference w:id="38"/>
      </w:r>
      <w:r w:rsidRPr="00C2328B">
        <w:rPr>
          <w:rFonts w:cs="Arial"/>
          <w:color w:val="000000"/>
        </w:rPr>
        <w:t xml:space="preserve"> </w:t>
      </w:r>
      <w:r w:rsidR="00B815F5">
        <w:rPr>
          <w:rFonts w:cs="Arial"/>
          <w:color w:val="000000"/>
        </w:rPr>
        <w:t>Varin stated</w:t>
      </w:r>
      <w:r w:rsidR="00886E30">
        <w:rPr>
          <w:rFonts w:cs="Arial"/>
          <w:color w:val="000000"/>
        </w:rPr>
        <w:t>,</w:t>
      </w:r>
      <w:r w:rsidR="00B815F5">
        <w:rPr>
          <w:rFonts w:cs="Arial"/>
          <w:color w:val="000000"/>
        </w:rPr>
        <w:t xml:space="preserve"> </w:t>
      </w:r>
      <w:r w:rsidR="0057699B">
        <w:rPr>
          <w:rFonts w:cs="Arial"/>
          <w:color w:val="000000"/>
        </w:rPr>
        <w:t>“</w:t>
      </w:r>
      <w:r w:rsidRPr="00C2328B">
        <w:rPr>
          <w:rFonts w:cs="Arial"/>
          <w:color w:val="000000"/>
        </w:rPr>
        <w:t>Technology will enable the group to maintain its leader</w:t>
      </w:r>
      <w:r>
        <w:rPr>
          <w:rFonts w:cs="Arial"/>
          <w:color w:val="000000"/>
        </w:rPr>
        <w:t>ship in terms of CO</w:t>
      </w:r>
      <w:r w:rsidRPr="00AC24B6">
        <w:rPr>
          <w:rFonts w:cs="Arial"/>
          <w:color w:val="000000"/>
          <w:vertAlign w:val="superscript"/>
        </w:rPr>
        <w:t>2</w:t>
      </w:r>
      <w:r>
        <w:rPr>
          <w:rFonts w:cs="Arial"/>
          <w:color w:val="000000"/>
        </w:rPr>
        <w:t xml:space="preserve"> emissions.</w:t>
      </w:r>
      <w:r w:rsidR="00886E30">
        <w:rPr>
          <w:rFonts w:cs="Arial"/>
          <w:color w:val="000000"/>
        </w:rPr>
        <w:t xml:space="preserve"> </w:t>
      </w:r>
      <w:r>
        <w:rPr>
          <w:rFonts w:cs="Arial"/>
          <w:color w:val="000000"/>
        </w:rPr>
        <w:t>.</w:t>
      </w:r>
      <w:r w:rsidR="00886E30">
        <w:rPr>
          <w:rFonts w:cs="Arial"/>
          <w:color w:val="000000"/>
        </w:rPr>
        <w:t xml:space="preserve"> . .</w:t>
      </w:r>
      <w:r w:rsidR="003B61DD">
        <w:rPr>
          <w:rFonts w:ascii="Times" w:hAnsi="Times" w:cs="Arial"/>
          <w:color w:val="000000"/>
        </w:rPr>
        <w:t xml:space="preserve"> </w:t>
      </w:r>
      <w:r w:rsidRPr="00C2328B">
        <w:rPr>
          <w:rFonts w:cs="Arial"/>
          <w:color w:val="000000"/>
        </w:rPr>
        <w:t>This is the fruit of major investment as part of</w:t>
      </w:r>
      <w:r>
        <w:rPr>
          <w:rFonts w:cs="Arial"/>
          <w:color w:val="000000"/>
        </w:rPr>
        <w:t xml:space="preserve"> our wider strategic framework</w:t>
      </w:r>
      <w:r w:rsidR="00B815F5">
        <w:rPr>
          <w:rFonts w:cs="Arial"/>
          <w:color w:val="000000"/>
        </w:rPr>
        <w:t>.</w:t>
      </w:r>
      <w:r w:rsidR="0057699B">
        <w:rPr>
          <w:rFonts w:cs="Arial"/>
          <w:color w:val="000000"/>
        </w:rPr>
        <w:t>”</w:t>
      </w:r>
      <w:r>
        <w:rPr>
          <w:rStyle w:val="EndnoteReference"/>
          <w:rFonts w:ascii="Times" w:hAnsi="Times" w:cs="Arial"/>
          <w:color w:val="000000"/>
        </w:rPr>
        <w:endnoteReference w:id="39"/>
      </w:r>
      <w:r w:rsidRPr="00C2328B">
        <w:rPr>
          <w:rFonts w:cs="Arial"/>
          <w:color w:val="000000"/>
        </w:rPr>
        <w:t xml:space="preserve"> </w:t>
      </w:r>
      <w:r w:rsidRPr="00C2328B">
        <w:t>This strategy was part of an attempt to become a leader in hybrid car technology and sell more cars into emerging markets such as China.</w:t>
      </w:r>
      <w:r>
        <w:t xml:space="preserve"> Varin</w:t>
      </w:r>
      <w:r w:rsidR="00B815F5">
        <w:t>’</w:t>
      </w:r>
      <w:r>
        <w:t xml:space="preserve">s turnaround plans also included the production of larger cars using new materials such as lightweight steel and aluminium composites. </w:t>
      </w:r>
    </w:p>
    <w:p w14:paraId="333117D3" w14:textId="77777777" w:rsidR="00777CED" w:rsidRPr="00C2328B" w:rsidRDefault="00777CED" w:rsidP="007B429C">
      <w:pPr>
        <w:pStyle w:val="BodyTextMain"/>
        <w:rPr>
          <w:rFonts w:cs="Arial"/>
          <w:color w:val="000000"/>
        </w:rPr>
      </w:pPr>
    </w:p>
    <w:p w14:paraId="7D6BC6E6" w14:textId="3BFAF1BF" w:rsidR="00777CED" w:rsidRDefault="00777CED" w:rsidP="007B429C">
      <w:pPr>
        <w:pStyle w:val="BodyTextMain"/>
      </w:pPr>
      <w:r w:rsidRPr="00C2328B">
        <w:t>In March 2012, G</w:t>
      </w:r>
      <w:r w:rsidR="00A04115">
        <w:t>M</w:t>
      </w:r>
      <w:r w:rsidRPr="00C2328B">
        <w:t xml:space="preserve"> purchased a 7 per cent share in </w:t>
      </w:r>
      <w:r w:rsidR="00081DEC">
        <w:t>PSA</w:t>
      </w:r>
      <w:r w:rsidRPr="00C2328B">
        <w:t xml:space="preserve"> and became PSA’s largest shareholder after the </w:t>
      </w:r>
      <w:r w:rsidRPr="00A67AF2">
        <w:t xml:space="preserve">Peugeot family. This alliance was part of a co-operation to achieve economies of scale and reduce up to </w:t>
      </w:r>
      <w:r w:rsidR="00C373DA">
        <w:t>US</w:t>
      </w:r>
      <w:r w:rsidRPr="00A67AF2">
        <w:t>$2</w:t>
      </w:r>
      <w:r w:rsidR="003B61DD">
        <w:t xml:space="preserve"> </w:t>
      </w:r>
      <w:r w:rsidRPr="00A67AF2">
        <w:t>billion</w:t>
      </w:r>
      <w:r w:rsidR="00C373DA">
        <w:rPr>
          <w:rStyle w:val="EndnoteReference"/>
        </w:rPr>
        <w:endnoteReference w:id="40"/>
      </w:r>
      <w:r w:rsidRPr="00A67AF2">
        <w:t xml:space="preserve"> per year in costs through platform sharing and product development. In July 2012, </w:t>
      </w:r>
      <w:r w:rsidR="00081DEC" w:rsidRPr="00A67AF2">
        <w:t>PSA</w:t>
      </w:r>
      <w:r w:rsidRPr="00A67AF2">
        <w:t xml:space="preserve"> controversially decided to close one of its major French plants at Aulnay-sous-Bois to reduce capacity in a shrinking domestic car marke</w:t>
      </w:r>
      <w:r w:rsidR="00491CA2" w:rsidRPr="00A67AF2">
        <w:t xml:space="preserve">t. This </w:t>
      </w:r>
      <w:r w:rsidRPr="00A67AF2">
        <w:t xml:space="preserve">meant cutting </w:t>
      </w:r>
      <w:r w:rsidR="00C373DA">
        <w:t>about</w:t>
      </w:r>
      <w:r w:rsidR="00C373DA" w:rsidRPr="00A67AF2">
        <w:t xml:space="preserve"> </w:t>
      </w:r>
      <w:r w:rsidRPr="00A67AF2">
        <w:t>10 per cent of PSA</w:t>
      </w:r>
      <w:r w:rsidR="00491CA2" w:rsidRPr="00A67AF2">
        <w:t>’</w:t>
      </w:r>
      <w:r w:rsidRPr="00A67AF2">
        <w:t>s workforce in France</w:t>
      </w:r>
      <w:r w:rsidR="0057699B" w:rsidRPr="00A67AF2">
        <w:t>.</w:t>
      </w:r>
      <w:r w:rsidRPr="00A67AF2">
        <w:rPr>
          <w:rStyle w:val="EndnoteReference"/>
          <w:rFonts w:ascii="Times" w:hAnsi="Times"/>
          <w:color w:val="000000" w:themeColor="text1"/>
        </w:rPr>
        <w:endnoteReference w:id="41"/>
      </w:r>
      <w:r w:rsidRPr="00A67AF2">
        <w:t xml:space="preserve"> In October, PSA borrowed </w:t>
      </w:r>
      <w:r w:rsidR="00C373DA">
        <w:t>approximately</w:t>
      </w:r>
      <w:r w:rsidR="00C373DA" w:rsidRPr="00A67AF2">
        <w:t xml:space="preserve"> </w:t>
      </w:r>
      <w:r w:rsidR="001F01E7" w:rsidRPr="00A67AF2">
        <w:t>€</w:t>
      </w:r>
      <w:r w:rsidRPr="00A67AF2">
        <w:t>11</w:t>
      </w:r>
      <w:r w:rsidR="001F01E7" w:rsidRPr="00A67AF2">
        <w:t xml:space="preserve"> </w:t>
      </w:r>
      <w:r w:rsidRPr="00A67AF2">
        <w:t>b</w:t>
      </w:r>
      <w:r w:rsidR="001F01E7" w:rsidRPr="00A67AF2">
        <w:t>illion</w:t>
      </w:r>
      <w:r w:rsidRPr="00A67AF2">
        <w:t xml:space="preserve"> from creditor banks and won state guarantees on </w:t>
      </w:r>
      <w:r w:rsidR="00491CA2" w:rsidRPr="00A67AF2">
        <w:t xml:space="preserve">a </w:t>
      </w:r>
      <w:r w:rsidRPr="00A67AF2">
        <w:t xml:space="preserve">further </w:t>
      </w:r>
      <w:r w:rsidR="001F01E7" w:rsidRPr="00A67AF2">
        <w:t>€</w:t>
      </w:r>
      <w:r w:rsidRPr="00A67AF2">
        <w:t>7</w:t>
      </w:r>
      <w:r w:rsidR="003B61DD">
        <w:t xml:space="preserve"> </w:t>
      </w:r>
      <w:r w:rsidR="00CB5D4E" w:rsidRPr="00A67AF2">
        <w:t>billion</w:t>
      </w:r>
      <w:r w:rsidRPr="00A67AF2">
        <w:t xml:space="preserve"> through its Banque PSA Finance to refinance the company. </w:t>
      </w:r>
      <w:r w:rsidR="007E20C6" w:rsidRPr="00A67AF2">
        <w:t xml:space="preserve">Meanwhile, </w:t>
      </w:r>
      <w:r w:rsidRPr="00A67AF2">
        <w:t xml:space="preserve">EU pressures to leave Iran meant writing down over </w:t>
      </w:r>
      <w:r w:rsidR="001F01E7" w:rsidRPr="00A67AF2">
        <w:t>€</w:t>
      </w:r>
      <w:r w:rsidRPr="00A67AF2">
        <w:t>500 million in</w:t>
      </w:r>
      <w:r w:rsidRPr="00C2328B">
        <w:t xml:space="preserve"> assets as PSA lost access to its then second largest market. On December 2013, G</w:t>
      </w:r>
      <w:r w:rsidR="00A04115">
        <w:t>M</w:t>
      </w:r>
      <w:r w:rsidRPr="00C2328B">
        <w:t xml:space="preserve"> sold </w:t>
      </w:r>
      <w:r w:rsidR="00CB5D4E">
        <w:t>its</w:t>
      </w:r>
      <w:r w:rsidRPr="00C2328B">
        <w:t xml:space="preserve"> stake in </w:t>
      </w:r>
      <w:r w:rsidR="00081DEC">
        <w:t>PSA</w:t>
      </w:r>
      <w:r w:rsidRPr="00C2328B">
        <w:t xml:space="preserve"> at a loss. </w:t>
      </w:r>
    </w:p>
    <w:p w14:paraId="2ABA702C" w14:textId="77777777" w:rsidR="00777CED" w:rsidRDefault="00777CED" w:rsidP="007B429C">
      <w:pPr>
        <w:pStyle w:val="BodyTextMain"/>
        <w:rPr>
          <w:b/>
        </w:rPr>
      </w:pPr>
    </w:p>
    <w:p w14:paraId="4D6E2352" w14:textId="77777777" w:rsidR="0057699B" w:rsidRPr="00C2328B" w:rsidRDefault="0057699B" w:rsidP="007B429C">
      <w:pPr>
        <w:pStyle w:val="BodyTextMain"/>
        <w:rPr>
          <w:b/>
        </w:rPr>
      </w:pPr>
    </w:p>
    <w:p w14:paraId="154DEABE" w14:textId="57C04B91" w:rsidR="0057699B" w:rsidRPr="000628C0" w:rsidRDefault="00777CED" w:rsidP="007B429C">
      <w:pPr>
        <w:pStyle w:val="Casehead2"/>
      </w:pPr>
      <w:r w:rsidRPr="000628C0">
        <w:t>2014</w:t>
      </w:r>
      <w:r w:rsidR="0057699B" w:rsidRPr="000628C0">
        <w:t>–</w:t>
      </w:r>
      <w:r w:rsidRPr="000628C0">
        <w:t>2015</w:t>
      </w:r>
    </w:p>
    <w:p w14:paraId="6933285A" w14:textId="77777777" w:rsidR="0057699B" w:rsidRPr="000628C0" w:rsidRDefault="0057699B" w:rsidP="007B429C">
      <w:pPr>
        <w:pStyle w:val="BodyTextMain"/>
        <w:rPr>
          <w:rFonts w:ascii="Arial" w:hAnsi="Arial" w:cs="Arial"/>
          <w:b/>
          <w:sz w:val="20"/>
          <w:szCs w:val="20"/>
        </w:rPr>
      </w:pPr>
    </w:p>
    <w:p w14:paraId="6AA000C6" w14:textId="0C5AF2B9" w:rsidR="009E378E" w:rsidRDefault="00777CED" w:rsidP="007B429C">
      <w:pPr>
        <w:pStyle w:val="BodyTextMain"/>
      </w:pPr>
      <w:r>
        <w:t>In 2014, r</w:t>
      </w:r>
      <w:r w:rsidRPr="00AE5814">
        <w:t>umours of a potential merger or acquisition</w:t>
      </w:r>
      <w:r>
        <w:t xml:space="preserve"> </w:t>
      </w:r>
      <w:r w:rsidRPr="00E132CA">
        <w:t xml:space="preserve">that was in store for </w:t>
      </w:r>
      <w:r w:rsidR="00081DEC">
        <w:t>PSA</w:t>
      </w:r>
      <w:r w:rsidRPr="00E132CA">
        <w:t xml:space="preserve"> started to spread rapidly among industry analysts.</w:t>
      </w:r>
      <w:r w:rsidRPr="00E132CA">
        <w:rPr>
          <w:rStyle w:val="EndnoteReference"/>
          <w:rFonts w:ascii="Times" w:hAnsi="Times"/>
          <w:color w:val="000000" w:themeColor="text1"/>
        </w:rPr>
        <w:endnoteReference w:id="42"/>
      </w:r>
      <w:r w:rsidRPr="00E132CA">
        <w:t xml:space="preserve"> In the same year, the Peugeot family gave up control of the company by reducing their 25 per cent holdings to only 14 per cent</w:t>
      </w:r>
      <w:r w:rsidR="001F01E7">
        <w:t>.</w:t>
      </w:r>
      <w:r w:rsidRPr="00E132CA">
        <w:rPr>
          <w:rStyle w:val="EndnoteReference"/>
          <w:rFonts w:ascii="Times" w:hAnsi="Times"/>
          <w:color w:val="000000" w:themeColor="text1"/>
        </w:rPr>
        <w:endnoteReference w:id="43"/>
      </w:r>
      <w:r w:rsidRPr="00E132CA">
        <w:t xml:space="preserve"> Dongfeng</w:t>
      </w:r>
      <w:r w:rsidR="00554EA1">
        <w:t xml:space="preserve"> </w:t>
      </w:r>
      <w:r w:rsidRPr="00E132CA">
        <w:t xml:space="preserve">(China) and the French government each bought 14 per cent stakes in order to create three partners with equal voting rights. </w:t>
      </w:r>
    </w:p>
    <w:p w14:paraId="174AA458" w14:textId="77777777" w:rsidR="009E378E" w:rsidRDefault="009E378E" w:rsidP="007B429C">
      <w:pPr>
        <w:pStyle w:val="BodyTextMain"/>
      </w:pPr>
    </w:p>
    <w:p w14:paraId="258F737A" w14:textId="7446E7C4" w:rsidR="00777CED" w:rsidRDefault="00777CED" w:rsidP="007B429C">
      <w:pPr>
        <w:pStyle w:val="BodyTextMain"/>
      </w:pPr>
      <w:r w:rsidRPr="00E132CA">
        <w:t xml:space="preserve">In 2015, Mahindra &amp; Mahindra </w:t>
      </w:r>
      <w:r w:rsidR="00A04115">
        <w:t xml:space="preserve">Limited </w:t>
      </w:r>
      <w:r w:rsidRPr="00E132CA">
        <w:t>purchased a 51 per cent stake in Peugeot Motorcycles</w:t>
      </w:r>
      <w:r w:rsidR="0057699B">
        <w:t>.</w:t>
      </w:r>
      <w:r w:rsidRPr="00E132CA">
        <w:rPr>
          <w:rStyle w:val="EndnoteReference"/>
          <w:rFonts w:ascii="Times" w:hAnsi="Times"/>
          <w:color w:val="000000" w:themeColor="text1"/>
        </w:rPr>
        <w:endnoteReference w:id="44"/>
      </w:r>
      <w:r w:rsidRPr="00E132CA">
        <w:t xml:space="preserve"> </w:t>
      </w:r>
      <w:r>
        <w:t>Re-entry into Iran proved</w:t>
      </w:r>
      <w:r w:rsidRPr="00E132CA">
        <w:t xml:space="preserve"> </w:t>
      </w:r>
      <w:r w:rsidR="00DF2BBC">
        <w:t xml:space="preserve">more </w:t>
      </w:r>
      <w:r w:rsidRPr="00E132CA">
        <w:t xml:space="preserve">difficult: </w:t>
      </w:r>
      <w:r w:rsidR="001F01E7" w:rsidRPr="007B429C">
        <w:t>“</w:t>
      </w:r>
      <w:r w:rsidR="00DF2BBC" w:rsidRPr="007B429C">
        <w:rPr>
          <w:rFonts w:cs="Tahoma"/>
        </w:rPr>
        <w:t>A</w:t>
      </w:r>
      <w:r w:rsidRPr="007B429C">
        <w:rPr>
          <w:rFonts w:cs="Tahoma"/>
        </w:rPr>
        <w:t>s far as Peugeot is concerned, Iranian leaders criticize it for leaving a few years ago in a way they dispute. So it [re-entry] could be more difficult</w:t>
      </w:r>
      <w:r w:rsidR="00B651B9" w:rsidRPr="007B429C">
        <w:rPr>
          <w:rFonts w:cs="Tahoma"/>
        </w:rPr>
        <w:t>,</w:t>
      </w:r>
      <w:r w:rsidR="001F01E7" w:rsidRPr="007B429C">
        <w:rPr>
          <w:rFonts w:cs="Tahoma"/>
        </w:rPr>
        <w:t>”</w:t>
      </w:r>
      <w:r w:rsidRPr="007B429C">
        <w:rPr>
          <w:rFonts w:cs="Tahoma"/>
        </w:rPr>
        <w:t xml:space="preserve"> Foreign Minister Laurent Fabius told France</w:t>
      </w:r>
      <w:r w:rsidR="009E378E" w:rsidRPr="007B429C">
        <w:rPr>
          <w:rFonts w:cs="Tahoma"/>
        </w:rPr>
        <w:t>’</w:t>
      </w:r>
      <w:r w:rsidRPr="007B429C">
        <w:rPr>
          <w:rFonts w:cs="Tahoma"/>
        </w:rPr>
        <w:t>s Info Radio</w:t>
      </w:r>
      <w:r w:rsidR="001F01E7" w:rsidRPr="007B429C">
        <w:rPr>
          <w:rFonts w:cs="Tahoma"/>
        </w:rPr>
        <w:t>.</w:t>
      </w:r>
      <w:r w:rsidRPr="007B429C">
        <w:rPr>
          <w:rStyle w:val="EndnoteReference"/>
          <w:rFonts w:ascii="Times" w:hAnsi="Times" w:cs="Tahoma"/>
          <w:color w:val="000000" w:themeColor="text1"/>
        </w:rPr>
        <w:endnoteReference w:id="45"/>
      </w:r>
      <w:r w:rsidR="001F01E7">
        <w:t xml:space="preserve"> </w:t>
      </w:r>
      <w:r w:rsidRPr="00E132CA">
        <w:t>With new CEO</w:t>
      </w:r>
      <w:r w:rsidR="009E378E">
        <w:t xml:space="preserve"> </w:t>
      </w:r>
      <w:r w:rsidRPr="00E132CA">
        <w:t xml:space="preserve">Carlos Tavares at the helm, DS (an abbreviation for </w:t>
      </w:r>
      <w:r w:rsidRPr="000628C0">
        <w:t>Different Spir</w:t>
      </w:r>
      <w:r w:rsidRPr="009E378E">
        <w:t xml:space="preserve">it or </w:t>
      </w:r>
      <w:r w:rsidRPr="000628C0">
        <w:t>Distinctive Series</w:t>
      </w:r>
      <w:r w:rsidRPr="00E132CA">
        <w:t xml:space="preserve">), which was initially marketed as a premium sub-brand of </w:t>
      </w:r>
      <w:r>
        <w:t>Citroën</w:t>
      </w:r>
      <w:r w:rsidRPr="00E132CA">
        <w:t>, became a standalone brand in 2015. Tavares</w:t>
      </w:r>
      <w:r w:rsidR="00554EA1">
        <w:t xml:space="preserve"> noted</w:t>
      </w:r>
      <w:r w:rsidRPr="00E132CA">
        <w:t xml:space="preserve"> that DS models used the same platforms and dealerships as other PSA models</w:t>
      </w:r>
      <w:r w:rsidR="009E378E">
        <w:t xml:space="preserve">. However, </w:t>
      </w:r>
      <w:r w:rsidRPr="00E132CA">
        <w:t xml:space="preserve">unlike </w:t>
      </w:r>
      <w:r>
        <w:t>Citroën</w:t>
      </w:r>
      <w:r w:rsidRPr="00E132CA">
        <w:t xml:space="preserve"> cars, DS’s mission was to “represent the sophistication of French luxury cars</w:t>
      </w:r>
      <w:r w:rsidR="0057699B">
        <w:t>.</w:t>
      </w:r>
      <w:r w:rsidRPr="00E132CA">
        <w:t>”</w:t>
      </w:r>
      <w:r w:rsidRPr="00E132CA">
        <w:rPr>
          <w:rStyle w:val="EndnoteReference"/>
          <w:rFonts w:ascii="Times" w:hAnsi="Times"/>
          <w:color w:val="000000" w:themeColor="text1"/>
        </w:rPr>
        <w:endnoteReference w:id="46"/>
      </w:r>
      <w:r w:rsidRPr="00E132CA">
        <w:t xml:space="preserve"> The company made a profit in 2015</w:t>
      </w:r>
      <w:r w:rsidR="009E378E">
        <w:t>,</w:t>
      </w:r>
      <w:r w:rsidRPr="00E132CA">
        <w:t xml:space="preserve"> but it was unable to </w:t>
      </w:r>
      <w:r>
        <w:t>continue funding</w:t>
      </w:r>
      <w:r w:rsidRPr="00E132CA">
        <w:t xml:space="preserve"> the </w:t>
      </w:r>
      <w:r w:rsidR="009E378E">
        <w:t>h</w:t>
      </w:r>
      <w:r w:rsidRPr="00E132CA">
        <w:t>ybrid air project</w:t>
      </w:r>
      <w:r w:rsidR="009E378E">
        <w:t>,</w:t>
      </w:r>
      <w:r w:rsidRPr="00E132CA">
        <w:t xml:space="preserve"> which was put on hold.</w:t>
      </w:r>
      <w:r w:rsidRPr="00E132CA">
        <w:rPr>
          <w:rStyle w:val="EndnoteReference"/>
          <w:rFonts w:ascii="Times" w:hAnsi="Times"/>
          <w:color w:val="000000" w:themeColor="text1"/>
        </w:rPr>
        <w:endnoteReference w:id="47"/>
      </w:r>
      <w:r w:rsidRPr="00E132CA">
        <w:t xml:space="preserve"> </w:t>
      </w:r>
    </w:p>
    <w:p w14:paraId="4222932D" w14:textId="38B7C6B0" w:rsidR="0057699B" w:rsidRPr="000628C0" w:rsidRDefault="00777CED" w:rsidP="007B429C">
      <w:pPr>
        <w:pStyle w:val="Casehead2"/>
      </w:pPr>
      <w:r w:rsidRPr="000628C0">
        <w:lastRenderedPageBreak/>
        <w:t>2016</w:t>
      </w:r>
      <w:r w:rsidR="0057699B" w:rsidRPr="000628C0">
        <w:t>–</w:t>
      </w:r>
      <w:r w:rsidRPr="000628C0">
        <w:t>2017</w:t>
      </w:r>
    </w:p>
    <w:p w14:paraId="43750615" w14:textId="77777777" w:rsidR="0057699B" w:rsidRPr="000628C0" w:rsidRDefault="0057699B" w:rsidP="007B429C">
      <w:pPr>
        <w:pStyle w:val="BodyTextMain"/>
        <w:rPr>
          <w:rFonts w:ascii="Arial" w:hAnsi="Arial" w:cs="Arial"/>
          <w:b/>
          <w:sz w:val="20"/>
          <w:szCs w:val="20"/>
        </w:rPr>
      </w:pPr>
    </w:p>
    <w:p w14:paraId="7B771A35" w14:textId="796C2FF2" w:rsidR="00777CED" w:rsidRDefault="00777CED" w:rsidP="007B429C">
      <w:pPr>
        <w:pStyle w:val="BodyTextMain"/>
      </w:pPr>
      <w:r w:rsidRPr="00E132CA">
        <w:t>In 2016, PSA had six plants in China with an output capacity of 1.2 million vehicles, a developed dealership network</w:t>
      </w:r>
      <w:r w:rsidR="00D75F43">
        <w:t>,</w:t>
      </w:r>
      <w:r w:rsidRPr="00E132CA">
        <w:t xml:space="preserve"> and a regional R&amp;D centre though the Dongfeng Peugeot-</w:t>
      </w:r>
      <w:r>
        <w:t>Citroën</w:t>
      </w:r>
      <w:r w:rsidRPr="00E132CA">
        <w:t xml:space="preserve"> joint venture. </w:t>
      </w:r>
      <w:r w:rsidR="00034D18">
        <w:t xml:space="preserve">In 2017, </w:t>
      </w:r>
      <w:r w:rsidR="00034D18" w:rsidRPr="00E132CA">
        <w:t xml:space="preserve">PSA Peugeot </w:t>
      </w:r>
      <w:r w:rsidR="00034D18">
        <w:t>Citroën</w:t>
      </w:r>
      <w:r w:rsidR="00034D18" w:rsidRPr="00E132CA">
        <w:t xml:space="preserve"> was rebranded as the PSA Group</w:t>
      </w:r>
      <w:r w:rsidR="00034D18">
        <w:t xml:space="preserve">. </w:t>
      </w:r>
      <w:r w:rsidRPr="00E132CA">
        <w:t>In January</w:t>
      </w:r>
      <w:r w:rsidRPr="00AE5814">
        <w:t xml:space="preserve"> 2017,</w:t>
      </w:r>
      <w:r w:rsidR="00034D18">
        <w:t xml:space="preserve"> the company</w:t>
      </w:r>
      <w:r w:rsidRPr="00AE5814">
        <w:t xml:space="preserve"> announced a joint venture with New Delhi-based CK Birla Group to produce cars at their Hindustan Motors factory in Chennai</w:t>
      </w:r>
      <w:r w:rsidR="0057699B">
        <w:t>.</w:t>
      </w:r>
      <w:r w:rsidRPr="00AE5814">
        <w:rPr>
          <w:rStyle w:val="EndnoteReference"/>
          <w:rFonts w:ascii="Times" w:hAnsi="Times"/>
          <w:color w:val="000000" w:themeColor="text1"/>
        </w:rPr>
        <w:endnoteReference w:id="48"/>
      </w:r>
      <w:r w:rsidRPr="00AE5814">
        <w:t xml:space="preserve"> In February 2017, the iconic Ambassador brand</w:t>
      </w:r>
      <w:r w:rsidR="00DF2BBC">
        <w:t>,</w:t>
      </w:r>
      <w:r w:rsidRPr="00AE5814">
        <w:t xml:space="preserve"> previously owned by India</w:t>
      </w:r>
      <w:r w:rsidR="00DF2BBC">
        <w:t>’</w:t>
      </w:r>
      <w:r w:rsidRPr="00AE5814">
        <w:t>s Hindustan Motors</w:t>
      </w:r>
      <w:r w:rsidR="00DF2BBC">
        <w:t>,</w:t>
      </w:r>
      <w:r w:rsidRPr="00AE5814">
        <w:t xml:space="preserve"> was unexpectedly sold to PSA </w:t>
      </w:r>
      <w:r w:rsidRPr="00A67AF2">
        <w:t>for $12 million</w:t>
      </w:r>
      <w:r w:rsidR="0057699B" w:rsidRPr="00A67AF2">
        <w:t>.</w:t>
      </w:r>
      <w:r w:rsidRPr="00A67AF2">
        <w:rPr>
          <w:rStyle w:val="EndnoteReference"/>
          <w:rFonts w:ascii="Times" w:hAnsi="Times"/>
          <w:color w:val="000000" w:themeColor="text1"/>
        </w:rPr>
        <w:endnoteReference w:id="49"/>
      </w:r>
      <w:r w:rsidRPr="00AE5814">
        <w:t xml:space="preserve"> </w:t>
      </w:r>
      <w:r w:rsidR="00081DEC">
        <w:t>PSA</w:t>
      </w:r>
      <w:r w:rsidRPr="00AE5814">
        <w:t xml:space="preserve"> was brought “back from the brink of collapse” after </w:t>
      </w:r>
      <w:r>
        <w:t>it started</w:t>
      </w:r>
      <w:r w:rsidRPr="00AE5814">
        <w:t xml:space="preserve"> </w:t>
      </w:r>
      <w:r w:rsidR="00D75F43">
        <w:t>to</w:t>
      </w:r>
      <w:r w:rsidRPr="00AE5814">
        <w:t xml:space="preserve"> </w:t>
      </w:r>
      <w:r>
        <w:t>implement</w:t>
      </w:r>
      <w:r w:rsidR="00D75F43">
        <w:t xml:space="preserve"> </w:t>
      </w:r>
      <w:r>
        <w:t>a</w:t>
      </w:r>
      <w:r w:rsidRPr="00AE5814">
        <w:t xml:space="preserve"> six-year “Push to Pass” strategy to boost international sales and respond to technological advances</w:t>
      </w:r>
      <w:r w:rsidR="0057699B">
        <w:t>.</w:t>
      </w:r>
      <w:r w:rsidRPr="00AE5814">
        <w:rPr>
          <w:rStyle w:val="EndnoteReference"/>
          <w:rFonts w:ascii="Times" w:hAnsi="Times"/>
          <w:color w:val="000000" w:themeColor="text1"/>
        </w:rPr>
        <w:endnoteReference w:id="50"/>
      </w:r>
      <w:r w:rsidRPr="00AE5814">
        <w:t xml:space="preserve"> </w:t>
      </w:r>
      <w:r>
        <w:t>As part of this six-year strategy</w:t>
      </w:r>
      <w:r w:rsidRPr="00AE5814">
        <w:t xml:space="preserve"> (</w:t>
      </w:r>
      <w:r>
        <w:t>from 2015 to 2021</w:t>
      </w:r>
      <w:r w:rsidRPr="00AE5814">
        <w:t>), the company cut costs, reduced the number of models produced, and increased prices on the current models</w:t>
      </w:r>
      <w:r w:rsidR="00D75F43">
        <w:t>. The company d</w:t>
      </w:r>
      <w:r w:rsidRPr="00AE5814">
        <w:t>evised plans to launch its first fully electric car in 2019 and sell self-driving cars by the end of 2021.</w:t>
      </w:r>
      <w:r w:rsidRPr="00AE5814">
        <w:rPr>
          <w:rStyle w:val="EndnoteReference"/>
          <w:rFonts w:ascii="Times" w:hAnsi="Times"/>
          <w:color w:val="000000" w:themeColor="text1"/>
        </w:rPr>
        <w:endnoteReference w:id="51"/>
      </w:r>
      <w:r w:rsidRPr="00AE5814">
        <w:t xml:space="preserve"> </w:t>
      </w:r>
      <w:r w:rsidR="00D75F43">
        <w:t xml:space="preserve">It also </w:t>
      </w:r>
      <w:r w:rsidRPr="00AE5814">
        <w:t>launched a fund to invest in new mobility solutions such as car-sharing start-ups</w:t>
      </w:r>
      <w:r w:rsidR="00D75F43">
        <w:t>.</w:t>
      </w:r>
      <w:r w:rsidRPr="00AE5814">
        <w:rPr>
          <w:rStyle w:val="EndnoteReference"/>
          <w:rFonts w:ascii="Times" w:hAnsi="Times"/>
          <w:color w:val="000000" w:themeColor="text1"/>
        </w:rPr>
        <w:endnoteReference w:id="52"/>
      </w:r>
      <w:r w:rsidRPr="00AE5814">
        <w:t xml:space="preserve"> </w:t>
      </w:r>
    </w:p>
    <w:p w14:paraId="23356781" w14:textId="77777777" w:rsidR="00777CED" w:rsidRDefault="00777CED" w:rsidP="007B429C">
      <w:pPr>
        <w:pStyle w:val="BodyTextMain"/>
        <w:rPr>
          <w:b/>
        </w:rPr>
      </w:pPr>
    </w:p>
    <w:p w14:paraId="52D08A44" w14:textId="77777777" w:rsidR="00606B63" w:rsidRPr="00AE5814" w:rsidRDefault="00606B63" w:rsidP="007B429C">
      <w:pPr>
        <w:pStyle w:val="BodyTextMain"/>
        <w:rPr>
          <w:b/>
        </w:rPr>
      </w:pPr>
    </w:p>
    <w:p w14:paraId="25553AB5" w14:textId="77777777" w:rsidR="00777CED" w:rsidRDefault="00777CED" w:rsidP="007B429C">
      <w:pPr>
        <w:pStyle w:val="Casehead1"/>
        <w:outlineLvl w:val="0"/>
      </w:pPr>
      <w:r w:rsidRPr="00AE5814">
        <w:t xml:space="preserve">International expansion </w:t>
      </w:r>
    </w:p>
    <w:p w14:paraId="51B9E9B9" w14:textId="77777777" w:rsidR="00606B63" w:rsidRPr="00AE5814" w:rsidRDefault="00606B63" w:rsidP="007B429C">
      <w:pPr>
        <w:pStyle w:val="BodyTextMain"/>
      </w:pPr>
    </w:p>
    <w:p w14:paraId="64485258" w14:textId="251900AF" w:rsidR="00801274" w:rsidRDefault="00081DEC" w:rsidP="007B429C">
      <w:pPr>
        <w:pStyle w:val="BodyTextMain"/>
      </w:pPr>
      <w:r>
        <w:t>PSA</w:t>
      </w:r>
      <w:r w:rsidR="00777CED" w:rsidRPr="00AE5814">
        <w:t xml:space="preserve"> took its first steps toward international expansion in 1921 by exporting almost 3,000 vehicles through network subsidiaries in key markets such as Belgium, Holland, Italy</w:t>
      </w:r>
      <w:r w:rsidR="00801274">
        <w:t>,</w:t>
      </w:r>
      <w:r w:rsidR="00777CED" w:rsidRPr="00AE5814">
        <w:t xml:space="preserve"> and Denmark. By 1928, </w:t>
      </w:r>
      <w:r>
        <w:t>PSA</w:t>
      </w:r>
      <w:r w:rsidR="00777CED" w:rsidRPr="00AE5814">
        <w:t xml:space="preserve"> had 14 distributors in France and North Africa, 10 subsidiaries</w:t>
      </w:r>
      <w:r w:rsidR="00801274">
        <w:t>,</w:t>
      </w:r>
      <w:r w:rsidR="00777CED" w:rsidRPr="00AE5814">
        <w:t xml:space="preserve"> and four factories abroad. In 1960, </w:t>
      </w:r>
      <w:r>
        <w:t>PSA</w:t>
      </w:r>
      <w:r w:rsidR="00777CED" w:rsidRPr="00AE5814">
        <w:t xml:space="preserve"> started assembly in Yugoslavia </w:t>
      </w:r>
      <w:r w:rsidR="00801274">
        <w:t>through</w:t>
      </w:r>
      <w:r w:rsidR="00777CED" w:rsidRPr="00AE5814">
        <w:t xml:space="preserve"> a joint</w:t>
      </w:r>
      <w:r w:rsidR="00801274">
        <w:t xml:space="preserve"> </w:t>
      </w:r>
      <w:r w:rsidR="00777CED" w:rsidRPr="00AE5814">
        <w:t xml:space="preserve">venture with a local partner. In 1962, the company established sales companies in Montreal and Vienna. In 1963, an assembly and sales subsidiary </w:t>
      </w:r>
      <w:r w:rsidR="00774E96">
        <w:t>was</w:t>
      </w:r>
      <w:r w:rsidR="00774E96" w:rsidRPr="00AE5814">
        <w:t xml:space="preserve"> </w:t>
      </w:r>
      <w:r w:rsidR="00777CED" w:rsidRPr="00AE5814">
        <w:t xml:space="preserve">set up in Chile and later in Madagascar. In 1964, </w:t>
      </w:r>
      <w:r>
        <w:t>PSA</w:t>
      </w:r>
      <w:r w:rsidR="00777CED" w:rsidRPr="00AE5814">
        <w:t xml:space="preserve"> set up a new subsidiary in Portugal</w:t>
      </w:r>
      <w:r w:rsidR="00777CED">
        <w:t xml:space="preserve">, </w:t>
      </w:r>
      <w:r w:rsidR="00777CED" w:rsidRPr="00AE5814">
        <w:t>access</w:t>
      </w:r>
      <w:r w:rsidR="00777CED">
        <w:t>ed a growing market</w:t>
      </w:r>
      <w:r w:rsidR="00801274">
        <w:t>,</w:t>
      </w:r>
      <w:r w:rsidR="00777CED">
        <w:t xml:space="preserve"> and overca</w:t>
      </w:r>
      <w:r w:rsidR="00777CED" w:rsidRPr="00AE5814">
        <w:t xml:space="preserve">me severe restrictions on imported cars. Under an agreement with Fiat in 1968, Fiat models </w:t>
      </w:r>
      <w:r w:rsidR="00777CED">
        <w:t>were</w:t>
      </w:r>
      <w:r w:rsidR="00777CED" w:rsidRPr="00AE5814">
        <w:t xml:space="preserve"> sold through </w:t>
      </w:r>
      <w:r w:rsidR="00777CED">
        <w:t>Citroën</w:t>
      </w:r>
      <w:r w:rsidR="00777CED" w:rsidRPr="00AE5814">
        <w:t xml:space="preserve"> dealerships in France, Belgium, Switzerland</w:t>
      </w:r>
      <w:r w:rsidR="00801274">
        <w:t>,</w:t>
      </w:r>
      <w:r w:rsidR="00777CED" w:rsidRPr="00AE5814">
        <w:t xml:space="preserve"> and Portugal</w:t>
      </w:r>
      <w:r w:rsidR="00801274">
        <w:t>,</w:t>
      </w:r>
      <w:r w:rsidR="00777CED" w:rsidRPr="00AE5814">
        <w:t xml:space="preserve"> and </w:t>
      </w:r>
      <w:r w:rsidR="00777CED">
        <w:t>Citroën models</w:t>
      </w:r>
      <w:r w:rsidR="00777CED" w:rsidRPr="00AE5814">
        <w:t xml:space="preserve"> were sold by Fiat in Italy. In 2010, </w:t>
      </w:r>
      <w:r>
        <w:t>PSA</w:t>
      </w:r>
      <w:r w:rsidR="00777CED" w:rsidRPr="00AE5814">
        <w:t xml:space="preserve"> entered China, Russia</w:t>
      </w:r>
      <w:r w:rsidR="00801274">
        <w:t>,</w:t>
      </w:r>
      <w:r w:rsidR="00777CED" w:rsidRPr="00AE5814">
        <w:t xml:space="preserve"> and South America. </w:t>
      </w:r>
    </w:p>
    <w:p w14:paraId="458BE8A3" w14:textId="77777777" w:rsidR="00801274" w:rsidRDefault="00801274" w:rsidP="007B429C">
      <w:pPr>
        <w:pStyle w:val="BodyTextMain"/>
      </w:pPr>
    </w:p>
    <w:p w14:paraId="236899EC" w14:textId="56FEA681" w:rsidR="00777CED" w:rsidRPr="00606B63" w:rsidRDefault="00777CED" w:rsidP="007B429C">
      <w:pPr>
        <w:pStyle w:val="BodyTextMain"/>
      </w:pPr>
      <w:r w:rsidRPr="00AE5814">
        <w:t xml:space="preserve">In 2011, the company announced </w:t>
      </w:r>
      <w:r w:rsidR="00801274">
        <w:t xml:space="preserve">it would </w:t>
      </w:r>
      <w:r w:rsidRPr="00AE5814">
        <w:t>re-enter India with a bang after a 14-year absence</w:t>
      </w:r>
      <w:r w:rsidR="00AD5BC3">
        <w:t>.</w:t>
      </w:r>
      <w:r w:rsidRPr="00AE5814">
        <w:t xml:space="preserve"> </w:t>
      </w:r>
      <w:r w:rsidR="00AD5BC3">
        <w:t>I</w:t>
      </w:r>
      <w:r w:rsidRPr="00AE5814">
        <w:t>nitially</w:t>
      </w:r>
      <w:r w:rsidR="00AD5BC3">
        <w:t>,</w:t>
      </w:r>
      <w:r w:rsidRPr="00AE5814">
        <w:t xml:space="preserve"> </w:t>
      </w:r>
      <w:r w:rsidR="00081DEC">
        <w:t>PSA</w:t>
      </w:r>
      <w:r w:rsidR="00801274">
        <w:t xml:space="preserve"> connected</w:t>
      </w:r>
      <w:r w:rsidRPr="00AE5814">
        <w:t xml:space="preserve"> with Premier Automobiles in 1994 but failed to build a brand to impress </w:t>
      </w:r>
      <w:r>
        <w:t xml:space="preserve">Indian </w:t>
      </w:r>
      <w:r w:rsidRPr="00AE5814">
        <w:t>customers. These plans were dropped in 2012 due to lack of cash</w:t>
      </w:r>
      <w:r w:rsidR="007E20C6">
        <w:t>,</w:t>
      </w:r>
      <w:r w:rsidRPr="00AE5814">
        <w:rPr>
          <w:rStyle w:val="EndnoteReference"/>
          <w:rFonts w:ascii="Times" w:hAnsi="Times"/>
          <w:color w:val="000000" w:themeColor="text1"/>
        </w:rPr>
        <w:endnoteReference w:id="53"/>
      </w:r>
      <w:r>
        <w:t xml:space="preserve"> as t</w:t>
      </w:r>
      <w:r w:rsidRPr="00AE5814">
        <w:t>he company continued to use GM</w:t>
      </w:r>
      <w:r w:rsidR="0057699B">
        <w:t>’</w:t>
      </w:r>
      <w:r>
        <w:t>s Indian</w:t>
      </w:r>
      <w:r w:rsidRPr="00AE5814">
        <w:t xml:space="preserve"> factories to assemble vehicles </w:t>
      </w:r>
      <w:r>
        <w:t xml:space="preserve">there </w:t>
      </w:r>
      <w:r w:rsidRPr="00AE5814">
        <w:t xml:space="preserve">until </w:t>
      </w:r>
      <w:r>
        <w:t xml:space="preserve">it </w:t>
      </w:r>
      <w:r w:rsidRPr="00AE5814">
        <w:t>formal</w:t>
      </w:r>
      <w:r>
        <w:t>ly re-entered</w:t>
      </w:r>
      <w:r w:rsidRPr="00AE5814">
        <w:t xml:space="preserve"> </w:t>
      </w:r>
      <w:r>
        <w:t xml:space="preserve">the Indian market </w:t>
      </w:r>
      <w:r w:rsidRPr="00AE5814">
        <w:t xml:space="preserve">in 2017 with the </w:t>
      </w:r>
      <w:r w:rsidR="00801274">
        <w:t xml:space="preserve">CK </w:t>
      </w:r>
      <w:r w:rsidRPr="00AE5814">
        <w:t xml:space="preserve">Birla Group. In 2012, PSA </w:t>
      </w:r>
      <w:r>
        <w:t xml:space="preserve">finally </w:t>
      </w:r>
      <w:r w:rsidRPr="00AE5814">
        <w:t>re-entered the Philippines market</w:t>
      </w:r>
      <w:r w:rsidR="0057699B">
        <w:t>,</w:t>
      </w:r>
      <w:r w:rsidRPr="00AE5814">
        <w:rPr>
          <w:rStyle w:val="EndnoteReference"/>
          <w:rFonts w:ascii="Times" w:hAnsi="Times"/>
          <w:color w:val="000000" w:themeColor="text1"/>
        </w:rPr>
        <w:endnoteReference w:id="54"/>
      </w:r>
      <w:r w:rsidRPr="00AE5814">
        <w:t xml:space="preserve"> where it had briefly operated until 2005 in a distribution partnership with the Alvarez Group. </w:t>
      </w:r>
    </w:p>
    <w:p w14:paraId="7EE5AB01" w14:textId="77777777" w:rsidR="0057699B" w:rsidRDefault="0057699B" w:rsidP="007B429C">
      <w:pPr>
        <w:pStyle w:val="BodyTextMain"/>
      </w:pPr>
    </w:p>
    <w:p w14:paraId="4BDE2F03" w14:textId="1DF5F9A1" w:rsidR="00777CED" w:rsidRDefault="007E20C6" w:rsidP="007B429C">
      <w:pPr>
        <w:pStyle w:val="BodyTextMain"/>
      </w:pPr>
      <w:r>
        <w:t xml:space="preserve">In 2017, </w:t>
      </w:r>
      <w:r w:rsidR="00777CED" w:rsidRPr="00AE5814">
        <w:t>PSA exported its vehicles to over 100 countries worldwide. China was considered the market with most potential due to PSA’s partnership with Dongfeng</w:t>
      </w:r>
      <w:r w:rsidR="00801274">
        <w:t>,</w:t>
      </w:r>
      <w:r w:rsidR="00777CED" w:rsidRPr="00AE5814">
        <w:t xml:space="preserve"> which brought the company </w:t>
      </w:r>
      <w:r w:rsidR="00777CED">
        <w:t>resources and local know-how</w:t>
      </w:r>
      <w:r w:rsidR="00801274">
        <w:t>,</w:t>
      </w:r>
      <w:r w:rsidR="00777CED">
        <w:t xml:space="preserve"> and </w:t>
      </w:r>
      <w:r w:rsidR="00777CED" w:rsidRPr="00AE5814">
        <w:t>increase</w:t>
      </w:r>
      <w:r w:rsidR="00777CED">
        <w:t>d</w:t>
      </w:r>
      <w:r w:rsidR="00777CED" w:rsidRPr="00AE5814">
        <w:t xml:space="preserve"> its presence in the world’s largest car market. In Russia, PSA was part of a joint</w:t>
      </w:r>
      <w:r w:rsidR="00801274">
        <w:t xml:space="preserve"> </w:t>
      </w:r>
      <w:r w:rsidR="00777CED" w:rsidRPr="00AE5814">
        <w:t xml:space="preserve">venture with Mitsubishi and assembled the vehicles with a partner in Kazakhstan. In Latin America, the </w:t>
      </w:r>
      <w:r w:rsidR="00801274">
        <w:t>company</w:t>
      </w:r>
      <w:r w:rsidR="00777CED" w:rsidRPr="00AE5814">
        <w:t xml:space="preserve"> had one production site in Brazil and two in Argentina</w:t>
      </w:r>
      <w:r w:rsidR="00801274">
        <w:t>,</w:t>
      </w:r>
      <w:r w:rsidR="00777CED" w:rsidRPr="00AE5814">
        <w:t xml:space="preserve"> as well as R&amp;D centres in both countries. </w:t>
      </w:r>
      <w:r w:rsidR="00777CED">
        <w:t>I</w:t>
      </w:r>
      <w:r w:rsidR="00777CED" w:rsidRPr="00AE5814">
        <w:t xml:space="preserve">n other regions such as </w:t>
      </w:r>
      <w:r w:rsidR="00F038EE">
        <w:t xml:space="preserve">Asia </w:t>
      </w:r>
      <w:r w:rsidR="00777CED" w:rsidRPr="00AE5814">
        <w:t>Pacific</w:t>
      </w:r>
      <w:r w:rsidR="00801274">
        <w:t>,</w:t>
      </w:r>
      <w:r w:rsidR="00777CED" w:rsidRPr="00AE5814">
        <w:t xml:space="preserve"> </w:t>
      </w:r>
      <w:r w:rsidR="00264406">
        <w:t>PSA</w:t>
      </w:r>
      <w:r w:rsidR="00264406" w:rsidRPr="00AE5814">
        <w:t xml:space="preserve"> </w:t>
      </w:r>
      <w:r w:rsidR="00777CED" w:rsidRPr="00AE5814">
        <w:t xml:space="preserve">had only one subsidiary located in Japan. As of 2017, the company had yet to develop a substantive presence in </w:t>
      </w:r>
      <w:r w:rsidR="00801274">
        <w:t xml:space="preserve">the </w:t>
      </w:r>
      <w:r w:rsidR="00777CED" w:rsidRPr="00AE5814">
        <w:t xml:space="preserve">Middle East and Africa. </w:t>
      </w:r>
    </w:p>
    <w:p w14:paraId="25BE646D" w14:textId="77777777" w:rsidR="00777CED" w:rsidRPr="00AE5814" w:rsidRDefault="00777CED" w:rsidP="007B429C">
      <w:pPr>
        <w:pStyle w:val="BodyTextMain"/>
        <w:rPr>
          <w:b/>
        </w:rPr>
      </w:pPr>
    </w:p>
    <w:p w14:paraId="141F7760" w14:textId="7A2AEBCD" w:rsidR="00777CED" w:rsidRDefault="00F038EE" w:rsidP="007B429C">
      <w:pPr>
        <w:pStyle w:val="BodyTextMain"/>
      </w:pPr>
      <w:r>
        <w:t>At</w:t>
      </w:r>
      <w:r w:rsidR="00777CED">
        <w:t xml:space="preserve"> the beginning of 2017, a</w:t>
      </w:r>
      <w:r w:rsidR="00777CED" w:rsidRPr="00AE5814">
        <w:t>lmost all of PSA’s sales remain</w:t>
      </w:r>
      <w:r w:rsidR="00777CED">
        <w:t>ed</w:t>
      </w:r>
      <w:r w:rsidR="00777CED" w:rsidRPr="00AE5814">
        <w:t xml:space="preserve"> concentrated in </w:t>
      </w:r>
      <w:r w:rsidR="00777CED">
        <w:t>Europe, especially in France</w:t>
      </w:r>
      <w:r w:rsidR="00264406">
        <w:t>,</w:t>
      </w:r>
      <w:r w:rsidR="00777CED">
        <w:t xml:space="preserve"> </w:t>
      </w:r>
      <w:r w:rsidR="00777CED" w:rsidRPr="00AE5814">
        <w:t xml:space="preserve">despite the company operating in </w:t>
      </w:r>
      <w:r w:rsidR="00777CED">
        <w:t>over 1</w:t>
      </w:r>
      <w:r w:rsidR="00777CED" w:rsidRPr="00AE5814">
        <w:t>00 countries</w:t>
      </w:r>
      <w:r w:rsidR="00264406">
        <w:t xml:space="preserve"> (see Exhibit 2</w:t>
      </w:r>
      <w:r w:rsidR="00264406" w:rsidRPr="00AE5814">
        <w:t>)</w:t>
      </w:r>
      <w:r w:rsidR="00777CED" w:rsidRPr="00AE5814">
        <w:t>. Whi</w:t>
      </w:r>
      <w:r>
        <w:t>le</w:t>
      </w:r>
      <w:r w:rsidR="00777CED" w:rsidRPr="00AE5814">
        <w:t xml:space="preserve"> 70 </w:t>
      </w:r>
      <w:r w:rsidR="00777CED">
        <w:t>per cent of its manufacturing was</w:t>
      </w:r>
      <w:r w:rsidR="00777CED" w:rsidRPr="00AE5814">
        <w:t xml:space="preserve"> done outside of France in markets such as China and Brazil, </w:t>
      </w:r>
      <w:r w:rsidR="00777CED">
        <w:t xml:space="preserve">more than </w:t>
      </w:r>
      <w:r w:rsidR="00777CED" w:rsidRPr="00AE5814">
        <w:t>86 per cent o</w:t>
      </w:r>
      <w:r w:rsidR="00777CED">
        <w:t>f its revenues ca</w:t>
      </w:r>
      <w:r w:rsidR="00777CED" w:rsidRPr="00AE5814">
        <w:t>me from PSA</w:t>
      </w:r>
      <w:r>
        <w:t>’</w:t>
      </w:r>
      <w:r w:rsidR="00777CED" w:rsidRPr="00AE5814">
        <w:t>s operations in Europe</w:t>
      </w:r>
      <w:r w:rsidR="0057699B">
        <w:t>.</w:t>
      </w:r>
      <w:r w:rsidR="00777CED">
        <w:rPr>
          <w:rStyle w:val="EndnoteReference"/>
          <w:rFonts w:ascii="Times" w:hAnsi="Times"/>
          <w:color w:val="000000" w:themeColor="text1"/>
        </w:rPr>
        <w:endnoteReference w:id="55"/>
      </w:r>
      <w:r w:rsidR="00777CED" w:rsidRPr="00AE5814">
        <w:t xml:space="preserve"> </w:t>
      </w:r>
      <w:r>
        <w:t>Furthermore</w:t>
      </w:r>
      <w:r w:rsidR="00777CED" w:rsidRPr="00AE5814">
        <w:t>, in France, P</w:t>
      </w:r>
      <w:r w:rsidR="00777CED">
        <w:t>SA’s performance was flat at the end of</w:t>
      </w:r>
      <w:r w:rsidR="00777CED" w:rsidRPr="00AE5814">
        <w:t xml:space="preserve"> 2016 due to weaker </w:t>
      </w:r>
      <w:r w:rsidR="00777CED">
        <w:t>Citroën</w:t>
      </w:r>
      <w:r w:rsidR="00777CED" w:rsidRPr="00AE5814">
        <w:t xml:space="preserve"> sales and a struggling DS brand. The company lost</w:t>
      </w:r>
      <w:r>
        <w:t xml:space="preserve"> </w:t>
      </w:r>
      <w:r w:rsidR="00777CED" w:rsidRPr="00AE5814">
        <w:t>market share to Renault</w:t>
      </w:r>
      <w:r w:rsidR="00411C93">
        <w:t>;</w:t>
      </w:r>
      <w:r w:rsidR="00777CED" w:rsidRPr="00AE5814">
        <w:t xml:space="preserve"> PSA sold only 261 cars more in France compared to 2015</w:t>
      </w:r>
      <w:r>
        <w:t>,</w:t>
      </w:r>
      <w:r w:rsidR="00777CED" w:rsidRPr="00AE5814">
        <w:t xml:space="preserve"> </w:t>
      </w:r>
      <w:r w:rsidR="00777CED">
        <w:t>whereas</w:t>
      </w:r>
      <w:r w:rsidR="00777CED" w:rsidRPr="00AE5814">
        <w:t xml:space="preserve"> the French car market grew by </w:t>
      </w:r>
      <w:r w:rsidR="00777CED">
        <w:t xml:space="preserve">around </w:t>
      </w:r>
      <w:r w:rsidR="00777CED" w:rsidRPr="00AE5814">
        <w:t xml:space="preserve">100,000 cars in 2016 (see </w:t>
      </w:r>
      <w:r w:rsidR="00777CED">
        <w:t>Exhibit 3</w:t>
      </w:r>
      <w:r w:rsidR="00777CED" w:rsidRPr="00AE5814">
        <w:t>).</w:t>
      </w:r>
      <w:r w:rsidR="00411C93" w:rsidRPr="00AE5814">
        <w:rPr>
          <w:rStyle w:val="EndnoteReference"/>
          <w:rFonts w:ascii="Times" w:hAnsi="Times"/>
          <w:color w:val="000000" w:themeColor="text1"/>
        </w:rPr>
        <w:endnoteReference w:id="56"/>
      </w:r>
      <w:r w:rsidR="00777CED" w:rsidRPr="00AE5814">
        <w:t xml:space="preserve"> </w:t>
      </w:r>
    </w:p>
    <w:p w14:paraId="1633662F" w14:textId="77777777" w:rsidR="00777CED" w:rsidRDefault="00777CED" w:rsidP="007B429C">
      <w:pPr>
        <w:pStyle w:val="BodyTextMain"/>
      </w:pPr>
    </w:p>
    <w:p w14:paraId="5BCBDC24" w14:textId="381BDD09" w:rsidR="00777CED" w:rsidRDefault="00777CED" w:rsidP="007B429C">
      <w:pPr>
        <w:pStyle w:val="Casehead1"/>
        <w:outlineLvl w:val="0"/>
      </w:pPr>
      <w:r w:rsidRPr="00777CED">
        <w:lastRenderedPageBreak/>
        <w:t xml:space="preserve">PSA’S HISTORY IN THE </w:t>
      </w:r>
      <w:r w:rsidR="00086E74">
        <w:t>united states</w:t>
      </w:r>
      <w:r w:rsidRPr="00777CED">
        <w:t xml:space="preserve"> </w:t>
      </w:r>
    </w:p>
    <w:p w14:paraId="36C93ABA" w14:textId="77777777" w:rsidR="00606B63" w:rsidRPr="00777CED" w:rsidRDefault="00606B63" w:rsidP="007B429C">
      <w:pPr>
        <w:pStyle w:val="BodyTextMain"/>
      </w:pPr>
    </w:p>
    <w:p w14:paraId="60DECFC1" w14:textId="671CDE82" w:rsidR="00520AC7" w:rsidRDefault="00081DEC" w:rsidP="007B429C">
      <w:pPr>
        <w:pStyle w:val="BodyTextMain"/>
      </w:pPr>
      <w:r>
        <w:t>PSA</w:t>
      </w:r>
      <w:r w:rsidR="00777CED" w:rsidRPr="00AE5814">
        <w:t xml:space="preserve"> started selling cars in the U</w:t>
      </w:r>
      <w:r w:rsidR="00086E74">
        <w:t xml:space="preserve">nited States </w:t>
      </w:r>
      <w:r w:rsidR="00777CED" w:rsidRPr="00AE5814">
        <w:t xml:space="preserve">around 1958. The </w:t>
      </w:r>
      <w:r w:rsidR="00777CED">
        <w:t>company entered</w:t>
      </w:r>
      <w:r w:rsidR="00777CED" w:rsidRPr="00AE5814">
        <w:t xml:space="preserve"> the U.S. market in the late 1950s</w:t>
      </w:r>
      <w:r w:rsidR="00777CED">
        <w:t>, a decision</w:t>
      </w:r>
      <w:r w:rsidR="00777CED" w:rsidRPr="00AE5814">
        <w:t xml:space="preserve"> </w:t>
      </w:r>
      <w:r w:rsidR="00C43DF2">
        <w:t xml:space="preserve">that </w:t>
      </w:r>
      <w:r w:rsidR="00777CED">
        <w:t>was put down to</w:t>
      </w:r>
      <w:r w:rsidR="00777CED" w:rsidRPr="00AE5814">
        <w:t xml:space="preserve"> pressure from </w:t>
      </w:r>
      <w:r w:rsidR="00520AC7">
        <w:t xml:space="preserve">France’s </w:t>
      </w:r>
      <w:r w:rsidR="00777CED" w:rsidRPr="00AE5814">
        <w:t>newly elected political regime</w:t>
      </w:r>
      <w:r w:rsidR="0057699B">
        <w:t>—</w:t>
      </w:r>
      <w:r w:rsidR="00777CED" w:rsidRPr="00AE5814">
        <w:t>the Fifth Republic under the presidency of Charles de Gaulle</w:t>
      </w:r>
      <w:r w:rsidR="0057699B">
        <w:t>—</w:t>
      </w:r>
      <w:r w:rsidR="00777CED" w:rsidRPr="00AE5814">
        <w:t xml:space="preserve">to bring home hard currency and keep the home factories busy. Sales of Peugeot cars in the </w:t>
      </w:r>
      <w:r w:rsidR="0057699B">
        <w:t>United States</w:t>
      </w:r>
      <w:r w:rsidR="00777CED" w:rsidRPr="00AE5814">
        <w:t xml:space="preserve"> </w:t>
      </w:r>
      <w:r w:rsidR="00777CED">
        <w:t>reached a peak in the 1980s</w:t>
      </w:r>
      <w:r w:rsidR="00777CED" w:rsidRPr="00AE5814">
        <w:t xml:space="preserve"> </w:t>
      </w:r>
      <w:r w:rsidR="00777CED">
        <w:t>due to an</w:t>
      </w:r>
      <w:r w:rsidR="00777CED" w:rsidRPr="00AE5814">
        <w:t xml:space="preserve"> increase in oil prices</w:t>
      </w:r>
      <w:r w:rsidR="00520AC7">
        <w:t>,</w:t>
      </w:r>
      <w:r w:rsidR="00777CED" w:rsidRPr="00AE5814">
        <w:t xml:space="preserve"> which turned consumers to the company</w:t>
      </w:r>
      <w:r w:rsidR="0057699B">
        <w:t>’</w:t>
      </w:r>
      <w:r w:rsidR="00777CED" w:rsidRPr="00AE5814">
        <w:t xml:space="preserve">s then increasingly popular diesel engine cars. In 1986, </w:t>
      </w:r>
      <w:r>
        <w:t>PSA</w:t>
      </w:r>
      <w:r w:rsidR="00777CED" w:rsidRPr="00AE5814">
        <w:t xml:space="preserve"> sold about 14,000 cars in America. </w:t>
      </w:r>
      <w:r w:rsidR="00777CED">
        <w:t>However, b</w:t>
      </w:r>
      <w:r w:rsidR="00777CED" w:rsidRPr="00AE5814">
        <w:t>y 1990</w:t>
      </w:r>
      <w:r w:rsidR="00FE366F">
        <w:t>,</w:t>
      </w:r>
      <w:r w:rsidR="00777CED" w:rsidRPr="00AE5814">
        <w:t xml:space="preserve"> the number had dropped to 4,200 cars sold in what was then the world’s largest car market</w:t>
      </w:r>
      <w:r w:rsidR="00777CED">
        <w:t xml:space="preserve">. </w:t>
      </w:r>
      <w:r>
        <w:t>PSA</w:t>
      </w:r>
      <w:r w:rsidR="00777CED" w:rsidRPr="00AE5814">
        <w:t xml:space="preserve"> exited the U.S. market in 1991. </w:t>
      </w:r>
      <w:r w:rsidR="00AE7911">
        <w:t xml:space="preserve">It </w:t>
      </w:r>
      <w:r w:rsidR="00777CED" w:rsidRPr="00AE5814">
        <w:t xml:space="preserve">attributed </w:t>
      </w:r>
      <w:r w:rsidR="00AE7911">
        <w:t xml:space="preserve">the </w:t>
      </w:r>
      <w:r w:rsidR="00777CED" w:rsidRPr="00AE5814">
        <w:t>exit to “slow and low sales and price wars between the American and Japanese cars of the time</w:t>
      </w:r>
      <w:r w:rsidR="0057699B">
        <w:t>.</w:t>
      </w:r>
      <w:r w:rsidR="00777CED" w:rsidRPr="00AE5814">
        <w:t>”</w:t>
      </w:r>
      <w:r w:rsidR="00777CED" w:rsidRPr="00AE5814">
        <w:rPr>
          <w:rStyle w:val="EndnoteReference"/>
          <w:rFonts w:ascii="Times" w:hAnsi="Times"/>
          <w:color w:val="000000" w:themeColor="text1"/>
        </w:rPr>
        <w:endnoteReference w:id="57"/>
      </w:r>
      <w:r w:rsidR="00777CED" w:rsidRPr="00AE5814">
        <w:t xml:space="preserve"> </w:t>
      </w:r>
    </w:p>
    <w:p w14:paraId="5ED50550" w14:textId="77777777" w:rsidR="00520AC7" w:rsidRDefault="00520AC7" w:rsidP="007B429C">
      <w:pPr>
        <w:pStyle w:val="BodyTextMain"/>
      </w:pPr>
    </w:p>
    <w:p w14:paraId="542069D2" w14:textId="4FAA769A" w:rsidR="00777CED" w:rsidRDefault="00520AC7" w:rsidP="007B429C">
      <w:pPr>
        <w:pStyle w:val="BodyTextMain"/>
      </w:pPr>
      <w:r>
        <w:t>W</w:t>
      </w:r>
      <w:r w:rsidR="00777CED">
        <w:t xml:space="preserve">ere external environmental changes and increased market competition the only reasons why </w:t>
      </w:r>
      <w:r w:rsidR="00777CED" w:rsidRPr="00AE5814">
        <w:t xml:space="preserve">the company </w:t>
      </w:r>
      <w:r w:rsidR="00777CED">
        <w:t xml:space="preserve">did </w:t>
      </w:r>
      <w:r w:rsidR="00777CED" w:rsidRPr="00AE5814">
        <w:t>not succeed in the U</w:t>
      </w:r>
      <w:r w:rsidR="0057699B">
        <w:t>nited States</w:t>
      </w:r>
      <w:r w:rsidR="00777CED" w:rsidRPr="00AE5814">
        <w:t>?</w:t>
      </w:r>
      <w:r>
        <w:t xml:space="preserve"> </w:t>
      </w:r>
      <w:r w:rsidR="00777CED">
        <w:t xml:space="preserve">Perhaps. </w:t>
      </w:r>
      <w:r>
        <w:t>However, t</w:t>
      </w:r>
      <w:r w:rsidR="00777CED" w:rsidRPr="00AE5814">
        <w:t xml:space="preserve">he positive history of </w:t>
      </w:r>
      <w:r w:rsidR="00081DEC">
        <w:t>PSA</w:t>
      </w:r>
      <w:r w:rsidR="00777CED" w:rsidRPr="00AE5814">
        <w:t xml:space="preserve"> in the </w:t>
      </w:r>
      <w:r w:rsidR="004974E6">
        <w:t>United State</w:t>
      </w:r>
      <w:r>
        <w:t>s</w:t>
      </w:r>
      <w:r w:rsidR="00777CED" w:rsidRPr="00AE5814">
        <w:t xml:space="preserve"> suggested otherwise. Among the many accolades documented in the media, </w:t>
      </w:r>
      <w:r w:rsidR="00777CED" w:rsidRPr="00AE5814">
        <w:rPr>
          <w:i/>
        </w:rPr>
        <w:t>Motor Trend</w:t>
      </w:r>
      <w:r w:rsidR="00777CED" w:rsidRPr="00AE5814">
        <w:t xml:space="preserve"> compared the 604 Peugeot model to a Mercedes (1975), whil</w:t>
      </w:r>
      <w:r w:rsidR="0057699B">
        <w:t>e</w:t>
      </w:r>
      <w:r w:rsidR="00777CED" w:rsidRPr="00AE5814">
        <w:t xml:space="preserve"> </w:t>
      </w:r>
      <w:r w:rsidR="00777CED" w:rsidRPr="00AE5814">
        <w:rPr>
          <w:i/>
        </w:rPr>
        <w:t>Car and Driver</w:t>
      </w:r>
      <w:r w:rsidR="00777CED" w:rsidRPr="00AE5814">
        <w:t xml:space="preserve"> magazine noted that </w:t>
      </w:r>
      <w:r w:rsidR="007E20C6">
        <w:t xml:space="preserve">the </w:t>
      </w:r>
      <w:r w:rsidR="00777CED" w:rsidRPr="00AE5814">
        <w:t xml:space="preserve">505 </w:t>
      </w:r>
      <w:r w:rsidR="00081DEC">
        <w:t xml:space="preserve">Peugeot </w:t>
      </w:r>
      <w:r w:rsidR="00777CED" w:rsidRPr="00AE5814">
        <w:t xml:space="preserve">model had become </w:t>
      </w:r>
      <w:r w:rsidR="0057699B">
        <w:t>“</w:t>
      </w:r>
      <w:r w:rsidR="00777CED" w:rsidRPr="00AE5814">
        <w:t>a potent new offensive weapon</w:t>
      </w:r>
      <w:r w:rsidR="0057699B">
        <w:t xml:space="preserve">” </w:t>
      </w:r>
      <w:r w:rsidR="00777CED" w:rsidRPr="00AE5814">
        <w:t>in the automotive industry (1980).</w:t>
      </w:r>
      <w:r w:rsidR="00777CED" w:rsidRPr="00AE5814">
        <w:rPr>
          <w:rStyle w:val="EndnoteReference"/>
          <w:rFonts w:ascii="Times" w:hAnsi="Times"/>
          <w:color w:val="000000" w:themeColor="text1"/>
        </w:rPr>
        <w:endnoteReference w:id="58"/>
      </w:r>
      <w:r w:rsidR="00777CED" w:rsidRPr="00AE5814">
        <w:t xml:space="preserve"> All else considered, Peugeot cars, targeted at middle- and upper-class consumers who appreciated European stylish design and engineering</w:t>
      </w:r>
      <w:r w:rsidR="0057699B">
        <w:t xml:space="preserve">, </w:t>
      </w:r>
      <w:r w:rsidR="00777CED" w:rsidRPr="00AE5814">
        <w:t xml:space="preserve">were perceived by Americans to be </w:t>
      </w:r>
      <w:r w:rsidR="0057699B">
        <w:t>“</w:t>
      </w:r>
      <w:r w:rsidR="00777CED" w:rsidRPr="00AE5814">
        <w:t>the complete cars</w:t>
      </w:r>
      <w:r w:rsidR="0057699B">
        <w:t xml:space="preserve">.” </w:t>
      </w:r>
      <w:r w:rsidR="00777CED" w:rsidRPr="00AE5814">
        <w:t xml:space="preserve">In the 1970s, </w:t>
      </w:r>
      <w:r w:rsidR="00081DEC">
        <w:t>PSA</w:t>
      </w:r>
      <w:r w:rsidR="00777CED" w:rsidRPr="00AE5814">
        <w:t xml:space="preserve"> was also the largest carmaker in Europe, possessing the necessary financial muscle to succeed and expand internationally. </w:t>
      </w:r>
    </w:p>
    <w:p w14:paraId="7A8889C8" w14:textId="77777777" w:rsidR="00606B63" w:rsidRPr="00AE5814" w:rsidRDefault="00606B63" w:rsidP="007B429C">
      <w:pPr>
        <w:pStyle w:val="BodyTextMain"/>
        <w:rPr>
          <w:b/>
        </w:rPr>
      </w:pPr>
    </w:p>
    <w:p w14:paraId="631ABE75" w14:textId="3385981C" w:rsidR="00E23945" w:rsidRDefault="00777CED" w:rsidP="007B429C">
      <w:pPr>
        <w:pStyle w:val="BodyTextMain"/>
      </w:pPr>
      <w:r w:rsidRPr="00AE5814">
        <w:t xml:space="preserve">Part of the failure was attributed to </w:t>
      </w:r>
      <w:r w:rsidR="00AE7911">
        <w:t xml:space="preserve">a </w:t>
      </w:r>
      <w:r w:rsidRPr="00AE5814">
        <w:t>lack of adaptation to the U.S. consumer as opposed to merely distributing products there. “At best, the company was betting that American sales would provide the resources and exposure needed for a strategy to emerge out of involvement with American allies and customers</w:t>
      </w:r>
      <w:r w:rsidR="00AE7911">
        <w:t>.</w:t>
      </w:r>
      <w:r w:rsidRPr="00AE5814">
        <w:t>”</w:t>
      </w:r>
      <w:r w:rsidR="00AE7911">
        <w:t xml:space="preserve"> Thus, </w:t>
      </w:r>
      <w:r w:rsidRPr="00AE5814">
        <w:t xml:space="preserve">the product was attractive, </w:t>
      </w:r>
      <w:r w:rsidR="00AE7911">
        <w:t xml:space="preserve">but </w:t>
      </w:r>
      <w:r w:rsidRPr="00AE5814">
        <w:t>the strategy was not. Although the company fulfilled many of the expectations voiced by the U.S. consumer, such as European engineering, stylish design</w:t>
      </w:r>
      <w:r w:rsidR="00AE7911">
        <w:t>,</w:t>
      </w:r>
      <w:r w:rsidRPr="00AE5814">
        <w:t xml:space="preserve"> and luxurious interior</w:t>
      </w:r>
      <w:r w:rsidR="0057699B">
        <w:t>,</w:t>
      </w:r>
      <w:r w:rsidRPr="00AE5814">
        <w:t xml:space="preserve"> it did not incorporate other features that were becoming </w:t>
      </w:r>
      <w:r w:rsidR="00AE7911">
        <w:t xml:space="preserve">common in </w:t>
      </w:r>
      <w:r w:rsidRPr="00AE5814">
        <w:t>luxury cars</w:t>
      </w:r>
      <w:r w:rsidR="00AE7911">
        <w:t>,</w:t>
      </w:r>
      <w:r w:rsidRPr="00AE5814">
        <w:t xml:space="preserve"> such as a sunroof, power windows and seats, </w:t>
      </w:r>
      <w:r w:rsidR="00AE7911">
        <w:t xml:space="preserve">and </w:t>
      </w:r>
      <w:r w:rsidRPr="00AE5814">
        <w:t>air conditioning.</w:t>
      </w:r>
      <w:r>
        <w:t xml:space="preserve"> </w:t>
      </w:r>
      <w:r w:rsidRPr="00AE5814">
        <w:t xml:space="preserve">This </w:t>
      </w:r>
      <w:r w:rsidR="00A558F2">
        <w:t xml:space="preserve">point </w:t>
      </w:r>
      <w:r w:rsidRPr="00AE5814">
        <w:t>was heavily critici</w:t>
      </w:r>
      <w:r w:rsidR="0057699B">
        <w:t>z</w:t>
      </w:r>
      <w:r w:rsidRPr="00AE5814">
        <w:t>ed by the Peugeot Dealers Council</w:t>
      </w:r>
      <w:r w:rsidR="00AE7911">
        <w:t>,</w:t>
      </w:r>
      <w:r w:rsidRPr="00AE5814">
        <w:t xml:space="preserve"> reunited in </w:t>
      </w:r>
      <w:r w:rsidR="00AE7911">
        <w:t xml:space="preserve">the </w:t>
      </w:r>
      <w:r w:rsidRPr="00AE5814">
        <w:t>mid</w:t>
      </w:r>
      <w:r w:rsidR="00AE7911">
        <w:t>-1</w:t>
      </w:r>
      <w:r w:rsidRPr="00AE5814">
        <w:t>970s</w:t>
      </w:r>
      <w:r w:rsidR="00AE7911">
        <w:t>,</w:t>
      </w:r>
      <w:r w:rsidRPr="00AE5814">
        <w:t xml:space="preserve"> </w:t>
      </w:r>
      <w:r w:rsidR="00AE7911">
        <w:t>which</w:t>
      </w:r>
      <w:r w:rsidRPr="00AE5814">
        <w:t xml:space="preserve"> argued t</w:t>
      </w:r>
      <w:r w:rsidR="00F764C2">
        <w:t>he following:</w:t>
      </w:r>
      <w:r w:rsidR="00E23945">
        <w:t xml:space="preserve"> </w:t>
      </w:r>
    </w:p>
    <w:p w14:paraId="140971A3" w14:textId="77777777" w:rsidR="00E23945" w:rsidRDefault="00E23945" w:rsidP="007B429C">
      <w:pPr>
        <w:pStyle w:val="BodyTextMain"/>
      </w:pPr>
    </w:p>
    <w:p w14:paraId="4959399B" w14:textId="2B6F5C2B" w:rsidR="00777CED" w:rsidRPr="003D731E" w:rsidRDefault="00E23945" w:rsidP="007B429C">
      <w:pPr>
        <w:pStyle w:val="BodyTextMain"/>
        <w:ind w:left="720"/>
        <w:rPr>
          <w:spacing w:val="-2"/>
          <w:kern w:val="22"/>
        </w:rPr>
      </w:pPr>
      <w:r w:rsidRPr="003D731E">
        <w:rPr>
          <w:spacing w:val="-2"/>
          <w:kern w:val="22"/>
        </w:rPr>
        <w:t>Council wishes to point out to Automobile Peugeot that the U.S. market</w:t>
      </w:r>
      <w:r w:rsidR="00B35FFA" w:rsidRPr="003D731E">
        <w:rPr>
          <w:spacing w:val="-2"/>
          <w:kern w:val="22"/>
        </w:rPr>
        <w:t xml:space="preserve"> . . . </w:t>
      </w:r>
      <w:r w:rsidRPr="003D731E">
        <w:rPr>
          <w:spacing w:val="-2"/>
          <w:kern w:val="22"/>
        </w:rPr>
        <w:t>is the most competitive in the world. Any major automotive manufacturer who is unable to successfully merchandise his product in the U.S. market today must be deemed to have an inferior product and organization. The Council has extreme concern over what it perceives to be a “not give a damn” attitu</w:t>
      </w:r>
      <w:r w:rsidR="00A67AF2" w:rsidRPr="003D731E">
        <w:rPr>
          <w:spacing w:val="-2"/>
          <w:kern w:val="22"/>
        </w:rPr>
        <w:t xml:space="preserve">de on the part of . . . </w:t>
      </w:r>
      <w:r w:rsidRPr="003D731E">
        <w:rPr>
          <w:spacing w:val="-2"/>
          <w:kern w:val="22"/>
        </w:rPr>
        <w:t>those in France responsible for the success of the U.S. market</w:t>
      </w:r>
      <w:r w:rsidR="00B35FFA" w:rsidRPr="003D731E">
        <w:rPr>
          <w:spacing w:val="-2"/>
          <w:kern w:val="22"/>
        </w:rPr>
        <w:t xml:space="preserve">. . . . </w:t>
      </w:r>
      <w:r w:rsidRPr="003D731E">
        <w:rPr>
          <w:spacing w:val="-2"/>
          <w:kern w:val="22"/>
        </w:rPr>
        <w:t>Put in simple terms, the Council recommends that Peugeot either get totally involved in the U.S. market or get out altogether.</w:t>
      </w:r>
      <w:r w:rsidR="00777CED" w:rsidRPr="003D731E">
        <w:rPr>
          <w:rStyle w:val="EndnoteReference"/>
          <w:rFonts w:ascii="Times" w:hAnsi="Times"/>
          <w:color w:val="000000" w:themeColor="text1"/>
          <w:spacing w:val="-2"/>
          <w:kern w:val="22"/>
        </w:rPr>
        <w:endnoteReference w:id="59"/>
      </w:r>
    </w:p>
    <w:p w14:paraId="71E6384B" w14:textId="77777777" w:rsidR="00606B63" w:rsidRPr="00AE5814" w:rsidRDefault="00606B63" w:rsidP="007B429C">
      <w:pPr>
        <w:pStyle w:val="BodyTextMain"/>
        <w:rPr>
          <w:b/>
        </w:rPr>
      </w:pPr>
    </w:p>
    <w:p w14:paraId="280A96E0" w14:textId="2F1F9263" w:rsidR="00AE7911" w:rsidRDefault="00777CED" w:rsidP="007B429C">
      <w:pPr>
        <w:pStyle w:val="BodyTextMain"/>
      </w:pPr>
      <w:r w:rsidRPr="00AE5814">
        <w:t xml:space="preserve">Why did </w:t>
      </w:r>
      <w:r w:rsidR="00081DEC">
        <w:t>PSA</w:t>
      </w:r>
      <w:r w:rsidRPr="00AE5814">
        <w:t xml:space="preserve"> not address </w:t>
      </w:r>
      <w:r>
        <w:t>its challenges to adapt to local market conditions in in the U</w:t>
      </w:r>
      <w:r w:rsidR="00AE7911">
        <w:t>nited States</w:t>
      </w:r>
      <w:r w:rsidRPr="00AE5814">
        <w:t>? Some experts argued that the company’s under</w:t>
      </w:r>
      <w:r>
        <w:t>-</w:t>
      </w:r>
      <w:r w:rsidRPr="00AE5814">
        <w:t>appreciation of the U.S. market dictated its chances of (un)success.</w:t>
      </w:r>
      <w:r w:rsidRPr="00AE5814">
        <w:rPr>
          <w:rStyle w:val="EndnoteReference"/>
          <w:rFonts w:ascii="Times" w:hAnsi="Times"/>
          <w:color w:val="000000" w:themeColor="text1"/>
        </w:rPr>
        <w:endnoteReference w:id="60"/>
      </w:r>
      <w:r w:rsidRPr="00AE5814">
        <w:t xml:space="preserve"> Indeed, adapting to the U.S. market was expensive</w:t>
      </w:r>
      <w:r w:rsidR="00AE7911">
        <w:t>,</w:t>
      </w:r>
      <w:r w:rsidRPr="00AE5814">
        <w:t xml:space="preserve"> mainly because European and U.S. safety standards differed significantly. One example </w:t>
      </w:r>
      <w:r w:rsidR="00F764C2">
        <w:t xml:space="preserve">was </w:t>
      </w:r>
      <w:r w:rsidRPr="00AE5814">
        <w:t xml:space="preserve">that French safety standards relied on </w:t>
      </w:r>
      <w:r w:rsidR="00AE7911">
        <w:t>“</w:t>
      </w:r>
      <w:r w:rsidRPr="00AE5814">
        <w:t>crash avoidance</w:t>
      </w:r>
      <w:r w:rsidR="00AE7911">
        <w:t>”</w:t>
      </w:r>
      <w:r w:rsidRPr="00AE5814">
        <w:t xml:space="preserve"> and </w:t>
      </w:r>
      <w:r w:rsidR="00AE7911">
        <w:t>“</w:t>
      </w:r>
      <w:r w:rsidRPr="00AE5814">
        <w:t>stress road handling</w:t>
      </w:r>
      <w:r w:rsidR="00A558F2">
        <w:t>,</w:t>
      </w:r>
      <w:r w:rsidR="00AE7911">
        <w:t>”</w:t>
      </w:r>
      <w:r w:rsidRPr="00AE5814">
        <w:t xml:space="preserve"> whil</w:t>
      </w:r>
      <w:r w:rsidR="00F764C2">
        <w:t>e</w:t>
      </w:r>
      <w:r w:rsidRPr="00AE5814">
        <w:t xml:space="preserve"> American regulations emphasi</w:t>
      </w:r>
      <w:r w:rsidR="00F764C2">
        <w:t>z</w:t>
      </w:r>
      <w:r w:rsidRPr="00AE5814">
        <w:t xml:space="preserve">ed </w:t>
      </w:r>
      <w:r w:rsidR="00AE7911">
        <w:t>“</w:t>
      </w:r>
      <w:r w:rsidRPr="00AE5814">
        <w:t>crash absorption</w:t>
      </w:r>
      <w:r w:rsidR="00AE7911">
        <w:t>”</w:t>
      </w:r>
      <w:r w:rsidRPr="00AE5814">
        <w:t xml:space="preserve"> and a </w:t>
      </w:r>
      <w:r w:rsidR="00AE7911">
        <w:t>“</w:t>
      </w:r>
      <w:r w:rsidRPr="00AE5814">
        <w:t>strong and heavy passenger compartment</w:t>
      </w:r>
      <w:r w:rsidR="00AE7911">
        <w:t>.”</w:t>
      </w:r>
      <w:r w:rsidRPr="00AE5814">
        <w:t xml:space="preserve"> PSA</w:t>
      </w:r>
      <w:r w:rsidR="00F764C2">
        <w:t>’</w:t>
      </w:r>
      <w:r w:rsidRPr="00AE5814">
        <w:t xml:space="preserve">s focus remained on the European market. </w:t>
      </w:r>
    </w:p>
    <w:p w14:paraId="394ACC25" w14:textId="77777777" w:rsidR="00AE7911" w:rsidRDefault="00AE7911" w:rsidP="007B429C">
      <w:pPr>
        <w:pStyle w:val="BodyTextMain"/>
      </w:pPr>
    </w:p>
    <w:p w14:paraId="058666D6" w14:textId="222C0E45" w:rsidR="00777CED" w:rsidRDefault="00777CED" w:rsidP="007B429C">
      <w:pPr>
        <w:pStyle w:val="BodyTextMain"/>
      </w:pPr>
      <w:r w:rsidRPr="00AE5814">
        <w:t xml:space="preserve">The window of opportunity to fully commit to the U.S. market </w:t>
      </w:r>
      <w:r>
        <w:t>quickly closed</w:t>
      </w:r>
      <w:r w:rsidRPr="00AE5814">
        <w:t xml:space="preserve"> in the 1980s when new entrants such as </w:t>
      </w:r>
      <w:r w:rsidR="003F4FFD">
        <w:t>VW</w:t>
      </w:r>
      <w:r w:rsidRPr="00AE5814">
        <w:t xml:space="preserve"> and Toyota </w:t>
      </w:r>
      <w:r>
        <w:t>emerged</w:t>
      </w:r>
      <w:r w:rsidRPr="00AE5814">
        <w:t>. Peugeot cars were neither cheap nor particularly exceptional</w:t>
      </w:r>
      <w:r w:rsidR="00AE7911">
        <w:t>,</w:t>
      </w:r>
      <w:r w:rsidRPr="00AE5814">
        <w:t xml:space="preserve"> and were easily overshadowed by rejuvenated American models and newer German and Japanese models</w:t>
      </w:r>
      <w:r>
        <w:t>. Whil</w:t>
      </w:r>
      <w:r w:rsidR="00AE7911">
        <w:t>e</w:t>
      </w:r>
      <w:r>
        <w:t xml:space="preserve"> the 505 model was highly successful, other models such as the 405 were not positioned as premium cars and quickly lost market share to cheaper models such as the Honda Accord. What</w:t>
      </w:r>
      <w:r w:rsidR="00AE7911">
        <w:t xml:space="preserve">ever </w:t>
      </w:r>
      <w:r>
        <w:t xml:space="preserve">propelled other </w:t>
      </w:r>
      <w:r>
        <w:lastRenderedPageBreak/>
        <w:t xml:space="preserve">carmakers such as Audi </w:t>
      </w:r>
      <w:r w:rsidR="002746C1">
        <w:t xml:space="preserve">AG (Audi) </w:t>
      </w:r>
      <w:r>
        <w:t xml:space="preserve">and Volvo to move toward the premium segment of the U.S. automotive market did not have the same effect on </w:t>
      </w:r>
      <w:r w:rsidR="00081DEC">
        <w:t>PSA</w:t>
      </w:r>
      <w:r w:rsidR="00AE7911">
        <w:t>,</w:t>
      </w:r>
      <w:r>
        <w:t xml:space="preserve"> which left in 1991.</w:t>
      </w:r>
    </w:p>
    <w:p w14:paraId="1023C67C" w14:textId="77777777" w:rsidR="00606B63" w:rsidRPr="00AE5814" w:rsidRDefault="00606B63" w:rsidP="007B429C">
      <w:pPr>
        <w:pStyle w:val="BodyTextMain"/>
        <w:rPr>
          <w:b/>
        </w:rPr>
      </w:pPr>
    </w:p>
    <w:p w14:paraId="47823300" w14:textId="53C8B4C0" w:rsidR="00777CED" w:rsidRPr="00AE5814" w:rsidRDefault="00777CED" w:rsidP="007B429C">
      <w:pPr>
        <w:pStyle w:val="BodyTextMain"/>
        <w:rPr>
          <w:b/>
        </w:rPr>
      </w:pPr>
      <w:r w:rsidRPr="00AE5814">
        <w:t>For a while</w:t>
      </w:r>
      <w:r w:rsidR="00AE7911">
        <w:t>,</w:t>
      </w:r>
      <w:r w:rsidRPr="00AE5814">
        <w:t xml:space="preserve"> </w:t>
      </w:r>
      <w:r w:rsidR="00081DEC">
        <w:t>PSA</w:t>
      </w:r>
      <w:r w:rsidRPr="00AE5814">
        <w:t xml:space="preserve"> kept an office in Michigan</w:t>
      </w:r>
      <w:r>
        <w:t xml:space="preserve"> to track evolving U.S. emissions and safety standards</w:t>
      </w:r>
      <w:r w:rsidR="00AE7911">
        <w:t>;</w:t>
      </w:r>
      <w:r w:rsidRPr="00AE5814">
        <w:t xml:space="preserve"> </w:t>
      </w:r>
      <w:r w:rsidR="00AE7911">
        <w:t xml:space="preserve">this office </w:t>
      </w:r>
      <w:r w:rsidRPr="00AE5814">
        <w:t xml:space="preserve">was closed </w:t>
      </w:r>
      <w:r>
        <w:t>around 2013</w:t>
      </w:r>
      <w:r w:rsidRPr="00AE5814">
        <w:t xml:space="preserve">. Although the company </w:t>
      </w:r>
      <w:r>
        <w:t>started to operate</w:t>
      </w:r>
      <w:r w:rsidRPr="00AE5814">
        <w:t xml:space="preserve"> in the Mexican market</w:t>
      </w:r>
      <w:r>
        <w:t xml:space="preserve"> again in 1997,</w:t>
      </w:r>
      <w:r w:rsidRPr="00CD1505">
        <w:t xml:space="preserve"> </w:t>
      </w:r>
      <w:r>
        <w:t>following</w:t>
      </w:r>
      <w:r w:rsidRPr="00AE5814">
        <w:t xml:space="preserve"> the Chile-Mexico free trade agreement, no PSA models were bought or imported into the </w:t>
      </w:r>
      <w:r w:rsidR="00AE7911">
        <w:t>United States</w:t>
      </w:r>
      <w:r w:rsidRPr="00AE5814">
        <w:t xml:space="preserve"> from Mexico. </w:t>
      </w:r>
      <w:r>
        <w:t xml:space="preserve">Former </w:t>
      </w:r>
      <w:r w:rsidRPr="00AE5814">
        <w:t xml:space="preserve">PSA CEO Varin </w:t>
      </w:r>
      <w:r>
        <w:t xml:space="preserve">also </w:t>
      </w:r>
      <w:r w:rsidRPr="00AE5814">
        <w:t xml:space="preserve">took the company back to Canada in 2009 by selling the scooter brand, thus remaining absent from the automotive market. </w:t>
      </w:r>
    </w:p>
    <w:p w14:paraId="2A5ED93A" w14:textId="77777777" w:rsidR="00A17B39" w:rsidRDefault="00A17B39" w:rsidP="007B429C">
      <w:pPr>
        <w:pStyle w:val="BodyTextMain"/>
      </w:pPr>
    </w:p>
    <w:p w14:paraId="13C042B1" w14:textId="77777777" w:rsidR="00A17B39" w:rsidRDefault="00A17B39" w:rsidP="007B429C">
      <w:pPr>
        <w:pStyle w:val="BodyTextMain"/>
      </w:pPr>
    </w:p>
    <w:p w14:paraId="7B408E74" w14:textId="77777777" w:rsidR="00777CED" w:rsidRDefault="00777CED" w:rsidP="007B429C">
      <w:pPr>
        <w:pStyle w:val="Casehead1"/>
        <w:outlineLvl w:val="0"/>
      </w:pPr>
      <w:r w:rsidRPr="00AE5814">
        <w:t>Plans to re-enter the U</w:t>
      </w:r>
      <w:r w:rsidR="00086E74">
        <w:t>.</w:t>
      </w:r>
      <w:r w:rsidRPr="00AE5814">
        <w:t>S</w:t>
      </w:r>
      <w:r w:rsidR="00086E74">
        <w:t>.</w:t>
      </w:r>
      <w:r w:rsidRPr="00AE5814">
        <w:t xml:space="preserve"> market </w:t>
      </w:r>
    </w:p>
    <w:p w14:paraId="76A5F412" w14:textId="77777777" w:rsidR="00606B63" w:rsidRPr="00AE5814" w:rsidRDefault="00606B63" w:rsidP="007B429C">
      <w:pPr>
        <w:pStyle w:val="BodyTextMain"/>
      </w:pPr>
    </w:p>
    <w:p w14:paraId="57914129" w14:textId="6A2F961D" w:rsidR="00A558F2" w:rsidRDefault="00777CED" w:rsidP="007B429C">
      <w:pPr>
        <w:pStyle w:val="BodyTextMain"/>
      </w:pPr>
      <w:r>
        <w:t xml:space="preserve">According to the </w:t>
      </w:r>
      <w:r w:rsidRPr="000628C0">
        <w:rPr>
          <w:i/>
        </w:rPr>
        <w:t>Wall Street Journal,</w:t>
      </w:r>
      <w:r>
        <w:t xml:space="preserve"> PSA considered a U.S. re-entry as early as 2003 with the help of Hava</w:t>
      </w:r>
      <w:r w:rsidR="00A558F2">
        <w:t>s</w:t>
      </w:r>
      <w:r>
        <w:t>, a Paris</w:t>
      </w:r>
      <w:r w:rsidR="00A4208D">
        <w:t>-</w:t>
      </w:r>
      <w:r>
        <w:t>based advertising agency</w:t>
      </w:r>
      <w:r w:rsidR="00A4208D">
        <w:t>.</w:t>
      </w:r>
      <w:r>
        <w:rPr>
          <w:rStyle w:val="EndnoteReference"/>
          <w:rFonts w:ascii="Times" w:hAnsi="Times"/>
          <w:color w:val="000000" w:themeColor="text1"/>
        </w:rPr>
        <w:endnoteReference w:id="61"/>
      </w:r>
      <w:r w:rsidR="0057699B">
        <w:t xml:space="preserve"> </w:t>
      </w:r>
      <w:r w:rsidR="00A4208D">
        <w:t xml:space="preserve">However, </w:t>
      </w:r>
      <w:r>
        <w:t xml:space="preserve">these plans never came to fruition. </w:t>
      </w:r>
      <w:r w:rsidRPr="00AE5814">
        <w:t xml:space="preserve">Discussions regarding U.S. re-entry became </w:t>
      </w:r>
      <w:r>
        <w:t xml:space="preserve">less quiet and more </w:t>
      </w:r>
      <w:r w:rsidRPr="00AE5814">
        <w:t xml:space="preserve">frequent </w:t>
      </w:r>
      <w:r w:rsidR="00A4208D">
        <w:t xml:space="preserve">after </w:t>
      </w:r>
      <w:r w:rsidRPr="00AE5814">
        <w:t xml:space="preserve">2014 </w:t>
      </w:r>
      <w:r w:rsidR="00A4208D">
        <w:t xml:space="preserve">with </w:t>
      </w:r>
      <w:r w:rsidRPr="00AE5814">
        <w:t>the newest</w:t>
      </w:r>
      <w:r>
        <w:t xml:space="preserve"> CEO Tavares </w:t>
      </w:r>
      <w:r w:rsidRPr="00AE5814">
        <w:t xml:space="preserve">at the </w:t>
      </w:r>
      <w:r w:rsidR="00511001">
        <w:t xml:space="preserve">company’s </w:t>
      </w:r>
      <w:r w:rsidRPr="00AE5814">
        <w:t>helm. Tavares</w:t>
      </w:r>
      <w:r w:rsidR="00A558F2">
        <w:t xml:space="preserve"> had</w:t>
      </w:r>
      <w:r w:rsidRPr="00AE5814">
        <w:t xml:space="preserve"> started his career at Renault in 198</w:t>
      </w:r>
      <w:r w:rsidR="00A4208D">
        <w:t>1. B</w:t>
      </w:r>
      <w:r w:rsidRPr="00AE5814">
        <w:t>etween 2009 and 2013</w:t>
      </w:r>
      <w:r w:rsidR="00A4208D">
        <w:t>,</w:t>
      </w:r>
      <w:r w:rsidRPr="00AE5814">
        <w:t xml:space="preserve"> </w:t>
      </w:r>
      <w:r w:rsidR="00A4208D">
        <w:t xml:space="preserve">he </w:t>
      </w:r>
      <w:r w:rsidRPr="00AE5814">
        <w:t xml:space="preserve">oversaw Nissan’s presence in North and South America. </w:t>
      </w:r>
    </w:p>
    <w:p w14:paraId="7A7DAE03" w14:textId="77777777" w:rsidR="00A558F2" w:rsidRDefault="00A558F2" w:rsidP="007B429C">
      <w:pPr>
        <w:pStyle w:val="BodyTextMain"/>
      </w:pPr>
    </w:p>
    <w:p w14:paraId="4289AD6A" w14:textId="3E9ED517" w:rsidR="00777CED" w:rsidRDefault="00777CED" w:rsidP="007B429C">
      <w:pPr>
        <w:pStyle w:val="BodyTextMain"/>
      </w:pPr>
      <w:r w:rsidRPr="00AE5814">
        <w:t>In October 2014, PSA planned to return to the U.S. market as part of a global strategy to sell DS vehicles worldwide.</w:t>
      </w:r>
      <w:r w:rsidRPr="00AE5814">
        <w:rPr>
          <w:rStyle w:val="EndnoteReference"/>
          <w:rFonts w:ascii="Times" w:hAnsi="Times"/>
          <w:color w:val="000000" w:themeColor="text1"/>
        </w:rPr>
        <w:endnoteReference w:id="62"/>
      </w:r>
      <w:r w:rsidRPr="00AE5814">
        <w:t xml:space="preserve"> These plans never came to fruition </w:t>
      </w:r>
      <w:r w:rsidR="00511001">
        <w:t>because</w:t>
      </w:r>
      <w:r w:rsidR="00511001" w:rsidRPr="00AE5814">
        <w:t xml:space="preserve"> </w:t>
      </w:r>
      <w:r>
        <w:t>PSA</w:t>
      </w:r>
      <w:r w:rsidRPr="00AE5814">
        <w:t xml:space="preserve"> decided such a re-entry would be too high risk. For one, DS was not a very well-known brand, thus posin</w:t>
      </w:r>
      <w:r>
        <w:t xml:space="preserve">g questions </w:t>
      </w:r>
      <w:r w:rsidR="003920AD">
        <w:t>as to</w:t>
      </w:r>
      <w:r>
        <w:t xml:space="preserve"> whether it </w:t>
      </w:r>
      <w:r w:rsidRPr="00AE5814">
        <w:t>command</w:t>
      </w:r>
      <w:r>
        <w:t>ed</w:t>
      </w:r>
      <w:r w:rsidRPr="00AE5814">
        <w:t xml:space="preserve"> the high</w:t>
      </w:r>
      <w:r w:rsidR="003920AD">
        <w:noBreakHyphen/>
      </w:r>
      <w:r w:rsidRPr="00AE5814">
        <w:t xml:space="preserve">end price in the U.S. luxury market dominated by the likes of Audi and BMW. </w:t>
      </w:r>
      <w:r w:rsidR="00A4208D">
        <w:t>Also</w:t>
      </w:r>
      <w:r w:rsidRPr="00AE5814">
        <w:t>, whil</w:t>
      </w:r>
      <w:r w:rsidR="00A4208D">
        <w:t>e</w:t>
      </w:r>
      <w:r w:rsidRPr="00AE5814">
        <w:t xml:space="preserve"> the DS brand sold some 500,000 vehicles mainly in Europe and China between 2010 and 2016, none of the five DS models were compliant with </w:t>
      </w:r>
      <w:r w:rsidR="00E32C44">
        <w:t xml:space="preserve">U.S. </w:t>
      </w:r>
      <w:r w:rsidRPr="00AE5814">
        <w:t xml:space="preserve">federal standards. Such compliance </w:t>
      </w:r>
      <w:r>
        <w:t xml:space="preserve">would </w:t>
      </w:r>
      <w:r w:rsidRPr="00AE5814">
        <w:t xml:space="preserve">prove expensive for </w:t>
      </w:r>
      <w:r>
        <w:t>the company</w:t>
      </w:r>
      <w:r w:rsidR="00A4208D">
        <w:t>,</w:t>
      </w:r>
      <w:r>
        <w:t xml:space="preserve"> </w:t>
      </w:r>
      <w:r w:rsidRPr="00AE5814">
        <w:t xml:space="preserve">which </w:t>
      </w:r>
      <w:r>
        <w:t>needed to then tailor its</w:t>
      </w:r>
      <w:r w:rsidRPr="00AE5814">
        <w:t xml:space="preserve"> vehicles to the U.S. market. </w:t>
      </w:r>
    </w:p>
    <w:p w14:paraId="36CE8CF5" w14:textId="77777777" w:rsidR="00606B63" w:rsidRPr="00AE5814" w:rsidRDefault="00606B63" w:rsidP="007B429C">
      <w:pPr>
        <w:pStyle w:val="BodyTextMain"/>
        <w:rPr>
          <w:b/>
        </w:rPr>
      </w:pPr>
    </w:p>
    <w:p w14:paraId="2D02577D" w14:textId="330A96AD" w:rsidR="00307807" w:rsidRDefault="00777CED" w:rsidP="007B429C">
      <w:pPr>
        <w:pStyle w:val="BodyTextMain"/>
      </w:pPr>
      <w:r w:rsidRPr="00410F68">
        <w:t>Re-entry into the U.S. market was seen as an imperative strategic objective. Tavares said in</w:t>
      </w:r>
      <w:r w:rsidR="003B61DD">
        <w:t xml:space="preserve"> </w:t>
      </w:r>
      <w:r w:rsidRPr="00410F68">
        <w:t>April 2016</w:t>
      </w:r>
      <w:r w:rsidR="00E32C44">
        <w:t>,</w:t>
      </w:r>
      <w:r w:rsidRPr="00410F68">
        <w:t xml:space="preserve"> </w:t>
      </w:r>
      <w:r w:rsidR="0057699B">
        <w:t>“</w:t>
      </w:r>
      <w:r w:rsidRPr="00410F68">
        <w:t>We will come back to North America because it is a place where we believe we can make a significant profit</w:t>
      </w:r>
      <w:r w:rsidR="0057699B">
        <w:t>.”</w:t>
      </w:r>
      <w:r w:rsidRPr="00410F68">
        <w:t xml:space="preserve"> He had specifically defended the company’s decision to return to the U.S. market</w:t>
      </w:r>
      <w:r w:rsidR="00A4208D">
        <w:t>,</w:t>
      </w:r>
      <w:r w:rsidRPr="00410F68">
        <w:t xml:space="preserve"> highlighting PSA’s strengths in Europe and China: “We notice that others have been there for 50 years, but those who have been there for 50 years are also the ones we are beating in Europe and China</w:t>
      </w:r>
      <w:r w:rsidR="00A4208D">
        <w:t>.</w:t>
      </w:r>
      <w:r w:rsidRPr="00410F68">
        <w:t>”</w:t>
      </w:r>
      <w:r w:rsidRPr="00410F68">
        <w:rPr>
          <w:rStyle w:val="EndnoteReference"/>
          <w:rFonts w:ascii="Times" w:hAnsi="Times"/>
          <w:color w:val="000000" w:themeColor="text1"/>
        </w:rPr>
        <w:endnoteReference w:id="63"/>
      </w:r>
      <w:r w:rsidRPr="00410F68">
        <w:t xml:space="preserve"> </w:t>
      </w:r>
    </w:p>
    <w:p w14:paraId="4DE330FF" w14:textId="77777777" w:rsidR="00307807" w:rsidRDefault="00307807" w:rsidP="007B429C">
      <w:pPr>
        <w:pStyle w:val="BodyTextMain"/>
      </w:pPr>
    </w:p>
    <w:p w14:paraId="511FDC29" w14:textId="73845D81" w:rsidR="0034192C" w:rsidRDefault="00777CED" w:rsidP="007B429C">
      <w:pPr>
        <w:pStyle w:val="BodyTextMain"/>
      </w:pPr>
      <w:r w:rsidRPr="00410F68">
        <w:t>As part of its Push to Pass strategy, PSA</w:t>
      </w:r>
      <w:r w:rsidR="00307807">
        <w:t>’</w:t>
      </w:r>
      <w:r w:rsidRPr="00410F68">
        <w:t>s return to North America consisted of investment in mobility and ride-sharing enterprises similar to those of ZipCar.</w:t>
      </w:r>
      <w:r w:rsidRPr="00410F68">
        <w:rPr>
          <w:rStyle w:val="EndnoteReference"/>
          <w:rFonts w:ascii="Times" w:hAnsi="Times"/>
          <w:color w:val="000000" w:themeColor="text1"/>
        </w:rPr>
        <w:endnoteReference w:id="64"/>
      </w:r>
      <w:r w:rsidRPr="00410F68">
        <w:t xml:space="preserve"> PSA teamed up for this </w:t>
      </w:r>
      <w:r w:rsidR="00C961C2">
        <w:t xml:space="preserve">investment </w:t>
      </w:r>
      <w:r w:rsidRPr="00410F68">
        <w:t>with car</w:t>
      </w:r>
      <w:r w:rsidR="00C961C2">
        <w:noBreakHyphen/>
      </w:r>
      <w:r w:rsidRPr="00410F68">
        <w:t>sharing service TravelCar. The investment</w:t>
      </w:r>
      <w:r w:rsidR="00086E74">
        <w:t>—</w:t>
      </w:r>
      <w:r w:rsidRPr="00410F68">
        <w:t>a partnership with French insurance firm MAIF</w:t>
      </w:r>
      <w:r w:rsidR="00086E74">
        <w:t>—</w:t>
      </w:r>
      <w:r w:rsidRPr="00410F68">
        <w:t xml:space="preserve">totalled </w:t>
      </w:r>
      <w:r w:rsidRPr="00A67AF2">
        <w:t>$16 million and</w:t>
      </w:r>
      <w:r w:rsidRPr="00410F68">
        <w:t xml:space="preserve"> was considered a first step</w:t>
      </w:r>
      <w:r w:rsidR="00C961C2">
        <w:t xml:space="preserve"> in</w:t>
      </w:r>
      <w:r w:rsidRPr="00410F68">
        <w:t xml:space="preserve"> PSA’s Push to Pass plan to progressively re-enter the U.S. market by 2026. “We announced our progressive entry to North America by launching mobility services with our partners,” said PSA Head of Mobility Services Grégoire Olivier. “We deploy these services worldwide to meet customers’ expectations. With TravelCar today, we’re writing the beginning of this new step overseas.” </w:t>
      </w:r>
      <w:r>
        <w:t xml:space="preserve">Since 2012, </w:t>
      </w:r>
      <w:r w:rsidRPr="00410F68">
        <w:t>TravelCar</w:t>
      </w:r>
      <w:r w:rsidR="00C961C2">
        <w:t xml:space="preserve"> had</w:t>
      </w:r>
      <w:r w:rsidRPr="00410F68">
        <w:t xml:space="preserve"> operated mainly in France</w:t>
      </w:r>
      <w:r w:rsidR="00C961C2">
        <w:t>,</w:t>
      </w:r>
      <w:r w:rsidRPr="00410F68">
        <w:t xml:space="preserve"> </w:t>
      </w:r>
      <w:r>
        <w:t>where it offered</w:t>
      </w:r>
      <w:r w:rsidRPr="00410F68">
        <w:t xml:space="preserve"> free parking at airports and rates significantly lower than those of rental places in European countries. </w:t>
      </w:r>
    </w:p>
    <w:p w14:paraId="1FFC0B68" w14:textId="77777777" w:rsidR="0034192C" w:rsidRDefault="0034192C" w:rsidP="007B429C">
      <w:pPr>
        <w:pStyle w:val="BodyTextMain"/>
      </w:pPr>
    </w:p>
    <w:p w14:paraId="1FDB97A2" w14:textId="4E4DF6A6" w:rsidR="00777CED" w:rsidRDefault="00777CED" w:rsidP="007B429C">
      <w:pPr>
        <w:pStyle w:val="BodyTextMain"/>
      </w:pPr>
      <w:r w:rsidRPr="00410F68">
        <w:t>PSA was already involved in mobility services with the Bollor</w:t>
      </w:r>
      <w:r w:rsidR="00C961C2">
        <w:t>é</w:t>
      </w:r>
      <w:r w:rsidRPr="00410F68">
        <w:t xml:space="preserve"> Group</w:t>
      </w:r>
      <w:r w:rsidR="003202E6">
        <w:t>—</w:t>
      </w:r>
      <w:r w:rsidRPr="00410F68">
        <w:t>in car</w:t>
      </w:r>
      <w:r w:rsidR="00C961C2">
        <w:t>-</w:t>
      </w:r>
      <w:r w:rsidRPr="00410F68">
        <w:t>sharing operations in Lyon and Bordeaux, France.</w:t>
      </w:r>
      <w:r w:rsidRPr="00410F68">
        <w:rPr>
          <w:rStyle w:val="EndnoteReference"/>
          <w:rFonts w:ascii="Times" w:hAnsi="Times"/>
          <w:color w:val="000000" w:themeColor="text1"/>
        </w:rPr>
        <w:endnoteReference w:id="65"/>
      </w:r>
      <w:r w:rsidRPr="00410F68">
        <w:t xml:space="preserve"> </w:t>
      </w:r>
      <w:r w:rsidR="00C961C2">
        <w:t>It</w:t>
      </w:r>
      <w:r w:rsidRPr="00AE5814" w:rsidDel="00F426FF">
        <w:t xml:space="preserve"> </w:t>
      </w:r>
      <w:r w:rsidRPr="00AE5814">
        <w:t xml:space="preserve">hoped to kick-start re-entry into </w:t>
      </w:r>
      <w:r>
        <w:t>a</w:t>
      </w:r>
      <w:r w:rsidRPr="00AE5814">
        <w:t xml:space="preserve"> highly competitive U.S. market by re-acquainting American consumers with the Peugeot brand</w:t>
      </w:r>
      <w:r w:rsidR="0057699B">
        <w:t>.</w:t>
      </w:r>
      <w:r w:rsidRPr="00AE5814">
        <w:rPr>
          <w:rStyle w:val="EndnoteReference"/>
          <w:rFonts w:ascii="Times" w:hAnsi="Times"/>
          <w:color w:val="000000" w:themeColor="text1"/>
        </w:rPr>
        <w:endnoteReference w:id="66"/>
      </w:r>
      <w:r w:rsidRPr="00AE5814">
        <w:t xml:space="preserve"> </w:t>
      </w:r>
      <w:r w:rsidRPr="00410F68">
        <w:t>Yet</w:t>
      </w:r>
      <w:r w:rsidR="00C961C2">
        <w:t xml:space="preserve"> </w:t>
      </w:r>
      <w:r w:rsidRPr="00410F68">
        <w:t>it remained unclear how this exercise would help these companies to significantly penetrate the U.S. market.</w:t>
      </w:r>
    </w:p>
    <w:p w14:paraId="4654D208" w14:textId="77777777" w:rsidR="00606B63" w:rsidRPr="00410F68" w:rsidRDefault="00606B63" w:rsidP="007B429C">
      <w:pPr>
        <w:pStyle w:val="BodyTextMain"/>
        <w:rPr>
          <w:b/>
        </w:rPr>
      </w:pPr>
    </w:p>
    <w:p w14:paraId="3F0A4EE1" w14:textId="103ECCB8" w:rsidR="003202E6" w:rsidRDefault="00777CED" w:rsidP="007B429C">
      <w:pPr>
        <w:pStyle w:val="BodyTextMain"/>
        <w:rPr>
          <w:rFonts w:cs="Arial"/>
        </w:rPr>
      </w:pPr>
      <w:r w:rsidRPr="00AE5814">
        <w:t xml:space="preserve">According to Autoblog, “TravelCar is different from other car-sharing services such as ZipCar in that it rents out other people’s cars. It’s that detail that makes MAIF an interesting partner, as it provides insurance </w:t>
      </w:r>
      <w:r w:rsidRPr="00AE5814">
        <w:lastRenderedPageBreak/>
        <w:t xml:space="preserve">services </w:t>
      </w:r>
      <w:r>
        <w:t>in case those cars get munched</w:t>
      </w:r>
      <w:r w:rsidR="0034192C">
        <w:t xml:space="preserve">. . . . </w:t>
      </w:r>
      <w:r w:rsidRPr="00AE5814">
        <w:t>TravelCar says its car-rental rates are about half that of typical rental-car places</w:t>
      </w:r>
      <w:r w:rsidR="00317C90">
        <w:t>.”</w:t>
      </w:r>
      <w:r w:rsidRPr="00AE5814">
        <w:rPr>
          <w:rStyle w:val="EndnoteReference"/>
          <w:rFonts w:ascii="Times" w:hAnsi="Times"/>
          <w:color w:val="000000" w:themeColor="text1"/>
        </w:rPr>
        <w:endnoteReference w:id="67"/>
      </w:r>
      <w:r w:rsidRPr="00AE5814">
        <w:t xml:space="preserve"> Lisa Jerram, a principal research analyst for Navigant questioned PSA</w:t>
      </w:r>
      <w:r w:rsidR="00317C90">
        <w:t>’</w:t>
      </w:r>
      <w:r w:rsidRPr="00AE5814">
        <w:t>s strategy</w:t>
      </w:r>
      <w:r w:rsidR="0034192C">
        <w:t>.</w:t>
      </w:r>
      <w:r w:rsidRPr="00AE5814">
        <w:t xml:space="preserve"> </w:t>
      </w:r>
      <w:r w:rsidR="00317C90">
        <w:t>“</w:t>
      </w:r>
      <w:r w:rsidRPr="00AE5814">
        <w:t>The thing about car sharing i</w:t>
      </w:r>
      <w:r w:rsidRPr="00AE5814">
        <w:rPr>
          <w:rFonts w:cs="Arial"/>
        </w:rPr>
        <w:t>s that there are so many other models for how you can provide that service that I think have broader appeal,</w:t>
      </w:r>
      <w:r w:rsidR="00317C90">
        <w:rPr>
          <w:rFonts w:cs="Arial"/>
        </w:rPr>
        <w:t>”</w:t>
      </w:r>
      <w:r w:rsidRPr="00AE5814">
        <w:rPr>
          <w:rFonts w:cs="Arial"/>
        </w:rPr>
        <w:t xml:space="preserve"> she said. </w:t>
      </w:r>
      <w:r w:rsidR="0057699B">
        <w:rPr>
          <w:rFonts w:cs="Arial"/>
        </w:rPr>
        <w:t>“</w:t>
      </w:r>
      <w:r w:rsidRPr="00AE5814">
        <w:rPr>
          <w:rFonts w:cs="Arial"/>
        </w:rPr>
        <w:t>It</w:t>
      </w:r>
      <w:r w:rsidR="0057699B">
        <w:rPr>
          <w:rFonts w:cs="Arial"/>
        </w:rPr>
        <w:t>’</w:t>
      </w:r>
      <w:r w:rsidRPr="00AE5814">
        <w:rPr>
          <w:rFonts w:cs="Arial"/>
        </w:rPr>
        <w:t>s kind of a narrow group that A.) wants to share their car and B.) wants to get access to a car through something that</w:t>
      </w:r>
      <w:r w:rsidR="0057699B">
        <w:rPr>
          <w:rFonts w:cs="Arial"/>
        </w:rPr>
        <w:t>’</w:t>
      </w:r>
      <w:r w:rsidRPr="00AE5814">
        <w:rPr>
          <w:rFonts w:cs="Arial"/>
        </w:rPr>
        <w:t>s very ad hoc</w:t>
      </w:r>
      <w:r w:rsidR="00086E74">
        <w:rPr>
          <w:rFonts w:cs="Arial"/>
        </w:rPr>
        <w:t>.”</w:t>
      </w:r>
      <w:r w:rsidRPr="00AE5814">
        <w:rPr>
          <w:rStyle w:val="EndnoteReference"/>
          <w:rFonts w:ascii="Times" w:hAnsi="Times" w:cs="Arial"/>
          <w:color w:val="000000" w:themeColor="text1"/>
        </w:rPr>
        <w:endnoteReference w:id="68"/>
      </w:r>
      <w:r w:rsidRPr="00AE5814">
        <w:rPr>
          <w:rFonts w:cs="Arial"/>
        </w:rPr>
        <w:t xml:space="preserve"> </w:t>
      </w:r>
    </w:p>
    <w:p w14:paraId="0980DCA4" w14:textId="77777777" w:rsidR="003202E6" w:rsidRDefault="003202E6" w:rsidP="007B429C">
      <w:pPr>
        <w:pStyle w:val="BodyTextMain"/>
        <w:rPr>
          <w:rFonts w:cs="Arial"/>
        </w:rPr>
      </w:pPr>
    </w:p>
    <w:p w14:paraId="2F9D3D52" w14:textId="54407487" w:rsidR="00777CED" w:rsidRDefault="00777CED" w:rsidP="007B429C">
      <w:pPr>
        <w:pStyle w:val="BodyTextMain"/>
      </w:pPr>
      <w:r w:rsidRPr="00AE5814">
        <w:t>The story remained an interesting one si</w:t>
      </w:r>
      <w:r>
        <w:t>nce other car manufacturers had already</w:t>
      </w:r>
      <w:r w:rsidRPr="00AE5814">
        <w:t xml:space="preserve"> invested in car</w:t>
      </w:r>
      <w:r w:rsidR="00317C90">
        <w:t>-</w:t>
      </w:r>
      <w:r w:rsidRPr="00AE5814">
        <w:t xml:space="preserve">sharing services such as </w:t>
      </w:r>
      <w:r w:rsidRPr="000628C0">
        <w:t>DriveNow/ReachNow</w:t>
      </w:r>
      <w:r w:rsidRPr="00AE5814">
        <w:t xml:space="preserve"> (BMW) </w:t>
      </w:r>
      <w:r w:rsidR="00EE2653">
        <w:t>and</w:t>
      </w:r>
      <w:r w:rsidRPr="00AE5814">
        <w:t xml:space="preserve"> </w:t>
      </w:r>
      <w:r w:rsidRPr="000628C0">
        <w:t>car2go</w:t>
      </w:r>
      <w:r w:rsidRPr="00AE5814">
        <w:rPr>
          <w:i/>
        </w:rPr>
        <w:t xml:space="preserve"> </w:t>
      </w:r>
      <w:r w:rsidRPr="00AE5814">
        <w:t xml:space="preserve">(Daimler). </w:t>
      </w:r>
      <w:r>
        <w:t>Given that</w:t>
      </w:r>
      <w:r w:rsidRPr="00AE5814">
        <w:t xml:space="preserve"> </w:t>
      </w:r>
      <w:r>
        <w:t>the</w:t>
      </w:r>
      <w:r w:rsidRPr="00AE5814">
        <w:t xml:space="preserve"> re-introduction o</w:t>
      </w:r>
      <w:r>
        <w:t>f Fiat and Alfa Romeo</w:t>
      </w:r>
      <w:r w:rsidR="00D26DE1">
        <w:t xml:space="preserve"> Automobiles</w:t>
      </w:r>
      <w:r>
        <w:t xml:space="preserve"> in the U</w:t>
      </w:r>
      <w:r w:rsidR="00317C90">
        <w:t xml:space="preserve">nited States </w:t>
      </w:r>
      <w:r>
        <w:t>in 2016 (and later in 2017</w:t>
      </w:r>
      <w:r w:rsidR="003B2063">
        <w:t>,</w:t>
      </w:r>
      <w:r>
        <w:t xml:space="preserve"> the Giulia sedan) was yet to significantly </w:t>
      </w:r>
      <w:r w:rsidR="00317C90">
        <w:t xml:space="preserve">affect </w:t>
      </w:r>
      <w:r>
        <w:t>the market share of Audi and BMW, most likely</w:t>
      </w:r>
      <w:r w:rsidR="00317C90">
        <w:t>,</w:t>
      </w:r>
      <w:r>
        <w:t xml:space="preserve"> </w:t>
      </w:r>
      <w:r w:rsidR="00081DEC">
        <w:t>PSA</w:t>
      </w:r>
      <w:r>
        <w:t xml:space="preserve"> w</w:t>
      </w:r>
      <w:r w:rsidR="00317C90">
        <w:t xml:space="preserve">ould </w:t>
      </w:r>
      <w:r>
        <w:t>face the same challenges</w:t>
      </w:r>
      <w:r w:rsidRPr="00AE5814">
        <w:t>.</w:t>
      </w:r>
      <w:r w:rsidR="003B61DD">
        <w:t xml:space="preserve"> </w:t>
      </w:r>
      <w:r w:rsidRPr="00AE5814">
        <w:t>Having led Nissan</w:t>
      </w:r>
      <w:r w:rsidR="00317C90">
        <w:t>’</w:t>
      </w:r>
      <w:r w:rsidRPr="00AE5814">
        <w:t xml:space="preserve">s North American business, </w:t>
      </w:r>
      <w:r w:rsidR="003202E6">
        <w:t>did T</w:t>
      </w:r>
      <w:r>
        <w:t>avares kn</w:t>
      </w:r>
      <w:r w:rsidR="003202E6">
        <w:t>o</w:t>
      </w:r>
      <w:r>
        <w:t>w something about</w:t>
      </w:r>
      <w:r w:rsidRPr="00AE5814">
        <w:t xml:space="preserve"> </w:t>
      </w:r>
      <w:r>
        <w:t>how</w:t>
      </w:r>
      <w:r w:rsidRPr="00AE5814">
        <w:t xml:space="preserve"> t</w:t>
      </w:r>
      <w:r>
        <w:t xml:space="preserve">o gain share in the U.S. market that </w:t>
      </w:r>
      <w:r w:rsidR="003202E6">
        <w:t>others</w:t>
      </w:r>
      <w:r>
        <w:t xml:space="preserve"> did not?</w:t>
      </w:r>
    </w:p>
    <w:p w14:paraId="3E46400A" w14:textId="77777777" w:rsidR="00606B63" w:rsidRDefault="00606B63" w:rsidP="007B429C">
      <w:pPr>
        <w:pStyle w:val="BodyTextMain"/>
      </w:pPr>
    </w:p>
    <w:p w14:paraId="148316A8" w14:textId="77777777" w:rsidR="00A4208D" w:rsidRPr="00AE5814" w:rsidRDefault="00A4208D" w:rsidP="007B429C">
      <w:pPr>
        <w:pStyle w:val="BodyTextMain"/>
      </w:pPr>
    </w:p>
    <w:p w14:paraId="0408E0AF" w14:textId="6DD0E5E6" w:rsidR="00777CED" w:rsidRDefault="00777CED" w:rsidP="007B429C">
      <w:pPr>
        <w:pStyle w:val="Casehead1"/>
        <w:outlineLvl w:val="0"/>
      </w:pPr>
      <w:r w:rsidRPr="00D94E90">
        <w:t xml:space="preserve">The road ahead: </w:t>
      </w:r>
      <w:r w:rsidR="00A04115">
        <w:t>opel-</w:t>
      </w:r>
      <w:r w:rsidRPr="00D94E90">
        <w:t>Vauxhall</w:t>
      </w:r>
      <w:r w:rsidR="00A04115">
        <w:t xml:space="preserve"> </w:t>
      </w:r>
      <w:r w:rsidRPr="00D94E90">
        <w:t xml:space="preserve">acquisition </w:t>
      </w:r>
    </w:p>
    <w:p w14:paraId="63A04F25" w14:textId="77777777" w:rsidR="00606B63" w:rsidRPr="00D94E90" w:rsidRDefault="00606B63" w:rsidP="007B429C">
      <w:pPr>
        <w:pStyle w:val="BodyTextMain"/>
      </w:pPr>
    </w:p>
    <w:p w14:paraId="180939C7" w14:textId="2AC84A9A" w:rsidR="00146C10" w:rsidRDefault="00777CED" w:rsidP="007B429C">
      <w:pPr>
        <w:pStyle w:val="BodyTextMain"/>
        <w:rPr>
          <w:shd w:val="clear" w:color="auto" w:fill="FFFFFF"/>
        </w:rPr>
      </w:pPr>
      <w:r w:rsidRPr="00D94E90">
        <w:t>I</w:t>
      </w:r>
      <w:r>
        <w:t>n 2017</w:t>
      </w:r>
      <w:r w:rsidRPr="00D94E90">
        <w:t>, Tavares</w:t>
      </w:r>
      <w:r w:rsidR="004974E6">
        <w:t xml:space="preserve">’s </w:t>
      </w:r>
      <w:r w:rsidRPr="00D94E90">
        <w:t xml:space="preserve">goal to rapidly grow PSA </w:t>
      </w:r>
      <w:r w:rsidR="003202E6">
        <w:t xml:space="preserve">began to </w:t>
      </w:r>
      <w:r w:rsidR="004974E6">
        <w:t>materialize</w:t>
      </w:r>
      <w:r w:rsidRPr="00D94E90">
        <w:t xml:space="preserve">. Most notable perhaps was the decision to acquire the Opel-Vauxhall brand from </w:t>
      </w:r>
      <w:r>
        <w:t>GM</w:t>
      </w:r>
      <w:r w:rsidRPr="00D94E90">
        <w:t>. The acquisition was immediately viewed as a good opportunity for PSA to expand and re-enter the U.S. market under a more recogni</w:t>
      </w:r>
      <w:r w:rsidR="00A4208D">
        <w:t>z</w:t>
      </w:r>
      <w:r w:rsidRPr="00D94E90">
        <w:t>able and trustworthy brand name</w:t>
      </w:r>
      <w:r>
        <w:t xml:space="preserve"> and </w:t>
      </w:r>
      <w:r w:rsidRPr="007B429C">
        <w:t>to “release substantial synergies and improve PSA’s market position in Europe where the company continuously lost market share since 2010</w:t>
      </w:r>
      <w:r w:rsidR="00EE2653" w:rsidRPr="007B429C">
        <w:t>.</w:t>
      </w:r>
      <w:r w:rsidRPr="007B429C">
        <w:t>”</w:t>
      </w:r>
      <w:r w:rsidR="00146C10" w:rsidRPr="007B429C">
        <w:t xml:space="preserve"> O</w:t>
      </w:r>
      <w:r w:rsidR="009279AE" w:rsidRPr="007B429C">
        <w:t>thers</w:t>
      </w:r>
      <w:r w:rsidR="00146C10" w:rsidRPr="007B429C">
        <w:t xml:space="preserve"> cautioned that </w:t>
      </w:r>
      <w:r w:rsidR="009279AE" w:rsidRPr="007B429C">
        <w:t xml:space="preserve">while </w:t>
      </w:r>
      <w:r w:rsidR="00146C10" w:rsidRPr="007B429C">
        <w:t>“the acquisition would</w:t>
      </w:r>
      <w:r w:rsidR="00146C10" w:rsidRPr="0046377D">
        <w:rPr>
          <w:shd w:val="clear" w:color="auto" w:fill="FFFFFF"/>
        </w:rPr>
        <w:t xml:space="preserve"> </w:t>
      </w:r>
      <w:r w:rsidR="00146C10" w:rsidRPr="007B429C">
        <w:t>increase further PSA’s reliance on the European market to more than two thirds of group sales from 61 per cent in 2016, diversification within Europe would increase as Opel is strong in markets where PSA is not</w:t>
      </w:r>
      <w:r w:rsidR="00B074BC" w:rsidRPr="007B429C">
        <w:t>;</w:t>
      </w:r>
      <w:r w:rsidR="00146C10" w:rsidRPr="007B429C">
        <w:t xml:space="preserve"> i.e.</w:t>
      </w:r>
      <w:r w:rsidR="00B074BC" w:rsidRPr="007B429C">
        <w:t>,</w:t>
      </w:r>
      <w:r w:rsidR="00A112F2">
        <w:t xml:space="preserve"> Germany and the Un</w:t>
      </w:r>
      <w:bookmarkStart w:id="0" w:name="_GoBack"/>
      <w:bookmarkEnd w:id="0"/>
      <w:r w:rsidR="00A112F2">
        <w:t>ited Kingdom</w:t>
      </w:r>
      <w:r w:rsidR="00146C10" w:rsidRPr="007B429C">
        <w:t>.”</w:t>
      </w:r>
      <w:r w:rsidR="00026D64" w:rsidRPr="007B429C">
        <w:rPr>
          <w:rStyle w:val="EndnoteReference"/>
        </w:rPr>
        <w:endnoteReference w:id="69"/>
      </w:r>
      <w:r>
        <w:rPr>
          <w:shd w:val="clear" w:color="auto" w:fill="FFFFFF"/>
        </w:rPr>
        <w:t xml:space="preserve"> </w:t>
      </w:r>
    </w:p>
    <w:p w14:paraId="34FA3A05" w14:textId="4DC8D46D" w:rsidR="00307807" w:rsidRDefault="00307807" w:rsidP="007B429C">
      <w:pPr>
        <w:pStyle w:val="BodyTextMain"/>
        <w:rPr>
          <w:shd w:val="clear" w:color="auto" w:fill="FFFFFF"/>
        </w:rPr>
      </w:pPr>
    </w:p>
    <w:p w14:paraId="7E90AA87" w14:textId="5676B077" w:rsidR="00777CED" w:rsidRDefault="00777CED" w:rsidP="007B429C">
      <w:pPr>
        <w:pStyle w:val="BodyTextMain"/>
      </w:pPr>
      <w:r w:rsidRPr="0046377D">
        <w:t>Unlike French ca</w:t>
      </w:r>
      <w:r>
        <w:t>rs</w:t>
      </w:r>
      <w:r w:rsidR="0057699B">
        <w:t>,</w:t>
      </w:r>
      <w:r>
        <w:t xml:space="preserve"> which had been mostly </w:t>
      </w:r>
      <w:r w:rsidRPr="0046377D">
        <w:t>unsuccessful in the U</w:t>
      </w:r>
      <w:r w:rsidR="0057699B">
        <w:t>nited States—except for</w:t>
      </w:r>
      <w:r w:rsidRPr="0046377D">
        <w:t xml:space="preserve"> </w:t>
      </w:r>
      <w:r w:rsidRPr="0046377D">
        <w:rPr>
          <w:rFonts w:cs="Arial"/>
        </w:rPr>
        <w:t xml:space="preserve">Renault’s success with the Dauphine model in the </w:t>
      </w:r>
      <w:r w:rsidR="004974E6">
        <w:rPr>
          <w:rFonts w:cs="Arial"/>
        </w:rPr>
        <w:t>19</w:t>
      </w:r>
      <w:r w:rsidRPr="0046377D">
        <w:rPr>
          <w:rFonts w:cs="Arial"/>
        </w:rPr>
        <w:t xml:space="preserve">60s and later with Renault Alliance in the </w:t>
      </w:r>
      <w:r w:rsidR="00307807">
        <w:rPr>
          <w:rFonts w:cs="Arial"/>
        </w:rPr>
        <w:t>19</w:t>
      </w:r>
      <w:r w:rsidRPr="0046377D">
        <w:rPr>
          <w:rFonts w:cs="Arial"/>
        </w:rPr>
        <w:t>80s</w:t>
      </w:r>
      <w:r w:rsidR="0057699B">
        <w:t>—</w:t>
      </w:r>
      <w:r w:rsidRPr="0046377D">
        <w:t>German car manufacturers ha</w:t>
      </w:r>
      <w:r>
        <w:t>d</w:t>
      </w:r>
      <w:r w:rsidRPr="0046377D">
        <w:t xml:space="preserve"> </w:t>
      </w:r>
      <w:r w:rsidR="00351067">
        <w:t xml:space="preserve">had </w:t>
      </w:r>
      <w:r w:rsidRPr="0046377D">
        <w:t xml:space="preserve">a smoother ride </w:t>
      </w:r>
      <w:r w:rsidR="00351067">
        <w:t>i</w:t>
      </w:r>
      <w:r w:rsidRPr="0046377D">
        <w:t>n the U.S. automotive market.</w:t>
      </w:r>
      <w:r w:rsidRPr="0046377D">
        <w:rPr>
          <w:rStyle w:val="EndnoteReference"/>
          <w:rFonts w:ascii="Times" w:hAnsi="Times"/>
          <w:color w:val="000000" w:themeColor="text1"/>
        </w:rPr>
        <w:endnoteReference w:id="70"/>
      </w:r>
      <w:r w:rsidRPr="0046377D">
        <w:t xml:space="preserve"> Given the</w:t>
      </w:r>
      <w:r w:rsidR="00351067">
        <w:t>se</w:t>
      </w:r>
      <w:r w:rsidRPr="0046377D">
        <w:t xml:space="preserve"> circumsta</w:t>
      </w:r>
      <w:r w:rsidR="00351067">
        <w:t>nces</w:t>
      </w:r>
      <w:r w:rsidRPr="0046377D">
        <w:t xml:space="preserve">, what should a company </w:t>
      </w:r>
      <w:r w:rsidR="00351067">
        <w:t xml:space="preserve">such as </w:t>
      </w:r>
      <w:r w:rsidRPr="0046377D">
        <w:t>PSA do next? Should</w:t>
      </w:r>
      <w:r w:rsidR="00351067">
        <w:t xml:space="preserve"> it </w:t>
      </w:r>
      <w:r w:rsidRPr="0046377D">
        <w:t>re-enter the U.S. market? With the exception of Tesla, it was hard to think of a brand introduced to the U</w:t>
      </w:r>
      <w:r w:rsidR="00351067">
        <w:t>nited States</w:t>
      </w:r>
      <w:r w:rsidRPr="0046377D">
        <w:t xml:space="preserve"> without the support of a nationwide distribution network. In 2017, PSA had no dealerships in the U</w:t>
      </w:r>
      <w:r w:rsidR="00307807">
        <w:t xml:space="preserve">nited States </w:t>
      </w:r>
      <w:r w:rsidRPr="0046377D">
        <w:t xml:space="preserve">and neither did Opel. </w:t>
      </w:r>
      <w:r w:rsidR="00307807">
        <w:t>If</w:t>
      </w:r>
      <w:r w:rsidRPr="0046377D">
        <w:t xml:space="preserve"> re-entry was </w:t>
      </w:r>
      <w:r w:rsidR="00307807">
        <w:t>i</w:t>
      </w:r>
      <w:r w:rsidRPr="0046377D">
        <w:t>n the cards</w:t>
      </w:r>
      <w:r w:rsidR="00307807">
        <w:t xml:space="preserve">, </w:t>
      </w:r>
      <w:r w:rsidRPr="0046377D">
        <w:t>how and when should PSA re-enter</w:t>
      </w:r>
      <w:r>
        <w:t>? Would it</w:t>
      </w:r>
      <w:r w:rsidRPr="0046377D">
        <w:t xml:space="preserve"> </w:t>
      </w:r>
      <w:r>
        <w:t>be enough</w:t>
      </w:r>
      <w:r w:rsidRPr="0046377D">
        <w:t xml:space="preserve"> to make a </w:t>
      </w:r>
      <w:r w:rsidRPr="000628C0">
        <w:t>progressive</w:t>
      </w:r>
      <w:r w:rsidRPr="00351067">
        <w:t xml:space="preserve"> </w:t>
      </w:r>
      <w:r w:rsidRPr="0046377D">
        <w:t xml:space="preserve">U.S. re-entry? PSA’s plan to roll out the car-sharing service </w:t>
      </w:r>
      <w:r>
        <w:t>would</w:t>
      </w:r>
      <w:r w:rsidRPr="0046377D">
        <w:t xml:space="preserve"> fare better if not for the waves of start-ups trying to compete</w:t>
      </w:r>
      <w:r>
        <w:t xml:space="preserve"> with Uber and Lyft in the U</w:t>
      </w:r>
      <w:r w:rsidR="00351067">
        <w:t xml:space="preserve">nited States. </w:t>
      </w:r>
      <w:r>
        <w:t>Could</w:t>
      </w:r>
      <w:r w:rsidRPr="0046377D">
        <w:t xml:space="preserve"> PSA find </w:t>
      </w:r>
      <w:r w:rsidR="00307807">
        <w:t>its</w:t>
      </w:r>
      <w:r w:rsidRPr="0046377D">
        <w:t xml:space="preserve"> niche in the U.S. market to achieve some moderate success?</w:t>
      </w:r>
    </w:p>
    <w:p w14:paraId="3BF1CF2E" w14:textId="23C2CC9A" w:rsidR="00AC24B6" w:rsidRDefault="00AC24B6" w:rsidP="007B429C">
      <w:pPr>
        <w:pStyle w:val="BodyTextMain"/>
      </w:pPr>
    </w:p>
    <w:p w14:paraId="46A5EAE2" w14:textId="032FF003" w:rsidR="00AC24B6" w:rsidRPr="00AC35AA" w:rsidRDefault="00AC24B6" w:rsidP="007B429C">
      <w:pPr>
        <w:pStyle w:val="BodyTextMain"/>
        <w:rPr>
          <w:b/>
        </w:rPr>
      </w:pPr>
      <w:r w:rsidRPr="00AC24B6">
        <w:rPr>
          <w:b/>
          <w:noProof/>
          <w:lang w:eastAsia="en-GB"/>
        </w:rPr>
        <mc:AlternateContent>
          <mc:Choice Requires="wps">
            <w:drawing>
              <wp:anchor distT="45720" distB="45720" distL="114300" distR="114300" simplePos="0" relativeHeight="251659264" behindDoc="0" locked="0" layoutInCell="1" allowOverlap="1" wp14:anchorId="6A1CA46C" wp14:editId="746CC802">
                <wp:simplePos x="0" y="0"/>
                <wp:positionH relativeFrom="margin">
                  <wp:align>center</wp:align>
                </wp:positionH>
                <wp:positionV relativeFrom="paragraph">
                  <wp:posOffset>6774</wp:posOffset>
                </wp:positionV>
                <wp:extent cx="5032375"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375" cy="1404620"/>
                        </a:xfrm>
                        <a:prstGeom prst="rect">
                          <a:avLst/>
                        </a:prstGeom>
                        <a:solidFill>
                          <a:srgbClr val="FFFFFF"/>
                        </a:solidFill>
                        <a:ln w="9525">
                          <a:solidFill>
                            <a:srgbClr val="000000"/>
                          </a:solidFill>
                          <a:miter lim="800000"/>
                          <a:headEnd/>
                          <a:tailEnd/>
                        </a:ln>
                      </wps:spPr>
                      <wps:txbx>
                        <w:txbxContent>
                          <w:p w14:paraId="05447A7A" w14:textId="4698A430" w:rsidR="00AC24B6" w:rsidRDefault="00AC24B6" w:rsidP="00AC24B6">
                            <w:pPr>
                              <w:pStyle w:val="Footnote"/>
                            </w:pPr>
                            <w:r>
                              <w:t>Irina Surdu is a Lecturer in International Business and Strategy at Henley Business School, University of Reading, United Kingdom where she undertakes research in the area of international business focusing on the market re-entry strategies of multinational firms. Kamel Mellahi is a Professor of strategic management at Warwick Business School, University of Warwick, United Kingdom where he researches and teaches in the areas of international business strategy and strategic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1CA46C" id="_x0000_t202" coordsize="21600,21600" o:spt="202" path="m,l,21600r21600,l21600,xe">
                <v:stroke joinstyle="miter"/>
                <v:path gradientshapeok="t" o:connecttype="rect"/>
              </v:shapetype>
              <v:shape id="Text Box 2" o:spid="_x0000_s1026" type="#_x0000_t202" style="position:absolute;left:0;text-align:left;margin-left:0;margin-top:.55pt;width:396.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nHJQ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">
                <v:textbox style="mso-fit-shape-to-text:t">
                  <w:txbxContent>
                    <w:p w14:paraId="05447A7A" w14:textId="4698A430" w:rsidR="00AC24B6" w:rsidRDefault="00AC24B6" w:rsidP="00AC24B6">
                      <w:pPr>
                        <w:pStyle w:val="Footnote"/>
                      </w:pPr>
                      <w:r>
                        <w:t>Irina Surdu is a Lecturer in International Business and Strategy at Henley Business School, University of Reading, United Kingdom where she undertakes research in the area of international business focusing on the market re-entry strategies of multinational firms. Kamel Mellahi is a Professor of strategic management at Warwick Business School, University of Warwick, United Kingdom where he researches and teaches in the areas of international business strategy and strategic management.</w:t>
                      </w:r>
                    </w:p>
                  </w:txbxContent>
                </v:textbox>
                <w10:wrap type="square" anchorx="margin"/>
              </v:shape>
            </w:pict>
          </mc:Fallback>
        </mc:AlternateContent>
      </w:r>
    </w:p>
    <w:p w14:paraId="0EEAFFA5" w14:textId="3295DAF9" w:rsidR="00606B63" w:rsidRDefault="00606B63" w:rsidP="007B429C">
      <w:pPr>
        <w:pStyle w:val="BodyTextMain"/>
        <w:rPr>
          <w:lang w:eastAsia="en-GB"/>
        </w:rPr>
      </w:pPr>
      <w:r>
        <w:br w:type="page"/>
      </w:r>
    </w:p>
    <w:p w14:paraId="685E277E" w14:textId="551BB50C" w:rsidR="00606B63" w:rsidRDefault="00606B63" w:rsidP="007B429C">
      <w:pPr>
        <w:pStyle w:val="ExhibitHeading"/>
        <w:outlineLvl w:val="0"/>
      </w:pPr>
      <w:r w:rsidRPr="00875EA1">
        <w:lastRenderedPageBreak/>
        <w:t>Exhibit 1: Selected automaker global sales 2014</w:t>
      </w:r>
      <w:r w:rsidR="0057699B">
        <w:t>–</w:t>
      </w:r>
      <w:r w:rsidRPr="00875EA1">
        <w:t>2016, by manufacturer</w:t>
      </w:r>
    </w:p>
    <w:p w14:paraId="7F1E02B5" w14:textId="77777777" w:rsidR="00A361E2" w:rsidRPr="00875EA1" w:rsidRDefault="00A361E2" w:rsidP="007B429C">
      <w:pPr>
        <w:pStyle w:val="ExhibitText"/>
      </w:pPr>
    </w:p>
    <w:tbl>
      <w:tblPr>
        <w:tblStyle w:val="TableGrid"/>
        <w:tblpPr w:leftFromText="180" w:rightFromText="180" w:vertAnchor="text" w:horzAnchor="margin" w:tblpXSpec="center" w:tblpY="37"/>
        <w:tblW w:w="5000" w:type="pct"/>
        <w:jc w:val="center"/>
        <w:tblLook w:val="04A0" w:firstRow="1" w:lastRow="0" w:firstColumn="1" w:lastColumn="0" w:noHBand="0" w:noVBand="1"/>
      </w:tblPr>
      <w:tblGrid>
        <w:gridCol w:w="2972"/>
        <w:gridCol w:w="2072"/>
        <w:gridCol w:w="2153"/>
        <w:gridCol w:w="2153"/>
      </w:tblGrid>
      <w:tr w:rsidR="00BB5C7B" w:rsidRPr="00BB5C7B" w14:paraId="7C10D071" w14:textId="77777777" w:rsidTr="003D731E">
        <w:trPr>
          <w:trHeight w:val="445"/>
          <w:jc w:val="center"/>
        </w:trPr>
        <w:tc>
          <w:tcPr>
            <w:tcW w:w="2972" w:type="dxa"/>
            <w:tcBorders>
              <w:bottom w:val="triple" w:sz="4" w:space="0" w:color="auto"/>
            </w:tcBorders>
            <w:vAlign w:val="center"/>
          </w:tcPr>
          <w:p w14:paraId="285C5E3A" w14:textId="77777777" w:rsidR="00BB5C7B" w:rsidRPr="00BB5C7B" w:rsidRDefault="00BB5C7B" w:rsidP="007B429C">
            <w:pPr>
              <w:pStyle w:val="ExhibitText"/>
              <w:spacing w:before="40" w:after="40"/>
              <w:jc w:val="center"/>
              <w:rPr>
                <w:b/>
              </w:rPr>
            </w:pPr>
            <w:r w:rsidRPr="00BB5C7B">
              <w:rPr>
                <w:b/>
              </w:rPr>
              <w:t>Company</w:t>
            </w:r>
          </w:p>
        </w:tc>
        <w:tc>
          <w:tcPr>
            <w:tcW w:w="2072" w:type="dxa"/>
            <w:tcBorders>
              <w:bottom w:val="triple" w:sz="4" w:space="0" w:color="auto"/>
            </w:tcBorders>
            <w:vAlign w:val="center"/>
          </w:tcPr>
          <w:p w14:paraId="2327BD59" w14:textId="4CFF11B6" w:rsidR="00BB5C7B" w:rsidRPr="00BB5C7B" w:rsidRDefault="00BB5C7B" w:rsidP="007B429C">
            <w:pPr>
              <w:pStyle w:val="ExhibitText"/>
              <w:spacing w:before="40" w:after="40"/>
              <w:jc w:val="center"/>
              <w:rPr>
                <w:b/>
              </w:rPr>
            </w:pPr>
            <w:r w:rsidRPr="00BB5C7B">
              <w:rPr>
                <w:b/>
              </w:rPr>
              <w:t>Sales in 2014 (units)</w:t>
            </w:r>
          </w:p>
        </w:tc>
        <w:tc>
          <w:tcPr>
            <w:tcW w:w="2153" w:type="dxa"/>
            <w:tcBorders>
              <w:bottom w:val="triple" w:sz="4" w:space="0" w:color="auto"/>
            </w:tcBorders>
            <w:vAlign w:val="center"/>
          </w:tcPr>
          <w:p w14:paraId="2F424493" w14:textId="1A20AA2F" w:rsidR="00BB5C7B" w:rsidRPr="00BB5C7B" w:rsidRDefault="00BB5C7B" w:rsidP="007B429C">
            <w:pPr>
              <w:pStyle w:val="ExhibitText"/>
              <w:spacing w:before="40" w:after="40"/>
              <w:jc w:val="center"/>
              <w:rPr>
                <w:b/>
              </w:rPr>
            </w:pPr>
            <w:r w:rsidRPr="00BB5C7B">
              <w:rPr>
                <w:b/>
              </w:rPr>
              <w:t>Sales in 2015 (units)</w:t>
            </w:r>
          </w:p>
        </w:tc>
        <w:tc>
          <w:tcPr>
            <w:tcW w:w="2153" w:type="dxa"/>
            <w:tcBorders>
              <w:bottom w:val="triple" w:sz="4" w:space="0" w:color="auto"/>
            </w:tcBorders>
            <w:vAlign w:val="center"/>
          </w:tcPr>
          <w:p w14:paraId="7A97AE0F" w14:textId="01FBADAC" w:rsidR="00BB5C7B" w:rsidRPr="00BB5C7B" w:rsidRDefault="00BB5C7B" w:rsidP="007B429C">
            <w:pPr>
              <w:pStyle w:val="ExhibitText"/>
              <w:spacing w:before="40" w:after="40"/>
              <w:jc w:val="center"/>
              <w:rPr>
                <w:b/>
              </w:rPr>
            </w:pPr>
            <w:r w:rsidRPr="00BB5C7B">
              <w:rPr>
                <w:b/>
              </w:rPr>
              <w:t>Sales in 2016 (units)</w:t>
            </w:r>
          </w:p>
        </w:tc>
      </w:tr>
      <w:tr w:rsidR="00BB5C7B" w:rsidRPr="00BB5C7B" w14:paraId="2238D2D9" w14:textId="77777777" w:rsidTr="003D731E">
        <w:trPr>
          <w:trHeight w:val="487"/>
          <w:jc w:val="center"/>
        </w:trPr>
        <w:tc>
          <w:tcPr>
            <w:tcW w:w="2972" w:type="dxa"/>
            <w:tcBorders>
              <w:top w:val="triple" w:sz="4" w:space="0" w:color="auto"/>
              <w:left w:val="triple" w:sz="4" w:space="0" w:color="auto"/>
            </w:tcBorders>
            <w:vAlign w:val="center"/>
          </w:tcPr>
          <w:p w14:paraId="2C1983E6" w14:textId="77777777" w:rsidR="00BB5C7B" w:rsidRPr="00BB5C7B" w:rsidRDefault="00BB5C7B" w:rsidP="007B429C">
            <w:pPr>
              <w:pStyle w:val="ExhibitText"/>
              <w:jc w:val="left"/>
            </w:pPr>
            <w:r w:rsidRPr="00BB5C7B">
              <w:t>Toyota Motor Corporation</w:t>
            </w:r>
          </w:p>
        </w:tc>
        <w:tc>
          <w:tcPr>
            <w:tcW w:w="2072" w:type="dxa"/>
            <w:tcBorders>
              <w:top w:val="triple" w:sz="4" w:space="0" w:color="auto"/>
            </w:tcBorders>
            <w:vAlign w:val="center"/>
          </w:tcPr>
          <w:p w14:paraId="45C49496" w14:textId="705747C9" w:rsidR="00BB5C7B" w:rsidRPr="00BB5C7B" w:rsidRDefault="00BB5C7B" w:rsidP="007B429C">
            <w:pPr>
              <w:pStyle w:val="ExhibitText"/>
              <w:jc w:val="right"/>
            </w:pPr>
            <w:r w:rsidRPr="00BB5C7B">
              <w:t>10,285,546</w:t>
            </w:r>
          </w:p>
        </w:tc>
        <w:tc>
          <w:tcPr>
            <w:tcW w:w="2153" w:type="dxa"/>
            <w:tcBorders>
              <w:top w:val="triple" w:sz="4" w:space="0" w:color="auto"/>
            </w:tcBorders>
            <w:vAlign w:val="center"/>
          </w:tcPr>
          <w:p w14:paraId="66E1FA04" w14:textId="722D90A8" w:rsidR="00BB5C7B" w:rsidRPr="00BB5C7B" w:rsidRDefault="00BB5C7B" w:rsidP="007B429C">
            <w:pPr>
              <w:pStyle w:val="ExhibitText"/>
              <w:jc w:val="right"/>
            </w:pPr>
            <w:r w:rsidRPr="00BB5C7B">
              <w:t xml:space="preserve">10,083,783   </w:t>
            </w:r>
            <w:r w:rsidRPr="00BB5C7B">
              <w:sym w:font="Symbol" w:char="F0AF"/>
            </w:r>
          </w:p>
        </w:tc>
        <w:tc>
          <w:tcPr>
            <w:tcW w:w="2153" w:type="dxa"/>
            <w:tcBorders>
              <w:top w:val="triple" w:sz="4" w:space="0" w:color="auto"/>
              <w:right w:val="triple" w:sz="4" w:space="0" w:color="auto"/>
            </w:tcBorders>
            <w:vAlign w:val="center"/>
          </w:tcPr>
          <w:p w14:paraId="69E5EA57" w14:textId="1C4D91E0" w:rsidR="00BB5C7B" w:rsidRPr="00BB5C7B" w:rsidRDefault="00BB5C7B" w:rsidP="007B429C">
            <w:pPr>
              <w:pStyle w:val="ExhibitText"/>
              <w:jc w:val="right"/>
            </w:pPr>
            <w:r w:rsidRPr="00BB5C7B">
              <w:t xml:space="preserve">10,366,000   </w:t>
            </w:r>
            <w:r w:rsidRPr="00BB5C7B">
              <w:sym w:font="Symbol" w:char="F0AD"/>
            </w:r>
          </w:p>
        </w:tc>
      </w:tr>
      <w:tr w:rsidR="00BB5C7B" w:rsidRPr="00BB5C7B" w14:paraId="03437AB1" w14:textId="77777777" w:rsidTr="003D731E">
        <w:trPr>
          <w:trHeight w:val="427"/>
          <w:jc w:val="center"/>
        </w:trPr>
        <w:tc>
          <w:tcPr>
            <w:tcW w:w="2972" w:type="dxa"/>
            <w:tcBorders>
              <w:left w:val="triple" w:sz="4" w:space="0" w:color="auto"/>
            </w:tcBorders>
            <w:vAlign w:val="center"/>
          </w:tcPr>
          <w:p w14:paraId="78FD8BBF" w14:textId="77777777" w:rsidR="00BB5C7B" w:rsidRPr="00BB5C7B" w:rsidRDefault="00BB5C7B" w:rsidP="007B429C">
            <w:pPr>
              <w:pStyle w:val="ExhibitText"/>
              <w:jc w:val="left"/>
            </w:pPr>
            <w:r w:rsidRPr="00BB5C7B">
              <w:t>Volkswagen Group</w:t>
            </w:r>
          </w:p>
        </w:tc>
        <w:tc>
          <w:tcPr>
            <w:tcW w:w="2072" w:type="dxa"/>
            <w:vAlign w:val="center"/>
          </w:tcPr>
          <w:p w14:paraId="08C434E9" w14:textId="5F69CD99" w:rsidR="00BB5C7B" w:rsidRPr="00BB5C7B" w:rsidRDefault="00BB5C7B" w:rsidP="007B429C">
            <w:pPr>
              <w:pStyle w:val="ExhibitText"/>
              <w:jc w:val="right"/>
            </w:pPr>
            <w:r w:rsidRPr="00BB5C7B">
              <w:t>10,137,400</w:t>
            </w:r>
          </w:p>
        </w:tc>
        <w:tc>
          <w:tcPr>
            <w:tcW w:w="2153" w:type="dxa"/>
            <w:vAlign w:val="center"/>
          </w:tcPr>
          <w:p w14:paraId="146A7920" w14:textId="59137717" w:rsidR="00BB5C7B" w:rsidRPr="00BB5C7B" w:rsidRDefault="00BB5C7B" w:rsidP="007B429C">
            <w:pPr>
              <w:pStyle w:val="ExhibitText"/>
              <w:jc w:val="right"/>
            </w:pPr>
            <w:r w:rsidRPr="00BB5C7B">
              <w:t xml:space="preserve">9,872,424   </w:t>
            </w:r>
            <w:r w:rsidRPr="00BB5C7B">
              <w:sym w:font="Symbol" w:char="F0AF"/>
            </w:r>
          </w:p>
        </w:tc>
        <w:tc>
          <w:tcPr>
            <w:tcW w:w="2153" w:type="dxa"/>
            <w:tcBorders>
              <w:right w:val="triple" w:sz="4" w:space="0" w:color="auto"/>
            </w:tcBorders>
            <w:vAlign w:val="center"/>
          </w:tcPr>
          <w:p w14:paraId="31E71214" w14:textId="06415BC6" w:rsidR="00BB5C7B" w:rsidRPr="00BB5C7B" w:rsidRDefault="00BB5C7B" w:rsidP="007B429C">
            <w:pPr>
              <w:pStyle w:val="ExhibitText"/>
              <w:jc w:val="right"/>
            </w:pPr>
            <w:r w:rsidRPr="00BB5C7B">
              <w:t xml:space="preserve">10,312.400   </w:t>
            </w:r>
            <w:r w:rsidRPr="00BB5C7B">
              <w:sym w:font="Symbol" w:char="F0AD"/>
            </w:r>
          </w:p>
        </w:tc>
      </w:tr>
      <w:tr w:rsidR="00BB5C7B" w:rsidRPr="00BB5C7B" w14:paraId="1E2B54F5" w14:textId="77777777" w:rsidTr="003D731E">
        <w:trPr>
          <w:trHeight w:val="445"/>
          <w:jc w:val="center"/>
        </w:trPr>
        <w:tc>
          <w:tcPr>
            <w:tcW w:w="2972" w:type="dxa"/>
            <w:tcBorders>
              <w:left w:val="triple" w:sz="4" w:space="0" w:color="auto"/>
              <w:bottom w:val="triple" w:sz="4" w:space="0" w:color="auto"/>
            </w:tcBorders>
            <w:vAlign w:val="center"/>
          </w:tcPr>
          <w:p w14:paraId="4EC68A6D" w14:textId="77777777" w:rsidR="00BB5C7B" w:rsidRPr="00BB5C7B" w:rsidRDefault="00BB5C7B" w:rsidP="007B429C">
            <w:pPr>
              <w:pStyle w:val="ExhibitText"/>
              <w:jc w:val="left"/>
            </w:pPr>
            <w:r w:rsidRPr="00BB5C7B">
              <w:t>General Motors Company</w:t>
            </w:r>
          </w:p>
        </w:tc>
        <w:tc>
          <w:tcPr>
            <w:tcW w:w="2072" w:type="dxa"/>
            <w:tcBorders>
              <w:bottom w:val="triple" w:sz="4" w:space="0" w:color="auto"/>
            </w:tcBorders>
            <w:vAlign w:val="center"/>
          </w:tcPr>
          <w:p w14:paraId="14C156C2" w14:textId="79014FDA" w:rsidR="00BB5C7B" w:rsidRPr="00BB5C7B" w:rsidRDefault="00BB5C7B" w:rsidP="007B429C">
            <w:pPr>
              <w:pStyle w:val="ExhibitText"/>
              <w:jc w:val="right"/>
            </w:pPr>
            <w:r w:rsidRPr="00BB5C7B">
              <w:t>9,924,880</w:t>
            </w:r>
          </w:p>
        </w:tc>
        <w:tc>
          <w:tcPr>
            <w:tcW w:w="2153" w:type="dxa"/>
            <w:tcBorders>
              <w:bottom w:val="triple" w:sz="4" w:space="0" w:color="auto"/>
            </w:tcBorders>
            <w:vAlign w:val="center"/>
          </w:tcPr>
          <w:p w14:paraId="71D52AE4" w14:textId="5ACC8326" w:rsidR="00BB5C7B" w:rsidRPr="00BB5C7B" w:rsidRDefault="00BB5C7B" w:rsidP="007B429C">
            <w:pPr>
              <w:pStyle w:val="ExhibitText"/>
              <w:jc w:val="right"/>
            </w:pPr>
            <w:r w:rsidRPr="00BB5C7B">
              <w:t xml:space="preserve">9,800,000   </w:t>
            </w:r>
            <w:r w:rsidRPr="00BB5C7B">
              <w:sym w:font="Symbol" w:char="F0AF"/>
            </w:r>
          </w:p>
        </w:tc>
        <w:tc>
          <w:tcPr>
            <w:tcW w:w="2153" w:type="dxa"/>
            <w:tcBorders>
              <w:bottom w:val="triple" w:sz="4" w:space="0" w:color="auto"/>
              <w:right w:val="triple" w:sz="4" w:space="0" w:color="auto"/>
            </w:tcBorders>
            <w:vAlign w:val="center"/>
          </w:tcPr>
          <w:p w14:paraId="31B9654C" w14:textId="53B56AF5" w:rsidR="00BB5C7B" w:rsidRPr="00BB5C7B" w:rsidRDefault="00BB5C7B" w:rsidP="007B429C">
            <w:pPr>
              <w:pStyle w:val="ExhibitText"/>
              <w:jc w:val="right"/>
            </w:pPr>
            <w:r w:rsidRPr="00BB5C7B">
              <w:t xml:space="preserve">9,970,000   </w:t>
            </w:r>
            <w:r w:rsidRPr="00BB5C7B">
              <w:sym w:font="Symbol" w:char="F0AD"/>
            </w:r>
          </w:p>
        </w:tc>
      </w:tr>
      <w:tr w:rsidR="00BB5C7B" w:rsidRPr="00BB5C7B" w14:paraId="08C08F77" w14:textId="77777777" w:rsidTr="003D731E">
        <w:trPr>
          <w:trHeight w:val="445"/>
          <w:jc w:val="center"/>
        </w:trPr>
        <w:tc>
          <w:tcPr>
            <w:tcW w:w="2972" w:type="dxa"/>
            <w:tcBorders>
              <w:top w:val="triple" w:sz="4" w:space="0" w:color="auto"/>
            </w:tcBorders>
            <w:vAlign w:val="center"/>
          </w:tcPr>
          <w:p w14:paraId="7F66FA2A" w14:textId="77777777" w:rsidR="00BB5C7B" w:rsidRPr="00BB5C7B" w:rsidRDefault="00BB5C7B" w:rsidP="007B429C">
            <w:pPr>
              <w:pStyle w:val="ExhibitText"/>
              <w:jc w:val="left"/>
            </w:pPr>
            <w:r w:rsidRPr="00BB5C7B">
              <w:t>Nissan-Renault Group</w:t>
            </w:r>
          </w:p>
        </w:tc>
        <w:tc>
          <w:tcPr>
            <w:tcW w:w="2072" w:type="dxa"/>
            <w:tcBorders>
              <w:top w:val="triple" w:sz="4" w:space="0" w:color="auto"/>
            </w:tcBorders>
            <w:vAlign w:val="center"/>
          </w:tcPr>
          <w:p w14:paraId="5DE0E514" w14:textId="42616644" w:rsidR="00BB5C7B" w:rsidRPr="00BB5C7B" w:rsidRDefault="00BB5C7B" w:rsidP="007B429C">
            <w:pPr>
              <w:pStyle w:val="ExhibitText"/>
              <w:jc w:val="right"/>
            </w:pPr>
            <w:r w:rsidRPr="00BB5C7B">
              <w:t>8,470,610</w:t>
            </w:r>
          </w:p>
        </w:tc>
        <w:tc>
          <w:tcPr>
            <w:tcW w:w="2153" w:type="dxa"/>
            <w:tcBorders>
              <w:top w:val="triple" w:sz="4" w:space="0" w:color="auto"/>
            </w:tcBorders>
            <w:vAlign w:val="center"/>
          </w:tcPr>
          <w:p w14:paraId="127C9773" w14:textId="72D021D1" w:rsidR="00BB5C7B" w:rsidRPr="00BB5C7B" w:rsidRDefault="00BB5C7B" w:rsidP="007B429C">
            <w:pPr>
              <w:pStyle w:val="ExhibitText"/>
              <w:jc w:val="right"/>
            </w:pPr>
            <w:r w:rsidRPr="00BB5C7B">
              <w:t xml:space="preserve">8,528,887   </w:t>
            </w:r>
            <w:r w:rsidRPr="00BB5C7B">
              <w:sym w:font="Symbol" w:char="F0AD"/>
            </w:r>
          </w:p>
        </w:tc>
        <w:tc>
          <w:tcPr>
            <w:tcW w:w="2153" w:type="dxa"/>
            <w:tcBorders>
              <w:top w:val="triple" w:sz="4" w:space="0" w:color="auto"/>
            </w:tcBorders>
            <w:vAlign w:val="center"/>
          </w:tcPr>
          <w:p w14:paraId="2C98222F" w14:textId="19DB70A1" w:rsidR="00BB5C7B" w:rsidRPr="00BB5C7B" w:rsidRDefault="00BB5C7B" w:rsidP="007B429C">
            <w:pPr>
              <w:pStyle w:val="ExhibitText"/>
              <w:jc w:val="right"/>
            </w:pPr>
            <w:r w:rsidRPr="00BB5C7B">
              <w:t xml:space="preserve">9,961,347   </w:t>
            </w:r>
            <w:r w:rsidRPr="00BB5C7B">
              <w:sym w:font="Symbol" w:char="F0AD"/>
            </w:r>
          </w:p>
        </w:tc>
      </w:tr>
      <w:tr w:rsidR="00BB5C7B" w:rsidRPr="00BB5C7B" w14:paraId="6F92C2BE" w14:textId="77777777" w:rsidTr="003D731E">
        <w:trPr>
          <w:trHeight w:val="445"/>
          <w:jc w:val="center"/>
        </w:trPr>
        <w:tc>
          <w:tcPr>
            <w:tcW w:w="2972" w:type="dxa"/>
            <w:vAlign w:val="center"/>
          </w:tcPr>
          <w:p w14:paraId="5E4C76AF" w14:textId="77777777" w:rsidR="00BB5C7B" w:rsidRPr="00BB5C7B" w:rsidRDefault="00BB5C7B" w:rsidP="007B429C">
            <w:pPr>
              <w:pStyle w:val="ExhibitText"/>
              <w:jc w:val="left"/>
            </w:pPr>
            <w:r w:rsidRPr="00BB5C7B">
              <w:t>Hyundai Motor Company</w:t>
            </w:r>
          </w:p>
        </w:tc>
        <w:tc>
          <w:tcPr>
            <w:tcW w:w="2072" w:type="dxa"/>
            <w:vAlign w:val="center"/>
          </w:tcPr>
          <w:p w14:paraId="68116CE9" w14:textId="2D9D1326" w:rsidR="00BB5C7B" w:rsidRPr="00BB5C7B" w:rsidRDefault="00BB5C7B" w:rsidP="007B429C">
            <w:pPr>
              <w:pStyle w:val="ExhibitText"/>
              <w:jc w:val="right"/>
            </w:pPr>
            <w:r w:rsidRPr="00BB5C7B">
              <w:t>4,963,535</w:t>
            </w:r>
          </w:p>
        </w:tc>
        <w:tc>
          <w:tcPr>
            <w:tcW w:w="2153" w:type="dxa"/>
            <w:vAlign w:val="center"/>
          </w:tcPr>
          <w:p w14:paraId="0ED21062" w14:textId="35AE4709" w:rsidR="00BB5C7B" w:rsidRPr="00BB5C7B" w:rsidRDefault="00BB5C7B" w:rsidP="007B429C">
            <w:pPr>
              <w:pStyle w:val="ExhibitText"/>
              <w:jc w:val="right"/>
            </w:pPr>
            <w:r w:rsidRPr="00BB5C7B">
              <w:t xml:space="preserve">4,964,837   </w:t>
            </w:r>
            <w:r w:rsidRPr="00BB5C7B">
              <w:sym w:font="Symbol" w:char="F0AD"/>
            </w:r>
          </w:p>
        </w:tc>
        <w:tc>
          <w:tcPr>
            <w:tcW w:w="2153" w:type="dxa"/>
            <w:vAlign w:val="center"/>
          </w:tcPr>
          <w:p w14:paraId="36720917" w14:textId="50CACAC7" w:rsidR="00BB5C7B" w:rsidRPr="00BB5C7B" w:rsidRDefault="00BB5C7B" w:rsidP="007B429C">
            <w:pPr>
              <w:pStyle w:val="ExhibitText"/>
              <w:jc w:val="right"/>
            </w:pPr>
            <w:r w:rsidRPr="00BB5C7B">
              <w:t xml:space="preserve">4,860,049   </w:t>
            </w:r>
            <w:r w:rsidRPr="00BB5C7B">
              <w:sym w:font="Symbol" w:char="F0AF"/>
            </w:r>
          </w:p>
        </w:tc>
      </w:tr>
      <w:tr w:rsidR="00BB5C7B" w:rsidRPr="00BB5C7B" w14:paraId="177D6A4C" w14:textId="77777777" w:rsidTr="003D731E">
        <w:trPr>
          <w:trHeight w:val="445"/>
          <w:jc w:val="center"/>
        </w:trPr>
        <w:tc>
          <w:tcPr>
            <w:tcW w:w="2972" w:type="dxa"/>
            <w:vAlign w:val="center"/>
          </w:tcPr>
          <w:p w14:paraId="6C45E4D6" w14:textId="77777777" w:rsidR="00BB5C7B" w:rsidRPr="00BB5C7B" w:rsidRDefault="00BB5C7B" w:rsidP="007B429C">
            <w:pPr>
              <w:pStyle w:val="ExhibitText"/>
              <w:jc w:val="left"/>
            </w:pPr>
            <w:r w:rsidRPr="00BB5C7B">
              <w:t>Kia Motors Corporation</w:t>
            </w:r>
          </w:p>
        </w:tc>
        <w:tc>
          <w:tcPr>
            <w:tcW w:w="2072" w:type="dxa"/>
            <w:vAlign w:val="center"/>
          </w:tcPr>
          <w:p w14:paraId="3EA70569" w14:textId="7DF4677A" w:rsidR="00BB5C7B" w:rsidRPr="00BB5C7B" w:rsidRDefault="00BB5C7B" w:rsidP="007B429C">
            <w:pPr>
              <w:pStyle w:val="ExhibitText"/>
              <w:jc w:val="right"/>
            </w:pPr>
            <w:r w:rsidRPr="00BB5C7B">
              <w:t>2,907,757</w:t>
            </w:r>
          </w:p>
        </w:tc>
        <w:tc>
          <w:tcPr>
            <w:tcW w:w="2153" w:type="dxa"/>
            <w:vAlign w:val="center"/>
          </w:tcPr>
          <w:p w14:paraId="2ECF284A" w14:textId="79E804B3" w:rsidR="00BB5C7B" w:rsidRPr="00BB5C7B" w:rsidRDefault="00BB5C7B" w:rsidP="007B429C">
            <w:pPr>
              <w:pStyle w:val="ExhibitText"/>
              <w:jc w:val="right"/>
            </w:pPr>
            <w:r w:rsidRPr="00BB5C7B">
              <w:t xml:space="preserve">2,916,118   </w:t>
            </w:r>
            <w:r w:rsidRPr="00BB5C7B">
              <w:sym w:font="Symbol" w:char="F0AD"/>
            </w:r>
          </w:p>
        </w:tc>
        <w:tc>
          <w:tcPr>
            <w:tcW w:w="2153" w:type="dxa"/>
            <w:vAlign w:val="center"/>
          </w:tcPr>
          <w:p w14:paraId="5068E2A6" w14:textId="2BCB3C25" w:rsidR="00BB5C7B" w:rsidRPr="00BB5C7B" w:rsidRDefault="00BB5C7B" w:rsidP="007B429C">
            <w:pPr>
              <w:pStyle w:val="ExhibitText"/>
              <w:jc w:val="right"/>
            </w:pPr>
            <w:r w:rsidRPr="00BB5C7B">
              <w:t xml:space="preserve">3,007,976   </w:t>
            </w:r>
            <w:r w:rsidRPr="00BB5C7B">
              <w:sym w:font="Symbol" w:char="F0AD"/>
            </w:r>
          </w:p>
        </w:tc>
      </w:tr>
      <w:tr w:rsidR="00BB5C7B" w:rsidRPr="00BB5C7B" w14:paraId="5C41BF70" w14:textId="77777777" w:rsidTr="003D731E">
        <w:trPr>
          <w:trHeight w:val="445"/>
          <w:jc w:val="center"/>
        </w:trPr>
        <w:tc>
          <w:tcPr>
            <w:tcW w:w="2972" w:type="dxa"/>
            <w:vAlign w:val="center"/>
          </w:tcPr>
          <w:p w14:paraId="4163B33C" w14:textId="77777777" w:rsidR="00BB5C7B" w:rsidRPr="00BB5C7B" w:rsidRDefault="00BB5C7B" w:rsidP="007B429C">
            <w:pPr>
              <w:pStyle w:val="ExhibitText"/>
              <w:jc w:val="left"/>
            </w:pPr>
            <w:r w:rsidRPr="00BB5C7B">
              <w:t>Ford Motor Company</w:t>
            </w:r>
          </w:p>
        </w:tc>
        <w:tc>
          <w:tcPr>
            <w:tcW w:w="2072" w:type="dxa"/>
            <w:vAlign w:val="center"/>
          </w:tcPr>
          <w:p w14:paraId="6C0B344A" w14:textId="2432A8E3" w:rsidR="00BB5C7B" w:rsidRPr="00BB5C7B" w:rsidRDefault="00BB5C7B" w:rsidP="007B429C">
            <w:pPr>
              <w:pStyle w:val="ExhibitText"/>
              <w:jc w:val="right"/>
            </w:pPr>
            <w:r w:rsidRPr="00BB5C7B">
              <w:t>6,651,000</w:t>
            </w:r>
          </w:p>
        </w:tc>
        <w:tc>
          <w:tcPr>
            <w:tcW w:w="2153" w:type="dxa"/>
            <w:vAlign w:val="center"/>
          </w:tcPr>
          <w:p w14:paraId="099AC387" w14:textId="55093E76" w:rsidR="00BB5C7B" w:rsidRPr="00BB5C7B" w:rsidRDefault="00BB5C7B" w:rsidP="007B429C">
            <w:pPr>
              <w:pStyle w:val="ExhibitText"/>
              <w:jc w:val="right"/>
            </w:pPr>
            <w:r w:rsidRPr="00BB5C7B">
              <w:t xml:space="preserve">6,635,000   </w:t>
            </w:r>
            <w:r w:rsidRPr="00BB5C7B">
              <w:sym w:font="Symbol" w:char="F0AF"/>
            </w:r>
          </w:p>
        </w:tc>
        <w:tc>
          <w:tcPr>
            <w:tcW w:w="2153" w:type="dxa"/>
            <w:vAlign w:val="center"/>
          </w:tcPr>
          <w:p w14:paraId="28DFE588" w14:textId="5C497859" w:rsidR="00BB5C7B" w:rsidRPr="00BB5C7B" w:rsidRDefault="00BB5C7B" w:rsidP="007B429C">
            <w:pPr>
              <w:pStyle w:val="ExhibitText"/>
              <w:jc w:val="right"/>
            </w:pPr>
            <w:r w:rsidRPr="00BB5C7B">
              <w:t xml:space="preserve">6,323,000   </w:t>
            </w:r>
            <w:r w:rsidRPr="00BB5C7B">
              <w:sym w:font="Symbol" w:char="F0AF"/>
            </w:r>
          </w:p>
        </w:tc>
      </w:tr>
      <w:tr w:rsidR="00BB5C7B" w:rsidRPr="00BB5C7B" w14:paraId="6BBCE655" w14:textId="77777777" w:rsidTr="003D731E">
        <w:trPr>
          <w:trHeight w:val="506"/>
          <w:jc w:val="center"/>
        </w:trPr>
        <w:tc>
          <w:tcPr>
            <w:tcW w:w="2972" w:type="dxa"/>
            <w:vAlign w:val="center"/>
          </w:tcPr>
          <w:p w14:paraId="615A0CB8" w14:textId="77777777" w:rsidR="00BB5C7B" w:rsidRPr="00BB5C7B" w:rsidRDefault="00BB5C7B" w:rsidP="007B429C">
            <w:pPr>
              <w:pStyle w:val="ExhibitText"/>
              <w:jc w:val="left"/>
            </w:pPr>
            <w:r w:rsidRPr="00BB5C7B">
              <w:t>Fiat Chrysler Automobiles</w:t>
            </w:r>
          </w:p>
        </w:tc>
        <w:tc>
          <w:tcPr>
            <w:tcW w:w="2072" w:type="dxa"/>
            <w:vAlign w:val="center"/>
          </w:tcPr>
          <w:p w14:paraId="67A1C3D4" w14:textId="4685BFCA" w:rsidR="00BB5C7B" w:rsidRPr="00BB5C7B" w:rsidRDefault="00BB5C7B" w:rsidP="007B429C">
            <w:pPr>
              <w:pStyle w:val="ExhibitText"/>
              <w:jc w:val="right"/>
            </w:pPr>
            <w:r w:rsidRPr="00BB5C7B">
              <w:t>4,736,200</w:t>
            </w:r>
          </w:p>
        </w:tc>
        <w:tc>
          <w:tcPr>
            <w:tcW w:w="2153" w:type="dxa"/>
            <w:vAlign w:val="center"/>
          </w:tcPr>
          <w:p w14:paraId="25EA8E34" w14:textId="5EAE2363" w:rsidR="00BB5C7B" w:rsidRPr="00BB5C7B" w:rsidRDefault="00BB5C7B" w:rsidP="007B429C">
            <w:pPr>
              <w:pStyle w:val="ExhibitText"/>
              <w:jc w:val="right"/>
            </w:pPr>
            <w:r w:rsidRPr="00BB5C7B">
              <w:t xml:space="preserve">4,743,800   </w:t>
            </w:r>
            <w:r w:rsidRPr="00BB5C7B">
              <w:sym w:font="Symbol" w:char="F0AD"/>
            </w:r>
          </w:p>
        </w:tc>
        <w:tc>
          <w:tcPr>
            <w:tcW w:w="2153" w:type="dxa"/>
            <w:vAlign w:val="center"/>
          </w:tcPr>
          <w:p w14:paraId="56A6D14C" w14:textId="114BD9AD" w:rsidR="00BB5C7B" w:rsidRPr="00BB5C7B" w:rsidRDefault="00BB5C7B" w:rsidP="007B429C">
            <w:pPr>
              <w:pStyle w:val="ExhibitText"/>
              <w:jc w:val="right"/>
            </w:pPr>
            <w:r w:rsidRPr="00BB5C7B">
              <w:t xml:space="preserve">7,750,000   </w:t>
            </w:r>
            <w:r w:rsidRPr="00BB5C7B">
              <w:sym w:font="Symbol" w:char="F0AD"/>
            </w:r>
          </w:p>
        </w:tc>
      </w:tr>
      <w:tr w:rsidR="00BB5C7B" w:rsidRPr="00BB5C7B" w14:paraId="14733D62" w14:textId="77777777" w:rsidTr="003D731E">
        <w:trPr>
          <w:trHeight w:val="445"/>
          <w:jc w:val="center"/>
        </w:trPr>
        <w:tc>
          <w:tcPr>
            <w:tcW w:w="2972" w:type="dxa"/>
            <w:vAlign w:val="center"/>
          </w:tcPr>
          <w:p w14:paraId="48DD4E01" w14:textId="77777777" w:rsidR="00BB5C7B" w:rsidRPr="00BB5C7B" w:rsidRDefault="00BB5C7B" w:rsidP="007B429C">
            <w:pPr>
              <w:pStyle w:val="ExhibitText"/>
              <w:jc w:val="left"/>
            </w:pPr>
            <w:r w:rsidRPr="00BB5C7B">
              <w:t>Honda Motor Co. Ltd.</w:t>
            </w:r>
          </w:p>
        </w:tc>
        <w:tc>
          <w:tcPr>
            <w:tcW w:w="2072" w:type="dxa"/>
            <w:vAlign w:val="center"/>
          </w:tcPr>
          <w:p w14:paraId="672B468A" w14:textId="141B927C" w:rsidR="00BB5C7B" w:rsidRPr="00BB5C7B" w:rsidRDefault="00BB5C7B" w:rsidP="007B429C">
            <w:pPr>
              <w:pStyle w:val="ExhibitText"/>
              <w:jc w:val="right"/>
            </w:pPr>
            <w:r w:rsidRPr="00BB5C7B">
              <w:t>4,323,000</w:t>
            </w:r>
          </w:p>
        </w:tc>
        <w:tc>
          <w:tcPr>
            <w:tcW w:w="2153" w:type="dxa"/>
            <w:vAlign w:val="center"/>
          </w:tcPr>
          <w:p w14:paraId="5EC745BE" w14:textId="599063BB" w:rsidR="00BB5C7B" w:rsidRPr="00BB5C7B" w:rsidRDefault="00BB5C7B" w:rsidP="007B429C">
            <w:pPr>
              <w:pStyle w:val="ExhibitText"/>
              <w:jc w:val="right"/>
            </w:pPr>
            <w:r w:rsidRPr="00BB5C7B">
              <w:t xml:space="preserve">4,367,000   </w:t>
            </w:r>
            <w:r w:rsidRPr="00BB5C7B">
              <w:sym w:font="Symbol" w:char="F0AD"/>
            </w:r>
          </w:p>
        </w:tc>
        <w:tc>
          <w:tcPr>
            <w:tcW w:w="2153" w:type="dxa"/>
            <w:vAlign w:val="center"/>
          </w:tcPr>
          <w:p w14:paraId="6D065168" w14:textId="325E17E4" w:rsidR="00BB5C7B" w:rsidRPr="00BB5C7B" w:rsidRDefault="00BB5C7B" w:rsidP="007B429C">
            <w:pPr>
              <w:pStyle w:val="ExhibitText"/>
              <w:jc w:val="right"/>
            </w:pPr>
            <w:r w:rsidRPr="00BB5C7B">
              <w:t xml:space="preserve">4,743,000   </w:t>
            </w:r>
            <w:r w:rsidRPr="00BB5C7B">
              <w:sym w:font="Symbol" w:char="F0AD"/>
            </w:r>
          </w:p>
        </w:tc>
      </w:tr>
      <w:tr w:rsidR="00BB5C7B" w:rsidRPr="00BB5C7B" w14:paraId="7AC6E886" w14:textId="77777777" w:rsidTr="003D731E">
        <w:trPr>
          <w:trHeight w:val="516"/>
          <w:jc w:val="center"/>
        </w:trPr>
        <w:tc>
          <w:tcPr>
            <w:tcW w:w="2972" w:type="dxa"/>
            <w:vAlign w:val="center"/>
          </w:tcPr>
          <w:p w14:paraId="24069752" w14:textId="77777777" w:rsidR="00BB5C7B" w:rsidRPr="00BB5C7B" w:rsidRDefault="00BB5C7B" w:rsidP="007B429C">
            <w:pPr>
              <w:pStyle w:val="ExhibitText"/>
              <w:jc w:val="left"/>
            </w:pPr>
            <w:r w:rsidRPr="00BB5C7B">
              <w:t>PSA Peugeot-Citroën</w:t>
            </w:r>
          </w:p>
        </w:tc>
        <w:tc>
          <w:tcPr>
            <w:tcW w:w="2072" w:type="dxa"/>
            <w:vAlign w:val="center"/>
          </w:tcPr>
          <w:p w14:paraId="225F1199" w14:textId="00CF5A52" w:rsidR="00BB5C7B" w:rsidRPr="00BB5C7B" w:rsidRDefault="00BB5C7B" w:rsidP="007B429C">
            <w:pPr>
              <w:pStyle w:val="ExhibitText"/>
              <w:jc w:val="right"/>
            </w:pPr>
            <w:r w:rsidRPr="00BB5C7B">
              <w:t>2,939,000</w:t>
            </w:r>
          </w:p>
        </w:tc>
        <w:tc>
          <w:tcPr>
            <w:tcW w:w="2153" w:type="dxa"/>
            <w:vAlign w:val="center"/>
          </w:tcPr>
          <w:p w14:paraId="1E69CAF8" w14:textId="134EE3D0" w:rsidR="00BB5C7B" w:rsidRPr="00BB5C7B" w:rsidRDefault="00BB5C7B" w:rsidP="007B429C">
            <w:pPr>
              <w:pStyle w:val="ExhibitText"/>
              <w:jc w:val="right"/>
            </w:pPr>
            <w:r w:rsidRPr="00BB5C7B">
              <w:t xml:space="preserve">2,973,000   </w:t>
            </w:r>
            <w:r w:rsidRPr="00BB5C7B">
              <w:sym w:font="Symbol" w:char="F0AD"/>
            </w:r>
          </w:p>
        </w:tc>
        <w:tc>
          <w:tcPr>
            <w:tcW w:w="2153" w:type="dxa"/>
            <w:vAlign w:val="center"/>
          </w:tcPr>
          <w:p w14:paraId="2BE7D98A" w14:textId="1DCB618B" w:rsidR="00BB5C7B" w:rsidRPr="00BB5C7B" w:rsidRDefault="00BB5C7B" w:rsidP="007B429C">
            <w:pPr>
              <w:pStyle w:val="ExhibitText"/>
              <w:jc w:val="right"/>
            </w:pPr>
            <w:r w:rsidRPr="00BB5C7B">
              <w:t xml:space="preserve">3,146,000   </w:t>
            </w:r>
            <w:r w:rsidRPr="00BB5C7B">
              <w:sym w:font="Symbol" w:char="F0AD"/>
            </w:r>
          </w:p>
        </w:tc>
      </w:tr>
      <w:tr w:rsidR="00BB5C7B" w:rsidRPr="00BB5C7B" w14:paraId="4DDC1724" w14:textId="77777777" w:rsidTr="003D731E">
        <w:trPr>
          <w:trHeight w:val="506"/>
          <w:jc w:val="center"/>
        </w:trPr>
        <w:tc>
          <w:tcPr>
            <w:tcW w:w="2972" w:type="dxa"/>
            <w:vAlign w:val="center"/>
          </w:tcPr>
          <w:p w14:paraId="3BD3474E" w14:textId="77777777" w:rsidR="00BB5C7B" w:rsidRPr="00BB5C7B" w:rsidRDefault="00BB5C7B" w:rsidP="007B429C">
            <w:pPr>
              <w:pStyle w:val="ExhibitText"/>
              <w:jc w:val="left"/>
            </w:pPr>
            <w:r w:rsidRPr="00BB5C7B">
              <w:t>BMW Group</w:t>
            </w:r>
          </w:p>
        </w:tc>
        <w:tc>
          <w:tcPr>
            <w:tcW w:w="2072" w:type="dxa"/>
            <w:vAlign w:val="center"/>
          </w:tcPr>
          <w:p w14:paraId="20F4A621" w14:textId="2DC8A2E7" w:rsidR="00BB5C7B" w:rsidRPr="00BB5C7B" w:rsidRDefault="00BB5C7B" w:rsidP="007B429C">
            <w:pPr>
              <w:pStyle w:val="ExhibitText"/>
              <w:jc w:val="right"/>
            </w:pPr>
            <w:r w:rsidRPr="00BB5C7B">
              <w:t>2,165,566</w:t>
            </w:r>
          </w:p>
        </w:tc>
        <w:tc>
          <w:tcPr>
            <w:tcW w:w="2153" w:type="dxa"/>
            <w:vAlign w:val="center"/>
          </w:tcPr>
          <w:p w14:paraId="161420A2" w14:textId="54866519" w:rsidR="00BB5C7B" w:rsidRPr="00BB5C7B" w:rsidRDefault="00BB5C7B" w:rsidP="007B429C">
            <w:pPr>
              <w:pStyle w:val="ExhibitText"/>
              <w:jc w:val="right"/>
            </w:pPr>
            <w:r w:rsidRPr="00BB5C7B">
              <w:t xml:space="preserve">2,279,503   </w:t>
            </w:r>
            <w:r w:rsidRPr="00BB5C7B">
              <w:sym w:font="Symbol" w:char="F0AD"/>
            </w:r>
          </w:p>
        </w:tc>
        <w:tc>
          <w:tcPr>
            <w:tcW w:w="2153" w:type="dxa"/>
            <w:vAlign w:val="center"/>
          </w:tcPr>
          <w:p w14:paraId="33634118" w14:textId="5B9C4BC8" w:rsidR="00BB5C7B" w:rsidRPr="00BB5C7B" w:rsidRDefault="00BB5C7B" w:rsidP="007B429C">
            <w:pPr>
              <w:pStyle w:val="ExhibitText"/>
              <w:jc w:val="right"/>
            </w:pPr>
            <w:r w:rsidRPr="00BB5C7B">
              <w:t xml:space="preserve">2,367,603   </w:t>
            </w:r>
            <w:r w:rsidRPr="00BB5C7B">
              <w:sym w:font="Symbol" w:char="F0AD"/>
            </w:r>
          </w:p>
        </w:tc>
      </w:tr>
      <w:tr w:rsidR="00BB5C7B" w:rsidRPr="00BB5C7B" w14:paraId="2AC9F663" w14:textId="77777777" w:rsidTr="003D731E">
        <w:trPr>
          <w:trHeight w:val="421"/>
          <w:jc w:val="center"/>
        </w:trPr>
        <w:tc>
          <w:tcPr>
            <w:tcW w:w="2972" w:type="dxa"/>
            <w:vAlign w:val="center"/>
          </w:tcPr>
          <w:p w14:paraId="0F70938C" w14:textId="77777777" w:rsidR="00BB5C7B" w:rsidRPr="00BB5C7B" w:rsidRDefault="00BB5C7B" w:rsidP="007B429C">
            <w:pPr>
              <w:pStyle w:val="ExhibitText"/>
              <w:jc w:val="left"/>
            </w:pPr>
            <w:r w:rsidRPr="00BB5C7B">
              <w:t>Total sales worldwide</w:t>
            </w:r>
          </w:p>
          <w:p w14:paraId="6CD90F90" w14:textId="77777777" w:rsidR="00BB5C7B" w:rsidRPr="00BB5C7B" w:rsidRDefault="00BB5C7B" w:rsidP="007B429C">
            <w:pPr>
              <w:pStyle w:val="ExhibitText"/>
              <w:jc w:val="left"/>
            </w:pPr>
            <w:r w:rsidRPr="00BB5C7B">
              <w:t>(approximate)</w:t>
            </w:r>
          </w:p>
        </w:tc>
        <w:tc>
          <w:tcPr>
            <w:tcW w:w="2072" w:type="dxa"/>
            <w:vAlign w:val="center"/>
          </w:tcPr>
          <w:p w14:paraId="69089E1F" w14:textId="051E4AB8" w:rsidR="00BB5C7B" w:rsidRPr="00BB5C7B" w:rsidRDefault="00BB5C7B" w:rsidP="007B429C">
            <w:pPr>
              <w:pStyle w:val="ExhibitText"/>
              <w:jc w:val="right"/>
            </w:pPr>
            <w:r w:rsidRPr="00BB5C7B">
              <w:t>71,180,000</w:t>
            </w:r>
          </w:p>
        </w:tc>
        <w:tc>
          <w:tcPr>
            <w:tcW w:w="2153" w:type="dxa"/>
            <w:vAlign w:val="center"/>
          </w:tcPr>
          <w:p w14:paraId="08D19A82" w14:textId="42E1554F" w:rsidR="00BB5C7B" w:rsidRPr="00BB5C7B" w:rsidRDefault="00BB5C7B" w:rsidP="007B429C">
            <w:pPr>
              <w:pStyle w:val="ExhibitText"/>
              <w:jc w:val="right"/>
            </w:pPr>
            <w:r w:rsidRPr="00BB5C7B">
              <w:t xml:space="preserve">72,610,000   </w:t>
            </w:r>
            <w:r w:rsidRPr="00BB5C7B">
              <w:sym w:font="Symbol" w:char="F0AD"/>
            </w:r>
          </w:p>
        </w:tc>
        <w:tc>
          <w:tcPr>
            <w:tcW w:w="2153" w:type="dxa"/>
            <w:vAlign w:val="center"/>
          </w:tcPr>
          <w:p w14:paraId="5E36FFDF" w14:textId="1D34ACB0" w:rsidR="00BB5C7B" w:rsidRPr="00BB5C7B" w:rsidRDefault="00BB5C7B" w:rsidP="007B429C">
            <w:pPr>
              <w:pStyle w:val="ExhibitText"/>
              <w:jc w:val="right"/>
            </w:pPr>
            <w:r w:rsidRPr="00BB5C7B">
              <w:t xml:space="preserve">76,860,000   </w:t>
            </w:r>
            <w:r w:rsidRPr="00BB5C7B">
              <w:sym w:font="Symbol" w:char="F0AD"/>
            </w:r>
          </w:p>
        </w:tc>
      </w:tr>
    </w:tbl>
    <w:p w14:paraId="2994869F" w14:textId="77777777" w:rsidR="000628C0" w:rsidRDefault="000628C0" w:rsidP="007B429C">
      <w:pPr>
        <w:pStyle w:val="ExhibitText"/>
      </w:pPr>
    </w:p>
    <w:p w14:paraId="5FF3CBAA" w14:textId="77A072B5" w:rsidR="00606B63" w:rsidRPr="00235013" w:rsidRDefault="00606B63" w:rsidP="007B429C">
      <w:pPr>
        <w:pStyle w:val="Footnote"/>
      </w:pPr>
      <w:r w:rsidRPr="000628C0">
        <w:t>Source:</w:t>
      </w:r>
      <w:r w:rsidRPr="00235013">
        <w:t xml:space="preserve"> </w:t>
      </w:r>
      <w:r>
        <w:t>Toyota Motor Co</w:t>
      </w:r>
      <w:r w:rsidR="00486775">
        <w:t>rporation</w:t>
      </w:r>
      <w:r>
        <w:t xml:space="preserve">, </w:t>
      </w:r>
      <w:r w:rsidRPr="00AC24B6">
        <w:rPr>
          <w:i/>
        </w:rPr>
        <w:t>Sustainable Management Report 2016</w:t>
      </w:r>
      <w:r w:rsidR="0034062F">
        <w:t xml:space="preserve">; </w:t>
      </w:r>
      <w:r>
        <w:t xml:space="preserve">Volkswagen Group, </w:t>
      </w:r>
      <w:r w:rsidRPr="00AC24B6">
        <w:rPr>
          <w:i/>
        </w:rPr>
        <w:t>Annual Report 2016</w:t>
      </w:r>
      <w:r w:rsidR="00BB5C7B">
        <w:t>;</w:t>
      </w:r>
      <w:r>
        <w:t xml:space="preserve"> G</w:t>
      </w:r>
      <w:r w:rsidR="002C01E0">
        <w:t>eneral Motors Company,</w:t>
      </w:r>
      <w:r>
        <w:t xml:space="preserve"> </w:t>
      </w:r>
      <w:r w:rsidRPr="00AC24B6">
        <w:rPr>
          <w:i/>
        </w:rPr>
        <w:t>General Motors Company 2016</w:t>
      </w:r>
      <w:r w:rsidR="0034062F">
        <w:t>;</w:t>
      </w:r>
      <w:r>
        <w:t xml:space="preserve"> Nissan-Renault Group, </w:t>
      </w:r>
      <w:r w:rsidRPr="00AC24B6">
        <w:rPr>
          <w:i/>
        </w:rPr>
        <w:t>Groupe Renault: 2016 Financial Results</w:t>
      </w:r>
      <w:r w:rsidR="00A67AF2">
        <w:t>;</w:t>
      </w:r>
      <w:r w:rsidR="00086E74">
        <w:t xml:space="preserve"> </w:t>
      </w:r>
      <w:r>
        <w:t>Hyundai Motor Co</w:t>
      </w:r>
      <w:r w:rsidR="002C01E0">
        <w:t>mpany</w:t>
      </w:r>
      <w:r>
        <w:t xml:space="preserve">, </w:t>
      </w:r>
      <w:r w:rsidRPr="00AC24B6">
        <w:rPr>
          <w:i/>
        </w:rPr>
        <w:t>Hyundai Motor Company 2016 Business Results</w:t>
      </w:r>
      <w:r w:rsidR="00BB5C7B">
        <w:t>;</w:t>
      </w:r>
      <w:r w:rsidR="00086E74">
        <w:t xml:space="preserve"> </w:t>
      </w:r>
      <w:r>
        <w:t>Kia Motors Co</w:t>
      </w:r>
      <w:r w:rsidR="002C01E0">
        <w:t>rporation</w:t>
      </w:r>
      <w:r>
        <w:t xml:space="preserve">, </w:t>
      </w:r>
      <w:r w:rsidRPr="00AC24B6">
        <w:rPr>
          <w:i/>
        </w:rPr>
        <w:t>Annual Report</w:t>
      </w:r>
      <w:r w:rsidR="00630742" w:rsidRPr="00AC24B6">
        <w:rPr>
          <w:i/>
        </w:rPr>
        <w:t xml:space="preserve"> 2016: True Colours of Kia Motors</w:t>
      </w:r>
      <w:r w:rsidR="00BB5C7B">
        <w:t>;</w:t>
      </w:r>
      <w:r>
        <w:t xml:space="preserve"> Ford Motor</w:t>
      </w:r>
      <w:r w:rsidR="0001029C">
        <w:t xml:space="preserve"> Company</w:t>
      </w:r>
      <w:r>
        <w:t xml:space="preserve">, </w:t>
      </w:r>
      <w:r w:rsidRPr="00AC24B6">
        <w:rPr>
          <w:i/>
        </w:rPr>
        <w:t>2016 Annual Report</w:t>
      </w:r>
      <w:r w:rsidR="00BB5C7B">
        <w:t>;</w:t>
      </w:r>
      <w:r>
        <w:t xml:space="preserve"> Fiat Chrysler</w:t>
      </w:r>
      <w:r w:rsidR="00D26DE1">
        <w:t xml:space="preserve"> Automobiles</w:t>
      </w:r>
      <w:r>
        <w:t xml:space="preserve">, </w:t>
      </w:r>
      <w:r w:rsidRPr="00AC24B6">
        <w:rPr>
          <w:i/>
        </w:rPr>
        <w:t>2016 Annual Report</w:t>
      </w:r>
      <w:r w:rsidR="0034062F">
        <w:t>;</w:t>
      </w:r>
      <w:r w:rsidR="00086E74">
        <w:t xml:space="preserve"> </w:t>
      </w:r>
      <w:r>
        <w:t>Honda Motor</w:t>
      </w:r>
      <w:r w:rsidR="00410DA2">
        <w:t xml:space="preserve"> Company</w:t>
      </w:r>
      <w:r>
        <w:t xml:space="preserve">, </w:t>
      </w:r>
      <w:r w:rsidRPr="00AC24B6">
        <w:rPr>
          <w:i/>
        </w:rPr>
        <w:t>Honda Motor Co., Ltd. Annual Report 2016</w:t>
      </w:r>
      <w:r w:rsidR="0034062F">
        <w:t>;</w:t>
      </w:r>
      <w:r>
        <w:t xml:space="preserve"> PSA Peugeot Citroën, </w:t>
      </w:r>
      <w:r w:rsidRPr="00AC24B6">
        <w:rPr>
          <w:i/>
        </w:rPr>
        <w:t>2016 Annual Financial Repor</w:t>
      </w:r>
      <w:r w:rsidR="00B559FB" w:rsidRPr="00AC24B6">
        <w:rPr>
          <w:i/>
        </w:rPr>
        <w:t>t</w:t>
      </w:r>
      <w:r w:rsidR="0034062F">
        <w:t>;</w:t>
      </w:r>
      <w:r>
        <w:t xml:space="preserve"> BMW Group, </w:t>
      </w:r>
      <w:r w:rsidRPr="00AC24B6">
        <w:rPr>
          <w:i/>
        </w:rPr>
        <w:t>Annual Report 2016</w:t>
      </w:r>
      <w:r w:rsidR="00BB5C7B">
        <w:t>;</w:t>
      </w:r>
      <w:r>
        <w:t xml:space="preserve"> EDGAR Online, accessed May 20, 2017. </w:t>
      </w:r>
    </w:p>
    <w:p w14:paraId="26D92050" w14:textId="77777777" w:rsidR="00606B63" w:rsidRDefault="00606B63" w:rsidP="007B429C">
      <w:pPr>
        <w:pStyle w:val="ExhibitText"/>
        <w:rPr>
          <w:lang w:eastAsia="en-GB"/>
        </w:rPr>
      </w:pPr>
      <w:r>
        <w:br w:type="page"/>
      </w:r>
    </w:p>
    <w:p w14:paraId="72B95196" w14:textId="77777777" w:rsidR="00606B63" w:rsidRDefault="00606B63" w:rsidP="007B429C">
      <w:pPr>
        <w:pStyle w:val="ExhibitHeading"/>
        <w:outlineLvl w:val="0"/>
      </w:pPr>
      <w:r w:rsidRPr="00875EA1">
        <w:lastRenderedPageBreak/>
        <w:t>Exhibit 2: Distribution of sales across geographic regions</w:t>
      </w:r>
    </w:p>
    <w:p w14:paraId="4A7BCDFE" w14:textId="77777777" w:rsidR="00A361E2" w:rsidRPr="00875EA1" w:rsidRDefault="00A361E2" w:rsidP="007B429C">
      <w:pPr>
        <w:pStyle w:val="ExhibitT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1339"/>
        <w:gridCol w:w="1678"/>
        <w:gridCol w:w="1708"/>
        <w:gridCol w:w="1720"/>
      </w:tblGrid>
      <w:tr w:rsidR="00606B63" w:rsidRPr="00BB5C7B" w14:paraId="4ED51B16" w14:textId="77777777" w:rsidTr="00AC24B6">
        <w:trPr>
          <w:trHeight w:val="152"/>
          <w:jc w:val="center"/>
        </w:trPr>
        <w:tc>
          <w:tcPr>
            <w:tcW w:w="2520" w:type="dxa"/>
            <w:tcBorders>
              <w:bottom w:val="double" w:sz="4" w:space="0" w:color="auto"/>
            </w:tcBorders>
            <w:vAlign w:val="center"/>
          </w:tcPr>
          <w:p w14:paraId="0A9A75B3" w14:textId="21B8F454" w:rsidR="00606B63" w:rsidRPr="00BB5C7B" w:rsidRDefault="00606B63" w:rsidP="007B429C">
            <w:pPr>
              <w:pStyle w:val="ExhibitText"/>
              <w:jc w:val="left"/>
            </w:pPr>
            <w:r w:rsidRPr="00BB5C7B">
              <w:t>Consolidated World</w:t>
            </w:r>
            <w:r w:rsidR="00D02986" w:rsidRPr="00BB5C7B">
              <w:t xml:space="preserve"> </w:t>
            </w:r>
            <w:r w:rsidRPr="00BB5C7B">
              <w:t>Sales</w:t>
            </w:r>
          </w:p>
          <w:p w14:paraId="62A20122" w14:textId="77777777" w:rsidR="00606B63" w:rsidRPr="00BB5C7B" w:rsidRDefault="00606B63" w:rsidP="007B429C">
            <w:pPr>
              <w:pStyle w:val="ExhibitText"/>
              <w:jc w:val="left"/>
            </w:pPr>
            <w:r w:rsidRPr="00BB5C7B">
              <w:t>Estimates (in thousands)</w:t>
            </w:r>
          </w:p>
          <w:p w14:paraId="7C125C86"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vAlign w:val="center"/>
          </w:tcPr>
          <w:p w14:paraId="67748573" w14:textId="77777777" w:rsidR="00606B63" w:rsidRPr="00BB5C7B" w:rsidRDefault="00606B63" w:rsidP="007B429C">
            <w:pPr>
              <w:pStyle w:val="ExhibitText"/>
              <w:jc w:val="left"/>
            </w:pPr>
          </w:p>
        </w:tc>
        <w:tc>
          <w:tcPr>
            <w:tcW w:w="1458" w:type="dxa"/>
            <w:tcBorders>
              <w:top w:val="double" w:sz="4" w:space="0" w:color="auto"/>
              <w:left w:val="double" w:sz="4" w:space="0" w:color="auto"/>
              <w:bottom w:val="double" w:sz="4" w:space="0" w:color="auto"/>
            </w:tcBorders>
            <w:vAlign w:val="center"/>
          </w:tcPr>
          <w:p w14:paraId="7C3087E2" w14:textId="77777777" w:rsidR="00606B63" w:rsidRPr="00BB5C7B" w:rsidRDefault="00606B63" w:rsidP="007B429C">
            <w:pPr>
              <w:pStyle w:val="ExhibitText"/>
              <w:jc w:val="center"/>
              <w:rPr>
                <w:b/>
              </w:rPr>
            </w:pPr>
            <w:r w:rsidRPr="00BB5C7B">
              <w:rPr>
                <w:b/>
              </w:rPr>
              <w:t>2015</w:t>
            </w:r>
          </w:p>
          <w:p w14:paraId="6CD9D3A6" w14:textId="77777777" w:rsidR="00606B63" w:rsidRPr="00BB5C7B" w:rsidRDefault="00606B63" w:rsidP="007B429C">
            <w:pPr>
              <w:pStyle w:val="ExhibitText"/>
              <w:jc w:val="center"/>
              <w:rPr>
                <w:b/>
              </w:rPr>
            </w:pPr>
            <w:r w:rsidRPr="00BB5C7B">
              <w:rPr>
                <w:b/>
              </w:rPr>
              <w:t>YTD December</w:t>
            </w:r>
          </w:p>
        </w:tc>
        <w:tc>
          <w:tcPr>
            <w:tcW w:w="1484" w:type="dxa"/>
            <w:tcBorders>
              <w:top w:val="double" w:sz="4" w:space="0" w:color="auto"/>
              <w:bottom w:val="double" w:sz="4" w:space="0" w:color="auto"/>
            </w:tcBorders>
            <w:vAlign w:val="center"/>
          </w:tcPr>
          <w:p w14:paraId="7B996C88" w14:textId="77777777" w:rsidR="00606B63" w:rsidRPr="00BB5C7B" w:rsidRDefault="00606B63" w:rsidP="007B429C">
            <w:pPr>
              <w:pStyle w:val="ExhibitText"/>
              <w:jc w:val="center"/>
              <w:rPr>
                <w:b/>
              </w:rPr>
            </w:pPr>
            <w:r w:rsidRPr="00BB5C7B">
              <w:rPr>
                <w:b/>
              </w:rPr>
              <w:t>2016</w:t>
            </w:r>
          </w:p>
          <w:p w14:paraId="47E58688" w14:textId="77777777" w:rsidR="00606B63" w:rsidRPr="00BB5C7B" w:rsidRDefault="00606B63" w:rsidP="007B429C">
            <w:pPr>
              <w:pStyle w:val="ExhibitText"/>
              <w:jc w:val="center"/>
              <w:rPr>
                <w:b/>
              </w:rPr>
            </w:pPr>
            <w:r w:rsidRPr="00BB5C7B">
              <w:rPr>
                <w:b/>
              </w:rPr>
              <w:t>YTD December</w:t>
            </w:r>
          </w:p>
        </w:tc>
        <w:tc>
          <w:tcPr>
            <w:tcW w:w="1495" w:type="dxa"/>
            <w:tcBorders>
              <w:top w:val="double" w:sz="4" w:space="0" w:color="auto"/>
              <w:bottom w:val="double" w:sz="4" w:space="0" w:color="auto"/>
              <w:right w:val="double" w:sz="4" w:space="0" w:color="auto"/>
            </w:tcBorders>
            <w:vAlign w:val="center"/>
          </w:tcPr>
          <w:p w14:paraId="4528F1E8" w14:textId="35AB07E2" w:rsidR="00606B63" w:rsidRPr="00BB5C7B" w:rsidRDefault="001478A0" w:rsidP="007B429C">
            <w:pPr>
              <w:pStyle w:val="ExhibitText"/>
              <w:jc w:val="right"/>
              <w:rPr>
                <w:b/>
              </w:rPr>
            </w:pPr>
            <w:r>
              <w:rPr>
                <w:b/>
              </w:rPr>
              <w:t>% Change</w:t>
            </w:r>
          </w:p>
        </w:tc>
      </w:tr>
      <w:tr w:rsidR="00606B63" w:rsidRPr="00BB5C7B" w14:paraId="1821F1F0" w14:textId="77777777" w:rsidTr="00BB5C7B">
        <w:trPr>
          <w:trHeight w:val="258"/>
          <w:jc w:val="center"/>
        </w:trPr>
        <w:tc>
          <w:tcPr>
            <w:tcW w:w="2520" w:type="dxa"/>
            <w:tcBorders>
              <w:top w:val="double" w:sz="4" w:space="0" w:color="auto"/>
              <w:left w:val="double" w:sz="4" w:space="0" w:color="auto"/>
            </w:tcBorders>
            <w:vAlign w:val="center"/>
          </w:tcPr>
          <w:p w14:paraId="607CF19C" w14:textId="77777777" w:rsidR="00606B63" w:rsidRPr="00BB5C7B" w:rsidRDefault="00606B63" w:rsidP="007B429C">
            <w:pPr>
              <w:pStyle w:val="ExhibitText"/>
              <w:jc w:val="left"/>
            </w:pPr>
          </w:p>
          <w:p w14:paraId="344DC69D" w14:textId="4F81F7CE" w:rsidR="00606B63" w:rsidRPr="00BB5C7B" w:rsidRDefault="00606B63" w:rsidP="007B429C">
            <w:pPr>
              <w:pStyle w:val="ExhibitText"/>
              <w:jc w:val="left"/>
            </w:pPr>
            <w:r w:rsidRPr="00BB5C7B">
              <w:t>China</w:t>
            </w:r>
            <w:r w:rsidR="00D02986" w:rsidRPr="00BB5C7B">
              <w:t>—</w:t>
            </w:r>
            <w:r w:rsidRPr="00BB5C7B">
              <w:t>South East Asia</w:t>
            </w:r>
          </w:p>
        </w:tc>
        <w:tc>
          <w:tcPr>
            <w:tcW w:w="1164" w:type="dxa"/>
            <w:tcBorders>
              <w:top w:val="double" w:sz="4" w:space="0" w:color="auto"/>
              <w:right w:val="double" w:sz="4" w:space="0" w:color="auto"/>
            </w:tcBorders>
            <w:vAlign w:val="center"/>
          </w:tcPr>
          <w:p w14:paraId="26C93FD1" w14:textId="77777777" w:rsidR="00606B63" w:rsidRPr="00BB5C7B" w:rsidRDefault="00606B63" w:rsidP="007B429C">
            <w:pPr>
              <w:pStyle w:val="ExhibitText"/>
              <w:jc w:val="left"/>
            </w:pPr>
          </w:p>
          <w:p w14:paraId="11A1F30B"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0CF5B6BB" w14:textId="77777777" w:rsidR="00606B63" w:rsidRPr="00BB5C7B" w:rsidRDefault="00606B63" w:rsidP="007B429C">
            <w:pPr>
              <w:pStyle w:val="ExhibitText"/>
              <w:jc w:val="right"/>
            </w:pPr>
          </w:p>
          <w:p w14:paraId="496FCD38" w14:textId="7D5A38BF" w:rsidR="00606B63" w:rsidRPr="00BB5C7B" w:rsidRDefault="00606B63" w:rsidP="007B429C">
            <w:pPr>
              <w:pStyle w:val="ExhibitText"/>
              <w:jc w:val="right"/>
            </w:pPr>
            <w:r w:rsidRPr="00BB5C7B">
              <w:t>412</w:t>
            </w:r>
            <w:r w:rsidR="00BB5C7B">
              <w:t>.</w:t>
            </w:r>
            <w:r w:rsidRPr="00BB5C7B">
              <w:t>3</w:t>
            </w:r>
          </w:p>
        </w:tc>
        <w:tc>
          <w:tcPr>
            <w:tcW w:w="1484" w:type="dxa"/>
            <w:tcBorders>
              <w:top w:val="double" w:sz="4" w:space="0" w:color="auto"/>
            </w:tcBorders>
            <w:vAlign w:val="center"/>
          </w:tcPr>
          <w:p w14:paraId="6120BA67" w14:textId="77777777" w:rsidR="00606B63" w:rsidRPr="00BB5C7B" w:rsidRDefault="00606B63" w:rsidP="007B429C">
            <w:pPr>
              <w:pStyle w:val="ExhibitText"/>
              <w:jc w:val="right"/>
            </w:pPr>
          </w:p>
          <w:p w14:paraId="3F9BF22F" w14:textId="093FFAD1" w:rsidR="00606B63" w:rsidRPr="00BB5C7B" w:rsidRDefault="00606B63" w:rsidP="007B429C">
            <w:pPr>
              <w:pStyle w:val="ExhibitText"/>
              <w:jc w:val="right"/>
            </w:pPr>
            <w:r w:rsidRPr="00BB5C7B">
              <w:t>351</w:t>
            </w:r>
            <w:r w:rsidR="00BB5C7B">
              <w:t>.</w:t>
            </w:r>
            <w:r w:rsidRPr="00BB5C7B">
              <w:t>9</w:t>
            </w:r>
          </w:p>
        </w:tc>
        <w:tc>
          <w:tcPr>
            <w:tcW w:w="1495" w:type="dxa"/>
            <w:tcBorders>
              <w:top w:val="double" w:sz="4" w:space="0" w:color="auto"/>
              <w:right w:val="double" w:sz="4" w:space="0" w:color="auto"/>
            </w:tcBorders>
            <w:vAlign w:val="center"/>
          </w:tcPr>
          <w:p w14:paraId="5CA6DD13" w14:textId="77777777" w:rsidR="00606B63" w:rsidRPr="00AC24B6" w:rsidRDefault="00606B63" w:rsidP="007B429C">
            <w:pPr>
              <w:pStyle w:val="ExhibitText"/>
              <w:jc w:val="right"/>
            </w:pPr>
          </w:p>
          <w:p w14:paraId="087C003E" w14:textId="055AF67A" w:rsidR="00606B63" w:rsidRPr="00AC24B6" w:rsidRDefault="004D3E43" w:rsidP="007B429C">
            <w:pPr>
              <w:pStyle w:val="ExhibitText"/>
              <w:jc w:val="right"/>
            </w:pPr>
            <w:r w:rsidRPr="00AC24B6">
              <w:t>–</w:t>
            </w:r>
            <w:r w:rsidR="00606B63" w:rsidRPr="00AC24B6">
              <w:t>14</w:t>
            </w:r>
            <w:r w:rsidR="00BB5C7B" w:rsidRPr="00AC24B6">
              <w:t>.</w:t>
            </w:r>
            <w:r w:rsidR="00606B63" w:rsidRPr="00AC24B6">
              <w:t>6</w:t>
            </w:r>
          </w:p>
        </w:tc>
      </w:tr>
      <w:tr w:rsidR="00606B63" w:rsidRPr="00BB5C7B" w14:paraId="3377FD61" w14:textId="77777777" w:rsidTr="00BB5C7B">
        <w:trPr>
          <w:trHeight w:val="124"/>
          <w:jc w:val="center"/>
        </w:trPr>
        <w:tc>
          <w:tcPr>
            <w:tcW w:w="2520" w:type="dxa"/>
            <w:tcBorders>
              <w:left w:val="double" w:sz="4" w:space="0" w:color="auto"/>
            </w:tcBorders>
            <w:vAlign w:val="center"/>
          </w:tcPr>
          <w:p w14:paraId="694B4C7E" w14:textId="77777777" w:rsidR="00606B63" w:rsidRPr="00BB5C7B" w:rsidRDefault="00606B63" w:rsidP="007B429C">
            <w:pPr>
              <w:pStyle w:val="ExhibitText"/>
              <w:jc w:val="left"/>
            </w:pPr>
          </w:p>
        </w:tc>
        <w:tc>
          <w:tcPr>
            <w:tcW w:w="1164" w:type="dxa"/>
            <w:tcBorders>
              <w:right w:val="double" w:sz="4" w:space="0" w:color="auto"/>
            </w:tcBorders>
            <w:vAlign w:val="center"/>
          </w:tcPr>
          <w:p w14:paraId="08C2627B"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2448C0F5" w14:textId="0DAE5634" w:rsidR="00606B63" w:rsidRPr="00BB5C7B" w:rsidRDefault="00606B63" w:rsidP="007B429C">
            <w:pPr>
              <w:pStyle w:val="ExhibitText"/>
              <w:jc w:val="right"/>
            </w:pPr>
            <w:r w:rsidRPr="00BB5C7B">
              <w:t>302</w:t>
            </w:r>
            <w:r w:rsidR="00BB5C7B">
              <w:t>.</w:t>
            </w:r>
            <w:r w:rsidRPr="00BB5C7B">
              <w:t>2</w:t>
            </w:r>
          </w:p>
        </w:tc>
        <w:tc>
          <w:tcPr>
            <w:tcW w:w="1484" w:type="dxa"/>
            <w:vAlign w:val="center"/>
          </w:tcPr>
          <w:p w14:paraId="161F3A4B" w14:textId="742DBEFC" w:rsidR="00606B63" w:rsidRPr="00BB5C7B" w:rsidRDefault="00606B63" w:rsidP="007B429C">
            <w:pPr>
              <w:pStyle w:val="ExhibitText"/>
              <w:jc w:val="right"/>
            </w:pPr>
            <w:r w:rsidRPr="00BB5C7B">
              <w:t>250</w:t>
            </w:r>
            <w:r w:rsidR="00BB5C7B">
              <w:t>.</w:t>
            </w:r>
            <w:r w:rsidRPr="00BB5C7B">
              <w:t>3</w:t>
            </w:r>
          </w:p>
        </w:tc>
        <w:tc>
          <w:tcPr>
            <w:tcW w:w="1495" w:type="dxa"/>
            <w:tcBorders>
              <w:right w:val="double" w:sz="4" w:space="0" w:color="auto"/>
            </w:tcBorders>
            <w:vAlign w:val="center"/>
          </w:tcPr>
          <w:p w14:paraId="470C0711" w14:textId="1A04CF4C" w:rsidR="00606B63" w:rsidRPr="00AC24B6" w:rsidRDefault="004D3E43" w:rsidP="007B429C">
            <w:pPr>
              <w:pStyle w:val="ExhibitText"/>
              <w:jc w:val="right"/>
            </w:pPr>
            <w:r w:rsidRPr="00AC24B6">
              <w:t>–</w:t>
            </w:r>
            <w:r w:rsidR="00606B63" w:rsidRPr="00AC24B6">
              <w:t>17.2</w:t>
            </w:r>
          </w:p>
        </w:tc>
      </w:tr>
      <w:tr w:rsidR="00606B63" w:rsidRPr="00BB5C7B" w14:paraId="61D0C21F" w14:textId="77777777" w:rsidTr="00BB5C7B">
        <w:trPr>
          <w:trHeight w:val="124"/>
          <w:jc w:val="center"/>
        </w:trPr>
        <w:tc>
          <w:tcPr>
            <w:tcW w:w="2520" w:type="dxa"/>
            <w:tcBorders>
              <w:left w:val="double" w:sz="4" w:space="0" w:color="auto"/>
            </w:tcBorders>
            <w:vAlign w:val="center"/>
          </w:tcPr>
          <w:p w14:paraId="1D4042CA" w14:textId="77777777" w:rsidR="00606B63" w:rsidRPr="00BB5C7B" w:rsidRDefault="00606B63" w:rsidP="007B429C">
            <w:pPr>
              <w:pStyle w:val="ExhibitText"/>
              <w:jc w:val="left"/>
            </w:pPr>
          </w:p>
        </w:tc>
        <w:tc>
          <w:tcPr>
            <w:tcW w:w="1164" w:type="dxa"/>
            <w:tcBorders>
              <w:right w:val="double" w:sz="4" w:space="0" w:color="auto"/>
            </w:tcBorders>
            <w:vAlign w:val="center"/>
          </w:tcPr>
          <w:p w14:paraId="454EFCF9"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024BC224" w14:textId="459152ED" w:rsidR="00606B63" w:rsidRPr="00BB5C7B" w:rsidRDefault="00606B63" w:rsidP="007B429C">
            <w:pPr>
              <w:pStyle w:val="ExhibitText"/>
              <w:jc w:val="right"/>
            </w:pPr>
            <w:r w:rsidRPr="00BB5C7B">
              <w:t>21</w:t>
            </w:r>
            <w:r w:rsidR="00BB5C7B">
              <w:t>.</w:t>
            </w:r>
            <w:r w:rsidRPr="00BB5C7B">
              <w:t>5</w:t>
            </w:r>
          </w:p>
        </w:tc>
        <w:tc>
          <w:tcPr>
            <w:tcW w:w="1484" w:type="dxa"/>
            <w:vAlign w:val="center"/>
          </w:tcPr>
          <w:p w14:paraId="2F637ED9" w14:textId="73273067" w:rsidR="00606B63" w:rsidRPr="00BB5C7B" w:rsidRDefault="00606B63" w:rsidP="007B429C">
            <w:pPr>
              <w:pStyle w:val="ExhibitText"/>
              <w:jc w:val="right"/>
            </w:pPr>
            <w:r w:rsidRPr="00BB5C7B">
              <w:t>16</w:t>
            </w:r>
            <w:r w:rsidR="00BB5C7B">
              <w:t>.</w:t>
            </w:r>
            <w:r w:rsidRPr="00BB5C7B">
              <w:t>2</w:t>
            </w:r>
          </w:p>
        </w:tc>
        <w:tc>
          <w:tcPr>
            <w:tcW w:w="1495" w:type="dxa"/>
            <w:tcBorders>
              <w:right w:val="double" w:sz="4" w:space="0" w:color="auto"/>
            </w:tcBorders>
            <w:vAlign w:val="center"/>
          </w:tcPr>
          <w:p w14:paraId="17062547" w14:textId="5133D608" w:rsidR="00606B63" w:rsidRPr="00AC24B6" w:rsidRDefault="004D3E43" w:rsidP="007B429C">
            <w:pPr>
              <w:pStyle w:val="ExhibitText"/>
              <w:jc w:val="right"/>
            </w:pPr>
            <w:r w:rsidRPr="00AC24B6">
              <w:t>–</w:t>
            </w:r>
            <w:r w:rsidR="00606B63" w:rsidRPr="00AC24B6">
              <w:t>24</w:t>
            </w:r>
            <w:r w:rsidR="00BB5C7B" w:rsidRPr="00AC24B6">
              <w:t>.</w:t>
            </w:r>
            <w:r w:rsidR="00606B63" w:rsidRPr="00AC24B6">
              <w:t>8</w:t>
            </w:r>
          </w:p>
        </w:tc>
      </w:tr>
      <w:tr w:rsidR="00606B63" w:rsidRPr="00BB5C7B" w14:paraId="77221A51" w14:textId="77777777" w:rsidTr="00BB5C7B">
        <w:trPr>
          <w:trHeight w:val="134"/>
          <w:jc w:val="center"/>
        </w:trPr>
        <w:tc>
          <w:tcPr>
            <w:tcW w:w="2520" w:type="dxa"/>
            <w:tcBorders>
              <w:left w:val="double" w:sz="4" w:space="0" w:color="auto"/>
              <w:bottom w:val="double" w:sz="4" w:space="0" w:color="auto"/>
            </w:tcBorders>
            <w:vAlign w:val="center"/>
          </w:tcPr>
          <w:p w14:paraId="20B41B58"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3889D104"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1A245C53" w14:textId="4CA6CA12" w:rsidR="00606B63" w:rsidRPr="00BB5C7B" w:rsidRDefault="00606B63" w:rsidP="007B429C">
            <w:pPr>
              <w:pStyle w:val="ExhibitText"/>
              <w:jc w:val="right"/>
            </w:pPr>
            <w:r w:rsidRPr="00BB5C7B">
              <w:t>735</w:t>
            </w:r>
            <w:r w:rsidR="00BB5C7B">
              <w:t>.</w:t>
            </w:r>
            <w:r w:rsidRPr="00BB5C7B">
              <w:t>9</w:t>
            </w:r>
          </w:p>
        </w:tc>
        <w:tc>
          <w:tcPr>
            <w:tcW w:w="1484" w:type="dxa"/>
            <w:tcBorders>
              <w:bottom w:val="double" w:sz="4" w:space="0" w:color="auto"/>
            </w:tcBorders>
            <w:shd w:val="clear" w:color="auto" w:fill="EEECE1" w:themeFill="background2"/>
            <w:vAlign w:val="center"/>
          </w:tcPr>
          <w:p w14:paraId="7FF695C5" w14:textId="35A2F439" w:rsidR="00606B63" w:rsidRPr="00BB5C7B" w:rsidRDefault="00606B63" w:rsidP="007B429C">
            <w:pPr>
              <w:pStyle w:val="ExhibitText"/>
              <w:jc w:val="right"/>
            </w:pPr>
            <w:r w:rsidRPr="00BB5C7B">
              <w:t>618</w:t>
            </w:r>
            <w:r w:rsidR="00BB5C7B">
              <w:t>.</w:t>
            </w:r>
            <w:r w:rsidRPr="00BB5C7B">
              <w:t>4</w:t>
            </w:r>
          </w:p>
        </w:tc>
        <w:tc>
          <w:tcPr>
            <w:tcW w:w="1495" w:type="dxa"/>
            <w:tcBorders>
              <w:bottom w:val="double" w:sz="4" w:space="0" w:color="auto"/>
              <w:right w:val="double" w:sz="4" w:space="0" w:color="auto"/>
            </w:tcBorders>
            <w:shd w:val="clear" w:color="auto" w:fill="EEECE1" w:themeFill="background2"/>
            <w:vAlign w:val="center"/>
          </w:tcPr>
          <w:p w14:paraId="31DC9A8E" w14:textId="15929782" w:rsidR="00606B63" w:rsidRPr="00AC24B6" w:rsidRDefault="004D3E43" w:rsidP="007B429C">
            <w:pPr>
              <w:pStyle w:val="ExhibitText"/>
              <w:jc w:val="right"/>
            </w:pPr>
            <w:r w:rsidRPr="00AC24B6">
              <w:t>–</w:t>
            </w:r>
            <w:r w:rsidR="00606B63" w:rsidRPr="00AC24B6">
              <w:t>16</w:t>
            </w:r>
            <w:r w:rsidR="00BB5C7B" w:rsidRPr="00AC24B6">
              <w:t>.</w:t>
            </w:r>
            <w:r w:rsidR="00606B63" w:rsidRPr="00AC24B6">
              <w:t>0</w:t>
            </w:r>
          </w:p>
        </w:tc>
      </w:tr>
      <w:tr w:rsidR="00606B63" w:rsidRPr="00BB5C7B" w14:paraId="3D938B0B" w14:textId="77777777" w:rsidTr="00BB5C7B">
        <w:trPr>
          <w:trHeight w:val="84"/>
          <w:jc w:val="center"/>
        </w:trPr>
        <w:tc>
          <w:tcPr>
            <w:tcW w:w="2520" w:type="dxa"/>
            <w:tcBorders>
              <w:top w:val="double" w:sz="4" w:space="0" w:color="auto"/>
              <w:left w:val="double" w:sz="4" w:space="0" w:color="auto"/>
            </w:tcBorders>
            <w:vAlign w:val="center"/>
          </w:tcPr>
          <w:p w14:paraId="7258825E" w14:textId="77777777" w:rsidR="00606B63" w:rsidRPr="00BB5C7B" w:rsidRDefault="00606B63" w:rsidP="007B429C">
            <w:pPr>
              <w:pStyle w:val="ExhibitText"/>
              <w:jc w:val="left"/>
            </w:pPr>
            <w:r w:rsidRPr="00BB5C7B">
              <w:t xml:space="preserve">Eurasia </w:t>
            </w:r>
          </w:p>
        </w:tc>
        <w:tc>
          <w:tcPr>
            <w:tcW w:w="1164" w:type="dxa"/>
            <w:tcBorders>
              <w:top w:val="double" w:sz="4" w:space="0" w:color="auto"/>
              <w:right w:val="double" w:sz="4" w:space="0" w:color="auto"/>
            </w:tcBorders>
            <w:vAlign w:val="center"/>
          </w:tcPr>
          <w:p w14:paraId="488E548C"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174E5734" w14:textId="33CB1B50" w:rsidR="00606B63" w:rsidRPr="00BB5C7B" w:rsidRDefault="00606B63" w:rsidP="007B429C">
            <w:pPr>
              <w:pStyle w:val="ExhibitText"/>
              <w:jc w:val="right"/>
            </w:pPr>
            <w:r w:rsidRPr="00BB5C7B">
              <w:t>6</w:t>
            </w:r>
            <w:r w:rsidR="00BB5C7B">
              <w:t>.</w:t>
            </w:r>
            <w:r w:rsidRPr="00BB5C7B">
              <w:t>5</w:t>
            </w:r>
          </w:p>
        </w:tc>
        <w:tc>
          <w:tcPr>
            <w:tcW w:w="1484" w:type="dxa"/>
            <w:tcBorders>
              <w:top w:val="double" w:sz="4" w:space="0" w:color="auto"/>
            </w:tcBorders>
            <w:vAlign w:val="center"/>
          </w:tcPr>
          <w:p w14:paraId="33741F49" w14:textId="11E391AD" w:rsidR="00606B63" w:rsidRPr="00BB5C7B" w:rsidRDefault="00606B63" w:rsidP="007B429C">
            <w:pPr>
              <w:pStyle w:val="ExhibitText"/>
              <w:jc w:val="right"/>
            </w:pPr>
            <w:r w:rsidRPr="00BB5C7B">
              <w:t>5</w:t>
            </w:r>
            <w:r w:rsidR="00BB5C7B">
              <w:t>.</w:t>
            </w:r>
            <w:r w:rsidRPr="00BB5C7B">
              <w:t>6</w:t>
            </w:r>
          </w:p>
        </w:tc>
        <w:tc>
          <w:tcPr>
            <w:tcW w:w="1495" w:type="dxa"/>
            <w:tcBorders>
              <w:top w:val="double" w:sz="4" w:space="0" w:color="auto"/>
              <w:right w:val="double" w:sz="4" w:space="0" w:color="auto"/>
            </w:tcBorders>
            <w:vAlign w:val="center"/>
          </w:tcPr>
          <w:p w14:paraId="08E1129B" w14:textId="6F22ABC3" w:rsidR="00606B63" w:rsidRPr="00AC24B6" w:rsidRDefault="004D3E43" w:rsidP="007B429C">
            <w:pPr>
              <w:pStyle w:val="ExhibitText"/>
              <w:jc w:val="right"/>
            </w:pPr>
            <w:r w:rsidRPr="00AC24B6">
              <w:t>–</w:t>
            </w:r>
            <w:r w:rsidR="00606B63" w:rsidRPr="00AC24B6">
              <w:t>13</w:t>
            </w:r>
            <w:r w:rsidR="00BB5C7B" w:rsidRPr="00AC24B6">
              <w:t>.</w:t>
            </w:r>
            <w:r w:rsidR="00606B63" w:rsidRPr="00AC24B6">
              <w:t>9</w:t>
            </w:r>
          </w:p>
        </w:tc>
      </w:tr>
      <w:tr w:rsidR="00606B63" w:rsidRPr="00BB5C7B" w14:paraId="77CEF291" w14:textId="77777777" w:rsidTr="00BB5C7B">
        <w:trPr>
          <w:trHeight w:val="134"/>
          <w:jc w:val="center"/>
        </w:trPr>
        <w:tc>
          <w:tcPr>
            <w:tcW w:w="2520" w:type="dxa"/>
            <w:tcBorders>
              <w:left w:val="double" w:sz="4" w:space="0" w:color="auto"/>
            </w:tcBorders>
            <w:vAlign w:val="center"/>
          </w:tcPr>
          <w:p w14:paraId="6049EA74" w14:textId="77777777" w:rsidR="00606B63" w:rsidRPr="00BB5C7B" w:rsidRDefault="00606B63" w:rsidP="007B429C">
            <w:pPr>
              <w:pStyle w:val="ExhibitText"/>
              <w:jc w:val="left"/>
            </w:pPr>
          </w:p>
        </w:tc>
        <w:tc>
          <w:tcPr>
            <w:tcW w:w="1164" w:type="dxa"/>
            <w:tcBorders>
              <w:right w:val="double" w:sz="4" w:space="0" w:color="auto"/>
            </w:tcBorders>
            <w:vAlign w:val="center"/>
          </w:tcPr>
          <w:p w14:paraId="0EB44C98"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35EB1EA3" w14:textId="20245A5E" w:rsidR="00606B63" w:rsidRPr="00BB5C7B" w:rsidRDefault="00606B63" w:rsidP="007B429C">
            <w:pPr>
              <w:pStyle w:val="ExhibitText"/>
              <w:jc w:val="right"/>
            </w:pPr>
            <w:r w:rsidRPr="00BB5C7B">
              <w:t>5</w:t>
            </w:r>
            <w:r w:rsidR="00BB5C7B">
              <w:t>.</w:t>
            </w:r>
            <w:r w:rsidRPr="00BB5C7B">
              <w:t>4</w:t>
            </w:r>
          </w:p>
        </w:tc>
        <w:tc>
          <w:tcPr>
            <w:tcW w:w="1484" w:type="dxa"/>
            <w:vAlign w:val="center"/>
          </w:tcPr>
          <w:p w14:paraId="18032EA1" w14:textId="2DAB8BCF" w:rsidR="00606B63" w:rsidRPr="00BB5C7B" w:rsidRDefault="00606B63" w:rsidP="007B429C">
            <w:pPr>
              <w:pStyle w:val="ExhibitText"/>
              <w:jc w:val="right"/>
            </w:pPr>
            <w:r w:rsidRPr="00BB5C7B">
              <w:t>4</w:t>
            </w:r>
            <w:r w:rsidR="00BB5C7B">
              <w:t>.</w:t>
            </w:r>
            <w:r w:rsidRPr="00BB5C7B">
              <w:t>8</w:t>
            </w:r>
          </w:p>
        </w:tc>
        <w:tc>
          <w:tcPr>
            <w:tcW w:w="1495" w:type="dxa"/>
            <w:tcBorders>
              <w:right w:val="double" w:sz="4" w:space="0" w:color="auto"/>
            </w:tcBorders>
            <w:vAlign w:val="center"/>
          </w:tcPr>
          <w:p w14:paraId="4D20A10B" w14:textId="338715E2" w:rsidR="00606B63" w:rsidRPr="00AC24B6" w:rsidRDefault="004D3E43" w:rsidP="007B429C">
            <w:pPr>
              <w:pStyle w:val="ExhibitText"/>
              <w:jc w:val="right"/>
            </w:pPr>
            <w:r w:rsidRPr="00AC24B6">
              <w:t>–</w:t>
            </w:r>
            <w:r w:rsidR="00606B63" w:rsidRPr="00AC24B6">
              <w:t>11</w:t>
            </w:r>
            <w:r w:rsidR="00BB5C7B" w:rsidRPr="00AC24B6">
              <w:t>.</w:t>
            </w:r>
            <w:r w:rsidR="00606B63" w:rsidRPr="00AC24B6">
              <w:t>5</w:t>
            </w:r>
          </w:p>
        </w:tc>
      </w:tr>
      <w:tr w:rsidR="00606B63" w:rsidRPr="00BB5C7B" w14:paraId="182B9B5B" w14:textId="77777777" w:rsidTr="00BB5C7B">
        <w:trPr>
          <w:trHeight w:val="124"/>
          <w:jc w:val="center"/>
        </w:trPr>
        <w:tc>
          <w:tcPr>
            <w:tcW w:w="2520" w:type="dxa"/>
            <w:tcBorders>
              <w:left w:val="double" w:sz="4" w:space="0" w:color="auto"/>
            </w:tcBorders>
            <w:vAlign w:val="center"/>
          </w:tcPr>
          <w:p w14:paraId="593CA121" w14:textId="77777777" w:rsidR="00606B63" w:rsidRPr="00BB5C7B" w:rsidRDefault="00606B63" w:rsidP="007B429C">
            <w:pPr>
              <w:pStyle w:val="ExhibitText"/>
              <w:jc w:val="left"/>
            </w:pPr>
          </w:p>
        </w:tc>
        <w:tc>
          <w:tcPr>
            <w:tcW w:w="1164" w:type="dxa"/>
            <w:tcBorders>
              <w:right w:val="double" w:sz="4" w:space="0" w:color="auto"/>
            </w:tcBorders>
            <w:vAlign w:val="center"/>
          </w:tcPr>
          <w:p w14:paraId="05FE63F5"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0B4D4FE0" w14:textId="605F5185" w:rsidR="00606B63" w:rsidRPr="00BB5C7B" w:rsidRDefault="00606B63" w:rsidP="007B429C">
            <w:pPr>
              <w:pStyle w:val="ExhibitText"/>
              <w:jc w:val="right"/>
            </w:pPr>
            <w:r w:rsidRPr="00BB5C7B">
              <w:t>0</w:t>
            </w:r>
            <w:r w:rsidR="00BB5C7B">
              <w:t>.</w:t>
            </w:r>
            <w:r w:rsidRPr="00BB5C7B">
              <w:t>1</w:t>
            </w:r>
          </w:p>
        </w:tc>
        <w:tc>
          <w:tcPr>
            <w:tcW w:w="1484" w:type="dxa"/>
            <w:vAlign w:val="center"/>
          </w:tcPr>
          <w:p w14:paraId="2FFDFBC0" w14:textId="43C75407" w:rsidR="00606B63" w:rsidRPr="00BB5C7B" w:rsidRDefault="00606B63" w:rsidP="007B429C">
            <w:pPr>
              <w:pStyle w:val="ExhibitText"/>
              <w:jc w:val="right"/>
            </w:pPr>
            <w:r w:rsidRPr="00BB5C7B">
              <w:t>0</w:t>
            </w:r>
            <w:r w:rsidR="00BB5C7B">
              <w:t>.</w:t>
            </w:r>
            <w:r w:rsidRPr="00BB5C7B">
              <w:t>1</w:t>
            </w:r>
          </w:p>
        </w:tc>
        <w:tc>
          <w:tcPr>
            <w:tcW w:w="1495" w:type="dxa"/>
            <w:tcBorders>
              <w:right w:val="double" w:sz="4" w:space="0" w:color="auto"/>
            </w:tcBorders>
            <w:vAlign w:val="center"/>
          </w:tcPr>
          <w:p w14:paraId="3DAFB125" w14:textId="50EF5BEC" w:rsidR="00606B63" w:rsidRPr="00AC24B6" w:rsidRDefault="00606B63" w:rsidP="007B429C">
            <w:pPr>
              <w:pStyle w:val="ExhibitText"/>
              <w:jc w:val="right"/>
            </w:pPr>
            <w:r w:rsidRPr="00AC24B6">
              <w:t>20.5</w:t>
            </w:r>
          </w:p>
        </w:tc>
      </w:tr>
      <w:tr w:rsidR="00606B63" w:rsidRPr="00BB5C7B" w14:paraId="698C4203" w14:textId="77777777" w:rsidTr="00BB5C7B">
        <w:trPr>
          <w:trHeight w:val="134"/>
          <w:jc w:val="center"/>
        </w:trPr>
        <w:tc>
          <w:tcPr>
            <w:tcW w:w="2520" w:type="dxa"/>
            <w:tcBorders>
              <w:left w:val="double" w:sz="4" w:space="0" w:color="auto"/>
              <w:bottom w:val="double" w:sz="4" w:space="0" w:color="auto"/>
            </w:tcBorders>
            <w:vAlign w:val="center"/>
          </w:tcPr>
          <w:p w14:paraId="5BF3AD67"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2E501CDD"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527018F6" w14:textId="09A63C3D" w:rsidR="00606B63" w:rsidRPr="00BB5C7B" w:rsidRDefault="00606B63" w:rsidP="007B429C">
            <w:pPr>
              <w:pStyle w:val="ExhibitText"/>
              <w:jc w:val="right"/>
            </w:pPr>
            <w:r w:rsidRPr="00BB5C7B">
              <w:t>12</w:t>
            </w:r>
            <w:r w:rsidR="00BB5C7B">
              <w:t>.</w:t>
            </w:r>
            <w:r w:rsidRPr="00BB5C7B">
              <w:t>0</w:t>
            </w:r>
          </w:p>
        </w:tc>
        <w:tc>
          <w:tcPr>
            <w:tcW w:w="1484" w:type="dxa"/>
            <w:tcBorders>
              <w:bottom w:val="double" w:sz="4" w:space="0" w:color="auto"/>
            </w:tcBorders>
            <w:shd w:val="clear" w:color="auto" w:fill="EEECE1" w:themeFill="background2"/>
            <w:vAlign w:val="center"/>
          </w:tcPr>
          <w:p w14:paraId="317A6491" w14:textId="496198EC" w:rsidR="00606B63" w:rsidRPr="00BB5C7B" w:rsidRDefault="00606B63" w:rsidP="007B429C">
            <w:pPr>
              <w:pStyle w:val="ExhibitText"/>
              <w:jc w:val="right"/>
            </w:pPr>
            <w:r w:rsidRPr="00BB5C7B">
              <w:t>10</w:t>
            </w:r>
            <w:r w:rsidR="00BB5C7B">
              <w:t>.</w:t>
            </w:r>
            <w:r w:rsidRPr="00BB5C7B">
              <w:t>5</w:t>
            </w:r>
          </w:p>
        </w:tc>
        <w:tc>
          <w:tcPr>
            <w:tcW w:w="1495" w:type="dxa"/>
            <w:tcBorders>
              <w:bottom w:val="double" w:sz="4" w:space="0" w:color="auto"/>
              <w:right w:val="double" w:sz="4" w:space="0" w:color="auto"/>
            </w:tcBorders>
            <w:shd w:val="clear" w:color="auto" w:fill="EEECE1" w:themeFill="background2"/>
            <w:vAlign w:val="center"/>
          </w:tcPr>
          <w:p w14:paraId="3F70E84A" w14:textId="3595387E" w:rsidR="00606B63" w:rsidRPr="00AC24B6" w:rsidRDefault="004D3E43" w:rsidP="007B429C">
            <w:pPr>
              <w:pStyle w:val="ExhibitText"/>
              <w:jc w:val="right"/>
            </w:pPr>
            <w:r w:rsidRPr="00AC24B6">
              <w:t>–</w:t>
            </w:r>
            <w:r w:rsidR="00606B63" w:rsidRPr="00AC24B6">
              <w:t>12</w:t>
            </w:r>
            <w:r w:rsidR="00BB5C7B" w:rsidRPr="00AC24B6">
              <w:t>.</w:t>
            </w:r>
            <w:r w:rsidR="00606B63" w:rsidRPr="00AC24B6">
              <w:t>6</w:t>
            </w:r>
          </w:p>
        </w:tc>
      </w:tr>
      <w:tr w:rsidR="00606B63" w:rsidRPr="00BB5C7B" w14:paraId="6AC7D555" w14:textId="77777777" w:rsidTr="00BB5C7B">
        <w:trPr>
          <w:trHeight w:val="84"/>
          <w:jc w:val="center"/>
        </w:trPr>
        <w:tc>
          <w:tcPr>
            <w:tcW w:w="2520" w:type="dxa"/>
            <w:tcBorders>
              <w:top w:val="double" w:sz="4" w:space="0" w:color="auto"/>
              <w:left w:val="double" w:sz="4" w:space="0" w:color="auto"/>
            </w:tcBorders>
            <w:vAlign w:val="center"/>
          </w:tcPr>
          <w:p w14:paraId="44CD52D8" w14:textId="066758B0" w:rsidR="00606B63" w:rsidRPr="00BB5C7B" w:rsidRDefault="00606B63" w:rsidP="007B429C">
            <w:pPr>
              <w:pStyle w:val="ExhibitText"/>
              <w:jc w:val="left"/>
            </w:pPr>
            <w:r w:rsidRPr="00BB5C7B">
              <w:t>Europe*</w:t>
            </w:r>
          </w:p>
        </w:tc>
        <w:tc>
          <w:tcPr>
            <w:tcW w:w="1164" w:type="dxa"/>
            <w:tcBorders>
              <w:top w:val="double" w:sz="4" w:space="0" w:color="auto"/>
              <w:right w:val="double" w:sz="4" w:space="0" w:color="auto"/>
            </w:tcBorders>
            <w:vAlign w:val="center"/>
          </w:tcPr>
          <w:p w14:paraId="13EFF593"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77ACB85A" w14:textId="38A4F8CA" w:rsidR="00606B63" w:rsidRPr="00BB5C7B" w:rsidRDefault="00606B63" w:rsidP="007B429C">
            <w:pPr>
              <w:pStyle w:val="ExhibitText"/>
              <w:jc w:val="right"/>
            </w:pPr>
            <w:r w:rsidRPr="00BB5C7B">
              <w:t>1</w:t>
            </w:r>
            <w:r w:rsidR="004D3E43" w:rsidRPr="00BB5C7B">
              <w:t>,</w:t>
            </w:r>
            <w:r w:rsidRPr="00BB5C7B">
              <w:t>056</w:t>
            </w:r>
            <w:r w:rsidR="00BB5C7B">
              <w:t>.</w:t>
            </w:r>
            <w:r w:rsidRPr="00BB5C7B">
              <w:t>1</w:t>
            </w:r>
          </w:p>
        </w:tc>
        <w:tc>
          <w:tcPr>
            <w:tcW w:w="1484" w:type="dxa"/>
            <w:tcBorders>
              <w:top w:val="double" w:sz="4" w:space="0" w:color="auto"/>
            </w:tcBorders>
            <w:vAlign w:val="center"/>
          </w:tcPr>
          <w:p w14:paraId="38295E7D" w14:textId="2BE92E02" w:rsidR="00606B63" w:rsidRPr="00BB5C7B" w:rsidRDefault="00606B63" w:rsidP="007B429C">
            <w:pPr>
              <w:pStyle w:val="ExhibitText"/>
              <w:jc w:val="right"/>
            </w:pPr>
            <w:r w:rsidRPr="00BB5C7B">
              <w:t>1</w:t>
            </w:r>
            <w:r w:rsidR="004D3E43" w:rsidRPr="00BB5C7B">
              <w:t>,</w:t>
            </w:r>
            <w:r w:rsidRPr="00BB5C7B">
              <w:t>102</w:t>
            </w:r>
            <w:r w:rsidR="00BB5C7B">
              <w:t>.</w:t>
            </w:r>
            <w:r w:rsidRPr="00BB5C7B">
              <w:t>2</w:t>
            </w:r>
          </w:p>
        </w:tc>
        <w:tc>
          <w:tcPr>
            <w:tcW w:w="1495" w:type="dxa"/>
            <w:tcBorders>
              <w:top w:val="double" w:sz="4" w:space="0" w:color="auto"/>
              <w:right w:val="double" w:sz="4" w:space="0" w:color="auto"/>
            </w:tcBorders>
            <w:vAlign w:val="center"/>
          </w:tcPr>
          <w:p w14:paraId="261ABCC0" w14:textId="52681D13" w:rsidR="00606B63" w:rsidRPr="00AC24B6" w:rsidRDefault="00606B63" w:rsidP="007B429C">
            <w:pPr>
              <w:pStyle w:val="ExhibitText"/>
              <w:jc w:val="right"/>
            </w:pPr>
            <w:r w:rsidRPr="00AC24B6">
              <w:t>4</w:t>
            </w:r>
            <w:r w:rsidR="00BB5C7B" w:rsidRPr="00AC24B6">
              <w:t>.</w:t>
            </w:r>
            <w:r w:rsidRPr="00AC24B6">
              <w:t>4</w:t>
            </w:r>
          </w:p>
        </w:tc>
      </w:tr>
      <w:tr w:rsidR="00606B63" w:rsidRPr="00BB5C7B" w14:paraId="7DC4A37C" w14:textId="77777777" w:rsidTr="00BB5C7B">
        <w:trPr>
          <w:trHeight w:val="132"/>
          <w:jc w:val="center"/>
        </w:trPr>
        <w:tc>
          <w:tcPr>
            <w:tcW w:w="2520" w:type="dxa"/>
            <w:tcBorders>
              <w:left w:val="double" w:sz="4" w:space="0" w:color="auto"/>
            </w:tcBorders>
            <w:vAlign w:val="center"/>
          </w:tcPr>
          <w:p w14:paraId="0F5017F1" w14:textId="77777777" w:rsidR="00606B63" w:rsidRPr="00BB5C7B" w:rsidRDefault="00606B63" w:rsidP="007B429C">
            <w:pPr>
              <w:pStyle w:val="ExhibitText"/>
              <w:jc w:val="left"/>
            </w:pPr>
          </w:p>
        </w:tc>
        <w:tc>
          <w:tcPr>
            <w:tcW w:w="1164" w:type="dxa"/>
            <w:tcBorders>
              <w:right w:val="double" w:sz="4" w:space="0" w:color="auto"/>
            </w:tcBorders>
            <w:vAlign w:val="center"/>
          </w:tcPr>
          <w:p w14:paraId="0EB327FC"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0A11A134" w14:textId="7F304EC5" w:rsidR="00606B63" w:rsidRPr="00BB5C7B" w:rsidRDefault="00606B63" w:rsidP="007B429C">
            <w:pPr>
              <w:pStyle w:val="ExhibitText"/>
              <w:jc w:val="right"/>
            </w:pPr>
            <w:r w:rsidRPr="00BB5C7B">
              <w:t>731</w:t>
            </w:r>
            <w:r w:rsidR="00BB5C7B">
              <w:t>.</w:t>
            </w:r>
            <w:r w:rsidRPr="00BB5C7B">
              <w:t>1</w:t>
            </w:r>
          </w:p>
        </w:tc>
        <w:tc>
          <w:tcPr>
            <w:tcW w:w="1484" w:type="dxa"/>
            <w:vAlign w:val="center"/>
          </w:tcPr>
          <w:p w14:paraId="6161F346" w14:textId="7B4AD8D8" w:rsidR="00606B63" w:rsidRPr="00BB5C7B" w:rsidRDefault="00606B63" w:rsidP="007B429C">
            <w:pPr>
              <w:pStyle w:val="ExhibitText"/>
              <w:jc w:val="right"/>
            </w:pPr>
            <w:r w:rsidRPr="00BB5C7B">
              <w:t>762</w:t>
            </w:r>
            <w:r w:rsidR="00BB5C7B">
              <w:t>.</w:t>
            </w:r>
            <w:r w:rsidRPr="00BB5C7B">
              <w:t>6</w:t>
            </w:r>
          </w:p>
        </w:tc>
        <w:tc>
          <w:tcPr>
            <w:tcW w:w="1495" w:type="dxa"/>
            <w:tcBorders>
              <w:right w:val="double" w:sz="4" w:space="0" w:color="auto"/>
            </w:tcBorders>
            <w:vAlign w:val="center"/>
          </w:tcPr>
          <w:p w14:paraId="05BEA4CB" w14:textId="6C1C69E3" w:rsidR="00606B63" w:rsidRPr="00AC24B6" w:rsidRDefault="00606B63" w:rsidP="007B429C">
            <w:pPr>
              <w:pStyle w:val="ExhibitText"/>
              <w:jc w:val="right"/>
            </w:pPr>
            <w:r w:rsidRPr="00AC24B6">
              <w:t>4</w:t>
            </w:r>
            <w:r w:rsidR="00BB5C7B" w:rsidRPr="00AC24B6">
              <w:t>.</w:t>
            </w:r>
            <w:r w:rsidRPr="00AC24B6">
              <w:t>3</w:t>
            </w:r>
          </w:p>
        </w:tc>
      </w:tr>
      <w:tr w:rsidR="00606B63" w:rsidRPr="00BB5C7B" w14:paraId="5A8A8894" w14:textId="77777777" w:rsidTr="00AC24B6">
        <w:trPr>
          <w:trHeight w:val="124"/>
          <w:jc w:val="center"/>
        </w:trPr>
        <w:tc>
          <w:tcPr>
            <w:tcW w:w="2520" w:type="dxa"/>
            <w:tcBorders>
              <w:left w:val="double" w:sz="4" w:space="0" w:color="auto"/>
            </w:tcBorders>
            <w:vAlign w:val="center"/>
          </w:tcPr>
          <w:p w14:paraId="7BC0BE89" w14:textId="77777777" w:rsidR="00606B63" w:rsidRPr="00BB5C7B" w:rsidRDefault="00606B63" w:rsidP="007B429C">
            <w:pPr>
              <w:pStyle w:val="ExhibitText"/>
              <w:jc w:val="left"/>
            </w:pPr>
          </w:p>
        </w:tc>
        <w:tc>
          <w:tcPr>
            <w:tcW w:w="1164" w:type="dxa"/>
            <w:tcBorders>
              <w:right w:val="double" w:sz="4" w:space="0" w:color="auto"/>
            </w:tcBorders>
            <w:vAlign w:val="center"/>
          </w:tcPr>
          <w:p w14:paraId="2C5A7C97"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266A7936" w14:textId="1917166A" w:rsidR="00606B63" w:rsidRPr="00BB5C7B" w:rsidRDefault="00606B63" w:rsidP="007B429C">
            <w:pPr>
              <w:pStyle w:val="ExhibitText"/>
              <w:jc w:val="right"/>
            </w:pPr>
            <w:r w:rsidRPr="00BB5C7B">
              <w:t>76</w:t>
            </w:r>
            <w:r w:rsidR="00BB5C7B">
              <w:t>.</w:t>
            </w:r>
            <w:r w:rsidRPr="00BB5C7B">
              <w:t>7</w:t>
            </w:r>
          </w:p>
        </w:tc>
        <w:tc>
          <w:tcPr>
            <w:tcW w:w="1484" w:type="dxa"/>
            <w:vAlign w:val="center"/>
          </w:tcPr>
          <w:p w14:paraId="5DB8C39D" w14:textId="25C3A392" w:rsidR="00606B63" w:rsidRPr="00BB5C7B" w:rsidRDefault="00606B63" w:rsidP="007B429C">
            <w:pPr>
              <w:pStyle w:val="ExhibitText"/>
              <w:jc w:val="right"/>
            </w:pPr>
            <w:r w:rsidRPr="00BB5C7B">
              <w:t>65</w:t>
            </w:r>
            <w:r w:rsidR="00BB5C7B">
              <w:t>.</w:t>
            </w:r>
            <w:r w:rsidRPr="00BB5C7B">
              <w:t>5</w:t>
            </w:r>
          </w:p>
        </w:tc>
        <w:tc>
          <w:tcPr>
            <w:tcW w:w="1495" w:type="dxa"/>
            <w:tcBorders>
              <w:right w:val="double" w:sz="4" w:space="0" w:color="auto"/>
            </w:tcBorders>
            <w:vAlign w:val="center"/>
          </w:tcPr>
          <w:p w14:paraId="14354451" w14:textId="4EDED2FE" w:rsidR="00606B63" w:rsidRPr="00AC24B6" w:rsidRDefault="004D3E43" w:rsidP="007B429C">
            <w:pPr>
              <w:pStyle w:val="ExhibitText"/>
              <w:jc w:val="right"/>
            </w:pPr>
            <w:r w:rsidRPr="00AC24B6">
              <w:t>–</w:t>
            </w:r>
            <w:r w:rsidR="00606B63" w:rsidRPr="00AC24B6">
              <w:t>14</w:t>
            </w:r>
            <w:r w:rsidR="00BB5C7B" w:rsidRPr="00AC24B6">
              <w:t>.</w:t>
            </w:r>
            <w:r w:rsidR="00606B63" w:rsidRPr="00AC24B6">
              <w:t>7</w:t>
            </w:r>
          </w:p>
        </w:tc>
      </w:tr>
      <w:tr w:rsidR="00606B63" w:rsidRPr="00BB5C7B" w14:paraId="58FC6DE8" w14:textId="77777777" w:rsidTr="00AC24B6">
        <w:trPr>
          <w:trHeight w:val="118"/>
          <w:jc w:val="center"/>
        </w:trPr>
        <w:tc>
          <w:tcPr>
            <w:tcW w:w="2520" w:type="dxa"/>
            <w:tcBorders>
              <w:left w:val="double" w:sz="4" w:space="0" w:color="auto"/>
              <w:bottom w:val="double" w:sz="4" w:space="0" w:color="auto"/>
            </w:tcBorders>
            <w:vAlign w:val="center"/>
          </w:tcPr>
          <w:p w14:paraId="0FA6759A"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7FFA54A1"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418DB3D4" w14:textId="555129B2" w:rsidR="00606B63" w:rsidRPr="00BB5C7B" w:rsidRDefault="00606B63" w:rsidP="007B429C">
            <w:pPr>
              <w:pStyle w:val="ExhibitText"/>
              <w:jc w:val="right"/>
            </w:pPr>
            <w:r w:rsidRPr="00BB5C7B">
              <w:t>1</w:t>
            </w:r>
            <w:r w:rsidR="004D3E43" w:rsidRPr="00BB5C7B">
              <w:t>,</w:t>
            </w:r>
            <w:r w:rsidRPr="00BB5C7B">
              <w:t>864</w:t>
            </w:r>
            <w:r w:rsidR="00BB5C7B">
              <w:t>.</w:t>
            </w:r>
            <w:r w:rsidRPr="00BB5C7B">
              <w:t>0</w:t>
            </w:r>
          </w:p>
        </w:tc>
        <w:tc>
          <w:tcPr>
            <w:tcW w:w="1484" w:type="dxa"/>
            <w:tcBorders>
              <w:bottom w:val="double" w:sz="4" w:space="0" w:color="auto"/>
            </w:tcBorders>
            <w:shd w:val="clear" w:color="auto" w:fill="EEECE1" w:themeFill="background2"/>
            <w:vAlign w:val="center"/>
          </w:tcPr>
          <w:p w14:paraId="743891EC" w14:textId="25B9802F" w:rsidR="00606B63" w:rsidRPr="00BB5C7B" w:rsidRDefault="00606B63" w:rsidP="007B429C">
            <w:pPr>
              <w:pStyle w:val="ExhibitText"/>
              <w:jc w:val="right"/>
            </w:pPr>
            <w:r w:rsidRPr="00BB5C7B">
              <w:t>1</w:t>
            </w:r>
            <w:r w:rsidR="004D3E43" w:rsidRPr="00BB5C7B">
              <w:t>,</w:t>
            </w:r>
            <w:r w:rsidRPr="00BB5C7B">
              <w:t>930</w:t>
            </w:r>
            <w:r w:rsidR="00BB5C7B">
              <w:t>.</w:t>
            </w:r>
            <w:r w:rsidRPr="00BB5C7B">
              <w:t>3</w:t>
            </w:r>
          </w:p>
        </w:tc>
        <w:tc>
          <w:tcPr>
            <w:tcW w:w="1495" w:type="dxa"/>
            <w:tcBorders>
              <w:bottom w:val="double" w:sz="4" w:space="0" w:color="auto"/>
              <w:right w:val="double" w:sz="4" w:space="0" w:color="auto"/>
            </w:tcBorders>
            <w:shd w:val="clear" w:color="auto" w:fill="EEECE1" w:themeFill="background2"/>
            <w:vAlign w:val="center"/>
          </w:tcPr>
          <w:p w14:paraId="3942F6A2" w14:textId="76F15BFB" w:rsidR="00606B63" w:rsidRPr="00AC24B6" w:rsidRDefault="00606B63" w:rsidP="007B429C">
            <w:pPr>
              <w:pStyle w:val="ExhibitText"/>
              <w:jc w:val="right"/>
            </w:pPr>
            <w:r w:rsidRPr="00AC24B6">
              <w:t>3</w:t>
            </w:r>
            <w:r w:rsidR="00BB5C7B" w:rsidRPr="00AC24B6">
              <w:t>.</w:t>
            </w:r>
            <w:r w:rsidRPr="00AC24B6">
              <w:t>6</w:t>
            </w:r>
          </w:p>
        </w:tc>
      </w:tr>
      <w:tr w:rsidR="00606B63" w:rsidRPr="00BB5C7B" w14:paraId="2F3814EF" w14:textId="77777777" w:rsidTr="00BB5C7B">
        <w:trPr>
          <w:trHeight w:val="104"/>
          <w:jc w:val="center"/>
        </w:trPr>
        <w:tc>
          <w:tcPr>
            <w:tcW w:w="2520" w:type="dxa"/>
            <w:tcBorders>
              <w:top w:val="double" w:sz="4" w:space="0" w:color="auto"/>
              <w:left w:val="double" w:sz="4" w:space="0" w:color="auto"/>
            </w:tcBorders>
            <w:vAlign w:val="center"/>
          </w:tcPr>
          <w:p w14:paraId="67113AF1" w14:textId="77777777" w:rsidR="00606B63" w:rsidRPr="00BB5C7B" w:rsidRDefault="00606B63" w:rsidP="007B429C">
            <w:pPr>
              <w:pStyle w:val="ExhibitText"/>
              <w:jc w:val="left"/>
            </w:pPr>
            <w:r w:rsidRPr="00BB5C7B">
              <w:t xml:space="preserve">India-Pacific </w:t>
            </w:r>
          </w:p>
        </w:tc>
        <w:tc>
          <w:tcPr>
            <w:tcW w:w="1164" w:type="dxa"/>
            <w:tcBorders>
              <w:top w:val="double" w:sz="4" w:space="0" w:color="auto"/>
              <w:right w:val="double" w:sz="4" w:space="0" w:color="auto"/>
            </w:tcBorders>
            <w:vAlign w:val="center"/>
          </w:tcPr>
          <w:p w14:paraId="1B0F0B57"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2B32CFA4" w14:textId="24629516" w:rsidR="00606B63" w:rsidRPr="00BB5C7B" w:rsidRDefault="00606B63" w:rsidP="007B429C">
            <w:pPr>
              <w:pStyle w:val="ExhibitText"/>
              <w:jc w:val="right"/>
            </w:pPr>
            <w:r w:rsidRPr="00BB5C7B">
              <w:t>18</w:t>
            </w:r>
            <w:r w:rsidR="00BB5C7B">
              <w:t>.</w:t>
            </w:r>
            <w:r w:rsidRPr="00BB5C7B">
              <w:t>5</w:t>
            </w:r>
          </w:p>
        </w:tc>
        <w:tc>
          <w:tcPr>
            <w:tcW w:w="1484" w:type="dxa"/>
            <w:tcBorders>
              <w:top w:val="double" w:sz="4" w:space="0" w:color="auto"/>
            </w:tcBorders>
            <w:vAlign w:val="center"/>
          </w:tcPr>
          <w:p w14:paraId="5754818C" w14:textId="74FE2BDB" w:rsidR="00606B63" w:rsidRPr="00BB5C7B" w:rsidRDefault="00606B63" w:rsidP="007B429C">
            <w:pPr>
              <w:pStyle w:val="ExhibitText"/>
              <w:jc w:val="right"/>
            </w:pPr>
            <w:r w:rsidRPr="00BB5C7B">
              <w:t>14</w:t>
            </w:r>
            <w:r w:rsidR="00BB5C7B">
              <w:t>.</w:t>
            </w:r>
            <w:r w:rsidRPr="00BB5C7B">
              <w:t>0</w:t>
            </w:r>
          </w:p>
        </w:tc>
        <w:tc>
          <w:tcPr>
            <w:tcW w:w="1495" w:type="dxa"/>
            <w:tcBorders>
              <w:top w:val="double" w:sz="4" w:space="0" w:color="auto"/>
              <w:right w:val="double" w:sz="4" w:space="0" w:color="auto"/>
            </w:tcBorders>
            <w:vAlign w:val="center"/>
          </w:tcPr>
          <w:p w14:paraId="5FFAAFD3" w14:textId="5AAB829F" w:rsidR="00606B63" w:rsidRPr="00AC24B6" w:rsidRDefault="004D3E43" w:rsidP="007B429C">
            <w:pPr>
              <w:pStyle w:val="ExhibitText"/>
              <w:jc w:val="right"/>
            </w:pPr>
            <w:r w:rsidRPr="00AC24B6">
              <w:t>–</w:t>
            </w:r>
            <w:r w:rsidR="00606B63" w:rsidRPr="00AC24B6">
              <w:t>24</w:t>
            </w:r>
            <w:r w:rsidR="00BB5C7B" w:rsidRPr="00AC24B6">
              <w:t>.</w:t>
            </w:r>
            <w:r w:rsidR="00606B63" w:rsidRPr="00AC24B6">
              <w:t>3</w:t>
            </w:r>
          </w:p>
        </w:tc>
      </w:tr>
      <w:tr w:rsidR="00606B63" w:rsidRPr="00BB5C7B" w14:paraId="464F1B03" w14:textId="77777777" w:rsidTr="00BB5C7B">
        <w:trPr>
          <w:trHeight w:val="134"/>
          <w:jc w:val="center"/>
        </w:trPr>
        <w:tc>
          <w:tcPr>
            <w:tcW w:w="2520" w:type="dxa"/>
            <w:tcBorders>
              <w:left w:val="double" w:sz="4" w:space="0" w:color="auto"/>
            </w:tcBorders>
            <w:vAlign w:val="center"/>
          </w:tcPr>
          <w:p w14:paraId="1587E227" w14:textId="77777777" w:rsidR="00606B63" w:rsidRPr="00BB5C7B" w:rsidRDefault="00606B63" w:rsidP="007B429C">
            <w:pPr>
              <w:pStyle w:val="ExhibitText"/>
              <w:jc w:val="left"/>
            </w:pPr>
          </w:p>
        </w:tc>
        <w:tc>
          <w:tcPr>
            <w:tcW w:w="1164" w:type="dxa"/>
            <w:tcBorders>
              <w:right w:val="double" w:sz="4" w:space="0" w:color="auto"/>
            </w:tcBorders>
            <w:vAlign w:val="center"/>
          </w:tcPr>
          <w:p w14:paraId="18FBB708"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0BA95E9D" w14:textId="00BEFC83" w:rsidR="00606B63" w:rsidRPr="00BB5C7B" w:rsidRDefault="00606B63" w:rsidP="007B429C">
            <w:pPr>
              <w:pStyle w:val="ExhibitText"/>
              <w:jc w:val="right"/>
            </w:pPr>
            <w:r w:rsidRPr="00BB5C7B">
              <w:t>4</w:t>
            </w:r>
            <w:r w:rsidR="00BB5C7B">
              <w:t>.</w:t>
            </w:r>
            <w:r w:rsidRPr="00BB5C7B">
              <w:t>1</w:t>
            </w:r>
          </w:p>
        </w:tc>
        <w:tc>
          <w:tcPr>
            <w:tcW w:w="1484" w:type="dxa"/>
            <w:vAlign w:val="center"/>
          </w:tcPr>
          <w:p w14:paraId="7B9F630E" w14:textId="39E9CC89" w:rsidR="00606B63" w:rsidRPr="00BB5C7B" w:rsidRDefault="00606B63" w:rsidP="007B429C">
            <w:pPr>
              <w:pStyle w:val="ExhibitText"/>
              <w:jc w:val="right"/>
            </w:pPr>
            <w:r w:rsidRPr="00BB5C7B">
              <w:t>4</w:t>
            </w:r>
            <w:r w:rsidR="00BB5C7B">
              <w:t>.</w:t>
            </w:r>
            <w:r w:rsidRPr="00BB5C7B">
              <w:t>5</w:t>
            </w:r>
          </w:p>
        </w:tc>
        <w:tc>
          <w:tcPr>
            <w:tcW w:w="1495" w:type="dxa"/>
            <w:tcBorders>
              <w:right w:val="double" w:sz="4" w:space="0" w:color="auto"/>
            </w:tcBorders>
            <w:vAlign w:val="center"/>
          </w:tcPr>
          <w:p w14:paraId="2CA80EDE" w14:textId="32F185A5" w:rsidR="00606B63" w:rsidRPr="00AC24B6" w:rsidRDefault="00606B63" w:rsidP="007B429C">
            <w:pPr>
              <w:pStyle w:val="ExhibitText"/>
              <w:jc w:val="right"/>
            </w:pPr>
            <w:r w:rsidRPr="00AC24B6">
              <w:t>7</w:t>
            </w:r>
            <w:r w:rsidR="00BB5C7B" w:rsidRPr="00AC24B6">
              <w:t>.</w:t>
            </w:r>
            <w:r w:rsidRPr="00AC24B6">
              <w:t>5</w:t>
            </w:r>
          </w:p>
        </w:tc>
      </w:tr>
      <w:tr w:rsidR="00606B63" w:rsidRPr="00BB5C7B" w14:paraId="4D9683F0" w14:textId="77777777" w:rsidTr="00BB5C7B">
        <w:trPr>
          <w:trHeight w:val="134"/>
          <w:jc w:val="center"/>
        </w:trPr>
        <w:tc>
          <w:tcPr>
            <w:tcW w:w="2520" w:type="dxa"/>
            <w:tcBorders>
              <w:left w:val="double" w:sz="4" w:space="0" w:color="auto"/>
            </w:tcBorders>
            <w:vAlign w:val="center"/>
          </w:tcPr>
          <w:p w14:paraId="63CC1D0D" w14:textId="77777777" w:rsidR="00606B63" w:rsidRPr="00BB5C7B" w:rsidRDefault="00606B63" w:rsidP="007B429C">
            <w:pPr>
              <w:pStyle w:val="ExhibitText"/>
              <w:jc w:val="left"/>
            </w:pPr>
          </w:p>
        </w:tc>
        <w:tc>
          <w:tcPr>
            <w:tcW w:w="1164" w:type="dxa"/>
            <w:tcBorders>
              <w:right w:val="double" w:sz="4" w:space="0" w:color="auto"/>
            </w:tcBorders>
            <w:vAlign w:val="center"/>
          </w:tcPr>
          <w:p w14:paraId="28836932"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5467651A" w14:textId="76A0DD96" w:rsidR="00606B63" w:rsidRPr="00BB5C7B" w:rsidRDefault="00606B63" w:rsidP="007B429C">
            <w:pPr>
              <w:pStyle w:val="ExhibitText"/>
              <w:jc w:val="right"/>
            </w:pPr>
            <w:r w:rsidRPr="00BB5C7B">
              <w:t>1</w:t>
            </w:r>
            <w:r w:rsidR="00BB5C7B">
              <w:t>.</w:t>
            </w:r>
            <w:r w:rsidRPr="00BB5C7B">
              <w:t>2</w:t>
            </w:r>
          </w:p>
        </w:tc>
        <w:tc>
          <w:tcPr>
            <w:tcW w:w="1484" w:type="dxa"/>
            <w:vAlign w:val="center"/>
          </w:tcPr>
          <w:p w14:paraId="1D9E6A4B" w14:textId="1461AABF" w:rsidR="00606B63" w:rsidRPr="00BB5C7B" w:rsidRDefault="00606B63" w:rsidP="007B429C">
            <w:pPr>
              <w:pStyle w:val="ExhibitText"/>
              <w:jc w:val="right"/>
            </w:pPr>
            <w:r w:rsidRPr="00BB5C7B">
              <w:t>1</w:t>
            </w:r>
            <w:r w:rsidR="00BB5C7B">
              <w:t>.</w:t>
            </w:r>
            <w:r w:rsidRPr="00BB5C7B">
              <w:t>5</w:t>
            </w:r>
          </w:p>
        </w:tc>
        <w:tc>
          <w:tcPr>
            <w:tcW w:w="1495" w:type="dxa"/>
            <w:tcBorders>
              <w:right w:val="double" w:sz="4" w:space="0" w:color="auto"/>
            </w:tcBorders>
            <w:vAlign w:val="center"/>
          </w:tcPr>
          <w:p w14:paraId="61607C89" w14:textId="0E4D9FC9" w:rsidR="00606B63" w:rsidRPr="00AC24B6" w:rsidRDefault="00606B63" w:rsidP="007B429C">
            <w:pPr>
              <w:pStyle w:val="ExhibitText"/>
              <w:jc w:val="right"/>
            </w:pPr>
            <w:r w:rsidRPr="00AC24B6">
              <w:t>22</w:t>
            </w:r>
            <w:r w:rsidR="00BB5C7B" w:rsidRPr="00AC24B6">
              <w:t>.</w:t>
            </w:r>
            <w:r w:rsidRPr="00AC24B6">
              <w:t>5</w:t>
            </w:r>
          </w:p>
        </w:tc>
      </w:tr>
      <w:tr w:rsidR="00606B63" w:rsidRPr="00BB5C7B" w14:paraId="027DF6BA" w14:textId="77777777" w:rsidTr="00BB5C7B">
        <w:trPr>
          <w:trHeight w:val="134"/>
          <w:jc w:val="center"/>
        </w:trPr>
        <w:tc>
          <w:tcPr>
            <w:tcW w:w="2520" w:type="dxa"/>
            <w:tcBorders>
              <w:left w:val="double" w:sz="4" w:space="0" w:color="auto"/>
              <w:bottom w:val="double" w:sz="4" w:space="0" w:color="auto"/>
            </w:tcBorders>
            <w:vAlign w:val="center"/>
          </w:tcPr>
          <w:p w14:paraId="225064CF"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01380BC8"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5E289C12" w14:textId="52F79E57" w:rsidR="00606B63" w:rsidRPr="00BB5C7B" w:rsidRDefault="00606B63" w:rsidP="007B429C">
            <w:pPr>
              <w:pStyle w:val="ExhibitText"/>
              <w:jc w:val="right"/>
            </w:pPr>
            <w:r w:rsidRPr="00BB5C7B">
              <w:t>23</w:t>
            </w:r>
            <w:r w:rsidR="00BB5C7B">
              <w:t>.</w:t>
            </w:r>
            <w:r w:rsidRPr="00BB5C7B">
              <w:t>8</w:t>
            </w:r>
          </w:p>
        </w:tc>
        <w:tc>
          <w:tcPr>
            <w:tcW w:w="1484" w:type="dxa"/>
            <w:tcBorders>
              <w:bottom w:val="double" w:sz="4" w:space="0" w:color="auto"/>
            </w:tcBorders>
            <w:shd w:val="clear" w:color="auto" w:fill="EEECE1" w:themeFill="background2"/>
            <w:vAlign w:val="center"/>
          </w:tcPr>
          <w:p w14:paraId="56F84305" w14:textId="0082428E" w:rsidR="00606B63" w:rsidRPr="00BB5C7B" w:rsidRDefault="00606B63" w:rsidP="007B429C">
            <w:pPr>
              <w:pStyle w:val="ExhibitText"/>
              <w:jc w:val="right"/>
            </w:pPr>
            <w:r w:rsidRPr="00BB5C7B">
              <w:t>19</w:t>
            </w:r>
            <w:r w:rsidR="00BB5C7B">
              <w:t>.</w:t>
            </w:r>
            <w:r w:rsidRPr="00BB5C7B">
              <w:t>9</w:t>
            </w:r>
          </w:p>
        </w:tc>
        <w:tc>
          <w:tcPr>
            <w:tcW w:w="1495" w:type="dxa"/>
            <w:tcBorders>
              <w:bottom w:val="double" w:sz="4" w:space="0" w:color="auto"/>
              <w:right w:val="double" w:sz="4" w:space="0" w:color="auto"/>
            </w:tcBorders>
            <w:shd w:val="clear" w:color="auto" w:fill="EEECE1" w:themeFill="background2"/>
            <w:vAlign w:val="center"/>
          </w:tcPr>
          <w:p w14:paraId="0D2FEC03" w14:textId="51195371" w:rsidR="00606B63" w:rsidRPr="00AC24B6" w:rsidRDefault="004D3E43" w:rsidP="007B429C">
            <w:pPr>
              <w:pStyle w:val="ExhibitText"/>
              <w:jc w:val="right"/>
            </w:pPr>
            <w:r w:rsidRPr="00AC24B6">
              <w:t>–</w:t>
            </w:r>
            <w:r w:rsidR="00606B63" w:rsidRPr="00AC24B6">
              <w:t>16</w:t>
            </w:r>
            <w:r w:rsidR="00BB5C7B" w:rsidRPr="00AC24B6">
              <w:t>.</w:t>
            </w:r>
            <w:r w:rsidR="00606B63" w:rsidRPr="00AC24B6">
              <w:t>4</w:t>
            </w:r>
          </w:p>
        </w:tc>
      </w:tr>
      <w:tr w:rsidR="00606B63" w:rsidRPr="00BB5C7B" w14:paraId="3CDB105B" w14:textId="77777777" w:rsidTr="00BB5C7B">
        <w:trPr>
          <w:trHeight w:val="84"/>
          <w:jc w:val="center"/>
        </w:trPr>
        <w:tc>
          <w:tcPr>
            <w:tcW w:w="2520" w:type="dxa"/>
            <w:tcBorders>
              <w:top w:val="double" w:sz="4" w:space="0" w:color="auto"/>
              <w:left w:val="double" w:sz="4" w:space="0" w:color="auto"/>
            </w:tcBorders>
            <w:vAlign w:val="center"/>
          </w:tcPr>
          <w:p w14:paraId="356EE38F" w14:textId="77777777" w:rsidR="00606B63" w:rsidRPr="00BB5C7B" w:rsidRDefault="00606B63" w:rsidP="007B429C">
            <w:pPr>
              <w:pStyle w:val="ExhibitText"/>
              <w:jc w:val="left"/>
            </w:pPr>
            <w:r w:rsidRPr="00BB5C7B">
              <w:t>Latin America</w:t>
            </w:r>
          </w:p>
        </w:tc>
        <w:tc>
          <w:tcPr>
            <w:tcW w:w="1164" w:type="dxa"/>
            <w:tcBorders>
              <w:top w:val="double" w:sz="4" w:space="0" w:color="auto"/>
              <w:right w:val="double" w:sz="4" w:space="0" w:color="auto"/>
            </w:tcBorders>
            <w:vAlign w:val="center"/>
          </w:tcPr>
          <w:p w14:paraId="7A1CC24F"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3C574DFB" w14:textId="53A2F3AC" w:rsidR="00606B63" w:rsidRPr="00BB5C7B" w:rsidRDefault="00606B63" w:rsidP="007B429C">
            <w:pPr>
              <w:pStyle w:val="ExhibitText"/>
              <w:jc w:val="right"/>
            </w:pPr>
            <w:r w:rsidRPr="00BB5C7B">
              <w:t>99</w:t>
            </w:r>
            <w:r w:rsidR="00BB5C7B">
              <w:t>.</w:t>
            </w:r>
            <w:r w:rsidRPr="00BB5C7B">
              <w:t>3</w:t>
            </w:r>
          </w:p>
        </w:tc>
        <w:tc>
          <w:tcPr>
            <w:tcW w:w="1484" w:type="dxa"/>
            <w:tcBorders>
              <w:top w:val="double" w:sz="4" w:space="0" w:color="auto"/>
            </w:tcBorders>
            <w:vAlign w:val="center"/>
          </w:tcPr>
          <w:p w14:paraId="7C5764A1" w14:textId="2D6AF8EF" w:rsidR="00606B63" w:rsidRPr="00BB5C7B" w:rsidRDefault="00606B63" w:rsidP="007B429C">
            <w:pPr>
              <w:pStyle w:val="ExhibitText"/>
              <w:jc w:val="right"/>
            </w:pPr>
            <w:r w:rsidRPr="00BB5C7B">
              <w:t>122</w:t>
            </w:r>
            <w:r w:rsidR="00BB5C7B">
              <w:t>.</w:t>
            </w:r>
            <w:r w:rsidRPr="00BB5C7B">
              <w:t>6</w:t>
            </w:r>
          </w:p>
        </w:tc>
        <w:tc>
          <w:tcPr>
            <w:tcW w:w="1495" w:type="dxa"/>
            <w:tcBorders>
              <w:top w:val="double" w:sz="4" w:space="0" w:color="auto"/>
              <w:right w:val="double" w:sz="4" w:space="0" w:color="auto"/>
            </w:tcBorders>
            <w:vAlign w:val="center"/>
          </w:tcPr>
          <w:p w14:paraId="3FBC7B82" w14:textId="5C1CA859" w:rsidR="00606B63" w:rsidRPr="00AC24B6" w:rsidRDefault="00606B63" w:rsidP="007B429C">
            <w:pPr>
              <w:pStyle w:val="ExhibitText"/>
              <w:jc w:val="right"/>
            </w:pPr>
            <w:r w:rsidRPr="00AC24B6">
              <w:t>23</w:t>
            </w:r>
            <w:r w:rsidR="00BB5C7B" w:rsidRPr="00AC24B6">
              <w:t>.</w:t>
            </w:r>
            <w:r w:rsidRPr="00AC24B6">
              <w:t>6</w:t>
            </w:r>
          </w:p>
        </w:tc>
      </w:tr>
      <w:tr w:rsidR="00606B63" w:rsidRPr="00BB5C7B" w14:paraId="12A4573D" w14:textId="77777777" w:rsidTr="00BB5C7B">
        <w:trPr>
          <w:trHeight w:val="124"/>
          <w:jc w:val="center"/>
        </w:trPr>
        <w:tc>
          <w:tcPr>
            <w:tcW w:w="2520" w:type="dxa"/>
            <w:tcBorders>
              <w:left w:val="double" w:sz="4" w:space="0" w:color="auto"/>
            </w:tcBorders>
            <w:vAlign w:val="center"/>
          </w:tcPr>
          <w:p w14:paraId="3B0F3CA4" w14:textId="77777777" w:rsidR="00606B63" w:rsidRPr="00BB5C7B" w:rsidRDefault="00606B63" w:rsidP="007B429C">
            <w:pPr>
              <w:pStyle w:val="ExhibitText"/>
              <w:jc w:val="left"/>
            </w:pPr>
          </w:p>
        </w:tc>
        <w:tc>
          <w:tcPr>
            <w:tcW w:w="1164" w:type="dxa"/>
            <w:tcBorders>
              <w:right w:val="double" w:sz="4" w:space="0" w:color="auto"/>
            </w:tcBorders>
            <w:vAlign w:val="center"/>
          </w:tcPr>
          <w:p w14:paraId="5296214A"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6487F92F" w14:textId="527337DF" w:rsidR="00606B63" w:rsidRPr="00BB5C7B" w:rsidRDefault="00606B63" w:rsidP="007B429C">
            <w:pPr>
              <w:pStyle w:val="ExhibitText"/>
              <w:jc w:val="right"/>
            </w:pPr>
            <w:r w:rsidRPr="00BB5C7B">
              <w:t>56</w:t>
            </w:r>
            <w:r w:rsidR="00BB5C7B">
              <w:t>.</w:t>
            </w:r>
            <w:r w:rsidRPr="00BB5C7B">
              <w:t>6</w:t>
            </w:r>
          </w:p>
        </w:tc>
        <w:tc>
          <w:tcPr>
            <w:tcW w:w="1484" w:type="dxa"/>
            <w:vAlign w:val="center"/>
          </w:tcPr>
          <w:p w14:paraId="4F6F7017" w14:textId="2933422D" w:rsidR="00606B63" w:rsidRPr="00BB5C7B" w:rsidRDefault="00606B63" w:rsidP="007B429C">
            <w:pPr>
              <w:pStyle w:val="ExhibitText"/>
              <w:jc w:val="right"/>
            </w:pPr>
            <w:r w:rsidRPr="00BB5C7B">
              <w:t>60</w:t>
            </w:r>
            <w:r w:rsidR="00BB5C7B">
              <w:t>.</w:t>
            </w:r>
            <w:r w:rsidRPr="00BB5C7B">
              <w:t>2</w:t>
            </w:r>
          </w:p>
        </w:tc>
        <w:tc>
          <w:tcPr>
            <w:tcW w:w="1495" w:type="dxa"/>
            <w:tcBorders>
              <w:right w:val="double" w:sz="4" w:space="0" w:color="auto"/>
            </w:tcBorders>
            <w:vAlign w:val="center"/>
          </w:tcPr>
          <w:p w14:paraId="012C1167" w14:textId="456273A6" w:rsidR="00606B63" w:rsidRPr="00AC24B6" w:rsidRDefault="00606B63" w:rsidP="007B429C">
            <w:pPr>
              <w:pStyle w:val="ExhibitText"/>
              <w:jc w:val="right"/>
            </w:pPr>
            <w:r w:rsidRPr="00AC24B6">
              <w:t>6</w:t>
            </w:r>
            <w:r w:rsidR="00BB5C7B" w:rsidRPr="00AC24B6">
              <w:t>.</w:t>
            </w:r>
            <w:r w:rsidRPr="00AC24B6">
              <w:t>3</w:t>
            </w:r>
          </w:p>
        </w:tc>
      </w:tr>
      <w:tr w:rsidR="00606B63" w:rsidRPr="00BB5C7B" w14:paraId="55CD9FDC" w14:textId="77777777" w:rsidTr="00BB5C7B">
        <w:trPr>
          <w:trHeight w:val="134"/>
          <w:jc w:val="center"/>
        </w:trPr>
        <w:tc>
          <w:tcPr>
            <w:tcW w:w="2520" w:type="dxa"/>
            <w:tcBorders>
              <w:left w:val="double" w:sz="4" w:space="0" w:color="auto"/>
            </w:tcBorders>
            <w:vAlign w:val="center"/>
          </w:tcPr>
          <w:p w14:paraId="45B38931" w14:textId="77777777" w:rsidR="00606B63" w:rsidRPr="00BB5C7B" w:rsidRDefault="00606B63" w:rsidP="007B429C">
            <w:pPr>
              <w:pStyle w:val="ExhibitText"/>
              <w:jc w:val="left"/>
            </w:pPr>
          </w:p>
        </w:tc>
        <w:tc>
          <w:tcPr>
            <w:tcW w:w="1164" w:type="dxa"/>
            <w:tcBorders>
              <w:right w:val="double" w:sz="4" w:space="0" w:color="auto"/>
            </w:tcBorders>
            <w:vAlign w:val="center"/>
          </w:tcPr>
          <w:p w14:paraId="13A2ED77"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6C7CA321" w14:textId="6CFB8124" w:rsidR="00606B63" w:rsidRPr="00BB5C7B" w:rsidRDefault="00606B63" w:rsidP="007B429C">
            <w:pPr>
              <w:pStyle w:val="ExhibitText"/>
              <w:jc w:val="right"/>
            </w:pPr>
            <w:r w:rsidRPr="00BB5C7B">
              <w:t>1</w:t>
            </w:r>
            <w:r w:rsidR="00BB5C7B">
              <w:t>.</w:t>
            </w:r>
            <w:r w:rsidRPr="00BB5C7B">
              <w:t>2</w:t>
            </w:r>
          </w:p>
        </w:tc>
        <w:tc>
          <w:tcPr>
            <w:tcW w:w="1484" w:type="dxa"/>
            <w:vAlign w:val="center"/>
          </w:tcPr>
          <w:p w14:paraId="048B0BF9" w14:textId="07963A1E" w:rsidR="00606B63" w:rsidRPr="00BB5C7B" w:rsidRDefault="00606B63" w:rsidP="007B429C">
            <w:pPr>
              <w:pStyle w:val="ExhibitText"/>
              <w:jc w:val="right"/>
            </w:pPr>
            <w:r w:rsidRPr="00BB5C7B">
              <w:t>1</w:t>
            </w:r>
            <w:r w:rsidR="00BB5C7B">
              <w:t>.</w:t>
            </w:r>
            <w:r w:rsidRPr="00BB5C7B">
              <w:t>1</w:t>
            </w:r>
          </w:p>
        </w:tc>
        <w:tc>
          <w:tcPr>
            <w:tcW w:w="1495" w:type="dxa"/>
            <w:tcBorders>
              <w:right w:val="double" w:sz="4" w:space="0" w:color="auto"/>
            </w:tcBorders>
            <w:vAlign w:val="center"/>
          </w:tcPr>
          <w:p w14:paraId="655700FC" w14:textId="21806911" w:rsidR="00606B63" w:rsidRPr="00AC24B6" w:rsidRDefault="004D3E43" w:rsidP="007B429C">
            <w:pPr>
              <w:pStyle w:val="ExhibitText"/>
              <w:jc w:val="right"/>
            </w:pPr>
            <w:r w:rsidRPr="00AC24B6">
              <w:t>–</w:t>
            </w:r>
            <w:r w:rsidR="00606B63" w:rsidRPr="00AC24B6">
              <w:t>11</w:t>
            </w:r>
            <w:r w:rsidR="00BB5C7B" w:rsidRPr="00AC24B6">
              <w:t>.</w:t>
            </w:r>
            <w:r w:rsidR="00606B63" w:rsidRPr="00AC24B6">
              <w:t>0</w:t>
            </w:r>
          </w:p>
        </w:tc>
      </w:tr>
      <w:tr w:rsidR="00606B63" w:rsidRPr="00BB5C7B" w14:paraId="22E39C03" w14:textId="77777777" w:rsidTr="00BB5C7B">
        <w:trPr>
          <w:trHeight w:val="134"/>
          <w:jc w:val="center"/>
        </w:trPr>
        <w:tc>
          <w:tcPr>
            <w:tcW w:w="2520" w:type="dxa"/>
            <w:tcBorders>
              <w:left w:val="double" w:sz="4" w:space="0" w:color="auto"/>
              <w:bottom w:val="double" w:sz="4" w:space="0" w:color="auto"/>
            </w:tcBorders>
            <w:vAlign w:val="center"/>
          </w:tcPr>
          <w:p w14:paraId="4C7A8C5E"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1467DD00"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6F95FD39" w14:textId="564B74AF" w:rsidR="00606B63" w:rsidRPr="00BB5C7B" w:rsidRDefault="00606B63" w:rsidP="007B429C">
            <w:pPr>
              <w:pStyle w:val="ExhibitText"/>
              <w:jc w:val="right"/>
            </w:pPr>
            <w:r w:rsidRPr="00BB5C7B">
              <w:t>157</w:t>
            </w:r>
            <w:r w:rsidR="00BB5C7B">
              <w:t>.</w:t>
            </w:r>
            <w:r w:rsidRPr="00BB5C7B">
              <w:t>1</w:t>
            </w:r>
          </w:p>
        </w:tc>
        <w:tc>
          <w:tcPr>
            <w:tcW w:w="1484" w:type="dxa"/>
            <w:tcBorders>
              <w:bottom w:val="double" w:sz="4" w:space="0" w:color="auto"/>
            </w:tcBorders>
            <w:shd w:val="clear" w:color="auto" w:fill="EEECE1" w:themeFill="background2"/>
            <w:vAlign w:val="center"/>
          </w:tcPr>
          <w:p w14:paraId="682064B2" w14:textId="27C850AA" w:rsidR="00606B63" w:rsidRPr="00BB5C7B" w:rsidRDefault="00606B63" w:rsidP="007B429C">
            <w:pPr>
              <w:pStyle w:val="ExhibitText"/>
              <w:jc w:val="right"/>
            </w:pPr>
            <w:r w:rsidRPr="00BB5C7B">
              <w:t>183</w:t>
            </w:r>
            <w:r w:rsidR="00BB5C7B">
              <w:t>.</w:t>
            </w:r>
            <w:r w:rsidRPr="00BB5C7B">
              <w:t>9</w:t>
            </w:r>
          </w:p>
        </w:tc>
        <w:tc>
          <w:tcPr>
            <w:tcW w:w="1495" w:type="dxa"/>
            <w:tcBorders>
              <w:bottom w:val="double" w:sz="4" w:space="0" w:color="auto"/>
              <w:right w:val="double" w:sz="4" w:space="0" w:color="auto"/>
            </w:tcBorders>
            <w:shd w:val="clear" w:color="auto" w:fill="EEECE1" w:themeFill="background2"/>
            <w:vAlign w:val="center"/>
          </w:tcPr>
          <w:p w14:paraId="3DC3FD92" w14:textId="77B8B640" w:rsidR="00606B63" w:rsidRPr="00AC24B6" w:rsidRDefault="00606B63" w:rsidP="007B429C">
            <w:pPr>
              <w:pStyle w:val="ExhibitText"/>
              <w:jc w:val="right"/>
            </w:pPr>
            <w:r w:rsidRPr="00AC24B6">
              <w:t>17</w:t>
            </w:r>
            <w:r w:rsidR="00BB5C7B" w:rsidRPr="00AC24B6">
              <w:t>.</w:t>
            </w:r>
            <w:r w:rsidRPr="00AC24B6">
              <w:t>1</w:t>
            </w:r>
          </w:p>
        </w:tc>
      </w:tr>
      <w:tr w:rsidR="00606B63" w:rsidRPr="00BB5C7B" w14:paraId="7D970912" w14:textId="77777777" w:rsidTr="00BB5C7B">
        <w:trPr>
          <w:trHeight w:val="84"/>
          <w:jc w:val="center"/>
        </w:trPr>
        <w:tc>
          <w:tcPr>
            <w:tcW w:w="2520" w:type="dxa"/>
            <w:tcBorders>
              <w:top w:val="double" w:sz="4" w:space="0" w:color="auto"/>
              <w:left w:val="double" w:sz="4" w:space="0" w:color="auto"/>
            </w:tcBorders>
            <w:vAlign w:val="center"/>
          </w:tcPr>
          <w:p w14:paraId="10E4EDFE" w14:textId="40D458F7" w:rsidR="00606B63" w:rsidRPr="00BB5C7B" w:rsidRDefault="00606B63" w:rsidP="007B429C">
            <w:pPr>
              <w:pStyle w:val="ExhibitText"/>
              <w:jc w:val="left"/>
            </w:pPr>
            <w:r w:rsidRPr="00BB5C7B">
              <w:t>Middle East</w:t>
            </w:r>
            <w:r w:rsidR="00D02986" w:rsidRPr="00BB5C7B">
              <w:t>—</w:t>
            </w:r>
            <w:r w:rsidRPr="00BB5C7B">
              <w:t>Africa**</w:t>
            </w:r>
          </w:p>
        </w:tc>
        <w:tc>
          <w:tcPr>
            <w:tcW w:w="1164" w:type="dxa"/>
            <w:tcBorders>
              <w:top w:val="double" w:sz="4" w:space="0" w:color="auto"/>
              <w:right w:val="double" w:sz="4" w:space="0" w:color="auto"/>
            </w:tcBorders>
            <w:vAlign w:val="center"/>
          </w:tcPr>
          <w:p w14:paraId="398AE704"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20CD51B5" w14:textId="0434B502" w:rsidR="00606B63" w:rsidRPr="00BB5C7B" w:rsidRDefault="00606B63" w:rsidP="007B429C">
            <w:pPr>
              <w:pStyle w:val="ExhibitText"/>
              <w:jc w:val="right"/>
            </w:pPr>
            <w:r w:rsidRPr="00BB5C7B">
              <w:t>117</w:t>
            </w:r>
            <w:r w:rsidR="00BB5C7B">
              <w:t>.</w:t>
            </w:r>
            <w:r w:rsidRPr="00BB5C7B">
              <w:t>1</w:t>
            </w:r>
          </w:p>
        </w:tc>
        <w:tc>
          <w:tcPr>
            <w:tcW w:w="1484" w:type="dxa"/>
            <w:tcBorders>
              <w:top w:val="double" w:sz="4" w:space="0" w:color="auto"/>
            </w:tcBorders>
            <w:vAlign w:val="center"/>
          </w:tcPr>
          <w:p w14:paraId="7FC44AA4" w14:textId="7510B5A9" w:rsidR="00606B63" w:rsidRPr="00BB5C7B" w:rsidRDefault="00606B63" w:rsidP="007B429C">
            <w:pPr>
              <w:pStyle w:val="ExhibitText"/>
              <w:jc w:val="right"/>
            </w:pPr>
            <w:r w:rsidRPr="00BB5C7B">
              <w:t>323</w:t>
            </w:r>
            <w:r w:rsidR="00BB5C7B">
              <w:t>.</w:t>
            </w:r>
            <w:r w:rsidRPr="00BB5C7B">
              <w:t>1</w:t>
            </w:r>
          </w:p>
        </w:tc>
        <w:tc>
          <w:tcPr>
            <w:tcW w:w="1495" w:type="dxa"/>
            <w:tcBorders>
              <w:top w:val="double" w:sz="4" w:space="0" w:color="auto"/>
              <w:right w:val="double" w:sz="4" w:space="0" w:color="auto"/>
            </w:tcBorders>
            <w:vAlign w:val="center"/>
          </w:tcPr>
          <w:p w14:paraId="28707722" w14:textId="720FEF89" w:rsidR="00606B63" w:rsidRPr="00AC24B6" w:rsidRDefault="00606B63" w:rsidP="007B429C">
            <w:pPr>
              <w:pStyle w:val="ExhibitText"/>
              <w:jc w:val="right"/>
            </w:pPr>
            <w:r w:rsidRPr="00AC24B6">
              <w:t>175</w:t>
            </w:r>
            <w:r w:rsidR="00BB5C7B" w:rsidRPr="00AC24B6">
              <w:t>.</w:t>
            </w:r>
            <w:r w:rsidRPr="00AC24B6">
              <w:t>9</w:t>
            </w:r>
          </w:p>
        </w:tc>
      </w:tr>
      <w:tr w:rsidR="00606B63" w:rsidRPr="00BB5C7B" w14:paraId="0DB17796" w14:textId="77777777" w:rsidTr="00BB5C7B">
        <w:trPr>
          <w:trHeight w:val="253"/>
          <w:jc w:val="center"/>
        </w:trPr>
        <w:tc>
          <w:tcPr>
            <w:tcW w:w="2520" w:type="dxa"/>
            <w:tcBorders>
              <w:left w:val="double" w:sz="4" w:space="0" w:color="auto"/>
            </w:tcBorders>
            <w:vAlign w:val="center"/>
          </w:tcPr>
          <w:p w14:paraId="264400CF" w14:textId="77777777" w:rsidR="00606B63" w:rsidRPr="00BB5C7B" w:rsidRDefault="00606B63" w:rsidP="007B429C">
            <w:pPr>
              <w:pStyle w:val="ExhibitText"/>
              <w:jc w:val="left"/>
            </w:pPr>
          </w:p>
        </w:tc>
        <w:tc>
          <w:tcPr>
            <w:tcW w:w="1164" w:type="dxa"/>
            <w:tcBorders>
              <w:right w:val="double" w:sz="4" w:space="0" w:color="auto"/>
            </w:tcBorders>
            <w:vAlign w:val="center"/>
          </w:tcPr>
          <w:p w14:paraId="19DFD60D"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3B2363D3" w14:textId="68656263" w:rsidR="00606B63" w:rsidRPr="00BB5C7B" w:rsidRDefault="00606B63" w:rsidP="007B429C">
            <w:pPr>
              <w:pStyle w:val="ExhibitText"/>
              <w:jc w:val="right"/>
            </w:pPr>
            <w:r w:rsidRPr="00BB5C7B">
              <w:t>61</w:t>
            </w:r>
            <w:r w:rsidR="00BB5C7B">
              <w:t>.</w:t>
            </w:r>
            <w:r w:rsidRPr="00BB5C7B">
              <w:t>5</w:t>
            </w:r>
          </w:p>
        </w:tc>
        <w:tc>
          <w:tcPr>
            <w:tcW w:w="1484" w:type="dxa"/>
            <w:vAlign w:val="center"/>
          </w:tcPr>
          <w:p w14:paraId="57B96AD8" w14:textId="147C677A" w:rsidR="00606B63" w:rsidRPr="00BB5C7B" w:rsidRDefault="00606B63" w:rsidP="007B429C">
            <w:pPr>
              <w:pStyle w:val="ExhibitText"/>
              <w:jc w:val="right"/>
            </w:pPr>
            <w:r w:rsidRPr="00BB5C7B">
              <w:t>58</w:t>
            </w:r>
            <w:r w:rsidR="00BB5C7B">
              <w:t>.</w:t>
            </w:r>
            <w:r w:rsidRPr="00BB5C7B">
              <w:t>7</w:t>
            </w:r>
          </w:p>
        </w:tc>
        <w:tc>
          <w:tcPr>
            <w:tcW w:w="1495" w:type="dxa"/>
            <w:tcBorders>
              <w:right w:val="double" w:sz="4" w:space="0" w:color="auto"/>
            </w:tcBorders>
            <w:vAlign w:val="center"/>
          </w:tcPr>
          <w:p w14:paraId="7F44CE76" w14:textId="59856251" w:rsidR="00606B63" w:rsidRPr="00AC24B6" w:rsidRDefault="004D3E43" w:rsidP="007B429C">
            <w:pPr>
              <w:pStyle w:val="ExhibitText"/>
              <w:jc w:val="right"/>
            </w:pPr>
            <w:r w:rsidRPr="00AC24B6">
              <w:t>–</w:t>
            </w:r>
            <w:r w:rsidR="00606B63" w:rsidRPr="00AC24B6">
              <w:t>4</w:t>
            </w:r>
            <w:r w:rsidR="00BB5C7B" w:rsidRPr="00AC24B6">
              <w:t>.</w:t>
            </w:r>
            <w:r w:rsidR="00606B63" w:rsidRPr="00AC24B6">
              <w:t>6</w:t>
            </w:r>
          </w:p>
        </w:tc>
      </w:tr>
      <w:tr w:rsidR="00606B63" w:rsidRPr="00BB5C7B" w14:paraId="7D0F2E53" w14:textId="77777777" w:rsidTr="00BB5C7B">
        <w:trPr>
          <w:trHeight w:val="134"/>
          <w:jc w:val="center"/>
        </w:trPr>
        <w:tc>
          <w:tcPr>
            <w:tcW w:w="2520" w:type="dxa"/>
            <w:tcBorders>
              <w:left w:val="double" w:sz="4" w:space="0" w:color="auto"/>
            </w:tcBorders>
            <w:vAlign w:val="center"/>
          </w:tcPr>
          <w:p w14:paraId="6C456C90" w14:textId="77777777" w:rsidR="00606B63" w:rsidRPr="00BB5C7B" w:rsidRDefault="00606B63" w:rsidP="007B429C">
            <w:pPr>
              <w:pStyle w:val="ExhibitText"/>
              <w:jc w:val="left"/>
            </w:pPr>
          </w:p>
        </w:tc>
        <w:tc>
          <w:tcPr>
            <w:tcW w:w="1164" w:type="dxa"/>
            <w:tcBorders>
              <w:right w:val="double" w:sz="4" w:space="0" w:color="auto"/>
            </w:tcBorders>
            <w:vAlign w:val="center"/>
          </w:tcPr>
          <w:p w14:paraId="3E62BD8F"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6D0EEA7E" w14:textId="6D19ACEB" w:rsidR="00606B63" w:rsidRPr="00BB5C7B" w:rsidRDefault="00606B63" w:rsidP="007B429C">
            <w:pPr>
              <w:pStyle w:val="ExhibitText"/>
              <w:jc w:val="right"/>
            </w:pPr>
            <w:r w:rsidRPr="00BB5C7B">
              <w:t>1</w:t>
            </w:r>
            <w:r w:rsidR="00BB5C7B">
              <w:t>.</w:t>
            </w:r>
            <w:r w:rsidRPr="00BB5C7B">
              <w:t>6</w:t>
            </w:r>
          </w:p>
        </w:tc>
        <w:tc>
          <w:tcPr>
            <w:tcW w:w="1484" w:type="dxa"/>
            <w:vAlign w:val="center"/>
          </w:tcPr>
          <w:p w14:paraId="7046D1EA" w14:textId="0D0B9801" w:rsidR="00606B63" w:rsidRPr="00BB5C7B" w:rsidRDefault="00606B63" w:rsidP="007B429C">
            <w:pPr>
              <w:pStyle w:val="ExhibitText"/>
              <w:jc w:val="right"/>
            </w:pPr>
            <w:r w:rsidRPr="00BB5C7B">
              <w:t>1</w:t>
            </w:r>
            <w:r w:rsidR="00BB5C7B">
              <w:t>.</w:t>
            </w:r>
            <w:r w:rsidRPr="00BB5C7B">
              <w:t>7</w:t>
            </w:r>
          </w:p>
        </w:tc>
        <w:tc>
          <w:tcPr>
            <w:tcW w:w="1495" w:type="dxa"/>
            <w:tcBorders>
              <w:right w:val="double" w:sz="4" w:space="0" w:color="auto"/>
            </w:tcBorders>
            <w:vAlign w:val="center"/>
          </w:tcPr>
          <w:p w14:paraId="67EFFECF" w14:textId="0C0FBA67" w:rsidR="00606B63" w:rsidRPr="00AC24B6" w:rsidRDefault="00606B63" w:rsidP="007B429C">
            <w:pPr>
              <w:pStyle w:val="ExhibitText"/>
              <w:jc w:val="right"/>
            </w:pPr>
            <w:r w:rsidRPr="00AC24B6">
              <w:t>6</w:t>
            </w:r>
            <w:r w:rsidR="00BB5C7B" w:rsidRPr="00AC24B6">
              <w:t>.</w:t>
            </w:r>
            <w:r w:rsidRPr="00AC24B6">
              <w:t>2</w:t>
            </w:r>
          </w:p>
        </w:tc>
      </w:tr>
      <w:tr w:rsidR="00606B63" w:rsidRPr="00BB5C7B" w14:paraId="6E735C0B" w14:textId="77777777" w:rsidTr="00BB5C7B">
        <w:trPr>
          <w:trHeight w:val="124"/>
          <w:jc w:val="center"/>
        </w:trPr>
        <w:tc>
          <w:tcPr>
            <w:tcW w:w="2520" w:type="dxa"/>
            <w:tcBorders>
              <w:left w:val="double" w:sz="4" w:space="0" w:color="auto"/>
              <w:bottom w:val="double" w:sz="4" w:space="0" w:color="auto"/>
            </w:tcBorders>
            <w:vAlign w:val="center"/>
          </w:tcPr>
          <w:p w14:paraId="4A713245"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73A24E51"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34A35DAE" w14:textId="526EB4BE" w:rsidR="00606B63" w:rsidRPr="00BB5C7B" w:rsidRDefault="00606B63" w:rsidP="007B429C">
            <w:pPr>
              <w:pStyle w:val="ExhibitText"/>
              <w:jc w:val="right"/>
            </w:pPr>
            <w:r w:rsidRPr="00BB5C7B">
              <w:t>180</w:t>
            </w:r>
            <w:r w:rsidR="00BB5C7B">
              <w:t>.</w:t>
            </w:r>
            <w:r w:rsidRPr="00BB5C7B">
              <w:t>2</w:t>
            </w:r>
          </w:p>
        </w:tc>
        <w:tc>
          <w:tcPr>
            <w:tcW w:w="1484" w:type="dxa"/>
            <w:tcBorders>
              <w:bottom w:val="double" w:sz="4" w:space="0" w:color="auto"/>
            </w:tcBorders>
            <w:shd w:val="clear" w:color="auto" w:fill="EEECE1" w:themeFill="background2"/>
            <w:vAlign w:val="center"/>
          </w:tcPr>
          <w:p w14:paraId="7A4DB78C" w14:textId="7C18C71E" w:rsidR="00606B63" w:rsidRPr="00BB5C7B" w:rsidRDefault="00606B63" w:rsidP="007B429C">
            <w:pPr>
              <w:pStyle w:val="ExhibitText"/>
              <w:jc w:val="right"/>
            </w:pPr>
            <w:r w:rsidRPr="00BB5C7B">
              <w:t>383</w:t>
            </w:r>
            <w:r w:rsidR="00BB5C7B">
              <w:t>.</w:t>
            </w:r>
            <w:r w:rsidRPr="00BB5C7B">
              <w:t>5</w:t>
            </w:r>
          </w:p>
        </w:tc>
        <w:tc>
          <w:tcPr>
            <w:tcW w:w="1495" w:type="dxa"/>
            <w:tcBorders>
              <w:bottom w:val="double" w:sz="4" w:space="0" w:color="auto"/>
              <w:right w:val="double" w:sz="4" w:space="0" w:color="auto"/>
            </w:tcBorders>
            <w:shd w:val="clear" w:color="auto" w:fill="EEECE1" w:themeFill="background2"/>
            <w:vAlign w:val="center"/>
          </w:tcPr>
          <w:p w14:paraId="12875FD0" w14:textId="3DD00BBE" w:rsidR="00606B63" w:rsidRPr="00AC24B6" w:rsidRDefault="00606B63" w:rsidP="007B429C">
            <w:pPr>
              <w:pStyle w:val="ExhibitText"/>
              <w:jc w:val="right"/>
            </w:pPr>
            <w:r w:rsidRPr="00AC24B6">
              <w:t>112</w:t>
            </w:r>
            <w:r w:rsidR="00BB5C7B" w:rsidRPr="00AC24B6">
              <w:t>.</w:t>
            </w:r>
            <w:r w:rsidRPr="00AC24B6">
              <w:t>8</w:t>
            </w:r>
          </w:p>
        </w:tc>
      </w:tr>
      <w:tr w:rsidR="00606B63" w:rsidRPr="00BB5C7B" w14:paraId="32B75D9B" w14:textId="77777777" w:rsidTr="00BB5C7B">
        <w:trPr>
          <w:trHeight w:val="84"/>
          <w:jc w:val="center"/>
        </w:trPr>
        <w:tc>
          <w:tcPr>
            <w:tcW w:w="2520" w:type="dxa"/>
            <w:tcBorders>
              <w:top w:val="double" w:sz="4" w:space="0" w:color="auto"/>
              <w:left w:val="double" w:sz="4" w:space="0" w:color="auto"/>
            </w:tcBorders>
            <w:vAlign w:val="center"/>
          </w:tcPr>
          <w:p w14:paraId="5A9EF5A6" w14:textId="77777777" w:rsidR="00606B63" w:rsidRPr="00BB5C7B" w:rsidRDefault="00606B63" w:rsidP="007B429C">
            <w:pPr>
              <w:pStyle w:val="ExhibitText"/>
              <w:jc w:val="left"/>
            </w:pPr>
            <w:r w:rsidRPr="00BB5C7B">
              <w:t>Consolidated world sales</w:t>
            </w:r>
          </w:p>
        </w:tc>
        <w:tc>
          <w:tcPr>
            <w:tcW w:w="1164" w:type="dxa"/>
            <w:tcBorders>
              <w:top w:val="double" w:sz="4" w:space="0" w:color="auto"/>
              <w:right w:val="double" w:sz="4" w:space="0" w:color="auto"/>
            </w:tcBorders>
            <w:vAlign w:val="center"/>
          </w:tcPr>
          <w:p w14:paraId="1F42D1A0" w14:textId="77777777" w:rsidR="00606B63" w:rsidRPr="00BB5C7B" w:rsidRDefault="00606B63" w:rsidP="007B429C">
            <w:pPr>
              <w:pStyle w:val="ExhibitText"/>
              <w:jc w:val="left"/>
            </w:pPr>
            <w:r w:rsidRPr="00BB5C7B">
              <w:t>Peugeot</w:t>
            </w:r>
          </w:p>
        </w:tc>
        <w:tc>
          <w:tcPr>
            <w:tcW w:w="1458" w:type="dxa"/>
            <w:tcBorders>
              <w:top w:val="double" w:sz="4" w:space="0" w:color="auto"/>
              <w:left w:val="double" w:sz="4" w:space="0" w:color="auto"/>
            </w:tcBorders>
            <w:vAlign w:val="center"/>
          </w:tcPr>
          <w:p w14:paraId="6170A550" w14:textId="715F51C9" w:rsidR="00606B63" w:rsidRPr="00BB5C7B" w:rsidRDefault="00606B63" w:rsidP="007B429C">
            <w:pPr>
              <w:pStyle w:val="ExhibitText"/>
              <w:jc w:val="right"/>
            </w:pPr>
            <w:r w:rsidRPr="00BB5C7B">
              <w:t>1</w:t>
            </w:r>
            <w:r w:rsidR="004D3E43" w:rsidRPr="00BB5C7B">
              <w:t>,</w:t>
            </w:r>
            <w:r w:rsidRPr="00BB5C7B">
              <w:t>709</w:t>
            </w:r>
            <w:r w:rsidR="00BB5C7B">
              <w:t>.</w:t>
            </w:r>
            <w:r w:rsidRPr="00BB5C7B">
              <w:t>7</w:t>
            </w:r>
          </w:p>
        </w:tc>
        <w:tc>
          <w:tcPr>
            <w:tcW w:w="1484" w:type="dxa"/>
            <w:tcBorders>
              <w:top w:val="double" w:sz="4" w:space="0" w:color="auto"/>
            </w:tcBorders>
            <w:vAlign w:val="center"/>
          </w:tcPr>
          <w:p w14:paraId="3982E520" w14:textId="70D17D15" w:rsidR="00606B63" w:rsidRPr="00BB5C7B" w:rsidRDefault="00606B63" w:rsidP="007B429C">
            <w:pPr>
              <w:pStyle w:val="ExhibitText"/>
              <w:jc w:val="right"/>
            </w:pPr>
            <w:r w:rsidRPr="00BB5C7B">
              <w:t>1</w:t>
            </w:r>
            <w:r w:rsidR="004D3E43" w:rsidRPr="00BB5C7B">
              <w:t>,</w:t>
            </w:r>
            <w:r w:rsidRPr="00BB5C7B">
              <w:t>919</w:t>
            </w:r>
            <w:r w:rsidR="00BB5C7B">
              <w:t>.</w:t>
            </w:r>
            <w:r w:rsidRPr="00BB5C7B">
              <w:t>5</w:t>
            </w:r>
          </w:p>
        </w:tc>
        <w:tc>
          <w:tcPr>
            <w:tcW w:w="1495" w:type="dxa"/>
            <w:tcBorders>
              <w:top w:val="double" w:sz="4" w:space="0" w:color="auto"/>
              <w:right w:val="double" w:sz="4" w:space="0" w:color="auto"/>
            </w:tcBorders>
            <w:vAlign w:val="center"/>
          </w:tcPr>
          <w:p w14:paraId="6D9CC826" w14:textId="56DC0CA9" w:rsidR="00606B63" w:rsidRPr="00AC24B6" w:rsidRDefault="00606B63" w:rsidP="007B429C">
            <w:pPr>
              <w:pStyle w:val="ExhibitText"/>
              <w:jc w:val="right"/>
            </w:pPr>
            <w:r w:rsidRPr="00AC24B6">
              <w:t>12</w:t>
            </w:r>
            <w:r w:rsidR="00BB5C7B" w:rsidRPr="00AC24B6">
              <w:t>.</w:t>
            </w:r>
            <w:r w:rsidRPr="00AC24B6">
              <w:t>3</w:t>
            </w:r>
          </w:p>
        </w:tc>
      </w:tr>
      <w:tr w:rsidR="00606B63" w:rsidRPr="00BB5C7B" w14:paraId="5030BCD6" w14:textId="77777777" w:rsidTr="00BB5C7B">
        <w:trPr>
          <w:trHeight w:val="134"/>
          <w:jc w:val="center"/>
        </w:trPr>
        <w:tc>
          <w:tcPr>
            <w:tcW w:w="2520" w:type="dxa"/>
            <w:tcBorders>
              <w:left w:val="double" w:sz="4" w:space="0" w:color="auto"/>
            </w:tcBorders>
            <w:vAlign w:val="center"/>
          </w:tcPr>
          <w:p w14:paraId="3F8ECA44" w14:textId="77777777" w:rsidR="00606B63" w:rsidRPr="00BB5C7B" w:rsidRDefault="00606B63" w:rsidP="007B429C">
            <w:pPr>
              <w:pStyle w:val="ExhibitText"/>
              <w:jc w:val="left"/>
            </w:pPr>
          </w:p>
        </w:tc>
        <w:tc>
          <w:tcPr>
            <w:tcW w:w="1164" w:type="dxa"/>
            <w:tcBorders>
              <w:right w:val="double" w:sz="4" w:space="0" w:color="auto"/>
            </w:tcBorders>
            <w:vAlign w:val="center"/>
          </w:tcPr>
          <w:p w14:paraId="63F26D11" w14:textId="77777777" w:rsidR="00606B63" w:rsidRPr="00BB5C7B" w:rsidRDefault="00606B63" w:rsidP="007B429C">
            <w:pPr>
              <w:pStyle w:val="ExhibitText"/>
              <w:jc w:val="left"/>
            </w:pPr>
            <w:r w:rsidRPr="00BB5C7B">
              <w:t>Citroën</w:t>
            </w:r>
          </w:p>
        </w:tc>
        <w:tc>
          <w:tcPr>
            <w:tcW w:w="1458" w:type="dxa"/>
            <w:tcBorders>
              <w:left w:val="double" w:sz="4" w:space="0" w:color="auto"/>
            </w:tcBorders>
            <w:vAlign w:val="center"/>
          </w:tcPr>
          <w:p w14:paraId="664F0143" w14:textId="52DE8184" w:rsidR="00606B63" w:rsidRPr="00BB5C7B" w:rsidRDefault="00606B63" w:rsidP="007B429C">
            <w:pPr>
              <w:pStyle w:val="ExhibitText"/>
              <w:jc w:val="right"/>
            </w:pPr>
            <w:r w:rsidRPr="00BB5C7B">
              <w:t>1</w:t>
            </w:r>
            <w:r w:rsidR="004D3E43" w:rsidRPr="00BB5C7B">
              <w:t>,</w:t>
            </w:r>
            <w:r w:rsidRPr="00BB5C7B">
              <w:t>160</w:t>
            </w:r>
            <w:r w:rsidR="00BB5C7B">
              <w:t>.</w:t>
            </w:r>
            <w:r w:rsidRPr="00BB5C7B">
              <w:t>9</w:t>
            </w:r>
          </w:p>
        </w:tc>
        <w:tc>
          <w:tcPr>
            <w:tcW w:w="1484" w:type="dxa"/>
            <w:vAlign w:val="center"/>
          </w:tcPr>
          <w:p w14:paraId="7FF04A3E" w14:textId="3D1B81CA" w:rsidR="00606B63" w:rsidRPr="00BB5C7B" w:rsidRDefault="00606B63" w:rsidP="007B429C">
            <w:pPr>
              <w:pStyle w:val="ExhibitText"/>
              <w:jc w:val="right"/>
            </w:pPr>
            <w:r w:rsidRPr="00BB5C7B">
              <w:t>1</w:t>
            </w:r>
            <w:r w:rsidR="004D3E43" w:rsidRPr="00BB5C7B">
              <w:t>,</w:t>
            </w:r>
            <w:r w:rsidRPr="00BB5C7B">
              <w:t>140</w:t>
            </w:r>
            <w:r w:rsidR="00BB5C7B">
              <w:t>.</w:t>
            </w:r>
            <w:r w:rsidRPr="00BB5C7B">
              <w:t>9</w:t>
            </w:r>
          </w:p>
        </w:tc>
        <w:tc>
          <w:tcPr>
            <w:tcW w:w="1495" w:type="dxa"/>
            <w:tcBorders>
              <w:right w:val="double" w:sz="4" w:space="0" w:color="auto"/>
            </w:tcBorders>
            <w:vAlign w:val="center"/>
          </w:tcPr>
          <w:p w14:paraId="405D23BC" w14:textId="687C84E3" w:rsidR="00606B63" w:rsidRPr="00AC24B6" w:rsidRDefault="004D3E43" w:rsidP="007B429C">
            <w:pPr>
              <w:pStyle w:val="ExhibitText"/>
              <w:jc w:val="right"/>
            </w:pPr>
            <w:r w:rsidRPr="00AC24B6">
              <w:t>–</w:t>
            </w:r>
            <w:r w:rsidR="00606B63" w:rsidRPr="00AC24B6">
              <w:t>1</w:t>
            </w:r>
            <w:r w:rsidR="00BB5C7B" w:rsidRPr="00AC24B6">
              <w:t>.</w:t>
            </w:r>
            <w:r w:rsidR="00606B63" w:rsidRPr="00AC24B6">
              <w:t>7</w:t>
            </w:r>
          </w:p>
        </w:tc>
      </w:tr>
      <w:tr w:rsidR="00606B63" w:rsidRPr="00BB5C7B" w14:paraId="586A403F" w14:textId="77777777" w:rsidTr="00BB5C7B">
        <w:trPr>
          <w:trHeight w:val="124"/>
          <w:jc w:val="center"/>
        </w:trPr>
        <w:tc>
          <w:tcPr>
            <w:tcW w:w="2520" w:type="dxa"/>
            <w:tcBorders>
              <w:left w:val="double" w:sz="4" w:space="0" w:color="auto"/>
            </w:tcBorders>
            <w:vAlign w:val="center"/>
          </w:tcPr>
          <w:p w14:paraId="78C939E7" w14:textId="77777777" w:rsidR="00606B63" w:rsidRPr="00BB5C7B" w:rsidRDefault="00606B63" w:rsidP="007B429C">
            <w:pPr>
              <w:pStyle w:val="ExhibitText"/>
              <w:jc w:val="left"/>
            </w:pPr>
          </w:p>
        </w:tc>
        <w:tc>
          <w:tcPr>
            <w:tcW w:w="1164" w:type="dxa"/>
            <w:tcBorders>
              <w:right w:val="double" w:sz="4" w:space="0" w:color="auto"/>
            </w:tcBorders>
            <w:vAlign w:val="center"/>
          </w:tcPr>
          <w:p w14:paraId="5ABF3CCA" w14:textId="77777777" w:rsidR="00606B63" w:rsidRPr="00BB5C7B" w:rsidRDefault="00606B63" w:rsidP="007B429C">
            <w:pPr>
              <w:pStyle w:val="ExhibitText"/>
              <w:jc w:val="left"/>
            </w:pPr>
            <w:r w:rsidRPr="00BB5C7B">
              <w:t>DS</w:t>
            </w:r>
          </w:p>
        </w:tc>
        <w:tc>
          <w:tcPr>
            <w:tcW w:w="1458" w:type="dxa"/>
            <w:tcBorders>
              <w:left w:val="double" w:sz="4" w:space="0" w:color="auto"/>
            </w:tcBorders>
            <w:vAlign w:val="center"/>
          </w:tcPr>
          <w:p w14:paraId="758C048B" w14:textId="0C02D5AE" w:rsidR="00606B63" w:rsidRPr="00BB5C7B" w:rsidRDefault="00606B63" w:rsidP="007B429C">
            <w:pPr>
              <w:pStyle w:val="ExhibitText"/>
              <w:jc w:val="right"/>
            </w:pPr>
            <w:r w:rsidRPr="00BB5C7B">
              <w:t>102</w:t>
            </w:r>
            <w:r w:rsidR="00BB5C7B">
              <w:t>.</w:t>
            </w:r>
            <w:r w:rsidRPr="00BB5C7B">
              <w:t>3</w:t>
            </w:r>
          </w:p>
        </w:tc>
        <w:tc>
          <w:tcPr>
            <w:tcW w:w="1484" w:type="dxa"/>
            <w:vAlign w:val="center"/>
          </w:tcPr>
          <w:p w14:paraId="17974FAB" w14:textId="63CC2630" w:rsidR="00606B63" w:rsidRPr="00BB5C7B" w:rsidRDefault="00606B63" w:rsidP="007B429C">
            <w:pPr>
              <w:pStyle w:val="ExhibitText"/>
              <w:jc w:val="right"/>
            </w:pPr>
            <w:r w:rsidRPr="00BB5C7B">
              <w:t>86</w:t>
            </w:r>
            <w:r w:rsidR="00BB5C7B">
              <w:t>.</w:t>
            </w:r>
            <w:r w:rsidRPr="00BB5C7B">
              <w:t>0</w:t>
            </w:r>
          </w:p>
        </w:tc>
        <w:tc>
          <w:tcPr>
            <w:tcW w:w="1495" w:type="dxa"/>
            <w:tcBorders>
              <w:right w:val="double" w:sz="4" w:space="0" w:color="auto"/>
            </w:tcBorders>
            <w:vAlign w:val="center"/>
          </w:tcPr>
          <w:p w14:paraId="22D820AD" w14:textId="593C603F" w:rsidR="00606B63" w:rsidRPr="00AC24B6" w:rsidRDefault="004D3E43" w:rsidP="007B429C">
            <w:pPr>
              <w:pStyle w:val="ExhibitText"/>
              <w:jc w:val="right"/>
            </w:pPr>
            <w:r w:rsidRPr="00AC24B6">
              <w:t>–</w:t>
            </w:r>
            <w:r w:rsidR="00606B63" w:rsidRPr="00AC24B6">
              <w:t>16</w:t>
            </w:r>
            <w:r w:rsidR="00BB5C7B" w:rsidRPr="00AC24B6">
              <w:t>.</w:t>
            </w:r>
            <w:r w:rsidR="00606B63" w:rsidRPr="00AC24B6">
              <w:t>0</w:t>
            </w:r>
          </w:p>
        </w:tc>
      </w:tr>
      <w:tr w:rsidR="00606B63" w:rsidRPr="00BB5C7B" w14:paraId="3686BFF0" w14:textId="77777777" w:rsidTr="00BB5C7B">
        <w:trPr>
          <w:trHeight w:val="205"/>
          <w:jc w:val="center"/>
        </w:trPr>
        <w:tc>
          <w:tcPr>
            <w:tcW w:w="2520" w:type="dxa"/>
            <w:tcBorders>
              <w:left w:val="double" w:sz="4" w:space="0" w:color="auto"/>
              <w:bottom w:val="double" w:sz="4" w:space="0" w:color="auto"/>
            </w:tcBorders>
            <w:vAlign w:val="center"/>
          </w:tcPr>
          <w:p w14:paraId="7F2FA1F3" w14:textId="77777777" w:rsidR="00606B63" w:rsidRPr="00BB5C7B" w:rsidRDefault="00606B63" w:rsidP="007B429C">
            <w:pPr>
              <w:pStyle w:val="ExhibitText"/>
              <w:jc w:val="left"/>
            </w:pPr>
          </w:p>
        </w:tc>
        <w:tc>
          <w:tcPr>
            <w:tcW w:w="1164" w:type="dxa"/>
            <w:tcBorders>
              <w:bottom w:val="double" w:sz="4" w:space="0" w:color="auto"/>
              <w:right w:val="double" w:sz="4" w:space="0" w:color="auto"/>
            </w:tcBorders>
            <w:shd w:val="clear" w:color="auto" w:fill="EEECE1" w:themeFill="background2"/>
            <w:vAlign w:val="center"/>
          </w:tcPr>
          <w:p w14:paraId="6164EB26" w14:textId="77777777" w:rsidR="00606B63" w:rsidRPr="00BB5C7B" w:rsidRDefault="00606B63" w:rsidP="007B429C">
            <w:pPr>
              <w:pStyle w:val="ExhibitText"/>
              <w:jc w:val="left"/>
            </w:pPr>
            <w:r w:rsidRPr="00BB5C7B">
              <w:t>PSA</w:t>
            </w:r>
          </w:p>
        </w:tc>
        <w:tc>
          <w:tcPr>
            <w:tcW w:w="1458" w:type="dxa"/>
            <w:tcBorders>
              <w:left w:val="double" w:sz="4" w:space="0" w:color="auto"/>
              <w:bottom w:val="double" w:sz="4" w:space="0" w:color="auto"/>
            </w:tcBorders>
            <w:shd w:val="clear" w:color="auto" w:fill="EEECE1" w:themeFill="background2"/>
            <w:vAlign w:val="center"/>
          </w:tcPr>
          <w:p w14:paraId="779E0504" w14:textId="7C453DFB" w:rsidR="00606B63" w:rsidRPr="00BB5C7B" w:rsidRDefault="00606B63" w:rsidP="007B429C">
            <w:pPr>
              <w:pStyle w:val="ExhibitText"/>
              <w:jc w:val="right"/>
            </w:pPr>
            <w:r w:rsidRPr="00BB5C7B">
              <w:t>2</w:t>
            </w:r>
            <w:r w:rsidR="004D3E43" w:rsidRPr="00BB5C7B">
              <w:t>,</w:t>
            </w:r>
            <w:r w:rsidRPr="00BB5C7B">
              <w:t>973</w:t>
            </w:r>
            <w:r w:rsidR="00BB5C7B">
              <w:t>.</w:t>
            </w:r>
            <w:r w:rsidRPr="00BB5C7B">
              <w:t>0</w:t>
            </w:r>
          </w:p>
        </w:tc>
        <w:tc>
          <w:tcPr>
            <w:tcW w:w="1484" w:type="dxa"/>
            <w:tcBorders>
              <w:bottom w:val="double" w:sz="4" w:space="0" w:color="auto"/>
            </w:tcBorders>
            <w:shd w:val="clear" w:color="auto" w:fill="EEECE1" w:themeFill="background2"/>
            <w:vAlign w:val="center"/>
          </w:tcPr>
          <w:p w14:paraId="04336018" w14:textId="0767B202" w:rsidR="00606B63" w:rsidRPr="00BB5C7B" w:rsidRDefault="00606B63" w:rsidP="007B429C">
            <w:pPr>
              <w:pStyle w:val="ExhibitText"/>
              <w:jc w:val="right"/>
            </w:pPr>
            <w:r w:rsidRPr="00BB5C7B">
              <w:t>3</w:t>
            </w:r>
            <w:r w:rsidR="004D3E43" w:rsidRPr="00BB5C7B">
              <w:t>,</w:t>
            </w:r>
            <w:r w:rsidRPr="00BB5C7B">
              <w:t>146</w:t>
            </w:r>
            <w:r w:rsidR="00BB5C7B">
              <w:t>.</w:t>
            </w:r>
            <w:r w:rsidRPr="00BB5C7B">
              <w:t>4</w:t>
            </w:r>
          </w:p>
        </w:tc>
        <w:tc>
          <w:tcPr>
            <w:tcW w:w="1495" w:type="dxa"/>
            <w:tcBorders>
              <w:bottom w:val="double" w:sz="4" w:space="0" w:color="auto"/>
              <w:right w:val="double" w:sz="4" w:space="0" w:color="auto"/>
            </w:tcBorders>
            <w:shd w:val="clear" w:color="auto" w:fill="EEECE1" w:themeFill="background2"/>
            <w:vAlign w:val="center"/>
          </w:tcPr>
          <w:p w14:paraId="41FA3317" w14:textId="0BD5C538" w:rsidR="00606B63" w:rsidRPr="00AC24B6" w:rsidRDefault="00606B63" w:rsidP="007B429C">
            <w:pPr>
              <w:pStyle w:val="ExhibitText"/>
              <w:jc w:val="right"/>
            </w:pPr>
            <w:r w:rsidRPr="00AC24B6">
              <w:t>5</w:t>
            </w:r>
            <w:r w:rsidR="00BB5C7B" w:rsidRPr="00AC24B6">
              <w:t>.</w:t>
            </w:r>
            <w:r w:rsidRPr="00AC24B6">
              <w:t>8</w:t>
            </w:r>
          </w:p>
        </w:tc>
      </w:tr>
    </w:tbl>
    <w:p w14:paraId="6A7E3812" w14:textId="77777777" w:rsidR="00A361E2" w:rsidRDefault="00A361E2" w:rsidP="007B429C">
      <w:pPr>
        <w:pStyle w:val="ExhibitText"/>
      </w:pPr>
    </w:p>
    <w:p w14:paraId="5667E777" w14:textId="000988A2" w:rsidR="00606B63" w:rsidRPr="00A67AF2" w:rsidRDefault="00A67AF2" w:rsidP="007B429C">
      <w:pPr>
        <w:pStyle w:val="Footnote"/>
      </w:pPr>
      <w:r w:rsidRPr="00A67AF2">
        <w:t xml:space="preserve">Note: </w:t>
      </w:r>
      <w:r w:rsidR="00606B63" w:rsidRPr="00A67AF2">
        <w:t>*</w:t>
      </w:r>
      <w:r w:rsidR="003D731E">
        <w:t xml:space="preserve"> </w:t>
      </w:r>
      <w:r w:rsidR="00606B63" w:rsidRPr="00A67AF2">
        <w:t>Europe = E</w:t>
      </w:r>
      <w:r w:rsidR="004337B3" w:rsidRPr="00A67AF2">
        <w:t>uropean Union</w:t>
      </w:r>
      <w:r w:rsidR="00606B63" w:rsidRPr="00A67AF2">
        <w:t>, E</w:t>
      </w:r>
      <w:r w:rsidR="00F12A37">
        <w:t xml:space="preserve">uropean </w:t>
      </w:r>
      <w:r w:rsidR="00606B63" w:rsidRPr="00A67AF2">
        <w:t>F</w:t>
      </w:r>
      <w:r w:rsidR="00F12A37">
        <w:t xml:space="preserve">ree </w:t>
      </w:r>
      <w:r w:rsidR="00606B63" w:rsidRPr="00A67AF2">
        <w:t>T</w:t>
      </w:r>
      <w:r w:rsidR="00F12A37">
        <w:t xml:space="preserve">rade </w:t>
      </w:r>
      <w:r w:rsidR="00606B63" w:rsidRPr="00A67AF2">
        <w:t>A</w:t>
      </w:r>
      <w:r w:rsidR="00F12A37">
        <w:t>ssociation</w:t>
      </w:r>
      <w:r w:rsidR="00606B63" w:rsidRPr="00A67AF2">
        <w:t xml:space="preserve">, Albania, Bosnia, Croatia, Kosovo, Macedonia, Montenegro, </w:t>
      </w:r>
      <w:r w:rsidR="004337B3" w:rsidRPr="00A67AF2">
        <w:t xml:space="preserve">and </w:t>
      </w:r>
      <w:r w:rsidR="00606B63" w:rsidRPr="00A67AF2">
        <w:t>Serbia</w:t>
      </w:r>
      <w:r>
        <w:t xml:space="preserve">; </w:t>
      </w:r>
      <w:r w:rsidR="00606B63" w:rsidRPr="00A361E2">
        <w:t>**</w:t>
      </w:r>
      <w:r w:rsidR="00F12A37">
        <w:t>of which</w:t>
      </w:r>
      <w:r w:rsidR="00606B63" w:rsidRPr="00A361E2">
        <w:t xml:space="preserve"> 233</w:t>
      </w:r>
      <w:r w:rsidR="00F12A37">
        <w:t>,000</w:t>
      </w:r>
      <w:r w:rsidR="00AA1E5F">
        <w:t xml:space="preserve"> </w:t>
      </w:r>
      <w:r w:rsidR="00606B63" w:rsidRPr="00A361E2">
        <w:t xml:space="preserve">units </w:t>
      </w:r>
      <w:r w:rsidR="00F12A37">
        <w:t xml:space="preserve">were </w:t>
      </w:r>
      <w:r w:rsidR="00606B63" w:rsidRPr="00A361E2">
        <w:t>sold under Peugeot licence by Iran Khodro in 2016</w:t>
      </w:r>
      <w:r w:rsidR="00D02986">
        <w:t>.</w:t>
      </w:r>
    </w:p>
    <w:p w14:paraId="6B27A2AF" w14:textId="0378AB9B" w:rsidR="00606B63" w:rsidRPr="00A361E2" w:rsidRDefault="00606B63" w:rsidP="007B429C">
      <w:pPr>
        <w:pStyle w:val="Footnote"/>
        <w:rPr>
          <w:rStyle w:val="Strong"/>
          <w:b w:val="0"/>
          <w:bCs w:val="0"/>
        </w:rPr>
      </w:pPr>
      <w:r w:rsidRPr="00A361E2">
        <w:t xml:space="preserve">Source: PSA Peugeot Citroën, </w:t>
      </w:r>
      <w:r w:rsidRPr="00AC24B6">
        <w:rPr>
          <w:i/>
        </w:rPr>
        <w:t>2016 Annual Financial Report</w:t>
      </w:r>
      <w:r w:rsidR="00F12A37">
        <w:t>,</w:t>
      </w:r>
      <w:r w:rsidRPr="00A361E2">
        <w:t xml:space="preserve"> EDGAR Online, accessed May 15, 2017.</w:t>
      </w:r>
    </w:p>
    <w:p w14:paraId="6A990756" w14:textId="77777777" w:rsidR="00606B63" w:rsidRDefault="00606B63" w:rsidP="007B429C">
      <w:pPr>
        <w:pStyle w:val="ExhibitText"/>
        <w:rPr>
          <w:lang w:eastAsia="en-GB"/>
        </w:rPr>
      </w:pPr>
      <w:r>
        <w:br w:type="page"/>
      </w:r>
    </w:p>
    <w:p w14:paraId="0BBB6083" w14:textId="475C17CC" w:rsidR="00606B63" w:rsidRPr="00875EA1" w:rsidRDefault="00606B63" w:rsidP="007B429C">
      <w:pPr>
        <w:pStyle w:val="ExhibitHeading"/>
        <w:outlineLvl w:val="0"/>
        <w:rPr>
          <w:rFonts w:cs="Helvetica"/>
          <w:sz w:val="15"/>
          <w:szCs w:val="38"/>
          <w:bdr w:val="none" w:sz="0" w:space="0" w:color="auto" w:frame="1"/>
        </w:rPr>
      </w:pPr>
      <w:r w:rsidRPr="00875EA1">
        <w:lastRenderedPageBreak/>
        <w:t>Exhibit 3: Automotive industry in France</w:t>
      </w:r>
      <w:r w:rsidR="00BE2442">
        <w:t>—</w:t>
      </w:r>
      <w:r w:rsidRPr="00875EA1">
        <w:t>Top manufacturers</w:t>
      </w:r>
      <w:r w:rsidR="00BE2442">
        <w:t xml:space="preserve"> (Units Sold)</w:t>
      </w:r>
    </w:p>
    <w:tbl>
      <w:tblPr>
        <w:tblpPr w:leftFromText="180" w:rightFromText="180" w:vertAnchor="page" w:horzAnchor="margin" w:tblpXSpec="center" w:tblpY="2362"/>
        <w:tblW w:w="5000" w:type="pct"/>
        <w:jc w:val="center"/>
        <w:tblCellMar>
          <w:left w:w="0" w:type="dxa"/>
          <w:right w:w="0" w:type="dxa"/>
        </w:tblCellMar>
        <w:tblLook w:val="04A0" w:firstRow="1" w:lastRow="0" w:firstColumn="1" w:lastColumn="0" w:noHBand="0" w:noVBand="1"/>
      </w:tblPr>
      <w:tblGrid>
        <w:gridCol w:w="3208"/>
        <w:gridCol w:w="1989"/>
        <w:gridCol w:w="61"/>
        <w:gridCol w:w="1928"/>
        <w:gridCol w:w="123"/>
        <w:gridCol w:w="1867"/>
        <w:gridCol w:w="184"/>
      </w:tblGrid>
      <w:tr w:rsidR="00BE2442" w:rsidRPr="00BE2442" w14:paraId="48320FC3" w14:textId="77777777" w:rsidTr="00BE2442">
        <w:trPr>
          <w:trHeight w:val="1"/>
          <w:jc w:val="center"/>
        </w:trPr>
        <w:tc>
          <w:tcPr>
            <w:tcW w:w="3208" w:type="dxa"/>
            <w:tcBorders>
              <w:top w:val="single" w:sz="4" w:space="0" w:color="auto"/>
              <w:bottom w:val="double" w:sz="4" w:space="0" w:color="auto"/>
            </w:tcBorders>
            <w:tcMar>
              <w:top w:w="90" w:type="dxa"/>
              <w:left w:w="90" w:type="dxa"/>
              <w:bottom w:w="90" w:type="dxa"/>
              <w:right w:w="90" w:type="dxa"/>
            </w:tcMar>
            <w:vAlign w:val="center"/>
            <w:hideMark/>
          </w:tcPr>
          <w:p w14:paraId="2E723524" w14:textId="77777777" w:rsidR="00BE2442" w:rsidRPr="00BE2442" w:rsidRDefault="00BE2442" w:rsidP="007B429C">
            <w:pPr>
              <w:pStyle w:val="ExhibitText"/>
              <w:rPr>
                <w:b/>
                <w:lang w:eastAsia="en-GB"/>
              </w:rPr>
            </w:pPr>
            <w:r w:rsidRPr="00BE2442">
              <w:rPr>
                <w:b/>
                <w:lang w:eastAsia="en-GB"/>
              </w:rPr>
              <w:t>Manufacturer</w:t>
            </w:r>
          </w:p>
        </w:tc>
        <w:tc>
          <w:tcPr>
            <w:tcW w:w="2050" w:type="dxa"/>
            <w:gridSpan w:val="2"/>
            <w:tcBorders>
              <w:top w:val="single" w:sz="4" w:space="0" w:color="auto"/>
              <w:bottom w:val="double" w:sz="4" w:space="0" w:color="auto"/>
            </w:tcBorders>
            <w:tcMar>
              <w:top w:w="90" w:type="dxa"/>
              <w:left w:w="90" w:type="dxa"/>
              <w:bottom w:w="90" w:type="dxa"/>
              <w:right w:w="90" w:type="dxa"/>
            </w:tcMar>
            <w:vAlign w:val="center"/>
            <w:hideMark/>
          </w:tcPr>
          <w:p w14:paraId="79A32E1C" w14:textId="77777777" w:rsidR="00BE2442" w:rsidRPr="00BE2442" w:rsidRDefault="00BE2442" w:rsidP="007B429C">
            <w:pPr>
              <w:pStyle w:val="ExhibitText"/>
              <w:ind w:firstLine="900"/>
              <w:jc w:val="center"/>
              <w:rPr>
                <w:b/>
                <w:lang w:eastAsia="en-GB"/>
              </w:rPr>
            </w:pPr>
            <w:r w:rsidRPr="00BE2442">
              <w:rPr>
                <w:b/>
                <w:lang w:eastAsia="en-GB"/>
              </w:rPr>
              <w:t xml:space="preserve">      2015</w:t>
            </w:r>
          </w:p>
        </w:tc>
        <w:tc>
          <w:tcPr>
            <w:tcW w:w="2051" w:type="dxa"/>
            <w:gridSpan w:val="2"/>
            <w:tcBorders>
              <w:top w:val="single" w:sz="4" w:space="0" w:color="auto"/>
              <w:bottom w:val="double" w:sz="4" w:space="0" w:color="auto"/>
            </w:tcBorders>
            <w:vAlign w:val="center"/>
          </w:tcPr>
          <w:p w14:paraId="30E64317" w14:textId="7675A375" w:rsidR="00BE2442" w:rsidRPr="00BE2442" w:rsidRDefault="00BE2442" w:rsidP="007B429C">
            <w:pPr>
              <w:pStyle w:val="ExhibitText"/>
              <w:ind w:firstLine="610"/>
              <w:jc w:val="center"/>
              <w:rPr>
                <w:b/>
                <w:lang w:eastAsia="en-GB"/>
              </w:rPr>
            </w:pPr>
            <w:r w:rsidRPr="00BE2442">
              <w:rPr>
                <w:b/>
                <w:lang w:eastAsia="en-GB"/>
              </w:rPr>
              <w:t xml:space="preserve">      2016</w:t>
            </w:r>
          </w:p>
        </w:tc>
        <w:tc>
          <w:tcPr>
            <w:tcW w:w="2051" w:type="dxa"/>
            <w:gridSpan w:val="2"/>
            <w:tcBorders>
              <w:top w:val="single" w:sz="4" w:space="0" w:color="auto"/>
              <w:bottom w:val="double" w:sz="4" w:space="0" w:color="auto"/>
            </w:tcBorders>
            <w:tcMar>
              <w:top w:w="90" w:type="dxa"/>
              <w:left w:w="90" w:type="dxa"/>
              <w:bottom w:w="90" w:type="dxa"/>
              <w:right w:w="90" w:type="dxa"/>
            </w:tcMar>
            <w:vAlign w:val="center"/>
            <w:hideMark/>
          </w:tcPr>
          <w:p w14:paraId="042CDD4A" w14:textId="6B442903" w:rsidR="00BE2442" w:rsidRPr="00BE2442" w:rsidRDefault="00BE2442" w:rsidP="007B429C">
            <w:pPr>
              <w:pStyle w:val="ExhibitText"/>
              <w:ind w:firstLine="610"/>
              <w:jc w:val="center"/>
              <w:rPr>
                <w:b/>
                <w:lang w:eastAsia="en-GB"/>
              </w:rPr>
            </w:pPr>
            <w:r w:rsidRPr="00BE2442">
              <w:rPr>
                <w:b/>
                <w:lang w:eastAsia="en-GB"/>
              </w:rPr>
              <w:t xml:space="preserve">     % Change</w:t>
            </w:r>
          </w:p>
        </w:tc>
      </w:tr>
      <w:tr w:rsidR="00BE2442" w:rsidRPr="00BE2442" w14:paraId="6B4AE5AA"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4393884D" w14:textId="77777777" w:rsidR="00BE2442" w:rsidRPr="00BE2442" w:rsidRDefault="00BE2442" w:rsidP="007B429C">
            <w:pPr>
              <w:pStyle w:val="ExhibitText"/>
              <w:rPr>
                <w:lang w:eastAsia="en-GB"/>
              </w:rPr>
            </w:pPr>
            <w:r w:rsidRPr="00BE2442">
              <w:rPr>
                <w:lang w:eastAsia="en-GB"/>
              </w:rPr>
              <w:t>Total Market</w:t>
            </w:r>
          </w:p>
        </w:tc>
        <w:tc>
          <w:tcPr>
            <w:tcW w:w="1989" w:type="dxa"/>
            <w:tcMar>
              <w:top w:w="90" w:type="dxa"/>
              <w:left w:w="90" w:type="dxa"/>
              <w:bottom w:w="90" w:type="dxa"/>
              <w:right w:w="90" w:type="dxa"/>
            </w:tcMar>
            <w:vAlign w:val="center"/>
            <w:hideMark/>
          </w:tcPr>
          <w:p w14:paraId="04CC72AB" w14:textId="77777777" w:rsidR="00BE2442" w:rsidRPr="00BE2442" w:rsidRDefault="00BE2442" w:rsidP="007B429C">
            <w:pPr>
              <w:pStyle w:val="ExhibitText"/>
              <w:jc w:val="right"/>
              <w:rPr>
                <w:lang w:eastAsia="en-GB"/>
              </w:rPr>
            </w:pPr>
            <w:r w:rsidRPr="00BE2442">
              <w:rPr>
                <w:lang w:eastAsia="en-GB"/>
              </w:rPr>
              <w:t>1,917,230</w:t>
            </w:r>
          </w:p>
        </w:tc>
        <w:tc>
          <w:tcPr>
            <w:tcW w:w="1989" w:type="dxa"/>
            <w:gridSpan w:val="2"/>
            <w:vAlign w:val="center"/>
          </w:tcPr>
          <w:p w14:paraId="38FD2FB4" w14:textId="1A0CC2B5" w:rsidR="00BE2442" w:rsidRPr="00BE2442" w:rsidRDefault="00BE2442" w:rsidP="007B429C">
            <w:pPr>
              <w:pStyle w:val="ExhibitText"/>
              <w:jc w:val="right"/>
              <w:rPr>
                <w:lang w:eastAsia="en-GB"/>
              </w:rPr>
            </w:pPr>
            <w:r w:rsidRPr="00BE2442">
              <w:rPr>
                <w:lang w:eastAsia="en-GB"/>
              </w:rPr>
              <w:t>2,015,186</w:t>
            </w:r>
          </w:p>
        </w:tc>
        <w:tc>
          <w:tcPr>
            <w:tcW w:w="1990" w:type="dxa"/>
            <w:gridSpan w:val="2"/>
            <w:tcMar>
              <w:top w:w="90" w:type="dxa"/>
              <w:left w:w="90" w:type="dxa"/>
              <w:bottom w:w="90" w:type="dxa"/>
              <w:right w:w="90" w:type="dxa"/>
            </w:tcMar>
            <w:vAlign w:val="center"/>
            <w:hideMark/>
          </w:tcPr>
          <w:p w14:paraId="3257BF19" w14:textId="0CA88B85" w:rsidR="00BE2442" w:rsidRPr="00BE2442" w:rsidRDefault="00BE2442" w:rsidP="007B429C">
            <w:pPr>
              <w:pStyle w:val="ExhibitText"/>
              <w:jc w:val="right"/>
              <w:rPr>
                <w:lang w:eastAsia="en-GB"/>
              </w:rPr>
            </w:pPr>
            <w:r w:rsidRPr="00BE2442">
              <w:rPr>
                <w:lang w:eastAsia="en-GB"/>
              </w:rPr>
              <w:t>5.1</w:t>
            </w:r>
          </w:p>
        </w:tc>
      </w:tr>
      <w:tr w:rsidR="00BE2442" w:rsidRPr="00BE2442" w14:paraId="6DD92F7A"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3359A4D1" w14:textId="77777777" w:rsidR="00BE2442" w:rsidRPr="00BE2442" w:rsidRDefault="00BE2442" w:rsidP="007B429C">
            <w:pPr>
              <w:pStyle w:val="ExhibitText"/>
              <w:rPr>
                <w:lang w:eastAsia="en-GB"/>
              </w:rPr>
            </w:pPr>
            <w:r w:rsidRPr="00BE2442">
              <w:rPr>
                <w:lang w:eastAsia="en-GB"/>
              </w:rPr>
              <w:t>PSA Group</w:t>
            </w:r>
          </w:p>
        </w:tc>
        <w:tc>
          <w:tcPr>
            <w:tcW w:w="1989" w:type="dxa"/>
            <w:tcMar>
              <w:top w:w="90" w:type="dxa"/>
              <w:left w:w="90" w:type="dxa"/>
              <w:bottom w:w="90" w:type="dxa"/>
              <w:right w:w="90" w:type="dxa"/>
            </w:tcMar>
            <w:vAlign w:val="center"/>
            <w:hideMark/>
          </w:tcPr>
          <w:p w14:paraId="63725ADB" w14:textId="77777777" w:rsidR="00BE2442" w:rsidRPr="00BE2442" w:rsidRDefault="00BE2442" w:rsidP="007B429C">
            <w:pPr>
              <w:pStyle w:val="ExhibitText"/>
              <w:jc w:val="right"/>
              <w:rPr>
                <w:lang w:eastAsia="en-GB"/>
              </w:rPr>
            </w:pPr>
            <w:r w:rsidRPr="00BE2442">
              <w:rPr>
                <w:lang w:eastAsia="en-GB"/>
              </w:rPr>
              <w:t>558,715</w:t>
            </w:r>
          </w:p>
        </w:tc>
        <w:tc>
          <w:tcPr>
            <w:tcW w:w="1989" w:type="dxa"/>
            <w:gridSpan w:val="2"/>
            <w:vAlign w:val="center"/>
          </w:tcPr>
          <w:p w14:paraId="1CFA7B81" w14:textId="76964F53" w:rsidR="00BE2442" w:rsidRPr="00BE2442" w:rsidRDefault="00BE2442" w:rsidP="007B429C">
            <w:pPr>
              <w:pStyle w:val="ExhibitText"/>
              <w:jc w:val="right"/>
              <w:rPr>
                <w:lang w:eastAsia="en-GB"/>
              </w:rPr>
            </w:pPr>
            <w:r w:rsidRPr="00BE2442">
              <w:rPr>
                <w:lang w:eastAsia="en-GB"/>
              </w:rPr>
              <w:t>558,976</w:t>
            </w:r>
          </w:p>
        </w:tc>
        <w:tc>
          <w:tcPr>
            <w:tcW w:w="1990" w:type="dxa"/>
            <w:gridSpan w:val="2"/>
            <w:tcMar>
              <w:top w:w="90" w:type="dxa"/>
              <w:left w:w="90" w:type="dxa"/>
              <w:bottom w:w="90" w:type="dxa"/>
              <w:right w:w="90" w:type="dxa"/>
            </w:tcMar>
            <w:vAlign w:val="center"/>
            <w:hideMark/>
          </w:tcPr>
          <w:p w14:paraId="35147BAB" w14:textId="641BE3AE" w:rsidR="00BE2442" w:rsidRPr="00BE2442" w:rsidRDefault="00BE2442" w:rsidP="007B429C">
            <w:pPr>
              <w:pStyle w:val="ExhibitText"/>
              <w:jc w:val="right"/>
              <w:rPr>
                <w:lang w:eastAsia="en-GB"/>
              </w:rPr>
            </w:pPr>
            <w:r w:rsidRPr="00BE2442">
              <w:rPr>
                <w:lang w:eastAsia="en-GB"/>
              </w:rPr>
              <w:t>0.0</w:t>
            </w:r>
          </w:p>
        </w:tc>
      </w:tr>
      <w:tr w:rsidR="00BE2442" w:rsidRPr="00BE2442" w14:paraId="74BC95CF"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3FFF4BCA" w14:textId="77777777" w:rsidR="00BE2442" w:rsidRPr="00BE2442" w:rsidRDefault="00BE2442" w:rsidP="007B429C">
            <w:pPr>
              <w:pStyle w:val="ExhibitText"/>
              <w:rPr>
                <w:lang w:eastAsia="en-GB"/>
              </w:rPr>
            </w:pPr>
            <w:r w:rsidRPr="00BE2442">
              <w:rPr>
                <w:lang w:eastAsia="en-GB"/>
              </w:rPr>
              <w:t>– Peugeot</w:t>
            </w:r>
          </w:p>
        </w:tc>
        <w:tc>
          <w:tcPr>
            <w:tcW w:w="1989" w:type="dxa"/>
            <w:tcMar>
              <w:top w:w="90" w:type="dxa"/>
              <w:left w:w="90" w:type="dxa"/>
              <w:bottom w:w="90" w:type="dxa"/>
              <w:right w:w="90" w:type="dxa"/>
            </w:tcMar>
            <w:vAlign w:val="center"/>
            <w:hideMark/>
          </w:tcPr>
          <w:p w14:paraId="0D1F59EB" w14:textId="77777777" w:rsidR="00BE2442" w:rsidRPr="00BE2442" w:rsidRDefault="00BE2442" w:rsidP="007B429C">
            <w:pPr>
              <w:pStyle w:val="ExhibitText"/>
              <w:jc w:val="right"/>
              <w:rPr>
                <w:lang w:eastAsia="en-GB"/>
              </w:rPr>
            </w:pPr>
            <w:r w:rsidRPr="00BE2442">
              <w:rPr>
                <w:lang w:eastAsia="en-GB"/>
              </w:rPr>
              <w:t>327,393</w:t>
            </w:r>
          </w:p>
        </w:tc>
        <w:tc>
          <w:tcPr>
            <w:tcW w:w="1989" w:type="dxa"/>
            <w:gridSpan w:val="2"/>
            <w:vAlign w:val="center"/>
          </w:tcPr>
          <w:p w14:paraId="2D152BDC" w14:textId="7F6E1E7B" w:rsidR="00BE2442" w:rsidRPr="00BE2442" w:rsidRDefault="00BE2442" w:rsidP="007B429C">
            <w:pPr>
              <w:pStyle w:val="ExhibitText"/>
              <w:jc w:val="right"/>
              <w:rPr>
                <w:lang w:eastAsia="en-GB"/>
              </w:rPr>
            </w:pPr>
            <w:r w:rsidRPr="00BE2442">
              <w:rPr>
                <w:lang w:eastAsia="en-GB"/>
              </w:rPr>
              <w:t>335,884</w:t>
            </w:r>
          </w:p>
        </w:tc>
        <w:tc>
          <w:tcPr>
            <w:tcW w:w="1990" w:type="dxa"/>
            <w:gridSpan w:val="2"/>
            <w:tcMar>
              <w:top w:w="90" w:type="dxa"/>
              <w:left w:w="90" w:type="dxa"/>
              <w:bottom w:w="90" w:type="dxa"/>
              <w:right w:w="90" w:type="dxa"/>
            </w:tcMar>
            <w:vAlign w:val="center"/>
            <w:hideMark/>
          </w:tcPr>
          <w:p w14:paraId="06C95488" w14:textId="5060CFEA" w:rsidR="00BE2442" w:rsidRPr="00BE2442" w:rsidRDefault="00BE2442" w:rsidP="007B429C">
            <w:pPr>
              <w:pStyle w:val="ExhibitText"/>
              <w:jc w:val="right"/>
              <w:rPr>
                <w:lang w:eastAsia="en-GB"/>
              </w:rPr>
            </w:pPr>
            <w:r w:rsidRPr="00BE2442">
              <w:rPr>
                <w:lang w:eastAsia="en-GB"/>
              </w:rPr>
              <w:t>2.6</w:t>
            </w:r>
          </w:p>
        </w:tc>
      </w:tr>
      <w:tr w:rsidR="00BE2442" w:rsidRPr="00BE2442" w14:paraId="2A352B96"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01CC0D14" w14:textId="77777777" w:rsidR="00BE2442" w:rsidRPr="00BE2442" w:rsidRDefault="00BE2442" w:rsidP="007B429C">
            <w:pPr>
              <w:pStyle w:val="ExhibitText"/>
              <w:rPr>
                <w:lang w:eastAsia="en-GB"/>
              </w:rPr>
            </w:pPr>
            <w:r w:rsidRPr="00BE2442">
              <w:rPr>
                <w:lang w:eastAsia="en-GB"/>
              </w:rPr>
              <w:t>– Citroën</w:t>
            </w:r>
          </w:p>
        </w:tc>
        <w:tc>
          <w:tcPr>
            <w:tcW w:w="1989" w:type="dxa"/>
            <w:tcMar>
              <w:top w:w="90" w:type="dxa"/>
              <w:left w:w="90" w:type="dxa"/>
              <w:bottom w:w="90" w:type="dxa"/>
              <w:right w:w="90" w:type="dxa"/>
            </w:tcMar>
            <w:vAlign w:val="center"/>
            <w:hideMark/>
          </w:tcPr>
          <w:p w14:paraId="085CCF94" w14:textId="77777777" w:rsidR="00BE2442" w:rsidRPr="00BE2442" w:rsidRDefault="00BE2442" w:rsidP="007B429C">
            <w:pPr>
              <w:pStyle w:val="ExhibitText"/>
              <w:jc w:val="right"/>
              <w:rPr>
                <w:lang w:eastAsia="en-GB"/>
              </w:rPr>
            </w:pPr>
            <w:r w:rsidRPr="00BE2442">
              <w:rPr>
                <w:lang w:eastAsia="en-GB"/>
              </w:rPr>
              <w:t>201,065</w:t>
            </w:r>
          </w:p>
        </w:tc>
        <w:tc>
          <w:tcPr>
            <w:tcW w:w="1989" w:type="dxa"/>
            <w:gridSpan w:val="2"/>
            <w:vAlign w:val="center"/>
          </w:tcPr>
          <w:p w14:paraId="61C88ACE" w14:textId="3E945449" w:rsidR="00BE2442" w:rsidRPr="00BE2442" w:rsidRDefault="00BE2442" w:rsidP="007B429C">
            <w:pPr>
              <w:pStyle w:val="ExhibitText"/>
              <w:jc w:val="right"/>
              <w:rPr>
                <w:lang w:eastAsia="en-GB"/>
              </w:rPr>
            </w:pPr>
            <w:r w:rsidRPr="00BE2442">
              <w:rPr>
                <w:lang w:eastAsia="en-GB"/>
              </w:rPr>
              <w:t>195,011</w:t>
            </w:r>
          </w:p>
        </w:tc>
        <w:tc>
          <w:tcPr>
            <w:tcW w:w="1990" w:type="dxa"/>
            <w:gridSpan w:val="2"/>
            <w:tcMar>
              <w:top w:w="90" w:type="dxa"/>
              <w:left w:w="90" w:type="dxa"/>
              <w:bottom w:w="90" w:type="dxa"/>
              <w:right w:w="90" w:type="dxa"/>
            </w:tcMar>
            <w:vAlign w:val="center"/>
            <w:hideMark/>
          </w:tcPr>
          <w:p w14:paraId="6B940FF5" w14:textId="20406752" w:rsidR="00BE2442" w:rsidRPr="00BE2442" w:rsidRDefault="00BE2442" w:rsidP="007B429C">
            <w:pPr>
              <w:pStyle w:val="ExhibitText"/>
              <w:jc w:val="right"/>
              <w:rPr>
                <w:lang w:eastAsia="en-GB"/>
              </w:rPr>
            </w:pPr>
            <w:r w:rsidRPr="00BE2442">
              <w:rPr>
                <w:lang w:eastAsia="en-GB"/>
              </w:rPr>
              <w:t>–3.0</w:t>
            </w:r>
          </w:p>
        </w:tc>
      </w:tr>
      <w:tr w:rsidR="00BE2442" w:rsidRPr="00BE2442" w14:paraId="13C41C67"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54D5D68F" w14:textId="77777777" w:rsidR="00BE2442" w:rsidRPr="00BE2442" w:rsidRDefault="00BE2442" w:rsidP="007B429C">
            <w:pPr>
              <w:pStyle w:val="ExhibitText"/>
              <w:rPr>
                <w:lang w:eastAsia="en-GB"/>
              </w:rPr>
            </w:pPr>
            <w:r w:rsidRPr="00BE2442">
              <w:rPr>
                <w:lang w:eastAsia="en-GB"/>
              </w:rPr>
              <w:t>– DS</w:t>
            </w:r>
          </w:p>
        </w:tc>
        <w:tc>
          <w:tcPr>
            <w:tcW w:w="1989" w:type="dxa"/>
            <w:tcMar>
              <w:top w:w="90" w:type="dxa"/>
              <w:left w:w="90" w:type="dxa"/>
              <w:bottom w:w="90" w:type="dxa"/>
              <w:right w:w="90" w:type="dxa"/>
            </w:tcMar>
            <w:vAlign w:val="center"/>
            <w:hideMark/>
          </w:tcPr>
          <w:p w14:paraId="32428599" w14:textId="77777777" w:rsidR="00BE2442" w:rsidRPr="00BE2442" w:rsidRDefault="00BE2442" w:rsidP="007B429C">
            <w:pPr>
              <w:pStyle w:val="ExhibitText"/>
              <w:jc w:val="right"/>
              <w:rPr>
                <w:lang w:eastAsia="en-GB"/>
              </w:rPr>
            </w:pPr>
            <w:r w:rsidRPr="00BE2442">
              <w:rPr>
                <w:lang w:eastAsia="en-GB"/>
              </w:rPr>
              <w:t>30,257</w:t>
            </w:r>
          </w:p>
        </w:tc>
        <w:tc>
          <w:tcPr>
            <w:tcW w:w="1989" w:type="dxa"/>
            <w:gridSpan w:val="2"/>
            <w:vAlign w:val="center"/>
          </w:tcPr>
          <w:p w14:paraId="44B14DDC" w14:textId="5B725B3F" w:rsidR="00BE2442" w:rsidRPr="00BE2442" w:rsidRDefault="00BE2442" w:rsidP="007B429C">
            <w:pPr>
              <w:pStyle w:val="ExhibitText"/>
              <w:jc w:val="right"/>
              <w:rPr>
                <w:lang w:eastAsia="en-GB"/>
              </w:rPr>
            </w:pPr>
            <w:r w:rsidRPr="00BE2442">
              <w:rPr>
                <w:lang w:eastAsia="en-GB"/>
              </w:rPr>
              <w:t>28,081</w:t>
            </w:r>
          </w:p>
        </w:tc>
        <w:tc>
          <w:tcPr>
            <w:tcW w:w="1990" w:type="dxa"/>
            <w:gridSpan w:val="2"/>
            <w:tcMar>
              <w:top w:w="90" w:type="dxa"/>
              <w:left w:w="90" w:type="dxa"/>
              <w:bottom w:w="90" w:type="dxa"/>
              <w:right w:w="90" w:type="dxa"/>
            </w:tcMar>
            <w:vAlign w:val="center"/>
            <w:hideMark/>
          </w:tcPr>
          <w:p w14:paraId="3D0C1666" w14:textId="6581EEC1" w:rsidR="00BE2442" w:rsidRPr="00BE2442" w:rsidRDefault="00BE2442" w:rsidP="007B429C">
            <w:pPr>
              <w:pStyle w:val="ExhibitText"/>
              <w:jc w:val="right"/>
              <w:rPr>
                <w:lang w:eastAsia="en-GB"/>
              </w:rPr>
            </w:pPr>
            <w:r w:rsidRPr="00BE2442">
              <w:rPr>
                <w:lang w:eastAsia="en-GB"/>
              </w:rPr>
              <w:t>–7.2</w:t>
            </w:r>
          </w:p>
        </w:tc>
      </w:tr>
      <w:tr w:rsidR="00BE2442" w:rsidRPr="00BE2442" w14:paraId="3AC4E69F"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65824A9F" w14:textId="26D1E425" w:rsidR="00BE2442" w:rsidRPr="00BE2442" w:rsidRDefault="00BE2442" w:rsidP="007B429C">
            <w:pPr>
              <w:pStyle w:val="ExhibitText"/>
              <w:rPr>
                <w:lang w:eastAsia="en-GB"/>
              </w:rPr>
            </w:pPr>
            <w:r w:rsidRPr="00BE2442">
              <w:rPr>
                <w:lang w:eastAsia="en-GB"/>
              </w:rPr>
              <w:t>Renault Group</w:t>
            </w:r>
          </w:p>
        </w:tc>
        <w:tc>
          <w:tcPr>
            <w:tcW w:w="1989" w:type="dxa"/>
            <w:tcMar>
              <w:top w:w="90" w:type="dxa"/>
              <w:left w:w="90" w:type="dxa"/>
              <w:bottom w:w="90" w:type="dxa"/>
              <w:right w:w="90" w:type="dxa"/>
            </w:tcMar>
            <w:vAlign w:val="center"/>
            <w:hideMark/>
          </w:tcPr>
          <w:p w14:paraId="0590FBE9" w14:textId="77777777" w:rsidR="00BE2442" w:rsidRPr="00BE2442" w:rsidRDefault="00BE2442" w:rsidP="007B429C">
            <w:pPr>
              <w:pStyle w:val="ExhibitText"/>
              <w:jc w:val="right"/>
              <w:rPr>
                <w:lang w:eastAsia="en-GB"/>
              </w:rPr>
            </w:pPr>
            <w:r w:rsidRPr="00BE2442">
              <w:rPr>
                <w:lang w:eastAsia="en-GB"/>
              </w:rPr>
              <w:t>479,945</w:t>
            </w:r>
          </w:p>
        </w:tc>
        <w:tc>
          <w:tcPr>
            <w:tcW w:w="1989" w:type="dxa"/>
            <w:gridSpan w:val="2"/>
            <w:vAlign w:val="center"/>
          </w:tcPr>
          <w:p w14:paraId="11089F53" w14:textId="4D235AD9" w:rsidR="00BE2442" w:rsidRPr="00BE2442" w:rsidRDefault="00BE2442" w:rsidP="007B429C">
            <w:pPr>
              <w:pStyle w:val="ExhibitText"/>
              <w:jc w:val="right"/>
              <w:rPr>
                <w:lang w:eastAsia="en-GB"/>
              </w:rPr>
            </w:pPr>
            <w:r w:rsidRPr="00BE2442">
              <w:rPr>
                <w:lang w:eastAsia="en-GB"/>
              </w:rPr>
              <w:t>518,462</w:t>
            </w:r>
          </w:p>
        </w:tc>
        <w:tc>
          <w:tcPr>
            <w:tcW w:w="1990" w:type="dxa"/>
            <w:gridSpan w:val="2"/>
            <w:tcMar>
              <w:top w:w="90" w:type="dxa"/>
              <w:left w:w="90" w:type="dxa"/>
              <w:bottom w:w="90" w:type="dxa"/>
              <w:right w:w="90" w:type="dxa"/>
            </w:tcMar>
            <w:vAlign w:val="center"/>
            <w:hideMark/>
          </w:tcPr>
          <w:p w14:paraId="261CD284" w14:textId="6104D267" w:rsidR="00BE2442" w:rsidRPr="00BE2442" w:rsidRDefault="00BE2442" w:rsidP="007B429C">
            <w:pPr>
              <w:pStyle w:val="ExhibitText"/>
              <w:jc w:val="right"/>
              <w:rPr>
                <w:lang w:eastAsia="en-GB"/>
              </w:rPr>
            </w:pPr>
            <w:r w:rsidRPr="00BE2442">
              <w:rPr>
                <w:lang w:eastAsia="en-GB"/>
              </w:rPr>
              <w:t>8.0</w:t>
            </w:r>
          </w:p>
        </w:tc>
      </w:tr>
      <w:tr w:rsidR="00BE2442" w:rsidRPr="00BE2442" w14:paraId="2E3D4B65" w14:textId="77777777" w:rsidTr="00BE2442">
        <w:trPr>
          <w:gridAfter w:val="1"/>
          <w:wAfter w:w="184" w:type="dxa"/>
          <w:trHeight w:val="338"/>
          <w:jc w:val="center"/>
        </w:trPr>
        <w:tc>
          <w:tcPr>
            <w:tcW w:w="3208" w:type="dxa"/>
            <w:tcMar>
              <w:top w:w="90" w:type="dxa"/>
              <w:left w:w="90" w:type="dxa"/>
              <w:bottom w:w="90" w:type="dxa"/>
              <w:right w:w="90" w:type="dxa"/>
            </w:tcMar>
            <w:vAlign w:val="center"/>
            <w:hideMark/>
          </w:tcPr>
          <w:p w14:paraId="2ED04558" w14:textId="5D2A1A2F" w:rsidR="00BE2442" w:rsidRPr="00BE2442" w:rsidRDefault="00BE2442" w:rsidP="007B429C">
            <w:pPr>
              <w:pStyle w:val="ExhibitText"/>
              <w:rPr>
                <w:lang w:eastAsia="en-GB"/>
              </w:rPr>
            </w:pPr>
            <w:r w:rsidRPr="00BE2442">
              <w:rPr>
                <w:lang w:eastAsia="en-GB"/>
              </w:rPr>
              <w:t>Volkswagen Group</w:t>
            </w:r>
          </w:p>
        </w:tc>
        <w:tc>
          <w:tcPr>
            <w:tcW w:w="1989" w:type="dxa"/>
            <w:tcMar>
              <w:top w:w="90" w:type="dxa"/>
              <w:left w:w="90" w:type="dxa"/>
              <w:bottom w:w="90" w:type="dxa"/>
              <w:right w:w="90" w:type="dxa"/>
            </w:tcMar>
            <w:vAlign w:val="center"/>
            <w:hideMark/>
          </w:tcPr>
          <w:p w14:paraId="4CFBD093" w14:textId="77777777" w:rsidR="00BE2442" w:rsidRPr="00BE2442" w:rsidRDefault="00BE2442" w:rsidP="007B429C">
            <w:pPr>
              <w:pStyle w:val="ExhibitText"/>
              <w:jc w:val="right"/>
              <w:rPr>
                <w:lang w:eastAsia="en-GB"/>
              </w:rPr>
            </w:pPr>
            <w:r w:rsidRPr="00BE2442">
              <w:rPr>
                <w:lang w:eastAsia="en-GB"/>
              </w:rPr>
              <w:t>246,710</w:t>
            </w:r>
          </w:p>
        </w:tc>
        <w:tc>
          <w:tcPr>
            <w:tcW w:w="1989" w:type="dxa"/>
            <w:gridSpan w:val="2"/>
            <w:vAlign w:val="center"/>
          </w:tcPr>
          <w:p w14:paraId="0CCE7E18" w14:textId="6061244D" w:rsidR="00BE2442" w:rsidRPr="00BE2442" w:rsidRDefault="00BE2442" w:rsidP="007B429C">
            <w:pPr>
              <w:pStyle w:val="ExhibitText"/>
              <w:jc w:val="right"/>
              <w:rPr>
                <w:lang w:eastAsia="en-GB"/>
              </w:rPr>
            </w:pPr>
            <w:r w:rsidRPr="00BE2442">
              <w:rPr>
                <w:lang w:eastAsia="en-GB"/>
              </w:rPr>
              <w:t>258,603</w:t>
            </w:r>
          </w:p>
        </w:tc>
        <w:tc>
          <w:tcPr>
            <w:tcW w:w="1990" w:type="dxa"/>
            <w:gridSpan w:val="2"/>
            <w:tcMar>
              <w:top w:w="90" w:type="dxa"/>
              <w:left w:w="90" w:type="dxa"/>
              <w:bottom w:w="90" w:type="dxa"/>
              <w:right w:w="90" w:type="dxa"/>
            </w:tcMar>
            <w:vAlign w:val="center"/>
            <w:hideMark/>
          </w:tcPr>
          <w:p w14:paraId="737D6FF7" w14:textId="12D4E7D4" w:rsidR="00BE2442" w:rsidRPr="00BE2442" w:rsidRDefault="00BE2442" w:rsidP="007B429C">
            <w:pPr>
              <w:pStyle w:val="ExhibitText"/>
              <w:jc w:val="right"/>
              <w:rPr>
                <w:lang w:eastAsia="en-GB"/>
              </w:rPr>
            </w:pPr>
            <w:r w:rsidRPr="00BE2442">
              <w:rPr>
                <w:lang w:eastAsia="en-GB"/>
              </w:rPr>
              <w:t>2.8</w:t>
            </w:r>
          </w:p>
        </w:tc>
      </w:tr>
      <w:tr w:rsidR="00BE2442" w:rsidRPr="00BE2442" w14:paraId="7844C83A"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0082347E" w14:textId="77777777" w:rsidR="00BE2442" w:rsidRPr="00BE2442" w:rsidRDefault="00BE2442" w:rsidP="007B429C">
            <w:pPr>
              <w:pStyle w:val="ExhibitText"/>
              <w:rPr>
                <w:lang w:eastAsia="en-GB"/>
              </w:rPr>
            </w:pPr>
            <w:r w:rsidRPr="00BE2442">
              <w:rPr>
                <w:lang w:eastAsia="en-GB"/>
              </w:rPr>
              <w:t>BMW Group</w:t>
            </w:r>
          </w:p>
        </w:tc>
        <w:tc>
          <w:tcPr>
            <w:tcW w:w="1989" w:type="dxa"/>
            <w:tcMar>
              <w:top w:w="90" w:type="dxa"/>
              <w:left w:w="90" w:type="dxa"/>
              <w:bottom w:w="90" w:type="dxa"/>
              <w:right w:w="90" w:type="dxa"/>
            </w:tcMar>
            <w:vAlign w:val="center"/>
            <w:hideMark/>
          </w:tcPr>
          <w:p w14:paraId="76A5D0EE" w14:textId="77777777" w:rsidR="00BE2442" w:rsidRPr="00BE2442" w:rsidRDefault="00BE2442" w:rsidP="007B429C">
            <w:pPr>
              <w:pStyle w:val="ExhibitText"/>
              <w:jc w:val="right"/>
              <w:rPr>
                <w:lang w:eastAsia="en-GB"/>
              </w:rPr>
            </w:pPr>
            <w:r w:rsidRPr="00BE2442">
              <w:rPr>
                <w:lang w:eastAsia="en-GB"/>
              </w:rPr>
              <w:t>76,077</w:t>
            </w:r>
          </w:p>
        </w:tc>
        <w:tc>
          <w:tcPr>
            <w:tcW w:w="1989" w:type="dxa"/>
            <w:gridSpan w:val="2"/>
            <w:vAlign w:val="center"/>
          </w:tcPr>
          <w:p w14:paraId="5FFB87FD" w14:textId="09BA8647" w:rsidR="00BE2442" w:rsidRPr="00BE2442" w:rsidRDefault="00BE2442" w:rsidP="007B429C">
            <w:pPr>
              <w:pStyle w:val="ExhibitText"/>
              <w:jc w:val="right"/>
              <w:rPr>
                <w:lang w:eastAsia="en-GB"/>
              </w:rPr>
            </w:pPr>
            <w:r w:rsidRPr="00BE2442">
              <w:rPr>
                <w:lang w:eastAsia="en-GB"/>
              </w:rPr>
              <w:t>85,712</w:t>
            </w:r>
          </w:p>
        </w:tc>
        <w:tc>
          <w:tcPr>
            <w:tcW w:w="1990" w:type="dxa"/>
            <w:gridSpan w:val="2"/>
            <w:tcMar>
              <w:top w:w="90" w:type="dxa"/>
              <w:left w:w="90" w:type="dxa"/>
              <w:bottom w:w="90" w:type="dxa"/>
              <w:right w:w="90" w:type="dxa"/>
            </w:tcMar>
            <w:vAlign w:val="center"/>
            <w:hideMark/>
          </w:tcPr>
          <w:p w14:paraId="524D3DB2" w14:textId="68C81C88" w:rsidR="00BE2442" w:rsidRPr="00BE2442" w:rsidRDefault="00BE2442" w:rsidP="007B429C">
            <w:pPr>
              <w:pStyle w:val="ExhibitText"/>
              <w:jc w:val="right"/>
              <w:rPr>
                <w:lang w:eastAsia="en-GB"/>
              </w:rPr>
            </w:pPr>
            <w:r w:rsidRPr="00BE2442">
              <w:rPr>
                <w:lang w:eastAsia="en-GB"/>
              </w:rPr>
              <w:t>12.7</w:t>
            </w:r>
          </w:p>
        </w:tc>
      </w:tr>
      <w:tr w:rsidR="00BE2442" w:rsidRPr="00BE2442" w14:paraId="07C7E2DB"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01C24EDD" w14:textId="333B6680" w:rsidR="00BE2442" w:rsidRPr="00BE2442" w:rsidRDefault="00BE2442" w:rsidP="007B429C">
            <w:pPr>
              <w:pStyle w:val="ExhibitText"/>
              <w:rPr>
                <w:lang w:eastAsia="en-GB"/>
              </w:rPr>
            </w:pPr>
            <w:r w:rsidRPr="00BE2442">
              <w:rPr>
                <w:lang w:eastAsia="en-GB"/>
              </w:rPr>
              <w:t>Toyota Group</w:t>
            </w:r>
          </w:p>
        </w:tc>
        <w:tc>
          <w:tcPr>
            <w:tcW w:w="1989" w:type="dxa"/>
            <w:tcMar>
              <w:top w:w="90" w:type="dxa"/>
              <w:left w:w="90" w:type="dxa"/>
              <w:bottom w:w="90" w:type="dxa"/>
              <w:right w:w="90" w:type="dxa"/>
            </w:tcMar>
            <w:vAlign w:val="center"/>
            <w:hideMark/>
          </w:tcPr>
          <w:p w14:paraId="4C53D409" w14:textId="77777777" w:rsidR="00BE2442" w:rsidRPr="00BE2442" w:rsidRDefault="00BE2442" w:rsidP="007B429C">
            <w:pPr>
              <w:pStyle w:val="ExhibitText"/>
              <w:jc w:val="right"/>
              <w:rPr>
                <w:lang w:eastAsia="en-GB"/>
              </w:rPr>
            </w:pPr>
            <w:r w:rsidRPr="00BE2442">
              <w:rPr>
                <w:lang w:eastAsia="en-GB"/>
              </w:rPr>
              <w:t>76,212</w:t>
            </w:r>
          </w:p>
        </w:tc>
        <w:tc>
          <w:tcPr>
            <w:tcW w:w="1989" w:type="dxa"/>
            <w:gridSpan w:val="2"/>
            <w:vAlign w:val="center"/>
          </w:tcPr>
          <w:p w14:paraId="4EA5E28F" w14:textId="53BDFF46" w:rsidR="00BE2442" w:rsidRPr="00BE2442" w:rsidRDefault="00BE2442" w:rsidP="007B429C">
            <w:pPr>
              <w:pStyle w:val="ExhibitText"/>
              <w:jc w:val="right"/>
              <w:rPr>
                <w:lang w:eastAsia="en-GB"/>
              </w:rPr>
            </w:pPr>
            <w:r w:rsidRPr="00BE2442">
              <w:rPr>
                <w:lang w:eastAsia="en-GB"/>
              </w:rPr>
              <w:t>82,796</w:t>
            </w:r>
          </w:p>
        </w:tc>
        <w:tc>
          <w:tcPr>
            <w:tcW w:w="1990" w:type="dxa"/>
            <w:gridSpan w:val="2"/>
            <w:tcMar>
              <w:top w:w="90" w:type="dxa"/>
              <w:left w:w="90" w:type="dxa"/>
              <w:bottom w:w="90" w:type="dxa"/>
              <w:right w:w="90" w:type="dxa"/>
            </w:tcMar>
            <w:vAlign w:val="center"/>
            <w:hideMark/>
          </w:tcPr>
          <w:p w14:paraId="46FA34C9" w14:textId="4F9CD50B" w:rsidR="00BE2442" w:rsidRPr="00BE2442" w:rsidRDefault="00BE2442" w:rsidP="007B429C">
            <w:pPr>
              <w:pStyle w:val="ExhibitText"/>
              <w:jc w:val="right"/>
              <w:rPr>
                <w:lang w:eastAsia="en-GB"/>
              </w:rPr>
            </w:pPr>
            <w:r w:rsidRPr="00BE2442">
              <w:rPr>
                <w:lang w:eastAsia="en-GB"/>
              </w:rPr>
              <w:t>8.6</w:t>
            </w:r>
          </w:p>
        </w:tc>
      </w:tr>
      <w:tr w:rsidR="00BE2442" w:rsidRPr="00BE2442" w14:paraId="7111E531"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1A56AB40" w14:textId="08D805C9" w:rsidR="00BE2442" w:rsidRPr="00BE2442" w:rsidRDefault="00BE2442" w:rsidP="007B429C">
            <w:pPr>
              <w:pStyle w:val="ExhibitText"/>
              <w:rPr>
                <w:lang w:eastAsia="en-GB"/>
              </w:rPr>
            </w:pPr>
            <w:r w:rsidRPr="00BE2442">
              <w:rPr>
                <w:lang w:eastAsia="en-GB"/>
              </w:rPr>
              <w:t>Fiat Group</w:t>
            </w:r>
          </w:p>
        </w:tc>
        <w:tc>
          <w:tcPr>
            <w:tcW w:w="1989" w:type="dxa"/>
            <w:tcMar>
              <w:top w:w="90" w:type="dxa"/>
              <w:left w:w="90" w:type="dxa"/>
              <w:bottom w:w="90" w:type="dxa"/>
              <w:right w:w="90" w:type="dxa"/>
            </w:tcMar>
            <w:vAlign w:val="center"/>
            <w:hideMark/>
          </w:tcPr>
          <w:p w14:paraId="02CD7C1F" w14:textId="77777777" w:rsidR="00BE2442" w:rsidRPr="00BE2442" w:rsidRDefault="00BE2442" w:rsidP="007B429C">
            <w:pPr>
              <w:pStyle w:val="ExhibitText"/>
              <w:jc w:val="right"/>
              <w:rPr>
                <w:lang w:eastAsia="en-GB"/>
              </w:rPr>
            </w:pPr>
            <w:r w:rsidRPr="00BE2442">
              <w:rPr>
                <w:lang w:eastAsia="en-GB"/>
              </w:rPr>
              <w:t>71,558</w:t>
            </w:r>
          </w:p>
        </w:tc>
        <w:tc>
          <w:tcPr>
            <w:tcW w:w="1989" w:type="dxa"/>
            <w:gridSpan w:val="2"/>
            <w:vAlign w:val="center"/>
          </w:tcPr>
          <w:p w14:paraId="630D9661" w14:textId="3AF70416" w:rsidR="00BE2442" w:rsidRPr="00BE2442" w:rsidRDefault="00BE2442" w:rsidP="007B429C">
            <w:pPr>
              <w:pStyle w:val="ExhibitText"/>
              <w:jc w:val="right"/>
              <w:rPr>
                <w:lang w:eastAsia="en-GB"/>
              </w:rPr>
            </w:pPr>
            <w:r w:rsidRPr="00BE2442">
              <w:rPr>
                <w:lang w:eastAsia="en-GB"/>
              </w:rPr>
              <w:t>81,014</w:t>
            </w:r>
          </w:p>
        </w:tc>
        <w:tc>
          <w:tcPr>
            <w:tcW w:w="1990" w:type="dxa"/>
            <w:gridSpan w:val="2"/>
            <w:tcMar>
              <w:top w:w="90" w:type="dxa"/>
              <w:left w:w="90" w:type="dxa"/>
              <w:bottom w:w="90" w:type="dxa"/>
              <w:right w:w="90" w:type="dxa"/>
            </w:tcMar>
            <w:vAlign w:val="center"/>
            <w:hideMark/>
          </w:tcPr>
          <w:p w14:paraId="201F6FD4" w14:textId="4CF16070" w:rsidR="00BE2442" w:rsidRPr="00BE2442" w:rsidRDefault="00BE2442" w:rsidP="007B429C">
            <w:pPr>
              <w:pStyle w:val="ExhibitText"/>
              <w:jc w:val="right"/>
              <w:rPr>
                <w:lang w:eastAsia="en-GB"/>
              </w:rPr>
            </w:pPr>
            <w:r w:rsidRPr="00BE2442">
              <w:rPr>
                <w:lang w:eastAsia="en-GB"/>
              </w:rPr>
              <w:t>13.2</w:t>
            </w:r>
          </w:p>
        </w:tc>
      </w:tr>
      <w:tr w:rsidR="00BE2442" w:rsidRPr="00BE2442" w14:paraId="5DCFCBD8"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56927D17" w14:textId="626295DB" w:rsidR="00BE2442" w:rsidRPr="00BE2442" w:rsidRDefault="00BE2442" w:rsidP="007B429C">
            <w:pPr>
              <w:pStyle w:val="ExhibitText"/>
              <w:rPr>
                <w:lang w:eastAsia="en-GB"/>
              </w:rPr>
            </w:pPr>
            <w:r w:rsidRPr="00BE2442">
              <w:rPr>
                <w:lang w:eastAsia="en-GB"/>
              </w:rPr>
              <w:t>Ford Group</w:t>
            </w:r>
          </w:p>
        </w:tc>
        <w:tc>
          <w:tcPr>
            <w:tcW w:w="1989" w:type="dxa"/>
            <w:tcMar>
              <w:top w:w="90" w:type="dxa"/>
              <w:left w:w="90" w:type="dxa"/>
              <w:bottom w:w="90" w:type="dxa"/>
              <w:right w:w="90" w:type="dxa"/>
            </w:tcMar>
            <w:vAlign w:val="center"/>
            <w:hideMark/>
          </w:tcPr>
          <w:p w14:paraId="3D0B170B" w14:textId="77777777" w:rsidR="00BE2442" w:rsidRPr="00BE2442" w:rsidRDefault="00BE2442" w:rsidP="007B429C">
            <w:pPr>
              <w:pStyle w:val="ExhibitText"/>
              <w:jc w:val="right"/>
              <w:rPr>
                <w:lang w:eastAsia="en-GB"/>
              </w:rPr>
            </w:pPr>
            <w:r w:rsidRPr="00BE2442">
              <w:rPr>
                <w:lang w:eastAsia="en-GB"/>
              </w:rPr>
              <w:t>80,730</w:t>
            </w:r>
          </w:p>
        </w:tc>
        <w:tc>
          <w:tcPr>
            <w:tcW w:w="1989" w:type="dxa"/>
            <w:gridSpan w:val="2"/>
            <w:vAlign w:val="center"/>
          </w:tcPr>
          <w:p w14:paraId="416A50E5" w14:textId="316489CC" w:rsidR="00BE2442" w:rsidRPr="00BE2442" w:rsidRDefault="00BE2442" w:rsidP="007B429C">
            <w:pPr>
              <w:pStyle w:val="ExhibitText"/>
              <w:jc w:val="right"/>
              <w:rPr>
                <w:lang w:eastAsia="en-GB"/>
              </w:rPr>
            </w:pPr>
            <w:r w:rsidRPr="00BE2442">
              <w:rPr>
                <w:lang w:eastAsia="en-GB"/>
              </w:rPr>
              <w:t>79,173</w:t>
            </w:r>
          </w:p>
        </w:tc>
        <w:tc>
          <w:tcPr>
            <w:tcW w:w="1990" w:type="dxa"/>
            <w:gridSpan w:val="2"/>
            <w:tcMar>
              <w:top w:w="90" w:type="dxa"/>
              <w:left w:w="90" w:type="dxa"/>
              <w:bottom w:w="90" w:type="dxa"/>
              <w:right w:w="90" w:type="dxa"/>
            </w:tcMar>
            <w:vAlign w:val="center"/>
            <w:hideMark/>
          </w:tcPr>
          <w:p w14:paraId="6D7FE061" w14:textId="1B4F0472" w:rsidR="00BE2442" w:rsidRPr="00BE2442" w:rsidRDefault="00BE2442" w:rsidP="007B429C">
            <w:pPr>
              <w:pStyle w:val="ExhibitText"/>
              <w:jc w:val="right"/>
              <w:rPr>
                <w:lang w:eastAsia="en-GB"/>
              </w:rPr>
            </w:pPr>
            <w:r w:rsidRPr="00BE2442">
              <w:rPr>
                <w:lang w:eastAsia="en-GB"/>
              </w:rPr>
              <w:t>–1.9</w:t>
            </w:r>
          </w:p>
        </w:tc>
      </w:tr>
      <w:tr w:rsidR="00BE2442" w:rsidRPr="00BE2442" w14:paraId="0C4AD294" w14:textId="77777777" w:rsidTr="00BE2442">
        <w:trPr>
          <w:gridAfter w:val="1"/>
          <w:wAfter w:w="184" w:type="dxa"/>
          <w:trHeight w:val="64"/>
          <w:jc w:val="center"/>
        </w:trPr>
        <w:tc>
          <w:tcPr>
            <w:tcW w:w="3208" w:type="dxa"/>
            <w:tcMar>
              <w:top w:w="90" w:type="dxa"/>
              <w:left w:w="90" w:type="dxa"/>
              <w:bottom w:w="90" w:type="dxa"/>
              <w:right w:w="90" w:type="dxa"/>
            </w:tcMar>
            <w:vAlign w:val="center"/>
            <w:hideMark/>
          </w:tcPr>
          <w:p w14:paraId="07CBF8CF" w14:textId="78AD667C" w:rsidR="00BE2442" w:rsidRPr="00BE2442" w:rsidRDefault="00BE2442" w:rsidP="007B429C">
            <w:pPr>
              <w:pStyle w:val="ExhibitText"/>
              <w:rPr>
                <w:lang w:eastAsia="en-GB"/>
              </w:rPr>
            </w:pPr>
            <w:r w:rsidRPr="00BE2442">
              <w:rPr>
                <w:lang w:eastAsia="en-GB"/>
              </w:rPr>
              <w:t>Nissan Group</w:t>
            </w:r>
          </w:p>
        </w:tc>
        <w:tc>
          <w:tcPr>
            <w:tcW w:w="1989" w:type="dxa"/>
            <w:tcMar>
              <w:top w:w="90" w:type="dxa"/>
              <w:left w:w="90" w:type="dxa"/>
              <w:bottom w:w="90" w:type="dxa"/>
              <w:right w:w="90" w:type="dxa"/>
            </w:tcMar>
            <w:vAlign w:val="center"/>
            <w:hideMark/>
          </w:tcPr>
          <w:p w14:paraId="370052B7" w14:textId="77777777" w:rsidR="00BE2442" w:rsidRPr="00BE2442" w:rsidRDefault="00BE2442" w:rsidP="007B429C">
            <w:pPr>
              <w:pStyle w:val="ExhibitText"/>
              <w:jc w:val="right"/>
              <w:rPr>
                <w:lang w:eastAsia="en-GB"/>
              </w:rPr>
            </w:pPr>
            <w:r w:rsidRPr="00BE2442">
              <w:rPr>
                <w:lang w:eastAsia="en-GB"/>
              </w:rPr>
              <w:t>75,241</w:t>
            </w:r>
          </w:p>
        </w:tc>
        <w:tc>
          <w:tcPr>
            <w:tcW w:w="1989" w:type="dxa"/>
            <w:gridSpan w:val="2"/>
            <w:vAlign w:val="center"/>
          </w:tcPr>
          <w:p w14:paraId="06BF20B3" w14:textId="79072DB9" w:rsidR="00BE2442" w:rsidRPr="00BE2442" w:rsidRDefault="00BE2442" w:rsidP="007B429C">
            <w:pPr>
              <w:pStyle w:val="ExhibitText"/>
              <w:jc w:val="right"/>
              <w:rPr>
                <w:lang w:eastAsia="en-GB"/>
              </w:rPr>
            </w:pPr>
            <w:r w:rsidRPr="00BE2442">
              <w:rPr>
                <w:lang w:eastAsia="en-GB"/>
              </w:rPr>
              <w:t>72,367</w:t>
            </w:r>
          </w:p>
        </w:tc>
        <w:tc>
          <w:tcPr>
            <w:tcW w:w="1990" w:type="dxa"/>
            <w:gridSpan w:val="2"/>
            <w:tcMar>
              <w:top w:w="90" w:type="dxa"/>
              <w:left w:w="90" w:type="dxa"/>
              <w:bottom w:w="90" w:type="dxa"/>
              <w:right w:w="90" w:type="dxa"/>
            </w:tcMar>
            <w:vAlign w:val="center"/>
            <w:hideMark/>
          </w:tcPr>
          <w:p w14:paraId="22720C33" w14:textId="26AE45F9" w:rsidR="00BE2442" w:rsidRPr="00BE2442" w:rsidRDefault="00BE2442" w:rsidP="007B429C">
            <w:pPr>
              <w:pStyle w:val="ExhibitText"/>
              <w:jc w:val="right"/>
              <w:rPr>
                <w:lang w:eastAsia="en-GB"/>
              </w:rPr>
            </w:pPr>
            <w:r w:rsidRPr="00BE2442">
              <w:rPr>
                <w:lang w:eastAsia="en-GB"/>
              </w:rPr>
              <w:t>–3.8</w:t>
            </w:r>
          </w:p>
        </w:tc>
      </w:tr>
      <w:tr w:rsidR="00BE2442" w:rsidRPr="00BE2442" w14:paraId="175DF7C3"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2D7D2746" w14:textId="03ADA52C" w:rsidR="00BE2442" w:rsidRPr="00BE2442" w:rsidRDefault="00BE2442" w:rsidP="007B429C">
            <w:pPr>
              <w:pStyle w:val="ExhibitText"/>
              <w:rPr>
                <w:lang w:eastAsia="en-GB"/>
              </w:rPr>
            </w:pPr>
            <w:r w:rsidRPr="00BE2442">
              <w:rPr>
                <w:lang w:eastAsia="en-GB"/>
              </w:rPr>
              <w:t>Daimler Group</w:t>
            </w:r>
          </w:p>
        </w:tc>
        <w:tc>
          <w:tcPr>
            <w:tcW w:w="1989" w:type="dxa"/>
            <w:tcMar>
              <w:top w:w="90" w:type="dxa"/>
              <w:left w:w="90" w:type="dxa"/>
              <w:bottom w:w="90" w:type="dxa"/>
              <w:right w:w="90" w:type="dxa"/>
            </w:tcMar>
            <w:vAlign w:val="center"/>
            <w:hideMark/>
          </w:tcPr>
          <w:p w14:paraId="1AB65A5A" w14:textId="77777777" w:rsidR="00BE2442" w:rsidRPr="00BE2442" w:rsidRDefault="00BE2442" w:rsidP="007B429C">
            <w:pPr>
              <w:pStyle w:val="ExhibitText"/>
              <w:jc w:val="right"/>
              <w:rPr>
                <w:lang w:eastAsia="en-GB"/>
              </w:rPr>
            </w:pPr>
            <w:r w:rsidRPr="00BE2442">
              <w:rPr>
                <w:lang w:eastAsia="en-GB"/>
              </w:rPr>
              <w:t>63,484</w:t>
            </w:r>
          </w:p>
        </w:tc>
        <w:tc>
          <w:tcPr>
            <w:tcW w:w="1989" w:type="dxa"/>
            <w:gridSpan w:val="2"/>
            <w:vAlign w:val="center"/>
          </w:tcPr>
          <w:p w14:paraId="1ED0605D" w14:textId="23721183" w:rsidR="00BE2442" w:rsidRPr="00BE2442" w:rsidRDefault="00BE2442" w:rsidP="007B429C">
            <w:pPr>
              <w:pStyle w:val="ExhibitText"/>
              <w:jc w:val="right"/>
              <w:rPr>
                <w:lang w:eastAsia="en-GB"/>
              </w:rPr>
            </w:pPr>
            <w:r w:rsidRPr="00BE2442">
              <w:rPr>
                <w:lang w:eastAsia="en-GB"/>
              </w:rPr>
              <w:t>71,040</w:t>
            </w:r>
          </w:p>
        </w:tc>
        <w:tc>
          <w:tcPr>
            <w:tcW w:w="1990" w:type="dxa"/>
            <w:gridSpan w:val="2"/>
            <w:tcMar>
              <w:top w:w="90" w:type="dxa"/>
              <w:left w:w="90" w:type="dxa"/>
              <w:bottom w:w="90" w:type="dxa"/>
              <w:right w:w="90" w:type="dxa"/>
            </w:tcMar>
            <w:vAlign w:val="center"/>
            <w:hideMark/>
          </w:tcPr>
          <w:p w14:paraId="60B4E910" w14:textId="6D563231" w:rsidR="00BE2442" w:rsidRPr="00BE2442" w:rsidRDefault="00BE2442" w:rsidP="007B429C">
            <w:pPr>
              <w:pStyle w:val="ExhibitText"/>
              <w:jc w:val="right"/>
              <w:rPr>
                <w:lang w:eastAsia="en-GB"/>
              </w:rPr>
            </w:pPr>
            <w:r w:rsidRPr="00BE2442">
              <w:rPr>
                <w:lang w:eastAsia="en-GB"/>
              </w:rPr>
              <w:t>11.9</w:t>
            </w:r>
          </w:p>
        </w:tc>
      </w:tr>
      <w:tr w:rsidR="00BE2442" w:rsidRPr="00BE2442" w14:paraId="6191ECC0"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0AF6AB5E" w14:textId="77777777" w:rsidR="00BE2442" w:rsidRPr="00BE2442" w:rsidRDefault="00BE2442" w:rsidP="007B429C">
            <w:pPr>
              <w:pStyle w:val="ExhibitText"/>
              <w:rPr>
                <w:lang w:eastAsia="en-GB"/>
              </w:rPr>
            </w:pPr>
            <w:r w:rsidRPr="00BE2442">
              <w:rPr>
                <w:lang w:eastAsia="en-GB"/>
              </w:rPr>
              <w:t>GM Group</w:t>
            </w:r>
          </w:p>
        </w:tc>
        <w:tc>
          <w:tcPr>
            <w:tcW w:w="1989" w:type="dxa"/>
            <w:tcMar>
              <w:top w:w="90" w:type="dxa"/>
              <w:left w:w="90" w:type="dxa"/>
              <w:bottom w:w="90" w:type="dxa"/>
              <w:right w:w="90" w:type="dxa"/>
            </w:tcMar>
            <w:vAlign w:val="center"/>
            <w:hideMark/>
          </w:tcPr>
          <w:p w14:paraId="384E0E91" w14:textId="77777777" w:rsidR="00BE2442" w:rsidRPr="00BE2442" w:rsidRDefault="00BE2442" w:rsidP="007B429C">
            <w:pPr>
              <w:pStyle w:val="ExhibitText"/>
              <w:jc w:val="right"/>
              <w:rPr>
                <w:lang w:eastAsia="en-GB"/>
              </w:rPr>
            </w:pPr>
            <w:r w:rsidRPr="00BE2442">
              <w:rPr>
                <w:lang w:eastAsia="en-GB"/>
              </w:rPr>
              <w:t>64,324</w:t>
            </w:r>
          </w:p>
        </w:tc>
        <w:tc>
          <w:tcPr>
            <w:tcW w:w="1989" w:type="dxa"/>
            <w:gridSpan w:val="2"/>
            <w:vAlign w:val="center"/>
          </w:tcPr>
          <w:p w14:paraId="11CA637F" w14:textId="6A169971" w:rsidR="00BE2442" w:rsidRPr="00BE2442" w:rsidRDefault="00BE2442" w:rsidP="007B429C">
            <w:pPr>
              <w:pStyle w:val="ExhibitText"/>
              <w:jc w:val="right"/>
              <w:rPr>
                <w:lang w:eastAsia="en-GB"/>
              </w:rPr>
            </w:pPr>
            <w:r w:rsidRPr="00BE2442">
              <w:rPr>
                <w:lang w:eastAsia="en-GB"/>
              </w:rPr>
              <w:t>68,453</w:t>
            </w:r>
          </w:p>
        </w:tc>
        <w:tc>
          <w:tcPr>
            <w:tcW w:w="1990" w:type="dxa"/>
            <w:gridSpan w:val="2"/>
            <w:tcMar>
              <w:top w:w="90" w:type="dxa"/>
              <w:left w:w="90" w:type="dxa"/>
              <w:bottom w:w="90" w:type="dxa"/>
              <w:right w:w="90" w:type="dxa"/>
            </w:tcMar>
            <w:vAlign w:val="center"/>
            <w:hideMark/>
          </w:tcPr>
          <w:p w14:paraId="2591B322" w14:textId="3B0D8C41" w:rsidR="00BE2442" w:rsidRPr="00BE2442" w:rsidRDefault="00BE2442" w:rsidP="007B429C">
            <w:pPr>
              <w:pStyle w:val="ExhibitText"/>
              <w:jc w:val="right"/>
              <w:rPr>
                <w:lang w:eastAsia="en-GB"/>
              </w:rPr>
            </w:pPr>
            <w:r w:rsidRPr="00BE2442">
              <w:rPr>
                <w:lang w:eastAsia="en-GB"/>
              </w:rPr>
              <w:t>6.4</w:t>
            </w:r>
          </w:p>
        </w:tc>
      </w:tr>
      <w:tr w:rsidR="00BE2442" w:rsidRPr="00BE2442" w14:paraId="427E40E6" w14:textId="77777777" w:rsidTr="00BE2442">
        <w:trPr>
          <w:gridAfter w:val="1"/>
          <w:wAfter w:w="184" w:type="dxa"/>
          <w:trHeight w:val="1"/>
          <w:jc w:val="center"/>
        </w:trPr>
        <w:tc>
          <w:tcPr>
            <w:tcW w:w="3208" w:type="dxa"/>
            <w:tcMar>
              <w:top w:w="90" w:type="dxa"/>
              <w:left w:w="90" w:type="dxa"/>
              <w:bottom w:w="90" w:type="dxa"/>
              <w:right w:w="90" w:type="dxa"/>
            </w:tcMar>
            <w:vAlign w:val="center"/>
            <w:hideMark/>
          </w:tcPr>
          <w:p w14:paraId="363473F1" w14:textId="77777777" w:rsidR="00BE2442" w:rsidRPr="00BE2442" w:rsidRDefault="00BE2442" w:rsidP="007B429C">
            <w:pPr>
              <w:pStyle w:val="ExhibitText"/>
              <w:rPr>
                <w:lang w:eastAsia="en-GB"/>
              </w:rPr>
            </w:pPr>
            <w:r w:rsidRPr="00BE2442">
              <w:rPr>
                <w:lang w:eastAsia="en-GB"/>
              </w:rPr>
              <w:t>– Opel*</w:t>
            </w:r>
          </w:p>
        </w:tc>
        <w:tc>
          <w:tcPr>
            <w:tcW w:w="1989" w:type="dxa"/>
            <w:tcMar>
              <w:top w:w="90" w:type="dxa"/>
              <w:left w:w="90" w:type="dxa"/>
              <w:bottom w:w="90" w:type="dxa"/>
              <w:right w:w="90" w:type="dxa"/>
            </w:tcMar>
            <w:vAlign w:val="center"/>
            <w:hideMark/>
          </w:tcPr>
          <w:p w14:paraId="549C5FE6" w14:textId="77777777" w:rsidR="00BE2442" w:rsidRPr="00BE2442" w:rsidRDefault="00BE2442" w:rsidP="007B429C">
            <w:pPr>
              <w:pStyle w:val="ExhibitText"/>
              <w:jc w:val="right"/>
              <w:rPr>
                <w:lang w:eastAsia="en-GB"/>
              </w:rPr>
            </w:pPr>
            <w:r w:rsidRPr="00BE2442">
              <w:rPr>
                <w:lang w:eastAsia="en-GB"/>
              </w:rPr>
              <w:t>64,170</w:t>
            </w:r>
          </w:p>
        </w:tc>
        <w:tc>
          <w:tcPr>
            <w:tcW w:w="1989" w:type="dxa"/>
            <w:gridSpan w:val="2"/>
            <w:vAlign w:val="center"/>
          </w:tcPr>
          <w:p w14:paraId="6BFBBC3D" w14:textId="00096F81" w:rsidR="00BE2442" w:rsidRPr="00BE2442" w:rsidRDefault="00BE2442" w:rsidP="007B429C">
            <w:pPr>
              <w:pStyle w:val="ExhibitText"/>
              <w:jc w:val="right"/>
              <w:rPr>
                <w:lang w:eastAsia="en-GB"/>
              </w:rPr>
            </w:pPr>
            <w:r w:rsidRPr="00BE2442">
              <w:rPr>
                <w:lang w:eastAsia="en-GB"/>
              </w:rPr>
              <w:t>68,281</w:t>
            </w:r>
          </w:p>
        </w:tc>
        <w:tc>
          <w:tcPr>
            <w:tcW w:w="1990" w:type="dxa"/>
            <w:gridSpan w:val="2"/>
            <w:tcMar>
              <w:top w:w="90" w:type="dxa"/>
              <w:left w:w="90" w:type="dxa"/>
              <w:bottom w:w="90" w:type="dxa"/>
              <w:right w:w="90" w:type="dxa"/>
            </w:tcMar>
            <w:vAlign w:val="center"/>
            <w:hideMark/>
          </w:tcPr>
          <w:p w14:paraId="0E17CF74" w14:textId="1C57B65D" w:rsidR="00BE2442" w:rsidRPr="00BE2442" w:rsidRDefault="00BE2442" w:rsidP="007B429C">
            <w:pPr>
              <w:pStyle w:val="ExhibitText"/>
              <w:jc w:val="right"/>
              <w:rPr>
                <w:lang w:eastAsia="en-GB"/>
              </w:rPr>
            </w:pPr>
            <w:r w:rsidRPr="00BE2442">
              <w:rPr>
                <w:lang w:eastAsia="en-GB"/>
              </w:rPr>
              <w:t>6.4</w:t>
            </w:r>
          </w:p>
        </w:tc>
      </w:tr>
      <w:tr w:rsidR="00BE2442" w:rsidRPr="00BE2442" w14:paraId="03918808" w14:textId="77777777" w:rsidTr="00BE2442">
        <w:trPr>
          <w:gridAfter w:val="1"/>
          <w:wAfter w:w="184" w:type="dxa"/>
          <w:trHeight w:val="7"/>
          <w:jc w:val="center"/>
        </w:trPr>
        <w:tc>
          <w:tcPr>
            <w:tcW w:w="3208" w:type="dxa"/>
            <w:tcMar>
              <w:top w:w="90" w:type="dxa"/>
              <w:left w:w="90" w:type="dxa"/>
              <w:bottom w:w="90" w:type="dxa"/>
              <w:right w:w="90" w:type="dxa"/>
            </w:tcMar>
            <w:vAlign w:val="center"/>
            <w:hideMark/>
          </w:tcPr>
          <w:p w14:paraId="008C9465" w14:textId="37A64E5E" w:rsidR="00BE2442" w:rsidRPr="00BE2442" w:rsidRDefault="00BE2442" w:rsidP="007B429C">
            <w:pPr>
              <w:pStyle w:val="ExhibitText"/>
              <w:rPr>
                <w:lang w:eastAsia="en-GB"/>
              </w:rPr>
            </w:pPr>
            <w:r w:rsidRPr="00BE2442">
              <w:rPr>
                <w:lang w:eastAsia="en-GB"/>
              </w:rPr>
              <w:t>Hyundai Group</w:t>
            </w:r>
          </w:p>
        </w:tc>
        <w:tc>
          <w:tcPr>
            <w:tcW w:w="1989" w:type="dxa"/>
            <w:tcMar>
              <w:top w:w="90" w:type="dxa"/>
              <w:left w:w="90" w:type="dxa"/>
              <w:bottom w:w="90" w:type="dxa"/>
              <w:right w:w="90" w:type="dxa"/>
            </w:tcMar>
            <w:vAlign w:val="center"/>
            <w:hideMark/>
          </w:tcPr>
          <w:p w14:paraId="39E5D1CE" w14:textId="77777777" w:rsidR="00BE2442" w:rsidRPr="00BE2442" w:rsidRDefault="00BE2442" w:rsidP="007B429C">
            <w:pPr>
              <w:pStyle w:val="ExhibitText"/>
              <w:jc w:val="right"/>
              <w:rPr>
                <w:lang w:eastAsia="en-GB"/>
              </w:rPr>
            </w:pPr>
            <w:r w:rsidRPr="00BE2442">
              <w:rPr>
                <w:lang w:eastAsia="en-GB"/>
              </w:rPr>
              <w:t>53,114</w:t>
            </w:r>
          </w:p>
        </w:tc>
        <w:tc>
          <w:tcPr>
            <w:tcW w:w="1989" w:type="dxa"/>
            <w:gridSpan w:val="2"/>
            <w:vAlign w:val="center"/>
          </w:tcPr>
          <w:p w14:paraId="1FBD0AE2" w14:textId="0507471D" w:rsidR="00BE2442" w:rsidRPr="00BE2442" w:rsidRDefault="00BE2442" w:rsidP="007B429C">
            <w:pPr>
              <w:pStyle w:val="ExhibitText"/>
              <w:jc w:val="right"/>
              <w:rPr>
                <w:lang w:eastAsia="en-GB"/>
              </w:rPr>
            </w:pPr>
            <w:r w:rsidRPr="00BE2442">
              <w:rPr>
                <w:lang w:eastAsia="en-GB"/>
              </w:rPr>
              <w:t>61,727</w:t>
            </w:r>
          </w:p>
        </w:tc>
        <w:tc>
          <w:tcPr>
            <w:tcW w:w="1990" w:type="dxa"/>
            <w:gridSpan w:val="2"/>
            <w:tcMar>
              <w:top w:w="90" w:type="dxa"/>
              <w:left w:w="90" w:type="dxa"/>
              <w:bottom w:w="90" w:type="dxa"/>
              <w:right w:w="90" w:type="dxa"/>
            </w:tcMar>
            <w:vAlign w:val="center"/>
            <w:hideMark/>
          </w:tcPr>
          <w:p w14:paraId="40AE8E2F" w14:textId="337161AD" w:rsidR="00BE2442" w:rsidRPr="00BE2442" w:rsidRDefault="00BE2442" w:rsidP="007B429C">
            <w:pPr>
              <w:pStyle w:val="ExhibitText"/>
              <w:jc w:val="right"/>
              <w:rPr>
                <w:lang w:eastAsia="en-GB"/>
              </w:rPr>
            </w:pPr>
            <w:r w:rsidRPr="00BE2442">
              <w:rPr>
                <w:lang w:eastAsia="en-GB"/>
              </w:rPr>
              <w:t>16.2</w:t>
            </w:r>
          </w:p>
        </w:tc>
      </w:tr>
      <w:tr w:rsidR="00BE2442" w:rsidRPr="00BE2442" w14:paraId="75FB9069" w14:textId="77777777" w:rsidTr="00BE2442">
        <w:trPr>
          <w:gridAfter w:val="1"/>
          <w:wAfter w:w="184" w:type="dxa"/>
          <w:trHeight w:val="5"/>
          <w:jc w:val="center"/>
        </w:trPr>
        <w:tc>
          <w:tcPr>
            <w:tcW w:w="3208" w:type="dxa"/>
            <w:tcBorders>
              <w:bottom w:val="single" w:sz="4" w:space="0" w:color="auto"/>
            </w:tcBorders>
            <w:tcMar>
              <w:top w:w="90" w:type="dxa"/>
              <w:left w:w="90" w:type="dxa"/>
              <w:bottom w:w="90" w:type="dxa"/>
              <w:right w:w="90" w:type="dxa"/>
            </w:tcMar>
            <w:vAlign w:val="center"/>
            <w:hideMark/>
          </w:tcPr>
          <w:p w14:paraId="011C3E0D" w14:textId="02194DA2" w:rsidR="00BE2442" w:rsidRPr="00BE2442" w:rsidRDefault="00BE2442" w:rsidP="007B429C">
            <w:pPr>
              <w:pStyle w:val="ExhibitText"/>
              <w:rPr>
                <w:lang w:eastAsia="en-GB"/>
              </w:rPr>
            </w:pPr>
            <w:r w:rsidRPr="00BE2442">
              <w:rPr>
                <w:lang w:eastAsia="en-GB"/>
              </w:rPr>
              <w:t>Volvo Group</w:t>
            </w:r>
          </w:p>
        </w:tc>
        <w:tc>
          <w:tcPr>
            <w:tcW w:w="1989" w:type="dxa"/>
            <w:tcBorders>
              <w:bottom w:val="single" w:sz="4" w:space="0" w:color="auto"/>
            </w:tcBorders>
            <w:tcMar>
              <w:top w:w="90" w:type="dxa"/>
              <w:left w:w="90" w:type="dxa"/>
              <w:bottom w:w="90" w:type="dxa"/>
              <w:right w:w="90" w:type="dxa"/>
            </w:tcMar>
            <w:vAlign w:val="center"/>
            <w:hideMark/>
          </w:tcPr>
          <w:p w14:paraId="181445A9" w14:textId="3309D9AE" w:rsidR="00BE2442" w:rsidRPr="00BE2442" w:rsidRDefault="00BE2442" w:rsidP="007B429C">
            <w:pPr>
              <w:pStyle w:val="ExhibitText"/>
              <w:jc w:val="right"/>
              <w:rPr>
                <w:lang w:eastAsia="en-GB"/>
              </w:rPr>
            </w:pPr>
            <w:r w:rsidRPr="00BE2442">
              <w:rPr>
                <w:lang w:eastAsia="en-GB"/>
              </w:rPr>
              <w:t xml:space="preserve"> NA</w:t>
            </w:r>
          </w:p>
        </w:tc>
        <w:tc>
          <w:tcPr>
            <w:tcW w:w="1989" w:type="dxa"/>
            <w:gridSpan w:val="2"/>
            <w:tcBorders>
              <w:bottom w:val="single" w:sz="4" w:space="0" w:color="auto"/>
            </w:tcBorders>
            <w:vAlign w:val="center"/>
          </w:tcPr>
          <w:p w14:paraId="57AD1790" w14:textId="033FCD33" w:rsidR="00BE2442" w:rsidRPr="00BE2442" w:rsidRDefault="00BE2442" w:rsidP="007B429C">
            <w:pPr>
              <w:pStyle w:val="ExhibitText"/>
              <w:jc w:val="right"/>
              <w:rPr>
                <w:lang w:eastAsia="en-GB"/>
              </w:rPr>
            </w:pPr>
            <w:r w:rsidRPr="00BE2442">
              <w:rPr>
                <w:lang w:eastAsia="en-GB"/>
              </w:rPr>
              <w:t>15,599</w:t>
            </w:r>
          </w:p>
        </w:tc>
        <w:tc>
          <w:tcPr>
            <w:tcW w:w="1990" w:type="dxa"/>
            <w:gridSpan w:val="2"/>
            <w:tcBorders>
              <w:bottom w:val="single" w:sz="4" w:space="0" w:color="auto"/>
            </w:tcBorders>
            <w:tcMar>
              <w:top w:w="90" w:type="dxa"/>
              <w:left w:w="90" w:type="dxa"/>
              <w:bottom w:w="90" w:type="dxa"/>
              <w:right w:w="90" w:type="dxa"/>
            </w:tcMar>
            <w:vAlign w:val="center"/>
            <w:hideMark/>
          </w:tcPr>
          <w:p w14:paraId="5CC112D0" w14:textId="32573C32" w:rsidR="00BE2442" w:rsidRPr="00BE2442" w:rsidRDefault="00BE2442" w:rsidP="007B429C">
            <w:pPr>
              <w:pStyle w:val="ExhibitText"/>
              <w:jc w:val="right"/>
              <w:rPr>
                <w:lang w:eastAsia="en-GB"/>
              </w:rPr>
            </w:pPr>
            <w:r w:rsidRPr="00BE2442">
              <w:rPr>
                <w:lang w:eastAsia="en-GB"/>
              </w:rPr>
              <w:t>12.4</w:t>
            </w:r>
          </w:p>
        </w:tc>
      </w:tr>
    </w:tbl>
    <w:p w14:paraId="4EE00261" w14:textId="1BF0C99F" w:rsidR="00A361E2" w:rsidRDefault="00A361E2" w:rsidP="007B429C">
      <w:pPr>
        <w:pStyle w:val="ExhibitText"/>
      </w:pPr>
    </w:p>
    <w:p w14:paraId="02C8355C" w14:textId="77777777" w:rsidR="00A361E2" w:rsidRDefault="00A361E2" w:rsidP="007B429C">
      <w:pPr>
        <w:pStyle w:val="ExhibitText"/>
      </w:pPr>
    </w:p>
    <w:p w14:paraId="55B3B009" w14:textId="08CB6D6C" w:rsidR="00606B63" w:rsidRDefault="00A67AF2" w:rsidP="007B429C">
      <w:pPr>
        <w:pStyle w:val="Footnote"/>
      </w:pPr>
      <w:r>
        <w:t xml:space="preserve">Note: </w:t>
      </w:r>
      <w:r w:rsidR="00606B63" w:rsidRPr="00AE5814">
        <w:t>*</w:t>
      </w:r>
      <w:r w:rsidR="003D731E">
        <w:t xml:space="preserve"> </w:t>
      </w:r>
      <w:r w:rsidR="00D02986">
        <w:t xml:space="preserve">As of </w:t>
      </w:r>
      <w:r w:rsidR="00606B63" w:rsidRPr="00AE5814">
        <w:t>March 2017, PSA also own</w:t>
      </w:r>
      <w:r w:rsidR="00BA02B2">
        <w:t>ed</w:t>
      </w:r>
      <w:r w:rsidR="00606B63" w:rsidRPr="00AE5814">
        <w:t xml:space="preserve"> GM’s Opel bran</w:t>
      </w:r>
      <w:r w:rsidR="00606B63">
        <w:t>d</w:t>
      </w:r>
      <w:r w:rsidR="00D02986">
        <w:t>.</w:t>
      </w:r>
    </w:p>
    <w:p w14:paraId="69752A27" w14:textId="534DD27C" w:rsidR="00606B63" w:rsidRPr="00235013" w:rsidRDefault="00606B63" w:rsidP="007B429C">
      <w:pPr>
        <w:pStyle w:val="Footnote"/>
      </w:pPr>
      <w:r w:rsidRPr="000628C0">
        <w:t>Source</w:t>
      </w:r>
      <w:r w:rsidRPr="000A5313">
        <w:t>:</w:t>
      </w:r>
      <w:r w:rsidRPr="00235013">
        <w:t xml:space="preserve"> </w:t>
      </w:r>
      <w:r>
        <w:t xml:space="preserve">Henk Bekker, </w:t>
      </w:r>
      <w:r w:rsidR="00086E74">
        <w:t>“</w:t>
      </w:r>
      <w:r>
        <w:t>2016 (Full Year) France: Best-Selling Car Manufacturers and Brands</w:t>
      </w:r>
      <w:r w:rsidR="00086E74">
        <w:t>,”</w:t>
      </w:r>
      <w:r>
        <w:t xml:space="preserve"> Car Sales Statistics, January</w:t>
      </w:r>
      <w:r w:rsidR="003B61DD">
        <w:t xml:space="preserve"> </w:t>
      </w:r>
      <w:r>
        <w:t xml:space="preserve">2, 2017, accessed May 1, 2017, </w:t>
      </w:r>
      <w:r w:rsidRPr="00235013">
        <w:t>www.best-selling-cars.com/france/2016-full-year-france-best-selling-car-manufacturers-brands</w:t>
      </w:r>
      <w:r>
        <w:t>.</w:t>
      </w:r>
    </w:p>
    <w:p w14:paraId="4EDF05B1" w14:textId="77777777" w:rsidR="00606B63" w:rsidRDefault="00606B63" w:rsidP="007B429C">
      <w:pPr>
        <w:pStyle w:val="ExhibitText"/>
        <w:rPr>
          <w:lang w:eastAsia="en-GB"/>
        </w:rPr>
      </w:pPr>
      <w:r>
        <w:br w:type="page"/>
      </w:r>
    </w:p>
    <w:p w14:paraId="5CEA23E0" w14:textId="77777777" w:rsidR="00777CED" w:rsidRPr="00606B63" w:rsidRDefault="00606B63" w:rsidP="007B429C">
      <w:pPr>
        <w:pStyle w:val="Casehead1"/>
        <w:outlineLvl w:val="0"/>
      </w:pPr>
      <w:r>
        <w:lastRenderedPageBreak/>
        <w:t>ENDNOTES</w:t>
      </w:r>
    </w:p>
    <w:sectPr w:rsidR="00777CED" w:rsidRPr="00606B63"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6C83D" w14:textId="77777777" w:rsidR="00AC24B6" w:rsidRDefault="00AC24B6" w:rsidP="00D75295">
      <w:r>
        <w:separator/>
      </w:r>
    </w:p>
  </w:endnote>
  <w:endnote w:type="continuationSeparator" w:id="0">
    <w:p w14:paraId="58A50093" w14:textId="77777777" w:rsidR="00AC24B6" w:rsidRDefault="00AC24B6" w:rsidP="00D75295">
      <w:r>
        <w:continuationSeparator/>
      </w:r>
    </w:p>
  </w:endnote>
  <w:endnote w:id="1">
    <w:p w14:paraId="37551E33" w14:textId="77777777" w:rsidR="00AC24B6" w:rsidRPr="000628C0" w:rsidRDefault="00AC24B6" w:rsidP="00AC24B6">
      <w:pPr>
        <w:pStyle w:val="Footnote"/>
      </w:pPr>
      <w:r w:rsidRPr="000628C0">
        <w:rPr>
          <w:rStyle w:val="EndnoteReference"/>
        </w:rPr>
        <w:endnoteRef/>
      </w:r>
      <w:r w:rsidRPr="000628C0">
        <w:t xml:space="preserve"> This case has been written on the basis of published sources only. Consequently, the interpretation and perspectives presented in the case are not necessarily those of PSA Peugeot Citroën or any of its employees.</w:t>
      </w:r>
    </w:p>
  </w:endnote>
  <w:endnote w:id="2">
    <w:p w14:paraId="5774595A" w14:textId="4689FB98" w:rsidR="00AC24B6" w:rsidRPr="00BF69C3" w:rsidRDefault="00AC24B6" w:rsidP="00606B63">
      <w:pPr>
        <w:pStyle w:val="Footnote"/>
      </w:pPr>
      <w:r w:rsidRPr="000628C0">
        <w:rPr>
          <w:rStyle w:val="EndnoteReference"/>
        </w:rPr>
        <w:endnoteRef/>
      </w:r>
      <w:r>
        <w:t xml:space="preserve"> Peter Campbell and Michael Stothard, “PSA Peugeot Citroën Plans a Return to the US Car Market,” </w:t>
      </w:r>
      <w:r w:rsidRPr="000628C0">
        <w:rPr>
          <w:i/>
        </w:rPr>
        <w:t>Financial Times,</w:t>
      </w:r>
      <w:r>
        <w:t xml:space="preserve"> April 4, 2016, accessed April 20, 2017, </w:t>
      </w:r>
      <w:r w:rsidRPr="00A67AF2">
        <w:t>www.ft.com/content/08c8c462-fa7b-11e5-b3f6-11d5706b613b?mhq5j=e3.</w:t>
      </w:r>
    </w:p>
  </w:endnote>
  <w:endnote w:id="3">
    <w:p w14:paraId="2594AED5" w14:textId="33D9D408" w:rsidR="00AC24B6" w:rsidRPr="00B965E7" w:rsidRDefault="00AC24B6" w:rsidP="00606B63">
      <w:pPr>
        <w:pStyle w:val="Footnote"/>
        <w:rPr>
          <w:szCs w:val="16"/>
        </w:rPr>
      </w:pPr>
      <w:r w:rsidRPr="000628C0">
        <w:rPr>
          <w:rStyle w:val="EndnoteReference"/>
        </w:rPr>
        <w:endnoteRef/>
      </w:r>
      <w:r w:rsidRPr="00086E74">
        <w:t xml:space="preserve"> </w:t>
      </w:r>
      <w:r>
        <w:rPr>
          <w:szCs w:val="16"/>
        </w:rPr>
        <w:t xml:space="preserve">Zac Estrada, “French Cars Might Work in the U.S. Now, If They Ever Make a Return,” Jalopnik, February 19, 2014, accessed April 25, 2017, </w:t>
      </w:r>
      <w:r w:rsidRPr="00B965E7">
        <w:rPr>
          <w:szCs w:val="16"/>
        </w:rPr>
        <w:t>http://jalopnik.com/french-cars-might-work-in-the-u-s-now-if-they-ever-ma-1526188630</w:t>
      </w:r>
      <w:r>
        <w:rPr>
          <w:szCs w:val="16"/>
        </w:rPr>
        <w:t>.</w:t>
      </w:r>
    </w:p>
  </w:endnote>
  <w:endnote w:id="4">
    <w:p w14:paraId="5403F2C0" w14:textId="3685E351" w:rsidR="00AC24B6" w:rsidRPr="00AD5F3F" w:rsidRDefault="00AC24B6" w:rsidP="00606B63">
      <w:pPr>
        <w:pStyle w:val="Footnote"/>
        <w:rPr>
          <w:color w:val="000000" w:themeColor="text1"/>
          <w:szCs w:val="16"/>
        </w:rPr>
      </w:pPr>
      <w:r w:rsidRPr="000628C0">
        <w:rPr>
          <w:rStyle w:val="EndnoteReference"/>
        </w:rPr>
        <w:endnoteRef/>
      </w:r>
      <w:r w:rsidRPr="000628C0">
        <w:rPr>
          <w:rStyle w:val="EndnoteReference"/>
        </w:rPr>
        <w:t xml:space="preserve"> </w:t>
      </w:r>
      <w:r>
        <w:t xml:space="preserve"> </w:t>
      </w:r>
      <w:r w:rsidRPr="00B965E7">
        <w:rPr>
          <w:color w:val="000000" w:themeColor="text1"/>
          <w:szCs w:val="16"/>
        </w:rPr>
        <w:t xml:space="preserve">Peter Sigal, </w:t>
      </w:r>
      <w:r>
        <w:rPr>
          <w:color w:val="000000" w:themeColor="text1"/>
          <w:szCs w:val="16"/>
        </w:rPr>
        <w:t>“</w:t>
      </w:r>
      <w:r w:rsidRPr="00B965E7">
        <w:rPr>
          <w:color w:val="000000" w:themeColor="text1"/>
          <w:szCs w:val="16"/>
        </w:rPr>
        <w:t>PSA Takes First Steps to U.S. Market Entry with Ride-Sharing Service</w:t>
      </w:r>
      <w:r>
        <w:rPr>
          <w:color w:val="000000" w:themeColor="text1"/>
          <w:szCs w:val="16"/>
        </w:rPr>
        <w:t>,”</w:t>
      </w:r>
      <w:r w:rsidRPr="00B965E7">
        <w:rPr>
          <w:color w:val="000000" w:themeColor="text1"/>
          <w:szCs w:val="16"/>
        </w:rPr>
        <w:t xml:space="preserve"> Automotive News Europe, February</w:t>
      </w:r>
      <w:r>
        <w:rPr>
          <w:color w:val="000000" w:themeColor="text1"/>
          <w:szCs w:val="16"/>
        </w:rPr>
        <w:t xml:space="preserve"> </w:t>
      </w:r>
      <w:r w:rsidRPr="00B965E7">
        <w:rPr>
          <w:color w:val="000000" w:themeColor="text1"/>
          <w:szCs w:val="16"/>
        </w:rPr>
        <w:t>23, 2017, accessed April 12, 2017, http://europe.autonews.com/article/20170223/ANE/170229931/psa-takes-first-steps-to-u.s</w:t>
      </w:r>
      <w:r w:rsidRPr="00AD5F3F">
        <w:rPr>
          <w:color w:val="000000" w:themeColor="text1"/>
          <w:szCs w:val="16"/>
        </w:rPr>
        <w:t xml:space="preserve">.-market-entry-with-ride-sharing-service. </w:t>
      </w:r>
    </w:p>
  </w:endnote>
  <w:endnote w:id="5">
    <w:p w14:paraId="368493A1" w14:textId="3970434F" w:rsidR="00AC24B6" w:rsidRPr="00AD5F3F" w:rsidRDefault="00AC24B6" w:rsidP="00606B63">
      <w:pPr>
        <w:pStyle w:val="Footnote"/>
        <w:rPr>
          <w:color w:val="000000" w:themeColor="text1"/>
          <w:szCs w:val="16"/>
        </w:rPr>
      </w:pPr>
      <w:r w:rsidRPr="000628C0">
        <w:rPr>
          <w:rStyle w:val="EndnoteReference"/>
        </w:rPr>
        <w:endnoteRef/>
      </w:r>
      <w:r w:rsidRPr="00AC24B6">
        <w:t xml:space="preserve"> </w:t>
      </w:r>
      <w:r>
        <w:rPr>
          <w:color w:val="000000" w:themeColor="text1"/>
          <w:szCs w:val="16"/>
        </w:rPr>
        <w:t>“</w:t>
      </w:r>
      <w:r w:rsidRPr="00AD5F3F">
        <w:rPr>
          <w:color w:val="000000" w:themeColor="text1"/>
          <w:szCs w:val="16"/>
        </w:rPr>
        <w:t xml:space="preserve">PSA Peugeot </w:t>
      </w:r>
      <w:r>
        <w:rPr>
          <w:color w:val="000000" w:themeColor="text1"/>
          <w:szCs w:val="16"/>
        </w:rPr>
        <w:t>Citroën</w:t>
      </w:r>
      <w:r w:rsidRPr="00AD5F3F">
        <w:rPr>
          <w:color w:val="000000" w:themeColor="text1"/>
          <w:szCs w:val="16"/>
        </w:rPr>
        <w:t>: Worldwide Sales of 2,819,000 Units in 2013,</w:t>
      </w:r>
      <w:r>
        <w:rPr>
          <w:color w:val="000000" w:themeColor="text1"/>
          <w:szCs w:val="16"/>
        </w:rPr>
        <w:t>”</w:t>
      </w:r>
      <w:r w:rsidRPr="00AD5F3F">
        <w:rPr>
          <w:color w:val="000000" w:themeColor="text1"/>
          <w:szCs w:val="16"/>
        </w:rPr>
        <w:t xml:space="preserve"> PSA Groupe Media Center, </w:t>
      </w:r>
      <w:r>
        <w:rPr>
          <w:color w:val="000000" w:themeColor="text1"/>
          <w:szCs w:val="16"/>
        </w:rPr>
        <w:t>January 20, 2014, accessed April 10,</w:t>
      </w:r>
      <w:r w:rsidRPr="00AD5F3F">
        <w:rPr>
          <w:color w:val="000000" w:themeColor="text1"/>
          <w:szCs w:val="16"/>
        </w:rPr>
        <w:t xml:space="preserve"> 2017, </w:t>
      </w:r>
      <w:r w:rsidRPr="00606B63">
        <w:t>http://media.groupe-psa.com/en/psa-peugeot-citro%C3%ABn/press-releases/finance/psa-peugeot-citro%C3%ABn-worldwide-sales-2819000-units-2013</w:t>
      </w:r>
      <w:r>
        <w:t>.</w:t>
      </w:r>
    </w:p>
  </w:endnote>
  <w:endnote w:id="6">
    <w:p w14:paraId="17206633" w14:textId="496E5FE2" w:rsidR="00AC24B6" w:rsidRPr="000F6344" w:rsidRDefault="00AC24B6" w:rsidP="00606B63">
      <w:pPr>
        <w:pStyle w:val="Footnote"/>
        <w:rPr>
          <w:color w:val="000000" w:themeColor="text1"/>
          <w:szCs w:val="16"/>
        </w:rPr>
      </w:pPr>
      <w:r w:rsidRPr="000628C0">
        <w:rPr>
          <w:rStyle w:val="EndnoteReference"/>
        </w:rPr>
        <w:endnoteRef/>
      </w:r>
      <w:r w:rsidRPr="00AC24B6">
        <w:t xml:space="preserve"> </w:t>
      </w:r>
      <w:r>
        <w:rPr>
          <w:color w:val="000000" w:themeColor="text1"/>
          <w:szCs w:val="16"/>
        </w:rPr>
        <w:t>“</w:t>
      </w:r>
      <w:r w:rsidRPr="000F6344">
        <w:rPr>
          <w:color w:val="000000" w:themeColor="text1"/>
          <w:szCs w:val="16"/>
        </w:rPr>
        <w:t xml:space="preserve">PSA Looks to Break </w:t>
      </w:r>
      <w:r>
        <w:rPr>
          <w:color w:val="000000" w:themeColor="text1"/>
          <w:szCs w:val="16"/>
        </w:rPr>
        <w:t>I</w:t>
      </w:r>
      <w:r w:rsidRPr="000F6344">
        <w:rPr>
          <w:color w:val="000000" w:themeColor="text1"/>
          <w:szCs w:val="16"/>
        </w:rPr>
        <w:t>ts Dependence on Europe by Expanding into Emerging Markets</w:t>
      </w:r>
      <w:r>
        <w:rPr>
          <w:color w:val="000000" w:themeColor="text1"/>
          <w:szCs w:val="16"/>
        </w:rPr>
        <w:t>,”</w:t>
      </w:r>
      <w:r w:rsidRPr="000F6344">
        <w:rPr>
          <w:color w:val="000000" w:themeColor="text1"/>
          <w:szCs w:val="16"/>
        </w:rPr>
        <w:t xml:space="preserve"> MarkLines Automotive Industry Porta</w:t>
      </w:r>
      <w:r>
        <w:rPr>
          <w:color w:val="000000" w:themeColor="text1"/>
          <w:szCs w:val="16"/>
        </w:rPr>
        <w:t xml:space="preserve">l, July 8, 2013, accessed March 11, </w:t>
      </w:r>
      <w:r w:rsidRPr="000F6344">
        <w:rPr>
          <w:color w:val="000000" w:themeColor="text1"/>
          <w:szCs w:val="16"/>
        </w:rPr>
        <w:t xml:space="preserve">2017, </w:t>
      </w:r>
      <w:r w:rsidRPr="00606B63">
        <w:t>www.marklines.com/en/report/rep1185_201306</w:t>
      </w:r>
      <w:r>
        <w:t>.</w:t>
      </w:r>
    </w:p>
  </w:endnote>
  <w:endnote w:id="7">
    <w:p w14:paraId="50FD7CC8" w14:textId="1D2750EA" w:rsidR="00AC24B6" w:rsidRPr="00021E89" w:rsidRDefault="00AC24B6" w:rsidP="00606B63">
      <w:pPr>
        <w:pStyle w:val="Footnote"/>
        <w:rPr>
          <w:rFonts w:cs="Times New Roman"/>
          <w:szCs w:val="16"/>
        </w:rPr>
      </w:pPr>
      <w:r w:rsidRPr="000628C0">
        <w:rPr>
          <w:rStyle w:val="EndnoteReference"/>
        </w:rPr>
        <w:endnoteRef/>
      </w:r>
      <w:r w:rsidRPr="000628C0">
        <w:rPr>
          <w:rStyle w:val="EndnoteReference"/>
        </w:rPr>
        <w:t xml:space="preserve"> </w:t>
      </w:r>
      <w:r w:rsidRPr="000F6344">
        <w:rPr>
          <w:rFonts w:cs="Times New Roman"/>
          <w:color w:val="000000" w:themeColor="text1"/>
          <w:szCs w:val="16"/>
        </w:rPr>
        <w:t xml:space="preserve">Alexa Liautaud, </w:t>
      </w:r>
      <w:r>
        <w:rPr>
          <w:rFonts w:cs="Times New Roman"/>
          <w:color w:val="000000" w:themeColor="text1"/>
          <w:szCs w:val="16"/>
        </w:rPr>
        <w:t>“</w:t>
      </w:r>
      <w:r w:rsidRPr="000F6344">
        <w:rPr>
          <w:rFonts w:cs="Times New Roman"/>
          <w:color w:val="000000" w:themeColor="text1"/>
          <w:szCs w:val="16"/>
        </w:rPr>
        <w:t>Peugeot Seeks to Reverse China Slump, Wary of Brexit</w:t>
      </w:r>
      <w:r>
        <w:rPr>
          <w:rFonts w:cs="Times New Roman"/>
          <w:color w:val="000000" w:themeColor="text1"/>
          <w:szCs w:val="16"/>
        </w:rPr>
        <w:t>,”</w:t>
      </w:r>
      <w:r w:rsidRPr="000F6344">
        <w:rPr>
          <w:rFonts w:cs="Times New Roman"/>
          <w:color w:val="000000" w:themeColor="text1"/>
          <w:szCs w:val="16"/>
        </w:rPr>
        <w:t xml:space="preserve"> </w:t>
      </w:r>
      <w:r w:rsidRPr="000628C0">
        <w:rPr>
          <w:rFonts w:cs="Times New Roman"/>
          <w:i/>
          <w:color w:val="000000" w:themeColor="text1"/>
          <w:szCs w:val="16"/>
        </w:rPr>
        <w:t>Wall Street Journal,</w:t>
      </w:r>
      <w:r w:rsidRPr="000F6344">
        <w:rPr>
          <w:rFonts w:cs="Times New Roman"/>
          <w:color w:val="000000" w:themeColor="text1"/>
          <w:szCs w:val="16"/>
        </w:rPr>
        <w:t xml:space="preserve"> July 12, 2016, accessed </w:t>
      </w:r>
      <w:r>
        <w:rPr>
          <w:rFonts w:cs="Times New Roman"/>
          <w:color w:val="000000" w:themeColor="text1"/>
          <w:szCs w:val="16"/>
        </w:rPr>
        <w:t>December</w:t>
      </w:r>
      <w:r w:rsidRPr="000F6344">
        <w:rPr>
          <w:rFonts w:cs="Times New Roman"/>
          <w:color w:val="000000" w:themeColor="text1"/>
          <w:szCs w:val="16"/>
        </w:rPr>
        <w:t xml:space="preserve"> </w:t>
      </w:r>
      <w:r>
        <w:rPr>
          <w:rFonts w:cs="Times New Roman"/>
          <w:color w:val="000000" w:themeColor="text1"/>
          <w:szCs w:val="16"/>
        </w:rPr>
        <w:t>12, 2016</w:t>
      </w:r>
      <w:r w:rsidRPr="000F6344">
        <w:rPr>
          <w:rFonts w:cs="Times New Roman"/>
          <w:color w:val="000000" w:themeColor="text1"/>
          <w:szCs w:val="16"/>
        </w:rPr>
        <w:t xml:space="preserve">, </w:t>
      </w:r>
      <w:r w:rsidRPr="00A67AF2">
        <w:rPr>
          <w:rFonts w:cs="Times New Roman"/>
          <w:color w:val="000000" w:themeColor="text1"/>
          <w:szCs w:val="16"/>
        </w:rPr>
        <w:t>www.wsj.com/articles/groupe-psa-sales-pressured-by-falling-asia-demand-1468302674</w:t>
      </w:r>
      <w:r w:rsidRPr="00A67AF2">
        <w:rPr>
          <w:rStyle w:val="Hyperlink"/>
          <w:rFonts w:ascii="Times" w:hAnsi="Times" w:cs="Times New Roman"/>
          <w:u w:val="none"/>
        </w:rPr>
        <w:t>.</w:t>
      </w:r>
    </w:p>
  </w:endnote>
  <w:endnote w:id="8">
    <w:p w14:paraId="3A76708F" w14:textId="12F7E047" w:rsidR="00AC24B6" w:rsidRPr="00021E89" w:rsidRDefault="00AC24B6" w:rsidP="00F159DC">
      <w:pPr>
        <w:pStyle w:val="Footnote"/>
        <w:rPr>
          <w:szCs w:val="16"/>
        </w:rPr>
      </w:pPr>
      <w:r w:rsidRPr="000628C0">
        <w:rPr>
          <w:rStyle w:val="EndnoteReference"/>
        </w:rPr>
        <w:endnoteRef/>
      </w:r>
      <w:r w:rsidRPr="00AC24B6">
        <w:t xml:space="preserve"> </w:t>
      </w:r>
      <w:r>
        <w:rPr>
          <w:szCs w:val="16"/>
        </w:rPr>
        <w:t xml:space="preserve">Evan Hirsh, John Jullens, Reid Wilk, and Akshay Singh, “2016 Auto Industry Trends,” PwC’s Strategy&amp;, accessed April 12, 2017, </w:t>
      </w:r>
      <w:r w:rsidRPr="00021E89">
        <w:rPr>
          <w:szCs w:val="16"/>
        </w:rPr>
        <w:t>www.strategyand.pwc.com/trends/2016-auto-industry-trends</w:t>
      </w:r>
      <w:r>
        <w:rPr>
          <w:szCs w:val="16"/>
        </w:rPr>
        <w:t>.</w:t>
      </w:r>
    </w:p>
  </w:endnote>
  <w:endnote w:id="9">
    <w:p w14:paraId="14751F6C" w14:textId="2A61498E"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International Council on Clean Transportation, </w:t>
      </w:r>
      <w:r w:rsidRPr="000628C0">
        <w:rPr>
          <w:i/>
          <w:szCs w:val="16"/>
        </w:rPr>
        <w:t>European Vehicle Market Statistics</w:t>
      </w:r>
      <w:r>
        <w:rPr>
          <w:i/>
          <w:szCs w:val="16"/>
        </w:rPr>
        <w:t>: Pocketbook</w:t>
      </w:r>
      <w:r w:rsidRPr="000628C0">
        <w:rPr>
          <w:i/>
          <w:szCs w:val="16"/>
        </w:rPr>
        <w:t xml:space="preserve"> 2015/16,</w:t>
      </w:r>
      <w:r>
        <w:rPr>
          <w:i/>
          <w:szCs w:val="16"/>
        </w:rPr>
        <w:t xml:space="preserve"> </w:t>
      </w:r>
      <w:r>
        <w:rPr>
          <w:szCs w:val="16"/>
        </w:rPr>
        <w:t xml:space="preserve">accessed February 15, 2017, </w:t>
      </w:r>
      <w:r w:rsidRPr="00021E89">
        <w:rPr>
          <w:szCs w:val="16"/>
        </w:rPr>
        <w:t>www.theicct.org/sites/default/files/publications/ICCT_EU-pocketbook_2015.pd</w:t>
      </w:r>
      <w:r>
        <w:rPr>
          <w:szCs w:val="16"/>
        </w:rPr>
        <w:t>f.</w:t>
      </w:r>
    </w:p>
  </w:endnote>
  <w:endnote w:id="10">
    <w:p w14:paraId="6C433F42" w14:textId="714F8800" w:rsidR="00AC24B6" w:rsidRPr="000F6344" w:rsidRDefault="00AC24B6" w:rsidP="00606B63">
      <w:pPr>
        <w:pStyle w:val="Footnote"/>
        <w:rPr>
          <w:rFonts w:cs="Times New Roman"/>
          <w:i/>
          <w:color w:val="000000" w:themeColor="text1"/>
          <w:szCs w:val="16"/>
        </w:rPr>
      </w:pPr>
      <w:r w:rsidRPr="000628C0">
        <w:rPr>
          <w:rStyle w:val="EndnoteReference"/>
        </w:rPr>
        <w:endnoteRef/>
      </w:r>
      <w:r>
        <w:rPr>
          <w:rFonts w:cs="Times New Roman"/>
          <w:color w:val="000000" w:themeColor="text1"/>
          <w:szCs w:val="16"/>
        </w:rPr>
        <w:t xml:space="preserve"> “</w:t>
      </w:r>
      <w:r w:rsidRPr="000628C0">
        <w:t xml:space="preserve">Driving growth? The </w:t>
      </w:r>
      <w:r>
        <w:t>F</w:t>
      </w:r>
      <w:r w:rsidRPr="000628C0">
        <w:t xml:space="preserve">uture of Europe’s </w:t>
      </w:r>
      <w:r>
        <w:t>C</w:t>
      </w:r>
      <w:r w:rsidRPr="000628C0">
        <w:t xml:space="preserve">ar </w:t>
      </w:r>
      <w:r>
        <w:t>I</w:t>
      </w:r>
      <w:r w:rsidRPr="000628C0">
        <w:t>ndustry</w:t>
      </w:r>
      <w:r>
        <w:rPr>
          <w:rFonts w:cs="Times New Roman"/>
          <w:color w:val="000000" w:themeColor="text1"/>
          <w:szCs w:val="16"/>
        </w:rPr>
        <w:t>,”</w:t>
      </w:r>
      <w:r w:rsidRPr="000628C0">
        <w:rPr>
          <w:rFonts w:cs="Times New Roman"/>
          <w:color w:val="000000" w:themeColor="text1"/>
          <w:szCs w:val="16"/>
        </w:rPr>
        <w:t xml:space="preserve"> </w:t>
      </w:r>
      <w:r>
        <w:rPr>
          <w:rFonts w:cs="Times New Roman"/>
          <w:color w:val="000000" w:themeColor="text1"/>
          <w:szCs w:val="16"/>
        </w:rPr>
        <w:t>CNBC, April 18, 2016, accessed December 11, 2016</w:t>
      </w:r>
      <w:r w:rsidRPr="000F6344">
        <w:rPr>
          <w:rFonts w:cs="Times New Roman"/>
          <w:color w:val="000000" w:themeColor="text1"/>
          <w:szCs w:val="16"/>
        </w:rPr>
        <w:t>, www.cnbc.com/2016/04/18/driving-growth-the-future-of-europes-car-industry.html</w:t>
      </w:r>
      <w:r w:rsidRPr="000A5313">
        <w:rPr>
          <w:rStyle w:val="Hyperlink"/>
          <w:rFonts w:ascii="Times" w:hAnsi="Times" w:cs="Times New Roman"/>
          <w:color w:val="000000" w:themeColor="text1"/>
          <w:u w:val="none"/>
        </w:rPr>
        <w:t>.</w:t>
      </w:r>
    </w:p>
  </w:endnote>
  <w:endnote w:id="11">
    <w:p w14:paraId="6ADEBCB0" w14:textId="132169C7"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“European Car Sales Rise in February Amid Volume Brand Slump,” Reuters, March 16, 2017, accessed April 10, 2017, </w:t>
      </w:r>
      <w:r w:rsidRPr="007221D3">
        <w:rPr>
          <w:szCs w:val="16"/>
        </w:rPr>
        <w:t>http://uk.reuters.com/article/uk-europe-vehicleregistrations-february-idUKKBN16N0NV</w:t>
      </w:r>
      <w:r>
        <w:rPr>
          <w:szCs w:val="16"/>
        </w:rPr>
        <w:t xml:space="preserve">. </w:t>
      </w:r>
    </w:p>
  </w:endnote>
  <w:endnote w:id="12">
    <w:p w14:paraId="7DF9938F" w14:textId="03E3C1DA"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Phil LeBeau, “Americans Holding onto Their Cars Longer Than Ever,” CNBC, July 29, 2015, accessed March 12, 2017, </w:t>
      </w:r>
      <w:r w:rsidRPr="00021E89">
        <w:rPr>
          <w:szCs w:val="16"/>
        </w:rPr>
        <w:t>www.cnbc.com/2015/07/28/americans-holding-onto-their-cars-longer-than-ever.html</w:t>
      </w:r>
      <w:r>
        <w:rPr>
          <w:szCs w:val="16"/>
        </w:rPr>
        <w:t>.</w:t>
      </w:r>
    </w:p>
  </w:endnote>
  <w:endnote w:id="13">
    <w:p w14:paraId="6A9EDD3E" w14:textId="63642392" w:rsidR="00AC24B6" w:rsidRPr="00021E89" w:rsidRDefault="00AC24B6" w:rsidP="00606B63">
      <w:pPr>
        <w:pStyle w:val="Footnote"/>
        <w:rPr>
          <w:szCs w:val="16"/>
        </w:rPr>
      </w:pPr>
      <w:r w:rsidRPr="000628C0">
        <w:rPr>
          <w:rStyle w:val="EndnoteReference"/>
        </w:rPr>
        <w:endnoteRef/>
      </w:r>
      <w:r>
        <w:rPr>
          <w:szCs w:val="16"/>
        </w:rPr>
        <w:t xml:space="preserve"> David Shepardson, “New Vehicles in U.S. More Fuel Efficient Than Ever,” Reuters, November 2, 2016, accessed April 10, 2017, </w:t>
      </w:r>
      <w:r w:rsidRPr="00D86114">
        <w:rPr>
          <w:szCs w:val="16"/>
        </w:rPr>
        <w:t>http://uk.reuters.com/article/us-autos-efficiency-idUKKBN12X1U7</w:t>
      </w:r>
      <w:r>
        <w:rPr>
          <w:szCs w:val="16"/>
        </w:rPr>
        <w:t>.</w:t>
      </w:r>
    </w:p>
  </w:endnote>
  <w:endnote w:id="14">
    <w:p w14:paraId="6B9A7CF2" w14:textId="53907168" w:rsidR="00AC24B6" w:rsidRPr="00021E89" w:rsidRDefault="00AC24B6" w:rsidP="00606B63">
      <w:pPr>
        <w:pStyle w:val="Footnote"/>
        <w:rPr>
          <w:szCs w:val="16"/>
        </w:rPr>
      </w:pPr>
      <w:r w:rsidRPr="000628C0">
        <w:rPr>
          <w:rStyle w:val="EndnoteReference"/>
        </w:rPr>
        <w:endnoteRef/>
      </w:r>
      <w:r w:rsidRPr="00AC24B6">
        <w:t xml:space="preserve"> </w:t>
      </w:r>
      <w:r>
        <w:rPr>
          <w:szCs w:val="16"/>
        </w:rPr>
        <w:t>Nicholas Lutsey, “New Automobile Regulations: Double the Fuel Economy, Half the CO</w:t>
      </w:r>
      <w:r w:rsidRPr="00AC24B6">
        <w:rPr>
          <w:szCs w:val="16"/>
          <w:vertAlign w:val="superscript"/>
        </w:rPr>
        <w:t>2</w:t>
      </w:r>
      <w:r>
        <w:rPr>
          <w:szCs w:val="16"/>
        </w:rPr>
        <w:t xml:space="preserve"> Emissions, and Even Automakers Like It,” </w:t>
      </w:r>
      <w:r w:rsidRPr="000628C0">
        <w:rPr>
          <w:i/>
          <w:szCs w:val="16"/>
        </w:rPr>
        <w:t>Access Magazine,</w:t>
      </w:r>
      <w:r>
        <w:rPr>
          <w:szCs w:val="16"/>
        </w:rPr>
        <w:t xml:space="preserve"> Fall 2012,</w:t>
      </w:r>
      <w:r w:rsidRPr="00021E89">
        <w:rPr>
          <w:szCs w:val="16"/>
        </w:rPr>
        <w:t xml:space="preserve"> </w:t>
      </w:r>
      <w:r>
        <w:rPr>
          <w:szCs w:val="16"/>
        </w:rPr>
        <w:t xml:space="preserve">accessed March 25, 2017, </w:t>
      </w:r>
      <w:r w:rsidRPr="00A67AF2">
        <w:rPr>
          <w:szCs w:val="16"/>
        </w:rPr>
        <w:t>www.accessmagazine.org/articles/fall-2012/new-automobile-regulations.</w:t>
      </w:r>
    </w:p>
  </w:endnote>
  <w:endnote w:id="15">
    <w:p w14:paraId="20B83F8F" w14:textId="675B78DF" w:rsidR="00AC24B6" w:rsidRPr="00626599" w:rsidRDefault="00AC24B6" w:rsidP="00606B63">
      <w:pPr>
        <w:pStyle w:val="Footnote"/>
      </w:pPr>
      <w:r w:rsidRPr="000628C0">
        <w:rPr>
          <w:rStyle w:val="EndnoteReference"/>
        </w:rPr>
        <w:endnoteRef/>
      </w:r>
      <w:r w:rsidRPr="000628C0">
        <w:rPr>
          <w:rStyle w:val="EndnoteReference"/>
        </w:rPr>
        <w:t xml:space="preserve"> </w:t>
      </w:r>
      <w:r w:rsidRPr="00626599">
        <w:t xml:space="preserve">Mykola Golovko, </w:t>
      </w:r>
      <w:r>
        <w:t xml:space="preserve">“Outlook for the Automotive Industry in 2017: Key Emerging Markets,” Euromonitor International, January 21, 2017, accessed April 19, 2017, </w:t>
      </w:r>
      <w:r w:rsidRPr="00626599">
        <w:t>http://blog.euromonitor.com/2017/01/outlook-automotive-industry-2017-key-emerging-markets.html</w:t>
      </w:r>
      <w:r>
        <w:t xml:space="preserve">. </w:t>
      </w:r>
    </w:p>
  </w:endnote>
  <w:endnote w:id="16">
    <w:p w14:paraId="576B1D4D" w14:textId="1AF9A630"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Hao Yan and Qiu Quanlin, “Auto Sales Hit Record in 2015, But Growth Slows Down,” </w:t>
      </w:r>
      <w:r w:rsidRPr="000628C0">
        <w:rPr>
          <w:i/>
          <w:szCs w:val="16"/>
        </w:rPr>
        <w:t>China Daily,</w:t>
      </w:r>
      <w:r>
        <w:rPr>
          <w:szCs w:val="16"/>
        </w:rPr>
        <w:t xml:space="preserve"> January 13, 2016, accessed March 22, 2017, </w:t>
      </w:r>
      <w:r w:rsidRPr="00021E89">
        <w:rPr>
          <w:szCs w:val="16"/>
        </w:rPr>
        <w:t>http://europe.chinadaily.com.cn/business/2016-01/13/content_23058495.htm</w:t>
      </w:r>
      <w:r>
        <w:rPr>
          <w:szCs w:val="16"/>
        </w:rPr>
        <w:t>.</w:t>
      </w:r>
    </w:p>
  </w:endnote>
  <w:endnote w:id="17">
    <w:p w14:paraId="434FF055" w14:textId="505D64A6"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“India Sales Analysis: December 2016,” Autocar Professional, January 2, 2017, accessed February 20, 2017,</w:t>
      </w:r>
      <w:r w:rsidRPr="00021E89">
        <w:rPr>
          <w:szCs w:val="16"/>
        </w:rPr>
        <w:t xml:space="preserve"> www.autocarpro.in/analysis-sales/india-sales-analysis-january-2017-23103</w:t>
      </w:r>
      <w:r>
        <w:rPr>
          <w:szCs w:val="16"/>
        </w:rPr>
        <w:t>.</w:t>
      </w:r>
    </w:p>
  </w:endnote>
  <w:endnote w:id="18">
    <w:p w14:paraId="6CC3D327" w14:textId="37B5E832"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Christiaan Hetzner, “Russia Slump Forecast to End; Rapid Recovery Unlikely,” Automotive News Europe, February 6, 2017, accessed February 10, 2017, </w:t>
      </w:r>
      <w:r w:rsidRPr="00021E89">
        <w:rPr>
          <w:szCs w:val="16"/>
        </w:rPr>
        <w:t>http://europe.autonews.com/article/20170206/ANE/170209984/russia-slump-forecast-to-end;-rapid-recovery-unlikely</w:t>
      </w:r>
      <w:r>
        <w:rPr>
          <w:szCs w:val="16"/>
        </w:rPr>
        <w:t>.</w:t>
      </w:r>
    </w:p>
  </w:endnote>
  <w:endnote w:id="19">
    <w:p w14:paraId="2F887D0C" w14:textId="3B38F7E7"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Leonardo Lara</w:t>
      </w:r>
      <w:r w:rsidRPr="00021E89">
        <w:rPr>
          <w:szCs w:val="16"/>
        </w:rPr>
        <w:t xml:space="preserve"> </w:t>
      </w:r>
      <w:r>
        <w:rPr>
          <w:szCs w:val="16"/>
        </w:rPr>
        <w:t xml:space="preserve">and Fabiola Moura, “How Bad Is Brazil Car Market? Drop Equals All of Mexico's Sales,” Bloomberg, December 14, 2015, accessed February 10, 2017, </w:t>
      </w:r>
      <w:r w:rsidRPr="00A67AF2">
        <w:rPr>
          <w:szCs w:val="16"/>
        </w:rPr>
        <w:t>www.bloomberg.com/news/articles/2015-12-14/how-bad-is-brazil-car-market-drop-equals-all-of-mexico-s-sales.</w:t>
      </w:r>
    </w:p>
  </w:endnote>
  <w:endnote w:id="20">
    <w:p w14:paraId="22321532" w14:textId="04F708F3"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Christoph Stürmer and Stella Lau, “Growth Markets: Opportunities and Challenges for the Automotive Industry,” PwC, February 9, 2017, accessed February 15, 2017, </w:t>
      </w:r>
      <w:r w:rsidRPr="00021E89">
        <w:rPr>
          <w:szCs w:val="16"/>
        </w:rPr>
        <w:t>http://pwc.blogs.com/growth_markets/2017/02/growth-markets-the-engines-that-drive-the-auto-industry.html</w:t>
      </w:r>
      <w:r>
        <w:rPr>
          <w:szCs w:val="16"/>
        </w:rPr>
        <w:t>.</w:t>
      </w:r>
    </w:p>
  </w:endnote>
  <w:endnote w:id="21">
    <w:p w14:paraId="7663DEDA" w14:textId="6C1C852D"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Golovko, op. cit.</w:t>
      </w:r>
    </w:p>
  </w:endnote>
  <w:endnote w:id="22">
    <w:p w14:paraId="70693A2B" w14:textId="138B1A2F"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Trefis Team, “How Does a 7% Decline in the Japanese Auto Market Reflect on Toyota Motors?” </w:t>
      </w:r>
      <w:r w:rsidRPr="000628C0">
        <w:rPr>
          <w:i/>
          <w:szCs w:val="16"/>
        </w:rPr>
        <w:t>Forbes,</w:t>
      </w:r>
      <w:r>
        <w:rPr>
          <w:szCs w:val="16"/>
        </w:rPr>
        <w:t xml:space="preserve"> October 5, 2015, accessed March 12, 2017, </w:t>
      </w:r>
      <w:r w:rsidRPr="00021E89">
        <w:rPr>
          <w:szCs w:val="16"/>
        </w:rPr>
        <w:t>www.forbes.com/sites/greatspeculations/2015/10/05/how-does-a-7-decline-in-the-japanese-auto-market-reflect-on-toyota-motors/#227d273e1b5f</w:t>
      </w:r>
      <w:r>
        <w:rPr>
          <w:szCs w:val="16"/>
        </w:rPr>
        <w:t>.</w:t>
      </w:r>
    </w:p>
  </w:endnote>
  <w:endnote w:id="23">
    <w:p w14:paraId="0FE96FE5" w14:textId="3DF6D342"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Benjamin Zhang, “One Country Has Kept Volkswagen’s Global Sales from Cratering after its Emissions Scandal,” </w:t>
      </w:r>
      <w:r w:rsidRPr="00AC24B6">
        <w:rPr>
          <w:i/>
          <w:szCs w:val="16"/>
        </w:rPr>
        <w:t>Business Insider</w:t>
      </w:r>
      <w:r>
        <w:rPr>
          <w:szCs w:val="16"/>
        </w:rPr>
        <w:t xml:space="preserve">, October 18, 2016, accessed December 10, 2016, </w:t>
      </w:r>
      <w:r w:rsidRPr="00021E89">
        <w:rPr>
          <w:szCs w:val="16"/>
        </w:rPr>
        <w:t>http://uk.businessinsider.com/volkswagen-sales-increased-after-emissions-cheating-scandal-china-2016-10</w:t>
      </w:r>
      <w:r>
        <w:rPr>
          <w:szCs w:val="16"/>
        </w:rPr>
        <w:t>.</w:t>
      </w:r>
    </w:p>
  </w:endnote>
  <w:endnote w:id="24">
    <w:p w14:paraId="097669CE" w14:textId="296BCCA4" w:rsidR="00AC24B6" w:rsidRPr="00021E89" w:rsidRDefault="00AC24B6" w:rsidP="00606B63">
      <w:pPr>
        <w:pStyle w:val="Footnote"/>
        <w:rPr>
          <w:szCs w:val="16"/>
        </w:rPr>
      </w:pPr>
      <w:r w:rsidRPr="000628C0">
        <w:rPr>
          <w:rStyle w:val="EndnoteReference"/>
        </w:rPr>
        <w:endnoteRef/>
      </w:r>
      <w:r>
        <w:rPr>
          <w:szCs w:val="16"/>
        </w:rPr>
        <w:t xml:space="preserve"> Nandini Senguptal, “Top 3 Auto Companies Hold 70% Market Share,” </w:t>
      </w:r>
      <w:r w:rsidRPr="000628C0">
        <w:rPr>
          <w:i/>
          <w:szCs w:val="16"/>
        </w:rPr>
        <w:t>Times of India,</w:t>
      </w:r>
      <w:r>
        <w:rPr>
          <w:szCs w:val="16"/>
        </w:rPr>
        <w:t xml:space="preserve"> January 28, 2016, accessed April 12, 2017, </w:t>
      </w:r>
      <w:r w:rsidRPr="00021E89">
        <w:rPr>
          <w:szCs w:val="16"/>
        </w:rPr>
        <w:t>http://timesofindia.indiatimes.com/business/india-business/Top-3-auto-companies-hold-70-market-share/articleshow/50749746.cms</w:t>
      </w:r>
      <w:r>
        <w:rPr>
          <w:szCs w:val="16"/>
        </w:rPr>
        <w:t>.</w:t>
      </w:r>
    </w:p>
  </w:endnote>
  <w:endnote w:id="25">
    <w:p w14:paraId="1EC5AD80" w14:textId="7FC642C4"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Erik Kirschbaum, “German Automakers Who Once Laughed Off Elon Mush Are Now Starting to Worry,” </w:t>
      </w:r>
      <w:r w:rsidRPr="000628C0">
        <w:rPr>
          <w:i/>
          <w:szCs w:val="16"/>
        </w:rPr>
        <w:t>L</w:t>
      </w:r>
      <w:r>
        <w:rPr>
          <w:i/>
          <w:szCs w:val="16"/>
        </w:rPr>
        <w:t>os Angeles</w:t>
      </w:r>
      <w:r w:rsidRPr="000628C0">
        <w:rPr>
          <w:i/>
          <w:szCs w:val="16"/>
        </w:rPr>
        <w:t xml:space="preserve"> Times, </w:t>
      </w:r>
      <w:r>
        <w:rPr>
          <w:szCs w:val="16"/>
        </w:rPr>
        <w:t xml:space="preserve">April 19, 2016, accessed January 25, 2017, </w:t>
      </w:r>
      <w:r w:rsidRPr="00021E89">
        <w:rPr>
          <w:szCs w:val="16"/>
        </w:rPr>
        <w:t>www.latimes.com/business/autos/la-fi-hy-0419-tesla-germany-20160419-story.html</w:t>
      </w:r>
      <w:r>
        <w:rPr>
          <w:szCs w:val="16"/>
        </w:rPr>
        <w:t>.</w:t>
      </w:r>
    </w:p>
  </w:endnote>
  <w:endnote w:id="26">
    <w:p w14:paraId="209DBAAE" w14:textId="3AD52334" w:rsidR="00AC24B6" w:rsidRPr="00021E89" w:rsidRDefault="00AC24B6" w:rsidP="00606B63">
      <w:pPr>
        <w:pStyle w:val="Footnote"/>
        <w:rPr>
          <w:szCs w:val="16"/>
        </w:rPr>
      </w:pPr>
      <w:r w:rsidRPr="000628C0">
        <w:rPr>
          <w:rStyle w:val="EndnoteReference"/>
        </w:rPr>
        <w:endnoteRef/>
      </w:r>
      <w:r>
        <w:rPr>
          <w:szCs w:val="16"/>
        </w:rPr>
        <w:t xml:space="preserve"> Hirsh et. al., op. cit.</w:t>
      </w:r>
    </w:p>
  </w:endnote>
  <w:endnote w:id="27">
    <w:p w14:paraId="5E0F5B02" w14:textId="2BAC06E2" w:rsidR="00AC24B6" w:rsidRPr="006C17FE"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“Selected Automakers’ U.S. Monthly Market Share in May 2017, by Key Manufacturer,” Statista, accessed April 27, 2017, </w:t>
      </w:r>
      <w:r w:rsidRPr="00A67AF2">
        <w:rPr>
          <w:rFonts w:cs="Times New Roman"/>
          <w:color w:val="000000" w:themeColor="text1"/>
          <w:szCs w:val="16"/>
        </w:rPr>
        <w:t>www.statista.com/statistics/343162/market-share-of-major-car-manufacturers-in-the-united-states.</w:t>
      </w:r>
    </w:p>
  </w:endnote>
  <w:endnote w:id="28">
    <w:p w14:paraId="0E23459B" w14:textId="0190DC0E"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Detlev Mohr, Dominik Wee, and Timo Mӧller, “Eight Disruptive Trends Shaping the Auto Industry of 2030,” Automotive World, March 18, 2016, accessed January 10, 2017, </w:t>
      </w:r>
      <w:r w:rsidRPr="00021E89">
        <w:rPr>
          <w:szCs w:val="16"/>
        </w:rPr>
        <w:t>www.automotiveworld.com/analysis/eight-disruptive-trends-shaping-auto-industry-2030</w:t>
      </w:r>
      <w:r>
        <w:rPr>
          <w:szCs w:val="16"/>
        </w:rPr>
        <w:t>.</w:t>
      </w:r>
    </w:p>
  </w:endnote>
  <w:endnote w:id="29">
    <w:p w14:paraId="7A31F1AB" w14:textId="19F26D62" w:rsidR="00AC24B6" w:rsidRPr="00F50514" w:rsidRDefault="00AC24B6" w:rsidP="00606B63">
      <w:pPr>
        <w:pStyle w:val="Footnote"/>
      </w:pPr>
      <w:r w:rsidRPr="000628C0">
        <w:rPr>
          <w:rStyle w:val="EndnoteReference"/>
        </w:rPr>
        <w:endnoteRef/>
      </w:r>
      <w:r w:rsidRPr="00AC24B6">
        <w:t xml:space="preserve"> </w:t>
      </w:r>
      <w:r>
        <w:t>I</w:t>
      </w:r>
      <w:r w:rsidRPr="00F50514">
        <w:t>bid</w:t>
      </w:r>
      <w:r>
        <w:t>.</w:t>
      </w:r>
    </w:p>
  </w:endnote>
  <w:endnote w:id="30">
    <w:p w14:paraId="69112D52" w14:textId="71DC6A87" w:rsidR="00AC24B6" w:rsidRPr="003D731E" w:rsidRDefault="00AC24B6" w:rsidP="00606B63">
      <w:pPr>
        <w:pStyle w:val="Footnote"/>
        <w:rPr>
          <w:spacing w:val="-4"/>
          <w:kern w:val="17"/>
          <w:szCs w:val="16"/>
        </w:rPr>
      </w:pPr>
      <w:r w:rsidRPr="003D731E">
        <w:rPr>
          <w:rStyle w:val="EndnoteReference"/>
          <w:spacing w:val="-4"/>
          <w:kern w:val="17"/>
        </w:rPr>
        <w:endnoteRef/>
      </w:r>
      <w:r w:rsidRPr="003D731E">
        <w:rPr>
          <w:spacing w:val="-4"/>
          <w:kern w:val="17"/>
          <w:szCs w:val="16"/>
        </w:rPr>
        <w:t xml:space="preserve"> Robert Passikoff, “Brand Loyalty Recalls: Ford, General Motors, Hyundai, &amp; Toyota,” </w:t>
      </w:r>
      <w:r w:rsidRPr="003D731E">
        <w:rPr>
          <w:i/>
          <w:spacing w:val="-4"/>
          <w:kern w:val="17"/>
          <w:szCs w:val="16"/>
        </w:rPr>
        <w:t>Forbes,</w:t>
      </w:r>
      <w:r w:rsidRPr="003D731E">
        <w:rPr>
          <w:spacing w:val="-4"/>
          <w:kern w:val="17"/>
          <w:szCs w:val="16"/>
        </w:rPr>
        <w:t xml:space="preserve"> April 30, 2014, accessed April 10, 2017, www.forbes.com/sites/robertpassikoff/2014/04/30/brand-loyalty-recalls-ford-general-motors-hyundai-toyota/#2604a2826d5f.</w:t>
      </w:r>
    </w:p>
  </w:endnote>
  <w:endnote w:id="31">
    <w:p w14:paraId="53049AE6" w14:textId="198E2EEF" w:rsidR="00AC24B6" w:rsidRPr="005A150D" w:rsidRDefault="00AC24B6" w:rsidP="00606B63">
      <w:pPr>
        <w:pStyle w:val="Footnote"/>
      </w:pPr>
      <w:r w:rsidRPr="000628C0">
        <w:rPr>
          <w:rStyle w:val="EndnoteReference"/>
        </w:rPr>
        <w:endnoteRef/>
      </w:r>
      <w:r w:rsidRPr="000628C0">
        <w:rPr>
          <w:rStyle w:val="EndnoteReference"/>
        </w:rPr>
        <w:t xml:space="preserve"> </w:t>
      </w:r>
      <w:r w:rsidRPr="00CA1181">
        <w:rPr>
          <w:szCs w:val="16"/>
        </w:rPr>
        <w:t xml:space="preserve">Stephen Moss, </w:t>
      </w:r>
      <w:r>
        <w:rPr>
          <w:szCs w:val="16"/>
        </w:rPr>
        <w:t>“</w:t>
      </w:r>
      <w:r w:rsidRPr="00CA1181">
        <w:rPr>
          <w:szCs w:val="16"/>
        </w:rPr>
        <w:t>End of the Car Age: How Cities Are Outgrowing the Automobile</w:t>
      </w:r>
      <w:r>
        <w:rPr>
          <w:szCs w:val="16"/>
        </w:rPr>
        <w:t>,”</w:t>
      </w:r>
      <w:r w:rsidRPr="00CA1181">
        <w:rPr>
          <w:szCs w:val="16"/>
        </w:rPr>
        <w:t xml:space="preserve"> </w:t>
      </w:r>
      <w:r w:rsidRPr="000628C0">
        <w:rPr>
          <w:i/>
          <w:szCs w:val="16"/>
        </w:rPr>
        <w:t>Guardian,</w:t>
      </w:r>
      <w:r w:rsidRPr="00CA1181">
        <w:rPr>
          <w:szCs w:val="16"/>
        </w:rPr>
        <w:t xml:space="preserve"> April 28, 2015, accessed April</w:t>
      </w:r>
      <w:r>
        <w:rPr>
          <w:szCs w:val="16"/>
        </w:rPr>
        <w:t xml:space="preserve"> </w:t>
      </w:r>
      <w:r w:rsidRPr="00CA1181">
        <w:rPr>
          <w:szCs w:val="16"/>
        </w:rPr>
        <w:t>29, 2017, www.theguardian.com/cities/2015/apr/28/end-of-the-car-age-how-cities-outgrew-the-automobile.</w:t>
      </w:r>
    </w:p>
  </w:endnote>
  <w:endnote w:id="32">
    <w:p w14:paraId="7C9B601C" w14:textId="0515F4D7" w:rsidR="00AC24B6" w:rsidRDefault="00AC24B6" w:rsidP="00606B63">
      <w:pPr>
        <w:pStyle w:val="Footnote"/>
      </w:pPr>
      <w:r w:rsidRPr="000628C0">
        <w:rPr>
          <w:rStyle w:val="EndnoteReference"/>
        </w:rPr>
        <w:endnoteRef/>
      </w:r>
      <w:r w:rsidRPr="00AC24B6">
        <w:t xml:space="preserve"> </w:t>
      </w:r>
      <w:r>
        <w:rPr>
          <w:szCs w:val="16"/>
        </w:rPr>
        <w:t xml:space="preserve">“Seeing the Back of the Car,” </w:t>
      </w:r>
      <w:r w:rsidRPr="005A6759">
        <w:rPr>
          <w:i/>
          <w:szCs w:val="16"/>
        </w:rPr>
        <w:t>Economist,</w:t>
      </w:r>
      <w:r>
        <w:rPr>
          <w:szCs w:val="16"/>
        </w:rPr>
        <w:t xml:space="preserve"> September 22, 2012, accessed April 20, 2017, </w:t>
      </w:r>
      <w:r w:rsidRPr="003F3386">
        <w:rPr>
          <w:szCs w:val="16"/>
        </w:rPr>
        <w:t>www.economist.com/node/21563280</w:t>
      </w:r>
      <w:r>
        <w:rPr>
          <w:szCs w:val="16"/>
        </w:rPr>
        <w:t>.</w:t>
      </w:r>
    </w:p>
  </w:endnote>
  <w:endnote w:id="33">
    <w:p w14:paraId="6FC304BC" w14:textId="02F0B04C" w:rsidR="00AC24B6" w:rsidRPr="00021E89" w:rsidRDefault="00AC24B6" w:rsidP="00606B63">
      <w:pPr>
        <w:pStyle w:val="Footnote"/>
        <w:rPr>
          <w:szCs w:val="16"/>
        </w:rPr>
      </w:pPr>
      <w:r w:rsidRPr="000628C0">
        <w:rPr>
          <w:rStyle w:val="EndnoteReference"/>
        </w:rPr>
        <w:endnoteRef/>
      </w:r>
      <w:r>
        <w:rPr>
          <w:szCs w:val="16"/>
        </w:rPr>
        <w:t xml:space="preserve"> Shannon Bouton, Stefan M. Knupfer, Ivan Mihov, and Steven Swartz, “Urban Mobility at a Tipping Point,” McKinsey &amp; Company, September 2015, accessed May 20, 2017, </w:t>
      </w:r>
      <w:r w:rsidRPr="0060017B">
        <w:rPr>
          <w:szCs w:val="16"/>
        </w:rPr>
        <w:t>www.mckinsey.com/business-functions/sustainability-and-resource-productivity/our-insights/urban-mobility-at-a-tipping-point</w:t>
      </w:r>
      <w:r>
        <w:rPr>
          <w:szCs w:val="16"/>
        </w:rPr>
        <w:t>.</w:t>
      </w:r>
    </w:p>
  </w:endnote>
  <w:endnote w:id="34">
    <w:p w14:paraId="27999629" w14:textId="0AB48477"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“The History of The Group,” PSA Groupe, accessed January 5, 2017, </w:t>
      </w:r>
      <w:r w:rsidRPr="00021E89">
        <w:rPr>
          <w:szCs w:val="16"/>
        </w:rPr>
        <w:t>www.groupe-psa.com/en/automotive-group/history</w:t>
      </w:r>
      <w:r>
        <w:rPr>
          <w:szCs w:val="16"/>
        </w:rPr>
        <w:t>.</w:t>
      </w:r>
    </w:p>
  </w:endnote>
  <w:endnote w:id="35">
    <w:p w14:paraId="4A227218" w14:textId="43137A11" w:rsidR="00AC24B6" w:rsidRPr="00021E89" w:rsidRDefault="00AC24B6" w:rsidP="00606B63">
      <w:pPr>
        <w:pStyle w:val="Footnote"/>
        <w:rPr>
          <w:szCs w:val="16"/>
        </w:rPr>
      </w:pPr>
      <w:r w:rsidRPr="000628C0">
        <w:rPr>
          <w:rStyle w:val="EndnoteReference"/>
        </w:rPr>
        <w:endnoteRef/>
      </w:r>
      <w:r>
        <w:rPr>
          <w:szCs w:val="16"/>
        </w:rPr>
        <w:t xml:space="preserve"> “Vauxhall-Opel Sold by GM to Peugeot-Citroën,” BBC News, March 6, 2017, accessed April 10, 2017, </w:t>
      </w:r>
      <w:r w:rsidRPr="00021E89">
        <w:rPr>
          <w:szCs w:val="16"/>
        </w:rPr>
        <w:t>www.bbc.co.uk/news/business-39175740</w:t>
      </w:r>
      <w:r>
        <w:rPr>
          <w:szCs w:val="16"/>
        </w:rPr>
        <w:t>.</w:t>
      </w:r>
    </w:p>
  </w:endnote>
  <w:endnote w:id="36">
    <w:p w14:paraId="267FDC56" w14:textId="4A4A8AA4"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Mark Milner and Paul Lewis, “Anger at Peugeot Decision to Quit Britain,” </w:t>
      </w:r>
      <w:r w:rsidRPr="000628C0">
        <w:rPr>
          <w:i/>
          <w:szCs w:val="16"/>
        </w:rPr>
        <w:t>Guardian,</w:t>
      </w:r>
      <w:r>
        <w:rPr>
          <w:szCs w:val="16"/>
        </w:rPr>
        <w:t xml:space="preserve"> April 19, 2006, accessed February 7, 2017,</w:t>
      </w:r>
      <w:r w:rsidRPr="00021E89">
        <w:rPr>
          <w:szCs w:val="16"/>
        </w:rPr>
        <w:t xml:space="preserve"> www.theguardian.com/business/2006/apr/19/manufacturing.motoring</w:t>
      </w:r>
      <w:r>
        <w:rPr>
          <w:szCs w:val="16"/>
        </w:rPr>
        <w:t>.</w:t>
      </w:r>
    </w:p>
  </w:endnote>
  <w:endnote w:id="37">
    <w:p w14:paraId="12348C03" w14:textId="1DAB5314" w:rsidR="00AC24B6" w:rsidRPr="00021E89" w:rsidRDefault="00AC24B6" w:rsidP="00606B63">
      <w:pPr>
        <w:pStyle w:val="Footnote"/>
        <w:rPr>
          <w:szCs w:val="16"/>
        </w:rPr>
      </w:pPr>
      <w:r w:rsidRPr="000628C0">
        <w:rPr>
          <w:rStyle w:val="EndnoteReference"/>
        </w:rPr>
        <w:endnoteRef/>
      </w:r>
      <w:r w:rsidRPr="00AC24B6">
        <w:t xml:space="preserve"> </w:t>
      </w:r>
      <w:r>
        <w:rPr>
          <w:szCs w:val="16"/>
        </w:rPr>
        <w:t>“French Carmaker Peugeot Removes CEO Streiff,” Reuters, March 29, 2009, accessed February 7, 2017,</w:t>
      </w:r>
      <w:r w:rsidRPr="00021E89">
        <w:rPr>
          <w:szCs w:val="16"/>
        </w:rPr>
        <w:t xml:space="preserve"> http://uk.reuters.com/article/peugeot-idUKLT6635120090329</w:t>
      </w:r>
      <w:r>
        <w:rPr>
          <w:szCs w:val="16"/>
        </w:rPr>
        <w:t>.</w:t>
      </w:r>
    </w:p>
  </w:endnote>
  <w:endnote w:id="38">
    <w:p w14:paraId="04EC0E7C" w14:textId="28B5A55F" w:rsidR="00AC24B6" w:rsidRPr="00021E89" w:rsidRDefault="00AC24B6" w:rsidP="00606B63">
      <w:pPr>
        <w:pStyle w:val="Footnote"/>
        <w:rPr>
          <w:szCs w:val="16"/>
        </w:rPr>
      </w:pPr>
      <w:r w:rsidRPr="000628C0">
        <w:rPr>
          <w:rStyle w:val="EndnoteReference"/>
        </w:rPr>
        <w:endnoteRef/>
      </w:r>
      <w:r>
        <w:rPr>
          <w:szCs w:val="16"/>
        </w:rPr>
        <w:t xml:space="preserve"> Ruth Sunderland, “City Profile: Peugeot Citroën Boss Philippe Varin Goes from Steel to Thin Air,” This is Money, January 23, 2013, accessed February 8, 2017, </w:t>
      </w:r>
      <w:r w:rsidRPr="00021E89">
        <w:rPr>
          <w:szCs w:val="16"/>
        </w:rPr>
        <w:t>www.thisismoney.co.uk/money/markets/article-2267140/Peugeot-</w:t>
      </w:r>
      <w:r>
        <w:rPr>
          <w:szCs w:val="16"/>
        </w:rPr>
        <w:t>Citroën</w:t>
      </w:r>
      <w:r w:rsidRPr="00021E89">
        <w:rPr>
          <w:szCs w:val="16"/>
        </w:rPr>
        <w:t>-boss-Philippe-Varin-goes-steel-air.html</w:t>
      </w:r>
      <w:r>
        <w:rPr>
          <w:szCs w:val="16"/>
        </w:rPr>
        <w:t>.</w:t>
      </w:r>
    </w:p>
  </w:endnote>
  <w:endnote w:id="39">
    <w:p w14:paraId="6EF451C8" w14:textId="5A383EE9" w:rsidR="00AC24B6" w:rsidRPr="00021E89" w:rsidRDefault="00AC24B6" w:rsidP="00606B63">
      <w:pPr>
        <w:pStyle w:val="Footnote"/>
        <w:rPr>
          <w:szCs w:val="16"/>
        </w:rPr>
      </w:pPr>
      <w:r w:rsidRPr="000628C0">
        <w:rPr>
          <w:rStyle w:val="EndnoteReference"/>
        </w:rPr>
        <w:endnoteRef/>
      </w:r>
      <w:r w:rsidRPr="00AC24B6">
        <w:t xml:space="preserve"> </w:t>
      </w:r>
      <w:r>
        <w:rPr>
          <w:szCs w:val="16"/>
        </w:rPr>
        <w:t>I</w:t>
      </w:r>
      <w:r w:rsidRPr="00021E89">
        <w:rPr>
          <w:szCs w:val="16"/>
        </w:rPr>
        <w:t>bid</w:t>
      </w:r>
      <w:r>
        <w:rPr>
          <w:szCs w:val="16"/>
        </w:rPr>
        <w:t>.</w:t>
      </w:r>
    </w:p>
  </w:endnote>
  <w:endnote w:id="40">
    <w:p w14:paraId="184E436E" w14:textId="18B65022" w:rsidR="00AC24B6" w:rsidRDefault="00AC24B6" w:rsidP="00AC24B6">
      <w:pPr>
        <w:pStyle w:val="Footnote"/>
      </w:pPr>
      <w:r>
        <w:rPr>
          <w:rStyle w:val="EndnoteReference"/>
        </w:rPr>
        <w:endnoteRef/>
      </w:r>
      <w:r>
        <w:t xml:space="preserve"> </w:t>
      </w:r>
      <w:r>
        <w:rPr>
          <w:lang w:val="en-CA"/>
        </w:rPr>
        <w:t>All dollar amounts are in US$ unless otherwise stated.</w:t>
      </w:r>
    </w:p>
  </w:endnote>
  <w:endnote w:id="41">
    <w:p w14:paraId="2DF26257" w14:textId="4A8497BF" w:rsidR="00AC24B6" w:rsidRPr="00021E89" w:rsidRDefault="00AC24B6" w:rsidP="00606B63">
      <w:pPr>
        <w:pStyle w:val="Footnote"/>
        <w:rPr>
          <w:szCs w:val="16"/>
        </w:rPr>
      </w:pPr>
      <w:r w:rsidRPr="000628C0">
        <w:rPr>
          <w:rStyle w:val="EndnoteReference"/>
        </w:rPr>
        <w:endnoteRef/>
      </w:r>
      <w:r>
        <w:rPr>
          <w:szCs w:val="16"/>
        </w:rPr>
        <w:t xml:space="preserve"> Nicholas Vinocur and Bernie Woodall, “Insight—France vs U.S. in a Tale of Two Layoffs,” Reuters, December 4, 2013, accessed February 10, 2017,</w:t>
      </w:r>
      <w:r w:rsidRPr="00021E89">
        <w:rPr>
          <w:szCs w:val="16"/>
        </w:rPr>
        <w:t xml:space="preserve"> http://uk.reuters.com/article/uk-france-peugeot-layoffs-insight-idUKBRE9B30CT20131204</w:t>
      </w:r>
      <w:r>
        <w:rPr>
          <w:szCs w:val="16"/>
        </w:rPr>
        <w:t>.</w:t>
      </w:r>
    </w:p>
  </w:endnote>
  <w:endnote w:id="42">
    <w:p w14:paraId="46B360AC" w14:textId="753FC0EA" w:rsidR="00AC24B6" w:rsidRPr="000F6344" w:rsidRDefault="00AC24B6" w:rsidP="00606B63">
      <w:pPr>
        <w:pStyle w:val="Footnote"/>
        <w:rPr>
          <w:color w:val="000000" w:themeColor="text1"/>
          <w:szCs w:val="16"/>
        </w:rPr>
      </w:pPr>
      <w:r w:rsidRPr="000628C0">
        <w:rPr>
          <w:rStyle w:val="EndnoteReference"/>
        </w:rPr>
        <w:endnoteRef/>
      </w:r>
      <w:r w:rsidRPr="00AC24B6">
        <w:t xml:space="preserve"> </w:t>
      </w:r>
      <w:r>
        <w:rPr>
          <w:color w:val="000000" w:themeColor="text1"/>
          <w:szCs w:val="16"/>
        </w:rPr>
        <w:t>“</w:t>
      </w:r>
      <w:r w:rsidRPr="000F6344">
        <w:rPr>
          <w:color w:val="000000" w:themeColor="text1"/>
          <w:szCs w:val="16"/>
        </w:rPr>
        <w:t>Peugeot Signs Rescue Deal with China</w:t>
      </w:r>
      <w:r>
        <w:rPr>
          <w:color w:val="000000" w:themeColor="text1"/>
          <w:szCs w:val="16"/>
        </w:rPr>
        <w:t>’</w:t>
      </w:r>
      <w:r w:rsidRPr="000F6344">
        <w:rPr>
          <w:color w:val="000000" w:themeColor="text1"/>
          <w:szCs w:val="16"/>
        </w:rPr>
        <w:t>s Dongfeng Motor</w:t>
      </w:r>
      <w:r>
        <w:rPr>
          <w:color w:val="000000" w:themeColor="text1"/>
          <w:szCs w:val="16"/>
        </w:rPr>
        <w:t>,”</w:t>
      </w:r>
      <w:r w:rsidRPr="000F6344">
        <w:rPr>
          <w:color w:val="000000" w:themeColor="text1"/>
          <w:szCs w:val="16"/>
        </w:rPr>
        <w:t xml:space="preserve"> BBC News, February 19, 2014, accessed April </w:t>
      </w:r>
      <w:r>
        <w:rPr>
          <w:color w:val="000000" w:themeColor="text1"/>
          <w:szCs w:val="16"/>
        </w:rPr>
        <w:t xml:space="preserve">25, </w:t>
      </w:r>
      <w:r w:rsidRPr="000F6344">
        <w:rPr>
          <w:color w:val="000000" w:themeColor="text1"/>
          <w:szCs w:val="16"/>
        </w:rPr>
        <w:t xml:space="preserve">2017, </w:t>
      </w:r>
      <w:r w:rsidRPr="000628C0">
        <w:t>www.bbc.co.uk/news/business-26243593</w:t>
      </w:r>
      <w:r w:rsidRPr="00606B63">
        <w:t>.</w:t>
      </w:r>
    </w:p>
  </w:endnote>
  <w:endnote w:id="43">
    <w:p w14:paraId="6A9081BF" w14:textId="794D6C19" w:rsidR="00AC24B6" w:rsidRPr="00021E89" w:rsidRDefault="00AC24B6" w:rsidP="00606B63">
      <w:pPr>
        <w:pStyle w:val="Footnote"/>
        <w:rPr>
          <w:szCs w:val="16"/>
        </w:rPr>
      </w:pPr>
      <w:r w:rsidRPr="000628C0">
        <w:rPr>
          <w:rStyle w:val="EndnoteReference"/>
        </w:rPr>
        <w:endnoteRef/>
      </w:r>
      <w:r>
        <w:rPr>
          <w:szCs w:val="16"/>
        </w:rPr>
        <w:t xml:space="preserve"> David Jolly, “After Two Centuries, Peugeot Family Cedes Control,” </w:t>
      </w:r>
      <w:r w:rsidRPr="000628C0">
        <w:rPr>
          <w:i/>
          <w:szCs w:val="16"/>
        </w:rPr>
        <w:t>New York Times,</w:t>
      </w:r>
      <w:r>
        <w:rPr>
          <w:szCs w:val="16"/>
        </w:rPr>
        <w:t xml:space="preserve"> February 19, 2014, accessed February 10, 2017, </w:t>
      </w:r>
      <w:r w:rsidRPr="00021E89">
        <w:rPr>
          <w:szCs w:val="16"/>
        </w:rPr>
        <w:t>www.nytimes.com/2014/02/20/business/chinese-automaker-and-french-government-to-invest-in-peugeot.html</w:t>
      </w:r>
      <w:r>
        <w:rPr>
          <w:szCs w:val="16"/>
        </w:rPr>
        <w:t>.</w:t>
      </w:r>
    </w:p>
  </w:endnote>
  <w:endnote w:id="44">
    <w:p w14:paraId="44CE5F5E" w14:textId="1CF6F8E0"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PTI, “Mahindra Completes 51% Stake Acquisition in Peugeot Motorcycles,” </w:t>
      </w:r>
      <w:r w:rsidRPr="000628C0">
        <w:rPr>
          <w:i/>
          <w:szCs w:val="16"/>
        </w:rPr>
        <w:t>Economic Times,</w:t>
      </w:r>
      <w:r>
        <w:rPr>
          <w:szCs w:val="16"/>
        </w:rPr>
        <w:t xml:space="preserve"> January 21, 2015, accessed February 12, 2017, </w:t>
      </w:r>
      <w:r w:rsidRPr="00021E89">
        <w:rPr>
          <w:szCs w:val="16"/>
        </w:rPr>
        <w:t>http://economictimes.indiatimes.com/industry/auto/news/two-wheelers/motorcycles/mahindra-completes-51-stake-acquisition-in-peugeot-motocycles/articleshow/45956492.cms</w:t>
      </w:r>
      <w:r>
        <w:rPr>
          <w:szCs w:val="16"/>
        </w:rPr>
        <w:t>.</w:t>
      </w:r>
    </w:p>
  </w:endnote>
  <w:endnote w:id="45">
    <w:p w14:paraId="3C2D70F7" w14:textId="58E02724" w:rsidR="00AC24B6" w:rsidRPr="00E8614E" w:rsidRDefault="00AC24B6" w:rsidP="00606B63">
      <w:pPr>
        <w:pStyle w:val="Footnote"/>
        <w:rPr>
          <w:szCs w:val="18"/>
        </w:rPr>
      </w:pPr>
      <w:r w:rsidRPr="000628C0">
        <w:rPr>
          <w:rStyle w:val="EndnoteReference"/>
        </w:rPr>
        <w:endnoteRef/>
      </w:r>
      <w:r w:rsidRPr="00AC24B6">
        <w:t xml:space="preserve"> </w:t>
      </w:r>
      <w:r>
        <w:rPr>
          <w:szCs w:val="16"/>
        </w:rPr>
        <w:t>“</w:t>
      </w:r>
      <w:r w:rsidRPr="00E8614E">
        <w:rPr>
          <w:szCs w:val="18"/>
        </w:rPr>
        <w:t>Fabius: Iran Easier for Renault Than Peugeot</w:t>
      </w:r>
      <w:r>
        <w:rPr>
          <w:szCs w:val="18"/>
        </w:rPr>
        <w:t>,”</w:t>
      </w:r>
      <w:r w:rsidRPr="00E8614E">
        <w:rPr>
          <w:szCs w:val="18"/>
        </w:rPr>
        <w:t xml:space="preserve"> </w:t>
      </w:r>
      <w:r w:rsidRPr="000628C0">
        <w:rPr>
          <w:i/>
          <w:szCs w:val="18"/>
        </w:rPr>
        <w:t>Financial Tribune,</w:t>
      </w:r>
      <w:r w:rsidRPr="00E8614E">
        <w:rPr>
          <w:szCs w:val="18"/>
        </w:rPr>
        <w:t xml:space="preserve"> August 2, 2015, accessed </w:t>
      </w:r>
      <w:r>
        <w:rPr>
          <w:szCs w:val="18"/>
        </w:rPr>
        <w:t>February 15,</w:t>
      </w:r>
      <w:r w:rsidRPr="00E8614E">
        <w:rPr>
          <w:szCs w:val="18"/>
        </w:rPr>
        <w:t xml:space="preserve"> 2017, https://financialtribune.com/articles/auto/22422/fabius-iran-easier-for-renault-than-peugeot.</w:t>
      </w:r>
    </w:p>
  </w:endnote>
  <w:endnote w:id="46">
    <w:p w14:paraId="36538913" w14:textId="48922FBC" w:rsidR="00AC24B6" w:rsidRPr="00E8614E" w:rsidRDefault="00AC24B6" w:rsidP="00606B63">
      <w:pPr>
        <w:pStyle w:val="Footnote"/>
        <w:rPr>
          <w:szCs w:val="18"/>
        </w:rPr>
      </w:pPr>
      <w:r w:rsidRPr="000628C0">
        <w:rPr>
          <w:rStyle w:val="EndnoteReference"/>
        </w:rPr>
        <w:endnoteRef/>
      </w:r>
      <w:r>
        <w:rPr>
          <w:szCs w:val="18"/>
        </w:rPr>
        <w:t xml:space="preserve"> </w:t>
      </w:r>
      <w:r w:rsidRPr="00E8614E">
        <w:rPr>
          <w:szCs w:val="18"/>
        </w:rPr>
        <w:t>Luca Ciferri</w:t>
      </w:r>
      <w:r>
        <w:rPr>
          <w:szCs w:val="18"/>
        </w:rPr>
        <w:t xml:space="preserve">, “Why PSA Chief Tavares Is Betting Big on DS’ Long-Term Success,” Automotive News Europe, May 16, 2015, accessed March 15, 2017, </w:t>
      </w:r>
      <w:r w:rsidRPr="00E8614E">
        <w:rPr>
          <w:szCs w:val="18"/>
        </w:rPr>
        <w:t>http://europe.autonews.com/article/20150516/ANE/150519991/why-psa-chief-tavares-is-betting-big-on-ds-long-term-success</w:t>
      </w:r>
      <w:r>
        <w:rPr>
          <w:szCs w:val="18"/>
        </w:rPr>
        <w:t>.</w:t>
      </w:r>
    </w:p>
  </w:endnote>
  <w:endnote w:id="47">
    <w:p w14:paraId="3DBE7379" w14:textId="2A38F12C" w:rsidR="00AC24B6" w:rsidRPr="00021E89" w:rsidRDefault="00AC24B6" w:rsidP="00606B63">
      <w:pPr>
        <w:pStyle w:val="Footnote"/>
        <w:rPr>
          <w:szCs w:val="16"/>
        </w:rPr>
      </w:pPr>
      <w:r w:rsidRPr="000628C0">
        <w:rPr>
          <w:rStyle w:val="EndnoteReference"/>
        </w:rPr>
        <w:endnoteRef/>
      </w:r>
      <w:r w:rsidRPr="00AC24B6">
        <w:t xml:space="preserve"> </w:t>
      </w:r>
      <w:r>
        <w:rPr>
          <w:szCs w:val="18"/>
        </w:rPr>
        <w:t xml:space="preserve">Mike Duff, “Deflated: Peugeot Citroën Shelves Its Air Hybrid Technology,” </w:t>
      </w:r>
      <w:r w:rsidRPr="000628C0">
        <w:rPr>
          <w:i/>
          <w:szCs w:val="18"/>
        </w:rPr>
        <w:t>Car and Driver Magazine,</w:t>
      </w:r>
      <w:r>
        <w:rPr>
          <w:szCs w:val="18"/>
        </w:rPr>
        <w:t xml:space="preserve"> January 26, 2015, accessed April 10, 2017,</w:t>
      </w:r>
      <w:r w:rsidRPr="00E8614E">
        <w:rPr>
          <w:szCs w:val="18"/>
        </w:rPr>
        <w:t xml:space="preserve"> </w:t>
      </w:r>
      <w:r w:rsidRPr="00A67AF2">
        <w:rPr>
          <w:szCs w:val="18"/>
        </w:rPr>
        <w:t>http://</w:t>
      </w:r>
      <w:r w:rsidRPr="00A67AF2">
        <w:rPr>
          <w:szCs w:val="16"/>
        </w:rPr>
        <w:t>blog.caranddriver.com/deflated-peugeot-Citroën-shelves-its-air-hybrid-technology.</w:t>
      </w:r>
    </w:p>
  </w:endnote>
  <w:endnote w:id="48">
    <w:p w14:paraId="4E60AD11" w14:textId="0AC756B5"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Paramita Chatterjee, “French Car Maker PSA Group Re-Enters India, Sets Up JV With CK Birla Group,” Forbes India, January 25, 2017, accessed March 7, 2017, </w:t>
      </w:r>
      <w:r w:rsidRPr="00021E89">
        <w:rPr>
          <w:szCs w:val="16"/>
        </w:rPr>
        <w:t>www.forbesindia.com/article/special/french-car-maker-psa-group-reenters-india-sets-up-jv-with-ck-birla-group/45573/1</w:t>
      </w:r>
      <w:r>
        <w:rPr>
          <w:szCs w:val="16"/>
        </w:rPr>
        <w:t>.</w:t>
      </w:r>
    </w:p>
  </w:endnote>
  <w:endnote w:id="49">
    <w:p w14:paraId="6DDC4349" w14:textId="1FE167D1"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PTI, “Hindustan Motors Sells Ambassador to Peugeot For Rs 80 Crore,” </w:t>
      </w:r>
      <w:r w:rsidRPr="000628C0">
        <w:rPr>
          <w:i/>
          <w:szCs w:val="16"/>
        </w:rPr>
        <w:t>Hindustan Times,</w:t>
      </w:r>
      <w:r>
        <w:rPr>
          <w:szCs w:val="16"/>
        </w:rPr>
        <w:t xml:space="preserve"> February 11, 2017, accessed March 7, 2017, </w:t>
      </w:r>
      <w:r w:rsidRPr="00021E89">
        <w:rPr>
          <w:szCs w:val="16"/>
        </w:rPr>
        <w:t>www.hindustantimes.com/autos/iconic-car-brand-ambassador-sold-to-peugeot-for-rs-80-crore/story-MAVBJBryElYhWzCf0FqNPN.html</w:t>
      </w:r>
      <w:r>
        <w:rPr>
          <w:szCs w:val="16"/>
        </w:rPr>
        <w:t>.</w:t>
      </w:r>
    </w:p>
  </w:endnote>
  <w:endnote w:id="50">
    <w:p w14:paraId="360E26C1" w14:textId="22EB1C63" w:rsidR="00AC24B6" w:rsidRPr="000F6344" w:rsidRDefault="00AC24B6" w:rsidP="00606B63">
      <w:pPr>
        <w:pStyle w:val="Footnote"/>
        <w:rPr>
          <w:color w:val="000000" w:themeColor="text1"/>
          <w:szCs w:val="16"/>
        </w:rPr>
      </w:pPr>
      <w:r w:rsidRPr="000628C0">
        <w:rPr>
          <w:rStyle w:val="EndnoteReference"/>
        </w:rPr>
        <w:endnoteRef/>
      </w:r>
      <w:r>
        <w:rPr>
          <w:color w:val="000000" w:themeColor="text1"/>
          <w:szCs w:val="16"/>
        </w:rPr>
        <w:t xml:space="preserve"> </w:t>
      </w:r>
      <w:r w:rsidRPr="000F6344">
        <w:rPr>
          <w:color w:val="000000" w:themeColor="text1"/>
          <w:szCs w:val="16"/>
        </w:rPr>
        <w:t xml:space="preserve">Luca Ciferri, </w:t>
      </w:r>
      <w:r>
        <w:rPr>
          <w:color w:val="000000" w:themeColor="text1"/>
          <w:szCs w:val="16"/>
        </w:rPr>
        <w:t>“</w:t>
      </w:r>
      <w:r w:rsidRPr="000F6344">
        <w:rPr>
          <w:color w:val="000000" w:themeColor="text1"/>
          <w:szCs w:val="16"/>
        </w:rPr>
        <w:t>How PSA Plans to Become Industry</w:t>
      </w:r>
      <w:r>
        <w:rPr>
          <w:color w:val="000000" w:themeColor="text1"/>
          <w:szCs w:val="16"/>
        </w:rPr>
        <w:t>’</w:t>
      </w:r>
      <w:r w:rsidRPr="000F6344">
        <w:rPr>
          <w:color w:val="000000" w:themeColor="text1"/>
          <w:szCs w:val="16"/>
        </w:rPr>
        <w:t xml:space="preserve">s </w:t>
      </w:r>
      <w:r>
        <w:rPr>
          <w:color w:val="000000" w:themeColor="text1"/>
          <w:szCs w:val="16"/>
        </w:rPr>
        <w:t>‘</w:t>
      </w:r>
      <w:r w:rsidRPr="000F6344">
        <w:rPr>
          <w:color w:val="000000" w:themeColor="text1"/>
          <w:szCs w:val="16"/>
        </w:rPr>
        <w:t>Most Efficient</w:t>
      </w:r>
      <w:r>
        <w:rPr>
          <w:color w:val="000000" w:themeColor="text1"/>
          <w:szCs w:val="16"/>
        </w:rPr>
        <w:t>’</w:t>
      </w:r>
      <w:r w:rsidRPr="000F6344">
        <w:rPr>
          <w:color w:val="000000" w:themeColor="text1"/>
          <w:szCs w:val="16"/>
        </w:rPr>
        <w:t xml:space="preserve"> Carmaker</w:t>
      </w:r>
      <w:r>
        <w:rPr>
          <w:color w:val="000000" w:themeColor="text1"/>
          <w:szCs w:val="16"/>
        </w:rPr>
        <w:t>,”</w:t>
      </w:r>
      <w:r w:rsidRPr="000F6344">
        <w:rPr>
          <w:color w:val="000000" w:themeColor="text1"/>
          <w:szCs w:val="16"/>
        </w:rPr>
        <w:t xml:space="preserve"> Automotive News Europe, May 1, 2016, accessed </w:t>
      </w:r>
      <w:r>
        <w:rPr>
          <w:color w:val="000000" w:themeColor="text1"/>
          <w:szCs w:val="16"/>
        </w:rPr>
        <w:t>March 12,</w:t>
      </w:r>
      <w:r w:rsidRPr="000F6344">
        <w:rPr>
          <w:color w:val="000000" w:themeColor="text1"/>
          <w:szCs w:val="16"/>
        </w:rPr>
        <w:t xml:space="preserve"> 2017, http://europe.autonews.com/article/20160501/ANE/160429911/how-psa-plans-to-become-industrys-most-efficient-carmaker. </w:t>
      </w:r>
    </w:p>
  </w:endnote>
  <w:endnote w:id="51">
    <w:p w14:paraId="57F18EDB" w14:textId="72363C4D" w:rsidR="00AC24B6" w:rsidRPr="000F6344" w:rsidRDefault="00AC24B6" w:rsidP="00606B63">
      <w:pPr>
        <w:pStyle w:val="Footnote"/>
        <w:rPr>
          <w:color w:val="000000" w:themeColor="text1"/>
          <w:szCs w:val="16"/>
        </w:rPr>
      </w:pPr>
      <w:r w:rsidRPr="000628C0">
        <w:rPr>
          <w:rStyle w:val="EndnoteReference"/>
        </w:rPr>
        <w:endnoteRef/>
      </w:r>
      <w:r>
        <w:rPr>
          <w:color w:val="000000" w:themeColor="text1"/>
          <w:szCs w:val="16"/>
        </w:rPr>
        <w:t xml:space="preserve"> </w:t>
      </w:r>
      <w:r w:rsidRPr="000F6344">
        <w:rPr>
          <w:color w:val="000000" w:themeColor="text1"/>
          <w:szCs w:val="16"/>
        </w:rPr>
        <w:t xml:space="preserve">Andrew Charman, </w:t>
      </w:r>
      <w:r>
        <w:rPr>
          <w:color w:val="000000" w:themeColor="text1"/>
          <w:szCs w:val="16"/>
        </w:rPr>
        <w:t>“</w:t>
      </w:r>
      <w:r w:rsidRPr="000F6344">
        <w:rPr>
          <w:color w:val="000000" w:themeColor="text1"/>
          <w:szCs w:val="16"/>
        </w:rPr>
        <w:t xml:space="preserve">Model Blitz to Push Peugeot </w:t>
      </w:r>
      <w:r>
        <w:rPr>
          <w:color w:val="000000" w:themeColor="text1"/>
          <w:szCs w:val="16"/>
        </w:rPr>
        <w:t>Citroën</w:t>
      </w:r>
      <w:r w:rsidRPr="000F6344">
        <w:rPr>
          <w:color w:val="000000" w:themeColor="text1"/>
          <w:szCs w:val="16"/>
        </w:rPr>
        <w:t xml:space="preserve"> Growth</w:t>
      </w:r>
      <w:r>
        <w:rPr>
          <w:color w:val="000000" w:themeColor="text1"/>
          <w:szCs w:val="16"/>
        </w:rPr>
        <w:t>,”</w:t>
      </w:r>
      <w:r w:rsidRPr="000F6344">
        <w:rPr>
          <w:color w:val="000000" w:themeColor="text1"/>
          <w:szCs w:val="16"/>
        </w:rPr>
        <w:t xml:space="preserve"> April 6, 2016, accessed April</w:t>
      </w:r>
      <w:r>
        <w:rPr>
          <w:color w:val="000000" w:themeColor="text1"/>
          <w:szCs w:val="16"/>
        </w:rPr>
        <w:t xml:space="preserve"> 11,</w:t>
      </w:r>
      <w:r w:rsidRPr="000F6344">
        <w:rPr>
          <w:color w:val="000000" w:themeColor="text1"/>
          <w:szCs w:val="16"/>
        </w:rPr>
        <w:t xml:space="preserve"> 2017, </w:t>
      </w:r>
      <w:r w:rsidRPr="00A67AF2">
        <w:t>www.thecarexpert.co.uk/model-blitz-to-push-peugeot-Citroën-growth/.</w:t>
      </w:r>
    </w:p>
  </w:endnote>
  <w:endnote w:id="52">
    <w:p w14:paraId="6902521B" w14:textId="29F114D2" w:rsidR="00AC24B6" w:rsidRPr="000F6344" w:rsidRDefault="00AC24B6" w:rsidP="00606B63">
      <w:pPr>
        <w:pStyle w:val="Footnote"/>
        <w:rPr>
          <w:color w:val="000000" w:themeColor="text1"/>
          <w:szCs w:val="16"/>
        </w:rPr>
      </w:pPr>
      <w:r w:rsidRPr="000628C0">
        <w:rPr>
          <w:rStyle w:val="EndnoteReference"/>
        </w:rPr>
        <w:endnoteRef/>
      </w:r>
      <w:r w:rsidRPr="00AC24B6">
        <w:t xml:space="preserve"> </w:t>
      </w:r>
      <w:r>
        <w:rPr>
          <w:color w:val="000000" w:themeColor="text1"/>
          <w:szCs w:val="16"/>
        </w:rPr>
        <w:t>“</w:t>
      </w:r>
      <w:r w:rsidRPr="000F6344">
        <w:rPr>
          <w:color w:val="000000" w:themeColor="text1"/>
          <w:szCs w:val="16"/>
        </w:rPr>
        <w:t xml:space="preserve">PSA Group Acquires </w:t>
      </w:r>
      <w:r>
        <w:rPr>
          <w:color w:val="000000" w:themeColor="text1"/>
          <w:szCs w:val="16"/>
        </w:rPr>
        <w:t>A</w:t>
      </w:r>
      <w:r w:rsidRPr="000F6344">
        <w:rPr>
          <w:color w:val="000000" w:themeColor="text1"/>
          <w:szCs w:val="16"/>
        </w:rPr>
        <w:t>n Interest in TravelerCar, a Start-Up Offering New Parking and Car Rental Solutions</w:t>
      </w:r>
      <w:r>
        <w:rPr>
          <w:color w:val="000000" w:themeColor="text1"/>
          <w:szCs w:val="16"/>
        </w:rPr>
        <w:t>,”</w:t>
      </w:r>
      <w:r w:rsidRPr="000F6344">
        <w:rPr>
          <w:color w:val="000000" w:themeColor="text1"/>
          <w:szCs w:val="16"/>
        </w:rPr>
        <w:t xml:space="preserve"> Business Wire, June 30, 2016, accessed April </w:t>
      </w:r>
      <w:r>
        <w:rPr>
          <w:color w:val="000000" w:themeColor="text1"/>
          <w:szCs w:val="16"/>
        </w:rPr>
        <w:t xml:space="preserve">11, </w:t>
      </w:r>
      <w:r w:rsidRPr="000F6344">
        <w:rPr>
          <w:color w:val="000000" w:themeColor="text1"/>
          <w:szCs w:val="16"/>
        </w:rPr>
        <w:t xml:space="preserve">2017, </w:t>
      </w:r>
      <w:r w:rsidRPr="00346DB2">
        <w:rPr>
          <w:szCs w:val="16"/>
        </w:rPr>
        <w:t>www.businesswire.com/news/home/20160629006620/en/PSA-Group-Acquires-Interest-TravelerCar-Start-up-Offering</w:t>
      </w:r>
      <w:r w:rsidRPr="00086E74">
        <w:rPr>
          <w:rStyle w:val="Hyperlink"/>
          <w:rFonts w:ascii="Times" w:hAnsi="Times"/>
          <w:color w:val="000000" w:themeColor="text1"/>
          <w:u w:val="none"/>
        </w:rPr>
        <w:t>.</w:t>
      </w:r>
    </w:p>
  </w:endnote>
  <w:endnote w:id="53">
    <w:p w14:paraId="1914BAE4" w14:textId="6330AF7F" w:rsidR="00AC24B6" w:rsidRPr="00021E89" w:rsidRDefault="00AC24B6" w:rsidP="00606B63">
      <w:pPr>
        <w:pStyle w:val="Footnote"/>
        <w:rPr>
          <w:szCs w:val="16"/>
        </w:rPr>
      </w:pPr>
      <w:r w:rsidRPr="000628C0">
        <w:rPr>
          <w:rStyle w:val="EndnoteReference"/>
        </w:rPr>
        <w:endnoteRef/>
      </w:r>
      <w:r>
        <w:rPr>
          <w:szCs w:val="16"/>
        </w:rPr>
        <w:t xml:space="preserve"> Laurence Frost, “Peugeot Citroën Says May Build Cars in India with GM,” Reuters, April 24, 2012, accessed March 7, 2017,</w:t>
      </w:r>
      <w:r w:rsidRPr="00021E89">
        <w:rPr>
          <w:szCs w:val="16"/>
        </w:rPr>
        <w:t xml:space="preserve"> http://in.reuters.com/article/gm-peugeot-india-idINDEE83N05F20120424</w:t>
      </w:r>
      <w:r>
        <w:rPr>
          <w:szCs w:val="16"/>
        </w:rPr>
        <w:t>.</w:t>
      </w:r>
    </w:p>
  </w:endnote>
  <w:endnote w:id="54">
    <w:p w14:paraId="4B527194" w14:textId="314D30F1" w:rsidR="00AC24B6" w:rsidRPr="00021E89" w:rsidRDefault="00AC24B6" w:rsidP="00606B63">
      <w:pPr>
        <w:pStyle w:val="Footnote"/>
        <w:rPr>
          <w:szCs w:val="16"/>
        </w:rPr>
      </w:pPr>
      <w:r w:rsidRPr="000628C0">
        <w:rPr>
          <w:rStyle w:val="EndnoteReference"/>
        </w:rPr>
        <w:endnoteRef/>
      </w:r>
      <w:r>
        <w:rPr>
          <w:szCs w:val="16"/>
        </w:rPr>
        <w:t xml:space="preserve"> “Peugeot Looking for Second Time Lucky,” Business World Online, October 31, 2012, accessed March 10, 2017, </w:t>
      </w:r>
      <w:r w:rsidRPr="00021E89">
        <w:rPr>
          <w:szCs w:val="16"/>
        </w:rPr>
        <w:t>www.bworldonline.com/content.php?section=Motoring&amp;title=peugeot-looking-for-second-time-lucky&amp;id=60810</w:t>
      </w:r>
      <w:r>
        <w:rPr>
          <w:szCs w:val="16"/>
        </w:rPr>
        <w:t>.</w:t>
      </w:r>
    </w:p>
  </w:endnote>
  <w:endnote w:id="55">
    <w:p w14:paraId="34DC0FCF" w14:textId="4F6BE6F3" w:rsidR="00AC24B6" w:rsidRPr="007A7BA8" w:rsidRDefault="00AC24B6" w:rsidP="00606B63">
      <w:pPr>
        <w:pStyle w:val="Footnote"/>
        <w:rPr>
          <w:szCs w:val="16"/>
        </w:rPr>
      </w:pPr>
      <w:r w:rsidRPr="000628C0">
        <w:rPr>
          <w:rStyle w:val="EndnoteReference"/>
        </w:rPr>
        <w:endnoteRef/>
      </w:r>
      <w:r w:rsidRPr="00AC24B6">
        <w:t xml:space="preserve"> </w:t>
      </w:r>
      <w:r>
        <w:rPr>
          <w:szCs w:val="16"/>
        </w:rPr>
        <w:t xml:space="preserve">“PSA Peugeot Citroën's Revenue of FY 2015, by Region (in Million Euros),” Statista, December 2015, accessed May 2, 2017, </w:t>
      </w:r>
      <w:r w:rsidRPr="007A7BA8">
        <w:rPr>
          <w:rFonts w:cs="Times New Roman"/>
          <w:szCs w:val="16"/>
        </w:rPr>
        <w:t>www.statista.com/statistics/278336/revenue-of-psa-peugeot-Citroën-by-region</w:t>
      </w:r>
      <w:r>
        <w:rPr>
          <w:rFonts w:cs="Times New Roman"/>
          <w:szCs w:val="16"/>
        </w:rPr>
        <w:t>.</w:t>
      </w:r>
    </w:p>
  </w:endnote>
  <w:endnote w:id="56">
    <w:p w14:paraId="0DB1B0AA" w14:textId="7987E0A6" w:rsidR="00AC24B6" w:rsidRPr="00021E89" w:rsidRDefault="00AC24B6" w:rsidP="00411C93">
      <w:pPr>
        <w:pStyle w:val="Footnote"/>
        <w:rPr>
          <w:szCs w:val="16"/>
        </w:rPr>
      </w:pPr>
      <w:r w:rsidRPr="000628C0">
        <w:rPr>
          <w:rStyle w:val="EndnoteReference"/>
        </w:rPr>
        <w:endnoteRef/>
      </w:r>
      <w:r>
        <w:rPr>
          <w:szCs w:val="16"/>
        </w:rPr>
        <w:t xml:space="preserve"> Henk Bekker, “2016 (Full Year) France: Best-Selling Car Manufacturers and Brands,” Car Sales Statistics, January 2, 2017, accessed April 10, 2017, </w:t>
      </w:r>
      <w:r w:rsidRPr="00CF2771">
        <w:rPr>
          <w:szCs w:val="16"/>
        </w:rPr>
        <w:t>www.best-selling-cars.com/france/2016-full-year-france-best-selling-car-manufacturers-brands</w:t>
      </w:r>
      <w:r>
        <w:rPr>
          <w:szCs w:val="16"/>
        </w:rPr>
        <w:t>.</w:t>
      </w:r>
    </w:p>
  </w:endnote>
  <w:endnote w:id="57">
    <w:p w14:paraId="26E1B093" w14:textId="58938063" w:rsidR="00AC24B6" w:rsidRPr="00021E89" w:rsidRDefault="00AC24B6" w:rsidP="00606B63">
      <w:pPr>
        <w:pStyle w:val="Footnote"/>
        <w:rPr>
          <w:szCs w:val="16"/>
        </w:rPr>
      </w:pPr>
      <w:r w:rsidRPr="000628C0">
        <w:rPr>
          <w:rStyle w:val="EndnoteReference"/>
        </w:rPr>
        <w:endnoteRef/>
      </w:r>
      <w:r w:rsidRPr="000628C0">
        <w:rPr>
          <w:rStyle w:val="EndnoteReference"/>
        </w:rPr>
        <w:t xml:space="preserve"> </w:t>
      </w:r>
      <w:r>
        <w:rPr>
          <w:szCs w:val="16"/>
        </w:rPr>
        <w:t xml:space="preserve">Beverly R. Kimes, </w:t>
      </w:r>
      <w:r w:rsidRPr="000628C0">
        <w:rPr>
          <w:i/>
          <w:szCs w:val="16"/>
        </w:rPr>
        <w:t>The Star and the Laurel: The Centennial History of Daimler, Mercedes, and Benz, 1886–1986</w:t>
      </w:r>
      <w:r>
        <w:rPr>
          <w:i/>
          <w:szCs w:val="16"/>
        </w:rPr>
        <w:t xml:space="preserve"> </w:t>
      </w:r>
      <w:r>
        <w:rPr>
          <w:szCs w:val="16"/>
        </w:rPr>
        <w:t>(Mercedes Benz of North America, June 1985)</w:t>
      </w:r>
      <w:r w:rsidRPr="00A67AF2">
        <w:rPr>
          <w:szCs w:val="16"/>
        </w:rPr>
        <w:t>.</w:t>
      </w:r>
    </w:p>
  </w:endnote>
  <w:endnote w:id="58">
    <w:p w14:paraId="3B3FADBA" w14:textId="10C7605C" w:rsidR="00AC24B6" w:rsidRPr="00021E89" w:rsidRDefault="00AC24B6" w:rsidP="00606B63">
      <w:pPr>
        <w:pStyle w:val="Footnote"/>
        <w:rPr>
          <w:szCs w:val="16"/>
        </w:rPr>
      </w:pPr>
      <w:r w:rsidRPr="000628C0">
        <w:rPr>
          <w:rStyle w:val="EndnoteReference"/>
        </w:rPr>
        <w:endnoteRef/>
      </w:r>
      <w:r w:rsidRPr="00021E89">
        <w:rPr>
          <w:szCs w:val="16"/>
        </w:rPr>
        <w:t xml:space="preserve"> </w:t>
      </w:r>
      <w:r>
        <w:rPr>
          <w:szCs w:val="16"/>
        </w:rPr>
        <w:t xml:space="preserve">Jean-Loup Archawski and Francis W. Wolek, “The Long Farewell: Peugeot’s Departure from the U.S. Market,” </w:t>
      </w:r>
      <w:r w:rsidRPr="000628C0">
        <w:rPr>
          <w:i/>
          <w:szCs w:val="16"/>
        </w:rPr>
        <w:t>Business Horizons</w:t>
      </w:r>
      <w:r>
        <w:rPr>
          <w:szCs w:val="16"/>
        </w:rPr>
        <w:t xml:space="preserve"> 38, no. 3 (May–June 1995): 39–46.</w:t>
      </w:r>
    </w:p>
  </w:endnote>
  <w:endnote w:id="59">
    <w:p w14:paraId="14F88680" w14:textId="77777777" w:rsidR="00AC24B6" w:rsidRPr="00021E89" w:rsidRDefault="00AC24B6" w:rsidP="00606B63">
      <w:pPr>
        <w:pStyle w:val="Footnote"/>
        <w:rPr>
          <w:szCs w:val="16"/>
        </w:rPr>
      </w:pPr>
      <w:r w:rsidRPr="000628C0">
        <w:rPr>
          <w:rStyle w:val="EndnoteReference"/>
        </w:rPr>
        <w:endnoteRef/>
      </w:r>
      <w:r w:rsidRPr="00021E89">
        <w:rPr>
          <w:szCs w:val="16"/>
        </w:rPr>
        <w:t xml:space="preserve"> Ibid</w:t>
      </w:r>
      <w:r>
        <w:rPr>
          <w:szCs w:val="16"/>
        </w:rPr>
        <w:t>.</w:t>
      </w:r>
    </w:p>
  </w:endnote>
  <w:endnote w:id="60">
    <w:p w14:paraId="1D4C8C62" w14:textId="5F3219DA" w:rsidR="00AC24B6" w:rsidRPr="00021E89" w:rsidRDefault="00AC24B6" w:rsidP="00606B63">
      <w:pPr>
        <w:pStyle w:val="Footnote"/>
        <w:rPr>
          <w:szCs w:val="16"/>
        </w:rPr>
      </w:pPr>
      <w:r w:rsidRPr="000628C0">
        <w:rPr>
          <w:rStyle w:val="EndnoteReference"/>
        </w:rPr>
        <w:endnoteRef/>
      </w:r>
      <w:r>
        <w:rPr>
          <w:szCs w:val="16"/>
        </w:rPr>
        <w:t xml:space="preserve"> Alex Taylor III and Stephen J. Madden, “Who’s Ahead in the World Auto War: Ford Is Up, GM Is Down, Honda Is Charging and—What’s This?—Peugeot Is Coming from Nowhere,” </w:t>
      </w:r>
      <w:r w:rsidRPr="000628C0">
        <w:rPr>
          <w:i/>
          <w:szCs w:val="16"/>
        </w:rPr>
        <w:t>Fortune</w:t>
      </w:r>
      <w:r>
        <w:rPr>
          <w:szCs w:val="16"/>
        </w:rPr>
        <w:t xml:space="preserve"> Archive, November 9, 1987, accessed March, 20, 2017,</w:t>
      </w:r>
      <w:r w:rsidRPr="00021E89">
        <w:rPr>
          <w:szCs w:val="16"/>
        </w:rPr>
        <w:t xml:space="preserve"> http://archive.fortune.com/magazines/fortune/fortune_archive/1987/11/09/69818/index.htm</w:t>
      </w:r>
      <w:r>
        <w:rPr>
          <w:szCs w:val="16"/>
        </w:rPr>
        <w:t>.</w:t>
      </w:r>
    </w:p>
  </w:endnote>
  <w:endnote w:id="61">
    <w:p w14:paraId="1CB241B4" w14:textId="2DB1453C" w:rsidR="00AC24B6" w:rsidRPr="002A0A9A" w:rsidRDefault="00AC24B6" w:rsidP="00606B63">
      <w:pPr>
        <w:pStyle w:val="Footnote"/>
        <w:rPr>
          <w:szCs w:val="16"/>
        </w:rPr>
      </w:pPr>
      <w:r w:rsidRPr="000628C0">
        <w:rPr>
          <w:rStyle w:val="EndnoteReference"/>
        </w:rPr>
        <w:endnoteRef/>
      </w:r>
      <w:r w:rsidRPr="00AC24B6">
        <w:t xml:space="preserve"> </w:t>
      </w:r>
      <w:r w:rsidRPr="002A0A9A">
        <w:rPr>
          <w:szCs w:val="16"/>
        </w:rPr>
        <w:t xml:space="preserve">Neal E. Boudette, </w:t>
      </w:r>
      <w:r>
        <w:rPr>
          <w:szCs w:val="16"/>
        </w:rPr>
        <w:t>“</w:t>
      </w:r>
      <w:r w:rsidRPr="002A0A9A">
        <w:rPr>
          <w:szCs w:val="16"/>
        </w:rPr>
        <w:t>Peugeot Searches for a Route Back to the U.S. Auto Market</w:t>
      </w:r>
      <w:r>
        <w:rPr>
          <w:szCs w:val="16"/>
        </w:rPr>
        <w:t xml:space="preserve">,” </w:t>
      </w:r>
      <w:r w:rsidRPr="000628C0">
        <w:rPr>
          <w:i/>
          <w:szCs w:val="16"/>
        </w:rPr>
        <w:t>Wall Street Journal,</w:t>
      </w:r>
      <w:r w:rsidRPr="002A0A9A">
        <w:rPr>
          <w:szCs w:val="16"/>
        </w:rPr>
        <w:t xml:space="preserve"> February 5, 2003, accessed March 15, 2017, www.wsj.com/news/articles/SB1044394357708764613.</w:t>
      </w:r>
    </w:p>
  </w:endnote>
  <w:endnote w:id="62">
    <w:p w14:paraId="7D8F4F68" w14:textId="6EEC0B86" w:rsidR="00AC24B6" w:rsidRPr="00021E89" w:rsidRDefault="00AC24B6" w:rsidP="00606B63">
      <w:pPr>
        <w:pStyle w:val="Footnote"/>
        <w:rPr>
          <w:szCs w:val="16"/>
        </w:rPr>
      </w:pPr>
      <w:r w:rsidRPr="000628C0">
        <w:rPr>
          <w:rStyle w:val="EndnoteReference"/>
        </w:rPr>
        <w:endnoteRef/>
      </w:r>
      <w:r w:rsidRPr="00AC24B6">
        <w:t xml:space="preserve"> </w:t>
      </w:r>
      <w:r w:rsidRPr="002A0A9A">
        <w:rPr>
          <w:szCs w:val="16"/>
        </w:rPr>
        <w:t xml:space="preserve">Luca Ciferri and Bruce Gain, </w:t>
      </w:r>
      <w:r>
        <w:rPr>
          <w:szCs w:val="16"/>
        </w:rPr>
        <w:t>“</w:t>
      </w:r>
      <w:r w:rsidRPr="002A0A9A">
        <w:rPr>
          <w:szCs w:val="16"/>
        </w:rPr>
        <w:t>PSA Plots U.S. Re-Entry with DS Brand</w:t>
      </w:r>
      <w:r>
        <w:rPr>
          <w:szCs w:val="16"/>
        </w:rPr>
        <w:t xml:space="preserve">,” Automotive News Europe, October 4, 2014, accessed December 10, 2017, </w:t>
      </w:r>
      <w:r w:rsidRPr="00F65BC0">
        <w:rPr>
          <w:szCs w:val="16"/>
        </w:rPr>
        <w:t>http://europe.autonews.com/article/20141004/COPY/310049994/psa-plots-u.s.-re-entry-with-ds-brand</w:t>
      </w:r>
      <w:r>
        <w:rPr>
          <w:szCs w:val="16"/>
        </w:rPr>
        <w:t>.</w:t>
      </w:r>
    </w:p>
  </w:endnote>
  <w:endnote w:id="63">
    <w:p w14:paraId="7DE651BF" w14:textId="699A7858" w:rsidR="00AC24B6" w:rsidRPr="00AD5F3F" w:rsidRDefault="00AC24B6" w:rsidP="00606B63">
      <w:pPr>
        <w:pStyle w:val="Footnote"/>
        <w:rPr>
          <w:rFonts w:cs="Times New Roman"/>
          <w:color w:val="000000" w:themeColor="text1"/>
          <w:szCs w:val="16"/>
        </w:rPr>
      </w:pPr>
      <w:r w:rsidRPr="000628C0">
        <w:rPr>
          <w:rStyle w:val="EndnoteReference"/>
        </w:rPr>
        <w:endnoteRef/>
      </w:r>
      <w:r w:rsidRPr="00AC24B6">
        <w:t xml:space="preserve"> </w:t>
      </w:r>
      <w:r w:rsidRPr="00AD5F3F">
        <w:rPr>
          <w:rFonts w:cs="Times New Roman"/>
          <w:color w:val="000000" w:themeColor="text1"/>
          <w:szCs w:val="16"/>
        </w:rPr>
        <w:t xml:space="preserve">Ania Nussbaum, </w:t>
      </w:r>
      <w:r>
        <w:rPr>
          <w:rFonts w:cs="Times New Roman"/>
          <w:color w:val="000000" w:themeColor="text1"/>
          <w:szCs w:val="16"/>
        </w:rPr>
        <w:t>“</w:t>
      </w:r>
      <w:r w:rsidRPr="00AD5F3F">
        <w:rPr>
          <w:rFonts w:cs="Times New Roman"/>
          <w:color w:val="000000" w:themeColor="text1"/>
          <w:szCs w:val="16"/>
        </w:rPr>
        <w:t xml:space="preserve">Peugeot Plots U.S. Comeback </w:t>
      </w:r>
      <w:r>
        <w:rPr>
          <w:rFonts w:cs="Times New Roman"/>
          <w:color w:val="000000" w:themeColor="text1"/>
          <w:szCs w:val="16"/>
        </w:rPr>
        <w:t>a</w:t>
      </w:r>
      <w:r w:rsidRPr="00AD5F3F">
        <w:rPr>
          <w:rFonts w:cs="Times New Roman"/>
          <w:color w:val="000000" w:themeColor="text1"/>
          <w:szCs w:val="16"/>
        </w:rPr>
        <w:t>s French Uber in Growth Push</w:t>
      </w:r>
      <w:r>
        <w:rPr>
          <w:rFonts w:cs="Times New Roman"/>
          <w:color w:val="000000" w:themeColor="text1"/>
          <w:szCs w:val="16"/>
        </w:rPr>
        <w:t>,”</w:t>
      </w:r>
      <w:r w:rsidRPr="00AD5F3F">
        <w:rPr>
          <w:rFonts w:cs="Times New Roman"/>
          <w:color w:val="000000" w:themeColor="text1"/>
          <w:szCs w:val="16"/>
        </w:rPr>
        <w:t xml:space="preserve"> Bloomberg, April 6, 2016, accessed April</w:t>
      </w:r>
      <w:r>
        <w:rPr>
          <w:rFonts w:cs="Times New Roman"/>
          <w:color w:val="000000" w:themeColor="text1"/>
          <w:szCs w:val="16"/>
        </w:rPr>
        <w:t xml:space="preserve"> </w:t>
      </w:r>
      <w:r w:rsidRPr="00AD5F3F">
        <w:rPr>
          <w:rFonts w:cs="Times New Roman"/>
          <w:color w:val="000000" w:themeColor="text1"/>
          <w:szCs w:val="16"/>
        </w:rPr>
        <w:t>15, 2017,</w:t>
      </w:r>
      <w:r>
        <w:rPr>
          <w:rFonts w:cs="Times New Roman"/>
          <w:color w:val="000000" w:themeColor="text1"/>
          <w:szCs w:val="16"/>
        </w:rPr>
        <w:t xml:space="preserve">” </w:t>
      </w:r>
      <w:r w:rsidRPr="00A67AF2">
        <w:t>www.bloomberg.com/news/articles/2016-04-05/peugeot-triples-profit-target-as-new-cars-lead-growth-push.</w:t>
      </w:r>
    </w:p>
  </w:endnote>
  <w:endnote w:id="64">
    <w:p w14:paraId="07DB0E17" w14:textId="77C33DF4"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Benjamin Zhang, “Zipcar Is About to Face an Unlikely New Competitor,” </w:t>
      </w:r>
      <w:r w:rsidRPr="00AC24B6">
        <w:rPr>
          <w:i/>
          <w:szCs w:val="16"/>
        </w:rPr>
        <w:t>Business Insider</w:t>
      </w:r>
      <w:r>
        <w:rPr>
          <w:szCs w:val="16"/>
        </w:rPr>
        <w:t xml:space="preserve">, April 6, 2016, accessed January 10, 2017, </w:t>
      </w:r>
      <w:r w:rsidRPr="00A67AF2">
        <w:rPr>
          <w:szCs w:val="16"/>
        </w:rPr>
        <w:t>http://uk.businessinsider.com/france-peugeot-Citroën-unexpected-comeback-us-2016-4.</w:t>
      </w:r>
    </w:p>
  </w:endnote>
  <w:endnote w:id="65">
    <w:p w14:paraId="79B84C03" w14:textId="4BFCBA82" w:rsidR="00AC24B6" w:rsidRPr="00021E89" w:rsidRDefault="00AC24B6" w:rsidP="00606B63">
      <w:pPr>
        <w:pStyle w:val="Footnote"/>
        <w:rPr>
          <w:szCs w:val="16"/>
        </w:rPr>
      </w:pPr>
      <w:r w:rsidRPr="000628C0">
        <w:rPr>
          <w:rStyle w:val="EndnoteReference"/>
        </w:rPr>
        <w:endnoteRef/>
      </w:r>
      <w:r>
        <w:rPr>
          <w:szCs w:val="16"/>
        </w:rPr>
        <w:t xml:space="preserve"> “PSA and Bolloré Group Sign a Strategic Cooperation Agreement,” PSA Groupe Media Center, June 17, 2015, accessed January 10, 2017, </w:t>
      </w:r>
      <w:r w:rsidRPr="00021E89">
        <w:rPr>
          <w:szCs w:val="16"/>
        </w:rPr>
        <w:t>http://media.groupe-psa.com/en/psa-peugeot-citroën/press-releases/group/psa-and-bolloré-group-sign-strategic-cooperation-agreement</w:t>
      </w:r>
      <w:r>
        <w:rPr>
          <w:szCs w:val="16"/>
        </w:rPr>
        <w:t>.</w:t>
      </w:r>
    </w:p>
  </w:endnote>
  <w:endnote w:id="66">
    <w:p w14:paraId="2E49101E" w14:textId="02365CA8" w:rsidR="00AC24B6" w:rsidRPr="00AD5F3F" w:rsidRDefault="00AC24B6" w:rsidP="00606B63">
      <w:pPr>
        <w:pStyle w:val="Footnote"/>
        <w:rPr>
          <w:rFonts w:cs="Times New Roman"/>
          <w:color w:val="000000" w:themeColor="text1"/>
          <w:szCs w:val="16"/>
        </w:rPr>
      </w:pPr>
      <w:r w:rsidRPr="000628C0">
        <w:rPr>
          <w:rStyle w:val="EndnoteReference"/>
        </w:rPr>
        <w:endnoteRef/>
      </w:r>
      <w:r w:rsidRPr="00AC24B6">
        <w:t xml:space="preserve"> </w:t>
      </w:r>
      <w:r w:rsidRPr="00AD5F3F">
        <w:rPr>
          <w:rFonts w:cs="Times New Roman"/>
          <w:color w:val="000000" w:themeColor="text1"/>
          <w:szCs w:val="16"/>
        </w:rPr>
        <w:t xml:space="preserve">Laurence Frost and Gilles Guillaume, </w:t>
      </w:r>
      <w:r>
        <w:rPr>
          <w:rFonts w:cs="Times New Roman"/>
          <w:color w:val="000000" w:themeColor="text1"/>
          <w:szCs w:val="16"/>
        </w:rPr>
        <w:t>“</w:t>
      </w:r>
      <w:r w:rsidRPr="00AD5F3F">
        <w:rPr>
          <w:rFonts w:cs="Times New Roman"/>
          <w:color w:val="000000" w:themeColor="text1"/>
          <w:szCs w:val="16"/>
        </w:rPr>
        <w:t>Peugeot Pledges Sales Drive in New Mid-Term Plan</w:t>
      </w:r>
      <w:r>
        <w:rPr>
          <w:rFonts w:cs="Times New Roman"/>
          <w:color w:val="000000" w:themeColor="text1"/>
          <w:szCs w:val="16"/>
        </w:rPr>
        <w:t>,”</w:t>
      </w:r>
      <w:r w:rsidRPr="00AD5F3F">
        <w:rPr>
          <w:rFonts w:cs="Times New Roman"/>
          <w:color w:val="000000" w:themeColor="text1"/>
          <w:szCs w:val="16"/>
        </w:rPr>
        <w:t xml:space="preserve"> Reuters, </w:t>
      </w:r>
      <w:r>
        <w:rPr>
          <w:rFonts w:cs="Times New Roman"/>
          <w:color w:val="000000" w:themeColor="text1"/>
          <w:szCs w:val="16"/>
        </w:rPr>
        <w:t xml:space="preserve">April </w:t>
      </w:r>
      <w:r w:rsidRPr="00AD5F3F">
        <w:rPr>
          <w:rFonts w:cs="Times New Roman"/>
          <w:color w:val="000000" w:themeColor="text1"/>
          <w:szCs w:val="16"/>
        </w:rPr>
        <w:t xml:space="preserve">4, 2016, accessed </w:t>
      </w:r>
      <w:r>
        <w:rPr>
          <w:rFonts w:cs="Times New Roman"/>
          <w:color w:val="000000" w:themeColor="text1"/>
          <w:szCs w:val="16"/>
        </w:rPr>
        <w:t>March 16</w:t>
      </w:r>
      <w:r w:rsidRPr="00AD5F3F">
        <w:rPr>
          <w:rFonts w:cs="Times New Roman"/>
          <w:color w:val="000000" w:themeColor="text1"/>
          <w:szCs w:val="16"/>
        </w:rPr>
        <w:t xml:space="preserve">, </w:t>
      </w:r>
      <w:r>
        <w:rPr>
          <w:rFonts w:cs="Times New Roman"/>
          <w:color w:val="000000" w:themeColor="text1"/>
          <w:szCs w:val="16"/>
        </w:rPr>
        <w:t xml:space="preserve">2017, </w:t>
      </w:r>
      <w:r w:rsidRPr="000628C0">
        <w:t>www.reuters.com/article/us-peugeot-plan-idUSKCN0X20C3</w:t>
      </w:r>
      <w:r w:rsidRPr="00606B63">
        <w:t>.</w:t>
      </w:r>
    </w:p>
  </w:endnote>
  <w:endnote w:id="67">
    <w:p w14:paraId="43FC20A5" w14:textId="07BCDB64" w:rsidR="00AC24B6" w:rsidRPr="00021E89" w:rsidRDefault="00AC24B6" w:rsidP="00606B63">
      <w:pPr>
        <w:pStyle w:val="Footnote"/>
        <w:rPr>
          <w:szCs w:val="16"/>
        </w:rPr>
      </w:pPr>
      <w:r w:rsidRPr="000628C0">
        <w:rPr>
          <w:rStyle w:val="EndnoteReference"/>
        </w:rPr>
        <w:endnoteRef/>
      </w:r>
      <w:r w:rsidRPr="00AC24B6">
        <w:t xml:space="preserve"> </w:t>
      </w:r>
      <w:r>
        <w:rPr>
          <w:szCs w:val="16"/>
        </w:rPr>
        <w:t xml:space="preserve">Danny King, “Peugeot Finally Returns America in April . . . As a Car-Sharing Services,” Autoblog, February 26, 2017, accessed March 5, 2017, </w:t>
      </w:r>
      <w:r w:rsidRPr="000628C0">
        <w:t>www.autoblog.com/2017/02/26/psa-peugeot-citroen-united-states-travelcar</w:t>
      </w:r>
      <w:r>
        <w:rPr>
          <w:szCs w:val="16"/>
        </w:rPr>
        <w:t>.</w:t>
      </w:r>
    </w:p>
  </w:endnote>
  <w:endnote w:id="68">
    <w:p w14:paraId="71326613" w14:textId="38A8B9EF" w:rsidR="00AC24B6" w:rsidRPr="00021E89" w:rsidRDefault="00AC24B6" w:rsidP="00264A01">
      <w:pPr>
        <w:pStyle w:val="Footnote"/>
        <w:rPr>
          <w:szCs w:val="16"/>
        </w:rPr>
      </w:pPr>
      <w:r w:rsidRPr="000628C0">
        <w:rPr>
          <w:rStyle w:val="EndnoteReference"/>
        </w:rPr>
        <w:endnoteRef/>
      </w:r>
      <w:r w:rsidRPr="00AC24B6">
        <w:t xml:space="preserve"> </w:t>
      </w:r>
      <w:r>
        <w:rPr>
          <w:szCs w:val="16"/>
        </w:rPr>
        <w:t xml:space="preserve">Peter Sigal, “PSA Takes First Steps to U.S. Market Entry with Ride-Sharing Service,” Automotive News Europe, February 23, 2017, accessed March 3, 2017, </w:t>
      </w:r>
      <w:r w:rsidRPr="00021E89">
        <w:rPr>
          <w:szCs w:val="16"/>
        </w:rPr>
        <w:t>http://europe.autonews.com/article/20170223/ANE/170229931/psa-takes-first-steps-to-u.s.-market-entry-with-ride-sharing-service</w:t>
      </w:r>
      <w:r>
        <w:rPr>
          <w:szCs w:val="16"/>
        </w:rPr>
        <w:t>.</w:t>
      </w:r>
    </w:p>
  </w:endnote>
  <w:endnote w:id="69">
    <w:p w14:paraId="3C7D3500" w14:textId="30927581" w:rsidR="00AC24B6" w:rsidRDefault="00AC24B6" w:rsidP="00AC24B6">
      <w:pPr>
        <w:pStyle w:val="Footnote"/>
      </w:pPr>
      <w:r>
        <w:rPr>
          <w:rStyle w:val="EndnoteReference"/>
        </w:rPr>
        <w:endnoteRef/>
      </w:r>
      <w:r>
        <w:t xml:space="preserve"> Julia Kollewe, “Vauxhall’s Future in UK Is Secure, Says Business Secretary,” </w:t>
      </w:r>
      <w:r w:rsidRPr="000628C0">
        <w:rPr>
          <w:i/>
        </w:rPr>
        <w:t>Guardian,</w:t>
      </w:r>
      <w:r>
        <w:t xml:space="preserve"> February 16, 2017, accessed March 4, 2017, </w:t>
      </w:r>
      <w:r w:rsidRPr="00021E89">
        <w:t>www.theguardian.com/business/2017/feb/16/gm-has-reassured-of-vauxhall-uk-future-says-business-secretary</w:t>
      </w:r>
      <w:r>
        <w:t>.</w:t>
      </w:r>
    </w:p>
  </w:endnote>
  <w:endnote w:id="70">
    <w:p w14:paraId="77DAC025" w14:textId="77777777" w:rsidR="00AC24B6" w:rsidRPr="00021E89" w:rsidRDefault="00AC24B6">
      <w:pPr>
        <w:pStyle w:val="Footnote"/>
        <w:rPr>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232C5" w14:textId="77777777" w:rsidR="00AC24B6" w:rsidRDefault="00AC24B6" w:rsidP="00D75295">
      <w:r>
        <w:separator/>
      </w:r>
    </w:p>
  </w:footnote>
  <w:footnote w:type="continuationSeparator" w:id="0">
    <w:p w14:paraId="50779350" w14:textId="77777777" w:rsidR="00AC24B6" w:rsidRDefault="00AC24B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7B459" w14:textId="11C8F5CF" w:rsidR="00AC24B6" w:rsidRDefault="00AC24B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112F2">
      <w:rPr>
        <w:rFonts w:ascii="Arial" w:hAnsi="Arial"/>
        <w:b/>
        <w:noProof/>
      </w:rPr>
      <w:t>15</w:t>
    </w:r>
    <w:r>
      <w:rPr>
        <w:rFonts w:ascii="Arial" w:hAnsi="Arial"/>
        <w:b/>
      </w:rPr>
      <w:fldChar w:fldCharType="end"/>
    </w:r>
    <w:r>
      <w:rPr>
        <w:rFonts w:ascii="Arial" w:hAnsi="Arial"/>
        <w:b/>
      </w:rPr>
      <w:tab/>
      <w:t>9B17M160</w:t>
    </w:r>
  </w:p>
  <w:p w14:paraId="6C0E94A8" w14:textId="77777777" w:rsidR="00AC24B6" w:rsidRPr="00C92CC4" w:rsidRDefault="00AC24B6">
    <w:pPr>
      <w:pStyle w:val="Header"/>
      <w:rPr>
        <w:sz w:val="18"/>
        <w:szCs w:val="18"/>
      </w:rPr>
    </w:pPr>
  </w:p>
  <w:p w14:paraId="0669DCC8" w14:textId="77777777" w:rsidR="00AC24B6" w:rsidRPr="00C92CC4" w:rsidRDefault="00AC24B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E029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6D2B8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DB6C0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8D86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D10628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3E81D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C4CB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84E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98085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33855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4EFB7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59B95AE1"/>
    <w:multiLevelType w:val="hybridMultilevel"/>
    <w:tmpl w:val="8F064CB2"/>
    <w:lvl w:ilvl="0" w:tplc="B2A879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D12"/>
    <w:rsid w:val="00010289"/>
    <w:rsid w:val="0001029C"/>
    <w:rsid w:val="00013360"/>
    <w:rsid w:val="000216CE"/>
    <w:rsid w:val="00022231"/>
    <w:rsid w:val="00025DC7"/>
    <w:rsid w:val="00026486"/>
    <w:rsid w:val="00026D64"/>
    <w:rsid w:val="00032D2E"/>
    <w:rsid w:val="00034D18"/>
    <w:rsid w:val="00035BEA"/>
    <w:rsid w:val="00044ECC"/>
    <w:rsid w:val="000531D3"/>
    <w:rsid w:val="0005640D"/>
    <w:rsid w:val="0005646B"/>
    <w:rsid w:val="000628C0"/>
    <w:rsid w:val="0008102D"/>
    <w:rsid w:val="00081DEC"/>
    <w:rsid w:val="00086E74"/>
    <w:rsid w:val="00094C0E"/>
    <w:rsid w:val="00097403"/>
    <w:rsid w:val="000A5313"/>
    <w:rsid w:val="000B6465"/>
    <w:rsid w:val="000C4955"/>
    <w:rsid w:val="000D22FC"/>
    <w:rsid w:val="000F0499"/>
    <w:rsid w:val="000F0958"/>
    <w:rsid w:val="000F0C22"/>
    <w:rsid w:val="000F6B09"/>
    <w:rsid w:val="000F6FDC"/>
    <w:rsid w:val="00102759"/>
    <w:rsid w:val="00104567"/>
    <w:rsid w:val="0012732D"/>
    <w:rsid w:val="001448B3"/>
    <w:rsid w:val="00146C10"/>
    <w:rsid w:val="001478A0"/>
    <w:rsid w:val="00154FC9"/>
    <w:rsid w:val="00163527"/>
    <w:rsid w:val="0016765A"/>
    <w:rsid w:val="00174EB7"/>
    <w:rsid w:val="001760F7"/>
    <w:rsid w:val="00180D6D"/>
    <w:rsid w:val="00183AC3"/>
    <w:rsid w:val="0019241A"/>
    <w:rsid w:val="001A04F0"/>
    <w:rsid w:val="001A5335"/>
    <w:rsid w:val="001A752D"/>
    <w:rsid w:val="001E47B5"/>
    <w:rsid w:val="001F01E7"/>
    <w:rsid w:val="00203AA1"/>
    <w:rsid w:val="00213E1F"/>
    <w:rsid w:val="00213E98"/>
    <w:rsid w:val="00220CEE"/>
    <w:rsid w:val="00264406"/>
    <w:rsid w:val="00264A01"/>
    <w:rsid w:val="00267AA5"/>
    <w:rsid w:val="002746C1"/>
    <w:rsid w:val="00280BCC"/>
    <w:rsid w:val="0028103E"/>
    <w:rsid w:val="00295BA5"/>
    <w:rsid w:val="00296E60"/>
    <w:rsid w:val="002B1DBE"/>
    <w:rsid w:val="002C01E0"/>
    <w:rsid w:val="002D686C"/>
    <w:rsid w:val="002E32F0"/>
    <w:rsid w:val="002F3AEE"/>
    <w:rsid w:val="002F460C"/>
    <w:rsid w:val="002F48D6"/>
    <w:rsid w:val="00307807"/>
    <w:rsid w:val="00307F04"/>
    <w:rsid w:val="00317C90"/>
    <w:rsid w:val="003202E6"/>
    <w:rsid w:val="003235BC"/>
    <w:rsid w:val="00324617"/>
    <w:rsid w:val="003316C5"/>
    <w:rsid w:val="0034062F"/>
    <w:rsid w:val="0034192C"/>
    <w:rsid w:val="00346345"/>
    <w:rsid w:val="00351067"/>
    <w:rsid w:val="00354899"/>
    <w:rsid w:val="00355FD6"/>
    <w:rsid w:val="00361C8E"/>
    <w:rsid w:val="00364A5C"/>
    <w:rsid w:val="00373FB1"/>
    <w:rsid w:val="00391463"/>
    <w:rsid w:val="003920AD"/>
    <w:rsid w:val="003A7DA3"/>
    <w:rsid w:val="003B2063"/>
    <w:rsid w:val="003B30D8"/>
    <w:rsid w:val="003B3D71"/>
    <w:rsid w:val="003B61DD"/>
    <w:rsid w:val="003B7EF2"/>
    <w:rsid w:val="003C0FD7"/>
    <w:rsid w:val="003C34D8"/>
    <w:rsid w:val="003C3FA4"/>
    <w:rsid w:val="003D731E"/>
    <w:rsid w:val="003E565C"/>
    <w:rsid w:val="003F2B0C"/>
    <w:rsid w:val="003F4FFD"/>
    <w:rsid w:val="004010EE"/>
    <w:rsid w:val="004039D0"/>
    <w:rsid w:val="00410DA2"/>
    <w:rsid w:val="00411C93"/>
    <w:rsid w:val="004126ED"/>
    <w:rsid w:val="004221E4"/>
    <w:rsid w:val="00430DF4"/>
    <w:rsid w:val="004337B3"/>
    <w:rsid w:val="00444654"/>
    <w:rsid w:val="0045315C"/>
    <w:rsid w:val="00471088"/>
    <w:rsid w:val="00483AF9"/>
    <w:rsid w:val="00483B6F"/>
    <w:rsid w:val="00486775"/>
    <w:rsid w:val="00491CA2"/>
    <w:rsid w:val="004974E6"/>
    <w:rsid w:val="004A4B80"/>
    <w:rsid w:val="004B1CCB"/>
    <w:rsid w:val="004D3E43"/>
    <w:rsid w:val="004D73A5"/>
    <w:rsid w:val="004E4052"/>
    <w:rsid w:val="005034ED"/>
    <w:rsid w:val="00511001"/>
    <w:rsid w:val="00520AC7"/>
    <w:rsid w:val="00525329"/>
    <w:rsid w:val="00532CF5"/>
    <w:rsid w:val="0054077E"/>
    <w:rsid w:val="005528CB"/>
    <w:rsid w:val="00554EA1"/>
    <w:rsid w:val="00566771"/>
    <w:rsid w:val="005763B2"/>
    <w:rsid w:val="0057699B"/>
    <w:rsid w:val="00577318"/>
    <w:rsid w:val="00581E2E"/>
    <w:rsid w:val="00584F15"/>
    <w:rsid w:val="005A2432"/>
    <w:rsid w:val="005A61A7"/>
    <w:rsid w:val="005A7AD6"/>
    <w:rsid w:val="005A7B77"/>
    <w:rsid w:val="005E1F50"/>
    <w:rsid w:val="005E457F"/>
    <w:rsid w:val="00606B63"/>
    <w:rsid w:val="006163F7"/>
    <w:rsid w:val="00630742"/>
    <w:rsid w:val="006317E6"/>
    <w:rsid w:val="00631ED8"/>
    <w:rsid w:val="00644CA8"/>
    <w:rsid w:val="00652606"/>
    <w:rsid w:val="006758AA"/>
    <w:rsid w:val="00682754"/>
    <w:rsid w:val="00682E1F"/>
    <w:rsid w:val="00697849"/>
    <w:rsid w:val="006A0263"/>
    <w:rsid w:val="006A58A9"/>
    <w:rsid w:val="006A606D"/>
    <w:rsid w:val="006B7F7A"/>
    <w:rsid w:val="006C0371"/>
    <w:rsid w:val="006C08B6"/>
    <w:rsid w:val="006C0B1A"/>
    <w:rsid w:val="006C2C49"/>
    <w:rsid w:val="006C4384"/>
    <w:rsid w:val="006C4402"/>
    <w:rsid w:val="006C600B"/>
    <w:rsid w:val="006C6065"/>
    <w:rsid w:val="006C7CEF"/>
    <w:rsid w:val="006C7F9F"/>
    <w:rsid w:val="006E2F6D"/>
    <w:rsid w:val="006E58F6"/>
    <w:rsid w:val="006E77E1"/>
    <w:rsid w:val="006F131D"/>
    <w:rsid w:val="006F1D9E"/>
    <w:rsid w:val="007204B3"/>
    <w:rsid w:val="00726482"/>
    <w:rsid w:val="00732E8E"/>
    <w:rsid w:val="00752BCD"/>
    <w:rsid w:val="00753074"/>
    <w:rsid w:val="007568BA"/>
    <w:rsid w:val="00760D8C"/>
    <w:rsid w:val="00763CDC"/>
    <w:rsid w:val="00766DA1"/>
    <w:rsid w:val="00774E96"/>
    <w:rsid w:val="00777CED"/>
    <w:rsid w:val="007866A6"/>
    <w:rsid w:val="007A130D"/>
    <w:rsid w:val="007B3E50"/>
    <w:rsid w:val="007B429C"/>
    <w:rsid w:val="007D4102"/>
    <w:rsid w:val="007E20C6"/>
    <w:rsid w:val="007E5921"/>
    <w:rsid w:val="00801274"/>
    <w:rsid w:val="00821FFC"/>
    <w:rsid w:val="008271CA"/>
    <w:rsid w:val="008330FB"/>
    <w:rsid w:val="008467D5"/>
    <w:rsid w:val="00853B69"/>
    <w:rsid w:val="00856477"/>
    <w:rsid w:val="00856D9F"/>
    <w:rsid w:val="00866F6D"/>
    <w:rsid w:val="00880A06"/>
    <w:rsid w:val="00886E30"/>
    <w:rsid w:val="008A0F0F"/>
    <w:rsid w:val="008A4DC4"/>
    <w:rsid w:val="008B4431"/>
    <w:rsid w:val="008E50DD"/>
    <w:rsid w:val="00904A70"/>
    <w:rsid w:val="009067A4"/>
    <w:rsid w:val="0090722E"/>
    <w:rsid w:val="009141CA"/>
    <w:rsid w:val="00915C18"/>
    <w:rsid w:val="0092143E"/>
    <w:rsid w:val="0092529A"/>
    <w:rsid w:val="009279AE"/>
    <w:rsid w:val="00927CD0"/>
    <w:rsid w:val="00930C57"/>
    <w:rsid w:val="00933165"/>
    <w:rsid w:val="009340DB"/>
    <w:rsid w:val="00945F9E"/>
    <w:rsid w:val="00952738"/>
    <w:rsid w:val="00953A7B"/>
    <w:rsid w:val="009723A4"/>
    <w:rsid w:val="00972498"/>
    <w:rsid w:val="00974CC6"/>
    <w:rsid w:val="00976AD4"/>
    <w:rsid w:val="00987573"/>
    <w:rsid w:val="00990C7A"/>
    <w:rsid w:val="009A0805"/>
    <w:rsid w:val="009A12BC"/>
    <w:rsid w:val="009A312F"/>
    <w:rsid w:val="009A5348"/>
    <w:rsid w:val="009A67BB"/>
    <w:rsid w:val="009C76D5"/>
    <w:rsid w:val="009E378E"/>
    <w:rsid w:val="009E6801"/>
    <w:rsid w:val="009F6896"/>
    <w:rsid w:val="009F7AA4"/>
    <w:rsid w:val="00A04115"/>
    <w:rsid w:val="00A112F2"/>
    <w:rsid w:val="00A15885"/>
    <w:rsid w:val="00A17B39"/>
    <w:rsid w:val="00A22739"/>
    <w:rsid w:val="00A361E2"/>
    <w:rsid w:val="00A4208D"/>
    <w:rsid w:val="00A558F2"/>
    <w:rsid w:val="00A559DB"/>
    <w:rsid w:val="00A67AF2"/>
    <w:rsid w:val="00AA1E5F"/>
    <w:rsid w:val="00AA5AE5"/>
    <w:rsid w:val="00AA6B8F"/>
    <w:rsid w:val="00AA7CA1"/>
    <w:rsid w:val="00AB6EB5"/>
    <w:rsid w:val="00AC24B6"/>
    <w:rsid w:val="00AC6847"/>
    <w:rsid w:val="00AD5BC3"/>
    <w:rsid w:val="00AE4062"/>
    <w:rsid w:val="00AE7911"/>
    <w:rsid w:val="00AF35FC"/>
    <w:rsid w:val="00AF4DBF"/>
    <w:rsid w:val="00AF6786"/>
    <w:rsid w:val="00B03639"/>
    <w:rsid w:val="00B0652A"/>
    <w:rsid w:val="00B074BC"/>
    <w:rsid w:val="00B35FFA"/>
    <w:rsid w:val="00B36CE4"/>
    <w:rsid w:val="00B3757D"/>
    <w:rsid w:val="00B40937"/>
    <w:rsid w:val="00B423EF"/>
    <w:rsid w:val="00B453DE"/>
    <w:rsid w:val="00B4742F"/>
    <w:rsid w:val="00B559FB"/>
    <w:rsid w:val="00B651B9"/>
    <w:rsid w:val="00B67B24"/>
    <w:rsid w:val="00B815F5"/>
    <w:rsid w:val="00B901F9"/>
    <w:rsid w:val="00B90C93"/>
    <w:rsid w:val="00BA02B2"/>
    <w:rsid w:val="00BB5C7B"/>
    <w:rsid w:val="00BD6EFB"/>
    <w:rsid w:val="00BE2442"/>
    <w:rsid w:val="00C15BE2"/>
    <w:rsid w:val="00C22219"/>
    <w:rsid w:val="00C33E3D"/>
    <w:rsid w:val="00C3447F"/>
    <w:rsid w:val="00C34E4B"/>
    <w:rsid w:val="00C35238"/>
    <w:rsid w:val="00C373DA"/>
    <w:rsid w:val="00C43DF2"/>
    <w:rsid w:val="00C51491"/>
    <w:rsid w:val="00C81491"/>
    <w:rsid w:val="00C81676"/>
    <w:rsid w:val="00C81A41"/>
    <w:rsid w:val="00C92832"/>
    <w:rsid w:val="00C92CC4"/>
    <w:rsid w:val="00C961C2"/>
    <w:rsid w:val="00CA0AFB"/>
    <w:rsid w:val="00CA2CE1"/>
    <w:rsid w:val="00CA3976"/>
    <w:rsid w:val="00CA757B"/>
    <w:rsid w:val="00CB4532"/>
    <w:rsid w:val="00CB5D4E"/>
    <w:rsid w:val="00CB6B09"/>
    <w:rsid w:val="00CC1787"/>
    <w:rsid w:val="00CC182C"/>
    <w:rsid w:val="00CD0824"/>
    <w:rsid w:val="00CD2908"/>
    <w:rsid w:val="00CD4DDF"/>
    <w:rsid w:val="00CE3204"/>
    <w:rsid w:val="00D02986"/>
    <w:rsid w:val="00D03A82"/>
    <w:rsid w:val="00D07D73"/>
    <w:rsid w:val="00D15344"/>
    <w:rsid w:val="00D26DE1"/>
    <w:rsid w:val="00D31BEC"/>
    <w:rsid w:val="00D50A28"/>
    <w:rsid w:val="00D63150"/>
    <w:rsid w:val="00D64A32"/>
    <w:rsid w:val="00D64EFC"/>
    <w:rsid w:val="00D75295"/>
    <w:rsid w:val="00D75F43"/>
    <w:rsid w:val="00D76CE9"/>
    <w:rsid w:val="00D97F12"/>
    <w:rsid w:val="00DA64E1"/>
    <w:rsid w:val="00DB42E7"/>
    <w:rsid w:val="00DE4366"/>
    <w:rsid w:val="00DF2BBC"/>
    <w:rsid w:val="00DF32C2"/>
    <w:rsid w:val="00E23945"/>
    <w:rsid w:val="00E32C44"/>
    <w:rsid w:val="00E36815"/>
    <w:rsid w:val="00E471A7"/>
    <w:rsid w:val="00E61A56"/>
    <w:rsid w:val="00E635CF"/>
    <w:rsid w:val="00E64DB5"/>
    <w:rsid w:val="00E7777C"/>
    <w:rsid w:val="00E8285D"/>
    <w:rsid w:val="00E90C36"/>
    <w:rsid w:val="00EB5410"/>
    <w:rsid w:val="00EC2313"/>
    <w:rsid w:val="00EC6E0A"/>
    <w:rsid w:val="00ED4E18"/>
    <w:rsid w:val="00ED6050"/>
    <w:rsid w:val="00EE1F37"/>
    <w:rsid w:val="00EE2653"/>
    <w:rsid w:val="00EF7F6F"/>
    <w:rsid w:val="00F0159C"/>
    <w:rsid w:val="00F038EE"/>
    <w:rsid w:val="00F07423"/>
    <w:rsid w:val="00F105B7"/>
    <w:rsid w:val="00F12A37"/>
    <w:rsid w:val="00F159DC"/>
    <w:rsid w:val="00F17A21"/>
    <w:rsid w:val="00F25226"/>
    <w:rsid w:val="00F40D76"/>
    <w:rsid w:val="00F50E91"/>
    <w:rsid w:val="00F53F10"/>
    <w:rsid w:val="00F57D29"/>
    <w:rsid w:val="00F64F79"/>
    <w:rsid w:val="00F764C2"/>
    <w:rsid w:val="00F92A99"/>
    <w:rsid w:val="00F96201"/>
    <w:rsid w:val="00FC30E9"/>
    <w:rsid w:val="00FC7130"/>
    <w:rsid w:val="00FD0B18"/>
    <w:rsid w:val="00FD0F82"/>
    <w:rsid w:val="00FE366F"/>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9028DB"/>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2231"/>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unhideWhenUsed/>
    <w:rsid w:val="00606B63"/>
    <w:pPr>
      <w:keepNext/>
      <w:keepLines/>
      <w:spacing w:before="40" w:line="480" w:lineRule="auto"/>
      <w:ind w:firstLine="567"/>
      <w:jc w:val="both"/>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rsid w:val="00777CED"/>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E4062"/>
    <w:pPr>
      <w:jc w:val="both"/>
    </w:pPr>
    <w:rPr>
      <w:rFonts w:ascii="Arial" w:hAnsi="Arial" w:cs="Arial"/>
      <w:sz w:val="17"/>
      <w:szCs w:val="17"/>
    </w:rPr>
  </w:style>
  <w:style w:type="character" w:customStyle="1" w:styleId="FootnoteChar">
    <w:name w:val="Footnote Char"/>
    <w:basedOn w:val="FootnoteTextChar"/>
    <w:link w:val="Footnote"/>
    <w:rsid w:val="00AE4062"/>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3Char">
    <w:name w:val="Heading 3 Char"/>
    <w:basedOn w:val="DefaultParagraphFont"/>
    <w:link w:val="Heading3"/>
    <w:uiPriority w:val="9"/>
    <w:rsid w:val="00777CED"/>
    <w:rPr>
      <w:rFonts w:ascii="Times New Roman" w:eastAsia="Times New Roman" w:hAnsi="Times New Roman" w:cs="Times New Roman"/>
      <w:b/>
      <w:bCs/>
      <w:sz w:val="27"/>
      <w:szCs w:val="27"/>
      <w:lang w:val="en-GB" w:eastAsia="en-GB"/>
    </w:rPr>
  </w:style>
  <w:style w:type="character" w:customStyle="1" w:styleId="Heading2Char">
    <w:name w:val="Heading 2 Char"/>
    <w:basedOn w:val="DefaultParagraphFont"/>
    <w:link w:val="Heading2"/>
    <w:uiPriority w:val="9"/>
    <w:rsid w:val="00606B63"/>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FDC9-CF26-4E14-983A-6EECBE07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5466</Words>
  <Characters>31160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2017-10-31T13:33:00Z</cp:lastPrinted>
  <dcterms:created xsi:type="dcterms:W3CDTF">2017-10-31T13:26:00Z</dcterms:created>
  <dcterms:modified xsi:type="dcterms:W3CDTF">2017-10-31T19:24:00Z</dcterms:modified>
</cp:coreProperties>
</file>