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BB9AA" w14:textId="7114CF9B" w:rsidR="008467D5" w:rsidRPr="00CB6B09" w:rsidRDefault="007C3EAB" w:rsidP="007C3EAB">
      <w:pPr>
        <w:pStyle w:val="IveyQuotes"/>
        <w:ind w:hanging="284"/>
      </w:pPr>
      <w:r w:rsidRPr="00A569EA">
        <w:rPr>
          <w:rFonts w:ascii="Arial" w:hAnsi="Arial"/>
          <w:b/>
          <w:noProof/>
          <w:sz w:val="24"/>
          <w:lang w:val="en-US"/>
        </w:rPr>
        <w:drawing>
          <wp:inline distT="0" distB="0" distL="0" distR="0" wp14:anchorId="466D657E" wp14:editId="6DDB7A1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ED1A645"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rPr>
      </w:pPr>
    </w:p>
    <w:p w14:paraId="5BE48905" w14:textId="7866A831" w:rsidR="00D75295" w:rsidRPr="00CB6B09" w:rsidRDefault="005E6B85" w:rsidP="00586859">
      <w:pPr>
        <w:pStyle w:val="ProductNumber"/>
        <w:outlineLvl w:val="0"/>
      </w:pPr>
      <w:r>
        <w:t>9B17M167</w:t>
      </w:r>
    </w:p>
    <w:p w14:paraId="69696A7E" w14:textId="77777777" w:rsidR="00D75295" w:rsidRPr="00CB6B09" w:rsidRDefault="00D75295" w:rsidP="00D75295">
      <w:pPr>
        <w:jc w:val="right"/>
        <w:rPr>
          <w:rFonts w:ascii="Arial" w:hAnsi="Arial"/>
          <w:b/>
          <w:sz w:val="28"/>
          <w:szCs w:val="28"/>
        </w:rPr>
      </w:pPr>
    </w:p>
    <w:p w14:paraId="0C275046" w14:textId="77777777" w:rsidR="00866F6D" w:rsidRPr="00CB6B09" w:rsidRDefault="00866F6D" w:rsidP="00D75295">
      <w:pPr>
        <w:jc w:val="right"/>
        <w:rPr>
          <w:rFonts w:ascii="Arial" w:hAnsi="Arial"/>
          <w:b/>
          <w:sz w:val="28"/>
          <w:szCs w:val="28"/>
        </w:rPr>
      </w:pPr>
    </w:p>
    <w:p w14:paraId="5B3F4181" w14:textId="4CC5A36D" w:rsidR="00013360" w:rsidRPr="00CB6B09" w:rsidRDefault="00A249D2" w:rsidP="00586859">
      <w:pPr>
        <w:pStyle w:val="CaseTitle"/>
        <w:spacing w:after="0" w:line="240" w:lineRule="auto"/>
        <w:outlineLvl w:val="0"/>
      </w:pPr>
      <w:r>
        <w:t xml:space="preserve">Turing Pharmaceuticals: The Ethics of Drug </w:t>
      </w:r>
      <w:r w:rsidR="00254B39">
        <w:t>Pricing</w:t>
      </w:r>
      <w:r w:rsidR="007C3EAB">
        <w:rPr>
          <w:rStyle w:val="EndnoteReference"/>
        </w:rPr>
        <w:endnoteReference w:id="1"/>
      </w:r>
    </w:p>
    <w:p w14:paraId="24C0D4EC" w14:textId="77777777" w:rsidR="00013360" w:rsidRPr="00CB6B09" w:rsidRDefault="00013360" w:rsidP="00013360">
      <w:pPr>
        <w:pStyle w:val="CaseTitle"/>
        <w:spacing w:after="0" w:line="240" w:lineRule="auto"/>
        <w:rPr>
          <w:sz w:val="20"/>
          <w:szCs w:val="20"/>
        </w:rPr>
      </w:pPr>
    </w:p>
    <w:p w14:paraId="14B51A29" w14:textId="77777777" w:rsidR="00CA3976" w:rsidRPr="00CB6B09" w:rsidRDefault="00CA3976" w:rsidP="00013360">
      <w:pPr>
        <w:pStyle w:val="CaseTitle"/>
        <w:spacing w:after="0" w:line="240" w:lineRule="auto"/>
        <w:rPr>
          <w:sz w:val="20"/>
          <w:szCs w:val="20"/>
        </w:rPr>
      </w:pPr>
    </w:p>
    <w:p w14:paraId="02B941C2" w14:textId="77777777" w:rsidR="00013360" w:rsidRPr="00CB6B09" w:rsidRDefault="00013360" w:rsidP="00013360">
      <w:pPr>
        <w:pStyle w:val="CaseTitle"/>
        <w:spacing w:after="0" w:line="240" w:lineRule="auto"/>
        <w:rPr>
          <w:sz w:val="20"/>
          <w:szCs w:val="20"/>
        </w:rPr>
      </w:pPr>
    </w:p>
    <w:p w14:paraId="181C5F0F" w14:textId="70E586D7" w:rsidR="00013360" w:rsidRPr="00CB6B09" w:rsidRDefault="00A77DEB" w:rsidP="00104567">
      <w:pPr>
        <w:pStyle w:val="StyleCopyrightStatementAfter0ptBottomSinglesolidline1"/>
      </w:pPr>
      <w:r>
        <w:t>Shernaz Bodhanwala and A</w:t>
      </w:r>
      <w:r w:rsidR="004066A4">
        <w:t>a</w:t>
      </w:r>
      <w:r>
        <w:t xml:space="preserve">kash Bothra </w:t>
      </w:r>
      <w:r w:rsidR="007E5921" w:rsidRPr="00CB6B09">
        <w:t>wrote this case sol</w:t>
      </w:r>
      <w:r w:rsidR="00D75295" w:rsidRPr="00CB6B09">
        <w:t>ely to provide material f</w:t>
      </w:r>
      <w:r w:rsidR="001A04F0">
        <w:t>or class discussion. The author</w:t>
      </w:r>
      <w:r w:rsidR="003F6781">
        <w:t>s</w:t>
      </w:r>
      <w:r w:rsidR="00D75295" w:rsidRPr="00CB6B09">
        <w:t xml:space="preserve"> do not intend to illustrate either effective or ineffective handling of a managerial situation. The authors may have disguised certain names and other identifying information to protect confidentiality.</w:t>
      </w:r>
    </w:p>
    <w:p w14:paraId="1377830B" w14:textId="77777777" w:rsidR="00013360" w:rsidRPr="00CB6B09" w:rsidRDefault="00013360" w:rsidP="00104567">
      <w:pPr>
        <w:pStyle w:val="StyleCopyrightStatementAfter0ptBottomSinglesolidline1"/>
      </w:pPr>
    </w:p>
    <w:p w14:paraId="38E875EC" w14:textId="0E5CAACA" w:rsidR="007C3EAB" w:rsidRPr="0047017F" w:rsidRDefault="007C3EAB" w:rsidP="0047017F">
      <w:pPr>
        <w:pStyle w:val="StyleStyleCopyrightStatementAfter0ptBottomSinglesolid"/>
      </w:pPr>
      <w:r w:rsidRPr="0047017F">
        <w:t>This publication may not be transmitted, photocopied, digitized</w:t>
      </w:r>
      <w:r w:rsidR="00157BE1">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900BE91" w14:textId="77777777" w:rsidR="007C3EAB" w:rsidRPr="0047017F" w:rsidRDefault="007C3EAB" w:rsidP="0047017F">
      <w:pPr>
        <w:pStyle w:val="StyleStyleCopyrightStatementAfter0ptBottomSinglesolid"/>
      </w:pPr>
    </w:p>
    <w:p w14:paraId="3B8D03FA" w14:textId="648B314C" w:rsidR="003B7EF2" w:rsidRPr="00CB6B09" w:rsidRDefault="007C3EAB" w:rsidP="007C3EAB">
      <w:pPr>
        <w:pStyle w:val="StyleStyleCopyrightStatementAfter0ptBottomSinglesolid"/>
      </w:pPr>
      <w:r w:rsidRPr="0047017F">
        <w:t xml:space="preserve">Copyright © 2017, </w:t>
      </w:r>
      <w:r w:rsidRPr="0047017F">
        <w:rPr>
          <w:lang w:val="en-CA"/>
        </w:rPr>
        <w:t>Richard Ivey School of Business Foundation</w:t>
      </w:r>
      <w:r w:rsidR="003B7EF2" w:rsidRPr="00CB6B09">
        <w:tab/>
        <w:t xml:space="preserve">Version: </w:t>
      </w:r>
      <w:r w:rsidR="00361C8E" w:rsidRPr="00CB6B09">
        <w:t>201</w:t>
      </w:r>
      <w:r w:rsidR="001A04F0">
        <w:t>7</w:t>
      </w:r>
      <w:r w:rsidR="00361C8E" w:rsidRPr="00CB6B09">
        <w:t>-</w:t>
      </w:r>
      <w:r w:rsidR="005C480C">
        <w:t>11</w:t>
      </w:r>
      <w:r w:rsidR="00361C8E" w:rsidRPr="00CB6B09">
        <w:t>-</w:t>
      </w:r>
      <w:r w:rsidR="002C6B89">
        <w:t>08</w:t>
      </w:r>
    </w:p>
    <w:p w14:paraId="2BDE590D" w14:textId="77777777" w:rsidR="003B7EF2" w:rsidRPr="00CB6B09" w:rsidRDefault="003B7EF2" w:rsidP="00104567">
      <w:pPr>
        <w:pStyle w:val="StyleCopyrightStatementAfter0ptBottomSinglesolidline1"/>
        <w:rPr>
          <w:rFonts w:ascii="Times New Roman" w:hAnsi="Times New Roman"/>
          <w:sz w:val="20"/>
        </w:rPr>
      </w:pPr>
    </w:p>
    <w:p w14:paraId="0C0B094A" w14:textId="77777777" w:rsidR="003B7EF2" w:rsidRDefault="003B7EF2" w:rsidP="006F1D9E">
      <w:pPr>
        <w:pStyle w:val="Footnote"/>
      </w:pPr>
    </w:p>
    <w:p w14:paraId="1E700CE3" w14:textId="730D02AC" w:rsidR="00157FD5" w:rsidRDefault="00C83FF1" w:rsidP="00C83FF1">
      <w:pPr>
        <w:pStyle w:val="BodyTextMain"/>
      </w:pPr>
      <w:r w:rsidRPr="00C83FF1">
        <w:t>Turing Pharmaceuticals AG</w:t>
      </w:r>
      <w:r w:rsidR="00173FF4">
        <w:t xml:space="preserve"> (Turing)</w:t>
      </w:r>
      <w:r w:rsidRPr="00C83FF1">
        <w:t>, a privately held</w:t>
      </w:r>
      <w:r w:rsidR="00576804">
        <w:t>,</w:t>
      </w:r>
      <w:r w:rsidRPr="00C83FF1">
        <w:t xml:space="preserve"> New York</w:t>
      </w:r>
      <w:r w:rsidR="00CC25F5">
        <w:t>-</w:t>
      </w:r>
      <w:r w:rsidRPr="00C83FF1">
        <w:t xml:space="preserve">based biopharmaceutical company, </w:t>
      </w:r>
      <w:r w:rsidR="00E30D27">
        <w:t>came</w:t>
      </w:r>
      <w:r w:rsidR="00E30D27" w:rsidRPr="00C83FF1">
        <w:t xml:space="preserve"> </w:t>
      </w:r>
      <w:r w:rsidR="00E30D27">
        <w:t>under</w:t>
      </w:r>
      <w:r w:rsidR="00E30D27" w:rsidRPr="00C83FF1">
        <w:t xml:space="preserve"> </w:t>
      </w:r>
      <w:r w:rsidRPr="00C83FF1">
        <w:t xml:space="preserve">fire in the third quarter of </w:t>
      </w:r>
      <w:r w:rsidR="00501D9B">
        <w:t>fiscal year (</w:t>
      </w:r>
      <w:r w:rsidRPr="00C83FF1">
        <w:t>FY</w:t>
      </w:r>
      <w:r w:rsidR="00501D9B">
        <w:t>)</w:t>
      </w:r>
      <w:r w:rsidRPr="00C83FF1">
        <w:t xml:space="preserve"> 2015/16 </w:t>
      </w:r>
      <w:r w:rsidR="00E30D27">
        <w:t>for</w:t>
      </w:r>
      <w:r w:rsidR="00E30D27" w:rsidRPr="00C83FF1">
        <w:t xml:space="preserve"> </w:t>
      </w:r>
      <w:r w:rsidR="00173FF4">
        <w:t>increas</w:t>
      </w:r>
      <w:r w:rsidR="00044F2A">
        <w:t>ing</w:t>
      </w:r>
      <w:r w:rsidR="00173FF4">
        <w:t xml:space="preserve"> </w:t>
      </w:r>
      <w:r w:rsidRPr="00C83FF1">
        <w:t xml:space="preserve">the price of </w:t>
      </w:r>
      <w:r w:rsidR="00DE5DBE">
        <w:t xml:space="preserve">one of </w:t>
      </w:r>
      <w:r w:rsidR="00157BE1">
        <w:t>its</w:t>
      </w:r>
      <w:r w:rsidR="00DE5DBE">
        <w:t xml:space="preserve"> drugs, </w:t>
      </w:r>
      <w:r w:rsidRPr="00C83FF1">
        <w:t>Daraprim</w:t>
      </w:r>
      <w:r w:rsidR="00173FF4">
        <w:t xml:space="preserve"> (pyrimethamine)</w:t>
      </w:r>
      <w:r w:rsidR="00DE5DBE">
        <w:t>, from US$13.50</w:t>
      </w:r>
      <w:r w:rsidR="00157FD5">
        <w:rPr>
          <w:rStyle w:val="EndnoteReference"/>
        </w:rPr>
        <w:endnoteReference w:id="2"/>
      </w:r>
      <w:r w:rsidR="00157FD5">
        <w:t xml:space="preserve"> to $750.00 a pill.</w:t>
      </w:r>
      <w:r w:rsidR="00157FD5" w:rsidRPr="00C83FF1">
        <w:t xml:space="preserve"> Martin Shkreli,</w:t>
      </w:r>
      <w:r w:rsidR="00157FD5">
        <w:t xml:space="preserve"> the</w:t>
      </w:r>
      <w:r w:rsidR="00157FD5" w:rsidRPr="00C83FF1">
        <w:t xml:space="preserve"> </w:t>
      </w:r>
      <w:r w:rsidR="00157FD5">
        <w:t>founder and former chief executive officer (</w:t>
      </w:r>
      <w:r w:rsidR="00157FD5" w:rsidRPr="00C83FF1">
        <w:t>CEO</w:t>
      </w:r>
      <w:r w:rsidR="00157FD5">
        <w:t>)</w:t>
      </w:r>
      <w:r w:rsidR="00157FD5" w:rsidRPr="00C83FF1">
        <w:t xml:space="preserve"> of Turing, </w:t>
      </w:r>
      <w:r w:rsidR="00157FD5">
        <w:t xml:space="preserve">was subjected </w:t>
      </w:r>
      <w:r w:rsidR="00157FD5" w:rsidRPr="00C83FF1">
        <w:t xml:space="preserve">to </w:t>
      </w:r>
      <w:r w:rsidR="00157FD5">
        <w:t>scrutiny</w:t>
      </w:r>
      <w:r w:rsidR="00157FD5" w:rsidRPr="00C83FF1">
        <w:t xml:space="preserve"> and outrage</w:t>
      </w:r>
      <w:r w:rsidR="00157FD5">
        <w:t>-</w:t>
      </w:r>
      <w:r w:rsidR="00157FD5" w:rsidRPr="00C83FF1">
        <w:t>inducing media headlines</w:t>
      </w:r>
      <w:r w:rsidR="00157FD5">
        <w:t>,</w:t>
      </w:r>
      <w:r w:rsidR="00157FD5" w:rsidRPr="00C83FF1">
        <w:t xml:space="preserve"> </w:t>
      </w:r>
      <w:r w:rsidR="00157FD5">
        <w:t>such as</w:t>
      </w:r>
      <w:r w:rsidR="00157FD5" w:rsidRPr="00C83FF1">
        <w:t xml:space="preserve"> one by </w:t>
      </w:r>
      <w:r w:rsidR="00157FD5" w:rsidRPr="00653211">
        <w:rPr>
          <w:i/>
        </w:rPr>
        <w:t>Vice News</w:t>
      </w:r>
      <w:r w:rsidR="00157FD5">
        <w:t>—</w:t>
      </w:r>
      <w:r w:rsidR="00157FD5" w:rsidRPr="00C83FF1">
        <w:t>“This Is How Drug Companies Jack Up Their Prices and Hurt Patients”</w:t>
      </w:r>
      <w:r w:rsidR="00157FD5" w:rsidRPr="00B338EA">
        <w:rPr>
          <w:rStyle w:val="EndnoteReference"/>
        </w:rPr>
        <w:endnoteReference w:id="3"/>
      </w:r>
      <w:r w:rsidR="00157FD5">
        <w:t>—</w:t>
      </w:r>
      <w:r w:rsidR="00157FD5" w:rsidRPr="00C83FF1">
        <w:t>and</w:t>
      </w:r>
      <w:r w:rsidR="00157FD5">
        <w:t xml:space="preserve"> another by</w:t>
      </w:r>
      <w:r w:rsidR="00157FD5" w:rsidRPr="00C83FF1">
        <w:t xml:space="preserve"> </w:t>
      </w:r>
      <w:r w:rsidR="00157FD5" w:rsidRPr="00653211">
        <w:rPr>
          <w:i/>
        </w:rPr>
        <w:t>USA Today</w:t>
      </w:r>
      <w:r w:rsidR="00157FD5">
        <w:t>—</w:t>
      </w:r>
      <w:r w:rsidR="00157FD5" w:rsidRPr="00C83FF1">
        <w:t>“Company Hikes Price 5,000% for Drug That Fights Complication of AIDS, Cancer</w:t>
      </w:r>
      <w:r w:rsidR="00157FD5">
        <w:t>.</w:t>
      </w:r>
      <w:r w:rsidR="00157FD5" w:rsidRPr="00C83FF1">
        <w:t>”</w:t>
      </w:r>
      <w:r w:rsidR="00157FD5" w:rsidRPr="00C83FF1">
        <w:rPr>
          <w:rStyle w:val="EndnoteReference"/>
        </w:rPr>
        <w:endnoteReference w:id="4"/>
      </w:r>
      <w:r w:rsidR="00157FD5" w:rsidRPr="00C83FF1">
        <w:t xml:space="preserve"> </w:t>
      </w:r>
      <w:r w:rsidR="00157FD5">
        <w:t xml:space="preserve">The </w:t>
      </w:r>
      <w:r w:rsidR="00157FD5" w:rsidRPr="00C83FF1">
        <w:t xml:space="preserve">media </w:t>
      </w:r>
      <w:r w:rsidR="00157FD5">
        <w:t>circulated</w:t>
      </w:r>
      <w:r w:rsidR="00157FD5" w:rsidRPr="00C83FF1">
        <w:t xml:space="preserve"> </w:t>
      </w:r>
      <w:r w:rsidR="00157FD5">
        <w:t>m</w:t>
      </w:r>
      <w:r w:rsidR="00157FD5" w:rsidRPr="00C83FF1">
        <w:t>any emotional stories of affected patients</w:t>
      </w:r>
      <w:r w:rsidR="00157FD5">
        <w:t>,</w:t>
      </w:r>
      <w:r w:rsidR="00157FD5" w:rsidRPr="00C83FF1">
        <w:t xml:space="preserve"> including </w:t>
      </w:r>
      <w:r w:rsidR="00157FD5">
        <w:t xml:space="preserve">that </w:t>
      </w:r>
      <w:r w:rsidR="00157FD5" w:rsidRPr="00C83FF1">
        <w:t>of Isla</w:t>
      </w:r>
      <w:r w:rsidR="00157FD5">
        <w:t xml:space="preserve"> Weston</w:t>
      </w:r>
      <w:r w:rsidR="00157FD5" w:rsidRPr="00C83FF1">
        <w:t>.</w:t>
      </w:r>
    </w:p>
    <w:p w14:paraId="4BAB325C" w14:textId="77777777" w:rsidR="00157FD5" w:rsidRPr="00C83FF1" w:rsidRDefault="00157FD5" w:rsidP="00C83FF1">
      <w:pPr>
        <w:pStyle w:val="BodyTextMain"/>
      </w:pPr>
    </w:p>
    <w:p w14:paraId="2C373A92" w14:textId="78E0E6F5" w:rsidR="00157FD5" w:rsidRPr="000B1D9B" w:rsidRDefault="00157FD5" w:rsidP="00C83FF1">
      <w:pPr>
        <w:pStyle w:val="BodyTextMain"/>
        <w:rPr>
          <w:spacing w:val="-4"/>
          <w:kern w:val="22"/>
        </w:rPr>
      </w:pPr>
      <w:r w:rsidRPr="000B1D9B">
        <w:rPr>
          <w:spacing w:val="-4"/>
          <w:kern w:val="22"/>
        </w:rPr>
        <w:t xml:space="preserve">Isla, a four-month old girl born to Shannon Weston and her husband, Joshua, was diagnosed with congenital toxoplasmosis, a parasitic infection that </w:t>
      </w:r>
      <w:r w:rsidR="00157BE1" w:rsidRPr="000B1D9B">
        <w:rPr>
          <w:spacing w:val="-4"/>
          <w:kern w:val="22"/>
        </w:rPr>
        <w:t xml:space="preserve">had </w:t>
      </w:r>
      <w:r w:rsidRPr="000B1D9B">
        <w:rPr>
          <w:spacing w:val="-4"/>
          <w:kern w:val="22"/>
        </w:rPr>
        <w:t>occurred during pregnancy.</w:t>
      </w:r>
      <w:r w:rsidRPr="000B1D9B">
        <w:rPr>
          <w:rStyle w:val="EndnoteReference"/>
          <w:spacing w:val="-4"/>
          <w:kern w:val="22"/>
        </w:rPr>
        <w:endnoteReference w:id="5"/>
      </w:r>
      <w:r w:rsidRPr="000B1D9B">
        <w:rPr>
          <w:spacing w:val="-4"/>
          <w:kern w:val="22"/>
        </w:rPr>
        <w:t xml:space="preserve"> Isla was asymptomatic at birth, but without immediate treatment, </w:t>
      </w:r>
      <w:r w:rsidR="00157BE1" w:rsidRPr="000B1D9B">
        <w:rPr>
          <w:spacing w:val="-4"/>
          <w:kern w:val="22"/>
        </w:rPr>
        <w:t>she</w:t>
      </w:r>
      <w:r w:rsidRPr="000B1D9B">
        <w:rPr>
          <w:spacing w:val="-4"/>
          <w:kern w:val="22"/>
        </w:rPr>
        <w:t xml:space="preserve"> would </w:t>
      </w:r>
      <w:r w:rsidR="00841E14" w:rsidRPr="000B1D9B">
        <w:rPr>
          <w:spacing w:val="-4"/>
          <w:kern w:val="22"/>
        </w:rPr>
        <w:t xml:space="preserve">have </w:t>
      </w:r>
      <w:r w:rsidRPr="000B1D9B">
        <w:rPr>
          <w:spacing w:val="-4"/>
          <w:kern w:val="22"/>
        </w:rPr>
        <w:t>likely experience</w:t>
      </w:r>
      <w:r w:rsidR="00841E14" w:rsidRPr="000B1D9B">
        <w:rPr>
          <w:spacing w:val="-4"/>
          <w:kern w:val="22"/>
        </w:rPr>
        <w:t>d</w:t>
      </w:r>
      <w:r w:rsidRPr="000B1D9B">
        <w:rPr>
          <w:spacing w:val="-4"/>
          <w:kern w:val="22"/>
        </w:rPr>
        <w:t xml:space="preserve"> brain damage and blindness. When their insurance company refused to cover </w:t>
      </w:r>
      <w:r w:rsidR="00157BE1" w:rsidRPr="000B1D9B">
        <w:rPr>
          <w:spacing w:val="-4"/>
          <w:kern w:val="22"/>
        </w:rPr>
        <w:t xml:space="preserve">the </w:t>
      </w:r>
      <w:r w:rsidRPr="000B1D9B">
        <w:rPr>
          <w:spacing w:val="-4"/>
          <w:kern w:val="22"/>
        </w:rPr>
        <w:t xml:space="preserve">needed medication, Isla’s parents considered taking a second mortgage on their home, cashing in their retirement plan, </w:t>
      </w:r>
      <w:r w:rsidR="00157BE1" w:rsidRPr="000B1D9B">
        <w:rPr>
          <w:spacing w:val="-4"/>
          <w:kern w:val="22"/>
        </w:rPr>
        <w:t>and</w:t>
      </w:r>
      <w:r w:rsidRPr="000B1D9B">
        <w:rPr>
          <w:spacing w:val="-4"/>
          <w:kern w:val="22"/>
        </w:rPr>
        <w:t xml:space="preserve"> finding a benefactor to help provide the $360,000 needed for Isla’s year of treatment. The University of North Carolina was able to help the </w:t>
      </w:r>
      <w:r w:rsidR="000B1D9B" w:rsidRPr="000B1D9B">
        <w:rPr>
          <w:spacing w:val="-4"/>
          <w:kern w:val="22"/>
        </w:rPr>
        <w:t>Westons</w:t>
      </w:r>
      <w:r w:rsidRPr="000B1D9B">
        <w:rPr>
          <w:spacing w:val="-4"/>
          <w:kern w:val="22"/>
        </w:rPr>
        <w:t>, providing them with Daraprim for $48 a month.</w:t>
      </w:r>
      <w:r w:rsidRPr="000B1D9B">
        <w:rPr>
          <w:rStyle w:val="EndnoteReference"/>
          <w:spacing w:val="-4"/>
          <w:kern w:val="22"/>
        </w:rPr>
        <w:endnoteReference w:id="6"/>
      </w:r>
      <w:r w:rsidRPr="000B1D9B">
        <w:rPr>
          <w:spacing w:val="-4"/>
          <w:kern w:val="22"/>
        </w:rPr>
        <w:t xml:space="preserve"> In a testimony before the U.S. Congress, Shannon expressed her gratitude: “I am so grateful that this option was found before it was too late for my daughter.”</w:t>
      </w:r>
      <w:r w:rsidR="00074CF8" w:rsidRPr="000B1D9B">
        <w:rPr>
          <w:rStyle w:val="EndnoteReference"/>
          <w:spacing w:val="-4"/>
          <w:kern w:val="22"/>
        </w:rPr>
        <w:endnoteReference w:id="7"/>
      </w:r>
      <w:r w:rsidRPr="000B1D9B">
        <w:rPr>
          <w:spacing w:val="-4"/>
          <w:kern w:val="22"/>
        </w:rPr>
        <w:t xml:space="preserve"> </w:t>
      </w:r>
    </w:p>
    <w:p w14:paraId="5D77B4DF" w14:textId="77777777" w:rsidR="00157FD5" w:rsidRDefault="00157FD5" w:rsidP="00C83FF1">
      <w:pPr>
        <w:pStyle w:val="BodyTextMain"/>
      </w:pPr>
    </w:p>
    <w:p w14:paraId="01B7E1B8" w14:textId="360BE584" w:rsidR="00157FD5" w:rsidRDefault="00157FD5" w:rsidP="00C83FF1">
      <w:pPr>
        <w:pStyle w:val="BodyTextMain"/>
      </w:pPr>
      <w:r w:rsidRPr="00C83FF1">
        <w:t xml:space="preserve">The high cost </w:t>
      </w:r>
      <w:r>
        <w:t>of</w:t>
      </w:r>
      <w:r w:rsidRPr="00C83FF1">
        <w:t xml:space="preserve"> health</w:t>
      </w:r>
      <w:r w:rsidR="00157BE1">
        <w:t xml:space="preserve"> </w:t>
      </w:r>
      <w:r w:rsidRPr="00C83FF1">
        <w:t xml:space="preserve">care </w:t>
      </w:r>
      <w:r>
        <w:t xml:space="preserve">in the United States </w:t>
      </w:r>
      <w:r w:rsidRPr="00C83FF1">
        <w:t>c</w:t>
      </w:r>
      <w:r>
        <w:t>ould</w:t>
      </w:r>
      <w:r w:rsidRPr="00C83FF1">
        <w:t xml:space="preserve"> be attributed to the rising cost of medications</w:t>
      </w:r>
      <w:r>
        <w:t xml:space="preserve">; </w:t>
      </w:r>
      <w:r w:rsidRPr="00C83FF1">
        <w:t xml:space="preserve">for Isla, </w:t>
      </w:r>
      <w:r>
        <w:t xml:space="preserve">the rising cost </w:t>
      </w:r>
      <w:r w:rsidRPr="00C83FF1">
        <w:t xml:space="preserve">was </w:t>
      </w:r>
      <w:r>
        <w:t xml:space="preserve">a single price increase of more than </w:t>
      </w:r>
      <w:r w:rsidRPr="00C83FF1">
        <w:t>5</w:t>
      </w:r>
      <w:r>
        <w:t>,0</w:t>
      </w:r>
      <w:r w:rsidRPr="00C83FF1">
        <w:t>00</w:t>
      </w:r>
      <w:r>
        <w:t xml:space="preserve"> per cent</w:t>
      </w:r>
      <w:r w:rsidRPr="00C83FF1">
        <w:t xml:space="preserve"> in the price of Daraprim</w:t>
      </w:r>
      <w:r>
        <w:t>.</w:t>
      </w:r>
      <w:r>
        <w:rPr>
          <w:rStyle w:val="EndnoteReference"/>
        </w:rPr>
        <w:endnoteReference w:id="8"/>
      </w:r>
      <w:r>
        <w:t xml:space="preserve"> The drug, which had been on the market for decades and went off-patent in 1970, was primarily used to treat toxoplasmosis—a parasitic disease easily contracted by patients suffering with weakened immune systems due to HIV/AIDS,</w:t>
      </w:r>
      <w:r>
        <w:rPr>
          <w:rStyle w:val="EndnoteReference"/>
        </w:rPr>
        <w:endnoteReference w:id="9"/>
      </w:r>
      <w:r>
        <w:t xml:space="preserve"> cancer, pregnancy, or organ transplant.</w:t>
      </w:r>
      <w:r>
        <w:rPr>
          <w:rStyle w:val="EndnoteReference"/>
        </w:rPr>
        <w:endnoteReference w:id="10"/>
      </w:r>
      <w:r>
        <w:t xml:space="preserve"> </w:t>
      </w:r>
    </w:p>
    <w:p w14:paraId="3F323EF6" w14:textId="77777777" w:rsidR="00157FD5" w:rsidRPr="00C83FF1" w:rsidRDefault="00157FD5" w:rsidP="00C83FF1">
      <w:pPr>
        <w:pStyle w:val="BodyTextMain"/>
      </w:pPr>
    </w:p>
    <w:p w14:paraId="065B11B6" w14:textId="67094AD3" w:rsidR="00157FD5" w:rsidRPr="000B1D9B" w:rsidRDefault="00157FD5" w:rsidP="00C83FF1">
      <w:pPr>
        <w:pStyle w:val="BodyTextMain"/>
        <w:rPr>
          <w:spacing w:val="-2"/>
          <w:kern w:val="22"/>
        </w:rPr>
      </w:pPr>
      <w:r w:rsidRPr="000B1D9B">
        <w:rPr>
          <w:spacing w:val="-2"/>
          <w:kern w:val="22"/>
        </w:rPr>
        <w:t xml:space="preserve">In 2015, Turing acquired the manufacturing and commercialization rights to Daraprim in the United States from Impax Laboratories for $55 million. Shortly after the deal, Turing raised the price of the drug from $13.50 to $750.00 a pill, and moved to a more tightly controlled distribution model. Shkreli, in the face of a public outcry, defended the decision, pointing to the need for the company to turn profits, modernize the 1953 drug, and develop refined versions of the drug (“next generation” drugs) with fewer side effects and better efficacy. According to Shkreli, the increased price for the drug would support the needed research and development. He argued that the increase in the price of Daraprim was warranted because the drug was </w:t>
      </w:r>
      <w:r w:rsidRPr="000B1D9B">
        <w:rPr>
          <w:spacing w:val="-2"/>
          <w:kern w:val="22"/>
        </w:rPr>
        <w:lastRenderedPageBreak/>
        <w:t>highly specialized. He likened Daraprim to an Aston Martin previously being sold at the price of a bicycle.</w:t>
      </w:r>
      <w:r w:rsidRPr="000B1D9B">
        <w:rPr>
          <w:rStyle w:val="EndnoteReference"/>
          <w:spacing w:val="-2"/>
          <w:kern w:val="22"/>
        </w:rPr>
        <w:endnoteReference w:id="11"/>
      </w:r>
      <w:r w:rsidRPr="000B1D9B">
        <w:rPr>
          <w:spacing w:val="-2"/>
          <w:kern w:val="22"/>
        </w:rPr>
        <w:t xml:space="preserve"> How should Turing respond to the public outcry? Should Turing stand by the increased price for Daraprim? How could it handle the outcry from the patient groups that needed Daraprim? </w:t>
      </w:r>
    </w:p>
    <w:p w14:paraId="5B2D9C26" w14:textId="77777777" w:rsidR="00157FD5" w:rsidRDefault="00157FD5" w:rsidP="00C83FF1">
      <w:pPr>
        <w:pStyle w:val="BodyTextMain"/>
      </w:pPr>
    </w:p>
    <w:p w14:paraId="1F0779F3" w14:textId="77777777" w:rsidR="00157FD5" w:rsidRPr="004F6979" w:rsidRDefault="00157FD5" w:rsidP="00C83FF1">
      <w:pPr>
        <w:pStyle w:val="BodyTextMain"/>
      </w:pPr>
    </w:p>
    <w:p w14:paraId="45FD4699" w14:textId="77777777" w:rsidR="00157FD5" w:rsidRDefault="00157FD5" w:rsidP="00586859">
      <w:pPr>
        <w:pStyle w:val="Casehead1"/>
        <w:outlineLvl w:val="0"/>
      </w:pPr>
      <w:r>
        <w:t>Martin Shkreli</w:t>
      </w:r>
    </w:p>
    <w:p w14:paraId="208A4442" w14:textId="77777777" w:rsidR="00157FD5" w:rsidRPr="00480937" w:rsidRDefault="00157FD5" w:rsidP="00C83FF1">
      <w:pPr>
        <w:pStyle w:val="BodyTextMain"/>
      </w:pPr>
    </w:p>
    <w:p w14:paraId="7369684C" w14:textId="5665E6A9" w:rsidR="00157FD5" w:rsidRPr="00A249D2" w:rsidRDefault="00157FD5" w:rsidP="00C83FF1">
      <w:pPr>
        <w:pStyle w:val="BodyTextMain"/>
        <w:rPr>
          <w:szCs w:val="24"/>
        </w:rPr>
      </w:pPr>
      <w:r>
        <w:rPr>
          <w:szCs w:val="24"/>
        </w:rPr>
        <w:t>Shkreli was born in April 1983</w:t>
      </w:r>
      <w:r w:rsidR="004B28BD">
        <w:rPr>
          <w:szCs w:val="24"/>
        </w:rPr>
        <w:t>,</w:t>
      </w:r>
      <w:r>
        <w:rPr>
          <w:szCs w:val="24"/>
        </w:rPr>
        <w:t xml:space="preserve"> and </w:t>
      </w:r>
      <w:r w:rsidRPr="00A249D2">
        <w:rPr>
          <w:szCs w:val="24"/>
        </w:rPr>
        <w:t>grew up in a working</w:t>
      </w:r>
      <w:r>
        <w:rPr>
          <w:szCs w:val="24"/>
        </w:rPr>
        <w:t>-</w:t>
      </w:r>
      <w:r w:rsidRPr="00A249D2">
        <w:rPr>
          <w:szCs w:val="24"/>
        </w:rPr>
        <w:t>class neighbo</w:t>
      </w:r>
      <w:r>
        <w:rPr>
          <w:szCs w:val="24"/>
        </w:rPr>
        <w:t>u</w:t>
      </w:r>
      <w:r w:rsidRPr="00A249D2">
        <w:rPr>
          <w:szCs w:val="24"/>
        </w:rPr>
        <w:t>rhood in Brooklyn</w:t>
      </w:r>
      <w:r>
        <w:rPr>
          <w:szCs w:val="24"/>
        </w:rPr>
        <w:t xml:space="preserve">, </w:t>
      </w:r>
      <w:r w:rsidRPr="00A249D2">
        <w:rPr>
          <w:szCs w:val="24"/>
        </w:rPr>
        <w:t>New York.</w:t>
      </w:r>
      <w:r>
        <w:rPr>
          <w:szCs w:val="24"/>
        </w:rPr>
        <w:t xml:space="preserve"> As a young child, Shkreli was interested in playing chess, and attributed his interest to </w:t>
      </w:r>
      <w:r w:rsidRPr="00A249D2">
        <w:rPr>
          <w:szCs w:val="24"/>
        </w:rPr>
        <w:t>a man called Marty</w:t>
      </w:r>
      <w:r>
        <w:rPr>
          <w:szCs w:val="24"/>
        </w:rPr>
        <w:t>,</w:t>
      </w:r>
      <w:r w:rsidRPr="00A249D2">
        <w:rPr>
          <w:szCs w:val="24"/>
        </w:rPr>
        <w:t xml:space="preserve"> </w:t>
      </w:r>
      <w:r>
        <w:rPr>
          <w:szCs w:val="24"/>
        </w:rPr>
        <w:t>who</w:t>
      </w:r>
      <w:r w:rsidRPr="00A249D2">
        <w:rPr>
          <w:szCs w:val="24"/>
        </w:rPr>
        <w:t xml:space="preserve"> lived in </w:t>
      </w:r>
      <w:r>
        <w:rPr>
          <w:szCs w:val="24"/>
        </w:rPr>
        <w:t>Shkreli’s</w:t>
      </w:r>
      <w:r w:rsidRPr="00A249D2">
        <w:rPr>
          <w:szCs w:val="24"/>
        </w:rPr>
        <w:t xml:space="preserve"> building. </w:t>
      </w:r>
      <w:r>
        <w:rPr>
          <w:szCs w:val="24"/>
        </w:rPr>
        <w:t>At an age when children usually play</w:t>
      </w:r>
      <w:r w:rsidR="004B28BD">
        <w:rPr>
          <w:szCs w:val="24"/>
        </w:rPr>
        <w:t>ed</w:t>
      </w:r>
      <w:r>
        <w:rPr>
          <w:szCs w:val="24"/>
        </w:rPr>
        <w:t xml:space="preserve"> with toys, Shkreli began an investment-related education about public listed company stocks with the help of </w:t>
      </w:r>
      <w:r w:rsidRPr="00A249D2">
        <w:rPr>
          <w:szCs w:val="24"/>
        </w:rPr>
        <w:t>Marty</w:t>
      </w:r>
      <w:r>
        <w:rPr>
          <w:szCs w:val="24"/>
        </w:rPr>
        <w:t>.</w:t>
      </w:r>
      <w:r w:rsidRPr="00A249D2">
        <w:rPr>
          <w:szCs w:val="24"/>
        </w:rPr>
        <w:t xml:space="preserve"> </w:t>
      </w:r>
      <w:r>
        <w:rPr>
          <w:szCs w:val="24"/>
        </w:rPr>
        <w:t>Shkreli remarked, “</w:t>
      </w:r>
      <w:r w:rsidRPr="00A249D2">
        <w:rPr>
          <w:szCs w:val="24"/>
        </w:rPr>
        <w:t>I kept thinking even as a young kid</w:t>
      </w:r>
      <w:r>
        <w:rPr>
          <w:szCs w:val="24"/>
        </w:rPr>
        <w:t>—</w:t>
      </w:r>
      <w:r w:rsidRPr="00A249D2">
        <w:rPr>
          <w:szCs w:val="24"/>
        </w:rPr>
        <w:t>at 10 or 11 years</w:t>
      </w:r>
      <w:r>
        <w:rPr>
          <w:szCs w:val="24"/>
        </w:rPr>
        <w:t>—</w:t>
      </w:r>
      <w:r w:rsidRPr="00A249D2">
        <w:rPr>
          <w:szCs w:val="24"/>
        </w:rPr>
        <w:t>I could have a compa</w:t>
      </w:r>
      <w:r>
        <w:rPr>
          <w:szCs w:val="24"/>
        </w:rPr>
        <w:t>ny as big as Eli Lilly or Merck.”</w:t>
      </w:r>
      <w:r w:rsidRPr="00A249D2">
        <w:rPr>
          <w:szCs w:val="24"/>
        </w:rPr>
        <w:t xml:space="preserve"> </w:t>
      </w:r>
      <w:r>
        <w:rPr>
          <w:szCs w:val="24"/>
        </w:rPr>
        <w:t xml:space="preserve">Recalling his early days in an interview with </w:t>
      </w:r>
      <w:r w:rsidRPr="003F6781">
        <w:rPr>
          <w:szCs w:val="24"/>
        </w:rPr>
        <w:t>CNN Money</w:t>
      </w:r>
      <w:r>
        <w:rPr>
          <w:szCs w:val="24"/>
        </w:rPr>
        <w:t xml:space="preserve">, Shkreli said, </w:t>
      </w:r>
      <w:r w:rsidRPr="00A249D2">
        <w:rPr>
          <w:szCs w:val="24"/>
        </w:rPr>
        <w:t>“As a kid, my friends knew all the Yankees and Mets players</w:t>
      </w:r>
      <w:r>
        <w:rPr>
          <w:szCs w:val="24"/>
        </w:rPr>
        <w:t>’</w:t>
      </w:r>
      <w:r w:rsidRPr="00A249D2">
        <w:rPr>
          <w:szCs w:val="24"/>
        </w:rPr>
        <w:t xml:space="preserve"> batting averages and how many home runs they hit. I knew everything about all the public companies.”</w:t>
      </w:r>
      <w:r w:rsidRPr="00A249D2">
        <w:rPr>
          <w:rStyle w:val="EndnoteReference"/>
          <w:szCs w:val="24"/>
        </w:rPr>
        <w:endnoteReference w:id="12"/>
      </w:r>
    </w:p>
    <w:p w14:paraId="2DD32106" w14:textId="77777777" w:rsidR="00157FD5" w:rsidRPr="00A249D2" w:rsidRDefault="00157FD5" w:rsidP="00C83FF1">
      <w:pPr>
        <w:pStyle w:val="BodyTextMain"/>
        <w:rPr>
          <w:szCs w:val="24"/>
        </w:rPr>
      </w:pPr>
    </w:p>
    <w:p w14:paraId="2550E35B" w14:textId="1E4EB4B8" w:rsidR="00157FD5" w:rsidRPr="00A249D2" w:rsidRDefault="00157FD5" w:rsidP="00C83FF1">
      <w:pPr>
        <w:pStyle w:val="BodyTextMain"/>
        <w:rPr>
          <w:szCs w:val="24"/>
        </w:rPr>
      </w:pPr>
      <w:r>
        <w:rPr>
          <w:szCs w:val="24"/>
        </w:rPr>
        <w:t xml:space="preserve">Passionate about a career in investments, Shkreli dropped out of school at the age of 16 and began to work as an intern </w:t>
      </w:r>
      <w:r w:rsidRPr="00A249D2">
        <w:rPr>
          <w:szCs w:val="24"/>
        </w:rPr>
        <w:t>at Cramer, Berkowitz &amp; Co.</w:t>
      </w:r>
      <w:r w:rsidRPr="00A249D2">
        <w:rPr>
          <w:rStyle w:val="EndnoteReference"/>
          <w:szCs w:val="24"/>
        </w:rPr>
        <w:endnoteReference w:id="13"/>
      </w:r>
      <w:r w:rsidRPr="00A249D2">
        <w:rPr>
          <w:szCs w:val="24"/>
        </w:rPr>
        <w:t xml:space="preserve"> </w:t>
      </w:r>
      <w:r>
        <w:rPr>
          <w:szCs w:val="24"/>
        </w:rPr>
        <w:t xml:space="preserve">Shkreli continued his education </w:t>
      </w:r>
      <w:r w:rsidR="004B28BD">
        <w:rPr>
          <w:szCs w:val="24"/>
        </w:rPr>
        <w:t xml:space="preserve">later </w:t>
      </w:r>
      <w:r>
        <w:rPr>
          <w:szCs w:val="24"/>
        </w:rPr>
        <w:t>and</w:t>
      </w:r>
      <w:r w:rsidRPr="00A249D2">
        <w:rPr>
          <w:szCs w:val="24"/>
        </w:rPr>
        <w:t xml:space="preserve"> </w:t>
      </w:r>
      <w:r>
        <w:rPr>
          <w:szCs w:val="24"/>
        </w:rPr>
        <w:t xml:space="preserve">pursued </w:t>
      </w:r>
      <w:r w:rsidRPr="00A249D2">
        <w:rPr>
          <w:szCs w:val="24"/>
        </w:rPr>
        <w:t xml:space="preserve">his business degree </w:t>
      </w:r>
      <w:r>
        <w:rPr>
          <w:szCs w:val="24"/>
        </w:rPr>
        <w:t xml:space="preserve">at </w:t>
      </w:r>
      <w:r w:rsidRPr="00A249D2">
        <w:rPr>
          <w:szCs w:val="24"/>
        </w:rPr>
        <w:t>New York’s Baruch College</w:t>
      </w:r>
      <w:r>
        <w:rPr>
          <w:szCs w:val="24"/>
        </w:rPr>
        <w:t>. Shkreli’s working career included brief</w:t>
      </w:r>
      <w:r w:rsidRPr="00A249D2">
        <w:rPr>
          <w:szCs w:val="24"/>
        </w:rPr>
        <w:t xml:space="preserve"> stints at UBS a</w:t>
      </w:r>
      <w:r>
        <w:rPr>
          <w:szCs w:val="24"/>
        </w:rPr>
        <w:t xml:space="preserve">nd Intrepid Capital Management. </w:t>
      </w:r>
      <w:r w:rsidRPr="00A249D2">
        <w:rPr>
          <w:szCs w:val="24"/>
        </w:rPr>
        <w:t>In 2006, he started his own hedge</w:t>
      </w:r>
      <w:r>
        <w:rPr>
          <w:szCs w:val="24"/>
        </w:rPr>
        <w:t xml:space="preserve"> fund, Elea Capital Management (Elea). At Elea, Shkreli lost his investors’ money and the fund </w:t>
      </w:r>
      <w:r w:rsidRPr="00A249D2">
        <w:rPr>
          <w:szCs w:val="24"/>
        </w:rPr>
        <w:t>close</w:t>
      </w:r>
      <w:r>
        <w:rPr>
          <w:szCs w:val="24"/>
        </w:rPr>
        <w:t>d a year later.</w:t>
      </w:r>
      <w:r>
        <w:rPr>
          <w:rStyle w:val="EndnoteReference"/>
          <w:szCs w:val="24"/>
        </w:rPr>
        <w:endnoteReference w:id="14"/>
      </w:r>
      <w:r w:rsidRPr="00A249D2">
        <w:rPr>
          <w:szCs w:val="24"/>
        </w:rPr>
        <w:t xml:space="preserve"> </w:t>
      </w:r>
      <w:r>
        <w:rPr>
          <w:szCs w:val="24"/>
        </w:rPr>
        <w:t>Shkreli’s second hedge fund venture was MSMB Capital Management</w:t>
      </w:r>
      <w:r w:rsidRPr="00A249D2">
        <w:rPr>
          <w:szCs w:val="24"/>
        </w:rPr>
        <w:t>.</w:t>
      </w:r>
      <w:r w:rsidRPr="00A249D2">
        <w:rPr>
          <w:rStyle w:val="EndnoteReference"/>
          <w:szCs w:val="24"/>
        </w:rPr>
        <w:endnoteReference w:id="15"/>
      </w:r>
    </w:p>
    <w:p w14:paraId="2B2EEEA7" w14:textId="77777777" w:rsidR="00157FD5" w:rsidRPr="00A249D2" w:rsidRDefault="00157FD5" w:rsidP="00C83FF1">
      <w:pPr>
        <w:pStyle w:val="BodyTextMain"/>
        <w:rPr>
          <w:szCs w:val="24"/>
        </w:rPr>
      </w:pPr>
    </w:p>
    <w:p w14:paraId="42865948" w14:textId="07A1958C" w:rsidR="00157FD5" w:rsidRPr="00A249D2" w:rsidRDefault="00157FD5" w:rsidP="00C83FF1">
      <w:pPr>
        <w:pStyle w:val="BodyTextMain"/>
        <w:rPr>
          <w:szCs w:val="24"/>
        </w:rPr>
      </w:pPr>
      <w:r>
        <w:rPr>
          <w:szCs w:val="24"/>
        </w:rPr>
        <w:t>Retrophin LLC (Retrophin), a Delaware-based company, was the first biotech firm Shkreli founded, in 2011. In 2014, Shkreli was removed from Retrophin’s board due to alleged improper</w:t>
      </w:r>
      <w:r w:rsidRPr="00EF4887">
        <w:rPr>
          <w:szCs w:val="24"/>
        </w:rPr>
        <w:t xml:space="preserve"> handling </w:t>
      </w:r>
      <w:r>
        <w:rPr>
          <w:szCs w:val="24"/>
        </w:rPr>
        <w:t xml:space="preserve">of </w:t>
      </w:r>
      <w:r w:rsidRPr="00EF4887">
        <w:rPr>
          <w:szCs w:val="24"/>
        </w:rPr>
        <w:t>legal settlements</w:t>
      </w:r>
      <w:r>
        <w:rPr>
          <w:szCs w:val="24"/>
        </w:rPr>
        <w:t>, and siphoning Retrophin’s money to compensate for the loss suffered by MSMB’s investors.</w:t>
      </w:r>
      <w:r>
        <w:rPr>
          <w:rStyle w:val="EndnoteReference"/>
          <w:szCs w:val="24"/>
        </w:rPr>
        <w:endnoteReference w:id="16"/>
      </w:r>
      <w:r>
        <w:rPr>
          <w:szCs w:val="24"/>
        </w:rPr>
        <w:t xml:space="preserve"> </w:t>
      </w:r>
      <w:r w:rsidR="002C6B89">
        <w:rPr>
          <w:szCs w:val="24"/>
        </w:rPr>
        <w:t>Denying</w:t>
      </w:r>
      <w:r>
        <w:rPr>
          <w:szCs w:val="24"/>
        </w:rPr>
        <w:t xml:space="preserve"> the allegations, </w:t>
      </w:r>
      <w:r w:rsidRPr="00A249D2">
        <w:rPr>
          <w:szCs w:val="24"/>
        </w:rPr>
        <w:t xml:space="preserve">Shkreli </w:t>
      </w:r>
      <w:r>
        <w:rPr>
          <w:szCs w:val="24"/>
        </w:rPr>
        <w:t xml:space="preserve">said in an interview with the </w:t>
      </w:r>
      <w:r w:rsidRPr="00115583">
        <w:rPr>
          <w:i/>
          <w:szCs w:val="24"/>
        </w:rPr>
        <w:t>New York Times</w:t>
      </w:r>
      <w:r>
        <w:rPr>
          <w:szCs w:val="24"/>
        </w:rPr>
        <w:t>, “</w:t>
      </w:r>
      <w:r w:rsidRPr="00A249D2">
        <w:rPr>
          <w:szCs w:val="24"/>
        </w:rPr>
        <w:t>They are sort of concocting this wild and crazy and unlikely story to swindle me out of the money</w:t>
      </w:r>
      <w:r>
        <w:rPr>
          <w:szCs w:val="24"/>
        </w:rPr>
        <w:t>.”</w:t>
      </w:r>
      <w:r w:rsidRPr="00A249D2">
        <w:rPr>
          <w:rStyle w:val="EndnoteReference"/>
          <w:szCs w:val="24"/>
        </w:rPr>
        <w:endnoteReference w:id="17"/>
      </w:r>
    </w:p>
    <w:p w14:paraId="371BE61D" w14:textId="77777777" w:rsidR="00157FD5" w:rsidRPr="004F6979" w:rsidRDefault="00157FD5" w:rsidP="00C83FF1">
      <w:pPr>
        <w:pStyle w:val="BodyTextMain"/>
        <w:rPr>
          <w:sz w:val="24"/>
          <w:szCs w:val="24"/>
        </w:rPr>
      </w:pPr>
    </w:p>
    <w:p w14:paraId="4C8D4866" w14:textId="5894F033" w:rsidR="00157FD5" w:rsidRDefault="00157FD5" w:rsidP="00C83FF1">
      <w:pPr>
        <w:pStyle w:val="BodyTextMain"/>
        <w:rPr>
          <w:szCs w:val="24"/>
        </w:rPr>
      </w:pPr>
      <w:r>
        <w:rPr>
          <w:szCs w:val="24"/>
        </w:rPr>
        <w:t xml:space="preserve">After the legal dispute at Retrophin, Shkreli moved on in February 2015 to form another biopharmaceutical firm: </w:t>
      </w:r>
      <w:r w:rsidRPr="00A249D2">
        <w:rPr>
          <w:szCs w:val="24"/>
        </w:rPr>
        <w:t>Turing</w:t>
      </w:r>
      <w:r>
        <w:rPr>
          <w:szCs w:val="24"/>
        </w:rPr>
        <w:t>. The intent was to focus on providing treatment for serious diseases. Turing had two medications in its product offerings:</w:t>
      </w:r>
      <w:r w:rsidRPr="00A249D2">
        <w:rPr>
          <w:szCs w:val="24"/>
        </w:rPr>
        <w:t xml:space="preserve"> Daraprim</w:t>
      </w:r>
      <w:r>
        <w:rPr>
          <w:szCs w:val="24"/>
        </w:rPr>
        <w:t>, used to</w:t>
      </w:r>
      <w:r w:rsidRPr="00A249D2">
        <w:rPr>
          <w:szCs w:val="24"/>
        </w:rPr>
        <w:t xml:space="preserve"> treat toxoplasmosis</w:t>
      </w:r>
      <w:r>
        <w:rPr>
          <w:szCs w:val="24"/>
        </w:rPr>
        <w:t>,</w:t>
      </w:r>
      <w:r w:rsidRPr="00A249D2">
        <w:rPr>
          <w:szCs w:val="24"/>
        </w:rPr>
        <w:t xml:space="preserve"> and Vecamyl®</w:t>
      </w:r>
      <w:r>
        <w:rPr>
          <w:szCs w:val="24"/>
        </w:rPr>
        <w:t xml:space="preserve">, used to </w:t>
      </w:r>
      <w:r w:rsidRPr="00A249D2">
        <w:rPr>
          <w:szCs w:val="24"/>
        </w:rPr>
        <w:t>treat hypertension.</w:t>
      </w:r>
      <w:r>
        <w:rPr>
          <w:szCs w:val="24"/>
        </w:rPr>
        <w:t xml:space="preserve"> </w:t>
      </w:r>
    </w:p>
    <w:p w14:paraId="42554731" w14:textId="77777777" w:rsidR="00157FD5" w:rsidRDefault="00157FD5" w:rsidP="00C83FF1">
      <w:pPr>
        <w:pStyle w:val="BodyTextMain"/>
        <w:rPr>
          <w:szCs w:val="24"/>
        </w:rPr>
      </w:pPr>
    </w:p>
    <w:p w14:paraId="334E5D7C" w14:textId="6A589991" w:rsidR="00157FD5" w:rsidRPr="00C83FF1" w:rsidRDefault="00157FD5" w:rsidP="00C83FF1">
      <w:pPr>
        <w:pStyle w:val="BodyTextMain"/>
      </w:pPr>
      <w:r>
        <w:rPr>
          <w:szCs w:val="24"/>
        </w:rPr>
        <w:t>I</w:t>
      </w:r>
      <w:r w:rsidRPr="00C83FF1">
        <w:t>n November 2015</w:t>
      </w:r>
      <w:r>
        <w:t>, b</w:t>
      </w:r>
      <w:r>
        <w:rPr>
          <w:szCs w:val="24"/>
        </w:rPr>
        <w:t>eing true t</w:t>
      </w:r>
      <w:bookmarkStart w:id="0" w:name="_GoBack"/>
      <w:bookmarkEnd w:id="0"/>
      <w:r>
        <w:rPr>
          <w:szCs w:val="24"/>
        </w:rPr>
        <w:t xml:space="preserve">o his entrepreneurial spirit, </w:t>
      </w:r>
      <w:r>
        <w:t>Shkreli</w:t>
      </w:r>
      <w:r w:rsidRPr="00C83FF1">
        <w:t xml:space="preserve"> bought </w:t>
      </w:r>
      <w:r>
        <w:t xml:space="preserve">ailing </w:t>
      </w:r>
      <w:r w:rsidRPr="00C83FF1">
        <w:t>Kalo</w:t>
      </w:r>
      <w:r>
        <w:t xml:space="preserve">Bios Pharmaceuticals (KaloBios). The pharmaceutical </w:t>
      </w:r>
      <w:r w:rsidR="004B28BD">
        <w:t xml:space="preserve">firm </w:t>
      </w:r>
      <w:r>
        <w:t>had acquired worldwide ownership rights to the drug benznidazole, which was primarily used to treat Chagas disease, a parasitic disease that could lead to cardiac and digestive issues. Soon after Shkreli took over KaloBios, the company’s shares soared 400 per cent.</w:t>
      </w:r>
      <w:r w:rsidRPr="00C83FF1">
        <w:rPr>
          <w:rStyle w:val="EndnoteReference"/>
        </w:rPr>
        <w:endnoteReference w:id="18"/>
      </w:r>
      <w:r w:rsidRPr="00C83FF1">
        <w:t xml:space="preserve"> </w:t>
      </w:r>
      <w:r>
        <w:t>However, i</w:t>
      </w:r>
      <w:r w:rsidRPr="00C83FF1">
        <w:t>n December</w:t>
      </w:r>
      <w:r>
        <w:t xml:space="preserve"> 2015</w:t>
      </w:r>
      <w:r w:rsidRPr="00C83FF1">
        <w:t xml:space="preserve">, </w:t>
      </w:r>
      <w:r>
        <w:t xml:space="preserve">after Shkreli had been arrested in a securities fraud case, </w:t>
      </w:r>
      <w:r w:rsidRPr="00C83FF1">
        <w:t>he was fired from</w:t>
      </w:r>
      <w:r>
        <w:t xml:space="preserve"> his position as CEO at</w:t>
      </w:r>
      <w:r w:rsidRPr="00C83FF1">
        <w:t xml:space="preserve"> KaloBios, </w:t>
      </w:r>
      <w:r>
        <w:t xml:space="preserve">and the company </w:t>
      </w:r>
      <w:r w:rsidRPr="00C83FF1">
        <w:t>eventually filed for bankruptcy</w:t>
      </w:r>
      <w:r>
        <w:t>.</w:t>
      </w:r>
      <w:r>
        <w:rPr>
          <w:rStyle w:val="EndnoteReference"/>
        </w:rPr>
        <w:endnoteReference w:id="19"/>
      </w:r>
      <w:r>
        <w:t xml:space="preserve"> At the same time, Shkreli resigned as CEO of Turing, after which Ron Tilles, then chairman of the board, was appointed interim CEO.</w:t>
      </w:r>
    </w:p>
    <w:p w14:paraId="60652EE5" w14:textId="77777777" w:rsidR="00157FD5" w:rsidRDefault="00157FD5" w:rsidP="00C83FF1">
      <w:pPr>
        <w:pStyle w:val="BodyTextMain"/>
        <w:rPr>
          <w:sz w:val="24"/>
          <w:szCs w:val="24"/>
        </w:rPr>
      </w:pPr>
    </w:p>
    <w:p w14:paraId="24C4E0A8" w14:textId="77777777" w:rsidR="00157FD5" w:rsidRPr="004F6979" w:rsidRDefault="00157FD5" w:rsidP="00C83FF1">
      <w:pPr>
        <w:pStyle w:val="BodyTextMain"/>
        <w:rPr>
          <w:sz w:val="24"/>
          <w:szCs w:val="24"/>
        </w:rPr>
      </w:pPr>
    </w:p>
    <w:p w14:paraId="2FEB623A" w14:textId="77777777" w:rsidR="00157FD5" w:rsidRDefault="00157FD5" w:rsidP="003F6781">
      <w:pPr>
        <w:pStyle w:val="Casehead1"/>
        <w:keepNext/>
        <w:outlineLvl w:val="0"/>
      </w:pPr>
      <w:r>
        <w:t>Inside Turing</w:t>
      </w:r>
    </w:p>
    <w:p w14:paraId="742412B3" w14:textId="77777777" w:rsidR="00157FD5" w:rsidRPr="00480937" w:rsidRDefault="00157FD5" w:rsidP="003F6781">
      <w:pPr>
        <w:pStyle w:val="BodyTextMain"/>
        <w:keepNext/>
      </w:pPr>
    </w:p>
    <w:p w14:paraId="26EE4FBF" w14:textId="25B6DE7F" w:rsidR="00157FD5" w:rsidRPr="000B1D9B" w:rsidRDefault="00157FD5">
      <w:pPr>
        <w:pStyle w:val="BodyTextMain"/>
        <w:rPr>
          <w:spacing w:val="-2"/>
          <w:kern w:val="22"/>
        </w:rPr>
      </w:pPr>
      <w:r w:rsidRPr="000B1D9B">
        <w:rPr>
          <w:spacing w:val="-2"/>
          <w:kern w:val="22"/>
        </w:rPr>
        <w:t xml:space="preserve">Many senior officials at Turing were unhappy with the sudden increase in the price of Daraprim, and were concerned about the negative impact on Turing’s reputation. </w:t>
      </w:r>
      <w:r w:rsidR="004B28BD" w:rsidRPr="000B1D9B">
        <w:rPr>
          <w:spacing w:val="-2"/>
          <w:kern w:val="22"/>
        </w:rPr>
        <w:t>C</w:t>
      </w:r>
      <w:r w:rsidRPr="000B1D9B">
        <w:rPr>
          <w:spacing w:val="-2"/>
          <w:kern w:val="22"/>
        </w:rPr>
        <w:t xml:space="preserve">ompany officials had to face not only the media scrutiny, but also inquiries from several U.S. senators demanding that pricing decisions be explained. </w:t>
      </w:r>
      <w:r w:rsidRPr="000B1D9B">
        <w:rPr>
          <w:spacing w:val="-2"/>
          <w:kern w:val="22"/>
        </w:rPr>
        <w:lastRenderedPageBreak/>
        <w:t>On March 17, 2016, in a testimony before the United States Senate’s Special Committee on Aging, Howard Dorfman, who had been senior vice-president and general counsel at Turing, said he and other members of Turing’s management committee raised objections to the price increase. He explained that there was no formal study protocol in place at Turing to develop a next generation toxoplasmosis therapy.</w:t>
      </w:r>
      <w:r w:rsidRPr="000B1D9B">
        <w:rPr>
          <w:rStyle w:val="EndnoteReference"/>
          <w:spacing w:val="-2"/>
          <w:kern w:val="22"/>
        </w:rPr>
        <w:endnoteReference w:id="20"/>
      </w:r>
    </w:p>
    <w:p w14:paraId="1F760976" w14:textId="77777777" w:rsidR="00157FD5" w:rsidRPr="004F6979" w:rsidRDefault="00157FD5" w:rsidP="00C83FF1">
      <w:pPr>
        <w:pStyle w:val="BodyTextMain"/>
      </w:pPr>
    </w:p>
    <w:p w14:paraId="09EA2B26" w14:textId="5BC2C3BE" w:rsidR="00157FD5" w:rsidRDefault="00157FD5" w:rsidP="00C83FF1">
      <w:pPr>
        <w:pStyle w:val="BodyTextMain"/>
      </w:pPr>
      <w:r>
        <w:t>Dorfman</w:t>
      </w:r>
      <w:r w:rsidRPr="00653211">
        <w:t xml:space="preserve"> further explained that Daraprim was </w:t>
      </w:r>
      <w:r>
        <w:t>distributed through a closed or “controlled” system</w:t>
      </w:r>
      <w:r w:rsidR="004B28BD">
        <w:t>;</w:t>
      </w:r>
      <w:r>
        <w:t xml:space="preserve"> </w:t>
      </w:r>
      <w:r w:rsidR="004B28BD">
        <w:t>it</w:t>
      </w:r>
      <w:r w:rsidRPr="00653211">
        <w:t xml:space="preserve"> could not be obtained through normal </w:t>
      </w:r>
      <w:r>
        <w:t xml:space="preserve">hospital or </w:t>
      </w:r>
      <w:r w:rsidRPr="00653211">
        <w:t>pharmacy channels</w:t>
      </w:r>
      <w:r w:rsidR="004B28BD">
        <w:t>, but</w:t>
      </w:r>
      <w:r>
        <w:t xml:space="preserve"> through a direct dispensing and case management program run by Turing</w:t>
      </w:r>
      <w:r w:rsidRPr="00653211">
        <w:t>. This tightly controlled drug distribution system</w:t>
      </w:r>
      <w:r>
        <w:t xml:space="preserve"> excluded</w:t>
      </w:r>
      <w:r w:rsidRPr="00653211">
        <w:t xml:space="preserve"> the entry of </w:t>
      </w:r>
      <w:r>
        <w:t xml:space="preserve">a </w:t>
      </w:r>
      <w:r w:rsidRPr="00653211">
        <w:t xml:space="preserve">potential </w:t>
      </w:r>
      <w:r>
        <w:t>“</w:t>
      </w:r>
      <w:r w:rsidRPr="00653211">
        <w:t xml:space="preserve">second generic </w:t>
      </w:r>
      <w:r>
        <w:t>competitor”—an approved substitute for the specific branded drug—</w:t>
      </w:r>
      <w:r w:rsidRPr="00653211">
        <w:t xml:space="preserve">which enabled Turing to enjoy </w:t>
      </w:r>
      <w:r>
        <w:t xml:space="preserve">a </w:t>
      </w:r>
      <w:r w:rsidRPr="00653211">
        <w:t>monopoly power for at least three years</w:t>
      </w:r>
      <w:r>
        <w:t>.</w:t>
      </w:r>
      <w:r w:rsidRPr="003F6781">
        <w:rPr>
          <w:rStyle w:val="EndnoteReference"/>
        </w:rPr>
        <w:endnoteReference w:id="21"/>
      </w:r>
      <w:r w:rsidRPr="008A5A4C">
        <w:t xml:space="preserve"> </w:t>
      </w:r>
      <w:r w:rsidRPr="00E0611C">
        <w:t xml:space="preserve">Dorfman </w:t>
      </w:r>
      <w:r>
        <w:t>justified</w:t>
      </w:r>
      <w:r w:rsidRPr="00E0611C">
        <w:t xml:space="preserve"> Turing’s distribution strategy by saying, “</w:t>
      </w:r>
      <w:r>
        <w:t>[I]</w:t>
      </w:r>
      <w:r w:rsidRPr="00653211">
        <w:t>t is important to understand h</w:t>
      </w:r>
      <w:r w:rsidRPr="00E0611C">
        <w:t>ow that closed distribution system plays a role in maximizing the returns on a drug such as Daraprim.</w:t>
      </w:r>
      <w:r w:rsidRPr="00653211">
        <w:t>”</w:t>
      </w:r>
    </w:p>
    <w:p w14:paraId="0FA8A4B5" w14:textId="77777777" w:rsidR="00157FD5" w:rsidRDefault="00157FD5" w:rsidP="00C83FF1">
      <w:pPr>
        <w:pStyle w:val="BodyTextMain"/>
      </w:pPr>
    </w:p>
    <w:p w14:paraId="77860AA5" w14:textId="2D630E28" w:rsidR="00157FD5" w:rsidRDefault="00157FD5" w:rsidP="00C83FF1">
      <w:pPr>
        <w:pStyle w:val="BodyTextMain"/>
      </w:pPr>
      <w:r>
        <w:t xml:space="preserve">During an interview with </w:t>
      </w:r>
      <w:r w:rsidRPr="003F6781">
        <w:t>F</w:t>
      </w:r>
      <w:r>
        <w:t>ox</w:t>
      </w:r>
      <w:r w:rsidRPr="003F6781">
        <w:t>5</w:t>
      </w:r>
      <w:r>
        <w:t xml:space="preserve"> in New York, Shkreli explained that the company invested all of its cash and all of its “extra” profit in research and development (R&amp;D).</w:t>
      </w:r>
      <w:r>
        <w:rPr>
          <w:rStyle w:val="EndnoteReference"/>
        </w:rPr>
        <w:endnoteReference w:id="22"/>
      </w:r>
      <w:r>
        <w:t xml:space="preserve"> Contradicting Shkreli’s statement, Nancy Retzlaff, Turing’s chief commercial officer, testified in a Congressional hearing that only 60 per cent of the company’s</w:t>
      </w:r>
      <w:r w:rsidR="001E6820">
        <w:t xml:space="preserve"> net</w:t>
      </w:r>
      <w:r>
        <w:t xml:space="preserve"> revenue was used in R&amp;D. She added that Turing was running the Daraprim program at a financial loss, revealing that gross sales for 2015 were approximately $98 million and net sales for the same period were $20 million.</w:t>
      </w:r>
      <w:r w:rsidRPr="009B44CB">
        <w:rPr>
          <w:rStyle w:val="EndnoteReference"/>
        </w:rPr>
        <w:endnoteReference w:id="23"/>
      </w:r>
      <w:r>
        <w:t xml:space="preserve"> At the same time, the company was increasing salaries, according to a board agenda for October 14, 2015 (</w:t>
      </w:r>
      <w:r w:rsidR="00254B39">
        <w:t xml:space="preserve">see </w:t>
      </w:r>
      <w:r>
        <w:t xml:space="preserve">Exhibit </w:t>
      </w:r>
      <w:r w:rsidR="00254B39">
        <w:t>1</w:t>
      </w:r>
      <w:r>
        <w:t>).</w:t>
      </w:r>
      <w:r>
        <w:rPr>
          <w:rStyle w:val="EndnoteReference"/>
        </w:rPr>
        <w:endnoteReference w:id="24"/>
      </w:r>
      <w:r>
        <w:t xml:space="preserve"> When asked whether she was planning any future price increases, Retzlaff replied, “No, I am not.”</w:t>
      </w:r>
      <w:r>
        <w:rPr>
          <w:rStyle w:val="EndnoteReference"/>
        </w:rPr>
        <w:endnoteReference w:id="25"/>
      </w:r>
    </w:p>
    <w:p w14:paraId="6C5364D5" w14:textId="77777777" w:rsidR="00157FD5" w:rsidRDefault="00157FD5" w:rsidP="00C83FF1">
      <w:pPr>
        <w:pStyle w:val="BodyTextMain"/>
      </w:pPr>
    </w:p>
    <w:p w14:paraId="2F27919B" w14:textId="5F2C04D5" w:rsidR="00157FD5" w:rsidRPr="000C3678" w:rsidRDefault="00157FD5" w:rsidP="00C83FF1">
      <w:pPr>
        <w:pStyle w:val="BodyTextMain"/>
        <w:rPr>
          <w:spacing w:val="-2"/>
          <w:kern w:val="22"/>
        </w:rPr>
      </w:pPr>
      <w:r w:rsidRPr="000C3678">
        <w:rPr>
          <w:spacing w:val="-2"/>
          <w:kern w:val="22"/>
        </w:rPr>
        <w:t xml:space="preserve">The burden of the increased drug price fell on insurance companies, who in turn charged their members higher insurance premiums. Retzlaff clarified that the $750 price for Daraprim was primarily borne by commercial insurers, who represented the minority of patients. The majority of patients received Daraprim through public programs that purchased Daraprim at a reduced cost, or through a patient assistance program run by Turing. The price of Daraprim in other countries was significantly lower than in the United States (see Exhibit </w:t>
      </w:r>
      <w:r w:rsidR="00254B39" w:rsidRPr="000C3678">
        <w:rPr>
          <w:spacing w:val="-2"/>
          <w:kern w:val="22"/>
        </w:rPr>
        <w:t>2</w:t>
      </w:r>
      <w:r w:rsidRPr="000C3678">
        <w:rPr>
          <w:spacing w:val="-2"/>
          <w:kern w:val="22"/>
        </w:rPr>
        <w:t>). Retzlaff defended the price increase, arguing that because only 3,000 patients annually needed Daraprim, the budget impact on health care insurance premiums was almost negligible.</w:t>
      </w:r>
      <w:r w:rsidRPr="000C3678">
        <w:rPr>
          <w:rStyle w:val="EndnoteReference"/>
          <w:spacing w:val="-2"/>
          <w:kern w:val="22"/>
        </w:rPr>
        <w:endnoteReference w:id="26"/>
      </w:r>
      <w:r w:rsidRPr="000C3678">
        <w:rPr>
          <w:spacing w:val="-2"/>
          <w:kern w:val="22"/>
        </w:rPr>
        <w:t xml:space="preserve"> </w:t>
      </w:r>
    </w:p>
    <w:p w14:paraId="1C09BCCE" w14:textId="77777777" w:rsidR="00157FD5" w:rsidRDefault="00157FD5" w:rsidP="00C83FF1">
      <w:pPr>
        <w:pStyle w:val="BodyTextMain"/>
      </w:pPr>
    </w:p>
    <w:p w14:paraId="279599B7" w14:textId="429D95BB" w:rsidR="00157FD5" w:rsidRDefault="00157FD5" w:rsidP="00C83FF1">
      <w:pPr>
        <w:pStyle w:val="BodyTextMain"/>
      </w:pPr>
      <w:r>
        <w:t xml:space="preserve">Many medical practitioners and hospitals considered prescribing alternative products, and warned Turing about the negative impact of the massive increase in price. </w:t>
      </w:r>
      <w:r w:rsidRPr="00653211">
        <w:rPr>
          <w:szCs w:val="24"/>
        </w:rPr>
        <w:t>On September 30, 2015, a sales account manager</w:t>
      </w:r>
      <w:r>
        <w:rPr>
          <w:szCs w:val="24"/>
        </w:rPr>
        <w:t xml:space="preserve"> at Turing</w:t>
      </w:r>
      <w:r w:rsidRPr="00653211">
        <w:rPr>
          <w:szCs w:val="24"/>
        </w:rPr>
        <w:t xml:space="preserve"> sent an email </w:t>
      </w:r>
      <w:r>
        <w:rPr>
          <w:szCs w:val="24"/>
        </w:rPr>
        <w:t>describing</w:t>
      </w:r>
      <w:r w:rsidRPr="00653211">
        <w:rPr>
          <w:szCs w:val="24"/>
        </w:rPr>
        <w:t xml:space="preserve"> a recent meeting with Massachusetts General Hospital, writing</w:t>
      </w:r>
      <w:r>
        <w:rPr>
          <w:szCs w:val="24"/>
        </w:rPr>
        <w:t>,</w:t>
      </w:r>
      <w:r w:rsidRPr="00653211">
        <w:rPr>
          <w:szCs w:val="24"/>
        </w:rPr>
        <w:t xml:space="preserve"> “One of the things we discussed was Mass[achusetts] General’s internal analysis of the impact of Daraprim’s new price on their inpatient pharmacy budget, which they have determined to be prohibitively expensive. Against their clinical convictions, they are currently switching patients to Bactrim.”</w:t>
      </w:r>
      <w:r w:rsidRPr="00653211">
        <w:rPr>
          <w:rStyle w:val="EndnoteReference"/>
          <w:szCs w:val="24"/>
        </w:rPr>
        <w:endnoteReference w:id="27"/>
      </w:r>
    </w:p>
    <w:p w14:paraId="3C9CE7FA" w14:textId="77777777" w:rsidR="00157FD5" w:rsidRDefault="00157FD5" w:rsidP="00C83FF1">
      <w:pPr>
        <w:pStyle w:val="BodyTextMain"/>
      </w:pPr>
    </w:p>
    <w:p w14:paraId="7CDE301F" w14:textId="77777777" w:rsidR="00157FD5" w:rsidRDefault="00157FD5" w:rsidP="00C83FF1">
      <w:pPr>
        <w:pStyle w:val="BodyTextMain"/>
      </w:pPr>
    </w:p>
    <w:p w14:paraId="6A7C440D" w14:textId="72DAE8B2" w:rsidR="00157FD5" w:rsidRDefault="00157FD5" w:rsidP="00586859">
      <w:pPr>
        <w:pStyle w:val="Casehead1"/>
        <w:outlineLvl w:val="0"/>
      </w:pPr>
      <w:r>
        <w:t>Industry</w:t>
      </w:r>
    </w:p>
    <w:p w14:paraId="3C4B8595" w14:textId="77777777" w:rsidR="00157FD5" w:rsidRDefault="00157FD5" w:rsidP="003F6781">
      <w:pPr>
        <w:pStyle w:val="BodyTextMain"/>
      </w:pPr>
    </w:p>
    <w:p w14:paraId="13C03C00" w14:textId="59DC28E3" w:rsidR="00157FD5" w:rsidRPr="00653211" w:rsidRDefault="00157FD5" w:rsidP="00C83FF1">
      <w:pPr>
        <w:pStyle w:val="BodyTextMain"/>
        <w:rPr>
          <w:highlight w:val="yellow"/>
        </w:rPr>
      </w:pPr>
      <w:r>
        <w:t xml:space="preserve">The </w:t>
      </w:r>
      <w:r w:rsidRPr="003F6781">
        <w:rPr>
          <w:i/>
        </w:rPr>
        <w:t>Rx Price Watch Report</w:t>
      </w:r>
      <w:r>
        <w:t xml:space="preserve">, released in 2016 by the AARP Public Policy Institute, claimed that from 2006 to 2015 the prices for prescription drugs increased every year at a rate substantially higher than the general inflation (Exhibit </w:t>
      </w:r>
      <w:r w:rsidR="00254B39">
        <w:t>3</w:t>
      </w:r>
      <w:r w:rsidRPr="004F6979">
        <w:t>)</w:t>
      </w:r>
      <w:r>
        <w:t>.</w:t>
      </w:r>
      <w:r w:rsidRPr="003F6781">
        <w:rPr>
          <w:rStyle w:val="EndnoteReference"/>
        </w:rPr>
        <w:endnoteReference w:id="28"/>
      </w:r>
      <w:r>
        <w:t xml:space="preserve"> This difference was more pronounced in the last three years of analysis (2013–2015), when the retail prices for </w:t>
      </w:r>
      <w:r w:rsidRPr="004F6979">
        <w:t xml:space="preserve">widely used prescription drugs increased by an average of </w:t>
      </w:r>
      <w:r>
        <w:t xml:space="preserve">over </w:t>
      </w:r>
      <w:r w:rsidRPr="004F6979">
        <w:t>15</w:t>
      </w:r>
      <w:r>
        <w:t xml:space="preserve"> per cent compared to the </w:t>
      </w:r>
      <w:r w:rsidRPr="004F6979">
        <w:t>general inflation rate</w:t>
      </w:r>
      <w:r>
        <w:t xml:space="preserve">, which ranged from </w:t>
      </w:r>
      <w:r w:rsidRPr="004F6979">
        <w:t>0.1</w:t>
      </w:r>
      <w:r>
        <w:t xml:space="preserve">–1.6 per cent. The AARP study showed that the annual cost for drug therapy in 2015—$26,000—was much greater </w:t>
      </w:r>
      <w:r w:rsidRPr="004F6979">
        <w:t>than the median annual income for Medicare beneficiaries</w:t>
      </w:r>
      <w:r>
        <w:t>.</w:t>
      </w:r>
      <w:r w:rsidRPr="003F6781">
        <w:rPr>
          <w:rStyle w:val="EndnoteReference"/>
        </w:rPr>
        <w:endnoteReference w:id="29"/>
      </w:r>
      <w:r w:rsidRPr="007E484F">
        <w:t xml:space="preserve"> </w:t>
      </w:r>
      <w:r w:rsidRPr="006739C0">
        <w:t xml:space="preserve">The impact of a substantial rise in the retail prices of prescription drugs </w:t>
      </w:r>
      <w:r>
        <w:t xml:space="preserve">was borne by </w:t>
      </w:r>
      <w:r w:rsidRPr="006739C0">
        <w:t>almost all</w:t>
      </w:r>
      <w:r>
        <w:t xml:space="preserve"> consumers, with the major financial burden on </w:t>
      </w:r>
      <w:r w:rsidRPr="004F6979">
        <w:t>private health care insurance</w:t>
      </w:r>
      <w:r>
        <w:t xml:space="preserve"> users.</w:t>
      </w:r>
      <w:r w:rsidRPr="003F6781">
        <w:rPr>
          <w:rStyle w:val="EndnoteReference"/>
        </w:rPr>
        <w:endnoteReference w:id="30"/>
      </w:r>
    </w:p>
    <w:p w14:paraId="064F540E" w14:textId="28A592D7" w:rsidR="00157FD5" w:rsidRPr="00CE6C99" w:rsidRDefault="00157FD5" w:rsidP="00C83FF1">
      <w:pPr>
        <w:pStyle w:val="BodyTextMain"/>
      </w:pPr>
      <w:r w:rsidRPr="00737B26">
        <w:rPr>
          <w:color w:val="000000" w:themeColor="text1"/>
        </w:rPr>
        <w:lastRenderedPageBreak/>
        <w:t>Horizon Pharma PLC increased the price of its Vimovo (naproxen and esomeprazole magnesium</w:t>
      </w:r>
      <w:r>
        <w:rPr>
          <w:color w:val="000000" w:themeColor="text1"/>
        </w:rPr>
        <w:t>)</w:t>
      </w:r>
      <w:r w:rsidRPr="00F87BD7">
        <w:rPr>
          <w:rStyle w:val="EndnoteReference"/>
        </w:rPr>
        <w:endnoteReference w:id="31"/>
      </w:r>
      <w:r w:rsidRPr="00F87BD7">
        <w:t xml:space="preserve"> </w:t>
      </w:r>
      <w:r w:rsidRPr="00284A40">
        <w:rPr>
          <w:color w:val="000000" w:themeColor="text1"/>
        </w:rPr>
        <w:t>pain tablets by 597</w:t>
      </w:r>
      <w:r>
        <w:rPr>
          <w:color w:val="000000" w:themeColor="text1"/>
        </w:rPr>
        <w:t xml:space="preserve"> per cent</w:t>
      </w:r>
      <w:r w:rsidRPr="00284A40">
        <w:rPr>
          <w:color w:val="000000" w:themeColor="text1"/>
        </w:rPr>
        <w:t xml:space="preserve"> right after they purchased </w:t>
      </w:r>
      <w:r>
        <w:rPr>
          <w:color w:val="000000" w:themeColor="text1"/>
        </w:rPr>
        <w:t>the drug</w:t>
      </w:r>
      <w:r w:rsidRPr="00284A40">
        <w:rPr>
          <w:color w:val="000000" w:themeColor="text1"/>
        </w:rPr>
        <w:t xml:space="preserve"> from AstraZeneca in 2013. </w:t>
      </w:r>
      <w:r w:rsidRPr="00653211">
        <w:rPr>
          <w:color w:val="000000" w:themeColor="text1"/>
        </w:rPr>
        <w:t xml:space="preserve">The revenue generated by Vimovo increased from $20 million in 2013 to $163 million in 2015. </w:t>
      </w:r>
      <w:r w:rsidRPr="00653211">
        <w:t>Valeant Pharmaceuticals increased the price of Nitropress</w:t>
      </w:r>
      <w:r>
        <w:t xml:space="preserve"> (nitroprusside)</w:t>
      </w:r>
      <w:r w:rsidRPr="00653211">
        <w:t xml:space="preserve">, a drug used to treat high blood pressure, more than three times immediately after </w:t>
      </w:r>
      <w:r>
        <w:t>the company</w:t>
      </w:r>
      <w:r w:rsidRPr="00653211">
        <w:t xml:space="preserve"> acquired the rights for the drug from Marathon Pharmaceuticals LLC</w:t>
      </w:r>
      <w:r w:rsidRPr="00F21944">
        <w:t xml:space="preserve"> (Exhibit </w:t>
      </w:r>
      <w:r w:rsidR="00254B39">
        <w:t>4</w:t>
      </w:r>
      <w:r w:rsidRPr="00F21944">
        <w:t>).</w:t>
      </w:r>
      <w:r w:rsidRPr="00653211">
        <w:rPr>
          <w:rStyle w:val="EndnoteReference"/>
        </w:rPr>
        <w:endnoteReference w:id="32"/>
      </w:r>
      <w:r w:rsidRPr="00F21944">
        <w:t xml:space="preserve"> Mallinckrodt PLC </w:t>
      </w:r>
      <w:r>
        <w:t xml:space="preserve">increased the price </w:t>
      </w:r>
      <w:r w:rsidRPr="00653211">
        <w:t>of</w:t>
      </w:r>
      <w:r w:rsidRPr="00F21944">
        <w:t xml:space="preserve"> H.</w:t>
      </w:r>
      <w:r>
        <w:t xml:space="preserve"> </w:t>
      </w:r>
      <w:r w:rsidRPr="00F21944">
        <w:t xml:space="preserve">P. Acthar Gel (repository corticotropin injection) </w:t>
      </w:r>
      <w:r>
        <w:t xml:space="preserve">from $40 per vial in 2001 </w:t>
      </w:r>
      <w:r w:rsidRPr="00AD365F">
        <w:t xml:space="preserve">to </w:t>
      </w:r>
      <w:r w:rsidRPr="00653211">
        <w:t>$</w:t>
      </w:r>
      <w:r w:rsidRPr="00F21944">
        <w:t xml:space="preserve">38,000 per vial in 2016. </w:t>
      </w:r>
      <w:r>
        <w:t>According to</w:t>
      </w:r>
      <w:r w:rsidRPr="00F21944">
        <w:t xml:space="preserve"> the Medicare Drug Spending Dashboard for 2015, </w:t>
      </w:r>
      <w:r>
        <w:t xml:space="preserve">the average cost of </w:t>
      </w:r>
      <w:r w:rsidRPr="00F21944">
        <w:t xml:space="preserve">Acthar </w:t>
      </w:r>
      <w:r>
        <w:t xml:space="preserve">to </w:t>
      </w:r>
      <w:r w:rsidRPr="00F21944">
        <w:t xml:space="preserve">Medicare was </w:t>
      </w:r>
      <w:r w:rsidRPr="00AD365F">
        <w:t>$162,371</w:t>
      </w:r>
      <w:r w:rsidRPr="00737B26">
        <w:t>, making it the single most expensive drug on</w:t>
      </w:r>
      <w:r w:rsidRPr="00284A40">
        <w:t xml:space="preserve"> a</w:t>
      </w:r>
      <w:r w:rsidRPr="00CE6C99">
        <w:t xml:space="preserve"> per patient basis</w:t>
      </w:r>
      <w:r>
        <w:t>.</w:t>
      </w:r>
      <w:r w:rsidRPr="003F6781">
        <w:rPr>
          <w:rStyle w:val="EndnoteReference"/>
        </w:rPr>
        <w:endnoteReference w:id="33"/>
      </w:r>
      <w:r>
        <w:t xml:space="preserve"> In yet another case, Mylan Inc. increased the price of EpiPens, a medical device used to automatically inject a measured dose of epinephrine, from $100 for a package of two in 2007 to $600 in 2016—an increase of 500 per cent for a device used by millions to counter life-threatening allergic reactions.</w:t>
      </w:r>
      <w:r>
        <w:rPr>
          <w:rStyle w:val="EndnoteReference"/>
        </w:rPr>
        <w:endnoteReference w:id="34"/>
      </w:r>
    </w:p>
    <w:p w14:paraId="2C5858F5" w14:textId="77777777" w:rsidR="00157FD5" w:rsidRPr="00653211" w:rsidRDefault="00157FD5" w:rsidP="00C83FF1">
      <w:pPr>
        <w:pStyle w:val="BodyTextMain"/>
        <w:rPr>
          <w:highlight w:val="yellow"/>
        </w:rPr>
      </w:pPr>
    </w:p>
    <w:p w14:paraId="14012E5E" w14:textId="6E186FA5" w:rsidR="00157FD5" w:rsidRPr="000C3678" w:rsidRDefault="00157FD5" w:rsidP="00C83FF1">
      <w:pPr>
        <w:pStyle w:val="BodyTextMain"/>
        <w:rPr>
          <w:spacing w:val="-2"/>
          <w:kern w:val="22"/>
        </w:rPr>
      </w:pPr>
      <w:r w:rsidRPr="000C3678">
        <w:rPr>
          <w:spacing w:val="-2"/>
          <w:kern w:val="22"/>
        </w:rPr>
        <w:t>During a hearing of the Full House Committee on Oversight and Government, U.S. Representative (R-TX) Blake Farenthold questioned Keith Flanagan, a director from the Food and Drug Administration (FDA). Farenthold challenged Flanagan about the FDA’s delay in approving generic drugs: “You’re saying you’re getting down to 10 and 15 months, but you’ve basically created a 10- and 15-month monopoly for anybody who’s a single source of a generic drug, [and] who do that kind of price increase.”</w:t>
      </w:r>
      <w:r w:rsidRPr="000C3678">
        <w:rPr>
          <w:rStyle w:val="EndnoteReference"/>
          <w:spacing w:val="-2"/>
          <w:kern w:val="22"/>
        </w:rPr>
        <w:endnoteReference w:id="35"/>
      </w:r>
      <w:r w:rsidRPr="000C3678">
        <w:rPr>
          <w:spacing w:val="-2"/>
          <w:kern w:val="22"/>
        </w:rPr>
        <w:t xml:space="preserve"> </w:t>
      </w:r>
    </w:p>
    <w:p w14:paraId="556D79B7" w14:textId="77777777" w:rsidR="00157FD5" w:rsidRDefault="00157FD5" w:rsidP="00C83FF1">
      <w:pPr>
        <w:pStyle w:val="BodyTextMain"/>
      </w:pPr>
    </w:p>
    <w:p w14:paraId="2E01211D" w14:textId="77777777" w:rsidR="00157FD5" w:rsidRDefault="00157FD5" w:rsidP="00C83FF1">
      <w:pPr>
        <w:pStyle w:val="BodyTextMain"/>
      </w:pPr>
    </w:p>
    <w:p w14:paraId="5ED26FA9" w14:textId="77777777" w:rsidR="00157FD5" w:rsidRPr="00653211" w:rsidRDefault="00157FD5" w:rsidP="00542F54">
      <w:pPr>
        <w:pStyle w:val="Casehead1"/>
        <w:outlineLvl w:val="0"/>
      </w:pPr>
      <w:r w:rsidRPr="00653211">
        <w:t>Conclusion</w:t>
      </w:r>
    </w:p>
    <w:p w14:paraId="4A128F12" w14:textId="77777777" w:rsidR="00157FD5" w:rsidRPr="00A54AE7" w:rsidRDefault="00157FD5" w:rsidP="00542F54">
      <w:pPr>
        <w:pStyle w:val="BodyTextMain"/>
        <w:rPr>
          <w:sz w:val="24"/>
          <w:szCs w:val="24"/>
          <w:highlight w:val="yellow"/>
        </w:rPr>
      </w:pPr>
    </w:p>
    <w:p w14:paraId="44E58FD7" w14:textId="33F7B448" w:rsidR="00157FD5" w:rsidRPr="00A54AE7" w:rsidRDefault="00157FD5" w:rsidP="00C83FF1">
      <w:pPr>
        <w:pStyle w:val="BodyTextMain"/>
        <w:rPr>
          <w:highlight w:val="yellow"/>
        </w:rPr>
      </w:pPr>
      <w:r>
        <w:t xml:space="preserve">Industry stakeholders questioned whether </w:t>
      </w:r>
      <w:r w:rsidRPr="00653211">
        <w:t xml:space="preserve">the development and approval </w:t>
      </w:r>
      <w:r>
        <w:t xml:space="preserve">of </w:t>
      </w:r>
      <w:r w:rsidRPr="00653211">
        <w:t>generic drugs</w:t>
      </w:r>
      <w:r>
        <w:t>,</w:t>
      </w:r>
      <w:r w:rsidRPr="00653211">
        <w:t xml:space="preserve"> which cost approximately 80</w:t>
      </w:r>
      <w:r>
        <w:t xml:space="preserve"> per cent less</w:t>
      </w:r>
      <w:r w:rsidRPr="00653211">
        <w:t xml:space="preserve"> than the</w:t>
      </w:r>
      <w:r>
        <w:t xml:space="preserve">ir </w:t>
      </w:r>
      <w:r w:rsidRPr="00653211">
        <w:t xml:space="preserve">branded </w:t>
      </w:r>
      <w:r>
        <w:t>equivalent</w:t>
      </w:r>
      <w:r w:rsidRPr="00653211">
        <w:t>,</w:t>
      </w:r>
      <w:r w:rsidRPr="0046136B">
        <w:t xml:space="preserve"> </w:t>
      </w:r>
      <w:r>
        <w:t xml:space="preserve">should </w:t>
      </w:r>
      <w:r w:rsidRPr="0046136B">
        <w:t xml:space="preserve">be </w:t>
      </w:r>
      <w:r w:rsidRPr="00653211">
        <w:t xml:space="preserve">sped </w:t>
      </w:r>
      <w:r w:rsidRPr="0046136B">
        <w:t>up</w:t>
      </w:r>
      <w:r>
        <w:t>.</w:t>
      </w:r>
      <w:r w:rsidRPr="009E6A2A">
        <w:rPr>
          <w:rStyle w:val="EndnoteReference"/>
        </w:rPr>
        <w:endnoteReference w:id="36"/>
      </w:r>
      <w:r>
        <w:t xml:space="preserve"> Others argued, as suggested in 2014 by the Tufts Center for the Study of Drug Development, that pharmaceutical companies incurred huge costs in R&amp;D to bring a new drug to the market. In general, the drug development and approval process was long, often with a low success rate</w:t>
      </w:r>
      <w:r w:rsidRPr="00653211">
        <w:t xml:space="preserve">. </w:t>
      </w:r>
      <w:r w:rsidRPr="00430DC9">
        <w:t>F</w:t>
      </w:r>
      <w:r>
        <w:t>or these companies to sustain their business, the price of drugs needed to support reasonable profits. But if that were the case, was it justifiable to prioritize a company’s profits over drug availability?</w:t>
      </w:r>
      <w:r w:rsidRPr="003F6781">
        <w:rPr>
          <w:rStyle w:val="EndnoteReference"/>
        </w:rPr>
        <w:endnoteReference w:id="37"/>
      </w:r>
      <w:r w:rsidRPr="00A54AE7">
        <w:rPr>
          <w:highlight w:val="yellow"/>
        </w:rPr>
        <w:t xml:space="preserve"> </w:t>
      </w:r>
    </w:p>
    <w:p w14:paraId="18EA97FD" w14:textId="77777777" w:rsidR="000C3678" w:rsidRDefault="000C3678" w:rsidP="00C83FF1">
      <w:pPr>
        <w:pStyle w:val="BodyTextMain"/>
        <w:rPr>
          <w:szCs w:val="24"/>
        </w:rPr>
      </w:pPr>
    </w:p>
    <w:p w14:paraId="6E706125" w14:textId="4AF84758" w:rsidR="00157FD5" w:rsidRDefault="00157FD5" w:rsidP="00C83FF1">
      <w:pPr>
        <w:pStyle w:val="BodyTextMain"/>
        <w:rPr>
          <w:szCs w:val="24"/>
        </w:rPr>
      </w:pPr>
      <w:r w:rsidRPr="00653211">
        <w:rPr>
          <w:szCs w:val="24"/>
        </w:rPr>
        <w:t xml:space="preserve">Dr. </w:t>
      </w:r>
      <w:r>
        <w:rPr>
          <w:szCs w:val="24"/>
        </w:rPr>
        <w:t xml:space="preserve">Rima </w:t>
      </w:r>
      <w:r w:rsidRPr="00653211">
        <w:rPr>
          <w:szCs w:val="24"/>
        </w:rPr>
        <w:t xml:space="preserve">McLeod, </w:t>
      </w:r>
      <w:r>
        <w:rPr>
          <w:szCs w:val="24"/>
        </w:rPr>
        <w:t xml:space="preserve">the medical director of the toxoplasmosis centre at the University of Chicago, had </w:t>
      </w:r>
      <w:r w:rsidRPr="00653211">
        <w:rPr>
          <w:szCs w:val="24"/>
        </w:rPr>
        <w:t>previously defende</w:t>
      </w:r>
      <w:r>
        <w:rPr>
          <w:szCs w:val="24"/>
        </w:rPr>
        <w:t>d</w:t>
      </w:r>
      <w:r w:rsidRPr="00653211">
        <w:rPr>
          <w:szCs w:val="24"/>
        </w:rPr>
        <w:t xml:space="preserve"> Turing’s actions</w:t>
      </w:r>
      <w:r>
        <w:rPr>
          <w:szCs w:val="24"/>
        </w:rPr>
        <w:t>, describing the situation as “workable” despite the price increase.</w:t>
      </w:r>
      <w:r>
        <w:rPr>
          <w:rStyle w:val="EndnoteReference"/>
          <w:szCs w:val="24"/>
        </w:rPr>
        <w:endnoteReference w:id="38"/>
      </w:r>
      <w:r w:rsidRPr="00653211">
        <w:rPr>
          <w:szCs w:val="24"/>
        </w:rPr>
        <w:t xml:space="preserve"> </w:t>
      </w:r>
      <w:r>
        <w:rPr>
          <w:szCs w:val="24"/>
        </w:rPr>
        <w:t xml:space="preserve">Later, however, she wrote in an email </w:t>
      </w:r>
      <w:r w:rsidRPr="00653211">
        <w:rPr>
          <w:szCs w:val="24"/>
        </w:rPr>
        <w:t>to Eliseo Salinas, Turing</w:t>
      </w:r>
      <w:r>
        <w:rPr>
          <w:szCs w:val="24"/>
        </w:rPr>
        <w:t>’s</w:t>
      </w:r>
      <w:r w:rsidRPr="00653211">
        <w:rPr>
          <w:szCs w:val="24"/>
        </w:rPr>
        <w:t xml:space="preserve"> </w:t>
      </w:r>
      <w:r>
        <w:rPr>
          <w:szCs w:val="24"/>
        </w:rPr>
        <w:t>p</w:t>
      </w:r>
      <w:r w:rsidRPr="00653211">
        <w:rPr>
          <w:szCs w:val="24"/>
        </w:rPr>
        <w:t>resident of R</w:t>
      </w:r>
      <w:r>
        <w:rPr>
          <w:szCs w:val="24"/>
        </w:rPr>
        <w:t>&amp;D:</w:t>
      </w:r>
    </w:p>
    <w:p w14:paraId="3F0C8BBA" w14:textId="77777777" w:rsidR="00157FD5" w:rsidRDefault="00157FD5" w:rsidP="00C83FF1">
      <w:pPr>
        <w:pStyle w:val="BodyTextMain"/>
        <w:rPr>
          <w:szCs w:val="24"/>
        </w:rPr>
      </w:pPr>
    </w:p>
    <w:p w14:paraId="01044754" w14:textId="198DAA56" w:rsidR="00157FD5" w:rsidRPr="00653211" w:rsidRDefault="00157FD5" w:rsidP="003F6781">
      <w:pPr>
        <w:pStyle w:val="BodyTextMain"/>
        <w:ind w:left="720"/>
        <w:rPr>
          <w:szCs w:val="24"/>
        </w:rPr>
      </w:pPr>
      <w:r w:rsidRPr="00653211">
        <w:rPr>
          <w:szCs w:val="24"/>
        </w:rPr>
        <w:t>I understand</w:t>
      </w:r>
      <w:r>
        <w:rPr>
          <w:szCs w:val="24"/>
        </w:rPr>
        <w:t xml:space="preserve">, </w:t>
      </w:r>
      <w:r w:rsidRPr="00653211">
        <w:rPr>
          <w:szCs w:val="24"/>
        </w:rPr>
        <w:t>I know nothing of what makes Turing solvent and able to do research and of course I value that a lot too</w:t>
      </w:r>
      <w:r>
        <w:rPr>
          <w:szCs w:val="24"/>
        </w:rPr>
        <w:t xml:space="preserve">. . . . </w:t>
      </w:r>
      <w:r w:rsidRPr="00653211">
        <w:rPr>
          <w:szCs w:val="24"/>
        </w:rPr>
        <w:t xml:space="preserve">However, Martin [Shkreli] did say that he had to maximize profit for investors and that was why </w:t>
      </w:r>
      <w:r>
        <w:rPr>
          <w:szCs w:val="24"/>
        </w:rPr>
        <w:t xml:space="preserve">[the] </w:t>
      </w:r>
      <w:r w:rsidRPr="00653211">
        <w:rPr>
          <w:szCs w:val="24"/>
        </w:rPr>
        <w:t xml:space="preserve">price is high. He did not say that it was for research primarily that it was a high price. He called that the </w:t>
      </w:r>
      <w:r>
        <w:rPr>
          <w:szCs w:val="24"/>
        </w:rPr>
        <w:t>“</w:t>
      </w:r>
      <w:r w:rsidRPr="00653211">
        <w:rPr>
          <w:szCs w:val="24"/>
        </w:rPr>
        <w:t>dirty secret</w:t>
      </w:r>
      <w:r>
        <w:rPr>
          <w:szCs w:val="24"/>
        </w:rPr>
        <w:t>”</w:t>
      </w:r>
      <w:r w:rsidRPr="00653211">
        <w:rPr>
          <w:szCs w:val="24"/>
        </w:rPr>
        <w:t xml:space="preserve"> of pharma.</w:t>
      </w:r>
      <w:r w:rsidRPr="00653211">
        <w:rPr>
          <w:rStyle w:val="EndnoteReference"/>
          <w:szCs w:val="24"/>
        </w:rPr>
        <w:endnoteReference w:id="39"/>
      </w:r>
    </w:p>
    <w:p w14:paraId="204D197A" w14:textId="77777777" w:rsidR="00157FD5" w:rsidRPr="00653211" w:rsidRDefault="00157FD5" w:rsidP="00C83FF1">
      <w:pPr>
        <w:pStyle w:val="BodyTextMain"/>
        <w:rPr>
          <w:szCs w:val="24"/>
        </w:rPr>
      </w:pPr>
    </w:p>
    <w:p w14:paraId="0003E9DA" w14:textId="61E933D0" w:rsidR="00157FD5" w:rsidRDefault="00157FD5" w:rsidP="00C83FF1">
      <w:pPr>
        <w:pStyle w:val="BodyTextMain"/>
        <w:rPr>
          <w:szCs w:val="24"/>
        </w:rPr>
      </w:pPr>
      <w:r w:rsidRPr="00653211">
        <w:rPr>
          <w:szCs w:val="24"/>
        </w:rPr>
        <w:t xml:space="preserve">Was Shkreli an aberration in the </w:t>
      </w:r>
      <w:r>
        <w:rPr>
          <w:szCs w:val="24"/>
        </w:rPr>
        <w:t>p</w:t>
      </w:r>
      <w:r w:rsidRPr="00653211">
        <w:rPr>
          <w:szCs w:val="24"/>
        </w:rPr>
        <w:t xml:space="preserve">harmaceutical industry? And was </w:t>
      </w:r>
      <w:r w:rsidR="002609BC">
        <w:rPr>
          <w:szCs w:val="24"/>
        </w:rPr>
        <w:t>the industry</w:t>
      </w:r>
      <w:r w:rsidRPr="00653211">
        <w:rPr>
          <w:szCs w:val="24"/>
        </w:rPr>
        <w:t>’s</w:t>
      </w:r>
      <w:r>
        <w:rPr>
          <w:szCs w:val="24"/>
        </w:rPr>
        <w:t xml:space="preserve"> pricing structure its</w:t>
      </w:r>
      <w:r w:rsidRPr="00653211">
        <w:rPr>
          <w:szCs w:val="24"/>
        </w:rPr>
        <w:t xml:space="preserve"> </w:t>
      </w:r>
      <w:r>
        <w:rPr>
          <w:szCs w:val="24"/>
        </w:rPr>
        <w:t>only “</w:t>
      </w:r>
      <w:r w:rsidRPr="00653211">
        <w:rPr>
          <w:szCs w:val="24"/>
        </w:rPr>
        <w:t>dirty secret</w:t>
      </w:r>
      <w:r>
        <w:rPr>
          <w:szCs w:val="24"/>
        </w:rPr>
        <w:t>”</w:t>
      </w:r>
      <w:r w:rsidRPr="00653211">
        <w:rPr>
          <w:szCs w:val="24"/>
        </w:rPr>
        <w:t xml:space="preserve">? Generally, any business would charge a customer more if </w:t>
      </w:r>
      <w:r w:rsidR="002609BC">
        <w:rPr>
          <w:szCs w:val="24"/>
        </w:rPr>
        <w:t>it</w:t>
      </w:r>
      <w:r w:rsidRPr="00653211">
        <w:rPr>
          <w:szCs w:val="24"/>
        </w:rPr>
        <w:t xml:space="preserve"> could. When companies held calls with investors and analysts</w:t>
      </w:r>
      <w:r w:rsidRPr="00C74AE6">
        <w:rPr>
          <w:szCs w:val="24"/>
        </w:rPr>
        <w:t xml:space="preserve"> </w:t>
      </w:r>
      <w:r w:rsidRPr="00653211">
        <w:rPr>
          <w:szCs w:val="24"/>
        </w:rPr>
        <w:t>to discuss drug costs, Mick Kolassa</w:t>
      </w:r>
      <w:r>
        <w:rPr>
          <w:szCs w:val="24"/>
        </w:rPr>
        <w:t>, a</w:t>
      </w:r>
      <w:r w:rsidRPr="00501E8D">
        <w:rPr>
          <w:szCs w:val="24"/>
        </w:rPr>
        <w:t xml:space="preserve"> </w:t>
      </w:r>
      <w:r>
        <w:rPr>
          <w:szCs w:val="24"/>
        </w:rPr>
        <w:t>former director of pricing policy for the drug industry,</w:t>
      </w:r>
      <w:r w:rsidRPr="00653211">
        <w:rPr>
          <w:szCs w:val="24"/>
        </w:rPr>
        <w:t xml:space="preserve"> </w:t>
      </w:r>
      <w:r>
        <w:rPr>
          <w:szCs w:val="24"/>
        </w:rPr>
        <w:t>noted that participants would ask,</w:t>
      </w:r>
      <w:r w:rsidRPr="00653211">
        <w:rPr>
          <w:szCs w:val="24"/>
        </w:rPr>
        <w:t xml:space="preserve"> “Why didn’t you price it higher</w:t>
      </w:r>
      <w:r>
        <w:rPr>
          <w:szCs w:val="24"/>
        </w:rPr>
        <w:t>?” Kolassa remarked,</w:t>
      </w:r>
      <w:r w:rsidRPr="00653211">
        <w:rPr>
          <w:szCs w:val="24"/>
        </w:rPr>
        <w:t xml:space="preserve"> </w:t>
      </w:r>
      <w:r>
        <w:rPr>
          <w:szCs w:val="24"/>
        </w:rPr>
        <w:t>“</w:t>
      </w:r>
      <w:r w:rsidRPr="00653211">
        <w:rPr>
          <w:szCs w:val="24"/>
        </w:rPr>
        <w:t>I’ve never heard anybody say, ‘Why don’t you price it lower?’”</w:t>
      </w:r>
      <w:r w:rsidRPr="00653211">
        <w:rPr>
          <w:rStyle w:val="EndnoteReference"/>
          <w:szCs w:val="24"/>
        </w:rPr>
        <w:endnoteReference w:id="40"/>
      </w:r>
      <w:r w:rsidRPr="00653211">
        <w:rPr>
          <w:szCs w:val="24"/>
        </w:rPr>
        <w:t xml:space="preserve"> </w:t>
      </w:r>
    </w:p>
    <w:p w14:paraId="75281E15" w14:textId="77777777" w:rsidR="00157FD5" w:rsidRDefault="00157FD5" w:rsidP="00C83FF1">
      <w:pPr>
        <w:pStyle w:val="BodyTextMain"/>
        <w:rPr>
          <w:szCs w:val="24"/>
        </w:rPr>
      </w:pPr>
    </w:p>
    <w:p w14:paraId="77A3427A" w14:textId="4A75A248" w:rsidR="00157FD5" w:rsidRPr="00653211" w:rsidRDefault="00157FD5" w:rsidP="00C83FF1">
      <w:pPr>
        <w:pStyle w:val="BodyTextMain"/>
        <w:rPr>
          <w:szCs w:val="24"/>
        </w:rPr>
      </w:pPr>
      <w:r>
        <w:rPr>
          <w:szCs w:val="24"/>
        </w:rPr>
        <w:t xml:space="preserve">Pharmaceutical pricing had </w:t>
      </w:r>
      <w:r w:rsidRPr="00653211">
        <w:rPr>
          <w:szCs w:val="24"/>
        </w:rPr>
        <w:t>become a question of</w:t>
      </w:r>
      <w:r>
        <w:rPr>
          <w:szCs w:val="24"/>
        </w:rPr>
        <w:t xml:space="preserve"> </w:t>
      </w:r>
      <w:r w:rsidRPr="00653211">
        <w:rPr>
          <w:szCs w:val="24"/>
        </w:rPr>
        <w:t xml:space="preserve">how much </w:t>
      </w:r>
      <w:r>
        <w:rPr>
          <w:szCs w:val="24"/>
        </w:rPr>
        <w:t xml:space="preserve">higher the prices could go until the pricing model became </w:t>
      </w:r>
      <w:r w:rsidRPr="00653211">
        <w:rPr>
          <w:szCs w:val="24"/>
        </w:rPr>
        <w:t>unethical</w:t>
      </w:r>
      <w:r>
        <w:rPr>
          <w:szCs w:val="24"/>
        </w:rPr>
        <w:t xml:space="preserve">. But </w:t>
      </w:r>
      <w:r w:rsidR="007655B4">
        <w:rPr>
          <w:szCs w:val="24"/>
        </w:rPr>
        <w:t>it</w:t>
      </w:r>
      <w:r>
        <w:rPr>
          <w:szCs w:val="24"/>
        </w:rPr>
        <w:t xml:space="preserve"> was a question </w:t>
      </w:r>
      <w:r w:rsidRPr="00653211">
        <w:rPr>
          <w:szCs w:val="24"/>
        </w:rPr>
        <w:t>ripe with subjectivity.</w:t>
      </w:r>
      <w:r>
        <w:rPr>
          <w:szCs w:val="24"/>
        </w:rPr>
        <w:t xml:space="preserve"> W</w:t>
      </w:r>
      <w:r w:rsidRPr="00653211">
        <w:rPr>
          <w:szCs w:val="24"/>
        </w:rPr>
        <w:t xml:space="preserve">ho should be responsible </w:t>
      </w:r>
      <w:r>
        <w:rPr>
          <w:szCs w:val="24"/>
        </w:rPr>
        <w:t>for</w:t>
      </w:r>
      <w:r w:rsidRPr="00653211">
        <w:rPr>
          <w:szCs w:val="24"/>
        </w:rPr>
        <w:t xml:space="preserve"> uphold</w:t>
      </w:r>
      <w:r>
        <w:rPr>
          <w:szCs w:val="24"/>
        </w:rPr>
        <w:t>ing</w:t>
      </w:r>
      <w:r w:rsidRPr="00653211">
        <w:rPr>
          <w:szCs w:val="24"/>
        </w:rPr>
        <w:t xml:space="preserve"> ethic</w:t>
      </w:r>
      <w:r>
        <w:rPr>
          <w:szCs w:val="24"/>
        </w:rPr>
        <w:t>al pricing in the pharmaceutical industry</w:t>
      </w:r>
      <w:r w:rsidRPr="00653211">
        <w:rPr>
          <w:szCs w:val="24"/>
        </w:rPr>
        <w:t xml:space="preserve">? </w:t>
      </w:r>
      <w:r>
        <w:rPr>
          <w:szCs w:val="24"/>
        </w:rPr>
        <w:t>Was the company responsible to a wider group of stakeholders than just the shareholders?</w:t>
      </w:r>
    </w:p>
    <w:p w14:paraId="16F4AA9C" w14:textId="6A1897EA" w:rsidR="00157FD5" w:rsidRDefault="00157FD5" w:rsidP="003F6781">
      <w:pPr>
        <w:pStyle w:val="BodyTextMain"/>
      </w:pPr>
      <w:r w:rsidRPr="00653211">
        <w:lastRenderedPageBreak/>
        <w:t xml:space="preserve">Tilles and his team needed to answer some tough questions posed by </w:t>
      </w:r>
      <w:r>
        <w:t>Turing’s</w:t>
      </w:r>
      <w:r w:rsidRPr="00653211">
        <w:t xml:space="preserve"> customers, Congress</w:t>
      </w:r>
      <w:r>
        <w:t>,</w:t>
      </w:r>
      <w:r w:rsidRPr="00653211">
        <w:t xml:space="preserve"> and the media. </w:t>
      </w:r>
      <w:r>
        <w:t>How could they</w:t>
      </w:r>
      <w:r w:rsidRPr="00653211">
        <w:t xml:space="preserve"> maintain Turing’s reputation and </w:t>
      </w:r>
      <w:r>
        <w:t>quell</w:t>
      </w:r>
      <w:r w:rsidRPr="00653211">
        <w:t xml:space="preserve"> the increasing public criticism?</w:t>
      </w:r>
    </w:p>
    <w:p w14:paraId="26B80C0D" w14:textId="77777777" w:rsidR="00157FD5" w:rsidRDefault="00157FD5" w:rsidP="003F6781">
      <w:pPr>
        <w:pStyle w:val="BodyTextMain"/>
      </w:pPr>
    </w:p>
    <w:p w14:paraId="0D1D4D90" w14:textId="1DDF7754" w:rsidR="00157FD5" w:rsidRDefault="00157FD5" w:rsidP="00100436">
      <w:pPr>
        <w:pStyle w:val="BodyTextMain"/>
        <w:pBdr>
          <w:top w:val="single" w:sz="4" w:space="4" w:color="auto"/>
          <w:left w:val="single" w:sz="4" w:space="4" w:color="auto"/>
          <w:bottom w:val="single" w:sz="4" w:space="4" w:color="auto"/>
          <w:right w:val="single" w:sz="4" w:space="4" w:color="auto"/>
        </w:pBdr>
        <w:ind w:left="720" w:right="720"/>
      </w:pPr>
      <w:r w:rsidRPr="00653211" w:rsidDel="00F2569D">
        <w:t xml:space="preserve">If there is nothing to morality but expressions of will, my morality can only be what my will creates. There can be no place for such fictions as natural rights, utility, the greatest happiness of the greatest number. I myself must now bring into existence </w:t>
      </w:r>
      <w:r>
        <w:t>“</w:t>
      </w:r>
      <w:r w:rsidRPr="00653211" w:rsidDel="00F2569D">
        <w:t>new tables of what is good</w:t>
      </w:r>
      <w:r>
        <w:t>.</w:t>
      </w:r>
      <w:r w:rsidRPr="00653211" w:rsidDel="00F2569D">
        <w:t>”</w:t>
      </w:r>
    </w:p>
    <w:p w14:paraId="7036BDB4" w14:textId="7F034410" w:rsidR="00157FD5" w:rsidRPr="00653211" w:rsidDel="00F2569D" w:rsidRDefault="00157FD5" w:rsidP="003F6781">
      <w:pPr>
        <w:pStyle w:val="BodyTextMain"/>
        <w:pBdr>
          <w:top w:val="single" w:sz="4" w:space="4" w:color="auto"/>
          <w:left w:val="single" w:sz="4" w:space="4" w:color="auto"/>
          <w:bottom w:val="single" w:sz="4" w:space="4" w:color="auto"/>
          <w:right w:val="single" w:sz="4" w:space="4" w:color="auto"/>
        </w:pBdr>
        <w:ind w:left="720" w:right="720"/>
        <w:jc w:val="right"/>
      </w:pPr>
      <w:r>
        <w:t xml:space="preserve">Friedrich </w:t>
      </w:r>
      <w:r w:rsidRPr="00653211" w:rsidDel="00F2569D">
        <w:t>Nietzsche</w:t>
      </w:r>
      <w:r>
        <w:rPr>
          <w:rStyle w:val="EndnoteReference"/>
        </w:rPr>
        <w:endnoteReference w:id="41"/>
      </w:r>
    </w:p>
    <w:p w14:paraId="5F922B0A" w14:textId="77777777" w:rsidR="00C83FF1" w:rsidRDefault="00C83FF1" w:rsidP="003F6781">
      <w:pPr>
        <w:pStyle w:val="BodyTextMain"/>
        <w:rPr>
          <w:rFonts w:ascii="Arial" w:hAnsi="Arial" w:cs="Arial"/>
          <w:sz w:val="17"/>
          <w:szCs w:val="17"/>
        </w:rPr>
      </w:pPr>
      <w:r>
        <w:br w:type="page"/>
      </w:r>
    </w:p>
    <w:p w14:paraId="527CEE2B" w14:textId="77777777" w:rsidR="00E1709E" w:rsidRDefault="00E1709E" w:rsidP="00E1709E">
      <w:pPr>
        <w:pStyle w:val="ExhibitHeading"/>
      </w:pPr>
      <w:r>
        <w:lastRenderedPageBreak/>
        <w:t>Exhibit 1: Salary Increases at Turing on Agenda</w:t>
      </w:r>
    </w:p>
    <w:p w14:paraId="1DC9D625" w14:textId="77777777" w:rsidR="00E1709E" w:rsidRDefault="00E1709E" w:rsidP="00E1709E">
      <w:pPr>
        <w:pStyle w:val="ExhibitText"/>
      </w:pPr>
    </w:p>
    <w:p w14:paraId="6328F9D8" w14:textId="77777777" w:rsidR="00E1709E" w:rsidRDefault="00E1709E" w:rsidP="00E1709E">
      <w:pPr>
        <w:pStyle w:val="ExhibitText"/>
      </w:pPr>
      <w:r>
        <w:rPr>
          <w:noProof/>
          <w:lang w:val="en-US"/>
        </w:rPr>
        <w:drawing>
          <wp:inline distT="0" distB="0" distL="0" distR="0" wp14:anchorId="2483B90A" wp14:editId="57F1E5E2">
            <wp:extent cx="5943600" cy="263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aries.png"/>
                    <pic:cNvPicPr/>
                  </pic:nvPicPr>
                  <pic:blipFill>
                    <a:blip r:embed="rId9">
                      <a:grayscl/>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14:paraId="3605BA59" w14:textId="77777777" w:rsidR="00E1709E" w:rsidRDefault="00E1709E" w:rsidP="00E1709E">
      <w:pPr>
        <w:pStyle w:val="ExhibitText"/>
      </w:pPr>
    </w:p>
    <w:p w14:paraId="14CAAADF" w14:textId="7019ECD1" w:rsidR="00E1709E" w:rsidRDefault="00E1709E" w:rsidP="00E1709E">
      <w:pPr>
        <w:pStyle w:val="Footnote"/>
        <w:keepNext/>
        <w:rPr>
          <w:sz w:val="24"/>
          <w:szCs w:val="24"/>
        </w:rPr>
      </w:pPr>
      <w:r w:rsidRPr="00B3056C">
        <w:t>Source:</w:t>
      </w:r>
      <w:r>
        <w:t xml:space="preserve"> </w:t>
      </w:r>
      <w:r w:rsidRPr="00A22849">
        <w:rPr>
          <w:i/>
        </w:rPr>
        <w:t>Developments in the Prescription Drug Market, Before the Full House Committee on Oversight and Government Reform</w:t>
      </w:r>
      <w:r>
        <w:t xml:space="preserve">, 114th Cong. (2016) (related document “Turing Pharmaceuticals </w:t>
      </w:r>
      <w:r w:rsidR="007655B4">
        <w:t>S</w:t>
      </w:r>
      <w:r>
        <w:t xml:space="preserve">alary </w:t>
      </w:r>
      <w:r w:rsidR="007655B4">
        <w:t>I</w:t>
      </w:r>
      <w:r>
        <w:t xml:space="preserve">ncreases”), accessed January 27, 2017, </w:t>
      </w:r>
      <w:r w:rsidRPr="00577363">
        <w:t>https://oversight.house.gov/wp-content/uploads/2016/02/Salaries.png</w:t>
      </w:r>
      <w:r>
        <w:t>. Reproduced under 17 U.S. Code §105.</w:t>
      </w:r>
    </w:p>
    <w:p w14:paraId="1D07C476" w14:textId="77777777" w:rsidR="00E1709E" w:rsidRDefault="00E1709E" w:rsidP="00E1709E">
      <w:pPr>
        <w:pStyle w:val="ExhibitText"/>
      </w:pPr>
    </w:p>
    <w:p w14:paraId="7AD596A7" w14:textId="77777777" w:rsidR="000C3678" w:rsidRDefault="000C3678" w:rsidP="00E1709E">
      <w:pPr>
        <w:pStyle w:val="ExhibitText"/>
      </w:pPr>
    </w:p>
    <w:p w14:paraId="4E08A15B" w14:textId="77777777" w:rsidR="00E1709E" w:rsidRDefault="00E1709E" w:rsidP="00E1709E">
      <w:pPr>
        <w:pStyle w:val="ExhibitHeading"/>
        <w:outlineLvl w:val="0"/>
      </w:pPr>
      <w:r>
        <w:t xml:space="preserve">Exhibit 2: </w:t>
      </w:r>
      <w:r w:rsidRPr="002349B9">
        <w:t>Approximate Price of Pyrimethamine in different countries</w:t>
      </w:r>
    </w:p>
    <w:p w14:paraId="3C230CA1" w14:textId="77777777" w:rsidR="00E1709E" w:rsidRDefault="00E1709E" w:rsidP="00E1709E">
      <w:pPr>
        <w:pStyle w:val="ExhibitText"/>
      </w:pPr>
    </w:p>
    <w:tbl>
      <w:tblPr>
        <w:tblW w:w="8061" w:type="dxa"/>
        <w:jc w:val="center"/>
        <w:tblLook w:val="04A0" w:firstRow="1" w:lastRow="0" w:firstColumn="1" w:lastColumn="0" w:noHBand="0" w:noVBand="1"/>
      </w:tblPr>
      <w:tblGrid>
        <w:gridCol w:w="3562"/>
        <w:gridCol w:w="4499"/>
      </w:tblGrid>
      <w:tr w:rsidR="00E1709E" w:rsidRPr="00737B26" w14:paraId="4F301FC9" w14:textId="77777777" w:rsidTr="00100436">
        <w:trPr>
          <w:trHeight w:val="295"/>
          <w:jc w:val="center"/>
        </w:trPr>
        <w:tc>
          <w:tcPr>
            <w:tcW w:w="3562" w:type="dxa"/>
            <w:tcBorders>
              <w:top w:val="single" w:sz="4" w:space="0" w:color="auto"/>
              <w:left w:val="nil"/>
              <w:bottom w:val="single" w:sz="4" w:space="0" w:color="auto"/>
              <w:right w:val="nil"/>
            </w:tcBorders>
            <w:shd w:val="clear" w:color="000000" w:fill="FFFFFF"/>
            <w:noWrap/>
            <w:vAlign w:val="bottom"/>
            <w:hideMark/>
          </w:tcPr>
          <w:p w14:paraId="27A85DE6" w14:textId="77777777" w:rsidR="00E1709E" w:rsidRPr="00737B26" w:rsidRDefault="00E1709E" w:rsidP="007655B4">
            <w:pPr>
              <w:pStyle w:val="ExhibitText"/>
              <w:rPr>
                <w:lang w:val="en-IN" w:eastAsia="en-IN"/>
              </w:rPr>
            </w:pPr>
            <w:r w:rsidRPr="00737B26">
              <w:rPr>
                <w:lang w:val="en-IN" w:eastAsia="en-IN"/>
              </w:rPr>
              <w:t>Countries</w:t>
            </w:r>
          </w:p>
        </w:tc>
        <w:tc>
          <w:tcPr>
            <w:tcW w:w="4499" w:type="dxa"/>
            <w:tcBorders>
              <w:top w:val="single" w:sz="4" w:space="0" w:color="auto"/>
              <w:left w:val="nil"/>
              <w:bottom w:val="single" w:sz="4" w:space="0" w:color="auto"/>
              <w:right w:val="nil"/>
            </w:tcBorders>
            <w:shd w:val="clear" w:color="000000" w:fill="FFFFFF"/>
            <w:noWrap/>
            <w:vAlign w:val="bottom"/>
            <w:hideMark/>
          </w:tcPr>
          <w:p w14:paraId="0126F921" w14:textId="6F018B63" w:rsidR="00E1709E" w:rsidRPr="00737B26" w:rsidRDefault="00E1709E" w:rsidP="007655B4">
            <w:pPr>
              <w:pStyle w:val="ExhibitText"/>
              <w:rPr>
                <w:lang w:val="en-IN" w:eastAsia="en-IN"/>
              </w:rPr>
            </w:pPr>
            <w:r w:rsidRPr="00737B26">
              <w:rPr>
                <w:lang w:val="en-IN" w:eastAsia="en-IN"/>
              </w:rPr>
              <w:t>Price</w:t>
            </w:r>
            <w:r w:rsidR="000C3678">
              <w:rPr>
                <w:lang w:val="en-IN" w:eastAsia="en-IN"/>
              </w:rPr>
              <w:t xml:space="preserve"> (US$)</w:t>
            </w:r>
          </w:p>
        </w:tc>
      </w:tr>
      <w:tr w:rsidR="00E1709E" w:rsidRPr="00737B26" w14:paraId="46C1C289" w14:textId="77777777" w:rsidTr="00100436">
        <w:trPr>
          <w:trHeight w:val="295"/>
          <w:jc w:val="center"/>
        </w:trPr>
        <w:tc>
          <w:tcPr>
            <w:tcW w:w="3562" w:type="dxa"/>
            <w:tcBorders>
              <w:top w:val="nil"/>
              <w:left w:val="nil"/>
              <w:bottom w:val="nil"/>
              <w:right w:val="nil"/>
            </w:tcBorders>
            <w:shd w:val="clear" w:color="000000" w:fill="FFFFFF"/>
            <w:noWrap/>
            <w:vAlign w:val="bottom"/>
            <w:hideMark/>
          </w:tcPr>
          <w:p w14:paraId="04402FBA" w14:textId="77777777" w:rsidR="00E1709E" w:rsidRPr="00737B26" w:rsidRDefault="00E1709E" w:rsidP="008001A5">
            <w:pPr>
              <w:pStyle w:val="ExhibitText"/>
              <w:rPr>
                <w:lang w:val="en-IN" w:eastAsia="en-IN"/>
              </w:rPr>
            </w:pPr>
            <w:r w:rsidRPr="00737B26">
              <w:rPr>
                <w:lang w:val="en-IN" w:eastAsia="en-IN"/>
              </w:rPr>
              <w:t>United States</w:t>
            </w:r>
          </w:p>
        </w:tc>
        <w:tc>
          <w:tcPr>
            <w:tcW w:w="4499" w:type="dxa"/>
            <w:tcBorders>
              <w:top w:val="nil"/>
              <w:left w:val="nil"/>
              <w:bottom w:val="nil"/>
              <w:right w:val="nil"/>
            </w:tcBorders>
            <w:shd w:val="clear" w:color="000000" w:fill="FFFFFF"/>
            <w:noWrap/>
            <w:vAlign w:val="bottom"/>
            <w:hideMark/>
          </w:tcPr>
          <w:p w14:paraId="2D739903" w14:textId="54746C39" w:rsidR="00E1709E" w:rsidRPr="00737B26" w:rsidRDefault="00E1709E" w:rsidP="008001A5">
            <w:pPr>
              <w:pStyle w:val="ExhibitText"/>
              <w:rPr>
                <w:lang w:val="en-IN" w:eastAsia="en-IN"/>
              </w:rPr>
            </w:pPr>
            <w:r w:rsidRPr="00737B26">
              <w:rPr>
                <w:lang w:val="en-IN" w:eastAsia="en-IN"/>
              </w:rPr>
              <w:t>750</w:t>
            </w:r>
            <w:r w:rsidR="000C3678">
              <w:rPr>
                <w:lang w:val="en-IN" w:eastAsia="en-IN"/>
              </w:rPr>
              <w:t>.00</w:t>
            </w:r>
            <w:r>
              <w:rPr>
                <w:lang w:val="en-IN" w:eastAsia="en-IN"/>
              </w:rPr>
              <w:t xml:space="preserve"> </w:t>
            </w:r>
            <w:r w:rsidRPr="00737B26">
              <w:rPr>
                <w:lang w:val="en-IN" w:eastAsia="en-IN"/>
              </w:rPr>
              <w:t>per tablet</w:t>
            </w:r>
          </w:p>
        </w:tc>
      </w:tr>
      <w:tr w:rsidR="00E1709E" w:rsidRPr="00737B26" w14:paraId="29BB504B" w14:textId="77777777" w:rsidTr="00100436">
        <w:trPr>
          <w:trHeight w:val="295"/>
          <w:jc w:val="center"/>
        </w:trPr>
        <w:tc>
          <w:tcPr>
            <w:tcW w:w="3562" w:type="dxa"/>
            <w:tcBorders>
              <w:top w:val="nil"/>
              <w:left w:val="nil"/>
              <w:bottom w:val="nil"/>
              <w:right w:val="nil"/>
            </w:tcBorders>
            <w:shd w:val="clear" w:color="000000" w:fill="FFFFFF"/>
            <w:noWrap/>
            <w:vAlign w:val="bottom"/>
            <w:hideMark/>
          </w:tcPr>
          <w:p w14:paraId="1250CF53" w14:textId="77777777" w:rsidR="00E1709E" w:rsidRPr="00737B26" w:rsidRDefault="00E1709E" w:rsidP="008001A5">
            <w:pPr>
              <w:pStyle w:val="ExhibitText"/>
              <w:rPr>
                <w:lang w:val="en-IN" w:eastAsia="en-IN"/>
              </w:rPr>
            </w:pPr>
            <w:r w:rsidRPr="00737B26">
              <w:rPr>
                <w:lang w:val="en-IN" w:eastAsia="en-IN"/>
              </w:rPr>
              <w:t>Canada</w:t>
            </w:r>
          </w:p>
        </w:tc>
        <w:tc>
          <w:tcPr>
            <w:tcW w:w="4499" w:type="dxa"/>
            <w:tcBorders>
              <w:top w:val="nil"/>
              <w:left w:val="nil"/>
              <w:bottom w:val="nil"/>
              <w:right w:val="nil"/>
            </w:tcBorders>
            <w:shd w:val="clear" w:color="000000" w:fill="FFFFFF"/>
            <w:noWrap/>
            <w:vAlign w:val="bottom"/>
            <w:hideMark/>
          </w:tcPr>
          <w:p w14:paraId="412E568E" w14:textId="233E6429" w:rsidR="00E1709E" w:rsidRPr="00737B26" w:rsidRDefault="00E1709E" w:rsidP="008001A5">
            <w:pPr>
              <w:pStyle w:val="ExhibitText"/>
              <w:rPr>
                <w:lang w:val="en-IN" w:eastAsia="en-IN"/>
              </w:rPr>
            </w:pPr>
            <w:r w:rsidRPr="00737B26">
              <w:rPr>
                <w:lang w:val="en-IN" w:eastAsia="en-IN"/>
              </w:rPr>
              <w:t>2.78 per tablet (imported from United Kingdom)</w:t>
            </w:r>
          </w:p>
        </w:tc>
      </w:tr>
      <w:tr w:rsidR="00E1709E" w:rsidRPr="00737B26" w14:paraId="3202F7C5" w14:textId="77777777" w:rsidTr="00100436">
        <w:trPr>
          <w:trHeight w:val="295"/>
          <w:jc w:val="center"/>
        </w:trPr>
        <w:tc>
          <w:tcPr>
            <w:tcW w:w="3562" w:type="dxa"/>
            <w:tcBorders>
              <w:top w:val="nil"/>
              <w:left w:val="nil"/>
              <w:bottom w:val="nil"/>
              <w:right w:val="nil"/>
            </w:tcBorders>
            <w:shd w:val="clear" w:color="000000" w:fill="FFFFFF"/>
            <w:noWrap/>
            <w:vAlign w:val="bottom"/>
            <w:hideMark/>
          </w:tcPr>
          <w:p w14:paraId="12040465" w14:textId="77777777" w:rsidR="00E1709E" w:rsidRPr="00737B26" w:rsidRDefault="00E1709E" w:rsidP="008001A5">
            <w:pPr>
              <w:pStyle w:val="ExhibitText"/>
              <w:rPr>
                <w:lang w:val="en-IN" w:eastAsia="en-IN"/>
              </w:rPr>
            </w:pPr>
            <w:r w:rsidRPr="00737B26">
              <w:rPr>
                <w:lang w:val="en-IN" w:eastAsia="en-IN"/>
              </w:rPr>
              <w:t>United Kingdom</w:t>
            </w:r>
          </w:p>
        </w:tc>
        <w:tc>
          <w:tcPr>
            <w:tcW w:w="4499" w:type="dxa"/>
            <w:tcBorders>
              <w:top w:val="nil"/>
              <w:left w:val="nil"/>
              <w:bottom w:val="nil"/>
              <w:right w:val="nil"/>
            </w:tcBorders>
            <w:shd w:val="clear" w:color="000000" w:fill="FFFFFF"/>
            <w:noWrap/>
            <w:vAlign w:val="bottom"/>
            <w:hideMark/>
          </w:tcPr>
          <w:p w14:paraId="3F29648B" w14:textId="6CBDCA73" w:rsidR="00E1709E" w:rsidRPr="00737B26" w:rsidRDefault="00B30C60" w:rsidP="008001A5">
            <w:pPr>
              <w:pStyle w:val="ExhibitText"/>
              <w:rPr>
                <w:lang w:val="en-IN" w:eastAsia="en-IN"/>
              </w:rPr>
            </w:pPr>
            <w:r>
              <w:rPr>
                <w:lang w:val="en-IN" w:eastAsia="en-IN"/>
              </w:rPr>
              <w:t>18.68</w:t>
            </w:r>
            <w:r w:rsidR="00E1709E">
              <w:rPr>
                <w:lang w:val="en-IN" w:eastAsia="en-IN"/>
              </w:rPr>
              <w:t xml:space="preserve"> </w:t>
            </w:r>
            <w:r w:rsidR="00E1709E" w:rsidRPr="00737B26">
              <w:rPr>
                <w:lang w:val="en-IN" w:eastAsia="en-IN"/>
              </w:rPr>
              <w:t>for 30 tablets*</w:t>
            </w:r>
          </w:p>
        </w:tc>
      </w:tr>
      <w:tr w:rsidR="00E1709E" w:rsidRPr="00737B26" w14:paraId="4DE94AB0" w14:textId="77777777" w:rsidTr="00100436">
        <w:trPr>
          <w:trHeight w:val="295"/>
          <w:jc w:val="center"/>
        </w:trPr>
        <w:tc>
          <w:tcPr>
            <w:tcW w:w="3562" w:type="dxa"/>
            <w:tcBorders>
              <w:top w:val="nil"/>
              <w:left w:val="nil"/>
              <w:bottom w:val="nil"/>
              <w:right w:val="nil"/>
            </w:tcBorders>
            <w:shd w:val="clear" w:color="000000" w:fill="FFFFFF"/>
            <w:noWrap/>
            <w:vAlign w:val="bottom"/>
            <w:hideMark/>
          </w:tcPr>
          <w:p w14:paraId="36E82126" w14:textId="77777777" w:rsidR="00E1709E" w:rsidRPr="00737B26" w:rsidRDefault="00E1709E" w:rsidP="008001A5">
            <w:pPr>
              <w:pStyle w:val="ExhibitText"/>
              <w:rPr>
                <w:lang w:val="en-IN" w:eastAsia="en-IN"/>
              </w:rPr>
            </w:pPr>
            <w:r w:rsidRPr="00737B26">
              <w:rPr>
                <w:lang w:val="en-IN" w:eastAsia="en-IN"/>
              </w:rPr>
              <w:t>India</w:t>
            </w:r>
          </w:p>
        </w:tc>
        <w:tc>
          <w:tcPr>
            <w:tcW w:w="4499" w:type="dxa"/>
            <w:tcBorders>
              <w:top w:val="nil"/>
              <w:left w:val="nil"/>
              <w:bottom w:val="nil"/>
              <w:right w:val="nil"/>
            </w:tcBorders>
            <w:shd w:val="clear" w:color="000000" w:fill="FFFFFF"/>
            <w:noWrap/>
            <w:vAlign w:val="bottom"/>
            <w:hideMark/>
          </w:tcPr>
          <w:p w14:paraId="024C8DD1" w14:textId="48F0E51E" w:rsidR="00E1709E" w:rsidRPr="00737B26" w:rsidRDefault="00E1709E" w:rsidP="0064391A">
            <w:pPr>
              <w:pStyle w:val="ExhibitText"/>
              <w:rPr>
                <w:lang w:val="en-IN" w:eastAsia="en-IN"/>
              </w:rPr>
            </w:pPr>
            <w:r w:rsidRPr="00737B26">
              <w:rPr>
                <w:lang w:val="en-IN" w:eastAsia="en-IN"/>
              </w:rPr>
              <w:t>0.04</w:t>
            </w:r>
            <w:r w:rsidR="007655B4">
              <w:rPr>
                <w:lang w:val="en-IN" w:eastAsia="en-IN"/>
              </w:rPr>
              <w:t>—</w:t>
            </w:r>
            <w:r w:rsidRPr="00737B26">
              <w:rPr>
                <w:lang w:val="en-IN" w:eastAsia="en-IN"/>
              </w:rPr>
              <w:t xml:space="preserve">0.10 for a pack of </w:t>
            </w:r>
            <w:r w:rsidR="007655B4">
              <w:rPr>
                <w:lang w:val="en-IN" w:eastAsia="en-IN"/>
              </w:rPr>
              <w:t>two</w:t>
            </w:r>
            <w:r w:rsidRPr="00737B26">
              <w:rPr>
                <w:lang w:val="en-IN" w:eastAsia="en-IN"/>
              </w:rPr>
              <w:t xml:space="preserve"> tablets</w:t>
            </w:r>
          </w:p>
        </w:tc>
      </w:tr>
      <w:tr w:rsidR="00E1709E" w:rsidRPr="00737B26" w14:paraId="77B6C529" w14:textId="77777777" w:rsidTr="00100436">
        <w:trPr>
          <w:trHeight w:val="295"/>
          <w:jc w:val="center"/>
        </w:trPr>
        <w:tc>
          <w:tcPr>
            <w:tcW w:w="3562" w:type="dxa"/>
            <w:tcBorders>
              <w:top w:val="nil"/>
              <w:left w:val="nil"/>
              <w:bottom w:val="single" w:sz="4" w:space="0" w:color="auto"/>
              <w:right w:val="nil"/>
            </w:tcBorders>
            <w:shd w:val="clear" w:color="000000" w:fill="FFFFFF"/>
            <w:noWrap/>
            <w:vAlign w:val="bottom"/>
            <w:hideMark/>
          </w:tcPr>
          <w:p w14:paraId="09E331E3" w14:textId="77777777" w:rsidR="00E1709E" w:rsidRPr="00737B26" w:rsidRDefault="00E1709E" w:rsidP="008001A5">
            <w:pPr>
              <w:pStyle w:val="ExhibitText"/>
              <w:rPr>
                <w:lang w:val="en-IN" w:eastAsia="en-IN"/>
              </w:rPr>
            </w:pPr>
            <w:r w:rsidRPr="00737B26">
              <w:rPr>
                <w:lang w:val="en-IN" w:eastAsia="en-IN"/>
              </w:rPr>
              <w:t>Australia</w:t>
            </w:r>
          </w:p>
        </w:tc>
        <w:tc>
          <w:tcPr>
            <w:tcW w:w="4499" w:type="dxa"/>
            <w:tcBorders>
              <w:top w:val="nil"/>
              <w:left w:val="nil"/>
              <w:bottom w:val="single" w:sz="4" w:space="0" w:color="auto"/>
              <w:right w:val="nil"/>
            </w:tcBorders>
            <w:shd w:val="clear" w:color="000000" w:fill="FFFFFF"/>
            <w:noWrap/>
            <w:vAlign w:val="bottom"/>
            <w:hideMark/>
          </w:tcPr>
          <w:p w14:paraId="6BFD83D0" w14:textId="59387741" w:rsidR="00E1709E" w:rsidRPr="00737B26" w:rsidRDefault="00E1709E" w:rsidP="008001A5">
            <w:pPr>
              <w:pStyle w:val="ExhibitText"/>
              <w:rPr>
                <w:lang w:val="en-IN" w:eastAsia="en-IN"/>
              </w:rPr>
            </w:pPr>
            <w:r w:rsidRPr="00737B26">
              <w:rPr>
                <w:lang w:val="en-IN" w:eastAsia="en-IN"/>
              </w:rPr>
              <w:t>9.</w:t>
            </w:r>
            <w:r w:rsidR="00B30C60">
              <w:rPr>
                <w:lang w:val="en-IN" w:eastAsia="en-IN"/>
              </w:rPr>
              <w:t>7</w:t>
            </w:r>
            <w:r w:rsidRPr="00737B26">
              <w:rPr>
                <w:lang w:val="en-IN" w:eastAsia="en-IN"/>
              </w:rPr>
              <w:t>5 for 50 tablets**</w:t>
            </w:r>
          </w:p>
        </w:tc>
      </w:tr>
    </w:tbl>
    <w:p w14:paraId="39B6A6D0" w14:textId="77777777" w:rsidR="00E1709E" w:rsidRDefault="00E1709E" w:rsidP="00E1709E">
      <w:pPr>
        <w:pStyle w:val="ExhibitText"/>
        <w:rPr>
          <w:lang w:eastAsia="en-IN"/>
        </w:rPr>
      </w:pPr>
    </w:p>
    <w:p w14:paraId="2F2A4936" w14:textId="122234D0" w:rsidR="00E1709E" w:rsidRDefault="00E1709E" w:rsidP="00E1709E">
      <w:pPr>
        <w:pStyle w:val="Footnote"/>
      </w:pPr>
      <w:r>
        <w:rPr>
          <w:lang w:eastAsia="en-IN"/>
        </w:rPr>
        <w:t xml:space="preserve">Notes: </w:t>
      </w:r>
      <w:r w:rsidRPr="00284A40">
        <w:rPr>
          <w:lang w:eastAsia="en-IN"/>
        </w:rPr>
        <w:t xml:space="preserve">* £13 converted using exchange rate </w:t>
      </w:r>
      <w:r>
        <w:rPr>
          <w:lang w:eastAsia="en-IN"/>
        </w:rPr>
        <w:t xml:space="preserve">of £1 = </w:t>
      </w:r>
      <w:r w:rsidRPr="00284A40">
        <w:rPr>
          <w:lang w:eastAsia="en-IN"/>
        </w:rPr>
        <w:t>US$</w:t>
      </w:r>
      <w:r w:rsidR="00F71598">
        <w:rPr>
          <w:lang w:eastAsia="en-IN"/>
        </w:rPr>
        <w:t>1.4370</w:t>
      </w:r>
      <w:r>
        <w:rPr>
          <w:lang w:eastAsia="en-IN"/>
        </w:rPr>
        <w:t xml:space="preserve"> (effective date </w:t>
      </w:r>
      <w:r w:rsidR="00F71598">
        <w:rPr>
          <w:lang w:eastAsia="en-IN"/>
        </w:rPr>
        <w:t>March 31, 2016</w:t>
      </w:r>
      <w:r>
        <w:rPr>
          <w:lang w:eastAsia="en-IN"/>
        </w:rPr>
        <w:t>); **</w:t>
      </w:r>
      <w:r w:rsidRPr="00284A40">
        <w:rPr>
          <w:lang w:eastAsia="en-IN"/>
        </w:rPr>
        <w:t>A</w:t>
      </w:r>
      <w:r>
        <w:rPr>
          <w:lang w:eastAsia="en-IN"/>
        </w:rPr>
        <w:t>US</w:t>
      </w:r>
      <w:r w:rsidRPr="00284A40">
        <w:rPr>
          <w:lang w:eastAsia="en-IN"/>
        </w:rPr>
        <w:t xml:space="preserve">$12.99 for 50 tablets converted </w:t>
      </w:r>
      <w:r>
        <w:rPr>
          <w:lang w:eastAsia="en-IN"/>
        </w:rPr>
        <w:t xml:space="preserve">using exchange rate of AUS$1 = </w:t>
      </w:r>
      <w:r w:rsidRPr="00284A40">
        <w:rPr>
          <w:lang w:eastAsia="en-IN"/>
        </w:rPr>
        <w:t>US$0.</w:t>
      </w:r>
      <w:r w:rsidR="009C718A">
        <w:rPr>
          <w:lang w:eastAsia="en-IN"/>
        </w:rPr>
        <w:t>75067</w:t>
      </w:r>
      <w:r>
        <w:rPr>
          <w:lang w:eastAsia="en-IN"/>
        </w:rPr>
        <w:t xml:space="preserve"> (</w:t>
      </w:r>
      <w:r w:rsidR="00F71598">
        <w:rPr>
          <w:lang w:eastAsia="en-IN"/>
        </w:rPr>
        <w:t xml:space="preserve">effective date </w:t>
      </w:r>
      <w:r w:rsidR="009C718A">
        <w:rPr>
          <w:lang w:eastAsia="en-IN"/>
        </w:rPr>
        <w:t>March 27, 2016</w:t>
      </w:r>
      <w:r>
        <w:rPr>
          <w:lang w:eastAsia="en-IN"/>
        </w:rPr>
        <w:t>).</w:t>
      </w:r>
    </w:p>
    <w:p w14:paraId="044779AF" w14:textId="25EEDCAD" w:rsidR="00E1709E" w:rsidRDefault="00E1709E" w:rsidP="00E1709E">
      <w:pPr>
        <w:pStyle w:val="Footnote"/>
      </w:pPr>
      <w:r>
        <w:t xml:space="preserve">Source: </w:t>
      </w:r>
      <w:r w:rsidRPr="003D76C9">
        <w:t xml:space="preserve">Created by </w:t>
      </w:r>
      <w:r>
        <w:t xml:space="preserve">the case </w:t>
      </w:r>
      <w:r w:rsidRPr="003D76C9">
        <w:t>authors</w:t>
      </w:r>
      <w:r>
        <w:t xml:space="preserve"> from Karthick Arvinth, “Daraprim: Generic Version of Drug Costs Less than £0.07 in India,” </w:t>
      </w:r>
      <w:r w:rsidRPr="008001A5">
        <w:rPr>
          <w:i/>
        </w:rPr>
        <w:t>International Business Times</w:t>
      </w:r>
      <w:r>
        <w:t xml:space="preserve">, September 25, 2015, accessed October 24, 2017, </w:t>
      </w:r>
      <w:r w:rsidRPr="00D5009E">
        <w:t>www.ibtimes.co.uk/daraprim-like-drug-costs-less-0-07-india-1521144</w:t>
      </w:r>
      <w:r>
        <w:t>; Michelle Roberts, “What</w:t>
      </w:r>
      <w:r w:rsidR="007655B4">
        <w:t>’s</w:t>
      </w:r>
      <w:r>
        <w:t xml:space="preserve"> a Fair Price for a Drug?,” </w:t>
      </w:r>
      <w:r w:rsidRPr="00D5009E">
        <w:t>BBC News</w:t>
      </w:r>
      <w:r>
        <w:t xml:space="preserve">, September 22, 2015, accessed October 24, 2017, </w:t>
      </w:r>
      <w:r w:rsidRPr="00D5009E">
        <w:t>www.bbc.com/news/health-34322720</w:t>
      </w:r>
      <w:r>
        <w:t xml:space="preserve">; “Daraprim 25 mg and/or Equivalents,” </w:t>
      </w:r>
      <w:r w:rsidRPr="00D5009E">
        <w:t>Canada Drugs</w:t>
      </w:r>
      <w:r>
        <w:t xml:space="preserve">, accessed October 24, 2017, </w:t>
      </w:r>
      <w:r w:rsidRPr="00D5009E">
        <w:t>www.canadadrugs.com/products/daraprim/25mg</w:t>
      </w:r>
      <w:r>
        <w:t xml:space="preserve">; “Daraprim 25 mg Tablets 50,” </w:t>
      </w:r>
      <w:r w:rsidRPr="00D5009E">
        <w:t>Chemist Warehouse</w:t>
      </w:r>
      <w:r>
        <w:t xml:space="preserve">, accessed October 24, 2017, </w:t>
      </w:r>
      <w:r w:rsidRPr="00D5009E">
        <w:t>www.chemistwarehouse.com.au/Buy/56166/Daraprim-25mg-Tablets-50</w:t>
      </w:r>
      <w:r>
        <w:t>.</w:t>
      </w:r>
    </w:p>
    <w:p w14:paraId="4513D29D" w14:textId="77777777" w:rsidR="00E1709E" w:rsidRDefault="00E1709E" w:rsidP="00E1709E">
      <w:pPr>
        <w:pStyle w:val="ExhibitText"/>
      </w:pPr>
      <w:r>
        <w:br w:type="page"/>
      </w:r>
    </w:p>
    <w:p w14:paraId="0589FE18" w14:textId="45594A45" w:rsidR="00C83FF1" w:rsidRDefault="00C83FF1" w:rsidP="00C83FF1">
      <w:pPr>
        <w:pStyle w:val="ExhibitHeading"/>
      </w:pPr>
      <w:r>
        <w:lastRenderedPageBreak/>
        <w:t xml:space="preserve">Exhibit </w:t>
      </w:r>
      <w:r w:rsidR="00254B39">
        <w:t>3</w:t>
      </w:r>
      <w:r>
        <w:t xml:space="preserve">: Average Annual </w:t>
      </w:r>
      <w:r w:rsidR="007F1909">
        <w:t xml:space="preserve">Increase </w:t>
      </w:r>
      <w:r>
        <w:t xml:space="preserve">in Branded Drug Prices </w:t>
      </w:r>
      <w:r w:rsidR="007F1909">
        <w:t>and</w:t>
      </w:r>
      <w:r>
        <w:t xml:space="preserve"> General Inflation</w:t>
      </w:r>
    </w:p>
    <w:p w14:paraId="531DF0AB" w14:textId="77777777" w:rsidR="00F21D1C" w:rsidRDefault="00F21D1C">
      <w:pPr>
        <w:pStyle w:val="ExhibitText"/>
      </w:pPr>
    </w:p>
    <w:p w14:paraId="19E5A1EF" w14:textId="77777777" w:rsidR="00C83FF1" w:rsidRDefault="00C83FF1" w:rsidP="003F6781">
      <w:pPr>
        <w:pStyle w:val="ExhibitText"/>
        <w:jc w:val="center"/>
      </w:pPr>
      <w:r>
        <w:rPr>
          <w:noProof/>
          <w:lang w:val="en-US"/>
        </w:rPr>
        <w:drawing>
          <wp:inline distT="0" distB="0" distL="0" distR="0" wp14:anchorId="3D654F6E" wp14:editId="1970BC6F">
            <wp:extent cx="5303520" cy="3825065"/>
            <wp:effectExtent l="0" t="0" r="5080" b="10795"/>
            <wp:docPr id="1" name="Chart 1">
              <a:extLst xmlns:a="http://schemas.openxmlformats.org/drawingml/2006/main">
                <a:ext uri="{FF2B5EF4-FFF2-40B4-BE49-F238E27FC236}">
                  <a16:creationId xmlns:mo="http://schemas.microsoft.com/office/mac/office/2008/main" xmlns:mv="urn:schemas-microsoft-com:mac:vml"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190D496-7490-478E-B19B-B58D311270AD}"/>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81FEAE" w14:textId="77777777" w:rsidR="00C83FF1" w:rsidRDefault="00C83FF1" w:rsidP="003F6781">
      <w:pPr>
        <w:pStyle w:val="ExhibitText"/>
      </w:pPr>
      <w:bookmarkStart w:id="1" w:name="OLE_LINK1"/>
    </w:p>
    <w:p w14:paraId="5794A280" w14:textId="176770AE" w:rsidR="007655B4" w:rsidRDefault="007655B4" w:rsidP="00C83FF1">
      <w:pPr>
        <w:pStyle w:val="Footnote"/>
      </w:pPr>
      <w:r>
        <w:t>Note: CPI-U = consumer price index for all urban consumers</w:t>
      </w:r>
    </w:p>
    <w:p w14:paraId="2B141D2C" w14:textId="48BD7F94" w:rsidR="00C83FF1" w:rsidRDefault="00C83FF1" w:rsidP="00C83FF1">
      <w:pPr>
        <w:pStyle w:val="Footnote"/>
        <w:rPr>
          <w:noProof/>
        </w:rPr>
      </w:pPr>
      <w:r>
        <w:t xml:space="preserve">Source: </w:t>
      </w:r>
      <w:r w:rsidR="003B3738">
        <w:t xml:space="preserve">Created by the case authors from Stephen W. Schondelmeyer and Leigh Purvis, </w:t>
      </w:r>
      <w:r w:rsidR="003B3738" w:rsidRPr="003D5653">
        <w:rPr>
          <w:i/>
        </w:rPr>
        <w:t>Rx Price Watch: Brand Name Prescription Drug Prices Increases by Double-Digit Percentage for Fourth Straight Year</w:t>
      </w:r>
      <w:r w:rsidR="003B3738">
        <w:t xml:space="preserve"> (Washington, DC: AARP Public Policy Institute, December 2016), accessed January 13, 2017, </w:t>
      </w:r>
      <w:r w:rsidR="003B3738" w:rsidRPr="00A249D2">
        <w:t>www.aarp.org/rxpricewatch</w:t>
      </w:r>
      <w:r w:rsidR="003B3738">
        <w:t>.</w:t>
      </w:r>
      <w:bookmarkEnd w:id="1"/>
    </w:p>
    <w:p w14:paraId="3DAFF128" w14:textId="77777777" w:rsidR="00C83FF1" w:rsidRDefault="00C83FF1" w:rsidP="003F6781">
      <w:pPr>
        <w:pStyle w:val="ExhibitText"/>
      </w:pPr>
    </w:p>
    <w:p w14:paraId="21C37302" w14:textId="77777777" w:rsidR="00C83FF1" w:rsidRDefault="00C83FF1" w:rsidP="003F6781">
      <w:pPr>
        <w:pStyle w:val="ExhibitText"/>
      </w:pPr>
    </w:p>
    <w:p w14:paraId="621FE7A5" w14:textId="5C7FB5A8" w:rsidR="00C83FF1" w:rsidRDefault="00C83FF1" w:rsidP="00586859">
      <w:pPr>
        <w:pStyle w:val="ExhibitHeading"/>
        <w:outlineLvl w:val="0"/>
      </w:pPr>
      <w:r>
        <w:t xml:space="preserve">Exhibit </w:t>
      </w:r>
      <w:r w:rsidR="00254B39">
        <w:t>4</w:t>
      </w:r>
      <w:r>
        <w:t>: Price Spikes after Major Drug Deals</w:t>
      </w:r>
    </w:p>
    <w:p w14:paraId="7D068F90" w14:textId="77777777" w:rsidR="00C83FF1" w:rsidRDefault="00C83FF1" w:rsidP="003F6781">
      <w:pPr>
        <w:pStyle w:val="ExhibitText"/>
      </w:pPr>
    </w:p>
    <w:tbl>
      <w:tblPr>
        <w:tblStyle w:val="TableGrid"/>
        <w:tblW w:w="4605" w:type="pct"/>
        <w:jc w:val="center"/>
        <w:tblLook w:val="04A0" w:firstRow="1" w:lastRow="0" w:firstColumn="1" w:lastColumn="0" w:noHBand="0" w:noVBand="1"/>
      </w:tblPr>
      <w:tblGrid>
        <w:gridCol w:w="1367"/>
        <w:gridCol w:w="3235"/>
        <w:gridCol w:w="2058"/>
        <w:gridCol w:w="2159"/>
      </w:tblGrid>
      <w:tr w:rsidR="007F1909" w:rsidRPr="007F1909" w14:paraId="23C3C980" w14:textId="77777777" w:rsidTr="003F6781">
        <w:trPr>
          <w:trHeight w:val="288"/>
          <w:jc w:val="center"/>
        </w:trPr>
        <w:tc>
          <w:tcPr>
            <w:tcW w:w="1368" w:type="dxa"/>
            <w:vAlign w:val="center"/>
          </w:tcPr>
          <w:p w14:paraId="7FBE735B" w14:textId="77777777" w:rsidR="00C83FF1" w:rsidRPr="007F1909" w:rsidRDefault="00C83FF1" w:rsidP="00100436">
            <w:pPr>
              <w:pStyle w:val="ExhibitText"/>
              <w:jc w:val="center"/>
              <w:rPr>
                <w:b/>
              </w:rPr>
            </w:pPr>
            <w:r w:rsidRPr="007F1909">
              <w:rPr>
                <w:b/>
              </w:rPr>
              <w:t>Drug</w:t>
            </w:r>
          </w:p>
        </w:tc>
        <w:tc>
          <w:tcPr>
            <w:tcW w:w="3235" w:type="dxa"/>
            <w:vAlign w:val="center"/>
          </w:tcPr>
          <w:p w14:paraId="485C6790" w14:textId="77777777" w:rsidR="00C83FF1" w:rsidRPr="007F1909" w:rsidRDefault="00C83FF1" w:rsidP="00100436">
            <w:pPr>
              <w:pStyle w:val="ExhibitText"/>
              <w:jc w:val="center"/>
              <w:rPr>
                <w:b/>
              </w:rPr>
            </w:pPr>
            <w:r w:rsidRPr="007F1909">
              <w:rPr>
                <w:b/>
              </w:rPr>
              <w:t>Acquirer</w:t>
            </w:r>
          </w:p>
        </w:tc>
        <w:tc>
          <w:tcPr>
            <w:tcW w:w="2058" w:type="dxa"/>
            <w:vAlign w:val="center"/>
          </w:tcPr>
          <w:p w14:paraId="1BFDE2BF" w14:textId="77777777" w:rsidR="00C83FF1" w:rsidRPr="007F1909" w:rsidRDefault="00C83FF1" w:rsidP="007F1909">
            <w:pPr>
              <w:pStyle w:val="ExhibitText"/>
              <w:jc w:val="center"/>
              <w:rPr>
                <w:b/>
              </w:rPr>
            </w:pPr>
            <w:r w:rsidRPr="007F1909">
              <w:rPr>
                <w:b/>
              </w:rPr>
              <w:t>Price Change</w:t>
            </w:r>
          </w:p>
        </w:tc>
        <w:tc>
          <w:tcPr>
            <w:tcW w:w="2159" w:type="dxa"/>
            <w:vAlign w:val="center"/>
          </w:tcPr>
          <w:p w14:paraId="75F06E48" w14:textId="49C1AA46" w:rsidR="00C83FF1" w:rsidRPr="007F1909" w:rsidRDefault="004806D3" w:rsidP="007F1909">
            <w:pPr>
              <w:pStyle w:val="ExhibitText"/>
              <w:jc w:val="center"/>
              <w:rPr>
                <w:b/>
              </w:rPr>
            </w:pPr>
            <w:r w:rsidRPr="007F1909">
              <w:rPr>
                <w:b/>
              </w:rPr>
              <w:t xml:space="preserve">Inflated </w:t>
            </w:r>
            <w:r w:rsidR="00C83FF1" w:rsidRPr="007F1909">
              <w:rPr>
                <w:b/>
              </w:rPr>
              <w:t>Price</w:t>
            </w:r>
            <w:r w:rsidR="007655B4">
              <w:rPr>
                <w:b/>
              </w:rPr>
              <w:t xml:space="preserve"> (US$)</w:t>
            </w:r>
          </w:p>
        </w:tc>
      </w:tr>
      <w:tr w:rsidR="007F1909" w14:paraId="5CBD5421" w14:textId="77777777" w:rsidTr="003F6781">
        <w:trPr>
          <w:trHeight w:val="288"/>
          <w:jc w:val="center"/>
        </w:trPr>
        <w:tc>
          <w:tcPr>
            <w:tcW w:w="1368" w:type="dxa"/>
            <w:vAlign w:val="center"/>
          </w:tcPr>
          <w:p w14:paraId="29160B65" w14:textId="77777777" w:rsidR="00C83FF1" w:rsidRDefault="00C83FF1" w:rsidP="00C83FF1">
            <w:pPr>
              <w:pStyle w:val="ExhibitText"/>
            </w:pPr>
            <w:r>
              <w:t>Nitropress</w:t>
            </w:r>
          </w:p>
        </w:tc>
        <w:tc>
          <w:tcPr>
            <w:tcW w:w="3235" w:type="dxa"/>
            <w:vAlign w:val="center"/>
          </w:tcPr>
          <w:p w14:paraId="4DBFD7A4" w14:textId="77777777" w:rsidR="00C83FF1" w:rsidRDefault="00C83FF1" w:rsidP="00C83FF1">
            <w:pPr>
              <w:pStyle w:val="ExhibitText"/>
            </w:pPr>
            <w:r>
              <w:t>Valeant Pharmaceuticals</w:t>
            </w:r>
          </w:p>
        </w:tc>
        <w:tc>
          <w:tcPr>
            <w:tcW w:w="2058" w:type="dxa"/>
            <w:vAlign w:val="center"/>
          </w:tcPr>
          <w:p w14:paraId="53C08006" w14:textId="77777777" w:rsidR="00C83FF1" w:rsidRDefault="00C83FF1" w:rsidP="007F1909">
            <w:pPr>
              <w:pStyle w:val="ExhibitText"/>
              <w:jc w:val="center"/>
            </w:pPr>
            <w:r>
              <w:t>&gt;300%</w:t>
            </w:r>
          </w:p>
        </w:tc>
        <w:tc>
          <w:tcPr>
            <w:tcW w:w="2159" w:type="dxa"/>
            <w:vAlign w:val="center"/>
          </w:tcPr>
          <w:p w14:paraId="1AFC5108" w14:textId="7204509F" w:rsidR="00C83FF1" w:rsidRDefault="00C83FF1" w:rsidP="007F1909">
            <w:pPr>
              <w:pStyle w:val="ExhibitText"/>
              <w:jc w:val="center"/>
            </w:pPr>
            <w:r>
              <w:t>806/vial</w:t>
            </w:r>
          </w:p>
        </w:tc>
      </w:tr>
      <w:tr w:rsidR="007F1909" w14:paraId="2478BBCD" w14:textId="77777777" w:rsidTr="003F6781">
        <w:trPr>
          <w:trHeight w:val="288"/>
          <w:jc w:val="center"/>
        </w:trPr>
        <w:tc>
          <w:tcPr>
            <w:tcW w:w="1368" w:type="dxa"/>
            <w:vAlign w:val="center"/>
          </w:tcPr>
          <w:p w14:paraId="665166FA" w14:textId="77777777" w:rsidR="00C83FF1" w:rsidRDefault="00C83FF1" w:rsidP="00C83FF1">
            <w:pPr>
              <w:pStyle w:val="ExhibitText"/>
            </w:pPr>
            <w:r>
              <w:t>Deflazacort</w:t>
            </w:r>
          </w:p>
        </w:tc>
        <w:tc>
          <w:tcPr>
            <w:tcW w:w="3235" w:type="dxa"/>
            <w:vAlign w:val="center"/>
          </w:tcPr>
          <w:p w14:paraId="5BE881B9" w14:textId="77777777" w:rsidR="00C83FF1" w:rsidRDefault="00C83FF1" w:rsidP="00C83FF1">
            <w:pPr>
              <w:pStyle w:val="ExhibitText"/>
            </w:pPr>
            <w:r>
              <w:t>Marathon Pharmaceuticals</w:t>
            </w:r>
          </w:p>
        </w:tc>
        <w:tc>
          <w:tcPr>
            <w:tcW w:w="2058" w:type="dxa"/>
            <w:vAlign w:val="center"/>
          </w:tcPr>
          <w:p w14:paraId="01C58E8C" w14:textId="05BF3ECD" w:rsidR="00C83FF1" w:rsidRDefault="00C83FF1" w:rsidP="007F1909">
            <w:pPr>
              <w:pStyle w:val="ExhibitText"/>
              <w:jc w:val="center"/>
            </w:pPr>
            <w:r>
              <w:t>6</w:t>
            </w:r>
            <w:r w:rsidR="007F1909">
              <w:t>,</w:t>
            </w:r>
            <w:r>
              <w:t>000%</w:t>
            </w:r>
          </w:p>
        </w:tc>
        <w:tc>
          <w:tcPr>
            <w:tcW w:w="2159" w:type="dxa"/>
            <w:vAlign w:val="center"/>
          </w:tcPr>
          <w:p w14:paraId="12FA3966" w14:textId="2A95DB0D" w:rsidR="00C83FF1" w:rsidRDefault="00C83FF1" w:rsidP="007F1909">
            <w:pPr>
              <w:pStyle w:val="ExhibitText"/>
              <w:jc w:val="center"/>
            </w:pPr>
            <w:r>
              <w:t>89,000</w:t>
            </w:r>
          </w:p>
        </w:tc>
      </w:tr>
      <w:tr w:rsidR="007F1909" w14:paraId="27844460" w14:textId="77777777" w:rsidTr="003F6781">
        <w:trPr>
          <w:trHeight w:val="288"/>
          <w:jc w:val="center"/>
        </w:trPr>
        <w:tc>
          <w:tcPr>
            <w:tcW w:w="1368" w:type="dxa"/>
            <w:vAlign w:val="center"/>
          </w:tcPr>
          <w:p w14:paraId="46C9655D" w14:textId="77777777" w:rsidR="00C83FF1" w:rsidRDefault="00C83FF1" w:rsidP="00C83FF1">
            <w:pPr>
              <w:pStyle w:val="ExhibitText"/>
            </w:pPr>
            <w:r>
              <w:t>Ofirmev</w:t>
            </w:r>
          </w:p>
        </w:tc>
        <w:tc>
          <w:tcPr>
            <w:tcW w:w="3235" w:type="dxa"/>
            <w:vAlign w:val="center"/>
          </w:tcPr>
          <w:p w14:paraId="37427BF9" w14:textId="77777777" w:rsidR="00C83FF1" w:rsidRDefault="00C83FF1" w:rsidP="00C83FF1">
            <w:pPr>
              <w:pStyle w:val="ExhibitText"/>
            </w:pPr>
            <w:r>
              <w:t>Mallinckrodt Pharmaceuticals</w:t>
            </w:r>
          </w:p>
        </w:tc>
        <w:tc>
          <w:tcPr>
            <w:tcW w:w="2058" w:type="dxa"/>
            <w:vAlign w:val="center"/>
          </w:tcPr>
          <w:p w14:paraId="0C9ADB79" w14:textId="77777777" w:rsidR="00C83FF1" w:rsidRDefault="00C83FF1" w:rsidP="007F1909">
            <w:pPr>
              <w:pStyle w:val="ExhibitText"/>
              <w:jc w:val="center"/>
            </w:pPr>
            <w:r>
              <w:t>&gt;229%</w:t>
            </w:r>
          </w:p>
        </w:tc>
        <w:tc>
          <w:tcPr>
            <w:tcW w:w="2159" w:type="dxa"/>
            <w:vAlign w:val="center"/>
          </w:tcPr>
          <w:p w14:paraId="2BE26688" w14:textId="52013BCB" w:rsidR="00C83FF1" w:rsidRDefault="00C83FF1" w:rsidP="007F1909">
            <w:pPr>
              <w:pStyle w:val="ExhibitText"/>
              <w:jc w:val="center"/>
            </w:pPr>
            <w:r>
              <w:t>1</w:t>
            </w:r>
            <w:r w:rsidR="007F1909">
              <w:t>,</w:t>
            </w:r>
            <w:r>
              <w:t>020</w:t>
            </w:r>
            <w:r w:rsidR="007F1909">
              <w:t xml:space="preserve"> per </w:t>
            </w:r>
            <w:r>
              <w:t>24</w:t>
            </w:r>
            <w:r w:rsidR="007F1909">
              <w:t xml:space="preserve"> </w:t>
            </w:r>
            <w:r>
              <w:t>vials</w:t>
            </w:r>
          </w:p>
        </w:tc>
      </w:tr>
      <w:tr w:rsidR="007F1909" w14:paraId="7E790B8E" w14:textId="77777777" w:rsidTr="003F6781">
        <w:trPr>
          <w:trHeight w:val="288"/>
          <w:jc w:val="center"/>
        </w:trPr>
        <w:tc>
          <w:tcPr>
            <w:tcW w:w="1368" w:type="dxa"/>
            <w:vAlign w:val="center"/>
          </w:tcPr>
          <w:p w14:paraId="183FEFF8" w14:textId="77777777" w:rsidR="00C83FF1" w:rsidRDefault="00C83FF1" w:rsidP="00C83FF1">
            <w:pPr>
              <w:pStyle w:val="ExhibitText"/>
            </w:pPr>
            <w:r>
              <w:t>Isuprel</w:t>
            </w:r>
          </w:p>
        </w:tc>
        <w:tc>
          <w:tcPr>
            <w:tcW w:w="3235" w:type="dxa"/>
            <w:vAlign w:val="center"/>
          </w:tcPr>
          <w:p w14:paraId="67E5AF72" w14:textId="77777777" w:rsidR="00C83FF1" w:rsidRDefault="00C83FF1" w:rsidP="00C83FF1">
            <w:pPr>
              <w:pStyle w:val="ExhibitText"/>
            </w:pPr>
            <w:r>
              <w:t>Valeant Pharmaceuticals</w:t>
            </w:r>
          </w:p>
        </w:tc>
        <w:tc>
          <w:tcPr>
            <w:tcW w:w="2058" w:type="dxa"/>
            <w:vAlign w:val="center"/>
          </w:tcPr>
          <w:p w14:paraId="718884A6" w14:textId="77777777" w:rsidR="00C83FF1" w:rsidRDefault="00C83FF1" w:rsidP="007F1909">
            <w:pPr>
              <w:pStyle w:val="ExhibitText"/>
              <w:jc w:val="center"/>
            </w:pPr>
            <w:r>
              <w:t>525%</w:t>
            </w:r>
          </w:p>
        </w:tc>
        <w:tc>
          <w:tcPr>
            <w:tcW w:w="2159" w:type="dxa"/>
            <w:vAlign w:val="center"/>
          </w:tcPr>
          <w:p w14:paraId="1D55C526" w14:textId="145FABD2" w:rsidR="00C83FF1" w:rsidRDefault="00C83FF1" w:rsidP="007F1909">
            <w:pPr>
              <w:pStyle w:val="ExhibitText"/>
              <w:jc w:val="center"/>
            </w:pPr>
            <w:r>
              <w:t>1</w:t>
            </w:r>
            <w:r w:rsidR="007F1909">
              <w:t>,</w:t>
            </w:r>
            <w:r>
              <w:t>347</w:t>
            </w:r>
            <w:r w:rsidR="007F1909">
              <w:t xml:space="preserve"> per </w:t>
            </w:r>
            <w:r>
              <w:t>vial</w:t>
            </w:r>
          </w:p>
        </w:tc>
      </w:tr>
      <w:tr w:rsidR="007F1909" w14:paraId="4D356F3D" w14:textId="77777777" w:rsidTr="003F6781">
        <w:trPr>
          <w:trHeight w:val="288"/>
          <w:jc w:val="center"/>
        </w:trPr>
        <w:tc>
          <w:tcPr>
            <w:tcW w:w="1368" w:type="dxa"/>
            <w:vAlign w:val="center"/>
          </w:tcPr>
          <w:p w14:paraId="04BD551A" w14:textId="77777777" w:rsidR="00C83FF1" w:rsidRDefault="00C83FF1" w:rsidP="00C83FF1">
            <w:pPr>
              <w:pStyle w:val="ExhibitText"/>
            </w:pPr>
            <w:r>
              <w:t>Vimovo</w:t>
            </w:r>
          </w:p>
        </w:tc>
        <w:tc>
          <w:tcPr>
            <w:tcW w:w="3235" w:type="dxa"/>
            <w:vAlign w:val="center"/>
          </w:tcPr>
          <w:p w14:paraId="6E768C80" w14:textId="77777777" w:rsidR="00C83FF1" w:rsidRDefault="00C83FF1" w:rsidP="00C83FF1">
            <w:pPr>
              <w:pStyle w:val="ExhibitText"/>
            </w:pPr>
            <w:r>
              <w:t>Horizon Pharma</w:t>
            </w:r>
          </w:p>
        </w:tc>
        <w:tc>
          <w:tcPr>
            <w:tcW w:w="2058" w:type="dxa"/>
            <w:vAlign w:val="center"/>
          </w:tcPr>
          <w:p w14:paraId="54F90455" w14:textId="14D90416" w:rsidR="00C83FF1" w:rsidRDefault="00C83FF1" w:rsidP="007F1909">
            <w:pPr>
              <w:pStyle w:val="ExhibitText"/>
              <w:jc w:val="center"/>
            </w:pPr>
            <w:r>
              <w:t>&gt;1</w:t>
            </w:r>
            <w:r w:rsidR="007F1909">
              <w:t>,</w:t>
            </w:r>
            <w:r>
              <w:t>200%</w:t>
            </w:r>
          </w:p>
        </w:tc>
        <w:tc>
          <w:tcPr>
            <w:tcW w:w="2159" w:type="dxa"/>
            <w:vAlign w:val="center"/>
          </w:tcPr>
          <w:p w14:paraId="70281834" w14:textId="354F5F4C" w:rsidR="00C83FF1" w:rsidRDefault="00C83FF1" w:rsidP="007F1909">
            <w:pPr>
              <w:pStyle w:val="ExhibitText"/>
              <w:jc w:val="center"/>
            </w:pPr>
            <w:r>
              <w:t>1</w:t>
            </w:r>
            <w:r w:rsidR="007F1909">
              <w:t>,</w:t>
            </w:r>
            <w:r>
              <w:t>678</w:t>
            </w:r>
            <w:r w:rsidR="007F1909">
              <w:t xml:space="preserve"> per </w:t>
            </w:r>
            <w:r>
              <w:t>60 tablets</w:t>
            </w:r>
          </w:p>
        </w:tc>
      </w:tr>
      <w:tr w:rsidR="007F1909" w14:paraId="5F4CF2A9" w14:textId="77777777" w:rsidTr="003F6781">
        <w:trPr>
          <w:trHeight w:val="288"/>
          <w:jc w:val="center"/>
        </w:trPr>
        <w:tc>
          <w:tcPr>
            <w:tcW w:w="1368" w:type="dxa"/>
            <w:vAlign w:val="center"/>
          </w:tcPr>
          <w:p w14:paraId="10D8D6BC" w14:textId="114E0796" w:rsidR="00443E9E" w:rsidRDefault="00443E9E" w:rsidP="00C83FF1">
            <w:pPr>
              <w:pStyle w:val="ExhibitText"/>
            </w:pPr>
            <w:r>
              <w:t>Epi</w:t>
            </w:r>
            <w:r w:rsidR="007F1909">
              <w:t>P</w:t>
            </w:r>
            <w:r>
              <w:t>ens</w:t>
            </w:r>
          </w:p>
        </w:tc>
        <w:tc>
          <w:tcPr>
            <w:tcW w:w="3235" w:type="dxa"/>
            <w:vAlign w:val="center"/>
          </w:tcPr>
          <w:p w14:paraId="69B292C2" w14:textId="56E37A5C" w:rsidR="00443E9E" w:rsidRDefault="00443E9E" w:rsidP="00C83FF1">
            <w:pPr>
              <w:pStyle w:val="ExhibitText"/>
            </w:pPr>
            <w:r>
              <w:t>Mylan Inc.</w:t>
            </w:r>
          </w:p>
        </w:tc>
        <w:tc>
          <w:tcPr>
            <w:tcW w:w="2058" w:type="dxa"/>
            <w:vAlign w:val="center"/>
          </w:tcPr>
          <w:p w14:paraId="02B4F99E" w14:textId="6FD9F64F" w:rsidR="00443E9E" w:rsidRDefault="00443E9E" w:rsidP="007F1909">
            <w:pPr>
              <w:pStyle w:val="ExhibitText"/>
              <w:jc w:val="center"/>
            </w:pPr>
            <w:r>
              <w:t>500%</w:t>
            </w:r>
          </w:p>
        </w:tc>
        <w:tc>
          <w:tcPr>
            <w:tcW w:w="2159" w:type="dxa"/>
            <w:vAlign w:val="center"/>
          </w:tcPr>
          <w:p w14:paraId="73D8CD68" w14:textId="4107AF71" w:rsidR="00443E9E" w:rsidRDefault="00443E9E">
            <w:pPr>
              <w:pStyle w:val="ExhibitText"/>
              <w:jc w:val="center"/>
            </w:pPr>
            <w:r>
              <w:t xml:space="preserve">600 </w:t>
            </w:r>
            <w:r w:rsidR="007F1909">
              <w:t xml:space="preserve">per </w:t>
            </w:r>
            <w:r>
              <w:t>pack of two</w:t>
            </w:r>
          </w:p>
        </w:tc>
      </w:tr>
    </w:tbl>
    <w:p w14:paraId="15F943D1" w14:textId="77777777" w:rsidR="00C83FF1" w:rsidRDefault="00C83FF1" w:rsidP="003F6781">
      <w:pPr>
        <w:pStyle w:val="ExhibitText"/>
      </w:pPr>
    </w:p>
    <w:p w14:paraId="238ADAAF" w14:textId="63FA782F" w:rsidR="003B3738" w:rsidRDefault="00C83FF1" w:rsidP="003F6781">
      <w:pPr>
        <w:pStyle w:val="Footnote"/>
        <w:rPr>
          <w:lang w:val="en-IN"/>
        </w:rPr>
      </w:pPr>
      <w:r>
        <w:t xml:space="preserve">Source: Created by </w:t>
      </w:r>
      <w:r w:rsidR="003B3738">
        <w:t>the case a</w:t>
      </w:r>
      <w:r>
        <w:t>uthors</w:t>
      </w:r>
      <w:r w:rsidR="003B3738">
        <w:t xml:space="preserve"> from </w:t>
      </w:r>
      <w:r w:rsidRPr="00546321">
        <w:t>Jonathan D. Rockoff and Ed Silverman, “Pharmaceutical Companies Buy Rivals</w:t>
      </w:r>
      <w:r w:rsidR="003B3738">
        <w:t>’</w:t>
      </w:r>
      <w:r w:rsidRPr="00546321">
        <w:t xml:space="preserve"> Drugs, Then Jack Up the Prices</w:t>
      </w:r>
      <w:r w:rsidR="003B3738">
        <w:t>,</w:t>
      </w:r>
      <w:r w:rsidRPr="00546321">
        <w:t xml:space="preserve">” </w:t>
      </w:r>
      <w:r w:rsidRPr="003F6781">
        <w:rPr>
          <w:i/>
        </w:rPr>
        <w:t>Wall Street Journal</w:t>
      </w:r>
      <w:r w:rsidRPr="00546321">
        <w:t>,</w:t>
      </w:r>
      <w:r w:rsidR="003B3738">
        <w:t xml:space="preserve"> April 26, 2015, accessed October 24, 2017, </w:t>
      </w:r>
      <w:r w:rsidR="00DB563E" w:rsidRPr="00F21D1C">
        <w:t>www.wsj.com/articles/pharmaceutical-companies-buy-rivals-drugs-then-jack-up-the-prices-1430096431</w:t>
      </w:r>
      <w:r w:rsidR="003B3738">
        <w:t xml:space="preserve">; </w:t>
      </w:r>
      <w:r w:rsidR="00DB563E">
        <w:t>Matthew Herper, “Why Did That Drug Price Increase 6,000%? It's The Law</w:t>
      </w:r>
      <w:r w:rsidR="003B3738">
        <w:t>,</w:t>
      </w:r>
      <w:r w:rsidR="00DB563E">
        <w:t xml:space="preserve">” </w:t>
      </w:r>
      <w:r w:rsidR="00DB563E" w:rsidRPr="003F6781">
        <w:rPr>
          <w:i/>
        </w:rPr>
        <w:t>Forbes</w:t>
      </w:r>
      <w:r w:rsidR="00DB563E">
        <w:t xml:space="preserve">, February 10, 2017, </w:t>
      </w:r>
      <w:r w:rsidR="003B3738">
        <w:t>a</w:t>
      </w:r>
      <w:r w:rsidR="00DB563E">
        <w:t xml:space="preserve">ccessed March 31, 2017, </w:t>
      </w:r>
      <w:r w:rsidR="00DB563E" w:rsidRPr="00F21D1C">
        <w:t>www.forbes.com/sites/matthewherper/2017/02/10/a-6000-price-hike-should-give-drug-companies-a-disgusting-sense-of-deja-vu/#57bebc1d71f5</w:t>
      </w:r>
      <w:r w:rsidR="003B3738">
        <w:t xml:space="preserve">; </w:t>
      </w:r>
      <w:r w:rsidR="003B3738">
        <w:rPr>
          <w:lang w:val="en-IN"/>
        </w:rPr>
        <w:t>Michael Hiltzik, “</w:t>
      </w:r>
      <w:r w:rsidR="003B3738" w:rsidRPr="00284EBE">
        <w:rPr>
          <w:lang w:val="en-IN"/>
        </w:rPr>
        <w:t>Another Reason to Hate Mylan, Which Jacked Up the Price of Life-Saving EpiPens: It's a Tax Dodger</w:t>
      </w:r>
      <w:r w:rsidR="003B3738">
        <w:rPr>
          <w:lang w:val="en-IN"/>
        </w:rPr>
        <w:t xml:space="preserve">,” </w:t>
      </w:r>
      <w:r w:rsidR="003B3738" w:rsidRPr="003D5653">
        <w:rPr>
          <w:i/>
          <w:lang w:val="en-IN"/>
        </w:rPr>
        <w:t>Los Angeles Times</w:t>
      </w:r>
      <w:r w:rsidR="003B3738">
        <w:rPr>
          <w:lang w:val="en-IN"/>
        </w:rPr>
        <w:t xml:space="preserve">, August 23, 2016, accessed September 2, 2017, </w:t>
      </w:r>
      <w:r w:rsidR="003B3738" w:rsidRPr="00284EBE">
        <w:rPr>
          <w:lang w:val="en-IN"/>
        </w:rPr>
        <w:t>www.latimes.com/business/hiltzik/la-fi-hiltzik-mylan-inversion-20160823-snap-story.html</w:t>
      </w:r>
      <w:r w:rsidR="003B3738">
        <w:rPr>
          <w:lang w:val="en-IN"/>
        </w:rPr>
        <w:t>.</w:t>
      </w:r>
      <w:r w:rsidR="003B3738">
        <w:rPr>
          <w:lang w:val="en-IN"/>
        </w:rPr>
        <w:br w:type="page"/>
      </w:r>
    </w:p>
    <w:p w14:paraId="558DD65B" w14:textId="77777777" w:rsidR="00C83FF1" w:rsidRDefault="00A249D2" w:rsidP="00586859">
      <w:pPr>
        <w:pStyle w:val="Casehead1"/>
        <w:outlineLvl w:val="0"/>
      </w:pPr>
      <w:r>
        <w:lastRenderedPageBreak/>
        <w:t>ENDNOTES</w:t>
      </w:r>
    </w:p>
    <w:sectPr w:rsidR="00C83FF1"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A8AD7" w14:textId="77777777" w:rsidR="009179D1" w:rsidRDefault="009179D1" w:rsidP="00D75295">
      <w:r>
        <w:separator/>
      </w:r>
    </w:p>
  </w:endnote>
  <w:endnote w:type="continuationSeparator" w:id="0">
    <w:p w14:paraId="1216DAC7" w14:textId="77777777" w:rsidR="009179D1" w:rsidRDefault="009179D1" w:rsidP="00D75295">
      <w:r>
        <w:continuationSeparator/>
      </w:r>
    </w:p>
  </w:endnote>
  <w:endnote w:id="1">
    <w:p w14:paraId="551B6443" w14:textId="67610B7F" w:rsidR="007C3EAB" w:rsidRPr="007C3EAB" w:rsidRDefault="007C3EAB">
      <w:pPr>
        <w:pStyle w:val="EndnoteText"/>
        <w:rPr>
          <w:lang w:val="en-US"/>
        </w:rPr>
      </w:pPr>
      <w:r w:rsidRPr="00100436">
        <w:rPr>
          <w:rStyle w:val="FootnoteChar"/>
        </w:rPr>
        <w:endnoteRef/>
      </w:r>
      <w:r>
        <w:t xml:space="preserve"> </w:t>
      </w:r>
      <w:r w:rsidRPr="00E66022">
        <w:rPr>
          <w:rStyle w:val="FootnoteChar"/>
        </w:rPr>
        <w:t>This case has been written on the basis of published sources only. Consequently, the interpretation and perspectives presented in this case a</w:t>
      </w:r>
      <w:r>
        <w:rPr>
          <w:rStyle w:val="FootnoteChar"/>
        </w:rPr>
        <w:t xml:space="preserve">re not necessarily those of </w:t>
      </w:r>
      <w:r w:rsidRPr="007C3EAB">
        <w:rPr>
          <w:rFonts w:ascii="Arial" w:hAnsi="Arial" w:cs="Arial"/>
          <w:sz w:val="17"/>
          <w:szCs w:val="17"/>
          <w:lang w:val="en-US"/>
        </w:rPr>
        <w:t>Turing Pharmaceuticals</w:t>
      </w:r>
      <w:r w:rsidRPr="00E66022">
        <w:rPr>
          <w:rStyle w:val="FootnoteChar"/>
        </w:rPr>
        <w:t xml:space="preserve"> or any of its employees.</w:t>
      </w:r>
    </w:p>
  </w:endnote>
  <w:endnote w:id="2">
    <w:p w14:paraId="64CC08DD" w14:textId="028D2CB6" w:rsidR="00157FD5" w:rsidRDefault="00157FD5" w:rsidP="003F6781">
      <w:pPr>
        <w:pStyle w:val="Footnote"/>
      </w:pPr>
      <w:r>
        <w:rPr>
          <w:rStyle w:val="EndnoteReference"/>
        </w:rPr>
        <w:endnoteRef/>
      </w:r>
      <w:r>
        <w:t xml:space="preserve"> All dollar amounts are in US$ unless otherwise stated.</w:t>
      </w:r>
    </w:p>
  </w:endnote>
  <w:endnote w:id="3">
    <w:p w14:paraId="4009C76D" w14:textId="58C73230" w:rsidR="00157FD5" w:rsidRPr="00EF51DB" w:rsidRDefault="00157FD5" w:rsidP="00F21D1C">
      <w:pPr>
        <w:pStyle w:val="Footnote"/>
        <w:rPr>
          <w:lang w:val="en-IN"/>
        </w:rPr>
      </w:pPr>
      <w:r>
        <w:rPr>
          <w:rStyle w:val="EndnoteReference"/>
        </w:rPr>
        <w:endnoteRef/>
      </w:r>
      <w:r>
        <w:rPr>
          <w:lang w:val="en-IN"/>
        </w:rPr>
        <w:t xml:space="preserve"> </w:t>
      </w:r>
      <w:r w:rsidRPr="000C3678">
        <w:rPr>
          <w:spacing w:val="-2"/>
          <w:kern w:val="17"/>
          <w:lang w:val="en-IN"/>
        </w:rPr>
        <w:t>Sydney Lupkin, “This Is How Drug Companies Jack Up Their Prices and Hurt Patients,” Vice News, September 22, 2015, accessed February 15, 2017, https://news.vice.com/article/this-is-how-drug-companies-jack-up-their-prices-and-hurt-patients.</w:t>
      </w:r>
    </w:p>
  </w:endnote>
  <w:endnote w:id="4">
    <w:p w14:paraId="52347172" w14:textId="06A9B48C" w:rsidR="00157FD5" w:rsidRPr="00EF51DB" w:rsidRDefault="00157FD5" w:rsidP="00F21D1C">
      <w:pPr>
        <w:pStyle w:val="Footnote"/>
        <w:rPr>
          <w:lang w:val="en-IN"/>
        </w:rPr>
      </w:pPr>
      <w:r>
        <w:rPr>
          <w:rStyle w:val="EndnoteReference"/>
        </w:rPr>
        <w:endnoteRef/>
      </w:r>
      <w:r>
        <w:t xml:space="preserve"> </w:t>
      </w:r>
      <w:r>
        <w:rPr>
          <w:lang w:val="en-IN"/>
        </w:rPr>
        <w:t>Christine Rushton, “</w:t>
      </w:r>
      <w:r w:rsidRPr="00EF51DB">
        <w:rPr>
          <w:lang w:val="en-IN"/>
        </w:rPr>
        <w:t>Company Hikes Price 5,000% for Drug That Fights Complication of AIDS, Cancer</w:t>
      </w:r>
      <w:r>
        <w:rPr>
          <w:lang w:val="en-IN"/>
        </w:rPr>
        <w:t xml:space="preserve">,” </w:t>
      </w:r>
      <w:r w:rsidRPr="00100436">
        <w:rPr>
          <w:i/>
          <w:lang w:val="en-IN"/>
        </w:rPr>
        <w:t>USA Today</w:t>
      </w:r>
      <w:r>
        <w:rPr>
          <w:lang w:val="en-IN"/>
        </w:rPr>
        <w:t xml:space="preserve">, September 18, 2015, accessed February 15, 2017, </w:t>
      </w:r>
      <w:r w:rsidRPr="00A249D2">
        <w:rPr>
          <w:lang w:val="en-IN"/>
        </w:rPr>
        <w:t>www.usatoday.com/story/news/health/2015/09/18/company-hikes-price-5000-drug-fights-complication-aids-cancer-daraprim/32563749</w:t>
      </w:r>
      <w:r>
        <w:rPr>
          <w:lang w:val="en-IN"/>
        </w:rPr>
        <w:t>.</w:t>
      </w:r>
    </w:p>
  </w:endnote>
  <w:endnote w:id="5">
    <w:p w14:paraId="2EDAE91C" w14:textId="22CF2D8B" w:rsidR="00157FD5" w:rsidRPr="00F36F52" w:rsidRDefault="00157FD5" w:rsidP="00044F2A">
      <w:pPr>
        <w:pStyle w:val="Footnote"/>
        <w:rPr>
          <w:lang w:val="en-IN"/>
        </w:rPr>
      </w:pPr>
      <w:r>
        <w:rPr>
          <w:rStyle w:val="EndnoteReference"/>
        </w:rPr>
        <w:endnoteRef/>
      </w:r>
      <w:r>
        <w:t xml:space="preserve"> </w:t>
      </w:r>
      <w:r w:rsidRPr="000C3678">
        <w:rPr>
          <w:spacing w:val="-2"/>
          <w:kern w:val="17"/>
          <w:lang w:val="en-IN"/>
        </w:rPr>
        <w:t xml:space="preserve">Melody Petersen, “How 4 Drug Companies Rapidly Raised Prices on Life-Saving Drugs,” </w:t>
      </w:r>
      <w:r w:rsidRPr="000C3678">
        <w:rPr>
          <w:i/>
          <w:spacing w:val="-2"/>
          <w:kern w:val="17"/>
          <w:lang w:val="en-IN"/>
        </w:rPr>
        <w:t>Los Angeles Times</w:t>
      </w:r>
      <w:r w:rsidRPr="000C3678">
        <w:rPr>
          <w:spacing w:val="-2"/>
          <w:kern w:val="17"/>
          <w:lang w:val="en-IN"/>
        </w:rPr>
        <w:t>, December 21, 2016, accessed January 29, 2017, www.latimes.com/business/la-fi-senate-drug-price-study-20161221-story.html.</w:t>
      </w:r>
      <w:r>
        <w:rPr>
          <w:lang w:val="en-IN"/>
        </w:rPr>
        <w:t xml:space="preserve"> </w:t>
      </w:r>
    </w:p>
  </w:endnote>
  <w:endnote w:id="6">
    <w:p w14:paraId="52DF3C3C" w14:textId="75A45CEA" w:rsidR="00157FD5" w:rsidRPr="004749B6" w:rsidRDefault="00157FD5" w:rsidP="00F21D1C">
      <w:pPr>
        <w:pStyle w:val="Footnote"/>
        <w:rPr>
          <w:lang w:val="en-IN"/>
        </w:rPr>
      </w:pPr>
      <w:r>
        <w:rPr>
          <w:rStyle w:val="EndnoteReference"/>
        </w:rPr>
        <w:endnoteRef/>
      </w:r>
      <w:r>
        <w:t xml:space="preserve"> </w:t>
      </w:r>
      <w:r w:rsidR="00074CF8">
        <w:rPr>
          <w:lang w:val="en-IN"/>
        </w:rPr>
        <w:t xml:space="preserve">Andrew Pollock, </w:t>
      </w:r>
      <w:r w:rsidRPr="004749B6">
        <w:rPr>
          <w:lang w:val="en-IN"/>
        </w:rPr>
        <w:t xml:space="preserve">“Lawyer for Turing Said He Warned </w:t>
      </w:r>
      <w:r w:rsidR="00C35E08">
        <w:rPr>
          <w:lang w:val="en-IN"/>
        </w:rPr>
        <w:t>a</w:t>
      </w:r>
      <w:r w:rsidRPr="004749B6">
        <w:rPr>
          <w:lang w:val="en-IN"/>
        </w:rPr>
        <w:t>gainst Drug Price Increase</w:t>
      </w:r>
      <w:r>
        <w:rPr>
          <w:lang w:val="en-IN"/>
        </w:rPr>
        <w:t>,</w:t>
      </w:r>
      <w:r w:rsidRPr="004749B6">
        <w:rPr>
          <w:lang w:val="en-IN"/>
        </w:rPr>
        <w:t xml:space="preserve">” </w:t>
      </w:r>
      <w:r w:rsidRPr="003F6781">
        <w:rPr>
          <w:i/>
          <w:lang w:val="en-IN"/>
        </w:rPr>
        <w:t>New York Times</w:t>
      </w:r>
      <w:r w:rsidRPr="004749B6">
        <w:rPr>
          <w:lang w:val="en-IN"/>
        </w:rPr>
        <w:t xml:space="preserve">, March 17, 2016, </w:t>
      </w:r>
      <w:r>
        <w:rPr>
          <w:lang w:val="en-IN"/>
        </w:rPr>
        <w:t>a</w:t>
      </w:r>
      <w:r w:rsidRPr="004749B6">
        <w:rPr>
          <w:lang w:val="en-IN"/>
        </w:rPr>
        <w:t xml:space="preserve">ccessed August 25, 2017, </w:t>
      </w:r>
      <w:r w:rsidRPr="003F6781">
        <w:t>www.nytimes.com/2016/03/18/business/lawyer-for-turing-said-he-warned-against-drug-price-increase.html</w:t>
      </w:r>
      <w:r w:rsidR="00C35E08">
        <w:rPr>
          <w:lang w:val="en-IN"/>
        </w:rPr>
        <w:t>;</w:t>
      </w:r>
      <w:r>
        <w:rPr>
          <w:lang w:val="en-IN"/>
        </w:rPr>
        <w:t xml:space="preserve"> </w:t>
      </w:r>
      <w:r w:rsidR="00C35E08">
        <w:rPr>
          <w:lang w:val="en-IN"/>
        </w:rPr>
        <w:t>t</w:t>
      </w:r>
      <w:r>
        <w:rPr>
          <w:lang w:val="en-IN"/>
        </w:rPr>
        <w:t xml:space="preserve">he total cost of the drugs for the Westons was </w:t>
      </w:r>
      <w:r w:rsidRPr="009477B3">
        <w:t>$2,616 for the year</w:t>
      </w:r>
      <w:r>
        <w:t xml:space="preserve">, or </w:t>
      </w:r>
      <w:r w:rsidRPr="009477B3">
        <w:t>$218 a month</w:t>
      </w:r>
      <w:r>
        <w:t>: $48 for the Daraprim and $170 for sulphonamide, used in combination with Daraprim to treat toxoplasmosis.</w:t>
      </w:r>
    </w:p>
  </w:endnote>
  <w:endnote w:id="7">
    <w:p w14:paraId="43974BDD" w14:textId="73812218" w:rsidR="00074CF8" w:rsidRPr="00074CF8" w:rsidRDefault="00074CF8" w:rsidP="00100436">
      <w:pPr>
        <w:pStyle w:val="Footnote"/>
        <w:rPr>
          <w:lang w:val="en-IN"/>
        </w:rPr>
      </w:pPr>
      <w:r w:rsidRPr="0064391A">
        <w:rPr>
          <w:rStyle w:val="EndnoteReference"/>
        </w:rPr>
        <w:endnoteRef/>
      </w:r>
      <w:r>
        <w:t xml:space="preserve"> “Testimony Submitted by Mrs. Shannon Weston to the U.S. Senate Special Committee on Aging for the Hearing on Sudden Price Spikes in Decades-Old Prescription Drugs”, March 17, 2016, accessed on January 19, 2017, https://www.aging.senate.gov/download/shannon-and-joshua-weston.</w:t>
      </w:r>
    </w:p>
  </w:endnote>
  <w:endnote w:id="8">
    <w:p w14:paraId="3A643D6D" w14:textId="785CAE89" w:rsidR="00157FD5" w:rsidRPr="00653211" w:rsidRDefault="00157FD5" w:rsidP="00F21D1C">
      <w:pPr>
        <w:pStyle w:val="Footnote"/>
        <w:rPr>
          <w:lang w:val="en-IN"/>
        </w:rPr>
      </w:pPr>
      <w:r>
        <w:rPr>
          <w:rStyle w:val="EndnoteReference"/>
        </w:rPr>
        <w:endnoteRef/>
      </w:r>
      <w:r>
        <w:t xml:space="preserve"> </w:t>
      </w:r>
      <w:r w:rsidRPr="00967DDE">
        <w:rPr>
          <w:lang w:val="en-IN"/>
        </w:rPr>
        <w:t>Susan M. Collins</w:t>
      </w:r>
      <w:r>
        <w:rPr>
          <w:lang w:val="en-IN"/>
        </w:rPr>
        <w:t xml:space="preserve"> and </w:t>
      </w:r>
      <w:r w:rsidRPr="00D9405C">
        <w:rPr>
          <w:lang w:val="en-IN"/>
        </w:rPr>
        <w:t>Claire McCaskill</w:t>
      </w:r>
      <w:r>
        <w:rPr>
          <w:lang w:val="en-IN"/>
        </w:rPr>
        <w:t>, Special Committee on Aging, S. Rep. “</w:t>
      </w:r>
      <w:r w:rsidRPr="00D9405C">
        <w:rPr>
          <w:lang w:val="en-IN"/>
        </w:rPr>
        <w:t>Sudden Price Spikes in</w:t>
      </w:r>
      <w:r>
        <w:rPr>
          <w:lang w:val="en-IN"/>
        </w:rPr>
        <w:t xml:space="preserve"> </w:t>
      </w:r>
      <w:r w:rsidRPr="00D9405C">
        <w:rPr>
          <w:lang w:val="en-IN"/>
        </w:rPr>
        <w:t>Off-Patent Prescription Drugs:</w:t>
      </w:r>
      <w:r>
        <w:rPr>
          <w:lang w:val="en-IN"/>
        </w:rPr>
        <w:t xml:space="preserve"> </w:t>
      </w:r>
      <w:r w:rsidRPr="00D9405C">
        <w:rPr>
          <w:lang w:val="en-IN"/>
        </w:rPr>
        <w:t>The Monopoly Business Model that Harms Patients, Taxpayers, and the U.S. Health Care System</w:t>
      </w:r>
      <w:r w:rsidR="00C35E08">
        <w:rPr>
          <w:lang w:val="en-IN"/>
        </w:rPr>
        <w:t>,</w:t>
      </w:r>
      <w:r>
        <w:rPr>
          <w:lang w:val="en-IN"/>
        </w:rPr>
        <w:t xml:space="preserve">” December 9, 2016, accessed August 25, 2017, </w:t>
      </w:r>
      <w:r w:rsidRPr="003F6781">
        <w:t>www.aging.senate.gov/imo/media/doc/Drug%20Pricing%20Report.pdf</w:t>
      </w:r>
      <w:r>
        <w:t>.</w:t>
      </w:r>
    </w:p>
  </w:endnote>
  <w:endnote w:id="9">
    <w:p w14:paraId="03EE20D9" w14:textId="1CF8167F" w:rsidR="00157FD5" w:rsidRDefault="00157FD5" w:rsidP="003F6781">
      <w:pPr>
        <w:pStyle w:val="Footnote"/>
      </w:pPr>
      <w:r>
        <w:rPr>
          <w:rStyle w:val="EndnoteReference"/>
        </w:rPr>
        <w:endnoteRef/>
      </w:r>
      <w:r>
        <w:t xml:space="preserve"> </w:t>
      </w:r>
      <w:r w:rsidRPr="000C3678">
        <w:rPr>
          <w:spacing w:val="-6"/>
          <w:kern w:val="17"/>
        </w:rPr>
        <w:t>HIV/AIDS referred to human immunodeficiency virus (HIV) and the illness it caused, acquired immune deficiency syndrome (AIDS).</w:t>
      </w:r>
    </w:p>
  </w:endnote>
  <w:endnote w:id="10">
    <w:p w14:paraId="04A651E9" w14:textId="779D1981" w:rsidR="00157FD5" w:rsidRPr="00E13F43" w:rsidRDefault="00157FD5" w:rsidP="00F21D1C">
      <w:pPr>
        <w:pStyle w:val="Footnote"/>
        <w:rPr>
          <w:lang w:val="en-IN"/>
        </w:rPr>
      </w:pPr>
      <w:r>
        <w:rPr>
          <w:rStyle w:val="EndnoteReference"/>
        </w:rPr>
        <w:endnoteRef/>
      </w:r>
      <w:r>
        <w:t xml:space="preserve"> Anna Almendrala, “What the Daraprim Price Hike Actually Does to Health Care,” </w:t>
      </w:r>
      <w:r w:rsidRPr="003F6781">
        <w:rPr>
          <w:i/>
        </w:rPr>
        <w:t>Huffington Post</w:t>
      </w:r>
      <w:r>
        <w:t xml:space="preserve">, September 23, 2015, accessed August 28, 2017, </w:t>
      </w:r>
      <w:r w:rsidRPr="00E13F43">
        <w:t>www.huffingtonpost.in/entry/daraprim-price-turing-shkreli_us_560063cee4b00310edf82060</w:t>
      </w:r>
      <w:r>
        <w:t>.</w:t>
      </w:r>
    </w:p>
  </w:endnote>
  <w:endnote w:id="11">
    <w:p w14:paraId="3A0C31EC" w14:textId="357F00F7" w:rsidR="00157FD5" w:rsidRDefault="00157FD5" w:rsidP="00F21D1C">
      <w:pPr>
        <w:pStyle w:val="Footnote"/>
      </w:pPr>
      <w:r>
        <w:rPr>
          <w:rStyle w:val="EndnoteReference"/>
        </w:rPr>
        <w:endnoteRef/>
      </w:r>
      <w:r>
        <w:t xml:space="preserve"> </w:t>
      </w:r>
      <w:r w:rsidRPr="000C3678">
        <w:rPr>
          <w:spacing w:val="-2"/>
          <w:kern w:val="17"/>
        </w:rPr>
        <w:t xml:space="preserve">Christopher Versace, “Call Martin Shkreli Whatever You Want, But Not a Pharma CEO,” </w:t>
      </w:r>
      <w:r w:rsidRPr="000C3678">
        <w:rPr>
          <w:i/>
          <w:spacing w:val="-2"/>
          <w:kern w:val="17"/>
        </w:rPr>
        <w:t>Forbes</w:t>
      </w:r>
      <w:r w:rsidRPr="000C3678">
        <w:rPr>
          <w:spacing w:val="-2"/>
          <w:kern w:val="17"/>
        </w:rPr>
        <w:t>, February 5, 2016, accessed January 21, 2017, www.forbes.com/sites/chrisversace/2016/02/05/call-martin-shkreli-whatever-you-want-but-not-a-pharma-ceo.</w:t>
      </w:r>
      <w:r>
        <w:t xml:space="preserve"> </w:t>
      </w:r>
    </w:p>
  </w:endnote>
  <w:endnote w:id="12">
    <w:p w14:paraId="217EEA87" w14:textId="0DDAC16E" w:rsidR="00157FD5" w:rsidRDefault="00157FD5" w:rsidP="00F21D1C">
      <w:pPr>
        <w:pStyle w:val="Footnote"/>
      </w:pPr>
      <w:r>
        <w:rPr>
          <w:rStyle w:val="EndnoteReference"/>
        </w:rPr>
        <w:endnoteRef/>
      </w:r>
      <w:r>
        <w:t xml:space="preserve"> Heather Long and Matt</w:t>
      </w:r>
      <w:r w:rsidRPr="00273209">
        <w:t xml:space="preserve"> </w:t>
      </w:r>
      <w:r>
        <w:t xml:space="preserve">Egan, “Meet the Guy Behind the $750 AIDS Drug,” CNN Money, September 22, 2015, accessed January 17, 2017, </w:t>
      </w:r>
      <w:r w:rsidRPr="00A249D2">
        <w:t>http://money.cnn.com/2015/09/22/investing/aids-drug-martin-shkreli-750-cancer-drug/index.html</w:t>
      </w:r>
      <w:r>
        <w:t>.</w:t>
      </w:r>
    </w:p>
  </w:endnote>
  <w:endnote w:id="13">
    <w:p w14:paraId="1CF81383" w14:textId="2EE9F3B0" w:rsidR="00157FD5" w:rsidRPr="0092098C" w:rsidRDefault="00157FD5" w:rsidP="00F21D1C">
      <w:pPr>
        <w:pStyle w:val="Footnote"/>
      </w:pPr>
      <w:r>
        <w:rPr>
          <w:rStyle w:val="EndnoteReference"/>
        </w:rPr>
        <w:endnoteRef/>
      </w:r>
      <w:r>
        <w:t xml:space="preserve"> </w:t>
      </w:r>
      <w:r w:rsidRPr="000C3678">
        <w:rPr>
          <w:spacing w:val="-2"/>
          <w:kern w:val="17"/>
        </w:rPr>
        <w:t xml:space="preserve">Ibid. </w:t>
      </w:r>
    </w:p>
  </w:endnote>
  <w:endnote w:id="14">
    <w:p w14:paraId="54C0E12B" w14:textId="075F10A5" w:rsidR="00157FD5" w:rsidRPr="0092098C" w:rsidRDefault="00157FD5" w:rsidP="00F21D1C">
      <w:pPr>
        <w:pStyle w:val="Footnote"/>
        <w:rPr>
          <w:lang w:val="en-IN"/>
        </w:rPr>
      </w:pPr>
      <w:r w:rsidRPr="0092098C">
        <w:rPr>
          <w:rStyle w:val="EndnoteReference"/>
        </w:rPr>
        <w:endnoteRef/>
      </w:r>
      <w:r w:rsidRPr="0092098C">
        <w:t xml:space="preserve"> Zoe Thomas</w:t>
      </w:r>
      <w:r>
        <w:t xml:space="preserve"> and</w:t>
      </w:r>
      <w:r w:rsidRPr="0092098C">
        <w:t xml:space="preserve"> Tim Swift, “Who is Martin Shkreli</w:t>
      </w:r>
      <w:r>
        <w:t>—‘</w:t>
      </w:r>
      <w:r w:rsidRPr="0092098C">
        <w:t>The Most Hated Man in America</w:t>
      </w:r>
      <w:r>
        <w:t>’</w:t>
      </w:r>
      <w:r w:rsidRPr="0092098C">
        <w:t>?</w:t>
      </w:r>
      <w:r>
        <w:t>,</w:t>
      </w:r>
      <w:r w:rsidRPr="0092098C">
        <w:t>” BBC News, September 2</w:t>
      </w:r>
      <w:r>
        <w:t>2</w:t>
      </w:r>
      <w:r w:rsidRPr="0092098C">
        <w:t xml:space="preserve">, 2015, </w:t>
      </w:r>
      <w:r>
        <w:t>a</w:t>
      </w:r>
      <w:r w:rsidRPr="0092098C">
        <w:t xml:space="preserve">ccessed March 25, 2017, </w:t>
      </w:r>
      <w:r w:rsidRPr="00730214">
        <w:t>www.bbc.com/news/world-us-canada-34331761</w:t>
      </w:r>
      <w:r>
        <w:t>.</w:t>
      </w:r>
    </w:p>
  </w:endnote>
  <w:endnote w:id="15">
    <w:p w14:paraId="74115397" w14:textId="3572F4F7" w:rsidR="00157FD5" w:rsidRPr="0092098C" w:rsidRDefault="00157FD5" w:rsidP="00F21D1C">
      <w:pPr>
        <w:pStyle w:val="Footnote"/>
      </w:pPr>
      <w:r w:rsidRPr="0092098C">
        <w:rPr>
          <w:rStyle w:val="EndnoteReference"/>
        </w:rPr>
        <w:endnoteRef/>
      </w:r>
      <w:r w:rsidRPr="0092098C">
        <w:t xml:space="preserve"> Ibid.</w:t>
      </w:r>
      <w:r>
        <w:t xml:space="preserve"> </w:t>
      </w:r>
    </w:p>
  </w:endnote>
  <w:endnote w:id="16">
    <w:p w14:paraId="4FD2DD40" w14:textId="3779E919" w:rsidR="00157FD5" w:rsidRPr="0092098C" w:rsidRDefault="00157FD5" w:rsidP="00F21D1C">
      <w:pPr>
        <w:pStyle w:val="Footnote"/>
        <w:rPr>
          <w:lang w:val="en-IN"/>
        </w:rPr>
      </w:pPr>
      <w:r w:rsidRPr="0092098C">
        <w:rPr>
          <w:rStyle w:val="EndnoteReference"/>
        </w:rPr>
        <w:endnoteRef/>
      </w:r>
      <w:r w:rsidRPr="0092098C">
        <w:t xml:space="preserve"> Ibid.</w:t>
      </w:r>
    </w:p>
  </w:endnote>
  <w:endnote w:id="17">
    <w:p w14:paraId="57C0C13D" w14:textId="4225E5BD" w:rsidR="00157FD5" w:rsidRPr="0092098C" w:rsidRDefault="00157FD5" w:rsidP="00F21D1C">
      <w:pPr>
        <w:pStyle w:val="Footnote"/>
      </w:pPr>
      <w:r w:rsidRPr="0092098C">
        <w:rPr>
          <w:rStyle w:val="EndnoteReference"/>
        </w:rPr>
        <w:endnoteRef/>
      </w:r>
      <w:r w:rsidRPr="0092098C">
        <w:t xml:space="preserve"> Andrew Pollack, “Drug Goes From $13.50 a Tablet to $750, Overnight</w:t>
      </w:r>
      <w:r>
        <w:t>,</w:t>
      </w:r>
      <w:r w:rsidRPr="0092098C">
        <w:t xml:space="preserve">” </w:t>
      </w:r>
      <w:r w:rsidRPr="003F6781">
        <w:rPr>
          <w:i/>
        </w:rPr>
        <w:t>New York Times</w:t>
      </w:r>
      <w:r w:rsidRPr="0092098C">
        <w:t>, September 20, 2015</w:t>
      </w:r>
      <w:r>
        <w:t>,</w:t>
      </w:r>
      <w:r w:rsidRPr="0092098C">
        <w:t xml:space="preserve"> </w:t>
      </w:r>
      <w:r>
        <w:t>a</w:t>
      </w:r>
      <w:r w:rsidRPr="0092098C">
        <w:t xml:space="preserve">ccessed January 23, 2017, www.nytimes.com/2015/09/21/business/a-huge-overnight-increase-in-a-drugs-price-raises-protests.html. </w:t>
      </w:r>
    </w:p>
  </w:endnote>
  <w:endnote w:id="18">
    <w:p w14:paraId="18C224E4" w14:textId="73454CFD" w:rsidR="00157FD5" w:rsidRDefault="00157FD5" w:rsidP="00F21D1C">
      <w:pPr>
        <w:pStyle w:val="Footnote"/>
      </w:pPr>
      <w:r w:rsidRPr="0092098C">
        <w:rPr>
          <w:rStyle w:val="EndnoteReference"/>
        </w:rPr>
        <w:endnoteRef/>
      </w:r>
      <w:r w:rsidRPr="0092098C">
        <w:t xml:space="preserve"> David Goldman, “Who Is Martin Shkreli? A Timeline</w:t>
      </w:r>
      <w:r>
        <w:t>,</w:t>
      </w:r>
      <w:r w:rsidRPr="0092098C">
        <w:t xml:space="preserve">” CNN Money, December 18, 2015, </w:t>
      </w:r>
      <w:r>
        <w:t>a</w:t>
      </w:r>
      <w:r w:rsidRPr="0092098C">
        <w:t xml:space="preserve">ccessed January 18, 2017, </w:t>
      </w:r>
      <w:r w:rsidRPr="003F6781">
        <w:t>http://money.cnn.com/2015/12/18/news/companies/martin-shkreli/index.html</w:t>
      </w:r>
      <w:r>
        <w:t xml:space="preserve">; </w:t>
      </w:r>
      <w:r w:rsidRPr="000A5400">
        <w:t>Paul R. La Monica</w:t>
      </w:r>
      <w:r>
        <w:t>, “</w:t>
      </w:r>
      <w:r w:rsidRPr="000A5400">
        <w:t>Drug Stock Soars 400% After Martin Shkreli Buys It</w:t>
      </w:r>
      <w:r>
        <w:t xml:space="preserve">,” CNN Money, November 19, 2015, accessed January 19, 2017, </w:t>
      </w:r>
      <w:r w:rsidRPr="007D119B">
        <w:t>http://money.cnn.com/2015/11/19/investing/martin-shkreli-turing-kalobios-drug/index.html</w:t>
      </w:r>
      <w:r>
        <w:t xml:space="preserve">. </w:t>
      </w:r>
    </w:p>
  </w:endnote>
  <w:endnote w:id="19">
    <w:p w14:paraId="7F6E6E55" w14:textId="457A4187" w:rsidR="00157FD5" w:rsidRPr="0023529D" w:rsidRDefault="00157FD5" w:rsidP="00F21D1C">
      <w:pPr>
        <w:pStyle w:val="Footnote"/>
        <w:rPr>
          <w:lang w:val="en-IN"/>
        </w:rPr>
      </w:pPr>
      <w:r>
        <w:rPr>
          <w:rStyle w:val="EndnoteReference"/>
        </w:rPr>
        <w:endnoteRef/>
      </w:r>
      <w:r>
        <w:t xml:space="preserve"> </w:t>
      </w:r>
      <w:r w:rsidRPr="0023529D">
        <w:t>Robert Mclean</w:t>
      </w:r>
      <w:r>
        <w:t>, “</w:t>
      </w:r>
      <w:r w:rsidRPr="0023529D">
        <w:t>Martin Shkreli's KaloBios Has Declared Bankruptcy</w:t>
      </w:r>
      <w:r>
        <w:t xml:space="preserve">,” CNN Money, </w:t>
      </w:r>
      <w:r w:rsidRPr="0023529D">
        <w:t>December 30, 2015</w:t>
      </w:r>
      <w:r>
        <w:t xml:space="preserve">, accessed October 23, 2017, </w:t>
      </w:r>
      <w:r w:rsidRPr="0023529D">
        <w:t>http://money.cnn.com/2015/12/30/news/companies/kalobios-bankruptcy-martin-shkreli/index.html</w:t>
      </w:r>
      <w:r>
        <w:t>.</w:t>
      </w:r>
    </w:p>
  </w:endnote>
  <w:endnote w:id="20">
    <w:p w14:paraId="15795972" w14:textId="4E0B7254" w:rsidR="00157FD5" w:rsidRDefault="00157FD5" w:rsidP="00F21D1C">
      <w:pPr>
        <w:pStyle w:val="Footnote"/>
      </w:pPr>
      <w:r>
        <w:rPr>
          <w:rStyle w:val="EndnoteReference"/>
        </w:rPr>
        <w:endnoteRef/>
      </w:r>
      <w:r>
        <w:t xml:space="preserve"> </w:t>
      </w:r>
      <w:r w:rsidRPr="0064391A">
        <w:rPr>
          <w:i/>
        </w:rPr>
        <w:t xml:space="preserve">Sudden Price Spikes in Decades-Old Rx Drugs: Inside the Monopoly Business Model, </w:t>
      </w:r>
      <w:r>
        <w:rPr>
          <w:i/>
        </w:rPr>
        <w:t>B</w:t>
      </w:r>
      <w:r w:rsidRPr="003F6781">
        <w:rPr>
          <w:i/>
        </w:rPr>
        <w:t xml:space="preserve">efore the </w:t>
      </w:r>
      <w:r>
        <w:rPr>
          <w:i/>
        </w:rPr>
        <w:t xml:space="preserve">Senate </w:t>
      </w:r>
      <w:r w:rsidRPr="003F6781">
        <w:rPr>
          <w:i/>
        </w:rPr>
        <w:t>Special Committee on Aging</w:t>
      </w:r>
      <w:r>
        <w:t xml:space="preserve">, 114th Cong. (2016) (statement of Howard Dorfman, former Senior Vice President and General Counsel, Turing Pharmaceuticals), accessed January 13, 2017, </w:t>
      </w:r>
      <w:r w:rsidRPr="009F5606">
        <w:t>https://www.aging.senate.gov/imo/media/doc/SCA_Dorfman_3_17_16.pdf</w:t>
      </w:r>
      <w:r>
        <w:t>.</w:t>
      </w:r>
    </w:p>
  </w:endnote>
  <w:endnote w:id="21">
    <w:p w14:paraId="4C774C98" w14:textId="51635FD7" w:rsidR="00157FD5" w:rsidRDefault="00157FD5" w:rsidP="00F21D1C">
      <w:pPr>
        <w:pStyle w:val="Footnote"/>
      </w:pPr>
      <w:r>
        <w:rPr>
          <w:rStyle w:val="EndnoteReference"/>
        </w:rPr>
        <w:endnoteRef/>
      </w:r>
      <w:r>
        <w:t xml:space="preserve"> Ibid.</w:t>
      </w:r>
    </w:p>
  </w:endnote>
  <w:endnote w:id="22">
    <w:p w14:paraId="06E7148A" w14:textId="6B231F70" w:rsidR="00157FD5" w:rsidRDefault="00157FD5" w:rsidP="003F6781">
      <w:pPr>
        <w:pStyle w:val="Footnote"/>
      </w:pPr>
      <w:r>
        <w:rPr>
          <w:rStyle w:val="EndnoteReference"/>
        </w:rPr>
        <w:endnoteRef/>
      </w:r>
      <w:r>
        <w:t xml:space="preserve"> Martin Shkreli, in a televised interview with Steve Lacy, Fox5 NY, January 17, 2016, accessed October 23, 2017, </w:t>
      </w:r>
      <w:r w:rsidRPr="00350ED8">
        <w:t>www.fox5ny.com/news/exclusive-steve-lacy-interviews-martin-shkreli</w:t>
      </w:r>
      <w:r>
        <w:t>.</w:t>
      </w:r>
    </w:p>
  </w:endnote>
  <w:endnote w:id="23">
    <w:p w14:paraId="2DE90051" w14:textId="13DCA3C0" w:rsidR="00157FD5" w:rsidRDefault="00157FD5" w:rsidP="00630ED9">
      <w:pPr>
        <w:pStyle w:val="Footnote"/>
      </w:pPr>
      <w:r>
        <w:rPr>
          <w:rStyle w:val="EndnoteReference"/>
        </w:rPr>
        <w:endnoteRef/>
      </w:r>
      <w:r>
        <w:t xml:space="preserve"> </w:t>
      </w:r>
      <w:r w:rsidRPr="000C3678">
        <w:rPr>
          <w:i/>
          <w:spacing w:val="-2"/>
          <w:kern w:val="17"/>
        </w:rPr>
        <w:t>Developments in the Prescription Drug Market, Before the Full House Committee on Oversight and Government Reform</w:t>
      </w:r>
      <w:r w:rsidRPr="000C3678">
        <w:rPr>
          <w:spacing w:val="-2"/>
          <w:kern w:val="17"/>
        </w:rPr>
        <w:t>, 114th Cong. (2016) (statement of Nancy Retzlaff, Chief Commercial Officer, Turing Pharmaceuticals LLC), accessed January 27, 2017, https://oversight.house.gov/wp-content/uploads/2016/02/Retzlaff-Turing-Statement-1-26-Prescription-Drugs.pdf.</w:t>
      </w:r>
    </w:p>
  </w:endnote>
  <w:endnote w:id="24">
    <w:p w14:paraId="39E648A9" w14:textId="7F1D6360" w:rsidR="00157FD5" w:rsidRDefault="00157FD5" w:rsidP="003F6781">
      <w:pPr>
        <w:pStyle w:val="Footnote"/>
      </w:pPr>
      <w:r>
        <w:rPr>
          <w:rStyle w:val="EndnoteReference"/>
        </w:rPr>
        <w:endnoteRef/>
      </w:r>
      <w:r>
        <w:t xml:space="preserve"> Ibid. </w:t>
      </w:r>
    </w:p>
  </w:endnote>
  <w:endnote w:id="25">
    <w:p w14:paraId="7519C0D4" w14:textId="6279BC07" w:rsidR="00157FD5" w:rsidRDefault="00157FD5" w:rsidP="003F6781">
      <w:pPr>
        <w:pStyle w:val="Footnote"/>
      </w:pPr>
      <w:r>
        <w:rPr>
          <w:rStyle w:val="EndnoteReference"/>
        </w:rPr>
        <w:endnoteRef/>
      </w:r>
      <w:r>
        <w:t xml:space="preserve"> </w:t>
      </w:r>
      <w:r w:rsidR="0064391A">
        <w:rPr>
          <w:lang w:val="en-US"/>
        </w:rPr>
        <w:t>“</w:t>
      </w:r>
      <w:r>
        <w:rPr>
          <w:lang w:val="en-US"/>
        </w:rPr>
        <w:t>Chairman Chaffetz Q&amp;A—Developments in the Prescription Drug Market: Oversight</w:t>
      </w:r>
      <w:r w:rsidRPr="00BC1104">
        <w:rPr>
          <w:lang w:val="en-US"/>
        </w:rPr>
        <w:t>,</w:t>
      </w:r>
      <w:r w:rsidR="0064391A">
        <w:rPr>
          <w:lang w:val="en-US"/>
        </w:rPr>
        <w:t>”</w:t>
      </w:r>
      <w:r w:rsidRPr="00BC1104">
        <w:rPr>
          <w:lang w:val="en-US"/>
        </w:rPr>
        <w:t xml:space="preserve"> YouTube video, </w:t>
      </w:r>
      <w:r>
        <w:rPr>
          <w:lang w:val="en-US"/>
        </w:rPr>
        <w:t>7:34</w:t>
      </w:r>
      <w:r w:rsidRPr="00BC1104">
        <w:rPr>
          <w:lang w:val="en-US"/>
        </w:rPr>
        <w:t xml:space="preserve">, </w:t>
      </w:r>
      <w:r>
        <w:rPr>
          <w:lang w:val="en-US"/>
        </w:rPr>
        <w:t xml:space="preserve">from </w:t>
      </w:r>
      <w:r w:rsidRPr="00A22849">
        <w:rPr>
          <w:i/>
        </w:rPr>
        <w:t>Developments in the Prescription Drug Market, Before the Full House Committee on Oversight and Government Reform</w:t>
      </w:r>
      <w:r>
        <w:t>, 114th Cong. (2016) (answers of Nancy Retzlaff, Chief Commercial Officer, Turing Pharmaceuticals LLC)</w:t>
      </w:r>
      <w:r w:rsidRPr="00BC1104">
        <w:rPr>
          <w:lang w:val="en-US"/>
        </w:rPr>
        <w:t xml:space="preserve">, posted by </w:t>
      </w:r>
      <w:r>
        <w:rPr>
          <w:lang w:val="en-US"/>
        </w:rPr>
        <w:t>“oversightandreform,”</w:t>
      </w:r>
      <w:r w:rsidRPr="00BC1104">
        <w:rPr>
          <w:lang w:val="en-US"/>
        </w:rPr>
        <w:t xml:space="preserve"> </w:t>
      </w:r>
      <w:r>
        <w:rPr>
          <w:lang w:val="en-US"/>
        </w:rPr>
        <w:t>February 4, 2016</w:t>
      </w:r>
      <w:r w:rsidRPr="00BC1104">
        <w:rPr>
          <w:lang w:val="en-US"/>
        </w:rPr>
        <w:t xml:space="preserve">, </w:t>
      </w:r>
      <w:r>
        <w:rPr>
          <w:lang w:val="en-US"/>
        </w:rPr>
        <w:t xml:space="preserve">accessed January 27, 2017, </w:t>
      </w:r>
      <w:r w:rsidRPr="008B034A">
        <w:rPr>
          <w:lang w:val="en-US"/>
        </w:rPr>
        <w:t>https://youtu.be/_-f6rQ1PZGw</w:t>
      </w:r>
      <w:r w:rsidRPr="00BC1104">
        <w:rPr>
          <w:lang w:val="en-US"/>
        </w:rPr>
        <w:t>.</w:t>
      </w:r>
    </w:p>
  </w:endnote>
  <w:endnote w:id="26">
    <w:p w14:paraId="4DB70FD6" w14:textId="3EC13FE8" w:rsidR="00157FD5" w:rsidRPr="003F6781" w:rsidRDefault="00157FD5" w:rsidP="00BC1104">
      <w:pPr>
        <w:pStyle w:val="Footnote"/>
        <w:rPr>
          <w:lang w:val="en-US"/>
        </w:rPr>
      </w:pPr>
      <w:r>
        <w:rPr>
          <w:rStyle w:val="EndnoteReference"/>
        </w:rPr>
        <w:endnoteRef/>
      </w:r>
      <w:r>
        <w:t xml:space="preserve"> Ibid</w:t>
      </w:r>
      <w:r w:rsidR="0064391A">
        <w:t>.;</w:t>
      </w:r>
      <w:r>
        <w:t xml:space="preserve"> </w:t>
      </w:r>
      <w:r w:rsidRPr="003F6781">
        <w:rPr>
          <w:i/>
        </w:rPr>
        <w:t>Developments in the Prescription Drug Market</w:t>
      </w:r>
      <w:r>
        <w:t xml:space="preserve"> (statement of Nancy Retzlaff), op. cit. </w:t>
      </w:r>
    </w:p>
  </w:endnote>
  <w:endnote w:id="27">
    <w:p w14:paraId="5211C599" w14:textId="176245E7" w:rsidR="00157FD5" w:rsidRDefault="00157FD5" w:rsidP="00F21D1C">
      <w:pPr>
        <w:pStyle w:val="Footnote"/>
      </w:pPr>
      <w:r>
        <w:rPr>
          <w:rStyle w:val="EndnoteReference"/>
        </w:rPr>
        <w:endnoteRef/>
      </w:r>
      <w:r>
        <w:t xml:space="preserve"> Democratic Staff to Democratic Members of the Full Committee, memorandum, February 2, 2016, in </w:t>
      </w:r>
      <w:r w:rsidRPr="00A22849">
        <w:rPr>
          <w:i/>
        </w:rPr>
        <w:t>Developments in the Prescription Drug Market, Before the Full House Committee on Oversight and Government Reform</w:t>
      </w:r>
      <w:r>
        <w:t xml:space="preserve">, 114th Cong. (2016), accessed January 13, 2017, </w:t>
      </w:r>
      <w:r w:rsidRPr="00A249D2">
        <w:t>https://democrats-oversight.house.gov/sites/democrats.oversight.house.gov/files/documents/Memo%20on%20Turing%20Documents.pdf</w:t>
      </w:r>
      <w:r>
        <w:t>.</w:t>
      </w:r>
    </w:p>
  </w:endnote>
  <w:endnote w:id="28">
    <w:p w14:paraId="7FBE4358" w14:textId="37E2D7B9" w:rsidR="00157FD5" w:rsidRDefault="00157FD5" w:rsidP="00AD4A33">
      <w:pPr>
        <w:pStyle w:val="Footnote"/>
      </w:pPr>
      <w:r>
        <w:rPr>
          <w:rStyle w:val="EndnoteReference"/>
        </w:rPr>
        <w:endnoteRef/>
      </w:r>
      <w:r>
        <w:t xml:space="preserve"> Stephen W. Schondelmeyer and Leigh Purvis, </w:t>
      </w:r>
      <w:r w:rsidRPr="003F6781">
        <w:rPr>
          <w:i/>
        </w:rPr>
        <w:t>Rx Price Watch: Brand Name Prescription Drug Prices Increases by Double-Digit Percentage for Fourth Straight Year</w:t>
      </w:r>
      <w:r>
        <w:t xml:space="preserve"> (Washington, DC: AARP Public Policy Institute, December 2016), accessed January 13, 2017, </w:t>
      </w:r>
      <w:r w:rsidRPr="00A249D2">
        <w:t>www.aarp.org/rxpricewatch</w:t>
      </w:r>
      <w:r>
        <w:t>.</w:t>
      </w:r>
    </w:p>
  </w:endnote>
  <w:endnote w:id="29">
    <w:p w14:paraId="02383F64" w14:textId="7B9A6CC4" w:rsidR="00157FD5" w:rsidRDefault="00157FD5" w:rsidP="00F21D1C">
      <w:pPr>
        <w:pStyle w:val="Footnote"/>
      </w:pPr>
      <w:r>
        <w:rPr>
          <w:rStyle w:val="EndnoteReference"/>
        </w:rPr>
        <w:endnoteRef/>
      </w:r>
      <w:r>
        <w:t xml:space="preserve"> Ibid. </w:t>
      </w:r>
    </w:p>
  </w:endnote>
  <w:endnote w:id="30">
    <w:p w14:paraId="42E4865E" w14:textId="036ED1F7" w:rsidR="00157FD5" w:rsidRDefault="00157FD5" w:rsidP="00F21D1C">
      <w:pPr>
        <w:pStyle w:val="Footnote"/>
      </w:pPr>
      <w:r>
        <w:rPr>
          <w:rStyle w:val="EndnoteReference"/>
        </w:rPr>
        <w:endnoteRef/>
      </w:r>
      <w:r>
        <w:t xml:space="preserve"> Ibid. </w:t>
      </w:r>
    </w:p>
  </w:endnote>
  <w:endnote w:id="31">
    <w:p w14:paraId="2B29870F" w14:textId="6D66EE9F" w:rsidR="00157FD5" w:rsidRPr="005A1AC0" w:rsidRDefault="00157FD5">
      <w:pPr>
        <w:pStyle w:val="Footnote"/>
        <w:rPr>
          <w:lang w:val="en-IN"/>
        </w:rPr>
      </w:pPr>
      <w:r>
        <w:rPr>
          <w:rStyle w:val="EndnoteReference"/>
        </w:rPr>
        <w:endnoteRef/>
      </w:r>
      <w:r>
        <w:t xml:space="preserve"> </w:t>
      </w:r>
      <w:r>
        <w:rPr>
          <w:lang w:val="en-IN"/>
        </w:rPr>
        <w:t xml:space="preserve">John P. Cunha, “Vimovo: Overview,” RxList, October 25, 2016, accessed February 12, 2017, </w:t>
      </w:r>
      <w:r w:rsidRPr="00A249D2">
        <w:rPr>
          <w:lang w:val="en-IN"/>
        </w:rPr>
        <w:t>www.rxlist.com/vimovo-side-effects-drug-center.htm</w:t>
      </w:r>
      <w:r>
        <w:rPr>
          <w:lang w:val="en-IN"/>
        </w:rPr>
        <w:t>.</w:t>
      </w:r>
    </w:p>
  </w:endnote>
  <w:endnote w:id="32">
    <w:p w14:paraId="1F67959B" w14:textId="1B765B40" w:rsidR="00157FD5" w:rsidRPr="00653211" w:rsidRDefault="00157FD5" w:rsidP="00AD4A33">
      <w:pPr>
        <w:pStyle w:val="Footnote"/>
        <w:rPr>
          <w:lang w:val="en-IN"/>
        </w:rPr>
      </w:pPr>
      <w:r>
        <w:rPr>
          <w:rStyle w:val="EndnoteReference"/>
        </w:rPr>
        <w:endnoteRef/>
      </w:r>
      <w:r>
        <w:t xml:space="preserve"> </w:t>
      </w:r>
      <w:r w:rsidRPr="00653211">
        <w:t xml:space="preserve">Kenneth </w:t>
      </w:r>
      <w:r>
        <w:t xml:space="preserve">L. </w:t>
      </w:r>
      <w:r w:rsidRPr="00653211">
        <w:t>Davis, “Price Gougers Like Valeant Pharmaceuticals Must Be Tamed</w:t>
      </w:r>
      <w:r>
        <w:t>,</w:t>
      </w:r>
      <w:r w:rsidRPr="00653211">
        <w:t xml:space="preserve">” </w:t>
      </w:r>
      <w:r w:rsidRPr="003F6781">
        <w:rPr>
          <w:i/>
        </w:rPr>
        <w:t>Forbes</w:t>
      </w:r>
      <w:r w:rsidRPr="00653211">
        <w:t xml:space="preserve">, June 3, 2016, </w:t>
      </w:r>
      <w:r>
        <w:t>a</w:t>
      </w:r>
      <w:r w:rsidRPr="00653211">
        <w:t>ccessed July 12, 2017, www.forbes.com/sites/kennethdavis/2016/06/03/a-market-fix-for-generic-drug-price-gouging/#39d7814b6f21</w:t>
      </w:r>
      <w:r>
        <w:t>;</w:t>
      </w:r>
      <w:r w:rsidRPr="00AD4A33">
        <w:t xml:space="preserve"> </w:t>
      </w:r>
      <w:r>
        <w:t xml:space="preserve">Jonathan D. Rockoff and Ed Silverman, “Pharmaceutical Companies Buy Rivals’ Drugs, Then Jack Up the Prices,” </w:t>
      </w:r>
      <w:r>
        <w:rPr>
          <w:i/>
        </w:rPr>
        <w:t>Wall Street Journal</w:t>
      </w:r>
      <w:r>
        <w:t xml:space="preserve">, April 26, 2015, accessed January 13, 2017, </w:t>
      </w:r>
      <w:r w:rsidRPr="00A249D2">
        <w:t>www.wsj.com/articles/pharmaceutical-companies-buy-rivals-drugs-then-jack-up-the-prices-1430096431</w:t>
      </w:r>
      <w:r>
        <w:t>.</w:t>
      </w:r>
    </w:p>
  </w:endnote>
  <w:endnote w:id="33">
    <w:p w14:paraId="5455AD2E" w14:textId="44891D80" w:rsidR="00157FD5" w:rsidRDefault="00157FD5" w:rsidP="00F21D1C">
      <w:pPr>
        <w:pStyle w:val="Footnote"/>
      </w:pPr>
      <w:r>
        <w:rPr>
          <w:rStyle w:val="EndnoteReference"/>
        </w:rPr>
        <w:endnoteRef/>
      </w:r>
      <w:r>
        <w:t xml:space="preserve"> Gretchen Morgenson, “To Stop Price Spike on Prescription Drugs, a Widening Radar,” </w:t>
      </w:r>
      <w:r w:rsidRPr="003F6781">
        <w:rPr>
          <w:i/>
        </w:rPr>
        <w:t>New York Times</w:t>
      </w:r>
      <w:r>
        <w:t xml:space="preserve">, December 23, 2016, accessed January 13, 2017, </w:t>
      </w:r>
      <w:r w:rsidRPr="00A249D2">
        <w:t>www.nytimes.com/2016/12/23/business/drug-price-medicare-mallinckrodt-acthar.html</w:t>
      </w:r>
      <w:r>
        <w:t>.</w:t>
      </w:r>
    </w:p>
  </w:endnote>
  <w:endnote w:id="34">
    <w:p w14:paraId="2E28E104" w14:textId="2BD793FF" w:rsidR="00157FD5" w:rsidRPr="003646CD" w:rsidRDefault="00157FD5" w:rsidP="00F21D1C">
      <w:pPr>
        <w:pStyle w:val="Footnote"/>
        <w:rPr>
          <w:lang w:val="en-IN"/>
        </w:rPr>
      </w:pPr>
      <w:r>
        <w:rPr>
          <w:rStyle w:val="EndnoteReference"/>
        </w:rPr>
        <w:endnoteRef/>
      </w:r>
      <w:r>
        <w:t xml:space="preserve"> </w:t>
      </w:r>
      <w:r>
        <w:rPr>
          <w:lang w:val="en-IN"/>
        </w:rPr>
        <w:t>Michael Hiltzik, “</w:t>
      </w:r>
      <w:r w:rsidRPr="00284EBE">
        <w:rPr>
          <w:lang w:val="en-IN"/>
        </w:rPr>
        <w:t>Another Reason to Hate Mylan, Which Jacked Up the Price of Life-Saving EpiPens: It's a Tax Dodger</w:t>
      </w:r>
      <w:r>
        <w:rPr>
          <w:lang w:val="en-IN"/>
        </w:rPr>
        <w:t xml:space="preserve">,” </w:t>
      </w:r>
      <w:r w:rsidRPr="003F6781">
        <w:rPr>
          <w:i/>
          <w:lang w:val="en-IN"/>
        </w:rPr>
        <w:t>Los Angeles Times</w:t>
      </w:r>
      <w:r>
        <w:rPr>
          <w:lang w:val="en-IN"/>
        </w:rPr>
        <w:t xml:space="preserve">, August 23, 2016, accessed September 2, 2017, </w:t>
      </w:r>
      <w:r w:rsidRPr="00284EBE">
        <w:rPr>
          <w:lang w:val="en-IN"/>
        </w:rPr>
        <w:t>www.latimes.com/business/hiltzik/la-fi-hiltzik-mylan-inversion-20160823-snap-story.html</w:t>
      </w:r>
      <w:r>
        <w:rPr>
          <w:lang w:val="en-IN"/>
        </w:rPr>
        <w:t>.</w:t>
      </w:r>
    </w:p>
  </w:endnote>
  <w:endnote w:id="35">
    <w:p w14:paraId="75E19440" w14:textId="4CEB4A74" w:rsidR="00157FD5" w:rsidRDefault="00157FD5" w:rsidP="00F21D1C">
      <w:pPr>
        <w:pStyle w:val="Footnote"/>
      </w:pPr>
      <w:r>
        <w:rPr>
          <w:rStyle w:val="EndnoteReference"/>
        </w:rPr>
        <w:endnoteRef/>
      </w:r>
      <w:r>
        <w:t xml:space="preserve"> </w:t>
      </w:r>
      <w:r w:rsidR="003622CF">
        <w:rPr>
          <w:lang w:val="en-US"/>
        </w:rPr>
        <w:t>“</w:t>
      </w:r>
      <w:r>
        <w:rPr>
          <w:lang w:val="en-US"/>
        </w:rPr>
        <w:t>Mr. Farenthold Q&amp;A—Developments in the Prescription Drug Market: Oversight</w:t>
      </w:r>
      <w:r w:rsidRPr="00BC1104">
        <w:rPr>
          <w:lang w:val="en-US"/>
        </w:rPr>
        <w:t>,</w:t>
      </w:r>
      <w:r w:rsidR="003622CF">
        <w:rPr>
          <w:lang w:val="en-US"/>
        </w:rPr>
        <w:t>”</w:t>
      </w:r>
      <w:r w:rsidRPr="00BC1104">
        <w:rPr>
          <w:lang w:val="en-US"/>
        </w:rPr>
        <w:t xml:space="preserve"> YouTube video, </w:t>
      </w:r>
      <w:r>
        <w:rPr>
          <w:lang w:val="en-US"/>
        </w:rPr>
        <w:t>5:43</w:t>
      </w:r>
      <w:r w:rsidRPr="00BC1104">
        <w:rPr>
          <w:lang w:val="en-US"/>
        </w:rPr>
        <w:t xml:space="preserve">, </w:t>
      </w:r>
      <w:r>
        <w:rPr>
          <w:lang w:val="en-US"/>
        </w:rPr>
        <w:t xml:space="preserve">from </w:t>
      </w:r>
      <w:r w:rsidRPr="00A22849">
        <w:rPr>
          <w:i/>
        </w:rPr>
        <w:t>Developments in the Prescription Drug Market, Before the Full House Committee on Oversight and Government Reform</w:t>
      </w:r>
      <w:r>
        <w:t>, 114th Cong. (2016) (answers of Keith Flanagan, Director of the Office of Generic Drug Policy, Center for Drug Evaluation and Research, Food and Drug Administration)</w:t>
      </w:r>
      <w:r w:rsidRPr="00BC1104">
        <w:rPr>
          <w:lang w:val="en-US"/>
        </w:rPr>
        <w:t xml:space="preserve">, posted by </w:t>
      </w:r>
      <w:r>
        <w:rPr>
          <w:lang w:val="en-US"/>
        </w:rPr>
        <w:t>“oversightandreform,”</w:t>
      </w:r>
      <w:r w:rsidRPr="00BC1104">
        <w:rPr>
          <w:lang w:val="en-US"/>
        </w:rPr>
        <w:t xml:space="preserve"> </w:t>
      </w:r>
      <w:r>
        <w:rPr>
          <w:lang w:val="en-US"/>
        </w:rPr>
        <w:t>February 4, 2016</w:t>
      </w:r>
      <w:r w:rsidRPr="00BC1104">
        <w:rPr>
          <w:lang w:val="en-US"/>
        </w:rPr>
        <w:t xml:space="preserve">, </w:t>
      </w:r>
      <w:r>
        <w:rPr>
          <w:lang w:val="en-US"/>
        </w:rPr>
        <w:t xml:space="preserve">accessed January 27, 2017, </w:t>
      </w:r>
      <w:r w:rsidRPr="00FC66F7">
        <w:rPr>
          <w:lang w:val="en-US"/>
        </w:rPr>
        <w:t>https://youtu.be/1mxVk9zUMC8</w:t>
      </w:r>
      <w:r w:rsidRPr="00BC1104">
        <w:rPr>
          <w:lang w:val="en-US"/>
        </w:rPr>
        <w:t>.</w:t>
      </w:r>
    </w:p>
  </w:endnote>
  <w:endnote w:id="36">
    <w:p w14:paraId="6A015395" w14:textId="43828A05" w:rsidR="00157FD5" w:rsidRDefault="00157FD5" w:rsidP="00F21D1C">
      <w:pPr>
        <w:pStyle w:val="Footnote"/>
      </w:pPr>
      <w:r>
        <w:rPr>
          <w:rStyle w:val="EndnoteReference"/>
        </w:rPr>
        <w:endnoteRef/>
      </w:r>
      <w:r>
        <w:t xml:space="preserve"> </w:t>
      </w:r>
      <w:r w:rsidR="003622CF">
        <w:rPr>
          <w:lang w:val="en-US"/>
        </w:rPr>
        <w:t>“</w:t>
      </w:r>
      <w:r>
        <w:rPr>
          <w:lang w:val="en-US"/>
        </w:rPr>
        <w:t>Mr. Farenthold Q&amp;A—Developments in the Prescription Drug Market: Oversight</w:t>
      </w:r>
      <w:r w:rsidRPr="00BC1104">
        <w:rPr>
          <w:lang w:val="en-US"/>
        </w:rPr>
        <w:t>,</w:t>
      </w:r>
      <w:r w:rsidR="003622CF">
        <w:rPr>
          <w:lang w:val="en-US"/>
        </w:rPr>
        <w:t>”</w:t>
      </w:r>
      <w:r w:rsidRPr="00BC1104">
        <w:rPr>
          <w:lang w:val="en-US"/>
        </w:rPr>
        <w:t xml:space="preserve"> YouTube video, </w:t>
      </w:r>
      <w:r>
        <w:rPr>
          <w:lang w:val="en-US"/>
        </w:rPr>
        <w:t>5:43</w:t>
      </w:r>
      <w:r w:rsidRPr="00BC1104">
        <w:rPr>
          <w:lang w:val="en-US"/>
        </w:rPr>
        <w:t xml:space="preserve">, </w:t>
      </w:r>
      <w:r>
        <w:rPr>
          <w:lang w:val="en-US"/>
        </w:rPr>
        <w:t xml:space="preserve">from </w:t>
      </w:r>
      <w:r w:rsidRPr="00A22849">
        <w:rPr>
          <w:i/>
        </w:rPr>
        <w:t>Developments in the Prescription Drug Market, Before the Full House Committee on Oversight and Government Reform</w:t>
      </w:r>
      <w:r>
        <w:t>, 114th Cong. (2016) (answers of Nancy Retzlaff, Chief Commercial Officer, Turing Pharmaceuticals LLC)</w:t>
      </w:r>
      <w:r w:rsidRPr="00BC1104">
        <w:rPr>
          <w:lang w:val="en-US"/>
        </w:rPr>
        <w:t xml:space="preserve">, posted by </w:t>
      </w:r>
      <w:r>
        <w:rPr>
          <w:lang w:val="en-US"/>
        </w:rPr>
        <w:t>“oversightandreform,”</w:t>
      </w:r>
      <w:r w:rsidRPr="00BC1104">
        <w:rPr>
          <w:lang w:val="en-US"/>
        </w:rPr>
        <w:t xml:space="preserve"> </w:t>
      </w:r>
      <w:r>
        <w:rPr>
          <w:lang w:val="en-US"/>
        </w:rPr>
        <w:t>February 4, 2016</w:t>
      </w:r>
      <w:r w:rsidRPr="00BC1104">
        <w:rPr>
          <w:lang w:val="en-US"/>
        </w:rPr>
        <w:t xml:space="preserve">, </w:t>
      </w:r>
      <w:r>
        <w:rPr>
          <w:lang w:val="en-US"/>
        </w:rPr>
        <w:t xml:space="preserve">accessed January 27, 2017, </w:t>
      </w:r>
      <w:r w:rsidRPr="00FC66F7">
        <w:rPr>
          <w:lang w:val="en-US"/>
        </w:rPr>
        <w:t>https://youtu.be/1mxVk9zUMC8</w:t>
      </w:r>
      <w:r>
        <w:t>.</w:t>
      </w:r>
    </w:p>
  </w:endnote>
  <w:endnote w:id="37">
    <w:p w14:paraId="4FF0708A" w14:textId="147352BA" w:rsidR="00157FD5" w:rsidRDefault="00157FD5" w:rsidP="00F21D1C">
      <w:pPr>
        <w:pStyle w:val="Footnote"/>
      </w:pPr>
      <w:r>
        <w:rPr>
          <w:rStyle w:val="EndnoteReference"/>
        </w:rPr>
        <w:endnoteRef/>
      </w:r>
      <w:r>
        <w:t xml:space="preserve"> </w:t>
      </w:r>
      <w:r w:rsidRPr="000C3678">
        <w:rPr>
          <w:spacing w:val="-2"/>
          <w:kern w:val="17"/>
        </w:rPr>
        <w:t xml:space="preserve">A. Gordon Smith, “Price Gouging and the Dangerous New Breed of Pharma Companies,” </w:t>
      </w:r>
      <w:r w:rsidRPr="000C3678">
        <w:rPr>
          <w:i/>
          <w:spacing w:val="-2"/>
          <w:kern w:val="17"/>
        </w:rPr>
        <w:t>Harvard Business Review</w:t>
      </w:r>
      <w:r w:rsidRPr="000C3678">
        <w:rPr>
          <w:spacing w:val="-2"/>
          <w:kern w:val="17"/>
        </w:rPr>
        <w:t>, July 6, 2016, accessed January 13, 2017, https://hbr.org/2016/07/price-gouging-and-the-dangerous-new-breed-of-pharma-companies.</w:t>
      </w:r>
      <w:r>
        <w:t xml:space="preserve"> </w:t>
      </w:r>
    </w:p>
  </w:endnote>
  <w:endnote w:id="38">
    <w:p w14:paraId="6A48EA66" w14:textId="7F2CB7B4" w:rsidR="00157FD5" w:rsidRDefault="00157FD5" w:rsidP="003F6781">
      <w:pPr>
        <w:pStyle w:val="Footnote"/>
      </w:pPr>
      <w:r>
        <w:rPr>
          <w:rStyle w:val="EndnoteReference"/>
        </w:rPr>
        <w:endnoteRef/>
      </w:r>
      <w:r>
        <w:t xml:space="preserve"> Pollack, “Drug Goes from $13.50 a Tablet to $750, Overnight,” op. cit. </w:t>
      </w:r>
    </w:p>
  </w:endnote>
  <w:endnote w:id="39">
    <w:p w14:paraId="4A82935B" w14:textId="5F57FB7A" w:rsidR="00157FD5" w:rsidRDefault="00157FD5" w:rsidP="00F21D1C">
      <w:pPr>
        <w:pStyle w:val="Footnote"/>
      </w:pPr>
      <w:r>
        <w:rPr>
          <w:rStyle w:val="EndnoteReference"/>
        </w:rPr>
        <w:endnoteRef/>
      </w:r>
      <w:r>
        <w:t xml:space="preserve"> Democratic Staff, op. cit.</w:t>
      </w:r>
    </w:p>
  </w:endnote>
  <w:endnote w:id="40">
    <w:p w14:paraId="77EF0CF4" w14:textId="0CD133BC" w:rsidR="00157FD5" w:rsidRDefault="00157FD5" w:rsidP="00F21D1C">
      <w:pPr>
        <w:pStyle w:val="Footnote"/>
      </w:pPr>
      <w:r>
        <w:rPr>
          <w:rStyle w:val="EndnoteReference"/>
        </w:rPr>
        <w:endnoteRef/>
      </w:r>
      <w:r>
        <w:t xml:space="preserve"> Rockoff and Silverman, op. cit.</w:t>
      </w:r>
    </w:p>
  </w:endnote>
  <w:endnote w:id="41">
    <w:p w14:paraId="3B570BF7" w14:textId="4D89224F" w:rsidR="00157FD5" w:rsidRDefault="00157FD5" w:rsidP="003F6781">
      <w:pPr>
        <w:pStyle w:val="Footnote"/>
      </w:pPr>
      <w:r>
        <w:rPr>
          <w:rStyle w:val="EndnoteReference"/>
        </w:rPr>
        <w:endnoteRef/>
      </w:r>
      <w:r>
        <w:t xml:space="preserve"> </w:t>
      </w:r>
      <w:r w:rsidRPr="006C14D9">
        <w:t xml:space="preserve">Friedrich Nietzsche, </w:t>
      </w:r>
      <w:r w:rsidRPr="003F6781">
        <w:rPr>
          <w:i/>
        </w:rPr>
        <w:t>The Will to Power: An Attempted Transvaluation of All Values</w:t>
      </w:r>
      <w:r>
        <w:t>, rev. ed. (1901; repr</w:t>
      </w:r>
      <w:r w:rsidRPr="006C14D9">
        <w:t>.</w:t>
      </w:r>
      <w:r>
        <w:t>, New York, NY:</w:t>
      </w:r>
      <w:r w:rsidRPr="006C14D9">
        <w:t xml:space="preserve"> Knopf Doubleday Publishing Group, 2011</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9B0F3" w14:textId="77777777" w:rsidR="009179D1" w:rsidRDefault="009179D1" w:rsidP="00D75295">
      <w:r>
        <w:separator/>
      </w:r>
    </w:p>
  </w:footnote>
  <w:footnote w:type="continuationSeparator" w:id="0">
    <w:p w14:paraId="112320CE" w14:textId="77777777" w:rsidR="009179D1" w:rsidRDefault="009179D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BAC4" w14:textId="0549D898" w:rsidR="003B3738" w:rsidRPr="00100436" w:rsidRDefault="003B3738" w:rsidP="006A58A9">
    <w:pPr>
      <w:pBdr>
        <w:bottom w:val="single" w:sz="18" w:space="1" w:color="auto"/>
      </w:pBdr>
      <w:tabs>
        <w:tab w:val="left" w:pos="-1440"/>
        <w:tab w:val="left" w:pos="-720"/>
        <w:tab w:val="right" w:pos="9360"/>
        <w:tab w:val="right" w:pos="10800"/>
      </w:tabs>
      <w:rPr>
        <w:rFonts w:ascii="Arial" w:hAnsi="Arial"/>
        <w:sz w:val="20"/>
        <w:szCs w:val="20"/>
      </w:rPr>
    </w:pPr>
    <w:r w:rsidRPr="00100436">
      <w:rPr>
        <w:rFonts w:ascii="Arial" w:hAnsi="Arial"/>
        <w:b/>
        <w:sz w:val="20"/>
        <w:szCs w:val="20"/>
      </w:rPr>
      <w:t xml:space="preserve">Page </w:t>
    </w:r>
    <w:r w:rsidRPr="00100436">
      <w:rPr>
        <w:rFonts w:ascii="Arial" w:hAnsi="Arial"/>
        <w:b/>
        <w:sz w:val="20"/>
        <w:szCs w:val="20"/>
      </w:rPr>
      <w:fldChar w:fldCharType="begin"/>
    </w:r>
    <w:r w:rsidRPr="00100436">
      <w:rPr>
        <w:rFonts w:ascii="Arial" w:hAnsi="Arial"/>
        <w:b/>
        <w:sz w:val="20"/>
        <w:szCs w:val="20"/>
      </w:rPr>
      <w:instrText>PAGE</w:instrText>
    </w:r>
    <w:r w:rsidRPr="00100436">
      <w:rPr>
        <w:rFonts w:ascii="Arial" w:hAnsi="Arial"/>
        <w:b/>
        <w:sz w:val="20"/>
        <w:szCs w:val="20"/>
      </w:rPr>
      <w:fldChar w:fldCharType="separate"/>
    </w:r>
    <w:r w:rsidR="002C6B89">
      <w:rPr>
        <w:rFonts w:ascii="Arial" w:hAnsi="Arial"/>
        <w:b/>
        <w:noProof/>
        <w:sz w:val="20"/>
        <w:szCs w:val="20"/>
      </w:rPr>
      <w:t>9</w:t>
    </w:r>
    <w:r w:rsidRPr="00100436">
      <w:rPr>
        <w:rFonts w:ascii="Arial" w:hAnsi="Arial"/>
        <w:b/>
        <w:sz w:val="20"/>
        <w:szCs w:val="20"/>
      </w:rPr>
      <w:fldChar w:fldCharType="end"/>
    </w:r>
    <w:r w:rsidRPr="00100436">
      <w:rPr>
        <w:rFonts w:ascii="Arial" w:hAnsi="Arial"/>
        <w:b/>
        <w:sz w:val="20"/>
        <w:szCs w:val="20"/>
      </w:rPr>
      <w:tab/>
    </w:r>
    <w:r w:rsidR="00896F51">
      <w:rPr>
        <w:rFonts w:ascii="Arial" w:hAnsi="Arial"/>
        <w:b/>
        <w:sz w:val="20"/>
        <w:szCs w:val="20"/>
      </w:rPr>
      <w:t>9B17M167</w:t>
    </w:r>
  </w:p>
  <w:p w14:paraId="2DBDE169" w14:textId="77777777" w:rsidR="003B3738" w:rsidRPr="00C92CC4" w:rsidRDefault="003B3738">
    <w:pPr>
      <w:pStyle w:val="Header"/>
      <w:rPr>
        <w:sz w:val="18"/>
        <w:szCs w:val="18"/>
      </w:rPr>
    </w:pPr>
  </w:p>
  <w:p w14:paraId="687D4019" w14:textId="77777777" w:rsidR="003B3738" w:rsidRPr="00C92CC4" w:rsidRDefault="003B373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8587A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8CBA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B259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00CD6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6049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17EF1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10548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8B266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E1E358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9C5E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2641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DF1FDD"/>
    <w:multiLevelType w:val="hybridMultilevel"/>
    <w:tmpl w:val="6780F6D0"/>
    <w:lvl w:ilvl="0" w:tplc="F47CF7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06281D"/>
    <w:multiLevelType w:val="multilevel"/>
    <w:tmpl w:val="6A8625A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C6AE9"/>
    <w:multiLevelType w:val="multilevel"/>
    <w:tmpl w:val="9F3EB2E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ED7F62"/>
    <w:multiLevelType w:val="multilevel"/>
    <w:tmpl w:val="6A8625A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5B7313D"/>
    <w:multiLevelType w:val="hybridMultilevel"/>
    <w:tmpl w:val="FB741BE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DD5585"/>
    <w:multiLevelType w:val="hybridMultilevel"/>
    <w:tmpl w:val="51DA9986"/>
    <w:lvl w:ilvl="0" w:tplc="0409000F">
      <w:start w:val="1"/>
      <w:numFmt w:val="decimal"/>
      <w:lvlText w:val="%1."/>
      <w:lvlJc w:val="left"/>
      <w:pPr>
        <w:ind w:left="360" w:hanging="360"/>
      </w:pPr>
      <w:rPr>
        <w:rFonts w:hint="default"/>
      </w:rPr>
    </w:lvl>
    <w:lvl w:ilvl="1" w:tplc="7298C4E2">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BBE64D7"/>
    <w:multiLevelType w:val="multilevel"/>
    <w:tmpl w:val="FB741BEC"/>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2937EA4"/>
    <w:multiLevelType w:val="hybridMultilevel"/>
    <w:tmpl w:val="B6E8779E"/>
    <w:lvl w:ilvl="0" w:tplc="8EE43F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202B39"/>
    <w:multiLevelType w:val="hybridMultilevel"/>
    <w:tmpl w:val="8F762A98"/>
    <w:lvl w:ilvl="0" w:tplc="6098FF80">
      <w:start w:val="2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5"/>
  </w:num>
  <w:num w:numId="13">
    <w:abstractNumId w:val="15"/>
  </w:num>
  <w:num w:numId="14">
    <w:abstractNumId w:val="26"/>
  </w:num>
  <w:num w:numId="15">
    <w:abstractNumId w:val="27"/>
  </w:num>
  <w:num w:numId="16">
    <w:abstractNumId w:val="29"/>
  </w:num>
  <w:num w:numId="17">
    <w:abstractNumId w:val="18"/>
  </w:num>
  <w:num w:numId="18">
    <w:abstractNumId w:val="32"/>
  </w:num>
  <w:num w:numId="19">
    <w:abstractNumId w:val="14"/>
  </w:num>
  <w:num w:numId="20">
    <w:abstractNumId w:val="13"/>
  </w:num>
  <w:num w:numId="21">
    <w:abstractNumId w:val="33"/>
  </w:num>
  <w:num w:numId="22">
    <w:abstractNumId w:val="22"/>
  </w:num>
  <w:num w:numId="23">
    <w:abstractNumId w:val="3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1"/>
  </w:num>
  <w:num w:numId="28">
    <w:abstractNumId w:val="30"/>
  </w:num>
  <w:num w:numId="29">
    <w:abstractNumId w:val="11"/>
  </w:num>
  <w:num w:numId="30">
    <w:abstractNumId w:val="31"/>
  </w:num>
  <w:num w:numId="31">
    <w:abstractNumId w:val="0"/>
  </w:num>
  <w:num w:numId="32">
    <w:abstractNumId w:val="23"/>
  </w:num>
  <w:num w:numId="33">
    <w:abstractNumId w:val="28"/>
  </w:num>
  <w:num w:numId="34">
    <w:abstractNumId w:val="24"/>
  </w:num>
  <w:num w:numId="35">
    <w:abstractNumId w:val="12"/>
  </w:num>
  <w:num w:numId="36">
    <w:abstractNumId w:val="2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6C48"/>
    <w:rsid w:val="00010FA7"/>
    <w:rsid w:val="0001118B"/>
    <w:rsid w:val="00013360"/>
    <w:rsid w:val="00013FCD"/>
    <w:rsid w:val="00020F78"/>
    <w:rsid w:val="000216CE"/>
    <w:rsid w:val="0002176E"/>
    <w:rsid w:val="00025DC7"/>
    <w:rsid w:val="00026486"/>
    <w:rsid w:val="00032D2E"/>
    <w:rsid w:val="00044ECC"/>
    <w:rsid w:val="00044F2A"/>
    <w:rsid w:val="000531D3"/>
    <w:rsid w:val="0005646B"/>
    <w:rsid w:val="0006574F"/>
    <w:rsid w:val="000731B4"/>
    <w:rsid w:val="00074CF8"/>
    <w:rsid w:val="0008102D"/>
    <w:rsid w:val="00090E15"/>
    <w:rsid w:val="00094C0E"/>
    <w:rsid w:val="000A2A6F"/>
    <w:rsid w:val="000A4044"/>
    <w:rsid w:val="000A5400"/>
    <w:rsid w:val="000B1D9B"/>
    <w:rsid w:val="000B4362"/>
    <w:rsid w:val="000C3678"/>
    <w:rsid w:val="000C5F96"/>
    <w:rsid w:val="000D27AD"/>
    <w:rsid w:val="000D58DE"/>
    <w:rsid w:val="000E1A17"/>
    <w:rsid w:val="000E76BD"/>
    <w:rsid w:val="000E7CF3"/>
    <w:rsid w:val="000F0C22"/>
    <w:rsid w:val="000F6B09"/>
    <w:rsid w:val="000F6FDC"/>
    <w:rsid w:val="00100436"/>
    <w:rsid w:val="00102981"/>
    <w:rsid w:val="00104567"/>
    <w:rsid w:val="00105564"/>
    <w:rsid w:val="00106973"/>
    <w:rsid w:val="00111326"/>
    <w:rsid w:val="00115583"/>
    <w:rsid w:val="0012255B"/>
    <w:rsid w:val="0012732D"/>
    <w:rsid w:val="00132222"/>
    <w:rsid w:val="00145474"/>
    <w:rsid w:val="00154FC9"/>
    <w:rsid w:val="00157BE1"/>
    <w:rsid w:val="00157FD5"/>
    <w:rsid w:val="001649D0"/>
    <w:rsid w:val="0016674F"/>
    <w:rsid w:val="00173FF4"/>
    <w:rsid w:val="00180B28"/>
    <w:rsid w:val="0018164D"/>
    <w:rsid w:val="001850D8"/>
    <w:rsid w:val="0019241A"/>
    <w:rsid w:val="00194058"/>
    <w:rsid w:val="001A018A"/>
    <w:rsid w:val="001A04F0"/>
    <w:rsid w:val="001A141A"/>
    <w:rsid w:val="001A261D"/>
    <w:rsid w:val="001A35FA"/>
    <w:rsid w:val="001A46BE"/>
    <w:rsid w:val="001A485E"/>
    <w:rsid w:val="001A5110"/>
    <w:rsid w:val="001A5335"/>
    <w:rsid w:val="001A752D"/>
    <w:rsid w:val="001B075F"/>
    <w:rsid w:val="001C347F"/>
    <w:rsid w:val="001C54CE"/>
    <w:rsid w:val="001D05C0"/>
    <w:rsid w:val="001E6820"/>
    <w:rsid w:val="001F0028"/>
    <w:rsid w:val="0020244F"/>
    <w:rsid w:val="00203AA1"/>
    <w:rsid w:val="00213E98"/>
    <w:rsid w:val="002159F0"/>
    <w:rsid w:val="00221463"/>
    <w:rsid w:val="00231552"/>
    <w:rsid w:val="00232849"/>
    <w:rsid w:val="002349B9"/>
    <w:rsid w:val="0023529D"/>
    <w:rsid w:val="00235736"/>
    <w:rsid w:val="0024710C"/>
    <w:rsid w:val="00250BDF"/>
    <w:rsid w:val="00253200"/>
    <w:rsid w:val="00254B39"/>
    <w:rsid w:val="00254D9B"/>
    <w:rsid w:val="00255E1F"/>
    <w:rsid w:val="00255EFD"/>
    <w:rsid w:val="002609BC"/>
    <w:rsid w:val="00273209"/>
    <w:rsid w:val="00280D9F"/>
    <w:rsid w:val="00284A40"/>
    <w:rsid w:val="00284EBE"/>
    <w:rsid w:val="0028769F"/>
    <w:rsid w:val="0029411D"/>
    <w:rsid w:val="002971AF"/>
    <w:rsid w:val="002B67D1"/>
    <w:rsid w:val="002B6914"/>
    <w:rsid w:val="002C6B89"/>
    <w:rsid w:val="002D053E"/>
    <w:rsid w:val="002E32F0"/>
    <w:rsid w:val="002E3BEF"/>
    <w:rsid w:val="002F3C3A"/>
    <w:rsid w:val="002F460C"/>
    <w:rsid w:val="002F48D6"/>
    <w:rsid w:val="002F6142"/>
    <w:rsid w:val="003049B3"/>
    <w:rsid w:val="003056D3"/>
    <w:rsid w:val="0031297D"/>
    <w:rsid w:val="003310EE"/>
    <w:rsid w:val="0034134B"/>
    <w:rsid w:val="0034235C"/>
    <w:rsid w:val="00350ED8"/>
    <w:rsid w:val="003527C8"/>
    <w:rsid w:val="00354899"/>
    <w:rsid w:val="003559A0"/>
    <w:rsid w:val="00355FD6"/>
    <w:rsid w:val="00361C8E"/>
    <w:rsid w:val="003622CF"/>
    <w:rsid w:val="003646CD"/>
    <w:rsid w:val="00364A5C"/>
    <w:rsid w:val="00370DDD"/>
    <w:rsid w:val="003726A2"/>
    <w:rsid w:val="00373FB1"/>
    <w:rsid w:val="00374A73"/>
    <w:rsid w:val="003801F3"/>
    <w:rsid w:val="0038534D"/>
    <w:rsid w:val="00390B03"/>
    <w:rsid w:val="0039730F"/>
    <w:rsid w:val="003B043D"/>
    <w:rsid w:val="003B172C"/>
    <w:rsid w:val="003B30D8"/>
    <w:rsid w:val="003B3738"/>
    <w:rsid w:val="003B3D71"/>
    <w:rsid w:val="003B7311"/>
    <w:rsid w:val="003B7EF2"/>
    <w:rsid w:val="003C1CD6"/>
    <w:rsid w:val="003C30E8"/>
    <w:rsid w:val="003C3FA4"/>
    <w:rsid w:val="003D42C8"/>
    <w:rsid w:val="003D4480"/>
    <w:rsid w:val="003D76C9"/>
    <w:rsid w:val="003E0E33"/>
    <w:rsid w:val="003E2BB4"/>
    <w:rsid w:val="003E767D"/>
    <w:rsid w:val="003F2B0C"/>
    <w:rsid w:val="003F4A61"/>
    <w:rsid w:val="003F6781"/>
    <w:rsid w:val="00400C61"/>
    <w:rsid w:val="00402105"/>
    <w:rsid w:val="004066A4"/>
    <w:rsid w:val="004221E4"/>
    <w:rsid w:val="00423598"/>
    <w:rsid w:val="00425630"/>
    <w:rsid w:val="00430DC9"/>
    <w:rsid w:val="0044260B"/>
    <w:rsid w:val="00443E9E"/>
    <w:rsid w:val="00446827"/>
    <w:rsid w:val="0046136B"/>
    <w:rsid w:val="00470CB4"/>
    <w:rsid w:val="00471088"/>
    <w:rsid w:val="004749B6"/>
    <w:rsid w:val="004806D3"/>
    <w:rsid w:val="00483AF9"/>
    <w:rsid w:val="00485398"/>
    <w:rsid w:val="00490A55"/>
    <w:rsid w:val="004A4B80"/>
    <w:rsid w:val="004A55E6"/>
    <w:rsid w:val="004A6013"/>
    <w:rsid w:val="004A6A72"/>
    <w:rsid w:val="004B1CCB"/>
    <w:rsid w:val="004B28BD"/>
    <w:rsid w:val="004C54C4"/>
    <w:rsid w:val="004D04A7"/>
    <w:rsid w:val="004D387C"/>
    <w:rsid w:val="004D73A5"/>
    <w:rsid w:val="00501D9B"/>
    <w:rsid w:val="00501E8D"/>
    <w:rsid w:val="00505F28"/>
    <w:rsid w:val="00521E29"/>
    <w:rsid w:val="00526B97"/>
    <w:rsid w:val="00530DF8"/>
    <w:rsid w:val="00532CF5"/>
    <w:rsid w:val="00542F54"/>
    <w:rsid w:val="005528CB"/>
    <w:rsid w:val="00566771"/>
    <w:rsid w:val="00576804"/>
    <w:rsid w:val="00577363"/>
    <w:rsid w:val="00581CE0"/>
    <w:rsid w:val="00581E2E"/>
    <w:rsid w:val="00582D15"/>
    <w:rsid w:val="00584F15"/>
    <w:rsid w:val="00586859"/>
    <w:rsid w:val="00592AFE"/>
    <w:rsid w:val="00595941"/>
    <w:rsid w:val="005B0DD0"/>
    <w:rsid w:val="005C2AFE"/>
    <w:rsid w:val="005C480C"/>
    <w:rsid w:val="005E3928"/>
    <w:rsid w:val="005E4F69"/>
    <w:rsid w:val="005E6B85"/>
    <w:rsid w:val="005E7FDA"/>
    <w:rsid w:val="00606E6F"/>
    <w:rsid w:val="006161CE"/>
    <w:rsid w:val="006163F7"/>
    <w:rsid w:val="00626A05"/>
    <w:rsid w:val="00630ED9"/>
    <w:rsid w:val="006428A7"/>
    <w:rsid w:val="0064391A"/>
    <w:rsid w:val="00643D72"/>
    <w:rsid w:val="006503A2"/>
    <w:rsid w:val="0065124D"/>
    <w:rsid w:val="00652606"/>
    <w:rsid w:val="00653211"/>
    <w:rsid w:val="006739C0"/>
    <w:rsid w:val="00676F7E"/>
    <w:rsid w:val="00682754"/>
    <w:rsid w:val="00694864"/>
    <w:rsid w:val="00694A0B"/>
    <w:rsid w:val="00697ACB"/>
    <w:rsid w:val="006A4333"/>
    <w:rsid w:val="006A58A9"/>
    <w:rsid w:val="006A606D"/>
    <w:rsid w:val="006A6329"/>
    <w:rsid w:val="006B0474"/>
    <w:rsid w:val="006B5747"/>
    <w:rsid w:val="006B5D7B"/>
    <w:rsid w:val="006B619E"/>
    <w:rsid w:val="006B62EB"/>
    <w:rsid w:val="006B7379"/>
    <w:rsid w:val="006B7F7A"/>
    <w:rsid w:val="006C0371"/>
    <w:rsid w:val="006C08B6"/>
    <w:rsid w:val="006C0B1A"/>
    <w:rsid w:val="006C14D9"/>
    <w:rsid w:val="006C2EA5"/>
    <w:rsid w:val="006C4384"/>
    <w:rsid w:val="006C6065"/>
    <w:rsid w:val="006C7F9F"/>
    <w:rsid w:val="006D2A48"/>
    <w:rsid w:val="006E1BC0"/>
    <w:rsid w:val="006E2F6D"/>
    <w:rsid w:val="006E58F6"/>
    <w:rsid w:val="006E69B6"/>
    <w:rsid w:val="006E77E1"/>
    <w:rsid w:val="006F07DB"/>
    <w:rsid w:val="006F10EC"/>
    <w:rsid w:val="006F131D"/>
    <w:rsid w:val="006F1D9E"/>
    <w:rsid w:val="006F3FED"/>
    <w:rsid w:val="00700D44"/>
    <w:rsid w:val="0070348D"/>
    <w:rsid w:val="00710AC8"/>
    <w:rsid w:val="00730214"/>
    <w:rsid w:val="00733EFE"/>
    <w:rsid w:val="0073494E"/>
    <w:rsid w:val="00734CB3"/>
    <w:rsid w:val="00737B26"/>
    <w:rsid w:val="00744AB4"/>
    <w:rsid w:val="00744F8D"/>
    <w:rsid w:val="00746216"/>
    <w:rsid w:val="00751DBB"/>
    <w:rsid w:val="00752265"/>
    <w:rsid w:val="00752BCD"/>
    <w:rsid w:val="007564DF"/>
    <w:rsid w:val="007624FC"/>
    <w:rsid w:val="007646C5"/>
    <w:rsid w:val="007655B4"/>
    <w:rsid w:val="00766DA1"/>
    <w:rsid w:val="00771C9C"/>
    <w:rsid w:val="007800C3"/>
    <w:rsid w:val="007866A6"/>
    <w:rsid w:val="007877DA"/>
    <w:rsid w:val="00792E23"/>
    <w:rsid w:val="007963FA"/>
    <w:rsid w:val="007A130D"/>
    <w:rsid w:val="007A2166"/>
    <w:rsid w:val="007A6E1E"/>
    <w:rsid w:val="007A762B"/>
    <w:rsid w:val="007B38C8"/>
    <w:rsid w:val="007C1CAA"/>
    <w:rsid w:val="007C3EAB"/>
    <w:rsid w:val="007C5537"/>
    <w:rsid w:val="007D119B"/>
    <w:rsid w:val="007D4102"/>
    <w:rsid w:val="007D4C0D"/>
    <w:rsid w:val="007E3DE7"/>
    <w:rsid w:val="007E484F"/>
    <w:rsid w:val="007E5921"/>
    <w:rsid w:val="007F1909"/>
    <w:rsid w:val="007F2102"/>
    <w:rsid w:val="007F4C34"/>
    <w:rsid w:val="00821FFC"/>
    <w:rsid w:val="008271CA"/>
    <w:rsid w:val="0083591B"/>
    <w:rsid w:val="00841E14"/>
    <w:rsid w:val="008467D5"/>
    <w:rsid w:val="008537DC"/>
    <w:rsid w:val="0085437D"/>
    <w:rsid w:val="00854618"/>
    <w:rsid w:val="00856D9F"/>
    <w:rsid w:val="0086156C"/>
    <w:rsid w:val="00862D44"/>
    <w:rsid w:val="00866F6D"/>
    <w:rsid w:val="0087544C"/>
    <w:rsid w:val="008800EA"/>
    <w:rsid w:val="00884A25"/>
    <w:rsid w:val="008938AB"/>
    <w:rsid w:val="00893BB6"/>
    <w:rsid w:val="00894258"/>
    <w:rsid w:val="00894BAB"/>
    <w:rsid w:val="00895280"/>
    <w:rsid w:val="00896F51"/>
    <w:rsid w:val="008A3CC1"/>
    <w:rsid w:val="008A4DC4"/>
    <w:rsid w:val="008A5A4C"/>
    <w:rsid w:val="008A7124"/>
    <w:rsid w:val="008B034A"/>
    <w:rsid w:val="008C118C"/>
    <w:rsid w:val="008E4941"/>
    <w:rsid w:val="008F6A3D"/>
    <w:rsid w:val="00900DB2"/>
    <w:rsid w:val="009024A3"/>
    <w:rsid w:val="00903505"/>
    <w:rsid w:val="009067A4"/>
    <w:rsid w:val="0090722E"/>
    <w:rsid w:val="00907CB5"/>
    <w:rsid w:val="00907EBB"/>
    <w:rsid w:val="00915DF0"/>
    <w:rsid w:val="009179D1"/>
    <w:rsid w:val="0092098C"/>
    <w:rsid w:val="009274C6"/>
    <w:rsid w:val="00933165"/>
    <w:rsid w:val="009340DB"/>
    <w:rsid w:val="00940801"/>
    <w:rsid w:val="00944308"/>
    <w:rsid w:val="00944CC7"/>
    <w:rsid w:val="009453E1"/>
    <w:rsid w:val="00945F9E"/>
    <w:rsid w:val="009477B3"/>
    <w:rsid w:val="009632A4"/>
    <w:rsid w:val="00967DDE"/>
    <w:rsid w:val="00972498"/>
    <w:rsid w:val="00973E93"/>
    <w:rsid w:val="00974CC6"/>
    <w:rsid w:val="00976962"/>
    <w:rsid w:val="00976AD4"/>
    <w:rsid w:val="0098158F"/>
    <w:rsid w:val="00995B09"/>
    <w:rsid w:val="009A19DB"/>
    <w:rsid w:val="009A312F"/>
    <w:rsid w:val="009A5348"/>
    <w:rsid w:val="009A67BB"/>
    <w:rsid w:val="009B034D"/>
    <w:rsid w:val="009B6F0C"/>
    <w:rsid w:val="009B7A99"/>
    <w:rsid w:val="009C718A"/>
    <w:rsid w:val="009C76D5"/>
    <w:rsid w:val="009D2F1A"/>
    <w:rsid w:val="009D39CE"/>
    <w:rsid w:val="009E6A2A"/>
    <w:rsid w:val="009F5606"/>
    <w:rsid w:val="009F7AA4"/>
    <w:rsid w:val="00A06456"/>
    <w:rsid w:val="00A11EF0"/>
    <w:rsid w:val="00A16D18"/>
    <w:rsid w:val="00A249D2"/>
    <w:rsid w:val="00A327B6"/>
    <w:rsid w:val="00A44085"/>
    <w:rsid w:val="00A4781E"/>
    <w:rsid w:val="00A47FA3"/>
    <w:rsid w:val="00A54AE7"/>
    <w:rsid w:val="00A559DB"/>
    <w:rsid w:val="00A61F83"/>
    <w:rsid w:val="00A65D1A"/>
    <w:rsid w:val="00A779DB"/>
    <w:rsid w:val="00A77DEB"/>
    <w:rsid w:val="00A809A8"/>
    <w:rsid w:val="00A8651D"/>
    <w:rsid w:val="00A8725B"/>
    <w:rsid w:val="00A926D0"/>
    <w:rsid w:val="00AA3DBC"/>
    <w:rsid w:val="00AD365F"/>
    <w:rsid w:val="00AD4A33"/>
    <w:rsid w:val="00AE1803"/>
    <w:rsid w:val="00AE73AE"/>
    <w:rsid w:val="00AF35FC"/>
    <w:rsid w:val="00B03639"/>
    <w:rsid w:val="00B0652A"/>
    <w:rsid w:val="00B10EC0"/>
    <w:rsid w:val="00B178F7"/>
    <w:rsid w:val="00B23404"/>
    <w:rsid w:val="00B30C60"/>
    <w:rsid w:val="00B338EA"/>
    <w:rsid w:val="00B346BD"/>
    <w:rsid w:val="00B359B8"/>
    <w:rsid w:val="00B3757D"/>
    <w:rsid w:val="00B40937"/>
    <w:rsid w:val="00B423EF"/>
    <w:rsid w:val="00B453DE"/>
    <w:rsid w:val="00B4726F"/>
    <w:rsid w:val="00B4742F"/>
    <w:rsid w:val="00B654D7"/>
    <w:rsid w:val="00B7592D"/>
    <w:rsid w:val="00B83CDC"/>
    <w:rsid w:val="00B901F9"/>
    <w:rsid w:val="00B97256"/>
    <w:rsid w:val="00BA174C"/>
    <w:rsid w:val="00BB0525"/>
    <w:rsid w:val="00BB2152"/>
    <w:rsid w:val="00BC1104"/>
    <w:rsid w:val="00BC1FEE"/>
    <w:rsid w:val="00BC338A"/>
    <w:rsid w:val="00BD6B4A"/>
    <w:rsid w:val="00BD6EFB"/>
    <w:rsid w:val="00BE2065"/>
    <w:rsid w:val="00BF26AC"/>
    <w:rsid w:val="00BF27C9"/>
    <w:rsid w:val="00C079FD"/>
    <w:rsid w:val="00C13347"/>
    <w:rsid w:val="00C13FBC"/>
    <w:rsid w:val="00C15BE2"/>
    <w:rsid w:val="00C22219"/>
    <w:rsid w:val="00C24D95"/>
    <w:rsid w:val="00C25CD6"/>
    <w:rsid w:val="00C3050F"/>
    <w:rsid w:val="00C3447F"/>
    <w:rsid w:val="00C35E08"/>
    <w:rsid w:val="00C47BBD"/>
    <w:rsid w:val="00C541EE"/>
    <w:rsid w:val="00C737B1"/>
    <w:rsid w:val="00C74A94"/>
    <w:rsid w:val="00C74AE6"/>
    <w:rsid w:val="00C76701"/>
    <w:rsid w:val="00C80EB1"/>
    <w:rsid w:val="00C813BF"/>
    <w:rsid w:val="00C81491"/>
    <w:rsid w:val="00C81676"/>
    <w:rsid w:val="00C83FF1"/>
    <w:rsid w:val="00C928D6"/>
    <w:rsid w:val="00C92CC4"/>
    <w:rsid w:val="00CA0AFB"/>
    <w:rsid w:val="00CA16D2"/>
    <w:rsid w:val="00CA2CE1"/>
    <w:rsid w:val="00CA3976"/>
    <w:rsid w:val="00CA757B"/>
    <w:rsid w:val="00CB6B09"/>
    <w:rsid w:val="00CC1787"/>
    <w:rsid w:val="00CC182C"/>
    <w:rsid w:val="00CC25F5"/>
    <w:rsid w:val="00CC488F"/>
    <w:rsid w:val="00CD0824"/>
    <w:rsid w:val="00CD2908"/>
    <w:rsid w:val="00CD63E0"/>
    <w:rsid w:val="00CE3D25"/>
    <w:rsid w:val="00CE6C99"/>
    <w:rsid w:val="00CE7212"/>
    <w:rsid w:val="00CE7743"/>
    <w:rsid w:val="00CF6532"/>
    <w:rsid w:val="00D01F80"/>
    <w:rsid w:val="00D03A82"/>
    <w:rsid w:val="00D07D73"/>
    <w:rsid w:val="00D12CBC"/>
    <w:rsid w:val="00D14D68"/>
    <w:rsid w:val="00D15344"/>
    <w:rsid w:val="00D206CC"/>
    <w:rsid w:val="00D3121C"/>
    <w:rsid w:val="00D31BEC"/>
    <w:rsid w:val="00D322BB"/>
    <w:rsid w:val="00D32468"/>
    <w:rsid w:val="00D44775"/>
    <w:rsid w:val="00D47C29"/>
    <w:rsid w:val="00D5009E"/>
    <w:rsid w:val="00D508AC"/>
    <w:rsid w:val="00D62BCB"/>
    <w:rsid w:val="00D63150"/>
    <w:rsid w:val="00D64A32"/>
    <w:rsid w:val="00D64EFC"/>
    <w:rsid w:val="00D75295"/>
    <w:rsid w:val="00D7586F"/>
    <w:rsid w:val="00D761D5"/>
    <w:rsid w:val="00D76CE9"/>
    <w:rsid w:val="00D815E5"/>
    <w:rsid w:val="00D819D5"/>
    <w:rsid w:val="00D92E50"/>
    <w:rsid w:val="00D9405C"/>
    <w:rsid w:val="00D95321"/>
    <w:rsid w:val="00D97093"/>
    <w:rsid w:val="00D97F12"/>
    <w:rsid w:val="00DA0010"/>
    <w:rsid w:val="00DA2A87"/>
    <w:rsid w:val="00DB23B4"/>
    <w:rsid w:val="00DB42E7"/>
    <w:rsid w:val="00DB5439"/>
    <w:rsid w:val="00DB563E"/>
    <w:rsid w:val="00DD1F6F"/>
    <w:rsid w:val="00DE5DBE"/>
    <w:rsid w:val="00DF32C2"/>
    <w:rsid w:val="00DF6F2E"/>
    <w:rsid w:val="00E0611C"/>
    <w:rsid w:val="00E06A34"/>
    <w:rsid w:val="00E13F43"/>
    <w:rsid w:val="00E14E9A"/>
    <w:rsid w:val="00E1709E"/>
    <w:rsid w:val="00E22365"/>
    <w:rsid w:val="00E30D27"/>
    <w:rsid w:val="00E356CA"/>
    <w:rsid w:val="00E379FA"/>
    <w:rsid w:val="00E471A7"/>
    <w:rsid w:val="00E52F09"/>
    <w:rsid w:val="00E55180"/>
    <w:rsid w:val="00E635CF"/>
    <w:rsid w:val="00E63C91"/>
    <w:rsid w:val="00E70169"/>
    <w:rsid w:val="00E72272"/>
    <w:rsid w:val="00E75BD2"/>
    <w:rsid w:val="00E813B9"/>
    <w:rsid w:val="00E82FF0"/>
    <w:rsid w:val="00E854CB"/>
    <w:rsid w:val="00E9204A"/>
    <w:rsid w:val="00E9318D"/>
    <w:rsid w:val="00E934B5"/>
    <w:rsid w:val="00EA1556"/>
    <w:rsid w:val="00EA1ED8"/>
    <w:rsid w:val="00EB5410"/>
    <w:rsid w:val="00EC2778"/>
    <w:rsid w:val="00EC6E0A"/>
    <w:rsid w:val="00ED4E18"/>
    <w:rsid w:val="00ED6050"/>
    <w:rsid w:val="00EE038C"/>
    <w:rsid w:val="00EE12B0"/>
    <w:rsid w:val="00EE1F37"/>
    <w:rsid w:val="00EE2E64"/>
    <w:rsid w:val="00EF0F74"/>
    <w:rsid w:val="00EF4887"/>
    <w:rsid w:val="00F0159C"/>
    <w:rsid w:val="00F105B7"/>
    <w:rsid w:val="00F124FF"/>
    <w:rsid w:val="00F13196"/>
    <w:rsid w:val="00F15127"/>
    <w:rsid w:val="00F17A21"/>
    <w:rsid w:val="00F21944"/>
    <w:rsid w:val="00F21D1C"/>
    <w:rsid w:val="00F2569D"/>
    <w:rsid w:val="00F37F03"/>
    <w:rsid w:val="00F50E91"/>
    <w:rsid w:val="00F52B1E"/>
    <w:rsid w:val="00F57D29"/>
    <w:rsid w:val="00F60BC8"/>
    <w:rsid w:val="00F71598"/>
    <w:rsid w:val="00F717CE"/>
    <w:rsid w:val="00F83472"/>
    <w:rsid w:val="00F86CD0"/>
    <w:rsid w:val="00F87BD7"/>
    <w:rsid w:val="00F92A99"/>
    <w:rsid w:val="00F94A59"/>
    <w:rsid w:val="00F96201"/>
    <w:rsid w:val="00FC30E9"/>
    <w:rsid w:val="00FC66F7"/>
    <w:rsid w:val="00FC68B2"/>
    <w:rsid w:val="00FD0B18"/>
    <w:rsid w:val="00FD0F82"/>
    <w:rsid w:val="00FE0220"/>
    <w:rsid w:val="00FE5836"/>
    <w:rsid w:val="00FE714F"/>
    <w:rsid w:val="00FF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40076F"/>
  <w15:docId w15:val="{5D5D0AFF-E449-4318-8C1A-039CDC93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0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rFonts w:eastAsia="Times New Roman"/>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rFonts w:eastAsia="Times New Roman"/>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900DB2"/>
    <w:rPr>
      <w:b/>
      <w:color w:val="FF0000"/>
      <w:vertAlign w:val="superscript"/>
    </w:rPr>
  </w:style>
  <w:style w:type="paragraph" w:customStyle="1" w:styleId="Footnote">
    <w:name w:val="Footnote"/>
    <w:basedOn w:val="FootnoteText"/>
    <w:link w:val="FootnoteChar"/>
    <w:qFormat/>
    <w:rsid w:val="00254B39"/>
    <w:pPr>
      <w:jc w:val="both"/>
    </w:pPr>
    <w:rPr>
      <w:rFonts w:ascii="Arial" w:hAnsi="Arial" w:cs="Arial"/>
      <w:sz w:val="17"/>
      <w:szCs w:val="17"/>
    </w:rPr>
  </w:style>
  <w:style w:type="character" w:customStyle="1" w:styleId="FootnoteChar">
    <w:name w:val="Footnote Char"/>
    <w:basedOn w:val="FootnoteTextChar"/>
    <w:link w:val="Footnote"/>
    <w:rsid w:val="00254B39"/>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eastAsia="Times New Roman"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rFonts w:eastAsia="Times New Roman"/>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rFonts w:eastAsia="Times New Roman"/>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rFonts w:eastAsia="Times New Roman"/>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rFonts w:eastAsia="Times New Roman"/>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eastAsia="Times New Roman" w:hAnsi="Arial" w:cs="Arial"/>
      <w:i/>
      <w:iCs/>
      <w:sz w:val="17"/>
      <w:szCs w:val="17"/>
      <w:lang w:val="en-GB"/>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rsid w:val="00B4742F"/>
    <w:rPr>
      <w:rFonts w:eastAsia="Times New Roman"/>
      <w:sz w:val="20"/>
      <w:szCs w:val="20"/>
      <w:lang w:val="en-GB"/>
    </w:rPr>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900DB2"/>
    <w:rPr>
      <w:b w:val="0"/>
      <w:color w:val="auto"/>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rFonts w:eastAsia="Times New Roman"/>
      <w:sz w:val="22"/>
      <w:szCs w:val="20"/>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styleId="Caption">
    <w:name w:val="caption"/>
    <w:basedOn w:val="Normal"/>
    <w:next w:val="Normal"/>
    <w:uiPriority w:val="35"/>
    <w:unhideWhenUsed/>
    <w:rsid w:val="00C83FF1"/>
    <w:pPr>
      <w:spacing w:after="200"/>
    </w:pPr>
    <w:rPr>
      <w:rFonts w:asciiTheme="minorHAnsi" w:hAnsiTheme="minorHAnsi" w:cstheme="minorBidi"/>
      <w:i/>
      <w:iCs/>
      <w:color w:val="1F497D" w:themeColor="text2"/>
      <w:sz w:val="18"/>
      <w:szCs w:val="18"/>
      <w:lang w:val="en-GB"/>
    </w:rPr>
  </w:style>
  <w:style w:type="character" w:styleId="HTMLCite">
    <w:name w:val="HTML Cite"/>
    <w:basedOn w:val="DefaultParagraphFont"/>
    <w:uiPriority w:val="99"/>
    <w:semiHidden/>
    <w:unhideWhenUsed/>
    <w:rsid w:val="00D94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76485">
      <w:bodyDiv w:val="1"/>
      <w:marLeft w:val="0"/>
      <w:marRight w:val="0"/>
      <w:marTop w:val="0"/>
      <w:marBottom w:val="0"/>
      <w:divBdr>
        <w:top w:val="none" w:sz="0" w:space="0" w:color="auto"/>
        <w:left w:val="none" w:sz="0" w:space="0" w:color="auto"/>
        <w:bottom w:val="none" w:sz="0" w:space="0" w:color="auto"/>
        <w:right w:val="none" w:sz="0" w:space="0" w:color="auto"/>
      </w:divBdr>
    </w:div>
    <w:div w:id="1253978184">
      <w:bodyDiv w:val="1"/>
      <w:marLeft w:val="0"/>
      <w:marRight w:val="0"/>
      <w:marTop w:val="0"/>
      <w:marBottom w:val="0"/>
      <w:divBdr>
        <w:top w:val="none" w:sz="0" w:space="0" w:color="auto"/>
        <w:left w:val="none" w:sz="0" w:space="0" w:color="auto"/>
        <w:bottom w:val="none" w:sz="0" w:space="0" w:color="auto"/>
        <w:right w:val="none" w:sz="0" w:space="0" w:color="auto"/>
      </w:divBdr>
    </w:div>
    <w:div w:id="1397432024">
      <w:bodyDiv w:val="1"/>
      <w:marLeft w:val="0"/>
      <w:marRight w:val="0"/>
      <w:marTop w:val="0"/>
      <w:marBottom w:val="0"/>
      <w:divBdr>
        <w:top w:val="none" w:sz="0" w:space="0" w:color="auto"/>
        <w:left w:val="none" w:sz="0" w:space="0" w:color="auto"/>
        <w:bottom w:val="none" w:sz="0" w:space="0" w:color="auto"/>
        <w:right w:val="none" w:sz="0" w:space="0" w:color="auto"/>
      </w:divBdr>
    </w:div>
    <w:div w:id="172255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dowtex7\Desktop\DataPack_Case%20Studies\Public%20enemy%20exhibhi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225408438675999"/>
          <c:y val="7.0702607158639005E-2"/>
          <c:w val="0.85774590202453904"/>
          <c:h val="0.86779216483098098"/>
        </c:manualLayout>
      </c:layout>
      <c:barChart>
        <c:barDir val="col"/>
        <c:grouping val="clustered"/>
        <c:varyColors val="0"/>
        <c:ser>
          <c:idx val="1"/>
          <c:order val="1"/>
          <c:tx>
            <c:strRef>
              <c:f>Sheet1!$C$1</c:f>
              <c:strCache>
                <c:ptCount val="1"/>
                <c:pt idx="0">
                  <c:v>Brand Name Drug Prices (268 top drug products)</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numRef>
              <c:f>Sheet1!$A$2:$A$11</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Sheet1!$C$2:$C$11</c:f>
              <c:numCache>
                <c:formatCode>0.0%</c:formatCode>
                <c:ptCount val="10"/>
                <c:pt idx="0">
                  <c:v>5.8999999999999997E-2</c:v>
                </c:pt>
                <c:pt idx="1">
                  <c:v>6.6000000000000003E-2</c:v>
                </c:pt>
                <c:pt idx="2">
                  <c:v>8.6999999999999994E-2</c:v>
                </c:pt>
                <c:pt idx="3">
                  <c:v>8.2000000000000003E-2</c:v>
                </c:pt>
                <c:pt idx="4">
                  <c:v>7.8E-2</c:v>
                </c:pt>
                <c:pt idx="5">
                  <c:v>9.7000000000000003E-2</c:v>
                </c:pt>
                <c:pt idx="6">
                  <c:v>0.12</c:v>
                </c:pt>
                <c:pt idx="7">
                  <c:v>0.154</c:v>
                </c:pt>
                <c:pt idx="8">
                  <c:v>0.161</c:v>
                </c:pt>
                <c:pt idx="9">
                  <c:v>0.155</c:v>
                </c:pt>
              </c:numCache>
            </c:numRef>
          </c:val>
          <c:extLst xmlns:c16r2="http://schemas.microsoft.com/office/drawing/2015/06/chart">
            <c:ext xmlns:c16="http://schemas.microsoft.com/office/drawing/2014/chart" uri="{C3380CC4-5D6E-409C-BE32-E72D297353CC}">
              <c16:uniqueId val="{00000000-AC55-4FBE-811C-9400A2A7EBD0}"/>
            </c:ext>
          </c:extLst>
        </c:ser>
        <c:dLbls>
          <c:showLegendKey val="0"/>
          <c:showVal val="1"/>
          <c:showCatName val="0"/>
          <c:showSerName val="0"/>
          <c:showPercent val="0"/>
          <c:showBubbleSize val="0"/>
        </c:dLbls>
        <c:gapWidth val="247"/>
        <c:axId val="164878920"/>
        <c:axId val="164879312"/>
      </c:barChart>
      <c:lineChart>
        <c:grouping val="standard"/>
        <c:varyColors val="0"/>
        <c:ser>
          <c:idx val="0"/>
          <c:order val="0"/>
          <c:tx>
            <c:strRef>
              <c:f>Sheet1!$B$1</c:f>
              <c:strCache>
                <c:ptCount val="1"/>
                <c:pt idx="0">
                  <c:v>General Inflation (CPI-U)</c:v>
                </c:pt>
              </c:strCache>
            </c:strRef>
          </c:tx>
          <c:spPr>
            <a:ln w="28575" cap="rnd" cmpd="sng" algn="ctr">
              <a:solidFill>
                <a:schemeClr val="dk1">
                  <a:tint val="88500"/>
                  <a:shade val="95000"/>
                  <a:satMod val="105000"/>
                </a:schemeClr>
              </a:solidFill>
              <a:prstDash val="solid"/>
              <a:round/>
            </a:ln>
            <a:effectLst/>
          </c:spPr>
          <c:marker>
            <c:symbol val="none"/>
          </c:marker>
          <c:dLbls>
            <c:dLbl>
              <c:idx val="0"/>
              <c:layout>
                <c:manualLayout>
                  <c:x val="0"/>
                  <c:y val="-1.93236714975844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1.610305958132040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8.1643827867062595E-17"/>
                  <c:y val="-1.852423587527009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6.6801143844995303E-3"/>
                  <c:y val="-0.111655439488712"/>
                </c:manualLayout>
              </c:layout>
              <c:showLegendKey val="0"/>
              <c:showVal val="1"/>
              <c:showCatName val="0"/>
              <c:showSerName val="0"/>
              <c:showPercent val="0"/>
              <c:showBubbleSize val="0"/>
              <c:extLst>
                <c:ext xmlns:c15="http://schemas.microsoft.com/office/drawing/2012/chart" uri="{CE6537A1-D6FC-4f65-9D91-7224C49458BB}">
                  <c15:layout>
                    <c:manualLayout>
                      <c:w val="6.7557336896014203E-2"/>
                      <c:h val="5.5927877030190601E-2"/>
                    </c:manualLayout>
                  </c15:layout>
                </c:ext>
              </c:extLst>
            </c:dLbl>
            <c:dLbl>
              <c:idx val="4"/>
              <c:layout>
                <c:manualLayout>
                  <c:x val="0"/>
                  <c:y val="2.4698981167026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8.1643827867062595E-17"/>
                  <c:y val="-1.610305958132040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2.25442834138486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1.6328765573412401E-16"/>
                  <c:y val="-3.542673107890499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1.6328765573412401E-16"/>
                  <c:y val="-2.778635381290529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3.5426731078904997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shade val="95000"/>
                          <a:satMod val="105000"/>
                        </a:schemeClr>
                      </a:solidFill>
                      <a:prstDash val="solid"/>
                      <a:round/>
                    </a:ln>
                    <a:effectLst/>
                  </c:spPr>
                </c15:leaderLines>
              </c:ext>
            </c:extLst>
          </c:dLbls>
          <c:cat>
            <c:numRef>
              <c:f>Sheet1!$A$2:$A$11</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Sheet1!$B$2:$B$11</c:f>
              <c:numCache>
                <c:formatCode>0.0%</c:formatCode>
                <c:ptCount val="10"/>
                <c:pt idx="0">
                  <c:v>3.3000000000000002E-2</c:v>
                </c:pt>
                <c:pt idx="1">
                  <c:v>2.9000000000000001E-2</c:v>
                </c:pt>
                <c:pt idx="2">
                  <c:v>3.7999999999999999E-2</c:v>
                </c:pt>
                <c:pt idx="3">
                  <c:v>-3.0000000000000001E-3</c:v>
                </c:pt>
                <c:pt idx="4">
                  <c:v>1.6E-2</c:v>
                </c:pt>
                <c:pt idx="5">
                  <c:v>3.2000000000000001E-2</c:v>
                </c:pt>
                <c:pt idx="6">
                  <c:v>2.1000000000000001E-2</c:v>
                </c:pt>
                <c:pt idx="7">
                  <c:v>1.4999999999999999E-2</c:v>
                </c:pt>
                <c:pt idx="8">
                  <c:v>1.6E-2</c:v>
                </c:pt>
                <c:pt idx="9">
                  <c:v>1E-3</c:v>
                </c:pt>
              </c:numCache>
            </c:numRef>
          </c:val>
          <c:smooth val="0"/>
          <c:extLst xmlns:c16r2="http://schemas.microsoft.com/office/drawing/2015/06/chart">
            <c:ext xmlns:c16="http://schemas.microsoft.com/office/drawing/2014/chart" uri="{C3380CC4-5D6E-409C-BE32-E72D297353CC}">
              <c16:uniqueId val="{00000001-AC55-4FBE-811C-9400A2A7EBD0}"/>
            </c:ext>
          </c:extLst>
        </c:ser>
        <c:dLbls>
          <c:showLegendKey val="0"/>
          <c:showVal val="1"/>
          <c:showCatName val="0"/>
          <c:showSerName val="0"/>
          <c:showPercent val="0"/>
          <c:showBubbleSize val="0"/>
        </c:dLbls>
        <c:marker val="1"/>
        <c:smooth val="0"/>
        <c:axId val="164878920"/>
        <c:axId val="164879312"/>
      </c:lineChart>
      <c:catAx>
        <c:axId val="164878920"/>
        <c:scaling>
          <c:orientation val="minMax"/>
        </c:scaling>
        <c:delete val="0"/>
        <c:axPos val="b"/>
        <c:majorGridlines>
          <c:spPr>
            <a:ln w="9525" cap="flat" cmpd="sng" algn="ctr">
              <a:solidFill>
                <a:schemeClr val="dk1">
                  <a:lumMod val="15000"/>
                  <a:lumOff val="85000"/>
                </a:schemeClr>
              </a:solidFill>
              <a:prstDash val="solid"/>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4879312"/>
        <c:crosses val="autoZero"/>
        <c:auto val="1"/>
        <c:lblAlgn val="ctr"/>
        <c:lblOffset val="100"/>
        <c:noMultiLvlLbl val="0"/>
      </c:catAx>
      <c:valAx>
        <c:axId val="164879312"/>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050"/>
                  <a:t>Average Annual Change</a:t>
                </a:r>
              </a:p>
            </c:rich>
          </c:tx>
          <c:layout/>
          <c:overlay val="0"/>
          <c:spPr>
            <a:noFill/>
            <a:ln>
              <a:noFill/>
            </a:ln>
            <a:effectLst/>
          </c:spPr>
        </c:title>
        <c:numFmt formatCode="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crossAx val="1648789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136570954682769"/>
          <c:y val="0.93921060500348796"/>
          <c:w val="0.84264522044964796"/>
          <c:h val="6.07894303067188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B4157-D2C0-4712-989C-B399CFC5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2017-11-02T12:18:00Z</cp:lastPrinted>
  <dcterms:created xsi:type="dcterms:W3CDTF">2017-11-07T16:23:00Z</dcterms:created>
  <dcterms:modified xsi:type="dcterms:W3CDTF">2017-11-08T18:57:00Z</dcterms:modified>
</cp:coreProperties>
</file>