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0DDAB" w14:textId="77777777" w:rsidR="00821079" w:rsidRPr="00821079" w:rsidRDefault="00821079" w:rsidP="00821079">
      <w:pPr>
        <w:tabs>
          <w:tab w:val="left" w:pos="-1440"/>
          <w:tab w:val="left" w:pos="-720"/>
          <w:tab w:val="left" w:pos="1"/>
          <w:tab w:val="right" w:pos="9360"/>
        </w:tabs>
        <w:jc w:val="both"/>
        <w:rPr>
          <w:rFonts w:ascii="Arial" w:hAnsi="Arial"/>
          <w:b/>
          <w:sz w:val="24"/>
        </w:rPr>
      </w:pPr>
      <w:r w:rsidRPr="00821079">
        <w:rPr>
          <w:rFonts w:ascii="Arial" w:hAnsi="Arial"/>
          <w:b/>
          <w:noProof/>
          <w:sz w:val="24"/>
          <w:lang w:val="en-US"/>
        </w:rPr>
        <w:drawing>
          <wp:inline distT="0" distB="0" distL="0" distR="0" wp14:anchorId="3AF4BE77" wp14:editId="5A3BB0CC">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4F40927" w14:textId="77777777" w:rsidR="00856D9F" w:rsidRDefault="00856D9F" w:rsidP="008467D5">
      <w:pPr>
        <w:pBdr>
          <w:bottom w:val="single" w:sz="18" w:space="1" w:color="auto"/>
        </w:pBdr>
        <w:tabs>
          <w:tab w:val="left" w:pos="-1440"/>
          <w:tab w:val="left" w:pos="-720"/>
          <w:tab w:val="left" w:pos="1"/>
        </w:tabs>
        <w:jc w:val="both"/>
        <w:rPr>
          <w:rFonts w:ascii="Arial" w:hAnsi="Arial"/>
          <w:b/>
          <w:sz w:val="24"/>
        </w:rPr>
      </w:pPr>
    </w:p>
    <w:p w14:paraId="710FDD74" w14:textId="47A26FAE" w:rsidR="00D75295" w:rsidRDefault="00F53F0C" w:rsidP="009C4748">
      <w:pPr>
        <w:pStyle w:val="ProductNumber"/>
        <w:outlineLvl w:val="0"/>
      </w:pPr>
      <w:r>
        <w:t>9b17m169</w:t>
      </w:r>
    </w:p>
    <w:p w14:paraId="08AFA581" w14:textId="77777777" w:rsidR="00D75295" w:rsidRDefault="00D75295" w:rsidP="00D75295">
      <w:pPr>
        <w:jc w:val="right"/>
        <w:rPr>
          <w:rFonts w:ascii="Arial" w:hAnsi="Arial"/>
          <w:b/>
          <w:sz w:val="28"/>
          <w:szCs w:val="28"/>
        </w:rPr>
      </w:pPr>
    </w:p>
    <w:p w14:paraId="556CEACD" w14:textId="77777777" w:rsidR="00866F6D" w:rsidRDefault="00866F6D" w:rsidP="00D75295">
      <w:pPr>
        <w:jc w:val="right"/>
        <w:rPr>
          <w:rFonts w:ascii="Arial" w:hAnsi="Arial"/>
          <w:b/>
          <w:sz w:val="28"/>
          <w:szCs w:val="28"/>
        </w:rPr>
      </w:pPr>
    </w:p>
    <w:p w14:paraId="4E78A95E" w14:textId="736BC2B7" w:rsidR="00013360" w:rsidRPr="00361C8E" w:rsidRDefault="00EF7B6F" w:rsidP="009C4748">
      <w:pPr>
        <w:pStyle w:val="CaseTitle"/>
        <w:spacing w:after="0" w:line="240" w:lineRule="auto"/>
        <w:outlineLvl w:val="0"/>
      </w:pPr>
      <w:r w:rsidRPr="00326874">
        <w:rPr>
          <w:rFonts w:hAnsiTheme="minorHAnsi" w:cstheme="minorBidi"/>
          <w:color w:val="auto"/>
          <w:szCs w:val="22"/>
        </w:rPr>
        <w:t>Loblaw in Canada</w:t>
      </w:r>
      <w:r w:rsidRPr="00326874">
        <w:rPr>
          <w:rFonts w:hAnsiTheme="minorHAnsi" w:cstheme="minorBidi"/>
          <w:color w:val="auto"/>
          <w:szCs w:val="22"/>
        </w:rPr>
        <w:t>’</w:t>
      </w:r>
      <w:r w:rsidRPr="00326874">
        <w:rPr>
          <w:rFonts w:hAnsiTheme="minorHAnsi" w:cstheme="minorBidi"/>
          <w:color w:val="auto"/>
          <w:szCs w:val="22"/>
        </w:rPr>
        <w:t xml:space="preserve">s stagnant </w:t>
      </w:r>
      <w:r>
        <w:rPr>
          <w:rFonts w:hAnsiTheme="minorHAnsi" w:cstheme="minorBidi"/>
          <w:color w:val="auto"/>
          <w:szCs w:val="22"/>
        </w:rPr>
        <w:t>G</w:t>
      </w:r>
      <w:r w:rsidRPr="00326874">
        <w:rPr>
          <w:rFonts w:hAnsiTheme="minorHAnsi" w:cstheme="minorBidi"/>
          <w:color w:val="auto"/>
          <w:szCs w:val="22"/>
        </w:rPr>
        <w:t>rocery market</w:t>
      </w:r>
      <w:r w:rsidR="0061706C">
        <w:rPr>
          <w:rStyle w:val="EndnoteReference"/>
          <w:rFonts w:hAnsiTheme="minorHAnsi" w:cstheme="minorBidi"/>
          <w:color w:val="auto"/>
          <w:szCs w:val="22"/>
        </w:rPr>
        <w:endnoteReference w:id="1"/>
      </w:r>
    </w:p>
    <w:p w14:paraId="06064E66" w14:textId="77777777" w:rsidR="00013360" w:rsidRDefault="00013360" w:rsidP="00013360">
      <w:pPr>
        <w:pStyle w:val="CaseTitle"/>
        <w:spacing w:after="0" w:line="240" w:lineRule="auto"/>
        <w:rPr>
          <w:sz w:val="20"/>
          <w:szCs w:val="20"/>
        </w:rPr>
      </w:pPr>
    </w:p>
    <w:p w14:paraId="3AFA4AF7" w14:textId="77777777" w:rsidR="00CA3976" w:rsidRDefault="00CA3976" w:rsidP="00013360">
      <w:pPr>
        <w:pStyle w:val="CaseTitle"/>
        <w:spacing w:after="0" w:line="240" w:lineRule="auto"/>
        <w:rPr>
          <w:sz w:val="20"/>
          <w:szCs w:val="20"/>
        </w:rPr>
      </w:pPr>
    </w:p>
    <w:p w14:paraId="2F1AAA24" w14:textId="77777777" w:rsidR="00013360" w:rsidRPr="00013360" w:rsidRDefault="00013360" w:rsidP="00013360">
      <w:pPr>
        <w:pStyle w:val="CaseTitle"/>
        <w:spacing w:after="0" w:line="240" w:lineRule="auto"/>
        <w:rPr>
          <w:sz w:val="20"/>
          <w:szCs w:val="20"/>
        </w:rPr>
      </w:pPr>
    </w:p>
    <w:p w14:paraId="2CFDFAB3" w14:textId="77777777" w:rsidR="00013360" w:rsidRDefault="00C75F1C" w:rsidP="00104567">
      <w:pPr>
        <w:pStyle w:val="StyleCopyrightStatementAfter0ptBottomSinglesolidline1"/>
      </w:pPr>
      <w:r>
        <w:t xml:space="preserve">Ruhama Quadir and Kelly Whitehead </w:t>
      </w:r>
      <w:r w:rsidR="007E5921">
        <w:t>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268773C7" w14:textId="77777777" w:rsidR="00013360" w:rsidRDefault="00013360" w:rsidP="00104567">
      <w:pPr>
        <w:pStyle w:val="StyleCopyrightStatementAfter0ptBottomSinglesolidline1"/>
      </w:pPr>
    </w:p>
    <w:p w14:paraId="33F9A015" w14:textId="77777777" w:rsidR="00821079" w:rsidRPr="00E23AB7" w:rsidRDefault="00821079" w:rsidP="00821079">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0A7F2325" w14:textId="77777777" w:rsidR="00821079" w:rsidRPr="00E23AB7" w:rsidRDefault="00821079" w:rsidP="00821079">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2F79CC12" w14:textId="2313621D" w:rsidR="003B7EF2" w:rsidRDefault="00821079" w:rsidP="00821079">
      <w:pPr>
        <w:pStyle w:val="StyleStyleCopyrightStatementAfter0ptBottomSinglesolid"/>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t>Version: 2017-</w:t>
      </w:r>
      <w:r w:rsidR="002B3389">
        <w:t>11-0</w:t>
      </w:r>
      <w:r w:rsidR="0061706C">
        <w:t>8</w:t>
      </w:r>
    </w:p>
    <w:p w14:paraId="6E96974B" w14:textId="77777777" w:rsidR="003B7EF2" w:rsidRPr="003B7EF2" w:rsidRDefault="003B7EF2" w:rsidP="00104567">
      <w:pPr>
        <w:pStyle w:val="StyleCopyrightStatementAfter0ptBottomSinglesolidline1"/>
        <w:rPr>
          <w:rFonts w:ascii="Times New Roman" w:hAnsi="Times New Roman"/>
          <w:sz w:val="20"/>
        </w:rPr>
      </w:pPr>
    </w:p>
    <w:p w14:paraId="22370066" w14:textId="77777777" w:rsidR="003B7EF2" w:rsidRDefault="003B7EF2" w:rsidP="006B7F7A">
      <w:pPr>
        <w:pStyle w:val="BodyTextMain"/>
      </w:pPr>
    </w:p>
    <w:p w14:paraId="33170F1D" w14:textId="3D060855" w:rsidR="00EF7B6F" w:rsidRDefault="00EF7B6F" w:rsidP="00EF7B6F">
      <w:pPr>
        <w:pStyle w:val="BodyTextMain"/>
      </w:pPr>
      <w:r>
        <w:t>I</w:t>
      </w:r>
      <w:r w:rsidRPr="00326874">
        <w:t>n September 2016,</w:t>
      </w:r>
      <w:r>
        <w:t xml:space="preserve"> Loblaw Companies Limited (Loblaw) was at a critical </w:t>
      </w:r>
      <w:r w:rsidR="009A584A">
        <w:t>deadlock</w:t>
      </w:r>
      <w:r>
        <w:t xml:space="preserve">. </w:t>
      </w:r>
      <w:r w:rsidR="009A584A">
        <w:t>The company’s p</w:t>
      </w:r>
      <w:r>
        <w:t xml:space="preserve">erformance in the last quarter </w:t>
      </w:r>
      <w:r w:rsidR="00DD26D2">
        <w:t xml:space="preserve">had been </w:t>
      </w:r>
      <w:r>
        <w:t xml:space="preserve">disappointing at best; food sales </w:t>
      </w:r>
      <w:r w:rsidR="009A584A">
        <w:t>had grown</w:t>
      </w:r>
      <w:r>
        <w:t xml:space="preserve"> modestly (2</w:t>
      </w:r>
      <w:r w:rsidR="009A584A">
        <w:t xml:space="preserve"> per cent</w:t>
      </w:r>
      <w:r>
        <w:t>), but net income was down 14.6</w:t>
      </w:r>
      <w:r w:rsidR="009A584A">
        <w:t xml:space="preserve"> per cent</w:t>
      </w:r>
      <w:r>
        <w:t xml:space="preserve"> </w:t>
      </w:r>
      <w:r w:rsidR="009A584A">
        <w:t>from</w:t>
      </w:r>
      <w:r>
        <w:t xml:space="preserve"> 2015.</w:t>
      </w:r>
      <w:r w:rsidRPr="00FD6CFB">
        <w:rPr>
          <w:rStyle w:val="EndnoteReference"/>
        </w:rPr>
        <w:endnoteReference w:id="2"/>
      </w:r>
      <w:r>
        <w:t xml:space="preserve"> In a </w:t>
      </w:r>
      <w:r>
        <w:rPr>
          <w:i/>
        </w:rPr>
        <w:t>Toronto Star</w:t>
      </w:r>
      <w:r>
        <w:t xml:space="preserve"> </w:t>
      </w:r>
      <w:r w:rsidR="009A584A">
        <w:t>article</w:t>
      </w:r>
      <w:r>
        <w:t xml:space="preserve"> headlined “Can Weston </w:t>
      </w:r>
      <w:r w:rsidR="009A584A">
        <w:t>G</w:t>
      </w:r>
      <w:r>
        <w:t xml:space="preserve">et the </w:t>
      </w:r>
      <w:r w:rsidR="009A584A">
        <w:t>B</w:t>
      </w:r>
      <w:r>
        <w:t>lah out of Loblaw?</w:t>
      </w:r>
      <w:r w:rsidR="009A584A">
        <w:t>,</w:t>
      </w:r>
      <w:r>
        <w:t>” the weak results were attributed to Loblaw’s “antique-like” business model.</w:t>
      </w:r>
      <w:r>
        <w:rPr>
          <w:vertAlign w:val="superscript"/>
        </w:rPr>
        <w:endnoteReference w:id="3"/>
      </w:r>
      <w:r>
        <w:t xml:space="preserve"> Bay Street</w:t>
      </w:r>
      <w:r w:rsidR="009A584A">
        <w:t xml:space="preserve"> (the centre of Toronto’s financial district</w:t>
      </w:r>
      <w:r w:rsidR="008613B6">
        <w:t xml:space="preserve">; </w:t>
      </w:r>
      <w:r w:rsidR="00CF6551">
        <w:t xml:space="preserve">also </w:t>
      </w:r>
      <w:r w:rsidR="00DD2905">
        <w:t>used to refer to</w:t>
      </w:r>
      <w:r w:rsidR="008613B6">
        <w:t xml:space="preserve"> Canada’s financial industry)</w:t>
      </w:r>
      <w:r w:rsidR="009A584A">
        <w:t>,</w:t>
      </w:r>
      <w:r>
        <w:t xml:space="preserve"> was more forgiving, as analysts’ consensus was to designate a “neutral” rating for </w:t>
      </w:r>
      <w:r w:rsidR="008613B6">
        <w:t>Loblaw’s</w:t>
      </w:r>
      <w:r>
        <w:t xml:space="preserve"> stock.</w:t>
      </w:r>
      <w:r>
        <w:rPr>
          <w:vertAlign w:val="superscript"/>
        </w:rPr>
        <w:endnoteReference w:id="4"/>
      </w:r>
      <w:r>
        <w:t xml:space="preserve"> However, the direction of the company’s future remained unclear, and competition in the grocery market was heating up. What should Galen Weston Jr., chairman of Loblaw, do to prepare Loblaw for a potential price war in the months ahead? </w:t>
      </w:r>
    </w:p>
    <w:p w14:paraId="16AB9F02" w14:textId="77777777" w:rsidR="00EF7B6F" w:rsidRDefault="00EF7B6F" w:rsidP="00EF7B6F">
      <w:pPr>
        <w:pStyle w:val="BodyTextMain"/>
      </w:pPr>
    </w:p>
    <w:p w14:paraId="50FFD08A" w14:textId="77777777" w:rsidR="00EF7B6F" w:rsidRDefault="00EF7B6F" w:rsidP="00EF7B6F">
      <w:pPr>
        <w:pStyle w:val="BodyTextMain"/>
      </w:pPr>
    </w:p>
    <w:p w14:paraId="00F01C8C" w14:textId="41BA2DD4" w:rsidR="00EF7B6F" w:rsidRPr="00326874" w:rsidRDefault="00EF7B6F" w:rsidP="009C4748">
      <w:pPr>
        <w:pStyle w:val="Casehead1"/>
        <w:outlineLvl w:val="0"/>
        <w:rPr>
          <w:rFonts w:eastAsiaTheme="minorHAnsi"/>
        </w:rPr>
      </w:pPr>
      <w:r w:rsidRPr="00326874">
        <w:rPr>
          <w:rFonts w:eastAsiaTheme="minorHAnsi"/>
        </w:rPr>
        <w:t>About Loblaw</w:t>
      </w:r>
      <w:r w:rsidR="00654A51">
        <w:rPr>
          <w:rFonts w:eastAsiaTheme="minorHAnsi"/>
        </w:rPr>
        <w:t xml:space="preserve"> (</w:t>
      </w:r>
      <w:r w:rsidR="00DD26D2">
        <w:rPr>
          <w:rFonts w:eastAsiaTheme="minorHAnsi"/>
        </w:rPr>
        <w:t xml:space="preserve">see </w:t>
      </w:r>
      <w:r w:rsidR="00654A51">
        <w:rPr>
          <w:rFonts w:eastAsiaTheme="minorHAnsi"/>
        </w:rPr>
        <w:t>Exhibit 1)</w:t>
      </w:r>
    </w:p>
    <w:p w14:paraId="1683D53E" w14:textId="77777777" w:rsidR="00EF7B6F" w:rsidRDefault="00EF7B6F" w:rsidP="00EF7B6F">
      <w:pPr>
        <w:pStyle w:val="BodyTextMain"/>
      </w:pPr>
    </w:p>
    <w:p w14:paraId="5A986FB5" w14:textId="2B7A7249" w:rsidR="00EF7B6F" w:rsidRDefault="00EF7B6F" w:rsidP="00EF7B6F">
      <w:pPr>
        <w:pStyle w:val="BodyTextMain"/>
      </w:pPr>
      <w:r>
        <w:t>Loblaw was a subsidiary of George Weston Limited, the owner of such food and retail brands as Wonder Bread and Holt Renfrew.</w:t>
      </w:r>
      <w:r>
        <w:rPr>
          <w:vertAlign w:val="superscript"/>
        </w:rPr>
        <w:endnoteReference w:id="5"/>
      </w:r>
      <w:r>
        <w:rPr>
          <w:vertAlign w:val="superscript"/>
        </w:rPr>
        <w:t xml:space="preserve"> </w:t>
      </w:r>
      <w:r>
        <w:t xml:space="preserve">Based in Brampton, Ontario, Loblaw was Canada’s largest food retailer, with annual revenues of </w:t>
      </w:r>
      <w:r w:rsidR="008613B6">
        <w:t>CA</w:t>
      </w:r>
      <w:r>
        <w:t>$45 billion</w:t>
      </w:r>
      <w:r>
        <w:rPr>
          <w:vertAlign w:val="superscript"/>
        </w:rPr>
        <w:endnoteReference w:id="6"/>
      </w:r>
      <w:r>
        <w:t xml:space="preserve"> in 591 corporate stores and 525 franchised stores across Canada</w:t>
      </w:r>
      <w:r w:rsidR="00654A51">
        <w:t xml:space="preserve"> (see Exhibit 2)</w:t>
      </w:r>
      <w:r>
        <w:t>.</w:t>
      </w:r>
      <w:r>
        <w:rPr>
          <w:vertAlign w:val="superscript"/>
        </w:rPr>
        <w:endnoteReference w:id="7"/>
      </w:r>
      <w:r>
        <w:t xml:space="preserve"> Apart from its flagship Loblaws Great Foods stores, Loblaw managed the Real Canadian Superstore (large format</w:t>
      </w:r>
      <w:r w:rsidR="00DD2905">
        <w:t xml:space="preserve"> supermarket</w:t>
      </w:r>
      <w:r>
        <w:t>), No Frills (discount</w:t>
      </w:r>
      <w:r w:rsidR="00DD2905">
        <w:t xml:space="preserve"> supermarket</w:t>
      </w:r>
      <w:r>
        <w:t>)</w:t>
      </w:r>
      <w:r w:rsidR="008613B6">
        <w:t>,</w:t>
      </w:r>
      <w:r>
        <w:t xml:space="preserve"> and T</w:t>
      </w:r>
      <w:r w:rsidR="00C41FF4">
        <w:t xml:space="preserve"> </w:t>
      </w:r>
      <w:r>
        <w:t>&amp;</w:t>
      </w:r>
      <w:r w:rsidR="00C41FF4">
        <w:t xml:space="preserve"> </w:t>
      </w:r>
      <w:r>
        <w:t>T Supermarket (ethnic</w:t>
      </w:r>
      <w:r w:rsidR="00DD2905">
        <w:t xml:space="preserve"> supermarket</w:t>
      </w:r>
      <w:r>
        <w:t>),</w:t>
      </w:r>
      <w:r>
        <w:rPr>
          <w:vertAlign w:val="superscript"/>
        </w:rPr>
        <w:endnoteReference w:id="8"/>
      </w:r>
      <w:r>
        <w:t xml:space="preserve"> among other banners. Further, in 2013, the company acquired Shoppers Drug Mart’s (Shoppers) 1,242 drugstores for $12.4 billion, beginning </w:t>
      </w:r>
      <w:r w:rsidR="004C0C6A">
        <w:t xml:space="preserve">Loblaw’s </w:t>
      </w:r>
      <w:r>
        <w:t>foray into the pharmaceutical industry.</w:t>
      </w:r>
      <w:r>
        <w:rPr>
          <w:vertAlign w:val="superscript"/>
        </w:rPr>
        <w:endnoteReference w:id="9"/>
      </w:r>
      <w:r>
        <w:t xml:space="preserve"> </w:t>
      </w:r>
    </w:p>
    <w:p w14:paraId="25026356" w14:textId="77777777" w:rsidR="00EF7B6F" w:rsidRDefault="00EF7B6F" w:rsidP="00EF7B6F">
      <w:pPr>
        <w:pStyle w:val="BodyTextMain"/>
      </w:pPr>
    </w:p>
    <w:p w14:paraId="67A99DAD" w14:textId="77777777" w:rsidR="00EF7B6F" w:rsidRDefault="00EF7B6F" w:rsidP="00EF7B6F">
      <w:pPr>
        <w:pStyle w:val="BodyTextMain"/>
      </w:pPr>
    </w:p>
    <w:p w14:paraId="7112E1F7" w14:textId="77777777" w:rsidR="00EF7B6F" w:rsidRPr="00326874" w:rsidRDefault="00EF7B6F" w:rsidP="00FD6CFB">
      <w:pPr>
        <w:pStyle w:val="Casehead1"/>
        <w:rPr>
          <w:rFonts w:eastAsiaTheme="minorHAnsi"/>
        </w:rPr>
      </w:pPr>
      <w:r w:rsidRPr="00326874">
        <w:rPr>
          <w:rFonts w:eastAsiaTheme="minorHAnsi"/>
        </w:rPr>
        <w:t>Humble beginnings</w:t>
      </w:r>
    </w:p>
    <w:p w14:paraId="7C73C50D" w14:textId="77777777" w:rsidR="00EF7B6F" w:rsidRDefault="00EF7B6F" w:rsidP="00EF7B6F">
      <w:pPr>
        <w:pStyle w:val="BodyTextMain"/>
      </w:pPr>
    </w:p>
    <w:p w14:paraId="005B7B8A" w14:textId="137F16FD" w:rsidR="00EF7B6F" w:rsidRDefault="00EF7B6F" w:rsidP="00EF7B6F">
      <w:pPr>
        <w:pStyle w:val="BodyTextMain"/>
      </w:pPr>
      <w:r>
        <w:t xml:space="preserve">Theodore Loblaw opened the first </w:t>
      </w:r>
      <w:r w:rsidRPr="007300EB">
        <w:t>Loblaw</w:t>
      </w:r>
      <w:r>
        <w:t xml:space="preserve"> </w:t>
      </w:r>
      <w:r w:rsidR="00DD2905">
        <w:rPr>
          <w:i/>
        </w:rPr>
        <w:t>g</w:t>
      </w:r>
      <w:r>
        <w:rPr>
          <w:i/>
        </w:rPr>
        <w:t>roceterias</w:t>
      </w:r>
      <w:r>
        <w:t xml:space="preserve"> (self-serve grocery store) in Toronto in 1919. Predicated on a “cash-and-carry” concept, Loblaw was a venue for buying quality products in bulk at low prices. Shortly after, the company expanded to 70 stores in Ontario and ventured south of the border</w:t>
      </w:r>
      <w:r w:rsidR="00704BBD">
        <w:t>,</w:t>
      </w:r>
      <w:r>
        <w:t xml:space="preserve"> to New York and Illinois. Loblaw’s fast-paced growth encouraged W. Garfield Weston, president of George Weston Limited, to invest heavily in the company during its early years. By the 1950s, the Weston family held a controlling stake</w:t>
      </w:r>
      <w:r w:rsidR="004C0C6A">
        <w:t xml:space="preserve"> in Loblaw</w:t>
      </w:r>
      <w:r>
        <w:t>.</w:t>
      </w:r>
      <w:r w:rsidR="00BD40F5">
        <w:rPr>
          <w:rStyle w:val="EndnoteReference"/>
        </w:rPr>
        <w:endnoteReference w:id="10"/>
      </w:r>
    </w:p>
    <w:p w14:paraId="1AC6B249" w14:textId="2E8CD2D7" w:rsidR="00DE09B6" w:rsidRDefault="00EF7B6F" w:rsidP="00EF7B6F">
      <w:pPr>
        <w:pStyle w:val="BodyTextMain"/>
        <w:rPr>
          <w:spacing w:val="-2"/>
        </w:rPr>
      </w:pPr>
      <w:r w:rsidRPr="00821079">
        <w:rPr>
          <w:spacing w:val="-2"/>
        </w:rPr>
        <w:lastRenderedPageBreak/>
        <w:t>After decades of prosperity, a turn of events left the company nearly bankrupt in 1971.</w:t>
      </w:r>
      <w:r w:rsidRPr="00821079">
        <w:rPr>
          <w:spacing w:val="-2"/>
          <w:vertAlign w:val="superscript"/>
        </w:rPr>
        <w:endnoteReference w:id="11"/>
      </w:r>
      <w:r w:rsidRPr="00821079">
        <w:rPr>
          <w:spacing w:val="-2"/>
        </w:rPr>
        <w:t xml:space="preserve"> Galen Weston Sr., the grandson of George Weston</w:t>
      </w:r>
      <w:r w:rsidR="00BB4111" w:rsidRPr="00821079">
        <w:rPr>
          <w:spacing w:val="-2"/>
        </w:rPr>
        <w:t>, founder of George Weston Limited</w:t>
      </w:r>
      <w:r w:rsidRPr="00821079">
        <w:rPr>
          <w:spacing w:val="-2"/>
        </w:rPr>
        <w:t>,</w:t>
      </w:r>
      <w:r w:rsidR="00BB4111" w:rsidRPr="00821079">
        <w:rPr>
          <w:rStyle w:val="EndnoteReference"/>
          <w:spacing w:val="-2"/>
        </w:rPr>
        <w:endnoteReference w:id="12"/>
      </w:r>
      <w:r w:rsidRPr="00821079">
        <w:rPr>
          <w:spacing w:val="-2"/>
        </w:rPr>
        <w:t xml:space="preserve"> scaled back </w:t>
      </w:r>
      <w:r w:rsidR="00DE09B6">
        <w:rPr>
          <w:spacing w:val="-2"/>
        </w:rPr>
        <w:t xml:space="preserve">Loblaw’s </w:t>
      </w:r>
      <w:r w:rsidRPr="00821079">
        <w:rPr>
          <w:spacing w:val="-2"/>
        </w:rPr>
        <w:t xml:space="preserve">growth and streamlined operations through a multi-tiered strategy that involved (1) cutting 100 underperforming stores (out of 200 </w:t>
      </w:r>
      <w:r w:rsidR="00704BBD" w:rsidRPr="00821079">
        <w:rPr>
          <w:spacing w:val="-2"/>
        </w:rPr>
        <w:t xml:space="preserve">total </w:t>
      </w:r>
      <w:r w:rsidRPr="00821079">
        <w:rPr>
          <w:spacing w:val="-2"/>
        </w:rPr>
        <w:t>stores)</w:t>
      </w:r>
      <w:r w:rsidR="00DE09B6">
        <w:rPr>
          <w:spacing w:val="-2"/>
        </w:rPr>
        <w:t>;</w:t>
      </w:r>
      <w:r w:rsidRPr="00821079">
        <w:rPr>
          <w:spacing w:val="-2"/>
        </w:rPr>
        <w:t xml:space="preserve"> (2) hiring marketing expert Dave Nichol as president</w:t>
      </w:r>
      <w:r w:rsidR="00DE09B6">
        <w:rPr>
          <w:spacing w:val="-2"/>
        </w:rPr>
        <w:t>;</w:t>
      </w:r>
      <w:r w:rsidRPr="00821079">
        <w:rPr>
          <w:spacing w:val="-2"/>
        </w:rPr>
        <w:t xml:space="preserve"> (3) divesting non-core assets</w:t>
      </w:r>
      <w:r w:rsidR="00DE09B6">
        <w:rPr>
          <w:spacing w:val="-2"/>
        </w:rPr>
        <w:t>;</w:t>
      </w:r>
      <w:r w:rsidRPr="00821079">
        <w:rPr>
          <w:spacing w:val="-2"/>
        </w:rPr>
        <w:t xml:space="preserve"> (4) remode</w:t>
      </w:r>
      <w:r w:rsidR="00704BBD" w:rsidRPr="00821079">
        <w:rPr>
          <w:spacing w:val="-2"/>
        </w:rPr>
        <w:t>l</w:t>
      </w:r>
      <w:r w:rsidRPr="00821079">
        <w:rPr>
          <w:spacing w:val="-2"/>
        </w:rPr>
        <w:t>ling storefronts</w:t>
      </w:r>
      <w:r w:rsidR="00DE09B6">
        <w:rPr>
          <w:spacing w:val="-2"/>
        </w:rPr>
        <w:t>;</w:t>
      </w:r>
      <w:r w:rsidRPr="00821079">
        <w:rPr>
          <w:spacing w:val="-2"/>
        </w:rPr>
        <w:t xml:space="preserve"> (5) investing aggressively in advertising (</w:t>
      </w:r>
      <w:r w:rsidRPr="00821079">
        <w:rPr>
          <w:i/>
          <w:spacing w:val="-2"/>
        </w:rPr>
        <w:t>Star Trek</w:t>
      </w:r>
      <w:r w:rsidRPr="00821079">
        <w:rPr>
          <w:spacing w:val="-2"/>
        </w:rPr>
        <w:t xml:space="preserve"> actor William Shatner appeared in the 1978 ad</w:t>
      </w:r>
      <w:r w:rsidR="00704BBD" w:rsidRPr="00821079">
        <w:rPr>
          <w:spacing w:val="-2"/>
        </w:rPr>
        <w:t>vertisement</w:t>
      </w:r>
      <w:r w:rsidRPr="00821079">
        <w:rPr>
          <w:spacing w:val="-2"/>
        </w:rPr>
        <w:t>s)</w:t>
      </w:r>
      <w:r w:rsidR="00DE09B6">
        <w:rPr>
          <w:spacing w:val="-2"/>
        </w:rPr>
        <w:t>;</w:t>
      </w:r>
      <w:r w:rsidRPr="00821079">
        <w:rPr>
          <w:spacing w:val="-2"/>
          <w:vertAlign w:val="superscript"/>
        </w:rPr>
        <w:endnoteReference w:id="13"/>
      </w:r>
      <w:r w:rsidRPr="00821079">
        <w:rPr>
          <w:spacing w:val="-2"/>
        </w:rPr>
        <w:t xml:space="preserve"> and (6) diverting the company’s focus away from the U.S. market.</w:t>
      </w:r>
      <w:r w:rsidRPr="00821079">
        <w:rPr>
          <w:spacing w:val="-2"/>
          <w:vertAlign w:val="superscript"/>
        </w:rPr>
        <w:endnoteReference w:id="14"/>
      </w:r>
      <w:r w:rsidRPr="00821079">
        <w:rPr>
          <w:spacing w:val="-2"/>
        </w:rPr>
        <w:t xml:space="preserve"> Another key initiative was the introduction </w:t>
      </w:r>
      <w:r w:rsidR="00A6492A" w:rsidRPr="00821079">
        <w:rPr>
          <w:spacing w:val="-2"/>
        </w:rPr>
        <w:t xml:space="preserve">in March 1978 </w:t>
      </w:r>
      <w:r w:rsidRPr="00821079">
        <w:rPr>
          <w:spacing w:val="-2"/>
        </w:rPr>
        <w:t xml:space="preserve">of the </w:t>
      </w:r>
      <w:r w:rsidR="0000434D" w:rsidRPr="00821079">
        <w:rPr>
          <w:spacing w:val="-2"/>
        </w:rPr>
        <w:t>“</w:t>
      </w:r>
      <w:r w:rsidR="00704BBD" w:rsidRPr="00821079">
        <w:rPr>
          <w:spacing w:val="-2"/>
        </w:rPr>
        <w:t>n</w:t>
      </w:r>
      <w:r w:rsidRPr="00821079">
        <w:rPr>
          <w:spacing w:val="-2"/>
        </w:rPr>
        <w:t xml:space="preserve">o </w:t>
      </w:r>
      <w:r w:rsidR="00704BBD" w:rsidRPr="00821079">
        <w:rPr>
          <w:spacing w:val="-2"/>
        </w:rPr>
        <w:t>n</w:t>
      </w:r>
      <w:r w:rsidRPr="00821079">
        <w:rPr>
          <w:spacing w:val="-2"/>
        </w:rPr>
        <w:t>ame</w:t>
      </w:r>
      <w:r w:rsidR="0000434D" w:rsidRPr="00821079">
        <w:rPr>
          <w:spacing w:val="-2"/>
        </w:rPr>
        <w:t>”</w:t>
      </w:r>
      <w:r w:rsidRPr="00821079">
        <w:rPr>
          <w:spacing w:val="-2"/>
        </w:rPr>
        <w:t xml:space="preserve"> brand, a line of basic household products that were steeply discounted by 10</w:t>
      </w:r>
      <w:r w:rsidR="00704BBD" w:rsidRPr="00821079">
        <w:rPr>
          <w:spacing w:val="-2"/>
        </w:rPr>
        <w:t xml:space="preserve"> </w:t>
      </w:r>
      <w:r w:rsidRPr="00821079">
        <w:rPr>
          <w:spacing w:val="-2"/>
        </w:rPr>
        <w:t>to 40</w:t>
      </w:r>
      <w:r w:rsidR="00704BBD" w:rsidRPr="00821079">
        <w:rPr>
          <w:spacing w:val="-2"/>
        </w:rPr>
        <w:t xml:space="preserve"> per cent</w:t>
      </w:r>
      <w:r w:rsidRPr="00821079">
        <w:rPr>
          <w:spacing w:val="-2"/>
        </w:rPr>
        <w:t xml:space="preserve"> relative to market prices</w:t>
      </w:r>
      <w:r w:rsidRPr="00821079">
        <w:rPr>
          <w:spacing w:val="-2"/>
          <w:vertAlign w:val="superscript"/>
        </w:rPr>
        <w:endnoteReference w:id="15"/>
      </w:r>
      <w:r w:rsidRPr="00821079">
        <w:rPr>
          <w:spacing w:val="-2"/>
        </w:rPr>
        <w:t xml:space="preserve"> and </w:t>
      </w:r>
      <w:r w:rsidR="00A6492A" w:rsidRPr="00821079">
        <w:rPr>
          <w:spacing w:val="-2"/>
        </w:rPr>
        <w:t xml:space="preserve">that </w:t>
      </w:r>
      <w:r w:rsidRPr="00821079">
        <w:rPr>
          <w:spacing w:val="-2"/>
        </w:rPr>
        <w:t xml:space="preserve">quickly became popular among price-sensitive consumers. Months later, No Frills, Loblaw’s deep discount outlet, was born. </w:t>
      </w:r>
    </w:p>
    <w:p w14:paraId="7C3B8C3A" w14:textId="77777777" w:rsidR="00DE09B6" w:rsidRDefault="00DE09B6" w:rsidP="00EF7B6F">
      <w:pPr>
        <w:pStyle w:val="BodyTextMain"/>
        <w:rPr>
          <w:spacing w:val="-2"/>
        </w:rPr>
      </w:pPr>
    </w:p>
    <w:p w14:paraId="30884C92" w14:textId="329C52C0" w:rsidR="00DE0392" w:rsidRDefault="00EF7B6F" w:rsidP="00EF7B6F">
      <w:pPr>
        <w:pStyle w:val="BodyTextMain"/>
        <w:rPr>
          <w:spacing w:val="-2"/>
        </w:rPr>
      </w:pPr>
      <w:r w:rsidRPr="00821079">
        <w:rPr>
          <w:spacing w:val="-2"/>
        </w:rPr>
        <w:t>By 1980, Loblaw had returned to profitability, and five years later</w:t>
      </w:r>
      <w:r w:rsidR="00A6492A" w:rsidRPr="00821079">
        <w:rPr>
          <w:spacing w:val="-2"/>
        </w:rPr>
        <w:t>,</w:t>
      </w:r>
      <w:r w:rsidRPr="00821079">
        <w:rPr>
          <w:spacing w:val="-2"/>
        </w:rPr>
        <w:t xml:space="preserve"> it stood as Canada’s grocery market leader. In the following decade, Loblaw’s private label, President’s Choice (PC), was available in 1,200 stores in 34 U.S. states. Loblaw even supplied products for </w:t>
      </w:r>
      <w:r w:rsidR="00056B0B">
        <w:rPr>
          <w:spacing w:val="-2"/>
        </w:rPr>
        <w:t>Wal-Mart Stores, Inc. (</w:t>
      </w:r>
      <w:r w:rsidRPr="00821079">
        <w:rPr>
          <w:spacing w:val="-2"/>
        </w:rPr>
        <w:t>Walmart</w:t>
      </w:r>
      <w:r w:rsidR="00056B0B">
        <w:rPr>
          <w:spacing w:val="-2"/>
        </w:rPr>
        <w:t>)</w:t>
      </w:r>
      <w:r w:rsidRPr="00821079">
        <w:rPr>
          <w:spacing w:val="-2"/>
        </w:rPr>
        <w:t xml:space="preserve"> under the name Sam’s Choice before the latter grew its Canadian presence and the relationship deteriorated as the two became competitors.</w:t>
      </w:r>
      <w:r w:rsidR="00BD40F5" w:rsidRPr="00821079">
        <w:rPr>
          <w:spacing w:val="-2"/>
          <w:vertAlign w:val="superscript"/>
        </w:rPr>
        <w:endnoteReference w:id="16"/>
      </w:r>
      <w:r w:rsidRPr="00821079">
        <w:rPr>
          <w:spacing w:val="-2"/>
        </w:rPr>
        <w:t xml:space="preserve"> </w:t>
      </w:r>
    </w:p>
    <w:p w14:paraId="0ADE8610" w14:textId="77777777" w:rsidR="00DE0392" w:rsidRDefault="00DE0392" w:rsidP="00EF7B6F">
      <w:pPr>
        <w:pStyle w:val="BodyTextMain"/>
        <w:rPr>
          <w:spacing w:val="-2"/>
        </w:rPr>
      </w:pPr>
    </w:p>
    <w:p w14:paraId="7E1CA712" w14:textId="33D42348" w:rsidR="00EF7B6F" w:rsidRPr="00821079" w:rsidRDefault="00EF7B6F" w:rsidP="00EF7B6F">
      <w:pPr>
        <w:pStyle w:val="BodyTextMain"/>
        <w:rPr>
          <w:spacing w:val="-2"/>
        </w:rPr>
      </w:pPr>
      <w:r w:rsidRPr="00821079">
        <w:rPr>
          <w:spacing w:val="-2"/>
        </w:rPr>
        <w:t xml:space="preserve">In 2006, Loblaw faced yet another storm when its Loblaws stores posted a $219 million loss. The Weston family’s leadership was instrumental in remedying </w:t>
      </w:r>
      <w:r w:rsidR="00B3265F">
        <w:rPr>
          <w:spacing w:val="-2"/>
        </w:rPr>
        <w:t>the company’s</w:t>
      </w:r>
      <w:r w:rsidRPr="00821079">
        <w:rPr>
          <w:spacing w:val="-2"/>
        </w:rPr>
        <w:t xml:space="preserve"> ills</w:t>
      </w:r>
      <w:r w:rsidR="00DE0392">
        <w:rPr>
          <w:spacing w:val="-2"/>
        </w:rPr>
        <w:t>.</w:t>
      </w:r>
      <w:r w:rsidRPr="00821079">
        <w:rPr>
          <w:spacing w:val="-2"/>
        </w:rPr>
        <w:t xml:space="preserve"> </w:t>
      </w:r>
      <w:r w:rsidR="00B3265F">
        <w:rPr>
          <w:spacing w:val="-2"/>
        </w:rPr>
        <w:t>The family</w:t>
      </w:r>
      <w:r w:rsidR="0000434D" w:rsidRPr="00821079">
        <w:rPr>
          <w:spacing w:val="-2"/>
        </w:rPr>
        <w:t xml:space="preserve"> overhauled </w:t>
      </w:r>
      <w:r w:rsidR="00DE0392">
        <w:rPr>
          <w:spacing w:val="-2"/>
        </w:rPr>
        <w:t>Loblaws</w:t>
      </w:r>
      <w:r w:rsidR="00B3265F">
        <w:rPr>
          <w:spacing w:val="-2"/>
        </w:rPr>
        <w:t>’</w:t>
      </w:r>
      <w:r w:rsidRPr="00821079">
        <w:rPr>
          <w:spacing w:val="-2"/>
        </w:rPr>
        <w:t xml:space="preserve"> organizational structure and distribution systems, and </w:t>
      </w:r>
      <w:r w:rsidR="00B3265F">
        <w:rPr>
          <w:spacing w:val="-2"/>
        </w:rPr>
        <w:t>the stores</w:t>
      </w:r>
      <w:r w:rsidR="00B3265F" w:rsidRPr="00821079">
        <w:rPr>
          <w:spacing w:val="-2"/>
        </w:rPr>
        <w:t xml:space="preserve"> </w:t>
      </w:r>
      <w:r w:rsidRPr="00821079">
        <w:rPr>
          <w:spacing w:val="-2"/>
        </w:rPr>
        <w:t xml:space="preserve">quickly recovered. On September 14, 2016, Weston Jr. ascended to the role of Loblaw’s president, marking the fourth generation of Weston leadership </w:t>
      </w:r>
      <w:r w:rsidR="00A6492A" w:rsidRPr="00821079">
        <w:rPr>
          <w:spacing w:val="-2"/>
        </w:rPr>
        <w:t>at</w:t>
      </w:r>
      <w:r w:rsidRPr="00821079">
        <w:rPr>
          <w:spacing w:val="-2"/>
        </w:rPr>
        <w:t xml:space="preserve"> the company.</w:t>
      </w:r>
      <w:r w:rsidR="00BD40F5" w:rsidRPr="00821079">
        <w:rPr>
          <w:spacing w:val="-2"/>
          <w:vertAlign w:val="superscript"/>
        </w:rPr>
        <w:endnoteReference w:id="17"/>
      </w:r>
    </w:p>
    <w:p w14:paraId="2C4258CC" w14:textId="77777777" w:rsidR="00EF7B6F" w:rsidRDefault="00EF7B6F" w:rsidP="00EF7B6F">
      <w:pPr>
        <w:pStyle w:val="BodyTextMain"/>
      </w:pPr>
    </w:p>
    <w:p w14:paraId="08555C4F" w14:textId="77777777" w:rsidR="00C75F1C" w:rsidRDefault="00C75F1C" w:rsidP="00EF7B6F">
      <w:pPr>
        <w:pStyle w:val="BodyTextMain"/>
      </w:pPr>
    </w:p>
    <w:p w14:paraId="4DC30024" w14:textId="77777777" w:rsidR="00EF7B6F" w:rsidRDefault="00EF7B6F" w:rsidP="00FD6CFB">
      <w:pPr>
        <w:pStyle w:val="Casehead1"/>
      </w:pPr>
      <w:r w:rsidRPr="00326874">
        <w:rPr>
          <w:rFonts w:eastAsiaTheme="minorHAnsi"/>
        </w:rPr>
        <w:t>“Dear, please pick up some milk and a mortgage”</w:t>
      </w:r>
      <w:r>
        <w:rPr>
          <w:vertAlign w:val="superscript"/>
        </w:rPr>
        <w:endnoteReference w:id="18"/>
      </w:r>
    </w:p>
    <w:p w14:paraId="4CE93CD2" w14:textId="77777777" w:rsidR="00EF7B6F" w:rsidRDefault="00EF7B6F" w:rsidP="00EF7B6F">
      <w:pPr>
        <w:pStyle w:val="BodyTextMain"/>
      </w:pPr>
    </w:p>
    <w:p w14:paraId="3D3DECC7" w14:textId="0FB20279" w:rsidR="00C944EB" w:rsidRDefault="00EF7B6F" w:rsidP="00EF7B6F">
      <w:pPr>
        <w:pStyle w:val="BodyTextMain"/>
      </w:pPr>
      <w:r>
        <w:t>The development of P</w:t>
      </w:r>
      <w:r w:rsidR="0000434D">
        <w:t>C</w:t>
      </w:r>
      <w:r>
        <w:t xml:space="preserve"> formed a key advantage for Loblaw in that </w:t>
      </w:r>
      <w:r w:rsidR="00B3265F">
        <w:t xml:space="preserve">PC </w:t>
      </w:r>
      <w:r>
        <w:t>allowed the company to diversify its offerings and</w:t>
      </w:r>
      <w:r w:rsidR="00B3265F">
        <w:t>,</w:t>
      </w:r>
      <w:r>
        <w:t xml:space="preserve"> therefore</w:t>
      </w:r>
      <w:r w:rsidR="00B3265F">
        <w:t>,</w:t>
      </w:r>
      <w:r>
        <w:t xml:space="preserve"> its user base. While the </w:t>
      </w:r>
      <w:r w:rsidR="00A6492A">
        <w:t>n</w:t>
      </w:r>
      <w:r>
        <w:t xml:space="preserve">o </w:t>
      </w:r>
      <w:r w:rsidR="00A6492A">
        <w:t>n</w:t>
      </w:r>
      <w:r>
        <w:t>ame brand spoke to price-sensitive consumers, PC</w:t>
      </w:r>
      <w:r>
        <w:rPr>
          <w:i/>
        </w:rPr>
        <w:t xml:space="preserve"> </w:t>
      </w:r>
      <w:r>
        <w:t>was designed for Canadians at the upper echelons of the income spectrum. The private label first emerged in 1984 after Nichol, then president, introduced “President’s Blend Gourmet Coffee” to Loblaw</w:t>
      </w:r>
      <w:r w:rsidR="0061706C">
        <w:t>’</w:t>
      </w:r>
      <w:r>
        <w:t xml:space="preserve">s shelves and was inspired to start a control label following </w:t>
      </w:r>
      <w:r w:rsidR="0072550B">
        <w:t xml:space="preserve">the coffee’s </w:t>
      </w:r>
      <w:r>
        <w:t>unexpected success.</w:t>
      </w:r>
      <w:r>
        <w:rPr>
          <w:vertAlign w:val="superscript"/>
        </w:rPr>
        <w:endnoteReference w:id="19"/>
      </w:r>
      <w:r>
        <w:t xml:space="preserve"> </w:t>
      </w:r>
    </w:p>
    <w:p w14:paraId="2EB5A061" w14:textId="77777777" w:rsidR="00C944EB" w:rsidRDefault="00C944EB" w:rsidP="00EF7B6F">
      <w:pPr>
        <w:pStyle w:val="BodyTextMain"/>
      </w:pPr>
    </w:p>
    <w:p w14:paraId="2F900DE5" w14:textId="16606F17" w:rsidR="00036AD5" w:rsidRDefault="00EF7B6F" w:rsidP="00EF7B6F">
      <w:pPr>
        <w:pStyle w:val="BodyTextMain"/>
      </w:pPr>
      <w:r>
        <w:t>Nichol leveraged his marketing background to showcase PC</w:t>
      </w:r>
      <w:r>
        <w:rPr>
          <w:i/>
        </w:rPr>
        <w:t xml:space="preserve"> </w:t>
      </w:r>
      <w:r>
        <w:t xml:space="preserve">products through a magazine called </w:t>
      </w:r>
      <w:r w:rsidRPr="000E32C0">
        <w:t>the</w:t>
      </w:r>
      <w:r>
        <w:t xml:space="preserve"> </w:t>
      </w:r>
      <w:r w:rsidRPr="005E765D">
        <w:rPr>
          <w:i/>
        </w:rPr>
        <w:t>Insider’s Report</w:t>
      </w:r>
      <w:r>
        <w:t>, in which he shared his personal experiences with</w:t>
      </w:r>
      <w:r w:rsidR="0072550B">
        <w:t>,</w:t>
      </w:r>
      <w:r>
        <w:t xml:space="preserve"> and endorsements for</w:t>
      </w:r>
      <w:r w:rsidR="0072550B">
        <w:t>,</w:t>
      </w:r>
      <w:r>
        <w:t xml:space="preserve"> PC products. </w:t>
      </w:r>
      <w:r w:rsidRPr="000E32C0">
        <w:t>The</w:t>
      </w:r>
      <w:r w:rsidRPr="005E765D">
        <w:rPr>
          <w:i/>
        </w:rPr>
        <w:t xml:space="preserve"> Insider’s Report </w:t>
      </w:r>
      <w:r>
        <w:t>was widely purchased among Loblaw</w:t>
      </w:r>
      <w:r w:rsidR="00E11740">
        <w:t>’</w:t>
      </w:r>
      <w:r w:rsidR="00C944EB">
        <w:t>s</w:t>
      </w:r>
      <w:r>
        <w:t xml:space="preserve"> customers, likely because its informal, anecdotal advertising format made the PC</w:t>
      </w:r>
      <w:r>
        <w:rPr>
          <w:i/>
        </w:rPr>
        <w:t xml:space="preserve"> </w:t>
      </w:r>
      <w:r>
        <w:t>brand relatable and desirable in the eyes of consumers.</w:t>
      </w:r>
      <w:r>
        <w:rPr>
          <w:vertAlign w:val="superscript"/>
        </w:rPr>
        <w:endnoteReference w:id="20"/>
      </w:r>
      <w:r>
        <w:t xml:space="preserve"> </w:t>
      </w:r>
      <w:r w:rsidR="00036AD5">
        <w:t>Long after Nichol’s departure in 1990,</w:t>
      </w:r>
      <w:r w:rsidR="00036AD5">
        <w:rPr>
          <w:vertAlign w:val="superscript"/>
        </w:rPr>
        <w:endnoteReference w:id="21"/>
      </w:r>
      <w:r w:rsidR="00036AD5">
        <w:t xml:space="preserve"> PC managed to retain its reputation for being a relatable and down-to-earth brand. Weston Jr. himself regularly made appearances in its commercials to promote PC’s products;</w:t>
      </w:r>
      <w:r w:rsidR="00036AD5">
        <w:rPr>
          <w:i/>
        </w:rPr>
        <w:t xml:space="preserve"> </w:t>
      </w:r>
      <w:r w:rsidR="00036AD5">
        <w:t xml:space="preserve">the best known was The Decadent, a chocolate cookie that outsold all Canadian rivals within three </w:t>
      </w:r>
      <w:r w:rsidR="00036AD5" w:rsidRPr="00282E89">
        <w:rPr>
          <w:color w:val="000000" w:themeColor="text1"/>
        </w:rPr>
        <w:t>years of its 19</w:t>
      </w:r>
      <w:r w:rsidR="00036AD5">
        <w:rPr>
          <w:color w:val="000000" w:themeColor="text1"/>
        </w:rPr>
        <w:t>88</w:t>
      </w:r>
      <w:r w:rsidR="00036AD5" w:rsidRPr="00282E89">
        <w:rPr>
          <w:color w:val="000000" w:themeColor="text1"/>
        </w:rPr>
        <w:t xml:space="preserve"> release.</w:t>
      </w:r>
      <w:r w:rsidR="00036AD5" w:rsidRPr="00282E89">
        <w:rPr>
          <w:color w:val="000000" w:themeColor="text1"/>
          <w:vertAlign w:val="superscript"/>
        </w:rPr>
        <w:endnoteReference w:id="22"/>
      </w:r>
    </w:p>
    <w:p w14:paraId="5F996056" w14:textId="77777777" w:rsidR="00036AD5" w:rsidRDefault="00036AD5" w:rsidP="00EF7B6F">
      <w:pPr>
        <w:pStyle w:val="BodyTextMain"/>
      </w:pPr>
    </w:p>
    <w:p w14:paraId="51664916" w14:textId="4471DF89" w:rsidR="004F7926" w:rsidRDefault="00EF7B6F" w:rsidP="00EF7B6F">
      <w:pPr>
        <w:pStyle w:val="BodyTextMain"/>
      </w:pPr>
      <w:r w:rsidRPr="00060613">
        <w:t>The P</w:t>
      </w:r>
      <w:r w:rsidR="0000434D">
        <w:t>C</w:t>
      </w:r>
      <w:r w:rsidRPr="00060613">
        <w:rPr>
          <w:i/>
        </w:rPr>
        <w:t xml:space="preserve"> </w:t>
      </w:r>
      <w:r w:rsidRPr="00060613">
        <w:t xml:space="preserve">name </w:t>
      </w:r>
      <w:r>
        <w:t>was</w:t>
      </w:r>
      <w:r w:rsidRPr="00060613">
        <w:t xml:space="preserve"> eventually </w:t>
      </w:r>
      <w:r w:rsidRPr="008F068F">
        <w:t>tied to Loblaw’s attempts to penetrate new niche markets, including but</w:t>
      </w:r>
      <w:r w:rsidRPr="00060613">
        <w:t xml:space="preserve"> not limited to organic products, baby food</w:t>
      </w:r>
      <w:r w:rsidR="000E32C0">
        <w:t>,</w:t>
      </w:r>
      <w:r w:rsidRPr="00060613">
        <w:t xml:space="preserve"> and banking/insurance services.</w:t>
      </w:r>
      <w:r>
        <w:t xml:space="preserve"> These diverse services sought to serve the vibrant Canadian population, which was characterized by rising household incomes.</w:t>
      </w:r>
      <w:r>
        <w:rPr>
          <w:vertAlign w:val="superscript"/>
        </w:rPr>
        <w:endnoteReference w:id="23"/>
      </w:r>
      <w:r>
        <w:t xml:space="preserve"> </w:t>
      </w:r>
    </w:p>
    <w:p w14:paraId="38918C80" w14:textId="77777777" w:rsidR="004F7926" w:rsidRDefault="004F7926" w:rsidP="00EF7B6F">
      <w:pPr>
        <w:pStyle w:val="BodyTextMain"/>
      </w:pPr>
    </w:p>
    <w:p w14:paraId="133B4884" w14:textId="6E3E25EF" w:rsidR="00EF7B6F" w:rsidRDefault="00EF7B6F" w:rsidP="00EF7B6F">
      <w:pPr>
        <w:pStyle w:val="BodyTextMain"/>
      </w:pPr>
      <w:r>
        <w:t>In 2006, Loblaw distinguished itself by unveiling a feature on the PC website (</w:t>
      </w:r>
      <w:r w:rsidR="00B45C0F">
        <w:t>p</w:t>
      </w:r>
      <w:r>
        <w:t xml:space="preserve">residentschoice.ca) </w:t>
      </w:r>
      <w:r w:rsidR="00B45C0F">
        <w:t>that</w:t>
      </w:r>
      <w:r>
        <w:t xml:space="preserve"> allowed consumers to rate and review products, </w:t>
      </w:r>
      <w:r w:rsidRPr="00B068D5">
        <w:t>enabling feedback generation for</w:t>
      </w:r>
      <w:r>
        <w:t xml:space="preserve"> both improving existing products and developing new ones. This move established the company as one of the first major grocery brands to integrate consumer-generated content into its website</w:t>
      </w:r>
      <w:r w:rsidR="00CF6551">
        <w:t>,</w:t>
      </w:r>
      <w:r>
        <w:t xml:space="preserve"> and signified Loblaw’s continued commitment to adopting a consumer-centric orientation.</w:t>
      </w:r>
      <w:r w:rsidR="00BD40F5">
        <w:rPr>
          <w:vertAlign w:val="superscript"/>
        </w:rPr>
        <w:endnoteReference w:id="24"/>
      </w:r>
    </w:p>
    <w:p w14:paraId="6459AB38" w14:textId="77777777" w:rsidR="00EF7B6F" w:rsidRDefault="00EF7B6F" w:rsidP="00EF7B6F">
      <w:pPr>
        <w:pStyle w:val="BodyTextMain"/>
        <w:rPr>
          <w:highlight w:val="yellow"/>
        </w:rPr>
      </w:pPr>
    </w:p>
    <w:p w14:paraId="5F0A772E" w14:textId="1BDF4314" w:rsidR="00EF7B6F" w:rsidRDefault="00EF7B6F" w:rsidP="00EF7B6F">
      <w:pPr>
        <w:pStyle w:val="BodyTextMain"/>
      </w:pPr>
      <w:r>
        <w:lastRenderedPageBreak/>
        <w:t>As part of its later ventures into the digital arena, Loblaw decided to leverage the popularity of its PC brand to launch the PC Plus loyalty program in 44 stores in May 2013.</w:t>
      </w:r>
      <w:r>
        <w:rPr>
          <w:vertAlign w:val="superscript"/>
        </w:rPr>
        <w:endnoteReference w:id="25"/>
      </w:r>
      <w:r>
        <w:t xml:space="preserve"> At its core, PC Plus was a mobile rewards system that offer</w:t>
      </w:r>
      <w:r w:rsidR="00B45C0F">
        <w:t>ed</w:t>
      </w:r>
      <w:r>
        <w:t xml:space="preserve"> customized deals to shoppers on a weekly basis by analyzing patterns in their buying habits.</w:t>
      </w:r>
      <w:r>
        <w:rPr>
          <w:vertAlign w:val="superscript"/>
        </w:rPr>
        <w:endnoteReference w:id="26"/>
      </w:r>
      <w:r>
        <w:rPr>
          <w:vertAlign w:val="superscript"/>
        </w:rPr>
        <w:t xml:space="preserve"> </w:t>
      </w:r>
      <w:r>
        <w:t xml:space="preserve">The year also marked the announcement of the Shoppers acquisition, through which Loblaw inherited the Shoppers Optimum loyalty program, which had managed to reach one in every three Canadians since its debut in 2000. By November 2013, the PC Plus program was rolled out nationwide. Within nine months of its introduction, PC Plus </w:t>
      </w:r>
      <w:r w:rsidR="00B45C0F">
        <w:t xml:space="preserve">had </w:t>
      </w:r>
      <w:r>
        <w:t xml:space="preserve">recorded a total of </w:t>
      </w:r>
      <w:r w:rsidR="00B45C0F">
        <w:t>6</w:t>
      </w:r>
      <w:r>
        <w:t xml:space="preserve"> million members and several hundred million dollars of revenue.</w:t>
      </w:r>
      <w:r w:rsidR="00BD40F5">
        <w:rPr>
          <w:vertAlign w:val="superscript"/>
        </w:rPr>
        <w:endnoteReference w:id="27"/>
      </w:r>
    </w:p>
    <w:p w14:paraId="2F8B18DF" w14:textId="77777777" w:rsidR="00EF7B6F" w:rsidRPr="00C75F1C" w:rsidRDefault="00EF7B6F" w:rsidP="00C75F1C">
      <w:pPr>
        <w:pStyle w:val="BodyTextMain"/>
      </w:pPr>
    </w:p>
    <w:p w14:paraId="0645F1D7" w14:textId="77777777" w:rsidR="00C75F1C" w:rsidRPr="00C75F1C" w:rsidRDefault="00C75F1C" w:rsidP="00C75F1C">
      <w:pPr>
        <w:pStyle w:val="BodyTextMain"/>
      </w:pPr>
    </w:p>
    <w:p w14:paraId="445B7BE1" w14:textId="77777777" w:rsidR="00EF7B6F" w:rsidRPr="00326874" w:rsidRDefault="00EF7B6F" w:rsidP="00891630">
      <w:pPr>
        <w:pStyle w:val="Casehead1"/>
        <w:rPr>
          <w:rFonts w:eastAsiaTheme="minorHAnsi"/>
        </w:rPr>
      </w:pPr>
      <w:r w:rsidRPr="00326874">
        <w:rPr>
          <w:rFonts w:eastAsiaTheme="minorHAnsi"/>
        </w:rPr>
        <w:t xml:space="preserve">Trouble at the top of the food chain </w:t>
      </w:r>
    </w:p>
    <w:p w14:paraId="04AC381D" w14:textId="77777777" w:rsidR="00EF7B6F" w:rsidRDefault="00EF7B6F" w:rsidP="00EF7B6F">
      <w:pPr>
        <w:pStyle w:val="BodyTextMain"/>
      </w:pPr>
    </w:p>
    <w:p w14:paraId="4FF83100" w14:textId="77777777" w:rsidR="00544356" w:rsidRDefault="00EF7B6F" w:rsidP="00EF7B6F">
      <w:pPr>
        <w:pStyle w:val="BodyTextMain"/>
      </w:pPr>
      <w:r>
        <w:t>Although Loblaw’s 30.1</w:t>
      </w:r>
      <w:r w:rsidR="00B45C0F">
        <w:t xml:space="preserve"> per cent</w:t>
      </w:r>
      <w:r>
        <w:t xml:space="preserve"> market share in mid-2016 was a comfortable four points higher than the </w:t>
      </w:r>
      <w:r w:rsidR="00B45C0F">
        <w:t xml:space="preserve">market share of the </w:t>
      </w:r>
      <w:r>
        <w:t xml:space="preserve">next leading competitor, </w:t>
      </w:r>
      <w:r w:rsidR="00B45C0F">
        <w:t xml:space="preserve">food retailer </w:t>
      </w:r>
      <w:r>
        <w:t>Sobeys</w:t>
      </w:r>
      <w:r w:rsidR="00B45C0F">
        <w:t xml:space="preserve"> Inc.</w:t>
      </w:r>
      <w:r w:rsidR="002E517C">
        <w:t xml:space="preserve"> (Sobeys)</w:t>
      </w:r>
      <w:r>
        <w:t xml:space="preserve">, recent market trends were </w:t>
      </w:r>
      <w:r w:rsidR="00B45C0F">
        <w:t xml:space="preserve">not </w:t>
      </w:r>
      <w:r>
        <w:t xml:space="preserve">promising. In the 18 months leading </w:t>
      </w:r>
      <w:r w:rsidR="00B45C0F">
        <w:t xml:space="preserve">up </w:t>
      </w:r>
      <w:r>
        <w:t>to May 2016, food inflation was above 3</w:t>
      </w:r>
      <w:r w:rsidR="00B45C0F">
        <w:t xml:space="preserve"> per cent,</w:t>
      </w:r>
      <w:r>
        <w:t xml:space="preserve"> and the adverse effects </w:t>
      </w:r>
      <w:r w:rsidR="00B45C0F">
        <w:t xml:space="preserve">of this </w:t>
      </w:r>
      <w:r>
        <w:t>on fresh produce were particularly strong.</w:t>
      </w:r>
      <w:r>
        <w:rPr>
          <w:vertAlign w:val="superscript"/>
        </w:rPr>
        <w:endnoteReference w:id="28"/>
      </w:r>
      <w:r>
        <w:t xml:space="preserve"> Retailers’ efforts to protect margins contributed to astronomical price increases </w:t>
      </w:r>
      <w:r w:rsidR="00B45C0F">
        <w:t>on</w:t>
      </w:r>
      <w:r>
        <w:t xml:space="preserve"> the shelf (notably, a price of $10 per head </w:t>
      </w:r>
      <w:r w:rsidR="00B45C0F">
        <w:t>for</w:t>
      </w:r>
      <w:r>
        <w:t xml:space="preserve"> cauliflower).</w:t>
      </w:r>
      <w:r>
        <w:rPr>
          <w:vertAlign w:val="superscript"/>
        </w:rPr>
        <w:endnoteReference w:id="29"/>
      </w:r>
      <w:r>
        <w:t xml:space="preserve"> Weston Jr. assured consumers that inflationary pressures would soon desist,</w:t>
      </w:r>
      <w:r>
        <w:rPr>
          <w:vertAlign w:val="superscript"/>
        </w:rPr>
        <w:endnoteReference w:id="30"/>
      </w:r>
      <w:r>
        <w:t xml:space="preserve"> yet market researchers claimed otherwise. </w:t>
      </w:r>
    </w:p>
    <w:p w14:paraId="6F43F34E" w14:textId="77777777" w:rsidR="00544356" w:rsidRDefault="00544356" w:rsidP="00EF7B6F">
      <w:pPr>
        <w:pStyle w:val="BodyTextMain"/>
      </w:pPr>
    </w:p>
    <w:p w14:paraId="1CD9EBDA" w14:textId="77777777" w:rsidR="00544356" w:rsidRDefault="00EF7B6F" w:rsidP="00EF7B6F">
      <w:pPr>
        <w:pStyle w:val="BodyTextMain"/>
      </w:pPr>
      <w:r>
        <w:t>Although July 2016 saw inflation soften to 1.3</w:t>
      </w:r>
      <w:r w:rsidR="00B45C0F">
        <w:t xml:space="preserve"> per cent</w:t>
      </w:r>
      <w:r>
        <w:t>, IBISWorld’s predictions set 2017 inflation to exceed 1.9</w:t>
      </w:r>
      <w:r w:rsidR="00B45C0F">
        <w:t xml:space="preserve"> per cent</w:t>
      </w:r>
      <w:r>
        <w:t>, 30 basis points higher than the projected increase in total grocery revenue in Canada.</w:t>
      </w:r>
      <w:r>
        <w:rPr>
          <w:vertAlign w:val="superscript"/>
        </w:rPr>
        <w:endnoteReference w:id="31"/>
      </w:r>
      <w:r>
        <w:t xml:space="preserve"> In comparison, </w:t>
      </w:r>
      <w:r w:rsidR="00B45C0F">
        <w:t>the country’s gross domestic product</w:t>
      </w:r>
      <w:r>
        <w:t xml:space="preserve"> was expected to increase at 1.1</w:t>
      </w:r>
      <w:r w:rsidR="00B45C0F">
        <w:t xml:space="preserve"> per cent</w:t>
      </w:r>
      <w:r>
        <w:t>, with 85</w:t>
      </w:r>
      <w:r w:rsidR="00B45C0F">
        <w:t xml:space="preserve"> per cent</w:t>
      </w:r>
      <w:r>
        <w:t xml:space="preserve"> of growth attributable to the provinces of Ontario, Québec, British Columbia</w:t>
      </w:r>
      <w:r w:rsidR="00B45C0F">
        <w:t>,</w:t>
      </w:r>
      <w:r>
        <w:t xml:space="preserve"> and Alberta.</w:t>
      </w:r>
      <w:r>
        <w:rPr>
          <w:vertAlign w:val="superscript"/>
        </w:rPr>
        <w:endnoteReference w:id="32"/>
      </w:r>
      <w:r>
        <w:t xml:space="preserve"> Although the public sector was often the beneficiary of support from </w:t>
      </w:r>
      <w:r w:rsidR="009F4FBC">
        <w:t>Canada’s</w:t>
      </w:r>
      <w:r>
        <w:t xml:space="preserve"> Liberal government in such circumstances, the same could not be said of the private retail sector. </w:t>
      </w:r>
    </w:p>
    <w:p w14:paraId="17C92328" w14:textId="77777777" w:rsidR="00544356" w:rsidRDefault="00544356" w:rsidP="00EF7B6F">
      <w:pPr>
        <w:pStyle w:val="BodyTextMain"/>
      </w:pPr>
    </w:p>
    <w:p w14:paraId="5DF16E0D" w14:textId="61F0F9C4" w:rsidR="00EF7B6F" w:rsidRDefault="00EF7B6F" w:rsidP="00EF7B6F">
      <w:pPr>
        <w:pStyle w:val="BodyTextMain"/>
      </w:pPr>
      <w:r>
        <w:t>Growing consumer frustration eventually prompted Weston Jr. to announce on July 6, 2016,</w:t>
      </w:r>
      <w:r>
        <w:rPr>
          <w:rStyle w:val="EndnoteReference"/>
        </w:rPr>
        <w:endnoteReference w:id="33"/>
      </w:r>
      <w:r>
        <w:t xml:space="preserve"> that Loblaw would “reject any future cost increases from suppliers”</w:t>
      </w:r>
      <w:r>
        <w:rPr>
          <w:rStyle w:val="EndnoteReference"/>
        </w:rPr>
        <w:endnoteReference w:id="34"/>
      </w:r>
      <w:r>
        <w:t xml:space="preserve"> except those related to higher input costs, and </w:t>
      </w:r>
      <w:r w:rsidR="00B45C0F">
        <w:t xml:space="preserve">would </w:t>
      </w:r>
      <w:r>
        <w:t>apply a 1.45</w:t>
      </w:r>
      <w:r w:rsidR="00B45C0F">
        <w:t xml:space="preserve"> per cent</w:t>
      </w:r>
      <w:r>
        <w:t xml:space="preserve"> cost decrease </w:t>
      </w:r>
      <w:r w:rsidR="00B43793">
        <w:t>to</w:t>
      </w:r>
      <w:r>
        <w:t xml:space="preserve"> shipments from September onward. A spokes</w:t>
      </w:r>
      <w:r w:rsidR="00B43793">
        <w:t>person</w:t>
      </w:r>
      <w:r>
        <w:t xml:space="preserve"> mentioned that the move was not meant to be adversarial, but rather was intended to encourage suppliers to share the inflationary burden. Other parties begged to differ, pointing to 2014</w:t>
      </w:r>
      <w:r w:rsidR="00B43793">
        <w:t>,</w:t>
      </w:r>
      <w:r>
        <w:t xml:space="preserve"> </w:t>
      </w:r>
      <w:r w:rsidR="00B43793">
        <w:t>when</w:t>
      </w:r>
      <w:r>
        <w:t xml:space="preserve"> Loblaw was under investigation by the Competition Bureau for 12 files related to its treatment of suppliers.</w:t>
      </w:r>
      <w:r>
        <w:rPr>
          <w:vertAlign w:val="superscript"/>
        </w:rPr>
        <w:endnoteReference w:id="35"/>
      </w:r>
      <w:r>
        <w:t xml:space="preserve"> </w:t>
      </w:r>
    </w:p>
    <w:p w14:paraId="1217C76F" w14:textId="77777777" w:rsidR="00EF7B6F" w:rsidRDefault="00EF7B6F" w:rsidP="00EF7B6F">
      <w:pPr>
        <w:pStyle w:val="BodyTextMain"/>
      </w:pPr>
    </w:p>
    <w:p w14:paraId="354AB794" w14:textId="1A566BB5" w:rsidR="00EF7B6F" w:rsidRDefault="00EF7B6F" w:rsidP="00EF7B6F">
      <w:pPr>
        <w:pStyle w:val="BodyTextMain"/>
      </w:pPr>
      <w:r>
        <w:t xml:space="preserve">Loblaw’s troubles revealed the complex realities of the grocery business. On </w:t>
      </w:r>
      <w:r w:rsidR="00544356">
        <w:t xml:space="preserve">the </w:t>
      </w:r>
      <w:r>
        <w:t xml:space="preserve">one hand, supermarkets knew that fresh produce, household products, and other related items fulfilled fundamental consumer needs, thereby ensuring a steady stream of customers independent of economic conditions. On the other hand, Loblaw recognized that Canadians would only buy so many vegetables or paper towels. </w:t>
      </w:r>
      <w:r w:rsidRPr="003752A8">
        <w:t>Further, Loblaw</w:t>
      </w:r>
      <w:r w:rsidRPr="00880B10">
        <w:t xml:space="preserve"> was</w:t>
      </w:r>
      <w:r w:rsidRPr="003752A8">
        <w:t xml:space="preserve"> hard-pressed to convince a consumer that its standard berries or apples were any sweeter or fresher than those of a low-cost competitor.</w:t>
      </w:r>
    </w:p>
    <w:p w14:paraId="0E7182D5" w14:textId="77777777" w:rsidR="00EF7B6F" w:rsidRDefault="00EF7B6F" w:rsidP="00EF7B6F">
      <w:pPr>
        <w:pStyle w:val="BodyTextMain"/>
      </w:pPr>
    </w:p>
    <w:p w14:paraId="33B4E598" w14:textId="77777777" w:rsidR="00C75F1C" w:rsidRDefault="00C75F1C" w:rsidP="00EF7B6F">
      <w:pPr>
        <w:pStyle w:val="BodyTextMain"/>
      </w:pPr>
    </w:p>
    <w:p w14:paraId="3DD8C53F" w14:textId="2154B05B" w:rsidR="00EF7B6F" w:rsidRPr="00326874" w:rsidRDefault="00EF7B6F" w:rsidP="00FD6CFB">
      <w:pPr>
        <w:pStyle w:val="Casehead1"/>
        <w:rPr>
          <w:rFonts w:eastAsiaTheme="minorHAnsi"/>
        </w:rPr>
      </w:pPr>
      <w:r w:rsidRPr="00326874">
        <w:rPr>
          <w:rFonts w:eastAsiaTheme="minorHAnsi"/>
        </w:rPr>
        <w:t>The Superpowers of the S</w:t>
      </w:r>
      <w:r>
        <w:rPr>
          <w:rFonts w:eastAsiaTheme="minorHAnsi"/>
        </w:rPr>
        <w:t>upermarket INDUSTRY</w:t>
      </w:r>
    </w:p>
    <w:p w14:paraId="4013D13C" w14:textId="77777777" w:rsidR="00EF7B6F" w:rsidRDefault="00EF7B6F" w:rsidP="00EF7B6F">
      <w:pPr>
        <w:pStyle w:val="BodyTextMain"/>
      </w:pPr>
    </w:p>
    <w:p w14:paraId="534ED259" w14:textId="73F12B3E" w:rsidR="00EF7B6F" w:rsidRDefault="00EF7B6F" w:rsidP="00EF7B6F">
      <w:pPr>
        <w:pStyle w:val="BodyTextMain"/>
      </w:pPr>
      <w:r>
        <w:t>Traditionally, the Canadian grocery market was dominated by Loblaw (30.1</w:t>
      </w:r>
      <w:r w:rsidR="002E517C">
        <w:t xml:space="preserve"> per cent</w:t>
      </w:r>
      <w:r>
        <w:t>), alongside key rivals Sobeys (26.1</w:t>
      </w:r>
      <w:r w:rsidR="002E517C">
        <w:t xml:space="preserve"> per cent</w:t>
      </w:r>
      <w:r>
        <w:t>) and Metro</w:t>
      </w:r>
      <w:r w:rsidR="002E517C">
        <w:t xml:space="preserve"> Inc.</w:t>
      </w:r>
      <w:r>
        <w:t xml:space="preserve"> </w:t>
      </w:r>
      <w:r w:rsidR="002E517C">
        <w:t xml:space="preserve">(Metro) </w:t>
      </w:r>
      <w:r>
        <w:t>(10.6</w:t>
      </w:r>
      <w:r w:rsidR="002E517C">
        <w:t xml:space="preserve"> per cent</w:t>
      </w:r>
      <w:r>
        <w:t xml:space="preserve">). </w:t>
      </w:r>
    </w:p>
    <w:p w14:paraId="11E87B39" w14:textId="77777777" w:rsidR="00EF7B6F" w:rsidRDefault="00EF7B6F" w:rsidP="00C75F1C">
      <w:pPr>
        <w:pStyle w:val="BodyTextMain"/>
      </w:pPr>
    </w:p>
    <w:p w14:paraId="677CB5A4" w14:textId="77777777" w:rsidR="009F4FBC" w:rsidRPr="00C75F1C" w:rsidRDefault="009F4FBC" w:rsidP="00C75F1C">
      <w:pPr>
        <w:pStyle w:val="BodyTextMain"/>
      </w:pPr>
    </w:p>
    <w:p w14:paraId="1ECBF9D9" w14:textId="0395DBF5" w:rsidR="00EF7B6F" w:rsidRPr="00717346" w:rsidRDefault="00EF7B6F" w:rsidP="00FD6CFB">
      <w:pPr>
        <w:pStyle w:val="Casehead2"/>
        <w:keepNext/>
        <w:outlineLvl w:val="0"/>
        <w:rPr>
          <w:rFonts w:eastAsiaTheme="minorHAnsi"/>
        </w:rPr>
      </w:pPr>
      <w:r w:rsidRPr="00717346">
        <w:rPr>
          <w:rFonts w:eastAsiaTheme="minorHAnsi"/>
        </w:rPr>
        <w:lastRenderedPageBreak/>
        <w:t xml:space="preserve">Sobeys </w:t>
      </w:r>
      <w:r w:rsidR="00654A51">
        <w:rPr>
          <w:rFonts w:eastAsiaTheme="minorHAnsi"/>
        </w:rPr>
        <w:t>(</w:t>
      </w:r>
      <w:r w:rsidR="00747738">
        <w:rPr>
          <w:rFonts w:eastAsiaTheme="minorHAnsi"/>
        </w:rPr>
        <w:t xml:space="preserve">see </w:t>
      </w:r>
      <w:r w:rsidR="00654A51">
        <w:rPr>
          <w:rFonts w:eastAsiaTheme="minorHAnsi"/>
        </w:rPr>
        <w:t>Exhibit 3)</w:t>
      </w:r>
    </w:p>
    <w:p w14:paraId="123CBFE5" w14:textId="77777777" w:rsidR="00EF7B6F" w:rsidRDefault="00EF7B6F" w:rsidP="00FD6CFB">
      <w:pPr>
        <w:pStyle w:val="BodyTextMain"/>
        <w:keepNext/>
      </w:pPr>
    </w:p>
    <w:p w14:paraId="3F9A614C" w14:textId="41957309" w:rsidR="00EF7B6F" w:rsidRDefault="00EF7B6F" w:rsidP="00EF7B6F">
      <w:pPr>
        <w:pStyle w:val="BodyTextMain"/>
      </w:pPr>
      <w:r>
        <w:t>A subsidiary of Empire Company</w:t>
      </w:r>
      <w:r w:rsidR="002E517C">
        <w:t xml:space="preserve"> Limited</w:t>
      </w:r>
      <w:r>
        <w:t>—which also owned Foodland, FreshCo</w:t>
      </w:r>
      <w:r w:rsidR="00CB5A80">
        <w:t>,</w:t>
      </w:r>
      <w:r>
        <w:t xml:space="preserve"> and IGA—Sobeys was a Nova Scotia-based grocer with 125,000 employees, 1,500 corporate/franchise-owned stores</w:t>
      </w:r>
      <w:r w:rsidR="002E517C">
        <w:t>,</w:t>
      </w:r>
      <w:r>
        <w:t xml:space="preserve"> and </w:t>
      </w:r>
      <w:r w:rsidR="001D4E8E">
        <w:t>approximately $22</w:t>
      </w:r>
      <w:r>
        <w:t xml:space="preserve"> billion in annual revenues.</w:t>
      </w:r>
      <w:r>
        <w:rPr>
          <w:vertAlign w:val="superscript"/>
        </w:rPr>
        <w:endnoteReference w:id="36"/>
      </w:r>
      <w:r>
        <w:t xml:space="preserve"> Pharmacies, liquor stores</w:t>
      </w:r>
      <w:r w:rsidR="002E517C">
        <w:t>,</w:t>
      </w:r>
      <w:r>
        <w:t xml:space="preserve"> and gas stations also belonged to Sobeys’ broader offering, although in its earliest years</w:t>
      </w:r>
      <w:r w:rsidR="00051B0E">
        <w:t>,</w:t>
      </w:r>
      <w:r>
        <w:t xml:space="preserve"> Sobeys operated solely as a meat delivery business serving the approximately 1,750 residents of Stellarton, Nova Scotia</w:t>
      </w:r>
      <w:r w:rsidR="00051B0E">
        <w:t>. I</w:t>
      </w:r>
      <w:r>
        <w:t xml:space="preserve">n fact, it was not until 1947 that the company made its formal entry into food distribution with the opening of its first branded supermarket. Forty years later, in 1987, Sobeys claimed $1 billion </w:t>
      </w:r>
      <w:r w:rsidR="002E517C">
        <w:t>in</w:t>
      </w:r>
      <w:r>
        <w:t xml:space="preserve"> sales and established its first location outside of Atlantic Canada in Guelph, Ontario.</w:t>
      </w:r>
      <w:r w:rsidR="00BD40F5">
        <w:rPr>
          <w:vertAlign w:val="superscript"/>
        </w:rPr>
        <w:endnoteReference w:id="37"/>
      </w:r>
    </w:p>
    <w:p w14:paraId="209387CA" w14:textId="77777777" w:rsidR="00EF7B6F" w:rsidRDefault="00EF7B6F" w:rsidP="00EF7B6F">
      <w:pPr>
        <w:pStyle w:val="BodyTextMain"/>
      </w:pPr>
    </w:p>
    <w:p w14:paraId="47A35305" w14:textId="54CF378D" w:rsidR="008A4192" w:rsidRDefault="00EF7B6F" w:rsidP="00EF7B6F">
      <w:pPr>
        <w:pStyle w:val="BodyTextMain"/>
      </w:pPr>
      <w:r w:rsidRPr="003752A8">
        <w:t xml:space="preserve">In 2013, Sobeys announced its intention to acquire </w:t>
      </w:r>
      <w:r w:rsidR="00E83ECC">
        <w:t xml:space="preserve">the </w:t>
      </w:r>
      <w:r w:rsidRPr="003752A8">
        <w:t>223 stores</w:t>
      </w:r>
      <w:r w:rsidR="00E83ECC">
        <w:t xml:space="preserve"> of its competitor Safeway Inc. (Safeway)</w:t>
      </w:r>
      <w:r w:rsidRPr="003752A8">
        <w:t xml:space="preserve">, </w:t>
      </w:r>
      <w:r w:rsidRPr="00880B10">
        <w:t xml:space="preserve">which left </w:t>
      </w:r>
      <w:r w:rsidR="00051B0E">
        <w:t>Sobeys</w:t>
      </w:r>
      <w:r w:rsidRPr="003752A8">
        <w:t xml:space="preserve"> poised to become the market leader in Alberta</w:t>
      </w:r>
      <w:r>
        <w:t xml:space="preserve">—one of the largest markets outside of Ontario or Québec. Upon </w:t>
      </w:r>
      <w:r w:rsidR="00792B0B">
        <w:t xml:space="preserve">this </w:t>
      </w:r>
      <w:r>
        <w:t xml:space="preserve">announcement, the Competition Bureau demanded that Sobeys divest 23 of its stores; otherwise, the transaction </w:t>
      </w:r>
      <w:r w:rsidR="00792B0B">
        <w:t>could</w:t>
      </w:r>
      <w:r>
        <w:t xml:space="preserve"> have been barred for being anti-competitive.</w:t>
      </w:r>
      <w:r>
        <w:rPr>
          <w:vertAlign w:val="superscript"/>
        </w:rPr>
        <w:endnoteReference w:id="38"/>
      </w:r>
      <w:r>
        <w:t xml:space="preserve"> </w:t>
      </w:r>
    </w:p>
    <w:p w14:paraId="32FC8DF7" w14:textId="77777777" w:rsidR="008A4192" w:rsidRDefault="008A4192" w:rsidP="00EF7B6F">
      <w:pPr>
        <w:pStyle w:val="BodyTextMain"/>
      </w:pPr>
    </w:p>
    <w:p w14:paraId="12D58019" w14:textId="364918AB" w:rsidR="004C7DD1" w:rsidRDefault="00EF7B6F" w:rsidP="00EF7B6F">
      <w:pPr>
        <w:pStyle w:val="BodyTextMain"/>
      </w:pPr>
      <w:r>
        <w:t xml:space="preserve">Widely criticized as a move that damaged the brands of both parties, Sobeys’ takeover caused </w:t>
      </w:r>
      <w:r w:rsidR="00792B0B">
        <w:t xml:space="preserve">a </w:t>
      </w:r>
      <w:r>
        <w:t>substantial disruption to Safeway’s supply chain</w:t>
      </w:r>
      <w:r w:rsidR="00792B0B">
        <w:t>,</w:t>
      </w:r>
      <w:r>
        <w:t xml:space="preserve"> which remained largely uncorrected even in 2016, three years after the transaction. In a detailed review of the acquisition published in July 2016, the </w:t>
      </w:r>
      <w:r w:rsidRPr="00C9091C">
        <w:rPr>
          <w:i/>
        </w:rPr>
        <w:t>Calgary Herald</w:t>
      </w:r>
      <w:r>
        <w:t xml:space="preserve"> emphasized disgruntled customers’ experiences with advertised but out-of-stock items and consistently higher prices at several Safeway locations.</w:t>
      </w:r>
      <w:r w:rsidR="00BD40F5">
        <w:rPr>
          <w:vertAlign w:val="superscript"/>
        </w:rPr>
        <w:endnoteReference w:id="39"/>
      </w:r>
      <w:r w:rsidR="00BD40F5">
        <w:t xml:space="preserve"> </w:t>
      </w:r>
      <w:r>
        <w:t xml:space="preserve">The former pain point may have been tied to Sobeys’ decision to shift Safeway toward </w:t>
      </w:r>
      <w:r w:rsidR="008A4192">
        <w:t xml:space="preserve">Sobeys’ </w:t>
      </w:r>
      <w:r>
        <w:t xml:space="preserve">own inventory policy, which involved stocking items merely three products deep—a stark contrast to Safeway’s pre-existing policy that heavily emphasized inventory replenishment to assure product availability. </w:t>
      </w:r>
    </w:p>
    <w:p w14:paraId="498DF09B" w14:textId="77777777" w:rsidR="004C7DD1" w:rsidRDefault="004C7DD1" w:rsidP="00EF7B6F">
      <w:pPr>
        <w:pStyle w:val="BodyTextMain"/>
      </w:pPr>
    </w:p>
    <w:p w14:paraId="56CD086E" w14:textId="2B1B291A" w:rsidR="00EF7B6F" w:rsidRDefault="00EF7B6F" w:rsidP="00EF7B6F">
      <w:pPr>
        <w:pStyle w:val="BodyTextMain"/>
      </w:pPr>
      <w:r>
        <w:t>Also rumoured to have been linked to the takeover was the disbandment of Safeway’s Club Card loyalty initiative</w:t>
      </w:r>
      <w:r w:rsidR="00CB5A80">
        <w:t>, allegedly</w:t>
      </w:r>
      <w:r>
        <w:t xml:space="preserve"> </w:t>
      </w:r>
      <w:r w:rsidR="00CB5A80">
        <w:t>done</w:t>
      </w:r>
      <w:r>
        <w:t xml:space="preserve"> to align the acquired company with Sobeys’ Air Miles program.</w:t>
      </w:r>
      <w:r w:rsidR="00BD40F5">
        <w:rPr>
          <w:vertAlign w:val="superscript"/>
        </w:rPr>
        <w:endnoteReference w:id="40"/>
      </w:r>
      <w:r w:rsidR="00BD40F5">
        <w:t xml:space="preserve"> </w:t>
      </w:r>
      <w:r>
        <w:t xml:space="preserve">Additionally, Sobeys replaced Safeway-branded products with those of its own private label, to the chagrin of many </w:t>
      </w:r>
      <w:r w:rsidR="004C7DD1">
        <w:t>w</w:t>
      </w:r>
      <w:r>
        <w:t xml:space="preserve">estern Canadian </w:t>
      </w:r>
      <w:r w:rsidR="004C7DD1">
        <w:t>s</w:t>
      </w:r>
      <w:r>
        <w:t>hoppers.</w:t>
      </w:r>
      <w:r>
        <w:rPr>
          <w:vertAlign w:val="superscript"/>
        </w:rPr>
        <w:endnoteReference w:id="41"/>
      </w:r>
      <w:r>
        <w:t xml:space="preserve"> </w:t>
      </w:r>
    </w:p>
    <w:p w14:paraId="12C938B5" w14:textId="77777777" w:rsidR="00EF7B6F" w:rsidRDefault="00EF7B6F" w:rsidP="00EF7B6F">
      <w:pPr>
        <w:pStyle w:val="BodyTextMain"/>
      </w:pPr>
    </w:p>
    <w:p w14:paraId="35C7A2B9" w14:textId="77777777" w:rsidR="00844390" w:rsidRDefault="00EF7B6F" w:rsidP="00EF7B6F">
      <w:pPr>
        <w:pStyle w:val="BodyTextMain"/>
      </w:pPr>
      <w:r w:rsidRPr="003752A8">
        <w:t>At the height of its ensuing financial losses, Sobeys reported a shortfall of $2.1 billion as well as write-downs in excess of $2.9 billion, which prompted</w:t>
      </w:r>
      <w:r w:rsidRPr="004E4678">
        <w:t xml:space="preserve"> the departure of the</w:t>
      </w:r>
      <w:r w:rsidR="00B513BB">
        <w:t>n</w:t>
      </w:r>
      <w:r w:rsidRPr="004E4678">
        <w:t xml:space="preserve"> </w:t>
      </w:r>
      <w:r w:rsidR="00B513BB">
        <w:t>chief executive officer</w:t>
      </w:r>
      <w:r w:rsidRPr="004E4678">
        <w:t>, Marc Poulin, in July 2016</w:t>
      </w:r>
      <w:r>
        <w:t>.</w:t>
      </w:r>
      <w:r>
        <w:rPr>
          <w:vertAlign w:val="superscript"/>
        </w:rPr>
        <w:endnoteReference w:id="42"/>
      </w:r>
      <w:r>
        <w:t xml:space="preserve"> It </w:t>
      </w:r>
      <w:r w:rsidR="00B513BB">
        <w:t>was</w:t>
      </w:r>
      <w:r>
        <w:t xml:space="preserve"> uncertain whether Empire Company</w:t>
      </w:r>
      <w:r w:rsidR="00B513BB">
        <w:t xml:space="preserve"> Limited</w:t>
      </w:r>
      <w:r>
        <w:t xml:space="preserve">’s subsequent announcement </w:t>
      </w:r>
      <w:r w:rsidR="00B513BB">
        <w:t>that it would</w:t>
      </w:r>
      <w:r>
        <w:t xml:space="preserve"> cut 1,300 Sobeys jobs in 2016 and 2017 was driven by the disappointing financial performance.</w:t>
      </w:r>
      <w:r>
        <w:rPr>
          <w:vertAlign w:val="superscript"/>
        </w:rPr>
        <w:endnoteReference w:id="43"/>
      </w:r>
      <w:r>
        <w:t xml:space="preserve"> Another possible explanation was that the restructuring </w:t>
      </w:r>
      <w:r w:rsidR="004E7CFF">
        <w:t xml:space="preserve">would </w:t>
      </w:r>
      <w:r>
        <w:t>ma</w:t>
      </w:r>
      <w:r w:rsidR="004E7CFF">
        <w:t>k</w:t>
      </w:r>
      <w:r>
        <w:t>e room for new automated distribution cent</w:t>
      </w:r>
      <w:r w:rsidR="00B513BB">
        <w:t>r</w:t>
      </w:r>
      <w:r>
        <w:t>es in Calgary, Alberta</w:t>
      </w:r>
      <w:r w:rsidR="00CB5A80">
        <w:t>,</w:t>
      </w:r>
      <w:r>
        <w:t xml:space="preserve"> and Vaughan, Ontario</w:t>
      </w:r>
      <w:r w:rsidR="00CB5A80">
        <w:t>,</w:t>
      </w:r>
      <w:r>
        <w:t xml:space="preserve"> planned for mid-2017.</w:t>
      </w:r>
      <w:r w:rsidR="00BD40F5">
        <w:rPr>
          <w:vertAlign w:val="superscript"/>
        </w:rPr>
        <w:endnoteReference w:id="44"/>
      </w:r>
      <w:r w:rsidR="00BD40F5">
        <w:t xml:space="preserve"> </w:t>
      </w:r>
    </w:p>
    <w:p w14:paraId="7760E943" w14:textId="77777777" w:rsidR="00844390" w:rsidRDefault="00844390" w:rsidP="00EF7B6F">
      <w:pPr>
        <w:pStyle w:val="BodyTextMain"/>
      </w:pPr>
    </w:p>
    <w:p w14:paraId="4C913BF0" w14:textId="46BA627B" w:rsidR="00EF7B6F" w:rsidRDefault="00EF7B6F" w:rsidP="00EF7B6F">
      <w:pPr>
        <w:pStyle w:val="BodyTextMain"/>
        <w:rPr>
          <w:b/>
        </w:rPr>
      </w:pPr>
      <w:r>
        <w:t xml:space="preserve">Sobeys’ other maneuvers in the marketplace had, arguably, met with greater success. For instance, the extensive renovations aimed at rebranding its Price Chopper stores, which operated under the name FreshCo </w:t>
      </w:r>
      <w:r w:rsidR="004E7CFF">
        <w:t>beginning in</w:t>
      </w:r>
      <w:r>
        <w:t xml:space="preserve"> 2010</w:t>
      </w:r>
      <w:r w:rsidR="004E7CFF">
        <w:t>;</w:t>
      </w:r>
      <w:r>
        <w:rPr>
          <w:vertAlign w:val="superscript"/>
        </w:rPr>
        <w:endnoteReference w:id="45"/>
      </w:r>
      <w:r>
        <w:t xml:space="preserve"> a partnership with renowned chef and healthy eating advocate Jamie Oliver</w:t>
      </w:r>
      <w:r w:rsidR="004E7CFF">
        <w:t>;</w:t>
      </w:r>
      <w:r>
        <w:rPr>
          <w:vertAlign w:val="superscript"/>
        </w:rPr>
        <w:endnoteReference w:id="46"/>
      </w:r>
      <w:r>
        <w:t xml:space="preserve"> and the introduction of luxury-format stores in 2013 had all been applauded in the marketplace.</w:t>
      </w:r>
      <w:r>
        <w:rPr>
          <w:vertAlign w:val="superscript"/>
        </w:rPr>
        <w:endnoteReference w:id="47"/>
      </w:r>
      <w:r>
        <w:rPr>
          <w:b/>
        </w:rPr>
        <w:t xml:space="preserve"> </w:t>
      </w:r>
    </w:p>
    <w:p w14:paraId="7AB54B43" w14:textId="77777777" w:rsidR="00EF7B6F" w:rsidRPr="00C75F1C" w:rsidRDefault="00EF7B6F" w:rsidP="00C75F1C">
      <w:pPr>
        <w:pStyle w:val="BodyTextMain"/>
      </w:pPr>
    </w:p>
    <w:p w14:paraId="18154AD2" w14:textId="77777777" w:rsidR="00C75F1C" w:rsidRPr="00C75F1C" w:rsidRDefault="00C75F1C" w:rsidP="00C75F1C">
      <w:pPr>
        <w:pStyle w:val="BodyTextMain"/>
      </w:pPr>
    </w:p>
    <w:p w14:paraId="03E408F9" w14:textId="4A1DD1F8" w:rsidR="00EF7B6F" w:rsidRPr="00717346" w:rsidRDefault="00EF7B6F" w:rsidP="009C4748">
      <w:pPr>
        <w:pStyle w:val="Casehead2"/>
        <w:outlineLvl w:val="0"/>
        <w:rPr>
          <w:rFonts w:eastAsiaTheme="minorHAnsi"/>
        </w:rPr>
      </w:pPr>
      <w:r w:rsidRPr="00717346">
        <w:rPr>
          <w:rFonts w:eastAsiaTheme="minorHAnsi"/>
        </w:rPr>
        <w:t>Metr</w:t>
      </w:r>
      <w:r w:rsidR="00654A51">
        <w:rPr>
          <w:rFonts w:eastAsiaTheme="minorHAnsi"/>
        </w:rPr>
        <w:t>o (</w:t>
      </w:r>
      <w:r w:rsidR="00747738">
        <w:rPr>
          <w:rFonts w:eastAsiaTheme="minorHAnsi"/>
        </w:rPr>
        <w:t xml:space="preserve">see </w:t>
      </w:r>
      <w:r w:rsidR="00654A51">
        <w:rPr>
          <w:rFonts w:eastAsiaTheme="minorHAnsi"/>
        </w:rPr>
        <w:t>Exhibit 4)</w:t>
      </w:r>
    </w:p>
    <w:p w14:paraId="5E38F226" w14:textId="77777777" w:rsidR="00EF7B6F" w:rsidRDefault="00EF7B6F" w:rsidP="00EF7B6F">
      <w:pPr>
        <w:pStyle w:val="BodyTextMain"/>
      </w:pPr>
    </w:p>
    <w:p w14:paraId="6C92A55B" w14:textId="4C049E11" w:rsidR="00A207F2" w:rsidRDefault="00EF7B6F" w:rsidP="00EF7B6F">
      <w:pPr>
        <w:pStyle w:val="BodyTextMain"/>
      </w:pPr>
      <w:r>
        <w:t>Headquartered in Montreal, Québec, Metro owned and operated 338 supermarkets and 218 discount retailers in Québec and Ontario under the banners Metro, Food Basics, Super C</w:t>
      </w:r>
      <w:r w:rsidR="004E7CFF">
        <w:t>,</w:t>
      </w:r>
      <w:r>
        <w:t xml:space="preserve"> and Metro Plus. An estimated 258 drugstores also operated under Metro’s ownership. Prior to becoming a food retailer in its own right, Metro was a member of a group of independent retailers that emerged in 1947 to u</w:t>
      </w:r>
      <w:r w:rsidR="00A207F2">
        <w:t>s</w:t>
      </w:r>
      <w:r>
        <w:t>e their collective buying power to compete with major grocery chains.</w:t>
      </w:r>
      <w:r>
        <w:rPr>
          <w:vertAlign w:val="superscript"/>
        </w:rPr>
        <w:endnoteReference w:id="48"/>
      </w:r>
      <w:r>
        <w:t xml:space="preserve"> </w:t>
      </w:r>
    </w:p>
    <w:p w14:paraId="19BFC78B" w14:textId="77777777" w:rsidR="00772F77" w:rsidRDefault="00EF7B6F" w:rsidP="00EF7B6F">
      <w:pPr>
        <w:pStyle w:val="BodyTextMain"/>
      </w:pPr>
      <w:r>
        <w:lastRenderedPageBreak/>
        <w:t>As the youngest of the top three Canadian grocers, Metro’s focus was on expanding its fleet of supermarkets. Notably, Metro’s discount stores—despite having performed strongly—took a back</w:t>
      </w:r>
      <w:r w:rsidR="004E7CFF">
        <w:t xml:space="preserve"> </w:t>
      </w:r>
      <w:r>
        <w:t>seat in the grocer’s expansion strategy. Instead, Metro’s stores increasingly garnered a reputation for their value-added services, including the My Metro mobile application (similar to Loblaw’s PC Plus</w:t>
      </w:r>
      <w:r>
        <w:rPr>
          <w:i/>
        </w:rPr>
        <w:t xml:space="preserve"> </w:t>
      </w:r>
      <w:r>
        <w:t xml:space="preserve">application), beef aging rooms, fish smokers, and in-store bistros, among other “premium” </w:t>
      </w:r>
      <w:r w:rsidRPr="004E4678">
        <w:t>features.</w:t>
      </w:r>
      <w:r w:rsidRPr="004E4678">
        <w:rPr>
          <w:vertAlign w:val="superscript"/>
        </w:rPr>
        <w:endnoteReference w:id="49"/>
      </w:r>
      <w:r w:rsidRPr="004E4678">
        <w:t xml:space="preserve"> </w:t>
      </w:r>
    </w:p>
    <w:p w14:paraId="3B7D375D" w14:textId="77777777" w:rsidR="00772F77" w:rsidRDefault="00772F77" w:rsidP="00EF7B6F">
      <w:pPr>
        <w:pStyle w:val="BodyTextMain"/>
      </w:pPr>
    </w:p>
    <w:p w14:paraId="49AE96C3" w14:textId="0C927EC1" w:rsidR="00EF7B6F" w:rsidRDefault="002F79AE" w:rsidP="00EF7B6F">
      <w:pPr>
        <w:pStyle w:val="BodyTextMain"/>
      </w:pPr>
      <w:r>
        <w:t>In</w:t>
      </w:r>
      <w:r w:rsidR="00EF7B6F" w:rsidRPr="004E4678">
        <w:t xml:space="preserve"> October 2016, Metro </w:t>
      </w:r>
      <w:r>
        <w:t>planned to begin</w:t>
      </w:r>
      <w:r w:rsidR="00EF7B6F" w:rsidRPr="004E4678">
        <w:t xml:space="preserve"> testing “My Online Grocery” in Québec,</w:t>
      </w:r>
      <w:r w:rsidR="00EF7B6F">
        <w:t xml:space="preserve"> </w:t>
      </w:r>
      <w:r w:rsidR="00EF7B6F" w:rsidRPr="004E4678">
        <w:t xml:space="preserve">which </w:t>
      </w:r>
      <w:r>
        <w:t xml:space="preserve">would </w:t>
      </w:r>
      <w:r w:rsidR="00EF7B6F" w:rsidRPr="004E4678">
        <w:t>allo</w:t>
      </w:r>
      <w:r>
        <w:t>w</w:t>
      </w:r>
      <w:r w:rsidR="00EF7B6F">
        <w:t xml:space="preserve"> customers to have Metro’s fresh produce, meat/poultry, prepared meals</w:t>
      </w:r>
      <w:r w:rsidR="00C41FF4">
        <w:t>,</w:t>
      </w:r>
      <w:r w:rsidR="00EF7B6F">
        <w:t xml:space="preserve"> and other grocery items delivered to their homes or made available for pick-up in-store at a time of their convenience.</w:t>
      </w:r>
      <w:r w:rsidR="00EF7B6F">
        <w:rPr>
          <w:vertAlign w:val="superscript"/>
        </w:rPr>
        <w:endnoteReference w:id="50"/>
      </w:r>
      <w:r w:rsidR="00EF7B6F">
        <w:t xml:space="preserve"> The service’s key elements arguably mirrored those of Loblaw’s “Click</w:t>
      </w:r>
      <w:r w:rsidR="00C41FF4">
        <w:t xml:space="preserve"> &amp; </w:t>
      </w:r>
      <w:r w:rsidR="00EF7B6F">
        <w:t>Collect” program introduced in October 2014</w:t>
      </w:r>
      <w:r w:rsidR="00C41FF4">
        <w:t>,</w:t>
      </w:r>
      <w:r w:rsidR="00EF7B6F">
        <w:rPr>
          <w:vertAlign w:val="superscript"/>
        </w:rPr>
        <w:endnoteReference w:id="51"/>
      </w:r>
      <w:r w:rsidR="00EF7B6F">
        <w:t xml:space="preserve"> which had been rolled out </w:t>
      </w:r>
      <w:r w:rsidR="00C41FF4">
        <w:t>at</w:t>
      </w:r>
      <w:r w:rsidR="00EF7B6F">
        <w:t xml:space="preserve"> approximately 100 locations.</w:t>
      </w:r>
      <w:r w:rsidR="00EF7B6F">
        <w:rPr>
          <w:vertAlign w:val="superscript"/>
        </w:rPr>
        <w:endnoteReference w:id="52"/>
      </w:r>
      <w:r w:rsidR="00EF7B6F">
        <w:t xml:space="preserve"> The online grocery segment represented less than </w:t>
      </w:r>
      <w:r w:rsidR="00C41FF4">
        <w:t>1</w:t>
      </w:r>
      <w:r w:rsidR="00EF7B6F">
        <w:t xml:space="preserve"> per</w:t>
      </w:r>
      <w:r w:rsidR="00C41FF4">
        <w:t xml:space="preserve"> </w:t>
      </w:r>
      <w:r w:rsidR="00EF7B6F">
        <w:t xml:space="preserve">cent of sales in the Canadian grocery sector, a figure </w:t>
      </w:r>
      <w:r w:rsidR="00C41FF4">
        <w:t>that</w:t>
      </w:r>
      <w:r w:rsidR="00EF7B6F">
        <w:t xml:space="preserve"> was expected to rise to 3</w:t>
      </w:r>
      <w:r w:rsidR="00C41FF4">
        <w:t xml:space="preserve"> per cent</w:t>
      </w:r>
      <w:r w:rsidR="00EF7B6F">
        <w:t xml:space="preserve"> by 2018. Although pick-up services had been found to reap higher margins (13.8</w:t>
      </w:r>
      <w:r w:rsidR="00C41FF4">
        <w:t xml:space="preserve"> per cent</w:t>
      </w:r>
      <w:r w:rsidR="00EF7B6F">
        <w:t>) than home deliveries (10.7</w:t>
      </w:r>
      <w:r w:rsidR="00C41FF4">
        <w:t xml:space="preserve"> per cent</w:t>
      </w:r>
      <w:r w:rsidR="00EF7B6F">
        <w:t>), Metro and Loblaw offered both.</w:t>
      </w:r>
      <w:r w:rsidR="00BD40F5">
        <w:rPr>
          <w:vertAlign w:val="superscript"/>
        </w:rPr>
        <w:endnoteReference w:id="53"/>
      </w:r>
    </w:p>
    <w:p w14:paraId="49DA9373" w14:textId="77777777" w:rsidR="00EF7B6F" w:rsidRDefault="00EF7B6F" w:rsidP="00EF7B6F">
      <w:pPr>
        <w:pStyle w:val="BodyTextMain"/>
      </w:pPr>
    </w:p>
    <w:p w14:paraId="61579019" w14:textId="0966296F" w:rsidR="00EF7B6F" w:rsidRDefault="00EF7B6F" w:rsidP="00EF7B6F">
      <w:pPr>
        <w:pStyle w:val="BodyTextMain"/>
        <w:rPr>
          <w:b/>
        </w:rPr>
      </w:pPr>
      <w:r>
        <w:t>Metro’s pattern of acquisitions emphasized high</w:t>
      </w:r>
      <w:r w:rsidR="00C41FF4">
        <w:t>-</w:t>
      </w:r>
      <w:r>
        <w:t>quality premium segments. A primary illustration of such was its acquisition of a majority stake of the bakery chain Première Moisson in 2014, through which Metro expanded its selection of higher-end baked goods.</w:t>
      </w:r>
      <w:r>
        <w:rPr>
          <w:vertAlign w:val="superscript"/>
        </w:rPr>
        <w:endnoteReference w:id="54"/>
      </w:r>
      <w:r>
        <w:t xml:space="preserve"> Earlier, in 2009, Loblaw </w:t>
      </w:r>
      <w:r w:rsidR="00C41FF4">
        <w:t xml:space="preserve">had </w:t>
      </w:r>
      <w:r>
        <w:t>purchased ethnic player T</w:t>
      </w:r>
      <w:r w:rsidR="00C41FF4">
        <w:t xml:space="preserve"> </w:t>
      </w:r>
      <w:r>
        <w:t>&amp;</w:t>
      </w:r>
      <w:r w:rsidR="00C41FF4">
        <w:t xml:space="preserve"> </w:t>
      </w:r>
      <w:r>
        <w:t>T Supermarket</w:t>
      </w:r>
      <w:r w:rsidR="00772F77">
        <w:t>;</w:t>
      </w:r>
      <w:r>
        <w:t xml:space="preserve"> two years after, Metro followed suit when it bought a 55</w:t>
      </w:r>
      <w:r w:rsidR="00C41FF4">
        <w:t xml:space="preserve"> per cent</w:t>
      </w:r>
      <w:r>
        <w:t xml:space="preserve"> position in Québec-based Mediterranean retailer Marché Adonis.</w:t>
      </w:r>
      <w:r>
        <w:rPr>
          <w:vertAlign w:val="superscript"/>
        </w:rPr>
        <w:endnoteReference w:id="55"/>
      </w:r>
      <w:r>
        <w:t xml:space="preserve"> </w:t>
      </w:r>
    </w:p>
    <w:p w14:paraId="773FE971" w14:textId="77777777" w:rsidR="00EF7B6F" w:rsidRPr="00C75F1C" w:rsidRDefault="00EF7B6F" w:rsidP="00C75F1C">
      <w:pPr>
        <w:pStyle w:val="BodyTextMain"/>
      </w:pPr>
    </w:p>
    <w:p w14:paraId="69EB9680" w14:textId="77777777" w:rsidR="00C75F1C" w:rsidRPr="00C75F1C" w:rsidRDefault="00C75F1C" w:rsidP="00C75F1C">
      <w:pPr>
        <w:pStyle w:val="BodyTextMain"/>
      </w:pPr>
    </w:p>
    <w:p w14:paraId="0DF98F7C" w14:textId="6DB1F9AB" w:rsidR="00EF7B6F" w:rsidRPr="00326874" w:rsidRDefault="00EF7B6F" w:rsidP="009C4748">
      <w:pPr>
        <w:pStyle w:val="Casehead1"/>
        <w:outlineLvl w:val="0"/>
        <w:rPr>
          <w:rFonts w:eastAsiaTheme="minorHAnsi"/>
        </w:rPr>
      </w:pPr>
      <w:r w:rsidRPr="00326874">
        <w:rPr>
          <w:rFonts w:eastAsiaTheme="minorHAnsi"/>
        </w:rPr>
        <w:t>The “Big Box” Players</w:t>
      </w:r>
      <w:r w:rsidR="009C4748">
        <w:rPr>
          <w:rFonts w:eastAsiaTheme="minorHAnsi"/>
        </w:rPr>
        <w:t xml:space="preserve"> </w:t>
      </w:r>
    </w:p>
    <w:p w14:paraId="3A023980" w14:textId="77777777" w:rsidR="00EF7B6F" w:rsidRDefault="00EF7B6F" w:rsidP="00EF7B6F">
      <w:pPr>
        <w:pStyle w:val="BodyTextMain"/>
      </w:pPr>
    </w:p>
    <w:p w14:paraId="10E50263" w14:textId="77777777" w:rsidR="00AB6126" w:rsidRDefault="00FC3975" w:rsidP="00FD6CFB">
      <w:pPr>
        <w:pStyle w:val="BodyTextMain"/>
      </w:pPr>
      <w:r w:rsidRPr="00FC3975">
        <w:t xml:space="preserve">Historically, the high capital requirements of the supermarket sector deterred prospective competitors, even though those who chose to enter the market benefitted from substantial scale economies. In recent years, however, Loblaw had seen </w:t>
      </w:r>
      <w:r w:rsidR="00C41FF4">
        <w:t>un</w:t>
      </w:r>
      <w:r w:rsidRPr="00FC3975">
        <w:t>conventional competitors emerge—namely, warehouse clubs such as Costco Wholesale Canada (Costco) and Walmart Canada (Walmart) that competed on price. Marketline, for example, cited Costco as Loblaw’s primary competitor.</w:t>
      </w:r>
      <w:r w:rsidRPr="00FC3975">
        <w:rPr>
          <w:vertAlign w:val="superscript"/>
        </w:rPr>
        <w:endnoteReference w:id="56"/>
      </w:r>
      <w:r w:rsidRPr="00FC3975">
        <w:t xml:space="preserve"> </w:t>
      </w:r>
    </w:p>
    <w:p w14:paraId="602D072B" w14:textId="77777777" w:rsidR="00AB6126" w:rsidRDefault="00AB6126" w:rsidP="00FD6CFB">
      <w:pPr>
        <w:pStyle w:val="BodyTextMain"/>
      </w:pPr>
    </w:p>
    <w:p w14:paraId="3C8B1A32" w14:textId="241C9728" w:rsidR="00FC3975" w:rsidRPr="00FC3975" w:rsidRDefault="00FC3975" w:rsidP="00FD6CFB">
      <w:pPr>
        <w:pStyle w:val="BodyTextMain"/>
      </w:pPr>
      <w:r w:rsidRPr="00FC3975">
        <w:t>Non-traditional players posed a serious threat to Loblaw’s core business, not only because competing against them necessitated lowering margins, but also because Walmart and Costco had extensive offerings of non-perishable items (e.g.</w:t>
      </w:r>
      <w:r w:rsidR="00D45C6E">
        <w:t>,</w:t>
      </w:r>
      <w:r w:rsidRPr="00FC3975">
        <w:t xml:space="preserve"> pet products</w:t>
      </w:r>
      <w:r w:rsidR="00AB6126">
        <w:t xml:space="preserve"> and</w:t>
      </w:r>
      <w:r w:rsidRPr="00FC3975">
        <w:t xml:space="preserve"> fixtures). By tapping into the food retail space, these players effectively became one-stop shops for consumers who valued convenience and price. Costco and Walmart’s 10</w:t>
      </w:r>
      <w:r w:rsidR="00D45C6E">
        <w:t xml:space="preserve"> per cent</w:t>
      </w:r>
      <w:r w:rsidRPr="00FC3975">
        <w:t xml:space="preserve"> and 7</w:t>
      </w:r>
      <w:r w:rsidR="00D45C6E">
        <w:t xml:space="preserve"> per cent</w:t>
      </w:r>
      <w:r w:rsidRPr="00FC3975">
        <w:t xml:space="preserve"> shares of food sales </w:t>
      </w:r>
      <w:r w:rsidR="00D45C6E">
        <w:t xml:space="preserve">in the grocery </w:t>
      </w:r>
      <w:r w:rsidRPr="00FC3975">
        <w:t>market, while small in comparison to Loblaw, were concerning.</w:t>
      </w:r>
      <w:r w:rsidRPr="00FC3975">
        <w:rPr>
          <w:vertAlign w:val="superscript"/>
        </w:rPr>
        <w:endnoteReference w:id="57"/>
      </w:r>
      <w:r w:rsidRPr="00FC3975">
        <w:t xml:space="preserve"> While Loblaw was putting pressure on suppliers to absorb cost increases, Walmart and Costco, through favourable contracts</w:t>
      </w:r>
      <w:r w:rsidR="007B4EA3">
        <w:t xml:space="preserve"> with suppliers such as General Mills and Kellogg</w:t>
      </w:r>
      <w:r w:rsidR="00C90DF1">
        <w:t>,</w:t>
      </w:r>
      <w:r w:rsidR="007B4EA3">
        <w:rPr>
          <w:rStyle w:val="EndnoteReference"/>
          <w:color w:val="000000"/>
        </w:rPr>
        <w:endnoteReference w:id="58"/>
      </w:r>
      <w:r w:rsidRPr="00FC3975">
        <w:t xml:space="preserve"> </w:t>
      </w:r>
      <w:r w:rsidR="00C90DF1">
        <w:t xml:space="preserve">which </w:t>
      </w:r>
      <w:r w:rsidR="006C7FB0">
        <w:t xml:space="preserve">had been </w:t>
      </w:r>
      <w:r w:rsidRPr="00FC3975">
        <w:t xml:space="preserve">negotiated </w:t>
      </w:r>
      <w:r w:rsidR="006C7FB0">
        <w:t>owing</w:t>
      </w:r>
      <w:r w:rsidRPr="00FC3975">
        <w:t xml:space="preserve"> to </w:t>
      </w:r>
      <w:r w:rsidR="00C90DF1">
        <w:t>the retailers’</w:t>
      </w:r>
      <w:r w:rsidR="00C90DF1" w:rsidRPr="00FC3975">
        <w:t xml:space="preserve"> </w:t>
      </w:r>
      <w:r w:rsidRPr="00FC3975">
        <w:t>size and scope, had managed to continue to pass down lower prices to consumers.</w:t>
      </w:r>
      <w:r w:rsidRPr="00FC3975">
        <w:rPr>
          <w:vertAlign w:val="superscript"/>
        </w:rPr>
        <w:endnoteReference w:id="59"/>
      </w:r>
      <w:r w:rsidRPr="00FC3975">
        <w:t xml:space="preserve"> Revenue growth was expected to increase at an annual rate of 5.2</w:t>
      </w:r>
      <w:r w:rsidR="006C7FB0">
        <w:t xml:space="preserve"> per cent</w:t>
      </w:r>
      <w:r w:rsidRPr="00FC3975">
        <w:t xml:space="preserve">, largely </w:t>
      </w:r>
      <w:r w:rsidR="006C7FB0">
        <w:t>owing</w:t>
      </w:r>
      <w:r w:rsidRPr="00FC3975">
        <w:t xml:space="preserve"> to the lower prices these warehouse players were able to offer their customers.</w:t>
      </w:r>
      <w:r w:rsidRPr="00FC3975">
        <w:rPr>
          <w:vertAlign w:val="superscript"/>
        </w:rPr>
        <w:endnoteReference w:id="60"/>
      </w:r>
      <w:r w:rsidRPr="00FC3975">
        <w:t xml:space="preserve"> </w:t>
      </w:r>
    </w:p>
    <w:p w14:paraId="3F78BD57" w14:textId="77777777" w:rsidR="00FC3975" w:rsidRPr="00FC3975" w:rsidRDefault="00FC3975" w:rsidP="00FD6CFB">
      <w:pPr>
        <w:pStyle w:val="BodyTextMain"/>
      </w:pPr>
    </w:p>
    <w:p w14:paraId="4ED34E73" w14:textId="35EF24FF" w:rsidR="00C90DF1" w:rsidRDefault="00FC3975" w:rsidP="00FD6CFB">
      <w:pPr>
        <w:pStyle w:val="BodyTextMain"/>
      </w:pPr>
      <w:r w:rsidRPr="00FC3975">
        <w:t>In response to these competitive pressures, Loblaw announced its intention to allocate $1 billion to opening 50 new stores and renovating 150 existing locations in 2016</w:t>
      </w:r>
      <w:r w:rsidR="00C90DF1">
        <w:t>.</w:t>
      </w:r>
      <w:r w:rsidRPr="00FC3975">
        <w:rPr>
          <w:vertAlign w:val="superscript"/>
        </w:rPr>
        <w:endnoteReference w:id="61"/>
      </w:r>
      <w:r w:rsidRPr="00FC3975">
        <w:t xml:space="preserve"> $1.2 billion was spent toward the same end in 2015</w:t>
      </w:r>
      <w:r w:rsidR="00C90DF1">
        <w:t>.</w:t>
      </w:r>
      <w:r w:rsidRPr="00FC3975">
        <w:rPr>
          <w:vertAlign w:val="superscript"/>
        </w:rPr>
        <w:endnoteReference w:id="62"/>
      </w:r>
      <w:r w:rsidRPr="00FC3975">
        <w:t xml:space="preserve"> This investment was partially devoted to expanding “Inspire” stores—deluxe Loblaw locations in cosmopolitan hubs that featured premium merchandise. </w:t>
      </w:r>
    </w:p>
    <w:p w14:paraId="02388360" w14:textId="77777777" w:rsidR="00C90DF1" w:rsidRDefault="00C90DF1" w:rsidP="00FD6CFB">
      <w:pPr>
        <w:pStyle w:val="BodyTextMain"/>
      </w:pPr>
    </w:p>
    <w:p w14:paraId="16048FE5" w14:textId="1B75688C" w:rsidR="00FC3975" w:rsidRPr="00FC3975" w:rsidRDefault="00FC3975" w:rsidP="00FD6CFB">
      <w:pPr>
        <w:pStyle w:val="BodyTextMain"/>
      </w:pPr>
      <w:r w:rsidRPr="00FC3975">
        <w:t>Loblaw, alongside Sobeys and Metro, also participated in a string of acquisitions. For instance, Loblaw acquired QHR</w:t>
      </w:r>
      <w:r w:rsidR="006C7FB0">
        <w:t xml:space="preserve"> Technologies</w:t>
      </w:r>
      <w:r w:rsidRPr="00FC3975">
        <w:t>, a medical records start-up,</w:t>
      </w:r>
      <w:r w:rsidRPr="00FC3975">
        <w:rPr>
          <w:vertAlign w:val="superscript"/>
        </w:rPr>
        <w:endnoteReference w:id="63"/>
      </w:r>
      <w:r w:rsidRPr="00FC3975">
        <w:t xml:space="preserve"> supposedly as part of a potential plan to distribute medical marijuana through its network of Shoppers stores.</w:t>
      </w:r>
      <w:r w:rsidRPr="00FC3975">
        <w:rPr>
          <w:vertAlign w:val="superscript"/>
        </w:rPr>
        <w:endnoteReference w:id="64"/>
      </w:r>
    </w:p>
    <w:p w14:paraId="326B1B43" w14:textId="77777777" w:rsidR="0061706C" w:rsidRDefault="0061706C" w:rsidP="00FD6CFB">
      <w:pPr>
        <w:pStyle w:val="Casehead2"/>
      </w:pPr>
    </w:p>
    <w:p w14:paraId="4ECC035A" w14:textId="77777777" w:rsidR="00FC3975" w:rsidRPr="00FC3975" w:rsidRDefault="00FC3975" w:rsidP="00FD6CFB">
      <w:pPr>
        <w:pStyle w:val="Casehead2"/>
      </w:pPr>
      <w:r w:rsidRPr="00FC3975">
        <w:lastRenderedPageBreak/>
        <w:t xml:space="preserve">Costco Wholesale Canada </w:t>
      </w:r>
    </w:p>
    <w:p w14:paraId="03A97328" w14:textId="77777777" w:rsidR="00FC3975" w:rsidRPr="00FC3975" w:rsidRDefault="00FC3975" w:rsidP="00FD6CFB">
      <w:pPr>
        <w:pStyle w:val="BodyTextMain"/>
      </w:pPr>
    </w:p>
    <w:p w14:paraId="7A7AF723" w14:textId="77777777" w:rsidR="005F67CB" w:rsidRDefault="00875F25" w:rsidP="00FD6CFB">
      <w:pPr>
        <w:pStyle w:val="BodyTextMain"/>
      </w:pPr>
      <w:r>
        <w:t>Founded in 1976</w:t>
      </w:r>
      <w:r w:rsidR="00FC3975" w:rsidRPr="00FC3975">
        <w:t>,</w:t>
      </w:r>
      <w:r>
        <w:rPr>
          <w:rStyle w:val="EndnoteReference"/>
        </w:rPr>
        <w:endnoteReference w:id="65"/>
      </w:r>
      <w:r w:rsidR="00FC3975" w:rsidRPr="00FC3975">
        <w:t xml:space="preserve"> Costco was the leading operator in the Canadian wholesale club industry, with a formidable 48.5</w:t>
      </w:r>
      <w:r w:rsidR="006C7FB0">
        <w:t xml:space="preserve"> per cent</w:t>
      </w:r>
      <w:r w:rsidR="00FC3975" w:rsidRPr="00FC3975">
        <w:t xml:space="preserve"> share.</w:t>
      </w:r>
      <w:r w:rsidR="00FC3975" w:rsidRPr="00FC3975">
        <w:rPr>
          <w:vertAlign w:val="superscript"/>
        </w:rPr>
        <w:endnoteReference w:id="66"/>
      </w:r>
      <w:r w:rsidR="00FC3975" w:rsidRPr="00FC3975">
        <w:t xml:space="preserve"> Beyond providing low prices on consumables, health and beauty products, apparel, and other merchandise through selective product sourcing (a typical Costco warehouse carried only 4,000 stock-keeping units compared to the 30,000 typical of supermarket peers)</w:t>
      </w:r>
      <w:r w:rsidR="006C7FB0">
        <w:t>,</w:t>
      </w:r>
      <w:r w:rsidR="00FC3975" w:rsidRPr="00FC3975">
        <w:rPr>
          <w:vertAlign w:val="superscript"/>
        </w:rPr>
        <w:endnoteReference w:id="67"/>
      </w:r>
      <w:r w:rsidR="00FC3975" w:rsidRPr="00FC3975">
        <w:t xml:space="preserve"> Costco also managed a faithful customer base. Having pioneered the retail </w:t>
      </w:r>
      <w:r w:rsidR="006C7FB0">
        <w:t>“</w:t>
      </w:r>
      <w:r w:rsidR="00FC3975" w:rsidRPr="00FC3975">
        <w:t>membership</w:t>
      </w:r>
      <w:r w:rsidR="006C7FB0">
        <w:t>”</w:t>
      </w:r>
      <w:r w:rsidR="00FC3975" w:rsidRPr="00FC3975">
        <w:t xml:space="preserve"> concept, whereby customers paid an annual fee to shop at any of </w:t>
      </w:r>
      <w:r w:rsidR="006C7FB0">
        <w:t xml:space="preserve">its </w:t>
      </w:r>
      <w:r w:rsidR="00FC3975" w:rsidRPr="00FC3975">
        <w:t>98 Canadian locations,</w:t>
      </w:r>
      <w:r w:rsidR="00FC3975" w:rsidRPr="00FC3975">
        <w:rPr>
          <w:vertAlign w:val="superscript"/>
        </w:rPr>
        <w:endnoteReference w:id="68"/>
      </w:r>
      <w:r w:rsidR="00FC3975" w:rsidRPr="00FC3975">
        <w:t xml:space="preserve"> Costco attracted over 10 million customers who renewed </w:t>
      </w:r>
      <w:r w:rsidR="0011617F">
        <w:t xml:space="preserve">their </w:t>
      </w:r>
      <w:r w:rsidR="00FC3975" w:rsidRPr="00FC3975">
        <w:t>membership at a 91</w:t>
      </w:r>
      <w:r w:rsidR="0011617F">
        <w:t xml:space="preserve"> per cent</w:t>
      </w:r>
      <w:r w:rsidR="00FC3975" w:rsidRPr="00FC3975">
        <w:t xml:space="preserve"> rate.</w:t>
      </w:r>
      <w:r w:rsidR="00FC3975" w:rsidRPr="00FC3975">
        <w:rPr>
          <w:vertAlign w:val="superscript"/>
        </w:rPr>
        <w:endnoteReference w:id="69"/>
      </w:r>
      <w:r w:rsidR="00FC3975" w:rsidRPr="00FC3975">
        <w:t xml:space="preserve"> </w:t>
      </w:r>
    </w:p>
    <w:p w14:paraId="61394622" w14:textId="77777777" w:rsidR="005F67CB" w:rsidRDefault="005F67CB" w:rsidP="00FD6CFB">
      <w:pPr>
        <w:pStyle w:val="BodyTextMain"/>
      </w:pPr>
    </w:p>
    <w:p w14:paraId="16B388BF" w14:textId="5A5BC76B" w:rsidR="00FC3975" w:rsidRDefault="00FC3975" w:rsidP="00FD6CFB">
      <w:pPr>
        <w:pStyle w:val="BodyTextMain"/>
      </w:pPr>
      <w:r w:rsidRPr="00FC3975">
        <w:t xml:space="preserve">Purportedly in reaction to Walmart’s expansion of its fresh produce lines, Costco </w:t>
      </w:r>
      <w:r w:rsidR="0011617F">
        <w:t xml:space="preserve">had </w:t>
      </w:r>
      <w:r w:rsidRPr="00FC3975">
        <w:t>gr</w:t>
      </w:r>
      <w:r w:rsidR="0011617F">
        <w:t>own</w:t>
      </w:r>
      <w:r w:rsidRPr="00FC3975">
        <w:t xml:space="preserve"> its grocery selection substantially over the </w:t>
      </w:r>
      <w:r w:rsidR="005F67CB">
        <w:t>previous</w:t>
      </w:r>
      <w:r w:rsidR="005F67CB" w:rsidRPr="00FC3975">
        <w:t xml:space="preserve"> </w:t>
      </w:r>
      <w:r w:rsidRPr="00FC3975">
        <w:t>five years. The warehouse club’s private label, Kirkland Signature, offered consumable products such as extra virgin olive oil, organic chicken broth</w:t>
      </w:r>
      <w:r w:rsidR="0011617F">
        <w:t>,</w:t>
      </w:r>
      <w:r w:rsidRPr="00FC3975">
        <w:t xml:space="preserve"> and quinoa, broadening Costco’s appeal to include health-conscious shoppers.</w:t>
      </w:r>
      <w:r w:rsidRPr="00FC3975">
        <w:rPr>
          <w:vertAlign w:val="superscript"/>
        </w:rPr>
        <w:endnoteReference w:id="70"/>
      </w:r>
    </w:p>
    <w:p w14:paraId="4D14BC69" w14:textId="77777777" w:rsidR="00C90DF1" w:rsidRDefault="00C90DF1" w:rsidP="00FD6CFB">
      <w:pPr>
        <w:pStyle w:val="BodyTextMain"/>
      </w:pPr>
    </w:p>
    <w:p w14:paraId="2F8CED60" w14:textId="77777777" w:rsidR="00C90DF1" w:rsidRPr="00FC3975" w:rsidRDefault="00C90DF1" w:rsidP="00FD6CFB">
      <w:pPr>
        <w:pStyle w:val="BodyTextMain"/>
      </w:pPr>
    </w:p>
    <w:p w14:paraId="7155E67B" w14:textId="77777777" w:rsidR="00FC3975" w:rsidRPr="00875F25" w:rsidRDefault="00FC3975" w:rsidP="00FD6CFB">
      <w:pPr>
        <w:pStyle w:val="Casehead2"/>
      </w:pPr>
      <w:r w:rsidRPr="00875F25">
        <w:t>Walmart Canada</w:t>
      </w:r>
    </w:p>
    <w:p w14:paraId="0777F33A" w14:textId="77777777" w:rsidR="00FC3975" w:rsidRPr="00FC3975" w:rsidRDefault="00FC3975" w:rsidP="00BF4AAB">
      <w:pPr>
        <w:pStyle w:val="BodyTextMain"/>
      </w:pPr>
    </w:p>
    <w:p w14:paraId="6D448008" w14:textId="77777777" w:rsidR="005F67CB" w:rsidRDefault="00FC3975" w:rsidP="00FD6CFB">
      <w:pPr>
        <w:pStyle w:val="BodyTextMain"/>
      </w:pPr>
      <w:r w:rsidRPr="00FC3975">
        <w:t xml:space="preserve">Headquartered in Mississauga, Ontario, the Canadian division of Walmart </w:t>
      </w:r>
      <w:r w:rsidR="0011617F">
        <w:t>emerged</w:t>
      </w:r>
      <w:r w:rsidR="0011617F" w:rsidRPr="00FC3975">
        <w:t xml:space="preserve"> </w:t>
      </w:r>
      <w:r w:rsidRPr="00FC3975">
        <w:t xml:space="preserve">in 1994 with the acquisition of the Woolco </w:t>
      </w:r>
      <w:r w:rsidR="0011617F">
        <w:t>retail c</w:t>
      </w:r>
      <w:r w:rsidRPr="00FC3975">
        <w:t>hain, providing the company with an initial 122 locations.</w:t>
      </w:r>
      <w:r w:rsidRPr="00FC3975">
        <w:rPr>
          <w:vertAlign w:val="superscript"/>
        </w:rPr>
        <w:endnoteReference w:id="71"/>
      </w:r>
      <w:r w:rsidRPr="00FC3975">
        <w:t xml:space="preserve"> </w:t>
      </w:r>
      <w:r w:rsidR="00463066">
        <w:t xml:space="preserve">By September 2016, </w:t>
      </w:r>
      <w:r w:rsidRPr="00FC3975">
        <w:t>Walmart claim</w:t>
      </w:r>
      <w:r w:rsidR="0011617F">
        <w:t>ed</w:t>
      </w:r>
      <w:r w:rsidRPr="00FC3975">
        <w:t xml:space="preserve"> a 45.5</w:t>
      </w:r>
      <w:r w:rsidR="0011617F">
        <w:t xml:space="preserve"> per cent</w:t>
      </w:r>
      <w:r w:rsidRPr="00FC3975">
        <w:t xml:space="preserve"> market share in the industry, second only to Costco.</w:t>
      </w:r>
      <w:r w:rsidRPr="00FC3975">
        <w:rPr>
          <w:vertAlign w:val="superscript"/>
        </w:rPr>
        <w:endnoteReference w:id="72"/>
      </w:r>
      <w:r w:rsidRPr="00FC3975">
        <w:t xml:space="preserve"> The </w:t>
      </w:r>
      <w:r w:rsidR="00875F25">
        <w:t xml:space="preserve">parent </w:t>
      </w:r>
      <w:r w:rsidRPr="00FC3975">
        <w:t>company’s long</w:t>
      </w:r>
      <w:r w:rsidR="0011617F">
        <w:t>-</w:t>
      </w:r>
      <w:r w:rsidRPr="00FC3975">
        <w:t>standing commitment since being founded by Sam Walton as a small discount retailer in Rogers, Arkansas</w:t>
      </w:r>
      <w:r w:rsidR="0011617F">
        <w:t>,</w:t>
      </w:r>
      <w:r w:rsidRPr="00FC3975">
        <w:t xml:space="preserve"> </w:t>
      </w:r>
      <w:r w:rsidR="006724B8">
        <w:t>was</w:t>
      </w:r>
      <w:r w:rsidRPr="00FC3975">
        <w:t xml:space="preserve"> to supply quality goods at discounted prices, which Walmart Canada maintained.</w:t>
      </w:r>
      <w:r w:rsidRPr="00FC3975">
        <w:rPr>
          <w:vertAlign w:val="superscript"/>
        </w:rPr>
        <w:endnoteReference w:id="73"/>
      </w:r>
      <w:r w:rsidRPr="00FC3975">
        <w:t xml:space="preserve"> </w:t>
      </w:r>
    </w:p>
    <w:p w14:paraId="67FD0BF3" w14:textId="77777777" w:rsidR="005F67CB" w:rsidRDefault="005F67CB" w:rsidP="00FD6CFB">
      <w:pPr>
        <w:pStyle w:val="BodyTextMain"/>
      </w:pPr>
    </w:p>
    <w:p w14:paraId="1FBA9E5C" w14:textId="0DFE32F5" w:rsidR="00FC3975" w:rsidRPr="00FC3975" w:rsidRDefault="00FC3975" w:rsidP="00FD6CFB">
      <w:pPr>
        <w:pStyle w:val="BodyTextMain"/>
      </w:pPr>
      <w:r w:rsidRPr="00FC3975">
        <w:t xml:space="preserve">Pledging to provide Canadians with the </w:t>
      </w:r>
      <w:r w:rsidR="0011617F">
        <w:t>“</w:t>
      </w:r>
      <w:r w:rsidRPr="00FC3975">
        <w:t>quality products they need, at everyday low prices, in the ways they want to shop for them</w:t>
      </w:r>
      <w:r w:rsidR="0011617F">
        <w:t>,”</w:t>
      </w:r>
      <w:r w:rsidRPr="00FC3975">
        <w:t xml:space="preserve"> Walmart expanded </w:t>
      </w:r>
      <w:r w:rsidR="0011617F">
        <w:t>its</w:t>
      </w:r>
      <w:r w:rsidRPr="00FC3975">
        <w:t xml:space="preserve"> vision in Canada to include a significant online retail presence</w:t>
      </w:r>
      <w:r w:rsidR="002F79AE">
        <w:t xml:space="preserve"> through its online retail store, Walmart.ca</w:t>
      </w:r>
      <w:r w:rsidRPr="00FC3975">
        <w:t>.</w:t>
      </w:r>
      <w:r w:rsidRPr="00FC3975">
        <w:rPr>
          <w:vertAlign w:val="superscript"/>
        </w:rPr>
        <w:endnoteReference w:id="74"/>
      </w:r>
      <w:r w:rsidRPr="00FC3975">
        <w:t xml:space="preserve"> Walmart also aimed to compete in the online grocery segment, launching an online grocery pick</w:t>
      </w:r>
      <w:r w:rsidR="000751FD">
        <w:t>-</w:t>
      </w:r>
      <w:r w:rsidRPr="00FC3975">
        <w:t xml:space="preserve">up service in 11 Ottawa locations in 2015, complementing their </w:t>
      </w:r>
      <w:r w:rsidR="006724B8">
        <w:t>“</w:t>
      </w:r>
      <w:r w:rsidRPr="00FC3975">
        <w:t>Grab &amp; Go</w:t>
      </w:r>
      <w:r w:rsidR="006724B8">
        <w:t>”</w:t>
      </w:r>
      <w:r w:rsidRPr="00FC3975">
        <w:t xml:space="preserve"> locker service, which allowed customers to order goods online and have them shipped </w:t>
      </w:r>
      <w:r w:rsidR="006724B8">
        <w:t>at no cost</w:t>
      </w:r>
      <w:r w:rsidRPr="00FC3975">
        <w:t xml:space="preserve"> to a nearby store.</w:t>
      </w:r>
      <w:r w:rsidRPr="00FC3975">
        <w:rPr>
          <w:vertAlign w:val="superscript"/>
        </w:rPr>
        <w:endnoteReference w:id="75"/>
      </w:r>
      <w:r w:rsidRPr="00FC3975">
        <w:t xml:space="preserve"> These investments in online retail were intended to appeal to busy consumers, aiming to privilege the convenience of the shopping experience without sacrificing the low prices Walmart ha</w:t>
      </w:r>
      <w:r w:rsidR="006724B8">
        <w:t>d</w:t>
      </w:r>
      <w:r w:rsidRPr="00FC3975">
        <w:t xml:space="preserve"> historically provided. </w:t>
      </w:r>
    </w:p>
    <w:p w14:paraId="0C734733" w14:textId="77777777" w:rsidR="00717A1F" w:rsidRDefault="00717A1F" w:rsidP="00747738">
      <w:pPr>
        <w:pStyle w:val="BodyTextMain"/>
      </w:pPr>
    </w:p>
    <w:p w14:paraId="351E9FBF" w14:textId="77777777" w:rsidR="00EF7B6F" w:rsidRDefault="00EF7B6F" w:rsidP="00747738">
      <w:pPr>
        <w:pStyle w:val="BodyTextMain"/>
      </w:pPr>
    </w:p>
    <w:p w14:paraId="72E33122" w14:textId="77777777" w:rsidR="00EF7B6F" w:rsidRPr="00326874" w:rsidRDefault="00EF7B6F" w:rsidP="00FD6CFB">
      <w:pPr>
        <w:pStyle w:val="Casehead1"/>
        <w:rPr>
          <w:rFonts w:eastAsiaTheme="minorHAnsi"/>
        </w:rPr>
      </w:pPr>
      <w:r w:rsidRPr="00326874">
        <w:rPr>
          <w:rFonts w:eastAsiaTheme="minorHAnsi"/>
        </w:rPr>
        <w:t>Keeping up with the Canadians</w:t>
      </w:r>
    </w:p>
    <w:p w14:paraId="10E0E1E3" w14:textId="77777777" w:rsidR="00EF7B6F" w:rsidRDefault="00EF7B6F" w:rsidP="00EF7B6F">
      <w:pPr>
        <w:pStyle w:val="BodyTextMain"/>
      </w:pPr>
    </w:p>
    <w:p w14:paraId="321CD60B" w14:textId="77777777" w:rsidR="007B0926" w:rsidRDefault="00EF7B6F" w:rsidP="00EF7B6F">
      <w:pPr>
        <w:pStyle w:val="BodyTextMain"/>
      </w:pPr>
      <w:r>
        <w:t>Staying abreast of the changing tastes and preferences of Canadian consumers proved to be yet another challenge</w:t>
      </w:r>
      <w:r w:rsidR="00654A51">
        <w:t xml:space="preserve"> for Loblaw</w:t>
      </w:r>
      <w:r>
        <w:t xml:space="preserve">. Recent research </w:t>
      </w:r>
      <w:r w:rsidR="006724B8">
        <w:t xml:space="preserve">had </w:t>
      </w:r>
      <w:r>
        <w:t xml:space="preserve">revealed that Canadians were increasingly health-conscious, which directly </w:t>
      </w:r>
      <w:r w:rsidR="006724B8">
        <w:t>affected</w:t>
      </w:r>
      <w:r>
        <w:t xml:space="preserve"> consumption trends. The U.S. Department of Agriculture’s report on Canada, for example, determined that the sales volume of kale, “the queen of greens</w:t>
      </w:r>
      <w:r w:rsidR="006724B8">
        <w:t>,</w:t>
      </w:r>
      <w:r>
        <w:t xml:space="preserve">” </w:t>
      </w:r>
      <w:r w:rsidR="002B1717">
        <w:t>had risen</w:t>
      </w:r>
      <w:r>
        <w:t xml:space="preserve"> by 77</w:t>
      </w:r>
      <w:r w:rsidR="006724B8">
        <w:t xml:space="preserve"> per cent</w:t>
      </w:r>
      <w:r>
        <w:t xml:space="preserve"> in 2014 alone, while hummus, organic frozen pizza, single-serve coffee</w:t>
      </w:r>
      <w:r w:rsidR="006724B8">
        <w:t>,</w:t>
      </w:r>
      <w:r>
        <w:t xml:space="preserve"> and drinkable </w:t>
      </w:r>
      <w:r w:rsidR="00654A51">
        <w:t>yogurt</w:t>
      </w:r>
      <w:r>
        <w:t xml:space="preserve"> also witnessed double-digit sales growth.</w:t>
      </w:r>
      <w:r>
        <w:rPr>
          <w:vertAlign w:val="superscript"/>
        </w:rPr>
        <w:endnoteReference w:id="76"/>
      </w:r>
      <w:r>
        <w:t xml:space="preserve"> Revenue from organic products had risen astronomically between 2011 and 2016, with 45</w:t>
      </w:r>
      <w:r w:rsidR="006724B8">
        <w:t xml:space="preserve"> per cent</w:t>
      </w:r>
      <w:r>
        <w:t xml:space="preserve"> of organic food or beverage sales occurring in grocery stores. P</w:t>
      </w:r>
      <w:r w:rsidR="006724B8">
        <w:t>C</w:t>
      </w:r>
      <w:r>
        <w:rPr>
          <w:i/>
        </w:rPr>
        <w:t xml:space="preserve"> </w:t>
      </w:r>
      <w:r>
        <w:t xml:space="preserve">introduced </w:t>
      </w:r>
      <w:r w:rsidR="00FB6577">
        <w:t>its</w:t>
      </w:r>
      <w:r>
        <w:t xml:space="preserve"> Organics</w:t>
      </w:r>
      <w:r>
        <w:rPr>
          <w:i/>
        </w:rPr>
        <w:t xml:space="preserve"> </w:t>
      </w:r>
      <w:r>
        <w:t xml:space="preserve">line in 2001, </w:t>
      </w:r>
      <w:r w:rsidR="00D927FF">
        <w:t>and it</w:t>
      </w:r>
      <w:r>
        <w:t xml:space="preserve"> had since expanded to include organic products for babies and toddlers. </w:t>
      </w:r>
    </w:p>
    <w:p w14:paraId="634EC804" w14:textId="77777777" w:rsidR="007B0926" w:rsidRDefault="007B0926" w:rsidP="00EF7B6F">
      <w:pPr>
        <w:pStyle w:val="BodyTextMain"/>
      </w:pPr>
    </w:p>
    <w:p w14:paraId="1E4670BF" w14:textId="42F99DFC" w:rsidR="00EF7B6F" w:rsidRDefault="00EF7B6F" w:rsidP="00EF7B6F">
      <w:pPr>
        <w:pStyle w:val="BodyTextMain"/>
      </w:pPr>
      <w:r>
        <w:t>The popularity of single-serving beverages</w:t>
      </w:r>
      <w:r w:rsidR="007B0926">
        <w:t xml:space="preserve"> and </w:t>
      </w:r>
      <w:r>
        <w:t xml:space="preserve">yogurt was also telling; indeed, it suggested that higher-income consumers were flexible with price </w:t>
      </w:r>
      <w:r w:rsidR="00FB6577">
        <w:t>because of</w:t>
      </w:r>
      <w:r>
        <w:t xml:space="preserve"> the value </w:t>
      </w:r>
      <w:r w:rsidR="00FB6577">
        <w:t xml:space="preserve">they </w:t>
      </w:r>
      <w:r>
        <w:t xml:space="preserve">placed on convenience. This prompted Loblaw’s experimentation in </w:t>
      </w:r>
      <w:r w:rsidR="00FB6577">
        <w:t xml:space="preserve">the </w:t>
      </w:r>
      <w:r>
        <w:t xml:space="preserve">summer </w:t>
      </w:r>
      <w:r w:rsidR="00FB6577">
        <w:t xml:space="preserve">of </w:t>
      </w:r>
      <w:r>
        <w:t>2016 with selling fresh produce in 29 Shoppers locations</w:t>
      </w:r>
      <w:r w:rsidR="00FB6577">
        <w:t>—19</w:t>
      </w:r>
      <w:r>
        <w:t xml:space="preserve"> in Toronto</w:t>
      </w:r>
      <w:r w:rsidR="00FB6577">
        <w:t>, Ontario;</w:t>
      </w:r>
      <w:r>
        <w:t xml:space="preserve"> </w:t>
      </w:r>
      <w:r w:rsidR="00FB6577">
        <w:t xml:space="preserve">two in </w:t>
      </w:r>
      <w:r>
        <w:t>Hamilton</w:t>
      </w:r>
      <w:r w:rsidR="00FB6577">
        <w:t>, Ontario;</w:t>
      </w:r>
      <w:r>
        <w:t xml:space="preserve"> and </w:t>
      </w:r>
      <w:r w:rsidR="00FB6577">
        <w:t xml:space="preserve">eight in </w:t>
      </w:r>
      <w:r>
        <w:t>Regina</w:t>
      </w:r>
      <w:r w:rsidR="00FB6577">
        <w:t>, Saskatchewan</w:t>
      </w:r>
      <w:r>
        <w:t>. The initiative was well</w:t>
      </w:r>
      <w:r w:rsidR="00FB6577">
        <w:t xml:space="preserve"> </w:t>
      </w:r>
      <w:r>
        <w:t>received in spite of the relatively high prices of all products tested.</w:t>
      </w:r>
      <w:r>
        <w:rPr>
          <w:vertAlign w:val="superscript"/>
        </w:rPr>
        <w:endnoteReference w:id="77"/>
      </w:r>
      <w:r>
        <w:t xml:space="preserve"> However, management was </w:t>
      </w:r>
      <w:r w:rsidR="00BD5A37">
        <w:t xml:space="preserve">aware </w:t>
      </w:r>
      <w:r>
        <w:t xml:space="preserve">that </w:t>
      </w:r>
      <w:r>
        <w:lastRenderedPageBreak/>
        <w:t>its more expensive products</w:t>
      </w:r>
      <w:r w:rsidR="00FB6577">
        <w:t xml:space="preserve"> and </w:t>
      </w:r>
      <w:r>
        <w:t>services were targeted mostly to individuals belonging to the highest income quartile (28.4</w:t>
      </w:r>
      <w:r w:rsidR="00FB6577">
        <w:t xml:space="preserve"> per cent</w:t>
      </w:r>
      <w:r>
        <w:t xml:space="preserve"> of </w:t>
      </w:r>
      <w:r w:rsidR="00FB6577">
        <w:t xml:space="preserve">the </w:t>
      </w:r>
      <w:r>
        <w:t>market)</w:t>
      </w:r>
      <w:r w:rsidR="00FB6577">
        <w:t>;</w:t>
      </w:r>
      <w:r>
        <w:rPr>
          <w:rStyle w:val="EndnoteReference"/>
        </w:rPr>
        <w:endnoteReference w:id="78"/>
      </w:r>
      <w:r>
        <w:t xml:space="preserve"> much of the remaining market was known to be price-sensitive. </w:t>
      </w:r>
    </w:p>
    <w:p w14:paraId="0F601A78" w14:textId="77777777" w:rsidR="00EF7B6F" w:rsidRDefault="00EF7B6F" w:rsidP="00EF7B6F">
      <w:pPr>
        <w:pStyle w:val="BodyTextMain"/>
      </w:pPr>
    </w:p>
    <w:p w14:paraId="5F11FD46" w14:textId="7D2EA3D6" w:rsidR="00FC0F02" w:rsidRDefault="00EF7B6F" w:rsidP="005E765D">
      <w:pPr>
        <w:pStyle w:val="BodyTextMain"/>
      </w:pPr>
      <w:r>
        <w:t>Weston Jr. needed to consider if Loblaw’s investment would be best directed at initiatives designed to improve operational efficiency or customer experience</w:t>
      </w:r>
      <w:r w:rsidR="00DD6CC2">
        <w:t xml:space="preserve">, </w:t>
      </w:r>
      <w:r>
        <w:t>whether th</w:t>
      </w:r>
      <w:r w:rsidR="00654A51">
        <w:t xml:space="preserve">ese initiatives </w:t>
      </w:r>
      <w:r>
        <w:t>called for investing in automated distribution cent</w:t>
      </w:r>
      <w:r w:rsidR="00FB6577">
        <w:t>r</w:t>
      </w:r>
      <w:r>
        <w:t>es as Sobeys had done in 2013 or expanding self-checkout systems</w:t>
      </w:r>
      <w:r w:rsidR="00DD6CC2">
        <w:t>,</w:t>
      </w:r>
      <w:r>
        <w:t xml:space="preserve"> and the capabilities of the mobile application for the PC Plus loyalty program to win tech-savvy consumers.</w:t>
      </w:r>
      <w:r w:rsidR="00BD40F5">
        <w:rPr>
          <w:rStyle w:val="EndnoteReference"/>
        </w:rPr>
        <w:endnoteReference w:id="79"/>
      </w:r>
      <w:r w:rsidR="00BD40F5">
        <w:t xml:space="preserve"> </w:t>
      </w:r>
      <w:r>
        <w:br w:type="page"/>
      </w:r>
    </w:p>
    <w:p w14:paraId="502E5D31" w14:textId="77777777" w:rsidR="00FC0F02" w:rsidRDefault="00FC0F02" w:rsidP="009C4748">
      <w:pPr>
        <w:pStyle w:val="ExhibitHeading"/>
        <w:outlineLvl w:val="0"/>
        <w:rPr>
          <w:sz w:val="22"/>
          <w:szCs w:val="22"/>
        </w:rPr>
      </w:pPr>
      <w:r w:rsidRPr="00326874">
        <w:lastRenderedPageBreak/>
        <w:t>Exhibit 1: SWOT Analysis of Loblaw</w:t>
      </w:r>
    </w:p>
    <w:p w14:paraId="1DB9F6D2" w14:textId="77777777" w:rsidR="00FC0F02" w:rsidRDefault="00FC0F02" w:rsidP="00FD6CFB">
      <w:pPr>
        <w:pStyle w:val="ExhibitText"/>
        <w:rPr>
          <w:rFonts w:eastAsia="Garamond"/>
        </w:rPr>
      </w:pPr>
    </w:p>
    <w:tbl>
      <w:tblPr>
        <w:tblW w:w="92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3"/>
        <w:gridCol w:w="3260"/>
        <w:gridCol w:w="3637"/>
      </w:tblGrid>
      <w:tr w:rsidR="00FC0F02" w14:paraId="4F2476F7" w14:textId="77777777" w:rsidTr="00B45C0F">
        <w:trPr>
          <w:trHeight w:val="560"/>
          <w:jc w:val="center"/>
        </w:trPr>
        <w:tc>
          <w:tcPr>
            <w:tcW w:w="2323" w:type="dxa"/>
            <w:shd w:val="clear" w:color="auto" w:fill="FFFFFF"/>
            <w:vAlign w:val="center"/>
          </w:tcPr>
          <w:p w14:paraId="023E9DDA" w14:textId="77777777" w:rsidR="00FC0F02" w:rsidRPr="00326874" w:rsidRDefault="00FC0F02" w:rsidP="00FC0F02">
            <w:pPr>
              <w:pStyle w:val="ExhibitText"/>
              <w:rPr>
                <w:rFonts w:eastAsia="Arial"/>
              </w:rPr>
            </w:pPr>
          </w:p>
        </w:tc>
        <w:tc>
          <w:tcPr>
            <w:tcW w:w="3260" w:type="dxa"/>
            <w:shd w:val="clear" w:color="auto" w:fill="FFFFFF"/>
            <w:vAlign w:val="center"/>
          </w:tcPr>
          <w:p w14:paraId="373A5337" w14:textId="77777777" w:rsidR="00FC0F02" w:rsidRPr="00326874" w:rsidRDefault="00FC0F02" w:rsidP="00FC0F02">
            <w:pPr>
              <w:pStyle w:val="ExhibitText"/>
              <w:jc w:val="center"/>
              <w:rPr>
                <w:rFonts w:eastAsia="Arial"/>
              </w:rPr>
            </w:pPr>
            <w:r w:rsidRPr="00326874">
              <w:rPr>
                <w:rFonts w:eastAsia="Arial"/>
                <w:b/>
              </w:rPr>
              <w:t>Helpful</w:t>
            </w:r>
          </w:p>
          <w:p w14:paraId="53974677" w14:textId="02108190" w:rsidR="00FC0F02" w:rsidRPr="00E64AC1" w:rsidRDefault="00FC0F02" w:rsidP="006B7D62">
            <w:pPr>
              <w:pStyle w:val="ExhibitText"/>
              <w:jc w:val="center"/>
              <w:rPr>
                <w:rFonts w:eastAsia="Arial"/>
                <w:b/>
              </w:rPr>
            </w:pPr>
            <w:r w:rsidRPr="00E64AC1">
              <w:rPr>
                <w:rFonts w:eastAsia="Arial"/>
                <w:b/>
              </w:rPr>
              <w:t xml:space="preserve">to </w:t>
            </w:r>
            <w:r w:rsidR="006B7D62">
              <w:rPr>
                <w:rFonts w:eastAsia="Arial"/>
                <w:b/>
              </w:rPr>
              <w:t>A</w:t>
            </w:r>
            <w:r w:rsidRPr="00E64AC1">
              <w:rPr>
                <w:rFonts w:eastAsia="Arial"/>
                <w:b/>
              </w:rPr>
              <w:t xml:space="preserve">chieving the </w:t>
            </w:r>
            <w:r w:rsidR="006B7D62">
              <w:rPr>
                <w:rFonts w:eastAsia="Arial"/>
                <w:b/>
              </w:rPr>
              <w:t>O</w:t>
            </w:r>
            <w:r w:rsidRPr="00E64AC1">
              <w:rPr>
                <w:rFonts w:eastAsia="Arial"/>
                <w:b/>
              </w:rPr>
              <w:t>bjective(s)</w:t>
            </w:r>
          </w:p>
        </w:tc>
        <w:tc>
          <w:tcPr>
            <w:tcW w:w="3637" w:type="dxa"/>
            <w:shd w:val="clear" w:color="auto" w:fill="FFFFFF"/>
            <w:vAlign w:val="center"/>
          </w:tcPr>
          <w:p w14:paraId="6D7719C5" w14:textId="77777777" w:rsidR="00FC0F02" w:rsidRPr="00326874" w:rsidRDefault="00FC0F02" w:rsidP="00FC0F02">
            <w:pPr>
              <w:pStyle w:val="ExhibitText"/>
              <w:jc w:val="center"/>
              <w:rPr>
                <w:rFonts w:eastAsia="Arial"/>
              </w:rPr>
            </w:pPr>
            <w:r w:rsidRPr="00326874">
              <w:rPr>
                <w:rFonts w:eastAsia="Arial"/>
                <w:b/>
              </w:rPr>
              <w:t>Harmful</w:t>
            </w:r>
          </w:p>
          <w:p w14:paraId="0D2492E8" w14:textId="1BF078D3" w:rsidR="00FC0F02" w:rsidRPr="00E64AC1" w:rsidRDefault="00FC0F02" w:rsidP="006B7D62">
            <w:pPr>
              <w:pStyle w:val="ExhibitText"/>
              <w:jc w:val="center"/>
              <w:rPr>
                <w:rFonts w:eastAsia="Arial"/>
                <w:b/>
              </w:rPr>
            </w:pPr>
            <w:r w:rsidRPr="00E64AC1">
              <w:rPr>
                <w:rFonts w:eastAsia="Arial"/>
                <w:b/>
              </w:rPr>
              <w:t xml:space="preserve">to </w:t>
            </w:r>
            <w:r w:rsidR="006B7D62">
              <w:rPr>
                <w:rFonts w:eastAsia="Arial"/>
                <w:b/>
              </w:rPr>
              <w:t>A</w:t>
            </w:r>
            <w:r w:rsidRPr="00E64AC1">
              <w:rPr>
                <w:rFonts w:eastAsia="Arial"/>
                <w:b/>
              </w:rPr>
              <w:t xml:space="preserve">chieving the </w:t>
            </w:r>
            <w:r w:rsidR="006B7D62">
              <w:rPr>
                <w:rFonts w:eastAsia="Arial"/>
                <w:b/>
              </w:rPr>
              <w:t>O</w:t>
            </w:r>
            <w:r w:rsidRPr="00E64AC1">
              <w:rPr>
                <w:rFonts w:eastAsia="Arial"/>
                <w:b/>
              </w:rPr>
              <w:t>bjective(s)</w:t>
            </w:r>
          </w:p>
        </w:tc>
      </w:tr>
      <w:tr w:rsidR="00FC0F02" w14:paraId="72BD4318" w14:textId="77777777" w:rsidTr="009466E5">
        <w:trPr>
          <w:trHeight w:val="2186"/>
          <w:jc w:val="center"/>
        </w:trPr>
        <w:tc>
          <w:tcPr>
            <w:tcW w:w="2323" w:type="dxa"/>
            <w:shd w:val="clear" w:color="auto" w:fill="FFFFFF"/>
            <w:vAlign w:val="center"/>
          </w:tcPr>
          <w:p w14:paraId="44F4D3C5" w14:textId="77777777" w:rsidR="00FC0F02" w:rsidRPr="00326874" w:rsidRDefault="00FC0F02" w:rsidP="00FC0F02">
            <w:pPr>
              <w:pStyle w:val="ExhibitText"/>
              <w:jc w:val="left"/>
              <w:rPr>
                <w:rFonts w:eastAsia="Arial"/>
                <w:b/>
              </w:rPr>
            </w:pPr>
            <w:r>
              <w:rPr>
                <w:rFonts w:eastAsia="Arial"/>
                <w:b/>
              </w:rPr>
              <w:t>Internal O</w:t>
            </w:r>
            <w:r w:rsidRPr="00326874">
              <w:rPr>
                <w:rFonts w:eastAsia="Arial"/>
                <w:b/>
              </w:rPr>
              <w:t>rigin</w:t>
            </w:r>
          </w:p>
          <w:p w14:paraId="7F6D17EF" w14:textId="77777777" w:rsidR="00FC0F02" w:rsidRPr="00326874" w:rsidRDefault="00FC0F02" w:rsidP="00FC0F02">
            <w:pPr>
              <w:pStyle w:val="ExhibitText"/>
              <w:jc w:val="left"/>
              <w:rPr>
                <w:rFonts w:eastAsia="Arial"/>
              </w:rPr>
            </w:pPr>
            <w:r w:rsidRPr="00326874">
              <w:rPr>
                <w:rFonts w:eastAsia="Arial"/>
                <w:b/>
              </w:rPr>
              <w:t>(attributes of the system)</w:t>
            </w:r>
          </w:p>
        </w:tc>
        <w:tc>
          <w:tcPr>
            <w:tcW w:w="3260" w:type="dxa"/>
            <w:shd w:val="clear" w:color="auto" w:fill="FFFFFF"/>
          </w:tcPr>
          <w:p w14:paraId="173C3732" w14:textId="77777777" w:rsidR="00FC0F02" w:rsidRDefault="00FC0F02" w:rsidP="009466E5">
            <w:pPr>
              <w:pStyle w:val="ExhibitText"/>
              <w:jc w:val="left"/>
              <w:rPr>
                <w:rFonts w:eastAsia="Arial"/>
                <w:b/>
                <w:i/>
              </w:rPr>
            </w:pPr>
            <w:r w:rsidRPr="00326874">
              <w:rPr>
                <w:rFonts w:eastAsia="Arial"/>
                <w:b/>
                <w:i/>
              </w:rPr>
              <w:t>Strengths</w:t>
            </w:r>
          </w:p>
          <w:p w14:paraId="7C1E26F1" w14:textId="77777777" w:rsidR="00FC0F02" w:rsidRPr="00326874" w:rsidRDefault="00FC0F02" w:rsidP="009466E5">
            <w:pPr>
              <w:pStyle w:val="ExhibitText"/>
              <w:jc w:val="left"/>
              <w:rPr>
                <w:rFonts w:eastAsia="Arial"/>
                <w:b/>
                <w:i/>
              </w:rPr>
            </w:pPr>
          </w:p>
          <w:p w14:paraId="2BC8EB15" w14:textId="77777777" w:rsidR="00FC0F02" w:rsidRPr="00326874" w:rsidRDefault="00FC0F02" w:rsidP="009466E5">
            <w:pPr>
              <w:pStyle w:val="ExhibitText"/>
              <w:numPr>
                <w:ilvl w:val="0"/>
                <w:numId w:val="29"/>
              </w:numPr>
              <w:jc w:val="left"/>
            </w:pPr>
            <w:r w:rsidRPr="00326874">
              <w:rPr>
                <w:rFonts w:eastAsia="Arial"/>
              </w:rPr>
              <w:t>Market share leadership</w:t>
            </w:r>
          </w:p>
          <w:p w14:paraId="55EF3E19" w14:textId="77777777" w:rsidR="00FC0F02" w:rsidRPr="00326874" w:rsidRDefault="00FC0F02" w:rsidP="009466E5">
            <w:pPr>
              <w:pStyle w:val="ExhibitText"/>
              <w:numPr>
                <w:ilvl w:val="0"/>
                <w:numId w:val="29"/>
              </w:numPr>
              <w:jc w:val="left"/>
            </w:pPr>
            <w:r w:rsidRPr="00326874">
              <w:rPr>
                <w:rFonts w:eastAsia="Arial"/>
              </w:rPr>
              <w:t>Brand equity of President’s Choice private label</w:t>
            </w:r>
          </w:p>
          <w:p w14:paraId="562E2B22" w14:textId="77777777" w:rsidR="00FC0F02" w:rsidRPr="00326874" w:rsidRDefault="00FC0F02" w:rsidP="009466E5">
            <w:pPr>
              <w:pStyle w:val="ExhibitText"/>
              <w:numPr>
                <w:ilvl w:val="0"/>
                <w:numId w:val="29"/>
              </w:numPr>
              <w:jc w:val="left"/>
            </w:pPr>
            <w:r w:rsidRPr="00326874">
              <w:rPr>
                <w:rFonts w:eastAsia="Arial"/>
              </w:rPr>
              <w:t>Early penetration of organic and ethnic food markets</w:t>
            </w:r>
          </w:p>
          <w:p w14:paraId="4439A053" w14:textId="77777777" w:rsidR="00FC0F02" w:rsidRPr="00326874" w:rsidRDefault="00FC0F02" w:rsidP="009466E5">
            <w:pPr>
              <w:pStyle w:val="ExhibitText"/>
              <w:numPr>
                <w:ilvl w:val="0"/>
                <w:numId w:val="29"/>
              </w:numPr>
              <w:jc w:val="left"/>
            </w:pPr>
            <w:r w:rsidRPr="00326874">
              <w:rPr>
                <w:rFonts w:eastAsia="Arial"/>
              </w:rPr>
              <w:t>Long corporate history</w:t>
            </w:r>
          </w:p>
          <w:p w14:paraId="71C87C59" w14:textId="77777777" w:rsidR="00FC0F02" w:rsidRPr="00326874" w:rsidRDefault="00FC0F02" w:rsidP="009466E5">
            <w:pPr>
              <w:pStyle w:val="ExhibitText"/>
              <w:numPr>
                <w:ilvl w:val="0"/>
                <w:numId w:val="29"/>
              </w:numPr>
              <w:jc w:val="left"/>
            </w:pPr>
            <w:r w:rsidRPr="00326874">
              <w:rPr>
                <w:rFonts w:eastAsia="Arial"/>
              </w:rPr>
              <w:t>Management/leadership</w:t>
            </w:r>
          </w:p>
          <w:p w14:paraId="33574743" w14:textId="3579792A" w:rsidR="00FC0F02" w:rsidRPr="00326874" w:rsidRDefault="00FC0F02" w:rsidP="009466E5">
            <w:pPr>
              <w:pStyle w:val="ExhibitText"/>
              <w:numPr>
                <w:ilvl w:val="0"/>
                <w:numId w:val="29"/>
              </w:numPr>
              <w:jc w:val="left"/>
            </w:pPr>
            <w:r w:rsidRPr="00326874">
              <w:rPr>
                <w:rFonts w:eastAsia="Arial"/>
              </w:rPr>
              <w:t>Scale, size</w:t>
            </w:r>
            <w:r w:rsidR="006B7D62">
              <w:rPr>
                <w:rFonts w:eastAsia="Arial"/>
              </w:rPr>
              <w:t>,</w:t>
            </w:r>
            <w:r w:rsidRPr="00326874">
              <w:rPr>
                <w:rFonts w:eastAsia="Arial"/>
              </w:rPr>
              <w:t xml:space="preserve"> and stability</w:t>
            </w:r>
          </w:p>
        </w:tc>
        <w:tc>
          <w:tcPr>
            <w:tcW w:w="3637" w:type="dxa"/>
            <w:shd w:val="clear" w:color="auto" w:fill="FFFFFF"/>
          </w:tcPr>
          <w:p w14:paraId="3655A298" w14:textId="77777777" w:rsidR="00FC0F02" w:rsidRDefault="00FC0F02" w:rsidP="009466E5">
            <w:pPr>
              <w:pStyle w:val="ExhibitText"/>
              <w:jc w:val="left"/>
              <w:rPr>
                <w:rFonts w:eastAsia="Arial"/>
                <w:b/>
                <w:i/>
              </w:rPr>
            </w:pPr>
            <w:r w:rsidRPr="00326874">
              <w:rPr>
                <w:rFonts w:eastAsia="Arial"/>
                <w:b/>
                <w:i/>
              </w:rPr>
              <w:t>Weaknesses</w:t>
            </w:r>
          </w:p>
          <w:p w14:paraId="0E4B5F1D" w14:textId="77777777" w:rsidR="00FC0F02" w:rsidRPr="00326874" w:rsidRDefault="00FC0F02" w:rsidP="009466E5">
            <w:pPr>
              <w:pStyle w:val="ExhibitText"/>
              <w:jc w:val="left"/>
              <w:rPr>
                <w:rFonts w:eastAsia="Arial"/>
                <w:b/>
                <w:i/>
              </w:rPr>
            </w:pPr>
          </w:p>
          <w:p w14:paraId="7C8C905B" w14:textId="77777777" w:rsidR="00FC0F02" w:rsidRPr="00C24A1A" w:rsidRDefault="00FC0F02" w:rsidP="009466E5">
            <w:pPr>
              <w:pStyle w:val="ExhibitText"/>
              <w:numPr>
                <w:ilvl w:val="0"/>
                <w:numId w:val="30"/>
              </w:numPr>
              <w:jc w:val="left"/>
              <w:rPr>
                <w:rFonts w:eastAsia="Arial"/>
              </w:rPr>
            </w:pPr>
            <w:r w:rsidRPr="00326874">
              <w:rPr>
                <w:rFonts w:eastAsia="Arial"/>
              </w:rPr>
              <w:t>Potentially over</w:t>
            </w:r>
            <w:r>
              <w:rPr>
                <w:rFonts w:eastAsia="Arial"/>
              </w:rPr>
              <w:t>-</w:t>
            </w:r>
            <w:r w:rsidRPr="00326874">
              <w:rPr>
                <w:rFonts w:eastAsia="Arial"/>
              </w:rPr>
              <w:t>diversified</w:t>
            </w:r>
          </w:p>
          <w:p w14:paraId="378AF56F" w14:textId="5A72C3CC" w:rsidR="00FC0F02" w:rsidRPr="00C24A1A" w:rsidRDefault="00FC0F02" w:rsidP="009466E5">
            <w:pPr>
              <w:pStyle w:val="ExhibitText"/>
              <w:numPr>
                <w:ilvl w:val="0"/>
                <w:numId w:val="30"/>
              </w:numPr>
              <w:jc w:val="left"/>
              <w:rPr>
                <w:rFonts w:eastAsia="Arial"/>
              </w:rPr>
            </w:pPr>
            <w:r>
              <w:rPr>
                <w:rFonts w:eastAsia="Arial"/>
              </w:rPr>
              <w:t>S</w:t>
            </w:r>
            <w:r w:rsidR="006B7D62">
              <w:rPr>
                <w:rFonts w:eastAsia="Arial"/>
              </w:rPr>
              <w:t>hoppers</w:t>
            </w:r>
            <w:r w:rsidR="005E765D">
              <w:rPr>
                <w:rFonts w:eastAsia="Arial"/>
              </w:rPr>
              <w:t xml:space="preserve"> </w:t>
            </w:r>
            <w:r w:rsidRPr="00326874">
              <w:rPr>
                <w:rFonts w:eastAsia="Arial"/>
              </w:rPr>
              <w:t>acquisition revenue/cost synergies remain unrealized</w:t>
            </w:r>
          </w:p>
          <w:p w14:paraId="68F67F42" w14:textId="7357FB0F" w:rsidR="00FC0F02" w:rsidRPr="00C24A1A" w:rsidRDefault="00FC0F02" w:rsidP="009466E5">
            <w:pPr>
              <w:pStyle w:val="ExhibitText"/>
              <w:numPr>
                <w:ilvl w:val="0"/>
                <w:numId w:val="30"/>
              </w:numPr>
              <w:jc w:val="left"/>
              <w:rPr>
                <w:rFonts w:eastAsia="Arial"/>
              </w:rPr>
            </w:pPr>
            <w:r w:rsidRPr="00326874">
              <w:rPr>
                <w:rFonts w:eastAsia="Arial"/>
              </w:rPr>
              <w:t>Meag</w:t>
            </w:r>
            <w:r w:rsidR="006B7D62">
              <w:rPr>
                <w:rFonts w:eastAsia="Arial"/>
              </w:rPr>
              <w:t>r</w:t>
            </w:r>
            <w:r w:rsidRPr="00326874">
              <w:rPr>
                <w:rFonts w:eastAsia="Arial"/>
              </w:rPr>
              <w:t>e revenue growth</w:t>
            </w:r>
          </w:p>
          <w:p w14:paraId="537D024F" w14:textId="77777777" w:rsidR="00FC0F02" w:rsidRPr="00C24A1A" w:rsidRDefault="00FC0F02" w:rsidP="009466E5">
            <w:pPr>
              <w:pStyle w:val="ExhibitText"/>
              <w:numPr>
                <w:ilvl w:val="0"/>
                <w:numId w:val="30"/>
              </w:numPr>
              <w:jc w:val="left"/>
              <w:rPr>
                <w:rFonts w:eastAsia="Arial"/>
              </w:rPr>
            </w:pPr>
            <w:r w:rsidRPr="00326874">
              <w:rPr>
                <w:rFonts w:eastAsia="Arial"/>
              </w:rPr>
              <w:t>Declining net earnings</w:t>
            </w:r>
          </w:p>
          <w:p w14:paraId="7DCE69C9" w14:textId="77777777" w:rsidR="00FC0F02" w:rsidRPr="00326874" w:rsidRDefault="00FC0F02" w:rsidP="009466E5">
            <w:pPr>
              <w:pStyle w:val="ExhibitText"/>
              <w:jc w:val="left"/>
              <w:rPr>
                <w:rFonts w:eastAsia="Arial"/>
              </w:rPr>
            </w:pPr>
          </w:p>
        </w:tc>
      </w:tr>
      <w:tr w:rsidR="00FC0F02" w14:paraId="0999C79F" w14:textId="77777777" w:rsidTr="009466E5">
        <w:trPr>
          <w:trHeight w:val="2820"/>
          <w:jc w:val="center"/>
        </w:trPr>
        <w:tc>
          <w:tcPr>
            <w:tcW w:w="2323" w:type="dxa"/>
            <w:shd w:val="clear" w:color="auto" w:fill="FFFFFF"/>
            <w:vAlign w:val="center"/>
          </w:tcPr>
          <w:p w14:paraId="61C3F251" w14:textId="77777777" w:rsidR="00FC0F02" w:rsidRPr="00326874" w:rsidRDefault="00FC0F02" w:rsidP="00FC0F02">
            <w:pPr>
              <w:pStyle w:val="ExhibitText"/>
              <w:jc w:val="left"/>
              <w:rPr>
                <w:rFonts w:eastAsia="Arial"/>
              </w:rPr>
            </w:pPr>
            <w:r>
              <w:rPr>
                <w:rFonts w:eastAsia="Arial"/>
                <w:b/>
              </w:rPr>
              <w:t>External O</w:t>
            </w:r>
            <w:r w:rsidRPr="00326874">
              <w:rPr>
                <w:rFonts w:eastAsia="Arial"/>
                <w:b/>
              </w:rPr>
              <w:t>rigin</w:t>
            </w:r>
            <w:r w:rsidRPr="00326874">
              <w:rPr>
                <w:rFonts w:eastAsia="Arial"/>
                <w:b/>
              </w:rPr>
              <w:br/>
              <w:t>(attributes of the environment)</w:t>
            </w:r>
          </w:p>
        </w:tc>
        <w:tc>
          <w:tcPr>
            <w:tcW w:w="3260" w:type="dxa"/>
            <w:shd w:val="clear" w:color="auto" w:fill="FFFFFF"/>
          </w:tcPr>
          <w:p w14:paraId="3533FE58" w14:textId="77777777" w:rsidR="00FC0F02" w:rsidRDefault="00FC0F02" w:rsidP="009466E5">
            <w:pPr>
              <w:pStyle w:val="ExhibitText"/>
              <w:jc w:val="left"/>
              <w:rPr>
                <w:rFonts w:eastAsia="Arial"/>
                <w:b/>
                <w:i/>
              </w:rPr>
            </w:pPr>
            <w:r w:rsidRPr="00326874">
              <w:rPr>
                <w:rFonts w:eastAsia="Arial"/>
                <w:b/>
                <w:i/>
              </w:rPr>
              <w:t>Opportunities</w:t>
            </w:r>
          </w:p>
          <w:p w14:paraId="26B1458B" w14:textId="77777777" w:rsidR="00FC0F02" w:rsidRPr="00326874" w:rsidRDefault="00FC0F02" w:rsidP="009466E5">
            <w:pPr>
              <w:pStyle w:val="ExhibitText"/>
              <w:jc w:val="left"/>
              <w:rPr>
                <w:rFonts w:eastAsia="Arial"/>
                <w:b/>
                <w:i/>
              </w:rPr>
            </w:pPr>
          </w:p>
          <w:p w14:paraId="79C5BB96" w14:textId="0654F9A1" w:rsidR="00FC0F02" w:rsidRPr="00C24A1A" w:rsidRDefault="00FC0F02" w:rsidP="009466E5">
            <w:pPr>
              <w:pStyle w:val="ExhibitText"/>
              <w:numPr>
                <w:ilvl w:val="0"/>
                <w:numId w:val="31"/>
              </w:numPr>
              <w:jc w:val="left"/>
              <w:rPr>
                <w:rFonts w:eastAsia="Arial"/>
              </w:rPr>
            </w:pPr>
            <w:r w:rsidRPr="00326874">
              <w:rPr>
                <w:rFonts w:eastAsia="Arial"/>
              </w:rPr>
              <w:t xml:space="preserve">Expand offerings of healthy products to appeal to </w:t>
            </w:r>
            <w:r w:rsidR="006B7D62">
              <w:rPr>
                <w:rFonts w:eastAsia="Arial"/>
              </w:rPr>
              <w:t xml:space="preserve">the </w:t>
            </w:r>
            <w:r w:rsidRPr="00326874">
              <w:rPr>
                <w:rFonts w:eastAsia="Arial"/>
              </w:rPr>
              <w:t>health-conscious market</w:t>
            </w:r>
          </w:p>
          <w:p w14:paraId="31BA5E62" w14:textId="7A6307FB" w:rsidR="00FC0F02" w:rsidRPr="00C24A1A" w:rsidRDefault="00FC0F02" w:rsidP="009466E5">
            <w:pPr>
              <w:pStyle w:val="ExhibitText"/>
              <w:numPr>
                <w:ilvl w:val="0"/>
                <w:numId w:val="31"/>
              </w:numPr>
              <w:jc w:val="left"/>
              <w:rPr>
                <w:rFonts w:eastAsia="Arial"/>
              </w:rPr>
            </w:pPr>
            <w:r w:rsidRPr="00326874">
              <w:rPr>
                <w:rFonts w:eastAsia="Arial"/>
              </w:rPr>
              <w:t>Attract consumers with low price sensitivity by re</w:t>
            </w:r>
            <w:r>
              <w:rPr>
                <w:rFonts w:eastAsia="Arial"/>
              </w:rPr>
              <w:t>mode</w:t>
            </w:r>
            <w:r w:rsidR="006B7D62">
              <w:rPr>
                <w:rFonts w:eastAsia="Arial"/>
              </w:rPr>
              <w:t>l</w:t>
            </w:r>
            <w:r w:rsidRPr="00326874">
              <w:rPr>
                <w:rFonts w:eastAsia="Arial"/>
              </w:rPr>
              <w:t>ling major locations</w:t>
            </w:r>
          </w:p>
          <w:p w14:paraId="55C396DD" w14:textId="7DCF3751" w:rsidR="00FC0F02" w:rsidRPr="00326874" w:rsidRDefault="00FC0F02" w:rsidP="009466E5">
            <w:pPr>
              <w:pStyle w:val="ExhibitText"/>
              <w:numPr>
                <w:ilvl w:val="0"/>
                <w:numId w:val="31"/>
              </w:numPr>
              <w:jc w:val="left"/>
            </w:pPr>
            <w:r w:rsidRPr="00326874">
              <w:rPr>
                <w:rFonts w:eastAsia="Arial"/>
              </w:rPr>
              <w:t xml:space="preserve">Promote premium-priced food offerings </w:t>
            </w:r>
            <w:r w:rsidR="006B7D62">
              <w:rPr>
                <w:rFonts w:eastAsia="Arial"/>
              </w:rPr>
              <w:t>through</w:t>
            </w:r>
            <w:r w:rsidRPr="00326874">
              <w:rPr>
                <w:rFonts w:eastAsia="Arial"/>
              </w:rPr>
              <w:t xml:space="preserve"> Shoppers</w:t>
            </w:r>
            <w:r w:rsidR="009C4748">
              <w:rPr>
                <w:rFonts w:eastAsia="Arial"/>
              </w:rPr>
              <w:t xml:space="preserve"> </w:t>
            </w:r>
            <w:r w:rsidRPr="00326874">
              <w:rPr>
                <w:rFonts w:eastAsia="Arial"/>
              </w:rPr>
              <w:t>to win convenience-driven consumers</w:t>
            </w:r>
          </w:p>
        </w:tc>
        <w:tc>
          <w:tcPr>
            <w:tcW w:w="3637" w:type="dxa"/>
            <w:shd w:val="clear" w:color="auto" w:fill="FFFFFF"/>
          </w:tcPr>
          <w:p w14:paraId="4B7F7E24" w14:textId="77777777" w:rsidR="00FC0F02" w:rsidRDefault="00FC0F02" w:rsidP="009466E5">
            <w:pPr>
              <w:pStyle w:val="ExhibitText"/>
              <w:jc w:val="left"/>
              <w:rPr>
                <w:rFonts w:eastAsia="Arial"/>
                <w:b/>
                <w:i/>
              </w:rPr>
            </w:pPr>
            <w:r w:rsidRPr="00326874">
              <w:rPr>
                <w:rFonts w:eastAsia="Arial"/>
                <w:b/>
                <w:i/>
              </w:rPr>
              <w:t>Threats</w:t>
            </w:r>
          </w:p>
          <w:p w14:paraId="75170D75" w14:textId="77777777" w:rsidR="00FC0F02" w:rsidRPr="00326874" w:rsidRDefault="00FC0F02" w:rsidP="009466E5">
            <w:pPr>
              <w:pStyle w:val="ExhibitText"/>
              <w:jc w:val="left"/>
              <w:rPr>
                <w:rFonts w:eastAsia="Arial"/>
                <w:b/>
                <w:i/>
              </w:rPr>
            </w:pPr>
          </w:p>
          <w:p w14:paraId="106C2E4E" w14:textId="77777777" w:rsidR="00FC0F02" w:rsidRPr="00C24A1A" w:rsidRDefault="00FC0F02" w:rsidP="009466E5">
            <w:pPr>
              <w:pStyle w:val="ExhibitText"/>
              <w:numPr>
                <w:ilvl w:val="0"/>
                <w:numId w:val="32"/>
              </w:numPr>
              <w:jc w:val="left"/>
              <w:rPr>
                <w:rFonts w:eastAsia="Arial"/>
              </w:rPr>
            </w:pPr>
            <w:r w:rsidRPr="00326874">
              <w:rPr>
                <w:rFonts w:eastAsia="Arial"/>
              </w:rPr>
              <w:t>Sustained food inflation will depress margins across the supply chain</w:t>
            </w:r>
          </w:p>
          <w:p w14:paraId="21390FEC" w14:textId="77777777" w:rsidR="00FC0F02" w:rsidRPr="00C24A1A" w:rsidRDefault="00FC0F02" w:rsidP="009466E5">
            <w:pPr>
              <w:pStyle w:val="ExhibitText"/>
              <w:numPr>
                <w:ilvl w:val="0"/>
                <w:numId w:val="32"/>
              </w:numPr>
              <w:jc w:val="left"/>
              <w:rPr>
                <w:rFonts w:eastAsia="Arial"/>
              </w:rPr>
            </w:pPr>
            <w:r w:rsidRPr="00326874">
              <w:rPr>
                <w:rFonts w:eastAsia="Arial"/>
              </w:rPr>
              <w:t xml:space="preserve">Low industry growth diminishes opportunities for shared value </w:t>
            </w:r>
          </w:p>
          <w:p w14:paraId="2524A34F" w14:textId="04F9599A" w:rsidR="00FC0F02" w:rsidRPr="00326874" w:rsidRDefault="00FC0F02" w:rsidP="009466E5">
            <w:pPr>
              <w:pStyle w:val="ExhibitText"/>
              <w:numPr>
                <w:ilvl w:val="0"/>
                <w:numId w:val="32"/>
              </w:numPr>
              <w:jc w:val="left"/>
            </w:pPr>
            <w:r w:rsidRPr="00326874">
              <w:rPr>
                <w:rFonts w:eastAsia="Arial"/>
              </w:rPr>
              <w:t>Warehouse clubs threaten to steal market share from leading competitors (Loblaw, Sobeys</w:t>
            </w:r>
            <w:r w:rsidR="006B7D62">
              <w:rPr>
                <w:rFonts w:eastAsia="Arial"/>
              </w:rPr>
              <w:t>,</w:t>
            </w:r>
            <w:r w:rsidRPr="00326874">
              <w:rPr>
                <w:rFonts w:eastAsia="Arial"/>
              </w:rPr>
              <w:t xml:space="preserve"> and Metro) by competing on price</w:t>
            </w:r>
          </w:p>
        </w:tc>
      </w:tr>
    </w:tbl>
    <w:p w14:paraId="6B8BE1E5" w14:textId="77777777" w:rsidR="00FC0F02" w:rsidRDefault="00FC0F02" w:rsidP="00FD6CFB">
      <w:pPr>
        <w:pStyle w:val="ExhibitText"/>
        <w:rPr>
          <w:rFonts w:eastAsia="Garamond"/>
        </w:rPr>
      </w:pPr>
    </w:p>
    <w:p w14:paraId="40159613" w14:textId="77777777" w:rsidR="009466E5" w:rsidRDefault="00FC0F02" w:rsidP="00FC0F02">
      <w:pPr>
        <w:pStyle w:val="ExhibitText"/>
        <w:rPr>
          <w:rFonts w:eastAsia="Garamond"/>
        </w:rPr>
      </w:pPr>
      <w:r w:rsidRPr="00326874">
        <w:rPr>
          <w:rFonts w:eastAsia="Garamond"/>
        </w:rPr>
        <w:t>As the figure above illustrates, Loblaw face</w:t>
      </w:r>
      <w:r>
        <w:rPr>
          <w:rFonts w:eastAsia="Garamond"/>
        </w:rPr>
        <w:t>d</w:t>
      </w:r>
      <w:r w:rsidRPr="00326874">
        <w:rPr>
          <w:rFonts w:eastAsia="Garamond"/>
        </w:rPr>
        <w:t xml:space="preserve"> a number of challenges in the changing competitive landscape. Specifically, Loblaw </w:t>
      </w:r>
      <w:r>
        <w:rPr>
          <w:rFonts w:eastAsia="Garamond"/>
        </w:rPr>
        <w:t>needed to decide</w:t>
      </w:r>
      <w:r w:rsidRPr="00326874">
        <w:rPr>
          <w:rFonts w:eastAsia="Garamond"/>
        </w:rPr>
        <w:t xml:space="preserve"> whether to absorb input price increases (e.g.</w:t>
      </w:r>
      <w:r w:rsidR="00CB5C64">
        <w:rPr>
          <w:rFonts w:eastAsia="Garamond"/>
        </w:rPr>
        <w:t>,</w:t>
      </w:r>
      <w:r w:rsidRPr="00326874">
        <w:rPr>
          <w:rFonts w:eastAsia="Garamond"/>
        </w:rPr>
        <w:t xml:space="preserve"> </w:t>
      </w:r>
      <w:r w:rsidR="00CB5C64">
        <w:rPr>
          <w:rFonts w:eastAsia="Garamond"/>
        </w:rPr>
        <w:t>those resulting from</w:t>
      </w:r>
      <w:r w:rsidRPr="00326874">
        <w:rPr>
          <w:rFonts w:eastAsia="Garamond"/>
        </w:rPr>
        <w:t xml:space="preserve"> the inflation of fresh produce prices) and sacrifice margin</w:t>
      </w:r>
      <w:r>
        <w:rPr>
          <w:rFonts w:eastAsia="Garamond"/>
        </w:rPr>
        <w:t>s</w:t>
      </w:r>
      <w:r w:rsidRPr="00326874">
        <w:rPr>
          <w:rFonts w:eastAsia="Garamond"/>
        </w:rPr>
        <w:t xml:space="preserve">, or to pass along costs to consumers. At the same time, warehouse clubs, </w:t>
      </w:r>
      <w:r>
        <w:rPr>
          <w:rFonts w:eastAsia="Garamond"/>
        </w:rPr>
        <w:t>particularly</w:t>
      </w:r>
      <w:r w:rsidRPr="00326874">
        <w:rPr>
          <w:rFonts w:eastAsia="Garamond"/>
        </w:rPr>
        <w:t xml:space="preserve"> Costco and Walmart, threaten</w:t>
      </w:r>
      <w:r>
        <w:rPr>
          <w:rFonts w:eastAsia="Garamond"/>
        </w:rPr>
        <w:t>ed</w:t>
      </w:r>
      <w:r w:rsidRPr="00326874">
        <w:rPr>
          <w:rFonts w:eastAsia="Garamond"/>
        </w:rPr>
        <w:t xml:space="preserve"> to further depress retailer margins with their food offerings, which </w:t>
      </w:r>
      <w:r>
        <w:rPr>
          <w:rFonts w:eastAsia="Garamond"/>
        </w:rPr>
        <w:t>were</w:t>
      </w:r>
      <w:r w:rsidRPr="00326874">
        <w:rPr>
          <w:rFonts w:eastAsia="Garamond"/>
        </w:rPr>
        <w:t xml:space="preserve"> priced at steep discounts relative to what consumers </w:t>
      </w:r>
      <w:r w:rsidR="00BC47DC">
        <w:rPr>
          <w:rFonts w:eastAsia="Garamond"/>
        </w:rPr>
        <w:t>would</w:t>
      </w:r>
      <w:r w:rsidRPr="00326874">
        <w:rPr>
          <w:rFonts w:eastAsia="Garamond"/>
        </w:rPr>
        <w:t xml:space="preserve"> find at Loblaw</w:t>
      </w:r>
      <w:r w:rsidR="009466E5">
        <w:rPr>
          <w:rFonts w:eastAsia="Garamond"/>
        </w:rPr>
        <w:t>s</w:t>
      </w:r>
      <w:r w:rsidRPr="00326874">
        <w:rPr>
          <w:rFonts w:eastAsia="Garamond"/>
        </w:rPr>
        <w:t>, Sobeys</w:t>
      </w:r>
      <w:r w:rsidR="00BC47DC">
        <w:rPr>
          <w:rFonts w:eastAsia="Garamond"/>
        </w:rPr>
        <w:t>,</w:t>
      </w:r>
      <w:r w:rsidRPr="00326874">
        <w:rPr>
          <w:rFonts w:eastAsia="Garamond"/>
        </w:rPr>
        <w:t xml:space="preserve"> or Metro. </w:t>
      </w:r>
    </w:p>
    <w:p w14:paraId="6E8C7F9B" w14:textId="77777777" w:rsidR="009466E5" w:rsidRDefault="009466E5" w:rsidP="00FC0F02">
      <w:pPr>
        <w:pStyle w:val="ExhibitText"/>
        <w:rPr>
          <w:rFonts w:eastAsia="Garamond"/>
        </w:rPr>
      </w:pPr>
    </w:p>
    <w:p w14:paraId="706604CD" w14:textId="172B2DE6" w:rsidR="00FC0F02" w:rsidRDefault="00FC0F02" w:rsidP="00FC0F02">
      <w:pPr>
        <w:pStyle w:val="ExhibitText"/>
      </w:pPr>
      <w:r w:rsidRPr="00326874">
        <w:rPr>
          <w:rFonts w:eastAsia="Garamond"/>
        </w:rPr>
        <w:t>Despite the obstacles mentioned</w:t>
      </w:r>
      <w:r w:rsidR="00BC47DC">
        <w:rPr>
          <w:rFonts w:eastAsia="Garamond"/>
        </w:rPr>
        <w:t xml:space="preserve"> above</w:t>
      </w:r>
      <w:r w:rsidRPr="00326874">
        <w:rPr>
          <w:rFonts w:eastAsia="Garamond"/>
        </w:rPr>
        <w:t xml:space="preserve">, Loblaw </w:t>
      </w:r>
      <w:r>
        <w:rPr>
          <w:rFonts w:eastAsia="Garamond"/>
        </w:rPr>
        <w:t xml:space="preserve">assumed </w:t>
      </w:r>
      <w:r w:rsidRPr="00326874">
        <w:rPr>
          <w:rFonts w:eastAsia="Garamond"/>
        </w:rPr>
        <w:t>an advantageous position owing to its stability and size. Loblaw ha</w:t>
      </w:r>
      <w:r>
        <w:rPr>
          <w:rFonts w:eastAsia="Garamond"/>
        </w:rPr>
        <w:t>d</w:t>
      </w:r>
      <w:r w:rsidRPr="00326874">
        <w:rPr>
          <w:rFonts w:eastAsia="Garamond"/>
        </w:rPr>
        <w:t xml:space="preserve"> tremendous brand equity in the Canadian marketplace, earned over the course of its nearly century-long exploits in Canada. This </w:t>
      </w:r>
      <w:r>
        <w:rPr>
          <w:rFonts w:eastAsia="Garamond"/>
        </w:rPr>
        <w:t>wa</w:t>
      </w:r>
      <w:r w:rsidRPr="00326874">
        <w:rPr>
          <w:rFonts w:eastAsia="Garamond"/>
        </w:rPr>
        <w:t xml:space="preserve">s especially true of its well-known private label </w:t>
      </w:r>
      <w:r w:rsidRPr="00E64AC1">
        <w:rPr>
          <w:rFonts w:eastAsia="Garamond"/>
        </w:rPr>
        <w:t xml:space="preserve">brand, President’s Choice. There </w:t>
      </w:r>
      <w:r>
        <w:rPr>
          <w:rFonts w:eastAsia="Garamond"/>
        </w:rPr>
        <w:t>was</w:t>
      </w:r>
      <w:r w:rsidRPr="00E64AC1">
        <w:rPr>
          <w:rFonts w:eastAsia="Garamond"/>
        </w:rPr>
        <w:t xml:space="preserve"> an opportunity to increase penetration of the high-growth, high-margin organic and ethnic food segments through potential product line extensions executed under the President’s Choice name</w:t>
      </w:r>
      <w:r w:rsidRPr="00326874">
        <w:rPr>
          <w:rFonts w:eastAsia="Garamond"/>
        </w:rPr>
        <w:t xml:space="preserve">. Moreover, </w:t>
      </w:r>
      <w:r w:rsidRPr="001F3DA7">
        <w:rPr>
          <w:rFonts w:eastAsia="Garamond"/>
        </w:rPr>
        <w:t xml:space="preserve">Loblaw </w:t>
      </w:r>
      <w:r w:rsidRPr="00326874">
        <w:rPr>
          <w:rFonts w:eastAsia="Garamond"/>
        </w:rPr>
        <w:t>focus</w:t>
      </w:r>
      <w:r>
        <w:rPr>
          <w:rFonts w:eastAsia="Garamond"/>
        </w:rPr>
        <w:t>ed</w:t>
      </w:r>
      <w:r w:rsidRPr="00326874">
        <w:rPr>
          <w:rFonts w:eastAsia="Garamond"/>
        </w:rPr>
        <w:t xml:space="preserve"> on winning in the premium segment through an aggressive rollout of high-priced produce at Shoppers locations across Canada, which</w:t>
      </w:r>
      <w:r w:rsidRPr="001F3DA7">
        <w:rPr>
          <w:rFonts w:eastAsia="Garamond"/>
        </w:rPr>
        <w:t xml:space="preserve"> attracted consumers</w:t>
      </w:r>
      <w:r w:rsidRPr="00326874">
        <w:rPr>
          <w:rFonts w:eastAsia="Garamond"/>
        </w:rPr>
        <w:t xml:space="preserve"> who value</w:t>
      </w:r>
      <w:r>
        <w:rPr>
          <w:rFonts w:eastAsia="Garamond"/>
        </w:rPr>
        <w:t>d</w:t>
      </w:r>
      <w:r w:rsidRPr="00326874">
        <w:rPr>
          <w:rFonts w:eastAsia="Garamond"/>
        </w:rPr>
        <w:t xml:space="preserve"> convenience over price. Further, continuing to tap into diverse markets (food, pharmaceuticals, financial services, etc.) serve</w:t>
      </w:r>
      <w:r>
        <w:rPr>
          <w:rFonts w:eastAsia="Garamond"/>
        </w:rPr>
        <w:t>d</w:t>
      </w:r>
      <w:r w:rsidRPr="00326874">
        <w:rPr>
          <w:rFonts w:eastAsia="Garamond"/>
        </w:rPr>
        <w:t xml:space="preserve"> to diversify Loblaw’s risk.</w:t>
      </w:r>
    </w:p>
    <w:p w14:paraId="14D31AFF" w14:textId="77777777" w:rsidR="00FC0F02" w:rsidRDefault="00FC0F02" w:rsidP="00FD6CFB">
      <w:pPr>
        <w:pStyle w:val="ExhibitText"/>
      </w:pPr>
    </w:p>
    <w:p w14:paraId="16378911" w14:textId="24E7F988" w:rsidR="005C5EF8" w:rsidRDefault="005C5EF8" w:rsidP="009C4748">
      <w:pPr>
        <w:pStyle w:val="Footnote"/>
        <w:outlineLvl w:val="0"/>
      </w:pPr>
      <w:r>
        <w:t>Note: SWOT = strengths, weaknesses, opportunities, threats</w:t>
      </w:r>
      <w:r w:rsidR="006B7D62">
        <w:t xml:space="preserve"> </w:t>
      </w:r>
    </w:p>
    <w:p w14:paraId="01BF591F" w14:textId="118A2CA5" w:rsidR="00747738" w:rsidRDefault="00FC0F02" w:rsidP="00747738">
      <w:pPr>
        <w:pStyle w:val="Footnote"/>
      </w:pPr>
      <w:r>
        <w:t xml:space="preserve">Source: </w:t>
      </w:r>
      <w:r w:rsidRPr="00440FBF">
        <w:t xml:space="preserve">Created by </w:t>
      </w:r>
      <w:r w:rsidR="005F5FEE">
        <w:t xml:space="preserve">the </w:t>
      </w:r>
      <w:r w:rsidRPr="00440FBF">
        <w:t>author</w:t>
      </w:r>
      <w:r w:rsidR="005F5FEE">
        <w:t>s</w:t>
      </w:r>
      <w:r w:rsidRPr="00440FBF">
        <w:t xml:space="preserve"> using MarketLine, </w:t>
      </w:r>
      <w:r w:rsidRPr="005E765D">
        <w:rPr>
          <w:i/>
        </w:rPr>
        <w:t>Loblaw Companies Limited</w:t>
      </w:r>
      <w:r w:rsidR="009D388F">
        <w:rPr>
          <w:i/>
        </w:rPr>
        <w:t>—</w:t>
      </w:r>
      <w:r w:rsidRPr="005E765D">
        <w:rPr>
          <w:i/>
        </w:rPr>
        <w:t>Strategy and SWOT Report</w:t>
      </w:r>
      <w:r w:rsidRPr="00440FBF">
        <w:t>, December 7, 2016, accessed February 28, 2017, http://advantage.marketline.com.ezproxy.library.yorku.ca/Product?pid=D8D0B7F3-D096-423F-845B-2EB571C6948C&amp;view=SWOTAnalysis.</w:t>
      </w:r>
    </w:p>
    <w:p w14:paraId="6BB02D80" w14:textId="77777777" w:rsidR="00747738" w:rsidRDefault="00747738">
      <w:pPr>
        <w:spacing w:after="200" w:line="276" w:lineRule="auto"/>
        <w:rPr>
          <w:rFonts w:ascii="Arial" w:hAnsi="Arial" w:cs="Arial"/>
          <w:sz w:val="17"/>
          <w:szCs w:val="17"/>
        </w:rPr>
      </w:pPr>
      <w:r>
        <w:br w:type="page"/>
      </w:r>
    </w:p>
    <w:p w14:paraId="0A4F7F08" w14:textId="77777777" w:rsidR="00A41CE2" w:rsidRPr="00880B10" w:rsidRDefault="00A41CE2" w:rsidP="009C4748">
      <w:pPr>
        <w:pStyle w:val="ExhibitHeading"/>
        <w:keepNext/>
        <w:outlineLvl w:val="0"/>
      </w:pPr>
      <w:r w:rsidRPr="00880B10">
        <w:lastRenderedPageBreak/>
        <w:t>EXHIBIT 2: COMPARISON OF FINANCIAL PERFORMANCE (Loblaw)</w:t>
      </w:r>
    </w:p>
    <w:p w14:paraId="26C91A51" w14:textId="77777777" w:rsidR="00A41CE2" w:rsidRDefault="00A41CE2" w:rsidP="00FD6CFB">
      <w:pPr>
        <w:pStyle w:val="ExhibitText"/>
      </w:pPr>
    </w:p>
    <w:tbl>
      <w:tblPr>
        <w:tblStyle w:val="TableGrid"/>
        <w:tblW w:w="0" w:type="auto"/>
        <w:jc w:val="center"/>
        <w:tblLook w:val="04A0" w:firstRow="1" w:lastRow="0" w:firstColumn="1" w:lastColumn="0" w:noHBand="0" w:noVBand="1"/>
      </w:tblPr>
      <w:tblGrid>
        <w:gridCol w:w="1625"/>
        <w:gridCol w:w="1450"/>
        <w:gridCol w:w="1440"/>
        <w:gridCol w:w="1800"/>
        <w:gridCol w:w="1345"/>
      </w:tblGrid>
      <w:tr w:rsidR="00A41CE2" w14:paraId="49DD0981" w14:textId="77777777" w:rsidTr="00A41CE2">
        <w:trPr>
          <w:jc w:val="center"/>
        </w:trPr>
        <w:tc>
          <w:tcPr>
            <w:tcW w:w="1625" w:type="dxa"/>
            <w:vAlign w:val="center"/>
          </w:tcPr>
          <w:p w14:paraId="0C03690D" w14:textId="77777777" w:rsidR="00A41CE2" w:rsidRPr="00A41CE2" w:rsidRDefault="00A41CE2" w:rsidP="005D5583">
            <w:pPr>
              <w:pStyle w:val="ExhibitText"/>
              <w:keepNext/>
              <w:jc w:val="left"/>
              <w:rPr>
                <w:b/>
              </w:rPr>
            </w:pPr>
            <w:r w:rsidRPr="00A41CE2">
              <w:rPr>
                <w:b/>
              </w:rPr>
              <w:t>Year</w:t>
            </w:r>
          </w:p>
        </w:tc>
        <w:tc>
          <w:tcPr>
            <w:tcW w:w="1260" w:type="dxa"/>
            <w:vAlign w:val="center"/>
          </w:tcPr>
          <w:p w14:paraId="79E1C01B" w14:textId="18BE30C6" w:rsidR="00A41CE2" w:rsidRPr="00A41CE2" w:rsidRDefault="00A41CE2" w:rsidP="005D5583">
            <w:pPr>
              <w:pStyle w:val="ExhibitText"/>
              <w:keepNext/>
              <w:jc w:val="center"/>
              <w:rPr>
                <w:b/>
              </w:rPr>
            </w:pPr>
            <w:r w:rsidRPr="00A41CE2">
              <w:rPr>
                <w:b/>
              </w:rPr>
              <w:t>Revenue (</w:t>
            </w:r>
            <w:r w:rsidR="001213E3">
              <w:rPr>
                <w:b/>
              </w:rPr>
              <w:t>CA</w:t>
            </w:r>
            <w:r w:rsidRPr="00A41CE2">
              <w:rPr>
                <w:b/>
              </w:rPr>
              <w:t>$ million)</w:t>
            </w:r>
          </w:p>
        </w:tc>
        <w:tc>
          <w:tcPr>
            <w:tcW w:w="1440" w:type="dxa"/>
            <w:vAlign w:val="center"/>
          </w:tcPr>
          <w:p w14:paraId="6493C856" w14:textId="584767CE" w:rsidR="00A41CE2" w:rsidRPr="00A41CE2" w:rsidRDefault="00A41CE2" w:rsidP="005D5583">
            <w:pPr>
              <w:pStyle w:val="ExhibitText"/>
              <w:keepNext/>
              <w:jc w:val="center"/>
              <w:rPr>
                <w:b/>
              </w:rPr>
            </w:pPr>
            <w:r w:rsidRPr="00A41CE2">
              <w:rPr>
                <w:b/>
              </w:rPr>
              <w:t xml:space="preserve">% </w:t>
            </w:r>
            <w:r w:rsidR="001213E3">
              <w:rPr>
                <w:b/>
              </w:rPr>
              <w:t>C</w:t>
            </w:r>
            <w:r w:rsidRPr="00A41CE2">
              <w:rPr>
                <w:b/>
              </w:rPr>
              <w:t>hange</w:t>
            </w:r>
          </w:p>
        </w:tc>
        <w:tc>
          <w:tcPr>
            <w:tcW w:w="1800" w:type="dxa"/>
            <w:vAlign w:val="center"/>
          </w:tcPr>
          <w:p w14:paraId="14798740" w14:textId="06333D4B" w:rsidR="00A41CE2" w:rsidRPr="00A41CE2" w:rsidRDefault="00A41CE2" w:rsidP="005D5583">
            <w:pPr>
              <w:pStyle w:val="ExhibitText"/>
              <w:keepNext/>
              <w:jc w:val="center"/>
              <w:rPr>
                <w:b/>
              </w:rPr>
            </w:pPr>
            <w:r w:rsidRPr="00A41CE2">
              <w:rPr>
                <w:b/>
              </w:rPr>
              <w:t>Operating Profit (</w:t>
            </w:r>
            <w:r w:rsidR="001213E3">
              <w:rPr>
                <w:b/>
              </w:rPr>
              <w:t>CA</w:t>
            </w:r>
            <w:r w:rsidRPr="00A41CE2">
              <w:rPr>
                <w:b/>
              </w:rPr>
              <w:t>$ million)</w:t>
            </w:r>
          </w:p>
        </w:tc>
        <w:tc>
          <w:tcPr>
            <w:tcW w:w="1345" w:type="dxa"/>
            <w:vAlign w:val="center"/>
          </w:tcPr>
          <w:p w14:paraId="15466D55" w14:textId="10C08528" w:rsidR="00A41CE2" w:rsidRPr="00A41CE2" w:rsidRDefault="00A41CE2" w:rsidP="005D5583">
            <w:pPr>
              <w:pStyle w:val="ExhibitText"/>
              <w:keepNext/>
              <w:jc w:val="center"/>
              <w:rPr>
                <w:b/>
              </w:rPr>
            </w:pPr>
            <w:r w:rsidRPr="00A41CE2">
              <w:rPr>
                <w:b/>
              </w:rPr>
              <w:t xml:space="preserve">% </w:t>
            </w:r>
            <w:r w:rsidR="001213E3">
              <w:rPr>
                <w:b/>
              </w:rPr>
              <w:t>C</w:t>
            </w:r>
            <w:r w:rsidRPr="00A41CE2">
              <w:rPr>
                <w:b/>
              </w:rPr>
              <w:t>hange</w:t>
            </w:r>
          </w:p>
        </w:tc>
      </w:tr>
      <w:tr w:rsidR="00A41CE2" w14:paraId="50764250" w14:textId="77777777" w:rsidTr="00A41CE2">
        <w:trPr>
          <w:jc w:val="center"/>
        </w:trPr>
        <w:tc>
          <w:tcPr>
            <w:tcW w:w="1625" w:type="dxa"/>
          </w:tcPr>
          <w:p w14:paraId="3FC27979" w14:textId="77777777" w:rsidR="00A41CE2" w:rsidRPr="009355A1" w:rsidRDefault="00A41CE2" w:rsidP="00A41CE2">
            <w:pPr>
              <w:pStyle w:val="ExhibitText"/>
            </w:pPr>
            <w:r w:rsidRPr="009355A1">
              <w:t>2011</w:t>
            </w:r>
          </w:p>
        </w:tc>
        <w:tc>
          <w:tcPr>
            <w:tcW w:w="1260" w:type="dxa"/>
          </w:tcPr>
          <w:p w14:paraId="22BAE81B" w14:textId="77777777" w:rsidR="00A41CE2" w:rsidRDefault="00A41CE2" w:rsidP="00A41CE2">
            <w:pPr>
              <w:pStyle w:val="ExhibitText"/>
              <w:jc w:val="right"/>
            </w:pPr>
            <w:r>
              <w:t>23,487.8</w:t>
            </w:r>
          </w:p>
        </w:tc>
        <w:tc>
          <w:tcPr>
            <w:tcW w:w="1440" w:type="dxa"/>
          </w:tcPr>
          <w:p w14:paraId="776722C8" w14:textId="77777777" w:rsidR="00A41CE2" w:rsidRDefault="00A41CE2" w:rsidP="00A41CE2">
            <w:pPr>
              <w:pStyle w:val="ExhibitText"/>
              <w:jc w:val="right"/>
            </w:pPr>
            <w:r>
              <w:t>-</w:t>
            </w:r>
          </w:p>
        </w:tc>
        <w:tc>
          <w:tcPr>
            <w:tcW w:w="1800" w:type="dxa"/>
          </w:tcPr>
          <w:p w14:paraId="4AAE3DBA" w14:textId="77777777" w:rsidR="00A41CE2" w:rsidRDefault="00A41CE2" w:rsidP="00A41CE2">
            <w:pPr>
              <w:pStyle w:val="ExhibitText"/>
              <w:jc w:val="right"/>
            </w:pPr>
            <w:r>
              <w:t>1,003.7</w:t>
            </w:r>
          </w:p>
        </w:tc>
        <w:tc>
          <w:tcPr>
            <w:tcW w:w="1345" w:type="dxa"/>
          </w:tcPr>
          <w:p w14:paraId="1982F824" w14:textId="77777777" w:rsidR="00A41CE2" w:rsidRDefault="00A41CE2" w:rsidP="00A41CE2">
            <w:pPr>
              <w:pStyle w:val="ExhibitText"/>
              <w:jc w:val="right"/>
            </w:pPr>
            <w:r>
              <w:t>-</w:t>
            </w:r>
          </w:p>
        </w:tc>
      </w:tr>
      <w:tr w:rsidR="00A41CE2" w14:paraId="62CD0AB8" w14:textId="77777777" w:rsidTr="00A41CE2">
        <w:trPr>
          <w:jc w:val="center"/>
        </w:trPr>
        <w:tc>
          <w:tcPr>
            <w:tcW w:w="1625" w:type="dxa"/>
          </w:tcPr>
          <w:p w14:paraId="63DACA9B" w14:textId="77777777" w:rsidR="00A41CE2" w:rsidRPr="009355A1" w:rsidRDefault="00A41CE2" w:rsidP="00A41CE2">
            <w:pPr>
              <w:pStyle w:val="ExhibitText"/>
            </w:pPr>
            <w:r w:rsidRPr="009355A1">
              <w:t>2012</w:t>
            </w:r>
          </w:p>
        </w:tc>
        <w:tc>
          <w:tcPr>
            <w:tcW w:w="1260" w:type="dxa"/>
          </w:tcPr>
          <w:p w14:paraId="5B9B8A74" w14:textId="77777777" w:rsidR="00A41CE2" w:rsidRDefault="00A41CE2" w:rsidP="00A41CE2">
            <w:pPr>
              <w:pStyle w:val="ExhibitText"/>
              <w:jc w:val="right"/>
            </w:pPr>
            <w:r>
              <w:t>23,684.4</w:t>
            </w:r>
          </w:p>
        </w:tc>
        <w:tc>
          <w:tcPr>
            <w:tcW w:w="1440" w:type="dxa"/>
          </w:tcPr>
          <w:p w14:paraId="791B5E6D" w14:textId="77777777" w:rsidR="00A41CE2" w:rsidRDefault="00A41CE2" w:rsidP="00A41CE2">
            <w:pPr>
              <w:pStyle w:val="ExhibitText"/>
              <w:jc w:val="right"/>
            </w:pPr>
            <w:r>
              <w:t>0.8</w:t>
            </w:r>
          </w:p>
        </w:tc>
        <w:tc>
          <w:tcPr>
            <w:tcW w:w="1800" w:type="dxa"/>
          </w:tcPr>
          <w:p w14:paraId="2A027715" w14:textId="77777777" w:rsidR="00A41CE2" w:rsidRDefault="00A41CE2" w:rsidP="00A41CE2">
            <w:pPr>
              <w:pStyle w:val="ExhibitText"/>
              <w:jc w:val="right"/>
            </w:pPr>
            <w:r>
              <w:t>842.3</w:t>
            </w:r>
          </w:p>
        </w:tc>
        <w:tc>
          <w:tcPr>
            <w:tcW w:w="1345" w:type="dxa"/>
          </w:tcPr>
          <w:p w14:paraId="3B9F214B" w14:textId="77777777" w:rsidR="00A41CE2" w:rsidRDefault="00A41CE2" w:rsidP="00A41CE2">
            <w:pPr>
              <w:pStyle w:val="ExhibitText"/>
              <w:jc w:val="right"/>
            </w:pPr>
            <w:r>
              <w:t>(16.1)</w:t>
            </w:r>
          </w:p>
        </w:tc>
      </w:tr>
      <w:tr w:rsidR="00A41CE2" w14:paraId="507DCAD4" w14:textId="77777777" w:rsidTr="00A41CE2">
        <w:trPr>
          <w:jc w:val="center"/>
        </w:trPr>
        <w:tc>
          <w:tcPr>
            <w:tcW w:w="1625" w:type="dxa"/>
          </w:tcPr>
          <w:p w14:paraId="6F2111D4" w14:textId="77777777" w:rsidR="00A41CE2" w:rsidRPr="009355A1" w:rsidRDefault="00A41CE2" w:rsidP="00A41CE2">
            <w:pPr>
              <w:pStyle w:val="ExhibitText"/>
            </w:pPr>
            <w:r w:rsidRPr="009355A1">
              <w:t>2013</w:t>
            </w:r>
          </w:p>
        </w:tc>
        <w:tc>
          <w:tcPr>
            <w:tcW w:w="1260" w:type="dxa"/>
          </w:tcPr>
          <w:p w14:paraId="62B5DBD0" w14:textId="77777777" w:rsidR="00A41CE2" w:rsidRDefault="00A41CE2" w:rsidP="00A41CE2">
            <w:pPr>
              <w:pStyle w:val="ExhibitText"/>
              <w:jc w:val="right"/>
            </w:pPr>
            <w:r>
              <w:t>24,174.0</w:t>
            </w:r>
          </w:p>
        </w:tc>
        <w:tc>
          <w:tcPr>
            <w:tcW w:w="1440" w:type="dxa"/>
          </w:tcPr>
          <w:p w14:paraId="75BEA6AE" w14:textId="77777777" w:rsidR="00A41CE2" w:rsidRDefault="00A41CE2" w:rsidP="00A41CE2">
            <w:pPr>
              <w:pStyle w:val="ExhibitText"/>
              <w:jc w:val="right"/>
            </w:pPr>
            <w:r>
              <w:t>2.1</w:t>
            </w:r>
          </w:p>
        </w:tc>
        <w:tc>
          <w:tcPr>
            <w:tcW w:w="1800" w:type="dxa"/>
          </w:tcPr>
          <w:p w14:paraId="2E0D6589" w14:textId="77777777" w:rsidR="00A41CE2" w:rsidRDefault="00A41CE2" w:rsidP="00A41CE2">
            <w:pPr>
              <w:pStyle w:val="ExhibitText"/>
              <w:jc w:val="right"/>
            </w:pPr>
            <w:r>
              <w:t>870.6</w:t>
            </w:r>
          </w:p>
        </w:tc>
        <w:tc>
          <w:tcPr>
            <w:tcW w:w="1345" w:type="dxa"/>
          </w:tcPr>
          <w:p w14:paraId="52FD0A37" w14:textId="77777777" w:rsidR="00A41CE2" w:rsidRDefault="00A41CE2" w:rsidP="00A41CE2">
            <w:pPr>
              <w:pStyle w:val="ExhibitText"/>
              <w:jc w:val="right"/>
            </w:pPr>
            <w:r>
              <w:t>3.4</w:t>
            </w:r>
          </w:p>
        </w:tc>
      </w:tr>
      <w:tr w:rsidR="00A41CE2" w14:paraId="349530D1" w14:textId="77777777" w:rsidTr="00A41CE2">
        <w:trPr>
          <w:jc w:val="center"/>
        </w:trPr>
        <w:tc>
          <w:tcPr>
            <w:tcW w:w="1625" w:type="dxa"/>
          </w:tcPr>
          <w:p w14:paraId="04DB019C" w14:textId="77777777" w:rsidR="00A41CE2" w:rsidRPr="009355A1" w:rsidRDefault="00A41CE2" w:rsidP="00A41CE2">
            <w:pPr>
              <w:pStyle w:val="ExhibitText"/>
            </w:pPr>
            <w:r w:rsidRPr="009355A1">
              <w:t>2014</w:t>
            </w:r>
          </w:p>
        </w:tc>
        <w:tc>
          <w:tcPr>
            <w:tcW w:w="1260" w:type="dxa"/>
          </w:tcPr>
          <w:p w14:paraId="60D961EF" w14:textId="77777777" w:rsidR="00A41CE2" w:rsidRDefault="00A41CE2" w:rsidP="00A41CE2">
            <w:pPr>
              <w:pStyle w:val="ExhibitText"/>
              <w:jc w:val="right"/>
            </w:pPr>
            <w:r>
              <w:t>25,001.0</w:t>
            </w:r>
          </w:p>
        </w:tc>
        <w:tc>
          <w:tcPr>
            <w:tcW w:w="1440" w:type="dxa"/>
          </w:tcPr>
          <w:p w14:paraId="0E8F0ABC" w14:textId="77777777" w:rsidR="00A41CE2" w:rsidRDefault="00A41CE2" w:rsidP="00A41CE2">
            <w:pPr>
              <w:pStyle w:val="ExhibitText"/>
              <w:jc w:val="right"/>
            </w:pPr>
            <w:r>
              <w:t>3.4</w:t>
            </w:r>
          </w:p>
        </w:tc>
        <w:tc>
          <w:tcPr>
            <w:tcW w:w="1800" w:type="dxa"/>
          </w:tcPr>
          <w:p w14:paraId="209B79E8" w14:textId="77777777" w:rsidR="00A41CE2" w:rsidRDefault="00A41CE2" w:rsidP="00A41CE2">
            <w:pPr>
              <w:pStyle w:val="ExhibitText"/>
              <w:jc w:val="right"/>
            </w:pPr>
            <w:r>
              <w:t>931.8</w:t>
            </w:r>
          </w:p>
        </w:tc>
        <w:tc>
          <w:tcPr>
            <w:tcW w:w="1345" w:type="dxa"/>
          </w:tcPr>
          <w:p w14:paraId="07A0882F" w14:textId="77777777" w:rsidR="00A41CE2" w:rsidRDefault="00A41CE2" w:rsidP="00A41CE2">
            <w:pPr>
              <w:pStyle w:val="ExhibitText"/>
              <w:jc w:val="right"/>
            </w:pPr>
            <w:r>
              <w:t>7.0</w:t>
            </w:r>
          </w:p>
        </w:tc>
      </w:tr>
      <w:tr w:rsidR="00A41CE2" w14:paraId="3F123140" w14:textId="77777777" w:rsidTr="00A41CE2">
        <w:trPr>
          <w:jc w:val="center"/>
        </w:trPr>
        <w:tc>
          <w:tcPr>
            <w:tcW w:w="1625" w:type="dxa"/>
          </w:tcPr>
          <w:p w14:paraId="5A7E8F2D" w14:textId="77777777" w:rsidR="00A41CE2" w:rsidRPr="009355A1" w:rsidRDefault="00A41CE2" w:rsidP="00A41CE2">
            <w:pPr>
              <w:pStyle w:val="ExhibitText"/>
            </w:pPr>
            <w:r w:rsidRPr="009355A1">
              <w:t>2015</w:t>
            </w:r>
          </w:p>
        </w:tc>
        <w:tc>
          <w:tcPr>
            <w:tcW w:w="1260" w:type="dxa"/>
          </w:tcPr>
          <w:p w14:paraId="4447959A" w14:textId="77777777" w:rsidR="00A41CE2" w:rsidRDefault="00A41CE2" w:rsidP="00A41CE2">
            <w:pPr>
              <w:pStyle w:val="ExhibitText"/>
              <w:jc w:val="right"/>
            </w:pPr>
            <w:r>
              <w:t>24,994.1</w:t>
            </w:r>
          </w:p>
        </w:tc>
        <w:tc>
          <w:tcPr>
            <w:tcW w:w="1440" w:type="dxa"/>
          </w:tcPr>
          <w:p w14:paraId="09431023" w14:textId="77777777" w:rsidR="00A41CE2" w:rsidRDefault="00A41CE2" w:rsidP="00A41CE2">
            <w:pPr>
              <w:pStyle w:val="ExhibitText"/>
              <w:jc w:val="right"/>
            </w:pPr>
            <w:r>
              <w:t>0.0</w:t>
            </w:r>
          </w:p>
        </w:tc>
        <w:tc>
          <w:tcPr>
            <w:tcW w:w="1800" w:type="dxa"/>
          </w:tcPr>
          <w:p w14:paraId="6CCEC45C" w14:textId="77777777" w:rsidR="00A41CE2" w:rsidRDefault="00A41CE2" w:rsidP="00A41CE2">
            <w:pPr>
              <w:pStyle w:val="ExhibitText"/>
              <w:jc w:val="right"/>
            </w:pPr>
            <w:r>
              <w:t>999.8</w:t>
            </w:r>
          </w:p>
        </w:tc>
        <w:tc>
          <w:tcPr>
            <w:tcW w:w="1345" w:type="dxa"/>
          </w:tcPr>
          <w:p w14:paraId="534FFFB9" w14:textId="77777777" w:rsidR="00A41CE2" w:rsidRDefault="00A41CE2" w:rsidP="00A41CE2">
            <w:pPr>
              <w:pStyle w:val="ExhibitText"/>
              <w:jc w:val="right"/>
            </w:pPr>
            <w:r>
              <w:t>7.3</w:t>
            </w:r>
          </w:p>
        </w:tc>
      </w:tr>
      <w:tr w:rsidR="00A41CE2" w14:paraId="7F900587" w14:textId="77777777" w:rsidTr="00A41CE2">
        <w:trPr>
          <w:jc w:val="center"/>
        </w:trPr>
        <w:tc>
          <w:tcPr>
            <w:tcW w:w="1625" w:type="dxa"/>
          </w:tcPr>
          <w:p w14:paraId="37F8444F" w14:textId="77777777" w:rsidR="00A41CE2" w:rsidRPr="009355A1" w:rsidRDefault="00A41CE2" w:rsidP="00A41CE2">
            <w:pPr>
              <w:pStyle w:val="ExhibitText"/>
            </w:pPr>
            <w:r w:rsidRPr="009355A1">
              <w:t>2016 (estimate)</w:t>
            </w:r>
          </w:p>
        </w:tc>
        <w:tc>
          <w:tcPr>
            <w:tcW w:w="1260" w:type="dxa"/>
          </w:tcPr>
          <w:p w14:paraId="4A615F4B" w14:textId="77777777" w:rsidR="00A41CE2" w:rsidRDefault="00A41CE2" w:rsidP="00A41CE2">
            <w:pPr>
              <w:pStyle w:val="ExhibitText"/>
              <w:jc w:val="right"/>
            </w:pPr>
            <w:r>
              <w:t>25,614.3</w:t>
            </w:r>
          </w:p>
        </w:tc>
        <w:tc>
          <w:tcPr>
            <w:tcW w:w="1440" w:type="dxa"/>
          </w:tcPr>
          <w:p w14:paraId="14919CDC" w14:textId="77777777" w:rsidR="00A41CE2" w:rsidRDefault="00A41CE2" w:rsidP="00A41CE2">
            <w:pPr>
              <w:pStyle w:val="ExhibitText"/>
              <w:jc w:val="right"/>
            </w:pPr>
            <w:r>
              <w:t>2.5</w:t>
            </w:r>
          </w:p>
        </w:tc>
        <w:tc>
          <w:tcPr>
            <w:tcW w:w="1800" w:type="dxa"/>
          </w:tcPr>
          <w:p w14:paraId="313B6AE1" w14:textId="77777777" w:rsidR="00A41CE2" w:rsidRDefault="00A41CE2" w:rsidP="00A41CE2">
            <w:pPr>
              <w:pStyle w:val="ExhibitText"/>
              <w:jc w:val="right"/>
            </w:pPr>
            <w:r>
              <w:t>1,065.4</w:t>
            </w:r>
          </w:p>
        </w:tc>
        <w:tc>
          <w:tcPr>
            <w:tcW w:w="1345" w:type="dxa"/>
          </w:tcPr>
          <w:p w14:paraId="4F80141A" w14:textId="77777777" w:rsidR="00A41CE2" w:rsidRDefault="00A41CE2" w:rsidP="00A41CE2">
            <w:pPr>
              <w:pStyle w:val="ExhibitText"/>
              <w:jc w:val="right"/>
            </w:pPr>
            <w:r>
              <w:t>6.6</w:t>
            </w:r>
          </w:p>
        </w:tc>
      </w:tr>
    </w:tbl>
    <w:p w14:paraId="53311550" w14:textId="77777777" w:rsidR="00A41CE2" w:rsidRDefault="00A41CE2" w:rsidP="00FD6CFB">
      <w:pPr>
        <w:pStyle w:val="ExhibitText"/>
      </w:pPr>
    </w:p>
    <w:p w14:paraId="1D0B6EEA" w14:textId="7D5DE496" w:rsidR="00A41CE2" w:rsidRPr="00A41CE2" w:rsidRDefault="00A41CE2" w:rsidP="00A41CE2">
      <w:pPr>
        <w:pStyle w:val="Footnote"/>
        <w:rPr>
          <w:spacing w:val="-4"/>
        </w:rPr>
      </w:pPr>
      <w:r w:rsidRPr="00A41CE2">
        <w:rPr>
          <w:spacing w:val="-4"/>
        </w:rPr>
        <w:t xml:space="preserve">Source: Created by </w:t>
      </w:r>
      <w:r w:rsidR="005F5FEE">
        <w:rPr>
          <w:spacing w:val="-4"/>
        </w:rPr>
        <w:t xml:space="preserve">the </w:t>
      </w:r>
      <w:r w:rsidRPr="00A41CE2">
        <w:rPr>
          <w:spacing w:val="-4"/>
        </w:rPr>
        <w:t>author</w:t>
      </w:r>
      <w:r w:rsidR="005F5FEE">
        <w:rPr>
          <w:spacing w:val="-4"/>
        </w:rPr>
        <w:t>s</w:t>
      </w:r>
      <w:r w:rsidRPr="00A41CE2">
        <w:rPr>
          <w:spacing w:val="-4"/>
        </w:rPr>
        <w:t xml:space="preserve"> using Loblaw Companies Limited, </w:t>
      </w:r>
      <w:r w:rsidRPr="005E765D">
        <w:rPr>
          <w:i/>
          <w:spacing w:val="-4"/>
        </w:rPr>
        <w:t>Second Quarter Report to Shareholders</w:t>
      </w:r>
      <w:r w:rsidR="005F5FEE">
        <w:rPr>
          <w:spacing w:val="-4"/>
        </w:rPr>
        <w:t>,</w:t>
      </w:r>
      <w:r w:rsidRPr="00A41CE2">
        <w:rPr>
          <w:spacing w:val="-4"/>
        </w:rPr>
        <w:t xml:space="preserve"> July 27, 2016, accessed June 1, 2017, http://s1.q4cdn.com/326961052/files/doc_financials/2016/Q2_RTS_SEDAR_26-Jul-16.pdf.</w:t>
      </w:r>
    </w:p>
    <w:p w14:paraId="5AAABA1C" w14:textId="77777777" w:rsidR="00A41CE2" w:rsidRDefault="00A41CE2" w:rsidP="00FD6CFB">
      <w:pPr>
        <w:pStyle w:val="ExhibitText"/>
      </w:pPr>
    </w:p>
    <w:p w14:paraId="62B2995D" w14:textId="77777777" w:rsidR="00A41CE2" w:rsidRDefault="00A41CE2" w:rsidP="00FD6CFB">
      <w:pPr>
        <w:pStyle w:val="ExhibitText"/>
      </w:pPr>
    </w:p>
    <w:p w14:paraId="78B272C7" w14:textId="77777777" w:rsidR="00A41CE2" w:rsidRPr="00880B10" w:rsidRDefault="00A41CE2" w:rsidP="009C4748">
      <w:pPr>
        <w:pStyle w:val="ExhibitHeading"/>
        <w:outlineLvl w:val="0"/>
      </w:pPr>
      <w:r w:rsidRPr="00880B10">
        <w:t>Exhibit 3: Comparison of Financial Performance (Sobeys)</w:t>
      </w:r>
    </w:p>
    <w:p w14:paraId="70EA2F01" w14:textId="77777777" w:rsidR="00A41CE2" w:rsidRDefault="00A41CE2" w:rsidP="00FD6CFB">
      <w:pPr>
        <w:pStyle w:val="ExhibitText"/>
      </w:pPr>
    </w:p>
    <w:tbl>
      <w:tblPr>
        <w:tblStyle w:val="TableGrid"/>
        <w:tblW w:w="7925" w:type="dxa"/>
        <w:jc w:val="center"/>
        <w:tblLook w:val="04A0" w:firstRow="1" w:lastRow="0" w:firstColumn="1" w:lastColumn="0" w:noHBand="0" w:noVBand="1"/>
      </w:tblPr>
      <w:tblGrid>
        <w:gridCol w:w="1705"/>
        <w:gridCol w:w="1530"/>
        <w:gridCol w:w="1450"/>
        <w:gridCol w:w="1800"/>
        <w:gridCol w:w="1440"/>
      </w:tblGrid>
      <w:tr w:rsidR="00A41CE2" w14:paraId="6C02AB13" w14:textId="77777777" w:rsidTr="00061533">
        <w:trPr>
          <w:trHeight w:val="553"/>
          <w:jc w:val="center"/>
        </w:trPr>
        <w:tc>
          <w:tcPr>
            <w:tcW w:w="1705" w:type="dxa"/>
            <w:vAlign w:val="center"/>
          </w:tcPr>
          <w:p w14:paraId="631A3D29" w14:textId="77777777" w:rsidR="00A41CE2" w:rsidRPr="00A41CE2" w:rsidRDefault="00A41CE2" w:rsidP="00A41CE2">
            <w:pPr>
              <w:pStyle w:val="ExhibitText"/>
              <w:jc w:val="left"/>
              <w:rPr>
                <w:b/>
              </w:rPr>
            </w:pPr>
            <w:r w:rsidRPr="00A41CE2">
              <w:rPr>
                <w:b/>
              </w:rPr>
              <w:t>Year</w:t>
            </w:r>
          </w:p>
        </w:tc>
        <w:tc>
          <w:tcPr>
            <w:tcW w:w="1530" w:type="dxa"/>
            <w:vAlign w:val="center"/>
          </w:tcPr>
          <w:p w14:paraId="00A93B38" w14:textId="011E65C7" w:rsidR="00A41CE2" w:rsidRPr="00A41CE2" w:rsidRDefault="00A41CE2" w:rsidP="00A41CE2">
            <w:pPr>
              <w:pStyle w:val="ExhibitText"/>
              <w:jc w:val="center"/>
              <w:rPr>
                <w:b/>
              </w:rPr>
            </w:pPr>
            <w:r w:rsidRPr="00A41CE2">
              <w:rPr>
                <w:b/>
              </w:rPr>
              <w:t>Revenue (</w:t>
            </w:r>
            <w:r w:rsidR="001213E3">
              <w:rPr>
                <w:b/>
              </w:rPr>
              <w:t>CA</w:t>
            </w:r>
            <w:r w:rsidRPr="00A41CE2">
              <w:rPr>
                <w:b/>
              </w:rPr>
              <w:t>$ million)</w:t>
            </w:r>
          </w:p>
        </w:tc>
        <w:tc>
          <w:tcPr>
            <w:tcW w:w="1450" w:type="dxa"/>
            <w:vAlign w:val="center"/>
          </w:tcPr>
          <w:p w14:paraId="77518757" w14:textId="37FB4126" w:rsidR="00A41CE2" w:rsidRPr="00A41CE2" w:rsidRDefault="00A41CE2" w:rsidP="001213E3">
            <w:pPr>
              <w:pStyle w:val="ExhibitText"/>
              <w:jc w:val="center"/>
              <w:rPr>
                <w:b/>
              </w:rPr>
            </w:pPr>
            <w:r w:rsidRPr="00A41CE2">
              <w:rPr>
                <w:b/>
              </w:rPr>
              <w:t xml:space="preserve">% </w:t>
            </w:r>
            <w:r w:rsidR="001213E3">
              <w:rPr>
                <w:b/>
              </w:rPr>
              <w:t>C</w:t>
            </w:r>
            <w:r w:rsidRPr="00A41CE2">
              <w:rPr>
                <w:b/>
              </w:rPr>
              <w:t>hange</w:t>
            </w:r>
          </w:p>
        </w:tc>
        <w:tc>
          <w:tcPr>
            <w:tcW w:w="1800" w:type="dxa"/>
            <w:vAlign w:val="center"/>
          </w:tcPr>
          <w:p w14:paraId="0DC2170F" w14:textId="76C309FC" w:rsidR="00A41CE2" w:rsidRPr="00A41CE2" w:rsidRDefault="00A41CE2" w:rsidP="00A41CE2">
            <w:pPr>
              <w:pStyle w:val="ExhibitText"/>
              <w:jc w:val="center"/>
              <w:rPr>
                <w:b/>
              </w:rPr>
            </w:pPr>
            <w:r w:rsidRPr="00A41CE2">
              <w:rPr>
                <w:b/>
              </w:rPr>
              <w:t>Operating Profit (</w:t>
            </w:r>
            <w:r w:rsidR="001213E3">
              <w:rPr>
                <w:b/>
              </w:rPr>
              <w:t>CA</w:t>
            </w:r>
            <w:r w:rsidRPr="00A41CE2">
              <w:rPr>
                <w:b/>
              </w:rPr>
              <w:t>$ million)</w:t>
            </w:r>
          </w:p>
        </w:tc>
        <w:tc>
          <w:tcPr>
            <w:tcW w:w="1440" w:type="dxa"/>
            <w:vAlign w:val="center"/>
          </w:tcPr>
          <w:p w14:paraId="69FB629A" w14:textId="0BAEE5AE" w:rsidR="00A41CE2" w:rsidRPr="00A41CE2" w:rsidRDefault="00A41CE2" w:rsidP="001213E3">
            <w:pPr>
              <w:pStyle w:val="ExhibitText"/>
              <w:jc w:val="center"/>
              <w:rPr>
                <w:b/>
              </w:rPr>
            </w:pPr>
            <w:r w:rsidRPr="00A41CE2">
              <w:rPr>
                <w:b/>
              </w:rPr>
              <w:t xml:space="preserve">% </w:t>
            </w:r>
            <w:r w:rsidR="001213E3">
              <w:rPr>
                <w:b/>
              </w:rPr>
              <w:t>C</w:t>
            </w:r>
            <w:r w:rsidRPr="00A41CE2">
              <w:rPr>
                <w:b/>
              </w:rPr>
              <w:t>hange</w:t>
            </w:r>
          </w:p>
        </w:tc>
      </w:tr>
      <w:tr w:rsidR="00A41CE2" w14:paraId="77A0FAFD" w14:textId="77777777" w:rsidTr="00061533">
        <w:trPr>
          <w:trHeight w:val="60"/>
          <w:jc w:val="center"/>
        </w:trPr>
        <w:tc>
          <w:tcPr>
            <w:tcW w:w="1705" w:type="dxa"/>
          </w:tcPr>
          <w:p w14:paraId="3D69DEC8" w14:textId="77777777" w:rsidR="00A41CE2" w:rsidRPr="009355A1" w:rsidRDefault="00A41CE2" w:rsidP="00A41CE2">
            <w:pPr>
              <w:pStyle w:val="ExhibitText"/>
            </w:pPr>
            <w:r w:rsidRPr="009355A1">
              <w:t>2012</w:t>
            </w:r>
          </w:p>
        </w:tc>
        <w:tc>
          <w:tcPr>
            <w:tcW w:w="1530" w:type="dxa"/>
            <w:vAlign w:val="center"/>
          </w:tcPr>
          <w:p w14:paraId="21946145" w14:textId="77777777" w:rsidR="00A41CE2" w:rsidRDefault="00A41CE2" w:rsidP="00A41CE2">
            <w:pPr>
              <w:pStyle w:val="ExhibitText"/>
              <w:jc w:val="right"/>
            </w:pPr>
            <w:r>
              <w:t>14,624.2</w:t>
            </w:r>
          </w:p>
        </w:tc>
        <w:tc>
          <w:tcPr>
            <w:tcW w:w="1450" w:type="dxa"/>
            <w:vAlign w:val="center"/>
          </w:tcPr>
          <w:p w14:paraId="546459E6" w14:textId="77777777" w:rsidR="00A41CE2" w:rsidRDefault="00A41CE2" w:rsidP="00A41CE2">
            <w:pPr>
              <w:pStyle w:val="ExhibitText"/>
              <w:jc w:val="right"/>
            </w:pPr>
            <w:r>
              <w:t>-</w:t>
            </w:r>
          </w:p>
        </w:tc>
        <w:tc>
          <w:tcPr>
            <w:tcW w:w="1800" w:type="dxa"/>
            <w:vAlign w:val="center"/>
          </w:tcPr>
          <w:p w14:paraId="28D9B17C" w14:textId="77777777" w:rsidR="00A41CE2" w:rsidRDefault="00A41CE2" w:rsidP="00A41CE2">
            <w:pPr>
              <w:pStyle w:val="ExhibitText"/>
              <w:jc w:val="right"/>
            </w:pPr>
            <w:r>
              <w:t>480.9</w:t>
            </w:r>
          </w:p>
        </w:tc>
        <w:tc>
          <w:tcPr>
            <w:tcW w:w="1440" w:type="dxa"/>
            <w:vAlign w:val="center"/>
          </w:tcPr>
          <w:p w14:paraId="427AAF39" w14:textId="77777777" w:rsidR="00A41CE2" w:rsidRDefault="00A41CE2" w:rsidP="00A41CE2">
            <w:pPr>
              <w:pStyle w:val="ExhibitText"/>
              <w:jc w:val="right"/>
            </w:pPr>
            <w:r>
              <w:t>-</w:t>
            </w:r>
          </w:p>
        </w:tc>
      </w:tr>
      <w:tr w:rsidR="00A41CE2" w14:paraId="706FCC39" w14:textId="77777777" w:rsidTr="00061533">
        <w:trPr>
          <w:trHeight w:val="268"/>
          <w:jc w:val="center"/>
        </w:trPr>
        <w:tc>
          <w:tcPr>
            <w:tcW w:w="1705" w:type="dxa"/>
          </w:tcPr>
          <w:p w14:paraId="75C9C194" w14:textId="77777777" w:rsidR="00A41CE2" w:rsidRPr="009355A1" w:rsidRDefault="00A41CE2" w:rsidP="00A41CE2">
            <w:pPr>
              <w:pStyle w:val="ExhibitText"/>
            </w:pPr>
            <w:r w:rsidRPr="009355A1">
              <w:t>2013</w:t>
            </w:r>
          </w:p>
        </w:tc>
        <w:tc>
          <w:tcPr>
            <w:tcW w:w="1530" w:type="dxa"/>
            <w:vAlign w:val="center"/>
          </w:tcPr>
          <w:p w14:paraId="58144CC4" w14:textId="77777777" w:rsidR="00A41CE2" w:rsidRDefault="00A41CE2" w:rsidP="00A41CE2">
            <w:pPr>
              <w:pStyle w:val="ExhibitText"/>
              <w:jc w:val="right"/>
            </w:pPr>
            <w:r>
              <w:t>15,609.0</w:t>
            </w:r>
          </w:p>
        </w:tc>
        <w:tc>
          <w:tcPr>
            <w:tcW w:w="1450" w:type="dxa"/>
            <w:vAlign w:val="center"/>
          </w:tcPr>
          <w:p w14:paraId="1DD1DABD" w14:textId="77777777" w:rsidR="00A41CE2" w:rsidRDefault="00A41CE2" w:rsidP="00A41CE2">
            <w:pPr>
              <w:pStyle w:val="ExhibitText"/>
              <w:jc w:val="right"/>
            </w:pPr>
            <w:r>
              <w:t>6.7</w:t>
            </w:r>
          </w:p>
        </w:tc>
        <w:tc>
          <w:tcPr>
            <w:tcW w:w="1800" w:type="dxa"/>
            <w:vAlign w:val="center"/>
          </w:tcPr>
          <w:p w14:paraId="16C14ED8" w14:textId="77777777" w:rsidR="00A41CE2" w:rsidRDefault="00A41CE2" w:rsidP="00A41CE2">
            <w:pPr>
              <w:pStyle w:val="ExhibitText"/>
              <w:jc w:val="right"/>
            </w:pPr>
            <w:r>
              <w:t>515.9</w:t>
            </w:r>
          </w:p>
        </w:tc>
        <w:tc>
          <w:tcPr>
            <w:tcW w:w="1440" w:type="dxa"/>
            <w:vAlign w:val="center"/>
          </w:tcPr>
          <w:p w14:paraId="10FA6134" w14:textId="77777777" w:rsidR="00A41CE2" w:rsidRDefault="00A41CE2" w:rsidP="00A41CE2">
            <w:pPr>
              <w:pStyle w:val="ExhibitText"/>
              <w:jc w:val="right"/>
            </w:pPr>
            <w:r>
              <w:t>7.3</w:t>
            </w:r>
          </w:p>
        </w:tc>
      </w:tr>
      <w:tr w:rsidR="00A41CE2" w14:paraId="62AC6E8C" w14:textId="77777777" w:rsidTr="00061533">
        <w:trPr>
          <w:trHeight w:val="60"/>
          <w:jc w:val="center"/>
        </w:trPr>
        <w:tc>
          <w:tcPr>
            <w:tcW w:w="1705" w:type="dxa"/>
          </w:tcPr>
          <w:p w14:paraId="0BFA99BA" w14:textId="77777777" w:rsidR="00A41CE2" w:rsidRPr="009355A1" w:rsidRDefault="00A41CE2" w:rsidP="00A41CE2">
            <w:pPr>
              <w:pStyle w:val="ExhibitText"/>
            </w:pPr>
            <w:r w:rsidRPr="009355A1">
              <w:t>2014</w:t>
            </w:r>
          </w:p>
        </w:tc>
        <w:tc>
          <w:tcPr>
            <w:tcW w:w="1530" w:type="dxa"/>
            <w:vAlign w:val="center"/>
          </w:tcPr>
          <w:p w14:paraId="27E82128" w14:textId="77777777" w:rsidR="00A41CE2" w:rsidRDefault="00A41CE2" w:rsidP="00A41CE2">
            <w:pPr>
              <w:pStyle w:val="ExhibitText"/>
              <w:jc w:val="right"/>
            </w:pPr>
            <w:r>
              <w:t>18,862.0</w:t>
            </w:r>
          </w:p>
        </w:tc>
        <w:tc>
          <w:tcPr>
            <w:tcW w:w="1450" w:type="dxa"/>
            <w:vAlign w:val="center"/>
          </w:tcPr>
          <w:p w14:paraId="0F4CB1EF" w14:textId="77777777" w:rsidR="00A41CE2" w:rsidRDefault="00A41CE2" w:rsidP="00A41CE2">
            <w:pPr>
              <w:pStyle w:val="ExhibitText"/>
              <w:jc w:val="right"/>
            </w:pPr>
            <w:r>
              <w:t>20.8</w:t>
            </w:r>
          </w:p>
        </w:tc>
        <w:tc>
          <w:tcPr>
            <w:tcW w:w="1800" w:type="dxa"/>
            <w:vAlign w:val="center"/>
          </w:tcPr>
          <w:p w14:paraId="0C52CC5C" w14:textId="77777777" w:rsidR="00A41CE2" w:rsidRDefault="00A41CE2" w:rsidP="00A41CE2">
            <w:pPr>
              <w:pStyle w:val="ExhibitText"/>
              <w:jc w:val="right"/>
            </w:pPr>
            <w:r>
              <w:t>295.7</w:t>
            </w:r>
          </w:p>
        </w:tc>
        <w:tc>
          <w:tcPr>
            <w:tcW w:w="1440" w:type="dxa"/>
            <w:vAlign w:val="center"/>
          </w:tcPr>
          <w:p w14:paraId="5F76912E" w14:textId="77777777" w:rsidR="00A41CE2" w:rsidRDefault="00A41CE2" w:rsidP="00A41CE2">
            <w:pPr>
              <w:pStyle w:val="ExhibitText"/>
              <w:jc w:val="right"/>
            </w:pPr>
            <w:r>
              <w:t>(42.7)</w:t>
            </w:r>
          </w:p>
        </w:tc>
      </w:tr>
      <w:tr w:rsidR="00A41CE2" w14:paraId="5D8B1F31" w14:textId="77777777" w:rsidTr="00061533">
        <w:trPr>
          <w:trHeight w:val="268"/>
          <w:jc w:val="center"/>
        </w:trPr>
        <w:tc>
          <w:tcPr>
            <w:tcW w:w="1705" w:type="dxa"/>
          </w:tcPr>
          <w:p w14:paraId="0C19CCBA" w14:textId="77777777" w:rsidR="00A41CE2" w:rsidRPr="009355A1" w:rsidRDefault="00A41CE2" w:rsidP="00A41CE2">
            <w:pPr>
              <w:pStyle w:val="ExhibitText"/>
            </w:pPr>
            <w:r w:rsidRPr="009355A1">
              <w:t>2015</w:t>
            </w:r>
          </w:p>
        </w:tc>
        <w:tc>
          <w:tcPr>
            <w:tcW w:w="1530" w:type="dxa"/>
            <w:vAlign w:val="center"/>
          </w:tcPr>
          <w:p w14:paraId="54CFA335" w14:textId="77777777" w:rsidR="00A41CE2" w:rsidRDefault="00A41CE2" w:rsidP="00A41CE2">
            <w:pPr>
              <w:pStyle w:val="ExhibitText"/>
              <w:jc w:val="right"/>
            </w:pPr>
            <w:r>
              <w:t>21,535.9</w:t>
            </w:r>
          </w:p>
        </w:tc>
        <w:tc>
          <w:tcPr>
            <w:tcW w:w="1450" w:type="dxa"/>
            <w:vAlign w:val="center"/>
          </w:tcPr>
          <w:p w14:paraId="3CB50577" w14:textId="77777777" w:rsidR="00A41CE2" w:rsidRDefault="00A41CE2" w:rsidP="00A41CE2">
            <w:pPr>
              <w:pStyle w:val="ExhibitText"/>
              <w:jc w:val="right"/>
            </w:pPr>
            <w:r>
              <w:t>14.2</w:t>
            </w:r>
          </w:p>
        </w:tc>
        <w:tc>
          <w:tcPr>
            <w:tcW w:w="1800" w:type="dxa"/>
            <w:vAlign w:val="center"/>
          </w:tcPr>
          <w:p w14:paraId="079F7E93" w14:textId="77777777" w:rsidR="00A41CE2" w:rsidRDefault="00A41CE2" w:rsidP="00A41CE2">
            <w:pPr>
              <w:pStyle w:val="ExhibitText"/>
              <w:jc w:val="right"/>
            </w:pPr>
            <w:r>
              <w:t>669.2</w:t>
            </w:r>
          </w:p>
        </w:tc>
        <w:tc>
          <w:tcPr>
            <w:tcW w:w="1440" w:type="dxa"/>
            <w:vAlign w:val="center"/>
          </w:tcPr>
          <w:p w14:paraId="0CC786CD" w14:textId="77777777" w:rsidR="00A41CE2" w:rsidRDefault="00A41CE2" w:rsidP="00A41CE2">
            <w:pPr>
              <w:pStyle w:val="ExhibitText"/>
              <w:jc w:val="right"/>
            </w:pPr>
            <w:r>
              <w:t>126.3</w:t>
            </w:r>
          </w:p>
        </w:tc>
      </w:tr>
      <w:tr w:rsidR="00A41CE2" w14:paraId="1A698BCA" w14:textId="77777777" w:rsidTr="00061533">
        <w:trPr>
          <w:trHeight w:val="285"/>
          <w:jc w:val="center"/>
        </w:trPr>
        <w:tc>
          <w:tcPr>
            <w:tcW w:w="1705" w:type="dxa"/>
          </w:tcPr>
          <w:p w14:paraId="3D3887E6" w14:textId="77777777" w:rsidR="00A41CE2" w:rsidRPr="009355A1" w:rsidRDefault="00A41CE2" w:rsidP="00A41CE2">
            <w:pPr>
              <w:pStyle w:val="ExhibitText"/>
            </w:pPr>
            <w:r w:rsidRPr="009355A1">
              <w:t>2016 (estimate)</w:t>
            </w:r>
          </w:p>
        </w:tc>
        <w:tc>
          <w:tcPr>
            <w:tcW w:w="1530" w:type="dxa"/>
            <w:vAlign w:val="center"/>
          </w:tcPr>
          <w:p w14:paraId="3CC24804" w14:textId="77777777" w:rsidR="00A41CE2" w:rsidRDefault="00A41CE2" w:rsidP="00A41CE2">
            <w:pPr>
              <w:pStyle w:val="ExhibitText"/>
              <w:jc w:val="right"/>
            </w:pPr>
            <w:r>
              <w:t>22,156.9</w:t>
            </w:r>
          </w:p>
        </w:tc>
        <w:tc>
          <w:tcPr>
            <w:tcW w:w="1450" w:type="dxa"/>
            <w:vAlign w:val="center"/>
          </w:tcPr>
          <w:p w14:paraId="0451838B" w14:textId="77777777" w:rsidR="00A41CE2" w:rsidRDefault="00A41CE2" w:rsidP="00A41CE2">
            <w:pPr>
              <w:pStyle w:val="ExhibitText"/>
              <w:jc w:val="right"/>
            </w:pPr>
            <w:r>
              <w:t>2.9</w:t>
            </w:r>
          </w:p>
        </w:tc>
        <w:tc>
          <w:tcPr>
            <w:tcW w:w="1800" w:type="dxa"/>
            <w:vAlign w:val="center"/>
          </w:tcPr>
          <w:p w14:paraId="463026EA" w14:textId="77777777" w:rsidR="00A41CE2" w:rsidRDefault="00A41CE2" w:rsidP="00A41CE2">
            <w:pPr>
              <w:pStyle w:val="ExhibitText"/>
              <w:jc w:val="right"/>
            </w:pPr>
            <w:r>
              <w:t>(2,176.7)</w:t>
            </w:r>
          </w:p>
        </w:tc>
        <w:tc>
          <w:tcPr>
            <w:tcW w:w="1440" w:type="dxa"/>
            <w:vAlign w:val="center"/>
          </w:tcPr>
          <w:p w14:paraId="4051BA6C" w14:textId="77777777" w:rsidR="00A41CE2" w:rsidRDefault="00A41CE2" w:rsidP="00A41CE2">
            <w:pPr>
              <w:pStyle w:val="ExhibitText"/>
              <w:jc w:val="right"/>
            </w:pPr>
            <w:r>
              <w:t>-</w:t>
            </w:r>
          </w:p>
        </w:tc>
      </w:tr>
      <w:tr w:rsidR="00A41CE2" w14:paraId="2E7B5D77" w14:textId="77777777" w:rsidTr="00061533">
        <w:trPr>
          <w:trHeight w:val="279"/>
          <w:jc w:val="center"/>
        </w:trPr>
        <w:tc>
          <w:tcPr>
            <w:tcW w:w="1705" w:type="dxa"/>
          </w:tcPr>
          <w:p w14:paraId="5E2493F5" w14:textId="77777777" w:rsidR="00A41CE2" w:rsidRPr="009355A1" w:rsidRDefault="00A41CE2" w:rsidP="00A41CE2">
            <w:pPr>
              <w:pStyle w:val="ExhibitText"/>
            </w:pPr>
            <w:r w:rsidRPr="009355A1">
              <w:t>2017 (estimate)</w:t>
            </w:r>
          </w:p>
        </w:tc>
        <w:tc>
          <w:tcPr>
            <w:tcW w:w="1530" w:type="dxa"/>
            <w:vAlign w:val="center"/>
          </w:tcPr>
          <w:p w14:paraId="3C4CF419" w14:textId="77777777" w:rsidR="00A41CE2" w:rsidRDefault="00A41CE2" w:rsidP="00A41CE2">
            <w:pPr>
              <w:pStyle w:val="ExhibitText"/>
              <w:jc w:val="right"/>
            </w:pPr>
            <w:r>
              <w:t>21,935.0</w:t>
            </w:r>
          </w:p>
        </w:tc>
        <w:tc>
          <w:tcPr>
            <w:tcW w:w="1450" w:type="dxa"/>
            <w:vAlign w:val="center"/>
          </w:tcPr>
          <w:p w14:paraId="6F3D319B" w14:textId="77777777" w:rsidR="00A41CE2" w:rsidRDefault="00A41CE2" w:rsidP="00A41CE2">
            <w:pPr>
              <w:pStyle w:val="ExhibitText"/>
              <w:jc w:val="right"/>
            </w:pPr>
            <w:r>
              <w:t>(1.0)</w:t>
            </w:r>
          </w:p>
        </w:tc>
        <w:tc>
          <w:tcPr>
            <w:tcW w:w="1800" w:type="dxa"/>
            <w:vAlign w:val="center"/>
          </w:tcPr>
          <w:p w14:paraId="19A4EEF0" w14:textId="77777777" w:rsidR="00A41CE2" w:rsidRDefault="00A41CE2" w:rsidP="00A41CE2">
            <w:pPr>
              <w:pStyle w:val="ExhibitText"/>
              <w:jc w:val="right"/>
            </w:pPr>
            <w:r>
              <w:t>(1,409.5)</w:t>
            </w:r>
          </w:p>
        </w:tc>
        <w:tc>
          <w:tcPr>
            <w:tcW w:w="1440" w:type="dxa"/>
            <w:vAlign w:val="center"/>
          </w:tcPr>
          <w:p w14:paraId="676F28C1" w14:textId="77777777" w:rsidR="00A41CE2" w:rsidRDefault="00A41CE2" w:rsidP="00A41CE2">
            <w:pPr>
              <w:pStyle w:val="ExhibitText"/>
              <w:jc w:val="right"/>
            </w:pPr>
            <w:r>
              <w:t>(35.2)</w:t>
            </w:r>
          </w:p>
        </w:tc>
      </w:tr>
    </w:tbl>
    <w:p w14:paraId="4DBD608B" w14:textId="77777777" w:rsidR="00A41CE2" w:rsidRDefault="00A41CE2" w:rsidP="00FD6CFB">
      <w:pPr>
        <w:pStyle w:val="ExhibitText"/>
      </w:pPr>
    </w:p>
    <w:p w14:paraId="752D84D1" w14:textId="08E43CB7" w:rsidR="00A41CE2" w:rsidRDefault="00A41CE2" w:rsidP="00A41CE2">
      <w:pPr>
        <w:pStyle w:val="Footnote"/>
      </w:pPr>
      <w:r>
        <w:t xml:space="preserve">Source: </w:t>
      </w:r>
      <w:r w:rsidRPr="00880B10">
        <w:t xml:space="preserve">Created by </w:t>
      </w:r>
      <w:r w:rsidR="005F5FEE">
        <w:t xml:space="preserve">the </w:t>
      </w:r>
      <w:r w:rsidRPr="00880B10">
        <w:t>author</w:t>
      </w:r>
      <w:r w:rsidR="005F5FEE">
        <w:t>s</w:t>
      </w:r>
      <w:r w:rsidRPr="00880B10">
        <w:t xml:space="preserve"> using</w:t>
      </w:r>
      <w:r>
        <w:t xml:space="preserve"> </w:t>
      </w:r>
      <w:r w:rsidRPr="00440FBF">
        <w:t xml:space="preserve">Empire Company Limited, </w:t>
      </w:r>
      <w:r w:rsidRPr="005E765D">
        <w:rPr>
          <w:i/>
        </w:rPr>
        <w:t>Empire Company Reports Fiscal 2016 Fourth Quarter and Full Year Results</w:t>
      </w:r>
      <w:r w:rsidR="001213E3">
        <w:t>,</w:t>
      </w:r>
      <w:r w:rsidRPr="00440FBF">
        <w:t xml:space="preserve"> June 28, 2016, </w:t>
      </w:r>
      <w:r>
        <w:t xml:space="preserve">accessed June 1, 2017, </w:t>
      </w:r>
      <w:r w:rsidRPr="00440FBF">
        <w:t>http://corporate.sobeys.com/wp-content/uploads/2016/06/Empire-Company-Reports-Fiscal-2016-Fourth-Quarter-and-Full-Year-Results.pdf.</w:t>
      </w:r>
    </w:p>
    <w:p w14:paraId="6E4D3B56" w14:textId="77777777" w:rsidR="00A41CE2" w:rsidRDefault="00A41CE2" w:rsidP="00FD6CFB">
      <w:pPr>
        <w:pStyle w:val="ExhibitText"/>
      </w:pPr>
    </w:p>
    <w:p w14:paraId="23EA445C" w14:textId="77777777" w:rsidR="00A41CE2" w:rsidRDefault="00A41CE2" w:rsidP="00FD6CFB">
      <w:pPr>
        <w:pStyle w:val="ExhibitText"/>
      </w:pPr>
    </w:p>
    <w:p w14:paraId="6D4D4979" w14:textId="77777777" w:rsidR="00A41CE2" w:rsidRPr="00880B10" w:rsidRDefault="00A41CE2" w:rsidP="009C4748">
      <w:pPr>
        <w:pStyle w:val="ExhibitHeading"/>
        <w:outlineLvl w:val="0"/>
      </w:pPr>
      <w:r w:rsidRPr="00880B10">
        <w:t>Exhibit 4: Comparison of Financial Performance (Metro)</w:t>
      </w:r>
    </w:p>
    <w:p w14:paraId="49088ECF" w14:textId="77777777" w:rsidR="00A41CE2" w:rsidRDefault="00A41CE2" w:rsidP="00FD6CFB">
      <w:pPr>
        <w:pStyle w:val="ExhibitText"/>
      </w:pPr>
    </w:p>
    <w:tbl>
      <w:tblPr>
        <w:tblStyle w:val="TableGrid"/>
        <w:tblW w:w="0" w:type="auto"/>
        <w:jc w:val="center"/>
        <w:tblLook w:val="04A0" w:firstRow="1" w:lastRow="0" w:firstColumn="1" w:lastColumn="0" w:noHBand="0" w:noVBand="1"/>
      </w:tblPr>
      <w:tblGrid>
        <w:gridCol w:w="1710"/>
        <w:gridCol w:w="1450"/>
        <w:gridCol w:w="1350"/>
        <w:gridCol w:w="1890"/>
        <w:gridCol w:w="1345"/>
      </w:tblGrid>
      <w:tr w:rsidR="00061533" w:rsidRPr="00A41CE2" w14:paraId="293E3EDE" w14:textId="77777777" w:rsidTr="00061533">
        <w:trPr>
          <w:jc w:val="center"/>
        </w:trPr>
        <w:tc>
          <w:tcPr>
            <w:tcW w:w="1710" w:type="dxa"/>
            <w:vAlign w:val="center"/>
          </w:tcPr>
          <w:p w14:paraId="685B6BBF" w14:textId="77777777" w:rsidR="00A41CE2" w:rsidRPr="00A41CE2" w:rsidRDefault="00A41CE2" w:rsidP="00A41CE2">
            <w:pPr>
              <w:rPr>
                <w:rFonts w:ascii="Arial" w:hAnsi="Arial" w:cs="Arial"/>
                <w:b/>
                <w:color w:val="000000" w:themeColor="text1"/>
              </w:rPr>
            </w:pPr>
            <w:r w:rsidRPr="00A41CE2">
              <w:rPr>
                <w:rFonts w:ascii="Arial" w:hAnsi="Arial" w:cs="Arial"/>
                <w:b/>
                <w:color w:val="000000" w:themeColor="text1"/>
              </w:rPr>
              <w:t>Year</w:t>
            </w:r>
          </w:p>
        </w:tc>
        <w:tc>
          <w:tcPr>
            <w:tcW w:w="1170" w:type="dxa"/>
            <w:vAlign w:val="center"/>
          </w:tcPr>
          <w:p w14:paraId="16416258" w14:textId="33630689" w:rsidR="00A41CE2" w:rsidRPr="00A41CE2" w:rsidRDefault="00A41CE2" w:rsidP="00A41CE2">
            <w:pPr>
              <w:jc w:val="center"/>
              <w:rPr>
                <w:rFonts w:ascii="Arial" w:hAnsi="Arial" w:cs="Arial"/>
                <w:b/>
                <w:color w:val="000000" w:themeColor="text1"/>
              </w:rPr>
            </w:pPr>
            <w:r w:rsidRPr="00A41CE2">
              <w:rPr>
                <w:rFonts w:ascii="Arial" w:hAnsi="Arial" w:cs="Arial"/>
                <w:b/>
                <w:color w:val="000000" w:themeColor="text1"/>
              </w:rPr>
              <w:t>Revenue (</w:t>
            </w:r>
            <w:r w:rsidR="001213E3">
              <w:rPr>
                <w:rFonts w:ascii="Arial" w:hAnsi="Arial" w:cs="Arial"/>
                <w:b/>
                <w:color w:val="000000" w:themeColor="text1"/>
              </w:rPr>
              <w:t>CA</w:t>
            </w:r>
            <w:r w:rsidRPr="00A41CE2">
              <w:rPr>
                <w:rFonts w:ascii="Arial" w:hAnsi="Arial" w:cs="Arial"/>
                <w:b/>
                <w:color w:val="000000" w:themeColor="text1"/>
              </w:rPr>
              <w:t>$ million)</w:t>
            </w:r>
          </w:p>
        </w:tc>
        <w:tc>
          <w:tcPr>
            <w:tcW w:w="1350" w:type="dxa"/>
            <w:vAlign w:val="center"/>
          </w:tcPr>
          <w:p w14:paraId="65668948" w14:textId="1D0D259D" w:rsidR="00A41CE2" w:rsidRPr="00A41CE2" w:rsidRDefault="00A41CE2" w:rsidP="001213E3">
            <w:pPr>
              <w:jc w:val="center"/>
              <w:rPr>
                <w:rFonts w:ascii="Arial" w:hAnsi="Arial" w:cs="Arial"/>
                <w:b/>
                <w:color w:val="000000" w:themeColor="text1"/>
              </w:rPr>
            </w:pPr>
            <w:r w:rsidRPr="00A41CE2">
              <w:rPr>
                <w:rFonts w:ascii="Arial" w:hAnsi="Arial" w:cs="Arial"/>
                <w:b/>
                <w:color w:val="000000" w:themeColor="text1"/>
              </w:rPr>
              <w:t xml:space="preserve">% </w:t>
            </w:r>
            <w:r w:rsidR="001213E3">
              <w:rPr>
                <w:rFonts w:ascii="Arial" w:hAnsi="Arial" w:cs="Arial"/>
                <w:b/>
                <w:color w:val="000000" w:themeColor="text1"/>
              </w:rPr>
              <w:t>C</w:t>
            </w:r>
            <w:r w:rsidRPr="00A41CE2">
              <w:rPr>
                <w:rFonts w:ascii="Arial" w:hAnsi="Arial" w:cs="Arial"/>
                <w:b/>
                <w:color w:val="000000" w:themeColor="text1"/>
              </w:rPr>
              <w:t>hange</w:t>
            </w:r>
          </w:p>
        </w:tc>
        <w:tc>
          <w:tcPr>
            <w:tcW w:w="1890" w:type="dxa"/>
            <w:vAlign w:val="center"/>
          </w:tcPr>
          <w:p w14:paraId="29AD7BA7" w14:textId="78FE8544" w:rsidR="00A41CE2" w:rsidRPr="00A41CE2" w:rsidRDefault="00A41CE2" w:rsidP="00A41CE2">
            <w:pPr>
              <w:jc w:val="center"/>
              <w:rPr>
                <w:rFonts w:ascii="Arial" w:hAnsi="Arial" w:cs="Arial"/>
                <w:b/>
                <w:color w:val="000000" w:themeColor="text1"/>
              </w:rPr>
            </w:pPr>
            <w:r w:rsidRPr="00A41CE2">
              <w:rPr>
                <w:rFonts w:ascii="Arial" w:hAnsi="Arial" w:cs="Arial"/>
                <w:b/>
                <w:color w:val="000000" w:themeColor="text1"/>
              </w:rPr>
              <w:t>Operating Profit (</w:t>
            </w:r>
            <w:r w:rsidR="001213E3">
              <w:rPr>
                <w:rFonts w:ascii="Arial" w:hAnsi="Arial" w:cs="Arial"/>
                <w:b/>
                <w:color w:val="000000" w:themeColor="text1"/>
              </w:rPr>
              <w:t>CA</w:t>
            </w:r>
            <w:r w:rsidRPr="00A41CE2">
              <w:rPr>
                <w:rFonts w:ascii="Arial" w:hAnsi="Arial" w:cs="Arial"/>
                <w:b/>
                <w:color w:val="000000" w:themeColor="text1"/>
              </w:rPr>
              <w:t>$ million)</w:t>
            </w:r>
          </w:p>
        </w:tc>
        <w:tc>
          <w:tcPr>
            <w:tcW w:w="1345" w:type="dxa"/>
            <w:vAlign w:val="center"/>
          </w:tcPr>
          <w:p w14:paraId="7F6D901A" w14:textId="118EDE91" w:rsidR="00A41CE2" w:rsidRPr="00A41CE2" w:rsidRDefault="00A41CE2" w:rsidP="001213E3">
            <w:pPr>
              <w:jc w:val="center"/>
              <w:rPr>
                <w:rFonts w:ascii="Arial" w:hAnsi="Arial" w:cs="Arial"/>
                <w:b/>
                <w:color w:val="000000" w:themeColor="text1"/>
              </w:rPr>
            </w:pPr>
            <w:r w:rsidRPr="00A41CE2">
              <w:rPr>
                <w:rFonts w:ascii="Arial" w:hAnsi="Arial" w:cs="Arial"/>
                <w:b/>
                <w:color w:val="000000" w:themeColor="text1"/>
              </w:rPr>
              <w:t xml:space="preserve">% </w:t>
            </w:r>
            <w:r w:rsidR="001213E3">
              <w:rPr>
                <w:rFonts w:ascii="Arial" w:hAnsi="Arial" w:cs="Arial"/>
                <w:b/>
                <w:color w:val="000000" w:themeColor="text1"/>
              </w:rPr>
              <w:t>C</w:t>
            </w:r>
            <w:r w:rsidRPr="00A41CE2">
              <w:rPr>
                <w:rFonts w:ascii="Arial" w:hAnsi="Arial" w:cs="Arial"/>
                <w:b/>
                <w:color w:val="000000" w:themeColor="text1"/>
              </w:rPr>
              <w:t>hange</w:t>
            </w:r>
          </w:p>
        </w:tc>
      </w:tr>
      <w:tr w:rsidR="00A41CE2" w:rsidRPr="00A41CE2" w14:paraId="197FFE45" w14:textId="77777777" w:rsidTr="00061533">
        <w:trPr>
          <w:jc w:val="center"/>
        </w:trPr>
        <w:tc>
          <w:tcPr>
            <w:tcW w:w="1710" w:type="dxa"/>
          </w:tcPr>
          <w:p w14:paraId="53FE8338" w14:textId="77777777" w:rsidR="00A41CE2" w:rsidRPr="00A41CE2" w:rsidRDefault="00A41CE2" w:rsidP="00B45C0F">
            <w:pPr>
              <w:rPr>
                <w:rFonts w:ascii="Arial" w:hAnsi="Arial" w:cs="Arial"/>
                <w:color w:val="000000" w:themeColor="text1"/>
              </w:rPr>
            </w:pPr>
            <w:r w:rsidRPr="00A41CE2">
              <w:rPr>
                <w:rFonts w:ascii="Arial" w:hAnsi="Arial" w:cs="Arial"/>
                <w:color w:val="000000" w:themeColor="text1"/>
              </w:rPr>
              <w:t>2011</w:t>
            </w:r>
          </w:p>
        </w:tc>
        <w:tc>
          <w:tcPr>
            <w:tcW w:w="1170" w:type="dxa"/>
          </w:tcPr>
          <w:p w14:paraId="65FCDA80" w14:textId="77777777" w:rsidR="00A41CE2" w:rsidRPr="00A41CE2" w:rsidRDefault="00A41CE2" w:rsidP="00061533">
            <w:pPr>
              <w:jc w:val="right"/>
              <w:rPr>
                <w:rFonts w:ascii="Arial" w:hAnsi="Arial" w:cs="Arial"/>
              </w:rPr>
            </w:pPr>
            <w:r w:rsidRPr="00A41CE2">
              <w:rPr>
                <w:rFonts w:ascii="Arial" w:hAnsi="Arial" w:cs="Arial"/>
              </w:rPr>
              <w:t>7,604.7</w:t>
            </w:r>
          </w:p>
        </w:tc>
        <w:tc>
          <w:tcPr>
            <w:tcW w:w="1350" w:type="dxa"/>
          </w:tcPr>
          <w:p w14:paraId="30575491" w14:textId="77777777" w:rsidR="00A41CE2" w:rsidRPr="00A41CE2" w:rsidRDefault="00A41CE2" w:rsidP="00061533">
            <w:pPr>
              <w:jc w:val="right"/>
              <w:rPr>
                <w:rFonts w:ascii="Arial" w:hAnsi="Arial" w:cs="Arial"/>
              </w:rPr>
            </w:pPr>
            <w:r w:rsidRPr="00A41CE2">
              <w:rPr>
                <w:rFonts w:ascii="Arial" w:hAnsi="Arial" w:cs="Arial"/>
              </w:rPr>
              <w:t>-</w:t>
            </w:r>
          </w:p>
        </w:tc>
        <w:tc>
          <w:tcPr>
            <w:tcW w:w="1890" w:type="dxa"/>
          </w:tcPr>
          <w:p w14:paraId="21540004" w14:textId="77777777" w:rsidR="00A41CE2" w:rsidRPr="00A41CE2" w:rsidRDefault="00A41CE2" w:rsidP="00061533">
            <w:pPr>
              <w:jc w:val="right"/>
              <w:rPr>
                <w:rFonts w:ascii="Arial" w:hAnsi="Arial" w:cs="Arial"/>
              </w:rPr>
            </w:pPr>
            <w:r w:rsidRPr="00A41CE2">
              <w:rPr>
                <w:rFonts w:ascii="Arial" w:hAnsi="Arial" w:cs="Arial"/>
              </w:rPr>
              <w:t>492.3</w:t>
            </w:r>
          </w:p>
        </w:tc>
        <w:tc>
          <w:tcPr>
            <w:tcW w:w="1345" w:type="dxa"/>
          </w:tcPr>
          <w:p w14:paraId="2E915BEA" w14:textId="77777777" w:rsidR="00A41CE2" w:rsidRPr="00A41CE2" w:rsidRDefault="00A41CE2" w:rsidP="00061533">
            <w:pPr>
              <w:jc w:val="right"/>
              <w:rPr>
                <w:rFonts w:ascii="Arial" w:hAnsi="Arial" w:cs="Arial"/>
              </w:rPr>
            </w:pPr>
            <w:r w:rsidRPr="00A41CE2">
              <w:rPr>
                <w:rFonts w:ascii="Arial" w:hAnsi="Arial" w:cs="Arial"/>
              </w:rPr>
              <w:t>-</w:t>
            </w:r>
          </w:p>
        </w:tc>
      </w:tr>
      <w:tr w:rsidR="00061533" w:rsidRPr="00A41CE2" w14:paraId="3BD807A0" w14:textId="77777777" w:rsidTr="00061533">
        <w:trPr>
          <w:jc w:val="center"/>
        </w:trPr>
        <w:tc>
          <w:tcPr>
            <w:tcW w:w="1710" w:type="dxa"/>
          </w:tcPr>
          <w:p w14:paraId="5E4A63DF" w14:textId="77777777" w:rsidR="00A41CE2" w:rsidRPr="00A41CE2" w:rsidRDefault="00A41CE2" w:rsidP="00B45C0F">
            <w:pPr>
              <w:rPr>
                <w:rFonts w:ascii="Arial" w:hAnsi="Arial" w:cs="Arial"/>
                <w:color w:val="000000" w:themeColor="text1"/>
              </w:rPr>
            </w:pPr>
            <w:r w:rsidRPr="00A41CE2">
              <w:rPr>
                <w:rFonts w:ascii="Arial" w:hAnsi="Arial" w:cs="Arial"/>
                <w:color w:val="000000" w:themeColor="text1"/>
              </w:rPr>
              <w:t>2012</w:t>
            </w:r>
          </w:p>
        </w:tc>
        <w:tc>
          <w:tcPr>
            <w:tcW w:w="1170" w:type="dxa"/>
          </w:tcPr>
          <w:p w14:paraId="66E654CD" w14:textId="77777777" w:rsidR="00A41CE2" w:rsidRPr="00A41CE2" w:rsidRDefault="00A41CE2" w:rsidP="00061533">
            <w:pPr>
              <w:jc w:val="right"/>
              <w:rPr>
                <w:rFonts w:ascii="Arial" w:hAnsi="Arial" w:cs="Arial"/>
              </w:rPr>
            </w:pPr>
            <w:r w:rsidRPr="00A41CE2">
              <w:rPr>
                <w:rFonts w:ascii="Arial" w:hAnsi="Arial" w:cs="Arial"/>
              </w:rPr>
              <w:t>7,991.1</w:t>
            </w:r>
          </w:p>
        </w:tc>
        <w:tc>
          <w:tcPr>
            <w:tcW w:w="1350" w:type="dxa"/>
          </w:tcPr>
          <w:p w14:paraId="2D5020CE" w14:textId="77777777" w:rsidR="00A41CE2" w:rsidRPr="00A41CE2" w:rsidRDefault="00A41CE2" w:rsidP="00061533">
            <w:pPr>
              <w:jc w:val="right"/>
              <w:rPr>
                <w:rFonts w:ascii="Arial" w:hAnsi="Arial" w:cs="Arial"/>
              </w:rPr>
            </w:pPr>
            <w:r w:rsidRPr="00A41CE2">
              <w:rPr>
                <w:rFonts w:ascii="Arial" w:hAnsi="Arial" w:cs="Arial"/>
              </w:rPr>
              <w:t>5.1</w:t>
            </w:r>
          </w:p>
        </w:tc>
        <w:tc>
          <w:tcPr>
            <w:tcW w:w="1890" w:type="dxa"/>
          </w:tcPr>
          <w:p w14:paraId="76073AA0" w14:textId="77777777" w:rsidR="00A41CE2" w:rsidRPr="00A41CE2" w:rsidRDefault="00A41CE2" w:rsidP="00061533">
            <w:pPr>
              <w:jc w:val="right"/>
              <w:rPr>
                <w:rFonts w:ascii="Arial" w:hAnsi="Arial" w:cs="Arial"/>
              </w:rPr>
            </w:pPr>
            <w:r w:rsidRPr="00A41CE2">
              <w:rPr>
                <w:rFonts w:ascii="Arial" w:hAnsi="Arial" w:cs="Arial"/>
              </w:rPr>
              <w:t>557.1</w:t>
            </w:r>
          </w:p>
        </w:tc>
        <w:tc>
          <w:tcPr>
            <w:tcW w:w="1345" w:type="dxa"/>
          </w:tcPr>
          <w:p w14:paraId="0E610A62" w14:textId="77777777" w:rsidR="00A41CE2" w:rsidRPr="00A41CE2" w:rsidRDefault="00A41CE2" w:rsidP="00061533">
            <w:pPr>
              <w:jc w:val="right"/>
              <w:rPr>
                <w:rFonts w:ascii="Arial" w:hAnsi="Arial" w:cs="Arial"/>
              </w:rPr>
            </w:pPr>
            <w:r w:rsidRPr="00A41CE2">
              <w:rPr>
                <w:rFonts w:ascii="Arial" w:hAnsi="Arial" w:cs="Arial"/>
              </w:rPr>
              <w:t>13.2</w:t>
            </w:r>
          </w:p>
        </w:tc>
      </w:tr>
      <w:tr w:rsidR="00A41CE2" w:rsidRPr="00A41CE2" w14:paraId="74314C73" w14:textId="77777777" w:rsidTr="00061533">
        <w:trPr>
          <w:jc w:val="center"/>
        </w:trPr>
        <w:tc>
          <w:tcPr>
            <w:tcW w:w="1710" w:type="dxa"/>
          </w:tcPr>
          <w:p w14:paraId="69A95D8A" w14:textId="77777777" w:rsidR="00A41CE2" w:rsidRPr="00A41CE2" w:rsidRDefault="00A41CE2" w:rsidP="00B45C0F">
            <w:pPr>
              <w:rPr>
                <w:rFonts w:ascii="Arial" w:hAnsi="Arial" w:cs="Arial"/>
                <w:color w:val="000000" w:themeColor="text1"/>
              </w:rPr>
            </w:pPr>
            <w:r w:rsidRPr="00A41CE2">
              <w:rPr>
                <w:rFonts w:ascii="Arial" w:hAnsi="Arial" w:cs="Arial"/>
                <w:color w:val="000000" w:themeColor="text1"/>
              </w:rPr>
              <w:t>2013</w:t>
            </w:r>
          </w:p>
        </w:tc>
        <w:tc>
          <w:tcPr>
            <w:tcW w:w="1170" w:type="dxa"/>
          </w:tcPr>
          <w:p w14:paraId="21765DDD" w14:textId="77777777" w:rsidR="00A41CE2" w:rsidRPr="00A41CE2" w:rsidRDefault="00A41CE2" w:rsidP="00061533">
            <w:pPr>
              <w:jc w:val="right"/>
              <w:rPr>
                <w:rFonts w:ascii="Arial" w:hAnsi="Arial" w:cs="Arial"/>
              </w:rPr>
            </w:pPr>
            <w:r w:rsidRPr="00A41CE2">
              <w:rPr>
                <w:rFonts w:ascii="Arial" w:hAnsi="Arial" w:cs="Arial"/>
              </w:rPr>
              <w:t>7,796.2</w:t>
            </w:r>
          </w:p>
        </w:tc>
        <w:tc>
          <w:tcPr>
            <w:tcW w:w="1350" w:type="dxa"/>
          </w:tcPr>
          <w:p w14:paraId="54FB9BE2" w14:textId="77777777" w:rsidR="00A41CE2" w:rsidRPr="00A41CE2" w:rsidRDefault="00A41CE2" w:rsidP="00061533">
            <w:pPr>
              <w:jc w:val="right"/>
              <w:rPr>
                <w:rFonts w:ascii="Arial" w:hAnsi="Arial" w:cs="Arial"/>
              </w:rPr>
            </w:pPr>
            <w:r w:rsidRPr="00A41CE2">
              <w:rPr>
                <w:rFonts w:ascii="Arial" w:hAnsi="Arial" w:cs="Arial"/>
              </w:rPr>
              <w:t>(2.4)</w:t>
            </w:r>
          </w:p>
        </w:tc>
        <w:tc>
          <w:tcPr>
            <w:tcW w:w="1890" w:type="dxa"/>
          </w:tcPr>
          <w:p w14:paraId="53981A92" w14:textId="77777777" w:rsidR="00A41CE2" w:rsidRPr="00A41CE2" w:rsidRDefault="00A41CE2" w:rsidP="00061533">
            <w:pPr>
              <w:jc w:val="right"/>
              <w:rPr>
                <w:rFonts w:ascii="Arial" w:hAnsi="Arial" w:cs="Arial"/>
              </w:rPr>
            </w:pPr>
            <w:r w:rsidRPr="00A41CE2">
              <w:rPr>
                <w:rFonts w:ascii="Arial" w:hAnsi="Arial" w:cs="Arial"/>
              </w:rPr>
              <w:t>523.4</w:t>
            </w:r>
          </w:p>
        </w:tc>
        <w:tc>
          <w:tcPr>
            <w:tcW w:w="1345" w:type="dxa"/>
          </w:tcPr>
          <w:p w14:paraId="0D403B58" w14:textId="77777777" w:rsidR="00A41CE2" w:rsidRPr="00A41CE2" w:rsidRDefault="00A41CE2" w:rsidP="00061533">
            <w:pPr>
              <w:jc w:val="right"/>
              <w:rPr>
                <w:rFonts w:ascii="Arial" w:hAnsi="Arial" w:cs="Arial"/>
              </w:rPr>
            </w:pPr>
            <w:r w:rsidRPr="00A41CE2">
              <w:rPr>
                <w:rFonts w:ascii="Arial" w:hAnsi="Arial" w:cs="Arial"/>
              </w:rPr>
              <w:t>(6.0)</w:t>
            </w:r>
          </w:p>
        </w:tc>
      </w:tr>
      <w:tr w:rsidR="00061533" w:rsidRPr="00A41CE2" w14:paraId="5BA057C2" w14:textId="77777777" w:rsidTr="00061533">
        <w:trPr>
          <w:jc w:val="center"/>
        </w:trPr>
        <w:tc>
          <w:tcPr>
            <w:tcW w:w="1710" w:type="dxa"/>
          </w:tcPr>
          <w:p w14:paraId="224EBB6F" w14:textId="77777777" w:rsidR="00A41CE2" w:rsidRPr="00A41CE2" w:rsidRDefault="00A41CE2" w:rsidP="00B45C0F">
            <w:pPr>
              <w:rPr>
                <w:rFonts w:ascii="Arial" w:hAnsi="Arial" w:cs="Arial"/>
                <w:color w:val="000000" w:themeColor="text1"/>
              </w:rPr>
            </w:pPr>
            <w:r w:rsidRPr="00A41CE2">
              <w:rPr>
                <w:rFonts w:ascii="Arial" w:hAnsi="Arial" w:cs="Arial"/>
                <w:color w:val="000000" w:themeColor="text1"/>
              </w:rPr>
              <w:t>2014</w:t>
            </w:r>
          </w:p>
        </w:tc>
        <w:tc>
          <w:tcPr>
            <w:tcW w:w="1170" w:type="dxa"/>
          </w:tcPr>
          <w:p w14:paraId="41795B47" w14:textId="77777777" w:rsidR="00A41CE2" w:rsidRPr="00A41CE2" w:rsidRDefault="00A41CE2" w:rsidP="00061533">
            <w:pPr>
              <w:jc w:val="right"/>
              <w:rPr>
                <w:rFonts w:ascii="Arial" w:hAnsi="Arial" w:cs="Arial"/>
              </w:rPr>
            </w:pPr>
            <w:r w:rsidRPr="00A41CE2">
              <w:rPr>
                <w:rFonts w:ascii="Arial" w:hAnsi="Arial" w:cs="Arial"/>
              </w:rPr>
              <w:t>7,961.6</w:t>
            </w:r>
          </w:p>
        </w:tc>
        <w:tc>
          <w:tcPr>
            <w:tcW w:w="1350" w:type="dxa"/>
          </w:tcPr>
          <w:p w14:paraId="67AF9758" w14:textId="77777777" w:rsidR="00A41CE2" w:rsidRPr="00A41CE2" w:rsidRDefault="00A41CE2" w:rsidP="00061533">
            <w:pPr>
              <w:jc w:val="right"/>
              <w:rPr>
                <w:rFonts w:ascii="Arial" w:hAnsi="Arial" w:cs="Arial"/>
              </w:rPr>
            </w:pPr>
            <w:r w:rsidRPr="00A41CE2">
              <w:rPr>
                <w:rFonts w:ascii="Arial" w:hAnsi="Arial" w:cs="Arial"/>
              </w:rPr>
              <w:t>2.1</w:t>
            </w:r>
          </w:p>
        </w:tc>
        <w:tc>
          <w:tcPr>
            <w:tcW w:w="1890" w:type="dxa"/>
          </w:tcPr>
          <w:p w14:paraId="564E0207" w14:textId="77777777" w:rsidR="00A41CE2" w:rsidRPr="00A41CE2" w:rsidRDefault="00A41CE2" w:rsidP="00061533">
            <w:pPr>
              <w:jc w:val="right"/>
              <w:rPr>
                <w:rFonts w:ascii="Arial" w:hAnsi="Arial" w:cs="Arial"/>
              </w:rPr>
            </w:pPr>
            <w:r w:rsidRPr="00A41CE2">
              <w:rPr>
                <w:rFonts w:ascii="Arial" w:hAnsi="Arial" w:cs="Arial"/>
              </w:rPr>
              <w:t>536.8</w:t>
            </w:r>
          </w:p>
        </w:tc>
        <w:tc>
          <w:tcPr>
            <w:tcW w:w="1345" w:type="dxa"/>
          </w:tcPr>
          <w:p w14:paraId="09B0B870" w14:textId="77777777" w:rsidR="00A41CE2" w:rsidRPr="00A41CE2" w:rsidRDefault="00A41CE2" w:rsidP="00061533">
            <w:pPr>
              <w:jc w:val="right"/>
              <w:rPr>
                <w:rFonts w:ascii="Arial" w:hAnsi="Arial" w:cs="Arial"/>
              </w:rPr>
            </w:pPr>
            <w:r w:rsidRPr="00A41CE2">
              <w:rPr>
                <w:rFonts w:ascii="Arial" w:hAnsi="Arial" w:cs="Arial"/>
              </w:rPr>
              <w:t>2.6</w:t>
            </w:r>
          </w:p>
        </w:tc>
      </w:tr>
      <w:tr w:rsidR="00A41CE2" w:rsidRPr="00A41CE2" w14:paraId="289367C3" w14:textId="77777777" w:rsidTr="00061533">
        <w:trPr>
          <w:trHeight w:val="60"/>
          <w:jc w:val="center"/>
        </w:trPr>
        <w:tc>
          <w:tcPr>
            <w:tcW w:w="1710" w:type="dxa"/>
          </w:tcPr>
          <w:p w14:paraId="31539AB9" w14:textId="77777777" w:rsidR="00A41CE2" w:rsidRPr="00A41CE2" w:rsidRDefault="00A41CE2" w:rsidP="00B45C0F">
            <w:pPr>
              <w:rPr>
                <w:rFonts w:ascii="Arial" w:hAnsi="Arial" w:cs="Arial"/>
                <w:color w:val="000000" w:themeColor="text1"/>
              </w:rPr>
            </w:pPr>
            <w:r w:rsidRPr="00A41CE2">
              <w:rPr>
                <w:rFonts w:ascii="Arial" w:hAnsi="Arial" w:cs="Arial"/>
                <w:color w:val="000000" w:themeColor="text1"/>
              </w:rPr>
              <w:t>2015</w:t>
            </w:r>
          </w:p>
        </w:tc>
        <w:tc>
          <w:tcPr>
            <w:tcW w:w="1170" w:type="dxa"/>
          </w:tcPr>
          <w:p w14:paraId="6F637E9A" w14:textId="77777777" w:rsidR="00A41CE2" w:rsidRPr="00A41CE2" w:rsidRDefault="00A41CE2" w:rsidP="00061533">
            <w:pPr>
              <w:jc w:val="right"/>
              <w:rPr>
                <w:rFonts w:ascii="Arial" w:hAnsi="Arial" w:cs="Arial"/>
              </w:rPr>
            </w:pPr>
            <w:r w:rsidRPr="00A41CE2">
              <w:rPr>
                <w:rFonts w:ascii="Arial" w:hAnsi="Arial" w:cs="Arial"/>
              </w:rPr>
              <w:t>8,545.1</w:t>
            </w:r>
          </w:p>
        </w:tc>
        <w:tc>
          <w:tcPr>
            <w:tcW w:w="1350" w:type="dxa"/>
          </w:tcPr>
          <w:p w14:paraId="56FCBA27" w14:textId="77777777" w:rsidR="00A41CE2" w:rsidRPr="00A41CE2" w:rsidRDefault="00A41CE2" w:rsidP="00061533">
            <w:pPr>
              <w:jc w:val="right"/>
              <w:rPr>
                <w:rFonts w:ascii="Arial" w:hAnsi="Arial" w:cs="Arial"/>
              </w:rPr>
            </w:pPr>
            <w:r w:rsidRPr="00A41CE2">
              <w:rPr>
                <w:rFonts w:ascii="Arial" w:hAnsi="Arial" w:cs="Arial"/>
              </w:rPr>
              <w:t>7.3</w:t>
            </w:r>
          </w:p>
        </w:tc>
        <w:tc>
          <w:tcPr>
            <w:tcW w:w="1890" w:type="dxa"/>
          </w:tcPr>
          <w:p w14:paraId="387E4CB3" w14:textId="77777777" w:rsidR="00A41CE2" w:rsidRPr="00A41CE2" w:rsidRDefault="00A41CE2" w:rsidP="00061533">
            <w:pPr>
              <w:jc w:val="right"/>
              <w:rPr>
                <w:rFonts w:ascii="Arial" w:hAnsi="Arial" w:cs="Arial"/>
              </w:rPr>
            </w:pPr>
            <w:r w:rsidRPr="00A41CE2">
              <w:rPr>
                <w:rFonts w:ascii="Arial" w:hAnsi="Arial" w:cs="Arial"/>
              </w:rPr>
              <w:t>599.6</w:t>
            </w:r>
          </w:p>
        </w:tc>
        <w:tc>
          <w:tcPr>
            <w:tcW w:w="1345" w:type="dxa"/>
          </w:tcPr>
          <w:p w14:paraId="60514365" w14:textId="77777777" w:rsidR="00A41CE2" w:rsidRPr="00A41CE2" w:rsidRDefault="00A41CE2" w:rsidP="00061533">
            <w:pPr>
              <w:jc w:val="right"/>
              <w:rPr>
                <w:rFonts w:ascii="Arial" w:hAnsi="Arial" w:cs="Arial"/>
              </w:rPr>
            </w:pPr>
            <w:r w:rsidRPr="00A41CE2">
              <w:rPr>
                <w:rFonts w:ascii="Arial" w:hAnsi="Arial" w:cs="Arial"/>
              </w:rPr>
              <w:t>11.7</w:t>
            </w:r>
          </w:p>
        </w:tc>
      </w:tr>
      <w:tr w:rsidR="00061533" w:rsidRPr="00A41CE2" w14:paraId="6BA23A2C" w14:textId="77777777" w:rsidTr="00061533">
        <w:trPr>
          <w:jc w:val="center"/>
        </w:trPr>
        <w:tc>
          <w:tcPr>
            <w:tcW w:w="1710" w:type="dxa"/>
          </w:tcPr>
          <w:p w14:paraId="3A007729" w14:textId="77777777" w:rsidR="00A41CE2" w:rsidRPr="00A41CE2" w:rsidRDefault="00A41CE2" w:rsidP="00B45C0F">
            <w:pPr>
              <w:rPr>
                <w:rFonts w:ascii="Arial" w:hAnsi="Arial" w:cs="Arial"/>
                <w:color w:val="000000" w:themeColor="text1"/>
              </w:rPr>
            </w:pPr>
            <w:r w:rsidRPr="00A41CE2">
              <w:rPr>
                <w:rFonts w:ascii="Arial" w:hAnsi="Arial" w:cs="Arial"/>
                <w:color w:val="000000" w:themeColor="text1"/>
              </w:rPr>
              <w:t>2016 (estimate)</w:t>
            </w:r>
          </w:p>
        </w:tc>
        <w:tc>
          <w:tcPr>
            <w:tcW w:w="1170" w:type="dxa"/>
          </w:tcPr>
          <w:p w14:paraId="3EE83922" w14:textId="77777777" w:rsidR="00A41CE2" w:rsidRPr="00A41CE2" w:rsidRDefault="00A41CE2" w:rsidP="00061533">
            <w:pPr>
              <w:jc w:val="right"/>
              <w:rPr>
                <w:rFonts w:ascii="Arial" w:hAnsi="Arial" w:cs="Arial"/>
              </w:rPr>
            </w:pPr>
            <w:r w:rsidRPr="00A41CE2">
              <w:rPr>
                <w:rFonts w:ascii="Arial" w:hAnsi="Arial" w:cs="Arial"/>
              </w:rPr>
              <w:t>8,972.0</w:t>
            </w:r>
          </w:p>
        </w:tc>
        <w:tc>
          <w:tcPr>
            <w:tcW w:w="1350" w:type="dxa"/>
          </w:tcPr>
          <w:p w14:paraId="6DE4B400" w14:textId="77777777" w:rsidR="00A41CE2" w:rsidRPr="00A41CE2" w:rsidRDefault="00A41CE2" w:rsidP="00061533">
            <w:pPr>
              <w:jc w:val="right"/>
              <w:rPr>
                <w:rFonts w:ascii="Arial" w:hAnsi="Arial" w:cs="Arial"/>
              </w:rPr>
            </w:pPr>
            <w:r w:rsidRPr="00A41CE2">
              <w:rPr>
                <w:rFonts w:ascii="Arial" w:hAnsi="Arial" w:cs="Arial"/>
              </w:rPr>
              <w:t>5.0</w:t>
            </w:r>
          </w:p>
        </w:tc>
        <w:tc>
          <w:tcPr>
            <w:tcW w:w="1890" w:type="dxa"/>
          </w:tcPr>
          <w:p w14:paraId="79DA5E5B" w14:textId="77777777" w:rsidR="00A41CE2" w:rsidRPr="00A41CE2" w:rsidRDefault="00A41CE2" w:rsidP="00061533">
            <w:pPr>
              <w:jc w:val="right"/>
              <w:rPr>
                <w:rFonts w:ascii="Arial" w:hAnsi="Arial" w:cs="Arial"/>
              </w:rPr>
            </w:pPr>
            <w:r w:rsidRPr="00A41CE2">
              <w:rPr>
                <w:rFonts w:ascii="Arial" w:hAnsi="Arial" w:cs="Arial"/>
              </w:rPr>
              <w:t>697.3</w:t>
            </w:r>
          </w:p>
        </w:tc>
        <w:tc>
          <w:tcPr>
            <w:tcW w:w="1345" w:type="dxa"/>
          </w:tcPr>
          <w:p w14:paraId="4962BAB9" w14:textId="77777777" w:rsidR="00A41CE2" w:rsidRPr="00A41CE2" w:rsidRDefault="00A41CE2" w:rsidP="00061533">
            <w:pPr>
              <w:jc w:val="right"/>
              <w:rPr>
                <w:rFonts w:ascii="Arial" w:hAnsi="Arial" w:cs="Arial"/>
              </w:rPr>
            </w:pPr>
            <w:r w:rsidRPr="00A41CE2">
              <w:rPr>
                <w:rFonts w:ascii="Arial" w:hAnsi="Arial" w:cs="Arial"/>
              </w:rPr>
              <w:t>16.3</w:t>
            </w:r>
          </w:p>
        </w:tc>
      </w:tr>
    </w:tbl>
    <w:p w14:paraId="499EAA90" w14:textId="77777777" w:rsidR="00A41CE2" w:rsidRDefault="00A41CE2" w:rsidP="00FD6CFB">
      <w:pPr>
        <w:pStyle w:val="ExhibitText"/>
      </w:pPr>
    </w:p>
    <w:p w14:paraId="67022476" w14:textId="1B2BB3B3" w:rsidR="00A41CE2" w:rsidRDefault="00A41CE2" w:rsidP="00A41CE2">
      <w:pPr>
        <w:pStyle w:val="Footnote"/>
        <w:rPr>
          <w:rFonts w:ascii="Garamond" w:hAnsi="Garamond"/>
        </w:rPr>
      </w:pPr>
      <w:r>
        <w:t xml:space="preserve">Source: </w:t>
      </w:r>
      <w:r w:rsidRPr="00880B10">
        <w:t xml:space="preserve">Created by </w:t>
      </w:r>
      <w:r w:rsidR="009D388F">
        <w:t xml:space="preserve">the </w:t>
      </w:r>
      <w:r w:rsidRPr="00880B10">
        <w:t>author</w:t>
      </w:r>
      <w:r w:rsidR="009D388F">
        <w:t>s</w:t>
      </w:r>
      <w:r w:rsidRPr="00880B10">
        <w:t xml:space="preserve"> using </w:t>
      </w:r>
      <w:r w:rsidRPr="00440FBF">
        <w:t xml:space="preserve">Metro Inc., </w:t>
      </w:r>
      <w:r w:rsidRPr="005E765D">
        <w:rPr>
          <w:i/>
        </w:rPr>
        <w:t>I</w:t>
      </w:r>
      <w:r w:rsidR="005F5FEE" w:rsidRPr="005E765D">
        <w:rPr>
          <w:i/>
        </w:rPr>
        <w:t>nterim Report:</w:t>
      </w:r>
      <w:r w:rsidRPr="005E765D">
        <w:rPr>
          <w:i/>
        </w:rPr>
        <w:t xml:space="preserve"> 16-</w:t>
      </w:r>
      <w:r w:rsidR="005F5FEE">
        <w:rPr>
          <w:i/>
        </w:rPr>
        <w:t>W</w:t>
      </w:r>
      <w:r w:rsidRPr="005E765D">
        <w:rPr>
          <w:i/>
        </w:rPr>
        <w:t xml:space="preserve">eek </w:t>
      </w:r>
      <w:r w:rsidR="005F5FEE" w:rsidRPr="005E765D">
        <w:rPr>
          <w:i/>
        </w:rPr>
        <w:t>P</w:t>
      </w:r>
      <w:r w:rsidRPr="005E765D">
        <w:rPr>
          <w:i/>
        </w:rPr>
        <w:t>eriod ended July 2, 2016</w:t>
      </w:r>
      <w:r w:rsidR="005F5FEE">
        <w:t>,</w:t>
      </w:r>
      <w:r w:rsidRPr="00440FBF">
        <w:t xml:space="preserve"> August 12, 2016, </w:t>
      </w:r>
      <w:r>
        <w:t xml:space="preserve">accessed June 1, 2017, </w:t>
      </w:r>
      <w:r w:rsidRPr="00440FBF">
        <w:t>http://corpo.metro.ca/userfiles/file/PDF/Rapport-trimestriel/2016/en/2016-Q3-interim-report.pdf.</w:t>
      </w:r>
    </w:p>
    <w:p w14:paraId="583DAE03" w14:textId="77777777" w:rsidR="00FC0F02" w:rsidRDefault="00FC0F02" w:rsidP="00FD6CFB">
      <w:pPr>
        <w:pStyle w:val="ExhibitText"/>
      </w:pPr>
    </w:p>
    <w:p w14:paraId="51499F8D" w14:textId="4EA34BE4" w:rsidR="005F5FEE" w:rsidRDefault="005F5FEE" w:rsidP="00FD6CFB">
      <w:pPr>
        <w:pStyle w:val="ExhibitText"/>
        <w:rPr>
          <w:sz w:val="22"/>
          <w:szCs w:val="22"/>
        </w:rPr>
      </w:pPr>
      <w:r>
        <w:br w:type="page"/>
      </w:r>
    </w:p>
    <w:p w14:paraId="2CFEEC7E" w14:textId="77777777" w:rsidR="00EF7B6F" w:rsidRDefault="00EF7B6F" w:rsidP="009C4748">
      <w:pPr>
        <w:pStyle w:val="Casehead1"/>
        <w:outlineLvl w:val="0"/>
      </w:pPr>
      <w:r>
        <w:lastRenderedPageBreak/>
        <w:t>Endnotes</w:t>
      </w:r>
    </w:p>
    <w:sectPr w:rsidR="00EF7B6F"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90F81" w14:textId="77777777" w:rsidR="00D03233" w:rsidRDefault="00D03233" w:rsidP="00D75295">
      <w:r>
        <w:separator/>
      </w:r>
    </w:p>
  </w:endnote>
  <w:endnote w:type="continuationSeparator" w:id="0">
    <w:p w14:paraId="70603765" w14:textId="77777777" w:rsidR="00D03233" w:rsidRDefault="00D03233" w:rsidP="00D75295">
      <w:r>
        <w:continuationSeparator/>
      </w:r>
    </w:p>
  </w:endnote>
  <w:endnote w:id="1">
    <w:p w14:paraId="0819E809" w14:textId="0D12B635" w:rsidR="0061706C" w:rsidRPr="0061706C" w:rsidRDefault="0061706C" w:rsidP="0061706C">
      <w:pPr>
        <w:pStyle w:val="Footnote"/>
        <w:rPr>
          <w:lang w:val="en-US"/>
        </w:rPr>
      </w:pPr>
      <w:r>
        <w:rPr>
          <w:rStyle w:val="EndnoteReference"/>
        </w:rPr>
        <w:endnoteRef/>
      </w:r>
      <w:r>
        <w:t xml:space="preserve"> </w:t>
      </w:r>
      <w:r>
        <w:t xml:space="preserve">This case has been written on the basis of published sources only. Consequently, the interpretation and perspectives presented in this case are not necessarily those of </w:t>
      </w:r>
      <w:r>
        <w:t>Loblaw Companies Limited</w:t>
      </w:r>
      <w:r>
        <w:t xml:space="preserve"> or any of its employees.</w:t>
      </w:r>
    </w:p>
  </w:endnote>
  <w:endnote w:id="2">
    <w:p w14:paraId="0D35F7DD" w14:textId="7CDF6B83" w:rsidR="00EE1B72" w:rsidRPr="00D14896" w:rsidRDefault="00EE1B72" w:rsidP="00D14896">
      <w:pPr>
        <w:pStyle w:val="Footnote"/>
      </w:pPr>
      <w:r w:rsidRPr="00D14896">
        <w:rPr>
          <w:sz w:val="20"/>
          <w:szCs w:val="20"/>
          <w:vertAlign w:val="superscript"/>
        </w:rPr>
        <w:endnoteRef/>
      </w:r>
      <w:r w:rsidRPr="00D14896">
        <w:t xml:space="preserve"> “</w:t>
      </w:r>
      <w:proofErr w:type="spellStart"/>
      <w:r w:rsidRPr="00D14896">
        <w:t>Loblaws</w:t>
      </w:r>
      <w:proofErr w:type="spellEnd"/>
      <w:r w:rsidRPr="00D14896">
        <w:t xml:space="preserve"> Gears up for Grocery Price War in a Low-inflation Environment,” CBC News, July 27, 2016, accessed October 9, 2016, </w:t>
      </w:r>
      <w:bookmarkStart w:id="0" w:name="_GoBack"/>
      <w:r w:rsidRPr="00D14896">
        <w:t>www.cbc.ca/news/business/loblaw-earnings-q2-1.3697100</w:t>
      </w:r>
      <w:bookmarkEnd w:id="0"/>
      <w:r w:rsidRPr="00D14896">
        <w:t>.</w:t>
      </w:r>
    </w:p>
  </w:endnote>
  <w:endnote w:id="3">
    <w:p w14:paraId="6A728E7B" w14:textId="222C7BED" w:rsidR="00EE1B72" w:rsidRPr="00D14896" w:rsidRDefault="00EE1B72" w:rsidP="00D14896">
      <w:pPr>
        <w:pStyle w:val="Footnote"/>
      </w:pPr>
      <w:r w:rsidRPr="00D14896">
        <w:rPr>
          <w:vertAlign w:val="superscript"/>
        </w:rPr>
        <w:endnoteRef/>
      </w:r>
      <w:r w:rsidRPr="00D14896">
        <w:t xml:space="preserve"> Jennifer Wells, “Can Weston Get the Blah out of Loblaw?,” </w:t>
      </w:r>
      <w:r w:rsidRPr="00FD6CFB">
        <w:rPr>
          <w:i/>
        </w:rPr>
        <w:t>Toronto Star</w:t>
      </w:r>
      <w:r w:rsidRPr="00D14896">
        <w:t>, September 26, 2016, accessed October 11, 2016, www.thestar.com/business/2016/09/16/can-weston-get-the-blah-out-of-loblaw-wells.html.</w:t>
      </w:r>
    </w:p>
  </w:endnote>
  <w:endnote w:id="4">
    <w:p w14:paraId="47D10389" w14:textId="1F9AE5FA" w:rsidR="00EE1B72" w:rsidRPr="00D14896" w:rsidRDefault="00EE1B72" w:rsidP="00D14896">
      <w:pPr>
        <w:pStyle w:val="Footnote"/>
      </w:pPr>
      <w:r w:rsidRPr="00D14896">
        <w:rPr>
          <w:vertAlign w:val="superscript"/>
        </w:rPr>
        <w:endnoteRef/>
      </w:r>
      <w:r w:rsidRPr="00D14896">
        <w:t xml:space="preserve"> </w:t>
      </w:r>
      <w:r>
        <w:t xml:space="preserve">Clifton Ray, “Is there a Bearish Outlook for Loblaw Companies Ltd (TSE:L) This Week?,” BZ Weekly, September 9, 2017, accessed September 14, 2017, </w:t>
      </w:r>
      <w:r w:rsidRPr="005D5583">
        <w:t>https://bzweekly.com/is-there-a-bearish-outlook-for-loblaw-companies-ltd-tsel-this-week</w:t>
      </w:r>
      <w:r>
        <w:t xml:space="preserve">. </w:t>
      </w:r>
    </w:p>
  </w:endnote>
  <w:endnote w:id="5">
    <w:p w14:paraId="38818C77" w14:textId="1475681D" w:rsidR="00EE1B72" w:rsidRPr="00D14896" w:rsidRDefault="00EE1B72" w:rsidP="00D14896">
      <w:pPr>
        <w:pStyle w:val="Footnote"/>
      </w:pPr>
      <w:r w:rsidRPr="00D14896">
        <w:rPr>
          <w:vertAlign w:val="superscript"/>
        </w:rPr>
        <w:endnoteRef/>
      </w:r>
      <w:r w:rsidRPr="00D14896">
        <w:t xml:space="preserve"> “History,” Loblaw Companies Limited</w:t>
      </w:r>
      <w:r>
        <w:t xml:space="preserve"> (website)</w:t>
      </w:r>
      <w:r w:rsidRPr="00D14896">
        <w:t>, accessed October 2, 2016, www.loblaw.ca/en/about-us/history.html.</w:t>
      </w:r>
    </w:p>
  </w:endnote>
  <w:endnote w:id="6">
    <w:p w14:paraId="5CF68812" w14:textId="7727CE2A" w:rsidR="00EE1B72" w:rsidRPr="00D14896" w:rsidRDefault="00EE1B72" w:rsidP="00D14896">
      <w:pPr>
        <w:pStyle w:val="Footnote"/>
      </w:pPr>
      <w:r w:rsidRPr="00D14896">
        <w:rPr>
          <w:vertAlign w:val="superscript"/>
        </w:rPr>
        <w:endnoteRef/>
      </w:r>
      <w:r w:rsidRPr="00D14896">
        <w:t xml:space="preserve"> All currency amounts in the case are in Canadian dollars; Loblaw Companies Limited “Press Release Details: Loblaw Reports 2015 Fourth Quarter and Fiscal Year Ended January 2, 2016 Results (1),”</w:t>
      </w:r>
      <w:r>
        <w:t xml:space="preserve"> press release</w:t>
      </w:r>
      <w:r w:rsidRPr="00D14896">
        <w:t>, February 26, 2016, accessed October 4, 2016, http://investors.loblaw.ca/English/media-centre/press-releases/press-release-details/2016/Loblaw-Reports-2015-Fourth-Quarter-and-Fiscal-Year-Ended-January-2-2016-Results1/default.aspx.</w:t>
      </w:r>
    </w:p>
  </w:endnote>
  <w:endnote w:id="7">
    <w:p w14:paraId="78CF0861" w14:textId="4D1D12D9" w:rsidR="00EE1B72" w:rsidRPr="00D14896" w:rsidRDefault="00EE1B72" w:rsidP="00D14896">
      <w:pPr>
        <w:pStyle w:val="Footnote"/>
      </w:pPr>
      <w:r w:rsidRPr="00D14896">
        <w:rPr>
          <w:vertAlign w:val="superscript"/>
        </w:rPr>
        <w:endnoteRef/>
      </w:r>
      <w:r w:rsidRPr="00D14896">
        <w:t xml:space="preserve"> IBISWorld, </w:t>
      </w:r>
      <w:r w:rsidRPr="00D14896">
        <w:rPr>
          <w:i/>
        </w:rPr>
        <w:t>Supermarkets &amp; Grocery Stores in Canada: Market Research Report</w:t>
      </w:r>
      <w:r w:rsidRPr="00D14896">
        <w:t>, January 2017, accessed February 26, 2017, www.ibisworld.ca/industry/supermarkets-grocery-stores.html.</w:t>
      </w:r>
    </w:p>
  </w:endnote>
  <w:endnote w:id="8">
    <w:p w14:paraId="39817C61" w14:textId="28CF47D8" w:rsidR="00EE1B72" w:rsidRPr="00D14896" w:rsidRDefault="00EE1B72" w:rsidP="00D14896">
      <w:pPr>
        <w:pStyle w:val="Footnote"/>
        <w:rPr>
          <w:spacing w:val="-2"/>
        </w:rPr>
      </w:pPr>
      <w:r w:rsidRPr="00D14896">
        <w:rPr>
          <w:vertAlign w:val="superscript"/>
        </w:rPr>
        <w:endnoteRef/>
      </w:r>
      <w:r w:rsidRPr="00D14896">
        <w:t xml:space="preserve"> Marina Strauss, “Loblaw Buys Asian Grocery Chain,” </w:t>
      </w:r>
      <w:r w:rsidRPr="00D14896">
        <w:rPr>
          <w:i/>
        </w:rPr>
        <w:t>Globe and Mail</w:t>
      </w:r>
      <w:r w:rsidRPr="00D14896">
        <w:t xml:space="preserve">, July 24, 2009, accessed October 6, 2016, </w:t>
      </w:r>
      <w:r w:rsidRPr="00D14896">
        <w:rPr>
          <w:spacing w:val="-2"/>
        </w:rPr>
        <w:t>www.theglobeandmail.com/globe-investor/loblaw-buys-asian-grocery-chain/article4389458.</w:t>
      </w:r>
    </w:p>
  </w:endnote>
  <w:endnote w:id="9">
    <w:p w14:paraId="378D7AEB" w14:textId="3AD4CCD2" w:rsidR="00EE1B72" w:rsidRPr="00D14896" w:rsidRDefault="00EE1B72" w:rsidP="00D14896">
      <w:pPr>
        <w:pStyle w:val="Footnote"/>
        <w:rPr>
          <w:spacing w:val="-4"/>
        </w:rPr>
      </w:pPr>
      <w:r w:rsidRPr="00D14896">
        <w:rPr>
          <w:spacing w:val="-2"/>
          <w:vertAlign w:val="superscript"/>
        </w:rPr>
        <w:endnoteRef/>
      </w:r>
      <w:r w:rsidRPr="00D14896">
        <w:rPr>
          <w:spacing w:val="-2"/>
        </w:rPr>
        <w:t xml:space="preserve"> </w:t>
      </w:r>
      <w:r w:rsidRPr="00D14896">
        <w:rPr>
          <w:spacing w:val="-4"/>
        </w:rPr>
        <w:t xml:space="preserve">Bertrand Marotte, “Loblaw to Buy Shoppers Drug Mart for $12.4-billion,” </w:t>
      </w:r>
      <w:r w:rsidRPr="00D14896">
        <w:rPr>
          <w:i/>
          <w:spacing w:val="-4"/>
        </w:rPr>
        <w:t>Globe and Mail</w:t>
      </w:r>
      <w:r w:rsidRPr="00D14896">
        <w:rPr>
          <w:spacing w:val="-4"/>
        </w:rPr>
        <w:t>, July 15, 2013, accessed October 6, 2016, www.theglobeandmail.com/report-on-business/loblaw-to-buy-shoppers-drug-mart-for-124-billion/article13215651.</w:t>
      </w:r>
    </w:p>
  </w:endnote>
  <w:endnote w:id="10">
    <w:p w14:paraId="49B14F81" w14:textId="10C27447" w:rsidR="00EE1B72" w:rsidRPr="00D14896" w:rsidRDefault="00EE1B72" w:rsidP="00D14896">
      <w:pPr>
        <w:pStyle w:val="Footnote"/>
      </w:pPr>
      <w:r w:rsidRPr="00D14896">
        <w:rPr>
          <w:rStyle w:val="EndnoteReference"/>
        </w:rPr>
        <w:endnoteRef/>
      </w:r>
      <w:r w:rsidRPr="00D14896">
        <w:t xml:space="preserve"> “History,” op. cit.</w:t>
      </w:r>
    </w:p>
  </w:endnote>
  <w:endnote w:id="11">
    <w:p w14:paraId="3243E24E" w14:textId="0EF36F0F" w:rsidR="00EE1B72" w:rsidRPr="00D14896" w:rsidRDefault="00EE1B72" w:rsidP="00D14896">
      <w:pPr>
        <w:pStyle w:val="Footnote"/>
      </w:pPr>
      <w:r w:rsidRPr="00D14896">
        <w:rPr>
          <w:vertAlign w:val="superscript"/>
        </w:rPr>
        <w:endnoteRef/>
      </w:r>
      <w:r w:rsidRPr="00D14896">
        <w:rPr>
          <w:vertAlign w:val="superscript"/>
        </w:rPr>
        <w:t xml:space="preserve"> </w:t>
      </w:r>
      <w:r w:rsidRPr="00D14896">
        <w:t xml:space="preserve">“Bringing Order to a Billion-Dollar Empire,” </w:t>
      </w:r>
      <w:r w:rsidRPr="00D14896">
        <w:rPr>
          <w:i/>
        </w:rPr>
        <w:t>Business Week</w:t>
      </w:r>
      <w:r w:rsidRPr="00D14896">
        <w:t>, September 8, 1975.</w:t>
      </w:r>
    </w:p>
  </w:endnote>
  <w:endnote w:id="12">
    <w:p w14:paraId="3FC09F39" w14:textId="2BF84CD2" w:rsidR="00EE1B72" w:rsidRPr="005D5583" w:rsidRDefault="00EE1B72" w:rsidP="00FD6CFB">
      <w:pPr>
        <w:pStyle w:val="Footnote"/>
        <w:rPr>
          <w:lang w:val="en-CA"/>
        </w:rPr>
      </w:pPr>
      <w:r w:rsidRPr="005D5583">
        <w:rPr>
          <w:rStyle w:val="FootnoteChar"/>
          <w:vertAlign w:val="superscript"/>
        </w:rPr>
        <w:endnoteRef/>
      </w:r>
      <w:r>
        <w:t xml:space="preserve"> </w:t>
      </w:r>
      <w:r w:rsidRPr="005D5583">
        <w:rPr>
          <w:lang w:val="en-CA"/>
        </w:rPr>
        <w:t>“Our History,” George Weston Ltd.</w:t>
      </w:r>
      <w:r>
        <w:rPr>
          <w:lang w:val="en-CA"/>
        </w:rPr>
        <w:t xml:space="preserve"> (website)</w:t>
      </w:r>
      <w:r w:rsidRPr="005D5583">
        <w:rPr>
          <w:lang w:val="en-CA"/>
        </w:rPr>
        <w:t>, accessed September 14, 2017, www.weston.ca/en/Our-History.aspx.</w:t>
      </w:r>
      <w:r>
        <w:rPr>
          <w:lang w:val="en-CA"/>
        </w:rPr>
        <w:t xml:space="preserve"> </w:t>
      </w:r>
    </w:p>
  </w:endnote>
  <w:endnote w:id="13">
    <w:p w14:paraId="714D8706" w14:textId="15847AE6" w:rsidR="00EE1B72" w:rsidRPr="00D14896" w:rsidRDefault="00EE1B72" w:rsidP="00D14896">
      <w:pPr>
        <w:pStyle w:val="Footnote"/>
      </w:pPr>
      <w:r w:rsidRPr="00D14896">
        <w:rPr>
          <w:vertAlign w:val="superscript"/>
        </w:rPr>
        <w:endnoteRef/>
      </w:r>
      <w:r w:rsidRPr="00D14896">
        <w:t xml:space="preserve"> “William Shatner Loblaws 1978,” YouTube video, 0:30, video of a 1978 Loblaws television commercial starring William Shatner, posted by “Retrontario,” November 14, 2009, accessed October 11, 2016, </w:t>
      </w:r>
      <w:r w:rsidRPr="00EE1B72">
        <w:t>https://youtu.be/UEdWoB8OhAI</w:t>
      </w:r>
      <w:r w:rsidRPr="00D14896">
        <w:t>.</w:t>
      </w:r>
    </w:p>
  </w:endnote>
  <w:endnote w:id="14">
    <w:p w14:paraId="4641F654" w14:textId="692B42CB" w:rsidR="00EE1B72" w:rsidRPr="00D14896" w:rsidRDefault="00EE1B72" w:rsidP="00D14896">
      <w:pPr>
        <w:pStyle w:val="Footnote"/>
      </w:pPr>
      <w:r w:rsidRPr="00D14896">
        <w:rPr>
          <w:vertAlign w:val="superscript"/>
        </w:rPr>
        <w:endnoteRef/>
      </w:r>
      <w:r w:rsidRPr="00D14896">
        <w:t xml:space="preserve"> “History,” op. cit.</w:t>
      </w:r>
    </w:p>
  </w:endnote>
  <w:endnote w:id="15">
    <w:p w14:paraId="6B93C5CF" w14:textId="6BF84C81" w:rsidR="00EE1B72" w:rsidRPr="00D14896" w:rsidRDefault="00EE1B72" w:rsidP="00D14896">
      <w:pPr>
        <w:pStyle w:val="Footnote"/>
      </w:pPr>
      <w:r w:rsidRPr="00D14896">
        <w:rPr>
          <w:vertAlign w:val="superscript"/>
        </w:rPr>
        <w:endnoteRef/>
      </w:r>
      <w:r w:rsidRPr="00D14896">
        <w:t xml:space="preserve"> Julian Armstrong, “Canadians Suffer in Silence Buy Less as Food Prices Rise,” </w:t>
      </w:r>
      <w:r w:rsidRPr="00D14896">
        <w:rPr>
          <w:i/>
        </w:rPr>
        <w:t>Toronto Star</w:t>
      </w:r>
      <w:r w:rsidRPr="00D14896">
        <w:t>, May 12, 1978.</w:t>
      </w:r>
    </w:p>
  </w:endnote>
  <w:endnote w:id="16">
    <w:p w14:paraId="1F18997A" w14:textId="166B93F6" w:rsidR="00EE1B72" w:rsidRPr="00D14896" w:rsidRDefault="00EE1B72" w:rsidP="00D14896">
      <w:pPr>
        <w:pStyle w:val="Footnote"/>
      </w:pPr>
      <w:r w:rsidRPr="00D14896">
        <w:rPr>
          <w:vertAlign w:val="superscript"/>
        </w:rPr>
        <w:endnoteRef/>
      </w:r>
      <w:r w:rsidRPr="00D14896">
        <w:t xml:space="preserve"> “President's Choice is America's Choice,” </w:t>
      </w:r>
      <w:r w:rsidRPr="00D14896">
        <w:rPr>
          <w:i/>
        </w:rPr>
        <w:t>Kingston Whig-Standard</w:t>
      </w:r>
      <w:r w:rsidRPr="00D14896">
        <w:t>, February 8, 1994.</w:t>
      </w:r>
    </w:p>
  </w:endnote>
  <w:endnote w:id="17">
    <w:p w14:paraId="0DC499CA" w14:textId="2000A8F9" w:rsidR="00EE1B72" w:rsidRPr="00D14896" w:rsidRDefault="00EE1B72" w:rsidP="00D14896">
      <w:pPr>
        <w:pStyle w:val="Footnote"/>
      </w:pPr>
      <w:r w:rsidRPr="00D14896">
        <w:rPr>
          <w:vertAlign w:val="superscript"/>
        </w:rPr>
        <w:endnoteRef/>
      </w:r>
      <w:r w:rsidRPr="00D14896">
        <w:t xml:space="preserve"> Wells, op. cit.</w:t>
      </w:r>
    </w:p>
  </w:endnote>
  <w:endnote w:id="18">
    <w:p w14:paraId="4A4CA443" w14:textId="0CAB32B4" w:rsidR="00EE1B72" w:rsidRPr="00D14896" w:rsidRDefault="00EE1B72" w:rsidP="00D14896">
      <w:pPr>
        <w:pStyle w:val="Footnote"/>
      </w:pPr>
      <w:r w:rsidRPr="00D14896">
        <w:rPr>
          <w:vertAlign w:val="superscript"/>
        </w:rPr>
        <w:endnoteRef/>
      </w:r>
      <w:r w:rsidRPr="00D14896">
        <w:rPr>
          <w:vertAlign w:val="superscript"/>
        </w:rPr>
        <w:t xml:space="preserve"> </w:t>
      </w:r>
      <w:r w:rsidRPr="00D14896">
        <w:t>“History,” op. cit.</w:t>
      </w:r>
    </w:p>
  </w:endnote>
  <w:endnote w:id="19">
    <w:p w14:paraId="79467BEC" w14:textId="77777777" w:rsidR="00EE1B72" w:rsidRPr="00D14896" w:rsidRDefault="00EE1B72" w:rsidP="00D14896">
      <w:pPr>
        <w:pStyle w:val="Footnote"/>
      </w:pPr>
      <w:r w:rsidRPr="00D14896">
        <w:rPr>
          <w:vertAlign w:val="superscript"/>
        </w:rPr>
        <w:endnoteRef/>
      </w:r>
      <w:r w:rsidRPr="00D14896">
        <w:t xml:space="preserve"> Ibid.</w:t>
      </w:r>
    </w:p>
  </w:endnote>
  <w:endnote w:id="20">
    <w:p w14:paraId="200D07EB" w14:textId="18AD5776" w:rsidR="00EE1B72" w:rsidRPr="00D14896" w:rsidRDefault="00EE1B72" w:rsidP="00D14896">
      <w:pPr>
        <w:pStyle w:val="Footnote"/>
      </w:pPr>
      <w:r w:rsidRPr="00D14896">
        <w:rPr>
          <w:vertAlign w:val="superscript"/>
        </w:rPr>
        <w:endnoteRef/>
      </w:r>
      <w:r w:rsidRPr="00D14896">
        <w:t xml:space="preserve"> Dave Nichol, </w:t>
      </w:r>
      <w:r w:rsidRPr="00D14896">
        <w:rPr>
          <w:i/>
        </w:rPr>
        <w:t>Dave Nichol's Insider's Report 1</w:t>
      </w:r>
      <w:r w:rsidRPr="00D14896">
        <w:t>, 1983, accessed October 5, 2016.</w:t>
      </w:r>
    </w:p>
  </w:endnote>
  <w:endnote w:id="21">
    <w:p w14:paraId="7BB2537E" w14:textId="1EC4CACE" w:rsidR="00EE1B72" w:rsidRPr="00FD6CFB" w:rsidRDefault="00EE1B72" w:rsidP="00036AD5">
      <w:pPr>
        <w:pStyle w:val="Footnote"/>
        <w:rPr>
          <w:spacing w:val="-2"/>
        </w:rPr>
      </w:pPr>
      <w:r w:rsidRPr="00FD6CFB">
        <w:rPr>
          <w:vertAlign w:val="superscript"/>
        </w:rPr>
        <w:endnoteRef/>
      </w:r>
      <w:r w:rsidRPr="00FD6CFB">
        <w:t xml:space="preserve"> </w:t>
      </w:r>
      <w:r w:rsidRPr="00FD6CFB">
        <w:rPr>
          <w:spacing w:val="-2"/>
        </w:rPr>
        <w:t xml:space="preserve">Marina Strauss, “Dave Nichol Still Haunts Loblaw,” </w:t>
      </w:r>
      <w:r w:rsidRPr="00FD6CFB">
        <w:rPr>
          <w:i/>
          <w:spacing w:val="-2"/>
        </w:rPr>
        <w:t>Globe and Mail</w:t>
      </w:r>
      <w:r w:rsidRPr="00FD6CFB">
        <w:rPr>
          <w:spacing w:val="-2"/>
        </w:rPr>
        <w:t>, November 19, 1994, accessed October 4, 2016.</w:t>
      </w:r>
    </w:p>
  </w:endnote>
  <w:endnote w:id="22">
    <w:p w14:paraId="033A0B87" w14:textId="77777777" w:rsidR="00EE1B72" w:rsidRPr="00D14896" w:rsidRDefault="00EE1B72" w:rsidP="00036AD5">
      <w:pPr>
        <w:pStyle w:val="Footnote"/>
      </w:pPr>
      <w:r w:rsidRPr="00FD6CFB">
        <w:rPr>
          <w:vertAlign w:val="superscript"/>
        </w:rPr>
        <w:endnoteRef/>
      </w:r>
      <w:r w:rsidRPr="00FD6CFB">
        <w:t xml:space="preserve"> Maureen Murray, “Store-Brand Revolution,” </w:t>
      </w:r>
      <w:r w:rsidRPr="00FD6CFB">
        <w:rPr>
          <w:i/>
        </w:rPr>
        <w:t>Toronto Star</w:t>
      </w:r>
      <w:r w:rsidRPr="00FD6CFB">
        <w:t>, July 25, 1993, accessed October 4, 2016.</w:t>
      </w:r>
    </w:p>
  </w:endnote>
  <w:endnote w:id="23">
    <w:p w14:paraId="2EF58D87" w14:textId="7EA50923" w:rsidR="00EE1B72" w:rsidRPr="00D14896" w:rsidRDefault="00EE1B72" w:rsidP="00D14896">
      <w:pPr>
        <w:pStyle w:val="Footnote"/>
      </w:pPr>
      <w:r w:rsidRPr="00D14896">
        <w:rPr>
          <w:vertAlign w:val="superscript"/>
        </w:rPr>
        <w:endnoteRef/>
      </w:r>
      <w:r w:rsidRPr="00D14896">
        <w:rPr>
          <w:vertAlign w:val="superscript"/>
        </w:rPr>
        <w:t xml:space="preserve"> </w:t>
      </w:r>
      <w:r w:rsidRPr="00D14896">
        <w:t xml:space="preserve">IBISWorld, </w:t>
      </w:r>
      <w:r w:rsidRPr="00D14896">
        <w:rPr>
          <w:i/>
        </w:rPr>
        <w:t>Supermarkets &amp; Grocery Stores in Canada</w:t>
      </w:r>
      <w:r w:rsidRPr="00D14896">
        <w:t>, op. cit.</w:t>
      </w:r>
    </w:p>
  </w:endnote>
  <w:endnote w:id="24">
    <w:p w14:paraId="651810E9" w14:textId="1C5C8EC9" w:rsidR="00EE1B72" w:rsidRPr="00D14896" w:rsidRDefault="00EE1B72" w:rsidP="00D14896">
      <w:pPr>
        <w:pStyle w:val="Footnote"/>
      </w:pPr>
      <w:r w:rsidRPr="00D14896">
        <w:rPr>
          <w:vertAlign w:val="superscript"/>
        </w:rPr>
        <w:endnoteRef/>
      </w:r>
      <w:r w:rsidRPr="00D14896">
        <w:t xml:space="preserve"> “History,” op. cit.</w:t>
      </w:r>
    </w:p>
  </w:endnote>
  <w:endnote w:id="25">
    <w:p w14:paraId="674DAC75" w14:textId="45BB0A38" w:rsidR="00EE1B72" w:rsidRPr="00D14896" w:rsidRDefault="00EE1B72" w:rsidP="00D14896">
      <w:pPr>
        <w:pStyle w:val="Footnote"/>
      </w:pPr>
      <w:r w:rsidRPr="00D14896">
        <w:rPr>
          <w:vertAlign w:val="superscript"/>
        </w:rPr>
        <w:endnoteRef/>
      </w:r>
      <w:r w:rsidRPr="00D14896">
        <w:t xml:space="preserve"> Brian Jackson, “Loblaws’ Digital PC Plus Loyalty Program Expected to Add ‘Hundreds of Millions’ in Revenue,” itbusiness.ca, August 12, 2014, accessed June 1, 2017, www.itbusiness.ca/news/loblaws-digital-pc-plus-loyalty-program-expected-to-add-hundreds-of-millions-in-revenue/50396.</w:t>
      </w:r>
    </w:p>
  </w:endnote>
  <w:endnote w:id="26">
    <w:p w14:paraId="29DE0156" w14:textId="25DE6D4B" w:rsidR="00EE1B72" w:rsidRPr="00D14896" w:rsidRDefault="00EE1B72" w:rsidP="00D14896">
      <w:pPr>
        <w:pStyle w:val="Footnote"/>
      </w:pPr>
      <w:r w:rsidRPr="00D14896">
        <w:rPr>
          <w:vertAlign w:val="superscript"/>
        </w:rPr>
        <w:endnoteRef/>
      </w:r>
      <w:r w:rsidRPr="00D14896">
        <w:t xml:space="preserve"> Denise Brunsdon, “Loblaws’ New ‘PC Plus’ Loyalty Program is Really a Game in Disguise,” </w:t>
      </w:r>
      <w:r w:rsidRPr="00FD6CFB">
        <w:rPr>
          <w:i/>
        </w:rPr>
        <w:t>Canadian Business</w:t>
      </w:r>
      <w:r w:rsidRPr="00D14896">
        <w:t>, May 9, 2013, accessed May 13, 2017, www.canadianbusiness.com/blogs-and-comment/loblaw-pc-plus-gamification.</w:t>
      </w:r>
    </w:p>
  </w:endnote>
  <w:endnote w:id="27">
    <w:p w14:paraId="44E60B3F" w14:textId="61139988" w:rsidR="00EE1B72" w:rsidRPr="00D14896" w:rsidRDefault="00EE1B72" w:rsidP="00D14896">
      <w:pPr>
        <w:pStyle w:val="Footnote"/>
        <w:rPr>
          <w:sz w:val="20"/>
          <w:szCs w:val="20"/>
        </w:rPr>
      </w:pPr>
      <w:r w:rsidRPr="00D14896">
        <w:rPr>
          <w:vertAlign w:val="superscript"/>
        </w:rPr>
        <w:endnoteRef/>
      </w:r>
      <w:r w:rsidRPr="00D14896">
        <w:rPr>
          <w:sz w:val="20"/>
          <w:szCs w:val="20"/>
        </w:rPr>
        <w:t xml:space="preserve"> </w:t>
      </w:r>
      <w:r w:rsidRPr="00D14896">
        <w:t>“History,” op. cit.</w:t>
      </w:r>
    </w:p>
  </w:endnote>
  <w:endnote w:id="28">
    <w:p w14:paraId="484A42E8" w14:textId="47F5D497" w:rsidR="00EE1B72" w:rsidRPr="00D14896" w:rsidRDefault="00EE1B72" w:rsidP="00D14896">
      <w:pPr>
        <w:pStyle w:val="Footnote"/>
        <w:rPr>
          <w:rFonts w:eastAsia="Garamond"/>
        </w:rPr>
      </w:pPr>
      <w:r w:rsidRPr="00D14896">
        <w:rPr>
          <w:vertAlign w:val="superscript"/>
        </w:rPr>
        <w:endnoteRef/>
      </w:r>
      <w:r w:rsidRPr="00D14896">
        <w:t xml:space="preserve"> “Loblaws Gears up for Grocery Price War in a Low-</w:t>
      </w:r>
      <w:r w:rsidR="002D34DD" w:rsidRPr="00D14896">
        <w:t xml:space="preserve">Inflation </w:t>
      </w:r>
      <w:r w:rsidRPr="00D14896">
        <w:t>Environment,” op. cit.</w:t>
      </w:r>
    </w:p>
  </w:endnote>
  <w:endnote w:id="29">
    <w:p w14:paraId="63F5A202" w14:textId="0FC6ED02" w:rsidR="00EE1B72" w:rsidRPr="00D14896" w:rsidRDefault="00EE1B72" w:rsidP="00D14896">
      <w:pPr>
        <w:pStyle w:val="Footnote"/>
      </w:pPr>
      <w:r w:rsidRPr="00D14896">
        <w:rPr>
          <w:vertAlign w:val="superscript"/>
        </w:rPr>
        <w:endnoteRef/>
      </w:r>
      <w:r w:rsidRPr="00D14896">
        <w:t xml:space="preserve"> Alastair Sharp, “$10 Cauliflower Is Just the Beginning: Canadian Grocers, Retailers Warn More Price Increases on the Way,” </w:t>
      </w:r>
      <w:r w:rsidRPr="00D14896">
        <w:rPr>
          <w:i/>
        </w:rPr>
        <w:t>Financial Post</w:t>
      </w:r>
      <w:r w:rsidRPr="00D14896">
        <w:t>, January 22, 2016, accessed October 11, 2016, http://business.financialpost.com/news/economy/10-cauliflower-is-just-the-beginning-canadian-grocers-retailers-warn-more-price-increases-on-the-way.</w:t>
      </w:r>
    </w:p>
  </w:endnote>
  <w:endnote w:id="30">
    <w:p w14:paraId="61551DDC" w14:textId="3CE98B0F" w:rsidR="00EE1B72" w:rsidRPr="00D14896" w:rsidRDefault="00EE1B72" w:rsidP="00D14896">
      <w:pPr>
        <w:pStyle w:val="Footnote"/>
      </w:pPr>
      <w:r w:rsidRPr="00D14896">
        <w:rPr>
          <w:vertAlign w:val="superscript"/>
        </w:rPr>
        <w:endnoteRef/>
      </w:r>
      <w:r w:rsidRPr="00D14896">
        <w:rPr>
          <w:vertAlign w:val="superscript"/>
        </w:rPr>
        <w:t xml:space="preserve"> </w:t>
      </w:r>
      <w:r w:rsidRPr="00D14896">
        <w:t>“Loblaws Gears up for Grocery Price War in a Low-inflation Environment,” op. cit.</w:t>
      </w:r>
    </w:p>
  </w:endnote>
  <w:endnote w:id="31">
    <w:p w14:paraId="196779C9" w14:textId="66888EFF" w:rsidR="00EE1B72" w:rsidRPr="00D14896" w:rsidRDefault="00EE1B72" w:rsidP="00D14896">
      <w:pPr>
        <w:pStyle w:val="Footnote"/>
      </w:pPr>
      <w:r w:rsidRPr="00D14896">
        <w:rPr>
          <w:vertAlign w:val="superscript"/>
        </w:rPr>
        <w:endnoteRef/>
      </w:r>
      <w:r w:rsidRPr="00D14896">
        <w:rPr>
          <w:vertAlign w:val="superscript"/>
        </w:rPr>
        <w:t xml:space="preserve"> </w:t>
      </w:r>
      <w:r w:rsidRPr="00D14896">
        <w:t xml:space="preserve">IBISWorld, </w:t>
      </w:r>
      <w:r w:rsidRPr="00D14896">
        <w:rPr>
          <w:i/>
        </w:rPr>
        <w:t>Supermarkets &amp; Grocery Stores in Canada</w:t>
      </w:r>
      <w:r w:rsidRPr="00D14896">
        <w:t>, op. cit.</w:t>
      </w:r>
    </w:p>
  </w:endnote>
  <w:endnote w:id="32">
    <w:p w14:paraId="31B7C6F9" w14:textId="1FE2B098" w:rsidR="00EE1B72" w:rsidRPr="00D14896" w:rsidRDefault="00EE1B72" w:rsidP="00D14896">
      <w:pPr>
        <w:pStyle w:val="Footnote"/>
      </w:pPr>
      <w:r w:rsidRPr="00D14896">
        <w:rPr>
          <w:vertAlign w:val="superscript"/>
        </w:rPr>
        <w:endnoteRef/>
      </w:r>
      <w:r w:rsidRPr="00D14896">
        <w:t xml:space="preserve"> “Global Economic Prospects: A Fragile Recovery,” World Bank, January 2017, accessed February 28, 2017, www.worldbank.org/en/publication/global-economic-prospects.</w:t>
      </w:r>
    </w:p>
  </w:endnote>
  <w:endnote w:id="33">
    <w:p w14:paraId="725905B6" w14:textId="51D1594E" w:rsidR="00EE1B72" w:rsidRPr="00D14896" w:rsidRDefault="00EE1B72" w:rsidP="00D14896">
      <w:pPr>
        <w:pStyle w:val="Footnote"/>
      </w:pPr>
      <w:r w:rsidRPr="00D14896">
        <w:rPr>
          <w:rStyle w:val="EndnoteReference"/>
        </w:rPr>
        <w:endnoteRef/>
      </w:r>
      <w:r w:rsidRPr="00D14896">
        <w:t xml:space="preserve"> Hollie Shaw, “Loblaw Sends Strongly Worded Letter to Major Suppliers, Asks Group to Lower Costs,” </w:t>
      </w:r>
      <w:r w:rsidRPr="00D14896">
        <w:rPr>
          <w:i/>
        </w:rPr>
        <w:t>Financial Post</w:t>
      </w:r>
      <w:r w:rsidRPr="00D14896">
        <w:t>, July 6, 2016, accessed February 26, 2017, http://business.financialpost.com/news/retail-marketing/loblaw-sends-strongly-worded-letter-to-major-suppliers-asks-group-to-lower-costs/wcm/e283b65a-e025-4b11-ba21-9fd1d11742dc.</w:t>
      </w:r>
    </w:p>
  </w:endnote>
  <w:endnote w:id="34">
    <w:p w14:paraId="5C3D0D5A" w14:textId="569D7688" w:rsidR="00EE1B72" w:rsidRPr="00D14896" w:rsidRDefault="00EE1B72" w:rsidP="00D14896">
      <w:pPr>
        <w:pStyle w:val="Footnote"/>
      </w:pPr>
      <w:r w:rsidRPr="00D14896">
        <w:rPr>
          <w:rStyle w:val="EndnoteReference"/>
        </w:rPr>
        <w:endnoteRef/>
      </w:r>
      <w:r w:rsidRPr="00D14896">
        <w:t xml:space="preserve"> “Loblaws Gears up for Grocery Price War in a Low-inflation Environment,” op. cit.</w:t>
      </w:r>
    </w:p>
  </w:endnote>
  <w:endnote w:id="35">
    <w:p w14:paraId="2D3627D0" w14:textId="71D92BE6" w:rsidR="00EE1B72" w:rsidRPr="00D14896" w:rsidRDefault="00EE1B72" w:rsidP="00D14896">
      <w:pPr>
        <w:pStyle w:val="Footnote"/>
      </w:pPr>
      <w:r w:rsidRPr="00D14896">
        <w:rPr>
          <w:vertAlign w:val="superscript"/>
        </w:rPr>
        <w:endnoteRef/>
      </w:r>
      <w:r w:rsidRPr="00D14896">
        <w:t xml:space="preserve"> “Loblaw Treatment of Its Suppliers under Scrutiny,” CBC News, November 18, 2014, accessed October 3, 2016, www.cbc.ca/news/business/loblaw-treatment-of-its-suppliers-under-scrutiny-1.2838955.</w:t>
      </w:r>
    </w:p>
  </w:endnote>
  <w:endnote w:id="36">
    <w:p w14:paraId="11A2228B" w14:textId="3376175C" w:rsidR="00EE1B72" w:rsidRPr="00D14896" w:rsidRDefault="00EE1B72" w:rsidP="00D14896">
      <w:pPr>
        <w:pStyle w:val="Footnote"/>
        <w:rPr>
          <w:sz w:val="20"/>
          <w:szCs w:val="20"/>
        </w:rPr>
      </w:pPr>
      <w:r w:rsidRPr="00D14896">
        <w:rPr>
          <w:vertAlign w:val="superscript"/>
        </w:rPr>
        <w:endnoteRef/>
      </w:r>
      <w:r w:rsidRPr="00D14896">
        <w:rPr>
          <w:sz w:val="20"/>
          <w:szCs w:val="20"/>
        </w:rPr>
        <w:t xml:space="preserve"> </w:t>
      </w:r>
      <w:r w:rsidRPr="00D14896">
        <w:t xml:space="preserve">IBISWorld, </w:t>
      </w:r>
      <w:r w:rsidRPr="00D14896">
        <w:rPr>
          <w:i/>
        </w:rPr>
        <w:t>Supermarkets &amp; Grocery Stores in Canada</w:t>
      </w:r>
      <w:r w:rsidRPr="00D14896">
        <w:t>, op. cit.</w:t>
      </w:r>
    </w:p>
  </w:endnote>
  <w:endnote w:id="37">
    <w:p w14:paraId="1413E905" w14:textId="546AE130" w:rsidR="00EE1B72" w:rsidRPr="00D14896" w:rsidRDefault="00EE1B72" w:rsidP="00D14896">
      <w:pPr>
        <w:pStyle w:val="Footnote"/>
      </w:pPr>
      <w:r w:rsidRPr="00D14896">
        <w:rPr>
          <w:vertAlign w:val="superscript"/>
        </w:rPr>
        <w:endnoteRef/>
      </w:r>
      <w:r w:rsidRPr="00D14896">
        <w:t xml:space="preserve"> Statistics Canada, </w:t>
      </w:r>
      <w:r w:rsidRPr="00D14896">
        <w:rPr>
          <w:i/>
        </w:rPr>
        <w:t>Canada Year Book 1942</w:t>
      </w:r>
      <w:r w:rsidRPr="00D14896">
        <w:t>, June 9, 2009, accessed February 26, 2017, www66.statcan.gc.ca/eng/acyb_c1942-eng.aspx?opt=/eng/1942/194201570095_p.%2095.pdf; “Our History,” Sobeys Inc.</w:t>
      </w:r>
      <w:r w:rsidR="002D34DD">
        <w:t xml:space="preserve"> (website)</w:t>
      </w:r>
      <w:r w:rsidRPr="00D14896">
        <w:t>, accessed February 26, 2017, http://corporate.sobeys.com/history.</w:t>
      </w:r>
    </w:p>
  </w:endnote>
  <w:endnote w:id="38">
    <w:p w14:paraId="5ADF12F9" w14:textId="234DD431" w:rsidR="00EE1B72" w:rsidRPr="00D14896" w:rsidRDefault="00EE1B72" w:rsidP="00D14896">
      <w:pPr>
        <w:pStyle w:val="Footnote"/>
      </w:pPr>
      <w:r w:rsidRPr="00D14896">
        <w:rPr>
          <w:vertAlign w:val="superscript"/>
        </w:rPr>
        <w:endnoteRef/>
      </w:r>
      <w:r w:rsidRPr="00D14896">
        <w:rPr>
          <w:sz w:val="20"/>
          <w:szCs w:val="20"/>
        </w:rPr>
        <w:t xml:space="preserve"> </w:t>
      </w:r>
      <w:r w:rsidRPr="00D14896">
        <w:t xml:space="preserve">IBISWorld, </w:t>
      </w:r>
      <w:r w:rsidRPr="00D14896">
        <w:rPr>
          <w:i/>
        </w:rPr>
        <w:t>Supermarkets &amp; Grocery Stores in Canada</w:t>
      </w:r>
      <w:r w:rsidRPr="00D14896">
        <w:t>, op. cit.</w:t>
      </w:r>
    </w:p>
  </w:endnote>
  <w:endnote w:id="39">
    <w:p w14:paraId="3AE7B01A" w14:textId="65EF2FB6" w:rsidR="00EE1B72" w:rsidRPr="00D14896" w:rsidRDefault="00EE1B72" w:rsidP="00D14896">
      <w:pPr>
        <w:pStyle w:val="Footnote"/>
      </w:pPr>
      <w:r w:rsidRPr="00D14896">
        <w:rPr>
          <w:vertAlign w:val="superscript"/>
        </w:rPr>
        <w:endnoteRef/>
      </w:r>
      <w:r w:rsidRPr="00D14896">
        <w:t xml:space="preserve"> Hollie Shaw, “How Sobeys Screwed up Safeway in a Messy Takeover that Left Empty Shelves, Massive Losses, and Drove Customers Away,” </w:t>
      </w:r>
      <w:r w:rsidRPr="00D14896">
        <w:rPr>
          <w:i/>
        </w:rPr>
        <w:t>Financial Post</w:t>
      </w:r>
      <w:r w:rsidRPr="00D14896">
        <w:t>, July 22, 2016, accessed February 26, 2017, http://business.financialpost.com/news/retail-marketing/how-sobeys-screwed-up-safeway-in-a-messy-takeover-that-left-empty-shelves-massive-losses-and-drove-customers-away.</w:t>
      </w:r>
    </w:p>
  </w:endnote>
  <w:endnote w:id="40">
    <w:p w14:paraId="655BA086" w14:textId="240655A6" w:rsidR="00EE1B72" w:rsidRPr="00D14896" w:rsidRDefault="00EE1B72" w:rsidP="00D14896">
      <w:pPr>
        <w:pStyle w:val="Footnote"/>
      </w:pPr>
      <w:r w:rsidRPr="00D14896">
        <w:rPr>
          <w:vertAlign w:val="superscript"/>
        </w:rPr>
        <w:endnoteRef/>
      </w:r>
      <w:r w:rsidRPr="00D14896">
        <w:rPr>
          <w:vertAlign w:val="superscript"/>
        </w:rPr>
        <w:t xml:space="preserve"> </w:t>
      </w:r>
      <w:r w:rsidRPr="00D14896">
        <w:t xml:space="preserve">Hollie Shaw, “Empire Shares Plunge 17% after 70% Drop in Sobeys Earnings and Air Miles Customer Ire Add to Woes,” </w:t>
      </w:r>
      <w:r w:rsidRPr="00D14896">
        <w:rPr>
          <w:i/>
        </w:rPr>
        <w:t>Financial Post</w:t>
      </w:r>
      <w:r w:rsidRPr="00D14896">
        <w:t>, December 14, 2016, accessed February 26, 2017, http://business.financialpost.com/news/retail-marketing/sobeys-owner-sees-earnings-slide-50-per-cent-as-retailer-races-to-cut-costs.</w:t>
      </w:r>
    </w:p>
  </w:endnote>
  <w:endnote w:id="41">
    <w:p w14:paraId="072A0EAC" w14:textId="57F8DDBF" w:rsidR="00EE1B72" w:rsidRPr="00D14896" w:rsidRDefault="00EE1B72" w:rsidP="00D14896">
      <w:pPr>
        <w:pStyle w:val="Footnote"/>
      </w:pPr>
      <w:r w:rsidRPr="00D14896">
        <w:rPr>
          <w:vertAlign w:val="superscript"/>
        </w:rPr>
        <w:endnoteRef/>
      </w:r>
      <w:r w:rsidRPr="00D14896">
        <w:t xml:space="preserve"> “Safeway Eliminates Club Card but Promises Savings </w:t>
      </w:r>
      <w:r w:rsidR="002D34DD" w:rsidRPr="00D14896">
        <w:t xml:space="preserve">Will </w:t>
      </w:r>
      <w:r w:rsidRPr="00D14896">
        <w:t>Continue,” CBC News, April 4, 2014, accessed February 26, 2016, www.cbc.ca/news/canada/calgary/safeway-eliminates-club-card-but-promises-savings-will-continue-1.2598591.</w:t>
      </w:r>
    </w:p>
  </w:endnote>
  <w:endnote w:id="42">
    <w:p w14:paraId="738195BA" w14:textId="7175F39D" w:rsidR="00EE1B72" w:rsidRPr="00D14896" w:rsidRDefault="00EE1B72" w:rsidP="00D14896">
      <w:pPr>
        <w:pStyle w:val="Footnote"/>
      </w:pPr>
      <w:r w:rsidRPr="00D14896">
        <w:rPr>
          <w:vertAlign w:val="superscript"/>
        </w:rPr>
        <w:endnoteRef/>
      </w:r>
      <w:r w:rsidRPr="00D14896">
        <w:t xml:space="preserve"> Hollie Shaw, “Sobeys Parent Empire Co Announces Sudden Departure of CEO Marc Poulin Following Huge Losses,” </w:t>
      </w:r>
      <w:r w:rsidRPr="00D14896">
        <w:rPr>
          <w:i/>
        </w:rPr>
        <w:t>Financial Post</w:t>
      </w:r>
      <w:r w:rsidRPr="00D14896">
        <w:t>, July 8, 2016, accessed February 26, 2017, http://business.financialpost.com/news/retail-marketing/sobeys-parent-empire-co-announces-sudden-departure-of-ceo-marc-poulin-following-huge-losses.</w:t>
      </w:r>
    </w:p>
  </w:endnote>
  <w:endnote w:id="43">
    <w:p w14:paraId="4D59F815" w14:textId="7BD228E6" w:rsidR="00EE1B72" w:rsidRPr="00D14896" w:rsidRDefault="00EE1B72" w:rsidP="00D14896">
      <w:pPr>
        <w:pStyle w:val="Footnote"/>
      </w:pPr>
      <w:r w:rsidRPr="00D14896">
        <w:rPr>
          <w:vertAlign w:val="superscript"/>
        </w:rPr>
        <w:endnoteRef/>
      </w:r>
      <w:r w:rsidRPr="00D14896">
        <w:t xml:space="preserve"> “Sobeys to Cut 1,300 Jobs by 2017 Mainly at Distribution Centres,” CBC News, June 26, 2015, accessed February 26, 2017, www.cbc.ca/news/business/sobeys-to-cut-1-300-jobs-by-2017-mainly-at-distribution-centres-1.3128781.</w:t>
      </w:r>
    </w:p>
  </w:endnote>
  <w:endnote w:id="44">
    <w:p w14:paraId="0F8F0CAE" w14:textId="77777777" w:rsidR="00EE1B72" w:rsidRPr="00D14896" w:rsidRDefault="00EE1B72" w:rsidP="00D14896">
      <w:pPr>
        <w:pStyle w:val="Footnote"/>
      </w:pPr>
      <w:r w:rsidRPr="00D14896">
        <w:rPr>
          <w:vertAlign w:val="superscript"/>
        </w:rPr>
        <w:endnoteRef/>
      </w:r>
      <w:r w:rsidRPr="00D14896">
        <w:t xml:space="preserve"> Ibid.</w:t>
      </w:r>
    </w:p>
  </w:endnote>
  <w:endnote w:id="45">
    <w:p w14:paraId="7DE63AE3" w14:textId="4877FC3C" w:rsidR="00EE1B72" w:rsidRPr="00D14896" w:rsidRDefault="00EE1B72" w:rsidP="00D14896">
      <w:pPr>
        <w:pStyle w:val="Footnote"/>
      </w:pPr>
      <w:r w:rsidRPr="00D14896">
        <w:rPr>
          <w:vertAlign w:val="superscript"/>
        </w:rPr>
        <w:endnoteRef/>
      </w:r>
      <w:r w:rsidRPr="00D14896">
        <w:rPr>
          <w:vertAlign w:val="superscript"/>
        </w:rPr>
        <w:t xml:space="preserve"> </w:t>
      </w:r>
      <w:r w:rsidRPr="00D14896">
        <w:t xml:space="preserve">Francine Kopun, “Longo’s Bets Big on Online Grocery Shopping,” </w:t>
      </w:r>
      <w:r w:rsidRPr="00D14896">
        <w:rPr>
          <w:i/>
        </w:rPr>
        <w:t>Toronto Star</w:t>
      </w:r>
      <w:r w:rsidRPr="00D14896">
        <w:t>, November 30, 2016, accessed January 31, 2017, www.thestar.com/business/2016/11/30/longos-bets-big-on-online-grocery-shopping.html.</w:t>
      </w:r>
    </w:p>
  </w:endnote>
  <w:endnote w:id="46">
    <w:p w14:paraId="046E01D7" w14:textId="3E146D3A" w:rsidR="00EE1B72" w:rsidRPr="00D14896" w:rsidRDefault="00EE1B72" w:rsidP="00D14896">
      <w:pPr>
        <w:pStyle w:val="Footnote"/>
      </w:pPr>
      <w:r w:rsidRPr="00D14896">
        <w:rPr>
          <w:vertAlign w:val="superscript"/>
        </w:rPr>
        <w:endnoteRef/>
      </w:r>
      <w:r w:rsidRPr="00D14896">
        <w:rPr>
          <w:vertAlign w:val="superscript"/>
        </w:rPr>
        <w:t xml:space="preserve"> </w:t>
      </w:r>
      <w:r w:rsidRPr="00D14896">
        <w:t>“Sobeys and Jamie Oliver are on a Mission to Bring Better Food to Canadians,” YouTube video, 0:30, posted by Sobeys Inc., September 11, 2013, accessed January 30, 2017, www.youtube.com/watch?v=TiGpwMmE5zc</w:t>
      </w:r>
      <w:r w:rsidR="00CB1BC7">
        <w:t xml:space="preserve"> [content since removed]</w:t>
      </w:r>
      <w:r w:rsidRPr="00D14896">
        <w:t>.</w:t>
      </w:r>
    </w:p>
  </w:endnote>
  <w:endnote w:id="47">
    <w:p w14:paraId="0B4953D3" w14:textId="77777777" w:rsidR="00EE1B72" w:rsidRPr="00D14896" w:rsidRDefault="00EE1B72" w:rsidP="00D14896">
      <w:pPr>
        <w:pStyle w:val="Footnote"/>
        <w:rPr>
          <w:rFonts w:eastAsia="Garamond"/>
        </w:rPr>
      </w:pPr>
      <w:r w:rsidRPr="00D14896">
        <w:rPr>
          <w:vertAlign w:val="superscript"/>
        </w:rPr>
        <w:endnoteRef/>
      </w:r>
      <w:r w:rsidRPr="00D14896">
        <w:t xml:space="preserve"> Francine Kopun, “Longo’s Bets Big on Online Grocery Shopping,” op. cit.</w:t>
      </w:r>
    </w:p>
  </w:endnote>
  <w:endnote w:id="48">
    <w:p w14:paraId="17217A68" w14:textId="30AF2556" w:rsidR="00EE1B72" w:rsidRPr="00D14896" w:rsidRDefault="00EE1B72" w:rsidP="00D14896">
      <w:pPr>
        <w:pStyle w:val="Footnote"/>
      </w:pPr>
      <w:r w:rsidRPr="00D14896">
        <w:rPr>
          <w:vertAlign w:val="superscript"/>
        </w:rPr>
        <w:endnoteRef/>
      </w:r>
      <w:r w:rsidRPr="00D14896">
        <w:t xml:space="preserve"> “History,” Metro</w:t>
      </w:r>
      <w:r w:rsidR="00CB1BC7">
        <w:t xml:space="preserve"> Inc. (website)</w:t>
      </w:r>
      <w:r w:rsidRPr="00D14896">
        <w:t>, accessed January 30, 2017, http://corpo.metro.ca/en/about-us/history.html.</w:t>
      </w:r>
    </w:p>
  </w:endnote>
  <w:endnote w:id="49">
    <w:p w14:paraId="7A619675" w14:textId="63EB9FBC" w:rsidR="00EE1B72" w:rsidRPr="00D14896" w:rsidRDefault="00EE1B72" w:rsidP="00D14896">
      <w:pPr>
        <w:pStyle w:val="Footnote"/>
      </w:pPr>
      <w:r w:rsidRPr="00D14896">
        <w:rPr>
          <w:vertAlign w:val="superscript"/>
        </w:rPr>
        <w:endnoteRef/>
      </w:r>
      <w:r w:rsidRPr="00D14896">
        <w:t xml:space="preserve"> IBISWorld, </w:t>
      </w:r>
      <w:r w:rsidRPr="00D14896">
        <w:rPr>
          <w:i/>
        </w:rPr>
        <w:t>Supermarkets &amp; Grocery Stores in Canada</w:t>
      </w:r>
      <w:r w:rsidRPr="00D14896">
        <w:t>, op. cit.</w:t>
      </w:r>
    </w:p>
  </w:endnote>
  <w:endnote w:id="50">
    <w:p w14:paraId="0CD60CEE" w14:textId="33BB82E0" w:rsidR="00EE1B72" w:rsidRPr="00D14896" w:rsidRDefault="00EE1B72" w:rsidP="00D14896">
      <w:pPr>
        <w:pStyle w:val="Footnote"/>
      </w:pPr>
      <w:r w:rsidRPr="00D14896">
        <w:rPr>
          <w:vertAlign w:val="superscript"/>
        </w:rPr>
        <w:endnoteRef/>
      </w:r>
      <w:r w:rsidRPr="00D14896">
        <w:t xml:space="preserve"> Mark Cardwell, “Online Grocery Shopping Comes to Metro,” Canadian Grocer, October 25, 2016, accessed February 25, 2017, www.canadiangrocer.com/top-stories/online-grocery-shopping-comes-to-metro-69259.</w:t>
      </w:r>
    </w:p>
  </w:endnote>
  <w:endnote w:id="51">
    <w:p w14:paraId="0ABAB4D8" w14:textId="615BEB00" w:rsidR="00EE1B72" w:rsidRPr="00D14896" w:rsidRDefault="00EE1B72" w:rsidP="00D14896">
      <w:pPr>
        <w:pStyle w:val="Footnote"/>
      </w:pPr>
      <w:r w:rsidRPr="00D14896">
        <w:rPr>
          <w:vertAlign w:val="superscript"/>
        </w:rPr>
        <w:endnoteRef/>
      </w:r>
      <w:r w:rsidRPr="00D14896">
        <w:t xml:space="preserve"> Francine Kopun, “Loblaw Launches Click-and-Collect Service,” </w:t>
      </w:r>
      <w:r w:rsidRPr="00D14896">
        <w:rPr>
          <w:i/>
        </w:rPr>
        <w:t>Toronto Star</w:t>
      </w:r>
      <w:r w:rsidRPr="00D14896">
        <w:t>, October 24, 2014, accessed February 26, 2017, www.thestar.com/business/2014/10/24/loblaw_launches_clickandcollect_service.html.</w:t>
      </w:r>
    </w:p>
  </w:endnote>
  <w:endnote w:id="52">
    <w:p w14:paraId="37B886A8" w14:textId="7ED446EE" w:rsidR="00EE1B72" w:rsidRPr="00D14896" w:rsidRDefault="00EE1B72" w:rsidP="00D14896">
      <w:pPr>
        <w:pStyle w:val="Footnote"/>
      </w:pPr>
      <w:r w:rsidRPr="00D14896">
        <w:rPr>
          <w:vertAlign w:val="superscript"/>
        </w:rPr>
        <w:endnoteRef/>
      </w:r>
      <w:r w:rsidRPr="00D14896">
        <w:t xml:space="preserve"> Marina Strauss, “Loblaw Sees Spike in Fourth-Quarter Profit as It Works to Simplify Operations,” </w:t>
      </w:r>
      <w:r w:rsidRPr="00D14896">
        <w:rPr>
          <w:i/>
        </w:rPr>
        <w:t>Globe and Mail</w:t>
      </w:r>
      <w:r w:rsidRPr="00D14896">
        <w:t>, February 23, 2017, accessed February 26, 2017, www.theglobeandmail.com/report-on-business/loblaw-profit-climbs-57-per-cent/article34116784.</w:t>
      </w:r>
    </w:p>
  </w:endnote>
  <w:endnote w:id="53">
    <w:p w14:paraId="3D1299BF" w14:textId="3C0CDC0F" w:rsidR="00EE1B72" w:rsidRPr="00D14896" w:rsidRDefault="00EE1B72" w:rsidP="00D14896">
      <w:pPr>
        <w:pStyle w:val="Footnote"/>
      </w:pPr>
      <w:r w:rsidRPr="00D14896">
        <w:rPr>
          <w:vertAlign w:val="superscript"/>
        </w:rPr>
        <w:endnoteRef/>
      </w:r>
      <w:r w:rsidRPr="00D14896">
        <w:t xml:space="preserve"> Marina Strauss, “In E-commerce Battle, Grocery Stores Perfect ‘Click and Collect,’” </w:t>
      </w:r>
      <w:r w:rsidRPr="00D14896">
        <w:rPr>
          <w:i/>
        </w:rPr>
        <w:t>Globe and Mail</w:t>
      </w:r>
      <w:r w:rsidRPr="00D14896">
        <w:t>, April 22, 2016, accessed February 26, 2017, www.theglobeandmail.com/report-on-business/on-the-frontlines-of-the-online-grocery-shopping-battle/article29726909.</w:t>
      </w:r>
    </w:p>
  </w:endnote>
  <w:endnote w:id="54">
    <w:p w14:paraId="0DA10F81" w14:textId="7508627A" w:rsidR="00EE1B72" w:rsidRPr="00D14896" w:rsidRDefault="00EE1B72" w:rsidP="00D14896">
      <w:pPr>
        <w:pStyle w:val="Footnote"/>
      </w:pPr>
      <w:r w:rsidRPr="00D14896">
        <w:rPr>
          <w:vertAlign w:val="superscript"/>
        </w:rPr>
        <w:endnoteRef/>
      </w:r>
      <w:r w:rsidRPr="00D14896">
        <w:t xml:space="preserve"> IBISWorld, </w:t>
      </w:r>
      <w:r w:rsidRPr="00D14896">
        <w:rPr>
          <w:i/>
        </w:rPr>
        <w:t>Supermarkets &amp; Grocery Stores in Canada</w:t>
      </w:r>
      <w:r w:rsidRPr="00D14896">
        <w:t>, op. cit.</w:t>
      </w:r>
    </w:p>
  </w:endnote>
  <w:endnote w:id="55">
    <w:p w14:paraId="76DC768A" w14:textId="48AA880E" w:rsidR="00EE1B72" w:rsidRPr="00D14896" w:rsidRDefault="00EE1B72" w:rsidP="00D14896">
      <w:pPr>
        <w:pStyle w:val="Footnote"/>
      </w:pPr>
      <w:r w:rsidRPr="00D14896">
        <w:rPr>
          <w:vertAlign w:val="superscript"/>
        </w:rPr>
        <w:endnoteRef/>
      </w:r>
      <w:r w:rsidRPr="00D14896">
        <w:t xml:space="preserve"> Bertrand Marotte, “Metro Forges </w:t>
      </w:r>
      <w:r w:rsidR="00CB1BC7" w:rsidRPr="00D14896">
        <w:t xml:space="preserve">Into </w:t>
      </w:r>
      <w:r w:rsidRPr="00D14896">
        <w:t xml:space="preserve">Ethnic Food Market with Stake in Marché Adonis,” </w:t>
      </w:r>
      <w:r w:rsidRPr="00D14896">
        <w:rPr>
          <w:i/>
        </w:rPr>
        <w:t>Globe and Mail</w:t>
      </w:r>
      <w:r w:rsidRPr="00D14896">
        <w:t>, October 26, 2011, accessed January 30, 2017, www.theglobeandmail.com/globe-investor/metro-forges-into-ethnic-food-market-with-stake-in-marche-adonis/article559199.</w:t>
      </w:r>
    </w:p>
  </w:endnote>
  <w:endnote w:id="56">
    <w:p w14:paraId="7916CD09" w14:textId="3703B246" w:rsidR="00EE1B72" w:rsidRPr="00D14896" w:rsidRDefault="00EE1B72" w:rsidP="00FD6CFB">
      <w:pPr>
        <w:pStyle w:val="Footnote"/>
        <w:rPr>
          <w:rFonts w:eastAsia="Arial"/>
        </w:rPr>
      </w:pPr>
      <w:r w:rsidRPr="00D14896">
        <w:rPr>
          <w:rStyle w:val="EndnoteReference"/>
        </w:rPr>
        <w:endnoteRef/>
      </w:r>
      <w:r w:rsidRPr="00D14896">
        <w:rPr>
          <w:rFonts w:eastAsia="Arial"/>
        </w:rPr>
        <w:t xml:space="preserve"> </w:t>
      </w:r>
      <w:proofErr w:type="spellStart"/>
      <w:r w:rsidRPr="00D14896">
        <w:rPr>
          <w:rFonts w:eastAsia="Arial"/>
        </w:rPr>
        <w:t>MarketLine</w:t>
      </w:r>
      <w:proofErr w:type="spellEnd"/>
      <w:r w:rsidRPr="00D14896">
        <w:rPr>
          <w:rFonts w:eastAsia="Arial"/>
        </w:rPr>
        <w:t xml:space="preserve">, </w:t>
      </w:r>
      <w:r w:rsidRPr="00D14896">
        <w:rPr>
          <w:rFonts w:eastAsia="Arial"/>
          <w:i/>
        </w:rPr>
        <w:t>Loblaw Companies Limited</w:t>
      </w:r>
      <w:r>
        <w:rPr>
          <w:rFonts w:eastAsia="Arial"/>
          <w:i/>
        </w:rPr>
        <w:t>—</w:t>
      </w:r>
      <w:r w:rsidRPr="00D14896">
        <w:rPr>
          <w:rFonts w:eastAsia="Arial"/>
          <w:i/>
        </w:rPr>
        <w:t>Strategy and SWOT Report</w:t>
      </w:r>
      <w:r w:rsidRPr="00D14896">
        <w:rPr>
          <w:rFonts w:eastAsia="Arial"/>
        </w:rPr>
        <w:t>, December 7, 2016, accessed February 28, 2017, http://advantage.marketline.com.ezproxy.library.yorku.ca/Product?pid=D8D0B7F3-D096-423F-845B-2EB571C6948C&amp;view=SWOTAnalysis.</w:t>
      </w:r>
    </w:p>
  </w:endnote>
  <w:endnote w:id="57">
    <w:p w14:paraId="7AC4D1A5" w14:textId="07BC3381" w:rsidR="00EE1B72" w:rsidRPr="00D14896" w:rsidRDefault="00EE1B72" w:rsidP="00FD6CFB">
      <w:pPr>
        <w:pStyle w:val="Footnote"/>
        <w:rPr>
          <w:rFonts w:eastAsia="Arial"/>
        </w:rPr>
      </w:pPr>
      <w:r w:rsidRPr="00D14896">
        <w:rPr>
          <w:rStyle w:val="EndnoteReference"/>
        </w:rPr>
        <w:endnoteRef/>
      </w:r>
      <w:r w:rsidRPr="00D14896">
        <w:rPr>
          <w:rFonts w:eastAsia="Arial"/>
          <w:color w:val="000000"/>
        </w:rPr>
        <w:t xml:space="preserve"> </w:t>
      </w:r>
      <w:r w:rsidRPr="00D14896">
        <w:rPr>
          <w:rFonts w:eastAsia="Arial"/>
        </w:rPr>
        <w:t xml:space="preserve">Hollie Shaw, “Grocers are Making Headway in the Fight for Food Market Share </w:t>
      </w:r>
      <w:r w:rsidR="00CB1BC7" w:rsidRPr="00D14896">
        <w:rPr>
          <w:rFonts w:eastAsia="Arial"/>
        </w:rPr>
        <w:t xml:space="preserve">Against </w:t>
      </w:r>
      <w:r w:rsidRPr="00D14896">
        <w:rPr>
          <w:rFonts w:eastAsia="Arial"/>
        </w:rPr>
        <w:t xml:space="preserve">Walmart, Costco,” </w:t>
      </w:r>
      <w:r w:rsidRPr="00D14896">
        <w:rPr>
          <w:rFonts w:eastAsia="Arial"/>
          <w:i/>
        </w:rPr>
        <w:t>Financial Post</w:t>
      </w:r>
      <w:r w:rsidRPr="00D14896">
        <w:rPr>
          <w:rFonts w:eastAsia="Arial"/>
        </w:rPr>
        <w:t>, April 12, 2017, accessed August 19, 2017, http://business.financialpost.com/news/retail-marketing/grocers-are-making-headway-in-the-fight-for-food-market-share-against-walmart-costco/wcm/bdcddd27-aad9-4020-bed6-c9a280669750.</w:t>
      </w:r>
    </w:p>
  </w:endnote>
  <w:endnote w:id="58">
    <w:p w14:paraId="7C342A4A" w14:textId="5D773E3C" w:rsidR="00EE1B72" w:rsidRPr="005D5583" w:rsidRDefault="00EE1B72" w:rsidP="00FD6CFB">
      <w:pPr>
        <w:pStyle w:val="Footnote"/>
        <w:rPr>
          <w:lang w:val="en-CA"/>
        </w:rPr>
      </w:pPr>
      <w:r>
        <w:rPr>
          <w:rStyle w:val="EndnoteReference"/>
        </w:rPr>
        <w:endnoteRef/>
      </w:r>
      <w:r>
        <w:t xml:space="preserve"> </w:t>
      </w:r>
      <w:r w:rsidRPr="005D5583">
        <w:rPr>
          <w:lang w:val="en-CA"/>
        </w:rPr>
        <w:t xml:space="preserve">International Securities Exchange, </w:t>
      </w:r>
      <w:r w:rsidRPr="005D5583">
        <w:rPr>
          <w:i/>
          <w:lang w:val="en-CA"/>
        </w:rPr>
        <w:t xml:space="preserve">Walmart Supplier Index (WMX), </w:t>
      </w:r>
      <w:r w:rsidRPr="005D5583">
        <w:rPr>
          <w:lang w:val="en-CA"/>
        </w:rPr>
        <w:t>January 2016, accessed September 14, 2017, www.ise.com/assets/documents/OptionsExchange/index_reports/WMX_REPORT.pdf.</w:t>
      </w:r>
      <w:r>
        <w:rPr>
          <w:lang w:val="en-CA"/>
        </w:rPr>
        <w:t xml:space="preserve"> </w:t>
      </w:r>
    </w:p>
  </w:endnote>
  <w:endnote w:id="59">
    <w:p w14:paraId="6BAB9F0D" w14:textId="513259A7" w:rsidR="00EE1B72" w:rsidRPr="00D14896" w:rsidRDefault="00EE1B72" w:rsidP="00FD6CFB">
      <w:pPr>
        <w:pStyle w:val="Footnote"/>
        <w:rPr>
          <w:rFonts w:eastAsia="Arial"/>
          <w:sz w:val="16"/>
          <w:szCs w:val="16"/>
        </w:rPr>
      </w:pPr>
      <w:r w:rsidRPr="00D14896">
        <w:rPr>
          <w:rStyle w:val="EndnoteReference"/>
        </w:rPr>
        <w:endnoteRef/>
      </w:r>
      <w:r w:rsidRPr="00D14896">
        <w:t xml:space="preserve"> </w:t>
      </w:r>
      <w:r w:rsidRPr="00D14896">
        <w:rPr>
          <w:rFonts w:eastAsia="Arial"/>
        </w:rPr>
        <w:t xml:space="preserve">IBISWorld, </w:t>
      </w:r>
      <w:r w:rsidRPr="00D14896">
        <w:rPr>
          <w:rFonts w:eastAsia="Arial"/>
          <w:i/>
        </w:rPr>
        <w:t>Warehouse Clubs &amp; Supercentres in Canada Industry Report</w:t>
      </w:r>
      <w:r w:rsidRPr="00D14896">
        <w:rPr>
          <w:rFonts w:eastAsia="Arial"/>
        </w:rPr>
        <w:t>, October 2016, accessed August 19, 2017, www.ibisworld.ca/industry/warehouse-clubs-supercentres.html.</w:t>
      </w:r>
    </w:p>
  </w:endnote>
  <w:endnote w:id="60">
    <w:p w14:paraId="32019628" w14:textId="7D4CF635" w:rsidR="00EE1B72" w:rsidRPr="00D14896" w:rsidRDefault="00EE1B72" w:rsidP="00FD6CFB">
      <w:pPr>
        <w:pStyle w:val="Footnote"/>
      </w:pPr>
      <w:r w:rsidRPr="00D14896">
        <w:rPr>
          <w:rStyle w:val="EndnoteReference"/>
        </w:rPr>
        <w:endnoteRef/>
      </w:r>
      <w:r w:rsidRPr="00D14896">
        <w:t xml:space="preserve"> </w:t>
      </w:r>
      <w:r w:rsidRPr="00D14896">
        <w:rPr>
          <w:rFonts w:eastAsia="Arial"/>
        </w:rPr>
        <w:t>Ibid.</w:t>
      </w:r>
    </w:p>
  </w:endnote>
  <w:endnote w:id="61">
    <w:p w14:paraId="01EA4DAF" w14:textId="7E85B02B" w:rsidR="00EE1B72" w:rsidRPr="00D14896" w:rsidRDefault="00EE1B72" w:rsidP="00FD6CFB">
      <w:pPr>
        <w:pStyle w:val="Footnote"/>
        <w:rPr>
          <w:rFonts w:eastAsia="Arial"/>
        </w:rPr>
      </w:pPr>
      <w:r w:rsidRPr="00D14896">
        <w:rPr>
          <w:rStyle w:val="EndnoteReference"/>
        </w:rPr>
        <w:endnoteRef/>
      </w:r>
      <w:r w:rsidRPr="00D14896">
        <w:rPr>
          <w:rFonts w:eastAsia="Arial"/>
        </w:rPr>
        <w:t xml:space="preserve"> Pete Evans, “Loblaw to Spend $1B to Open 50 New Stores, Renovate 150 Others,” CBC News, April 12, 2016, accessed October 9, 2016, www.cbc.ca/news/business/loblaw-expansion-1.3531578.</w:t>
      </w:r>
    </w:p>
  </w:endnote>
  <w:endnote w:id="62">
    <w:p w14:paraId="14B2DB30" w14:textId="13A629F9" w:rsidR="00EE1B72" w:rsidRPr="00D14896" w:rsidRDefault="00EE1B72" w:rsidP="00FD6CFB">
      <w:pPr>
        <w:pStyle w:val="Footnote"/>
        <w:rPr>
          <w:rFonts w:eastAsia="Arial"/>
        </w:rPr>
      </w:pPr>
      <w:r w:rsidRPr="00D14896">
        <w:rPr>
          <w:rStyle w:val="EndnoteReference"/>
        </w:rPr>
        <w:endnoteRef/>
      </w:r>
      <w:r w:rsidRPr="00D14896">
        <w:rPr>
          <w:rFonts w:eastAsia="Arial"/>
          <w:vertAlign w:val="superscript"/>
        </w:rPr>
        <w:t xml:space="preserve"> </w:t>
      </w:r>
      <w:r w:rsidRPr="00D14896">
        <w:rPr>
          <w:rFonts w:eastAsia="Arial"/>
        </w:rPr>
        <w:t>“Loblaws to Open 50 New Stores, Spend $1.2 Billion on Renovation,” CBC News, March 9, 2015, accessed October 9, 2016, www.cbc.ca/news/business/loblaws-to-open-50-new-stores-spend-1-2-billion-on-renovation-1.2986857.</w:t>
      </w:r>
    </w:p>
  </w:endnote>
  <w:endnote w:id="63">
    <w:p w14:paraId="2C8F8527" w14:textId="68A4E1D0" w:rsidR="00EE1B72" w:rsidRPr="00D14896" w:rsidRDefault="00EE1B72" w:rsidP="00FD6CFB">
      <w:pPr>
        <w:pStyle w:val="Footnote"/>
        <w:rPr>
          <w:rFonts w:eastAsia="Arial"/>
        </w:rPr>
      </w:pPr>
      <w:r w:rsidRPr="00D14896">
        <w:rPr>
          <w:rStyle w:val="EndnoteReference"/>
        </w:rPr>
        <w:endnoteRef/>
      </w:r>
      <w:r w:rsidRPr="00D14896">
        <w:rPr>
          <w:rFonts w:eastAsia="Arial"/>
          <w:vertAlign w:val="superscript"/>
        </w:rPr>
        <w:t xml:space="preserve"> </w:t>
      </w:r>
      <w:r>
        <w:rPr>
          <w:rFonts w:eastAsia="Arial"/>
        </w:rPr>
        <w:t>Sean Craig</w:t>
      </w:r>
      <w:r w:rsidRPr="00D14896">
        <w:rPr>
          <w:rFonts w:eastAsia="Arial"/>
        </w:rPr>
        <w:t xml:space="preserve">, “Loblaw Makes $170-Million Cash Bid for B.C. Medical Records Company QHR Corp,” </w:t>
      </w:r>
      <w:r>
        <w:rPr>
          <w:rFonts w:eastAsia="Arial"/>
          <w:i/>
        </w:rPr>
        <w:t>Financial Post</w:t>
      </w:r>
      <w:r w:rsidRPr="00D14896">
        <w:rPr>
          <w:rFonts w:eastAsia="Arial"/>
        </w:rPr>
        <w:t xml:space="preserve">, August 22, 2016, accessed October 4, 2016, </w:t>
      </w:r>
      <w:r w:rsidRPr="00BF2410">
        <w:rPr>
          <w:rFonts w:eastAsia="Arial"/>
        </w:rPr>
        <w:t>http://business.financialpost.com/news/retail-marketing/loblaw-makes-170-million-cash-bid-for-b-c-medical-records-company-qhr-corp</w:t>
      </w:r>
      <w:r w:rsidR="00CB1BC7">
        <w:rPr>
          <w:rFonts w:eastAsia="Arial"/>
        </w:rPr>
        <w:t>.</w:t>
      </w:r>
    </w:p>
  </w:endnote>
  <w:endnote w:id="64">
    <w:p w14:paraId="18F3E2F1" w14:textId="2F0BBD02" w:rsidR="00EE1B72" w:rsidRPr="00D14896" w:rsidRDefault="00EE1B72" w:rsidP="00FD6CFB">
      <w:pPr>
        <w:pStyle w:val="Footnote"/>
        <w:rPr>
          <w:rFonts w:eastAsia="Arial"/>
        </w:rPr>
      </w:pPr>
      <w:r w:rsidRPr="00D14896">
        <w:rPr>
          <w:rStyle w:val="EndnoteReference"/>
        </w:rPr>
        <w:endnoteRef/>
      </w:r>
      <w:r w:rsidRPr="00D14896">
        <w:rPr>
          <w:rFonts w:eastAsia="Arial"/>
        </w:rPr>
        <w:t xml:space="preserve"> Marina Strauss, “Six Packs and Cannabis: Loblaw Aims to Add Medical Marijuana,” </w:t>
      </w:r>
      <w:r w:rsidRPr="00D14896">
        <w:rPr>
          <w:rFonts w:eastAsia="Arial"/>
          <w:i/>
        </w:rPr>
        <w:t>Globe and Mail</w:t>
      </w:r>
      <w:r w:rsidRPr="00D14896">
        <w:rPr>
          <w:rFonts w:eastAsia="Arial"/>
        </w:rPr>
        <w:t>, May 5, 2016, accessed October 4, 2016, www.theglobeandmail.com/report-on-business/let-grocery-stores-and-pharmacies-sell-medical-marijuana-galen-weston-says/article29894161.</w:t>
      </w:r>
    </w:p>
  </w:endnote>
  <w:endnote w:id="65">
    <w:p w14:paraId="335E6867" w14:textId="705EB6C3" w:rsidR="00EE1B72" w:rsidRDefault="00EE1B72" w:rsidP="00FD6CFB">
      <w:pPr>
        <w:pStyle w:val="Footnote"/>
      </w:pPr>
      <w:r w:rsidRPr="00D14896">
        <w:rPr>
          <w:rStyle w:val="EndnoteReference"/>
        </w:rPr>
        <w:endnoteRef/>
      </w:r>
      <w:r w:rsidRPr="00D14896">
        <w:t xml:space="preserve"> “About Us,” Costco Wholesale</w:t>
      </w:r>
      <w:r w:rsidR="00CB1BC7">
        <w:t xml:space="preserve"> Canada Limited (website)</w:t>
      </w:r>
      <w:r w:rsidRPr="00D14896">
        <w:t>, accessed August 19, 2017, https://www.costco.ca/about-us.html.</w:t>
      </w:r>
    </w:p>
  </w:endnote>
  <w:endnote w:id="66">
    <w:p w14:paraId="5F55ECC0" w14:textId="355AFBF3" w:rsidR="00EE1B72" w:rsidRPr="00654A51" w:rsidRDefault="00EE1B72" w:rsidP="00FD6CFB">
      <w:pPr>
        <w:pStyle w:val="Footnote"/>
        <w:rPr>
          <w:rFonts w:eastAsia="Arial"/>
          <w:sz w:val="16"/>
          <w:szCs w:val="16"/>
        </w:rPr>
      </w:pPr>
      <w:r w:rsidRPr="00D14896">
        <w:rPr>
          <w:rStyle w:val="EndnoteReference"/>
        </w:rPr>
        <w:endnoteRef/>
      </w:r>
      <w:r w:rsidRPr="00D14896">
        <w:t xml:space="preserve"> </w:t>
      </w:r>
      <w:r w:rsidRPr="00D14896">
        <w:rPr>
          <w:rFonts w:eastAsia="Arial"/>
        </w:rPr>
        <w:t xml:space="preserve">IBISWorld, </w:t>
      </w:r>
      <w:r w:rsidRPr="00CB1BC7">
        <w:rPr>
          <w:rFonts w:eastAsia="Arial"/>
          <w:i/>
        </w:rPr>
        <w:t>Warehouse Clubs &amp; Supercentres in Canada Industry Report</w:t>
      </w:r>
      <w:r w:rsidRPr="00D14896">
        <w:rPr>
          <w:rFonts w:eastAsia="Arial"/>
        </w:rPr>
        <w:t>, op. cit.</w:t>
      </w:r>
    </w:p>
  </w:endnote>
  <w:endnote w:id="67">
    <w:p w14:paraId="7E685A3D" w14:textId="2CA7A8FD" w:rsidR="00EE1B72" w:rsidRDefault="00EE1B72" w:rsidP="00FD6CFB">
      <w:pPr>
        <w:pStyle w:val="Footnote"/>
      </w:pPr>
      <w:r w:rsidRPr="00D14896">
        <w:rPr>
          <w:rStyle w:val="EndnoteReference"/>
        </w:rPr>
        <w:endnoteRef/>
      </w:r>
      <w:r w:rsidRPr="00D14896">
        <w:t xml:space="preserve"> </w:t>
      </w:r>
      <w:r w:rsidRPr="00D14896">
        <w:rPr>
          <w:rFonts w:eastAsia="Arial"/>
        </w:rPr>
        <w:t>“About Us,” op. cit.</w:t>
      </w:r>
    </w:p>
  </w:endnote>
  <w:endnote w:id="68">
    <w:p w14:paraId="045AC3DC" w14:textId="7A5121A9" w:rsidR="00EE1B72" w:rsidRPr="00654A51" w:rsidRDefault="00EE1B72" w:rsidP="00FD6CFB">
      <w:pPr>
        <w:pStyle w:val="Footnote"/>
      </w:pPr>
      <w:r w:rsidRPr="00D14896">
        <w:rPr>
          <w:rStyle w:val="EndnoteReference"/>
        </w:rPr>
        <w:endnoteRef/>
      </w:r>
      <w:r w:rsidRPr="00D14896">
        <w:t xml:space="preserve"> </w:t>
      </w:r>
      <w:r w:rsidRPr="00D14896">
        <w:rPr>
          <w:rFonts w:eastAsia="Arial"/>
        </w:rPr>
        <w:t xml:space="preserve">IBISWorld, </w:t>
      </w:r>
      <w:r w:rsidRPr="00CB1BC7">
        <w:rPr>
          <w:rFonts w:eastAsia="Arial"/>
          <w:i/>
        </w:rPr>
        <w:t>Warehouse Clubs &amp; Supercentres in Canada Industry Report</w:t>
      </w:r>
      <w:r w:rsidRPr="00D14896">
        <w:rPr>
          <w:rFonts w:eastAsia="Arial"/>
        </w:rPr>
        <w:t>,</w:t>
      </w:r>
      <w:r>
        <w:rPr>
          <w:rFonts w:eastAsia="Arial"/>
        </w:rPr>
        <w:t xml:space="preserve"> op. cit.</w:t>
      </w:r>
    </w:p>
  </w:endnote>
  <w:endnote w:id="69">
    <w:p w14:paraId="29187F67" w14:textId="20800E64" w:rsidR="00EE1B72" w:rsidRDefault="00EE1B72" w:rsidP="00FD6CFB">
      <w:pPr>
        <w:pStyle w:val="Footnote"/>
      </w:pPr>
      <w:r w:rsidRPr="00D14896">
        <w:rPr>
          <w:rStyle w:val="EndnoteReference"/>
        </w:rPr>
        <w:endnoteRef/>
      </w:r>
      <w:r w:rsidRPr="00D14896">
        <w:t xml:space="preserve"> </w:t>
      </w:r>
      <w:r w:rsidRPr="00D14896">
        <w:rPr>
          <w:rFonts w:eastAsia="Arial"/>
        </w:rPr>
        <w:t>Ibid.</w:t>
      </w:r>
    </w:p>
  </w:endnote>
  <w:endnote w:id="70">
    <w:p w14:paraId="2BDC59E7" w14:textId="3231EDB4" w:rsidR="00EE1B72" w:rsidRPr="00D14896" w:rsidRDefault="00EE1B72" w:rsidP="00FD6CFB">
      <w:pPr>
        <w:pStyle w:val="Footnote"/>
      </w:pPr>
      <w:r w:rsidRPr="00D14896">
        <w:rPr>
          <w:rStyle w:val="EndnoteReference"/>
        </w:rPr>
        <w:endnoteRef/>
      </w:r>
      <w:r w:rsidRPr="00D14896">
        <w:rPr>
          <w:rStyle w:val="EndnoteReference"/>
        </w:rPr>
        <w:t xml:space="preserve"> </w:t>
      </w:r>
      <w:r w:rsidRPr="00D14896">
        <w:rPr>
          <w:rFonts w:eastAsia="Arial"/>
        </w:rPr>
        <w:t>“Kirkland Signature Mediterranean Quinoa Stuffed Peppers,” Costco Wholesale</w:t>
      </w:r>
      <w:r w:rsidR="00CB1BC7">
        <w:rPr>
          <w:rFonts w:eastAsia="Arial"/>
        </w:rPr>
        <w:t xml:space="preserve"> Canada Limited (website)</w:t>
      </w:r>
      <w:r w:rsidRPr="00D14896">
        <w:rPr>
          <w:rFonts w:eastAsia="Arial"/>
        </w:rPr>
        <w:t>, accessed August 19, 2017,</w:t>
      </w:r>
      <w:r w:rsidRPr="00D14896">
        <w:t xml:space="preserve"> </w:t>
      </w:r>
      <w:r w:rsidRPr="00D14896">
        <w:rPr>
          <w:rFonts w:eastAsia="Arial"/>
        </w:rPr>
        <w:t>www.costco.ca/kirkland-signature-recipes.html.</w:t>
      </w:r>
    </w:p>
  </w:endnote>
  <w:endnote w:id="71">
    <w:p w14:paraId="3F71B155" w14:textId="7628D1D9" w:rsidR="00EE1B72" w:rsidRPr="00163836" w:rsidRDefault="00EE1B72" w:rsidP="00FD6CFB">
      <w:pPr>
        <w:pStyle w:val="Footnote"/>
        <w:rPr>
          <w:highlight w:val="yellow"/>
        </w:rPr>
      </w:pPr>
      <w:r w:rsidRPr="00D14896">
        <w:rPr>
          <w:rStyle w:val="EndnoteReference"/>
        </w:rPr>
        <w:endnoteRef/>
      </w:r>
      <w:r w:rsidRPr="00D14896">
        <w:t xml:space="preserve"> </w:t>
      </w:r>
      <w:r w:rsidRPr="00D14896">
        <w:rPr>
          <w:rFonts w:eastAsia="Arial"/>
        </w:rPr>
        <w:t xml:space="preserve">“Our Business,” </w:t>
      </w:r>
      <w:r w:rsidR="00CB1BC7" w:rsidRPr="00D14896">
        <w:rPr>
          <w:rFonts w:eastAsia="Arial"/>
        </w:rPr>
        <w:t>Walmart Canada</w:t>
      </w:r>
      <w:r w:rsidR="00CB1BC7">
        <w:rPr>
          <w:rFonts w:eastAsia="Arial"/>
        </w:rPr>
        <w:t xml:space="preserve"> (website)</w:t>
      </w:r>
      <w:r w:rsidRPr="00D14896">
        <w:rPr>
          <w:rFonts w:eastAsia="Arial"/>
        </w:rPr>
        <w:t>, accessed August 19, 2017, www.walmartcanada.ca/our-story/our-business.</w:t>
      </w:r>
    </w:p>
  </w:endnote>
  <w:endnote w:id="72">
    <w:p w14:paraId="07ACEF7C" w14:textId="2278408D" w:rsidR="00EE1B72" w:rsidRPr="00FC3975" w:rsidRDefault="00EE1B72" w:rsidP="00FD6CFB">
      <w:pPr>
        <w:pStyle w:val="Footnote"/>
      </w:pPr>
      <w:r w:rsidRPr="00D14896">
        <w:rPr>
          <w:rStyle w:val="EndnoteReference"/>
        </w:rPr>
        <w:endnoteRef/>
      </w:r>
      <w:r w:rsidRPr="00D14896">
        <w:t xml:space="preserve"> </w:t>
      </w:r>
      <w:r w:rsidRPr="00D14896">
        <w:rPr>
          <w:rFonts w:eastAsia="Arial"/>
        </w:rPr>
        <w:t>IBISWorld, Warehouse Clubs &amp; Supercentres in Canada Industry Report, op. cit.</w:t>
      </w:r>
    </w:p>
  </w:endnote>
  <w:endnote w:id="73">
    <w:p w14:paraId="106C2737" w14:textId="14948AAC" w:rsidR="00EE1B72" w:rsidRPr="00D14896" w:rsidRDefault="00EE1B72" w:rsidP="00FD6CFB">
      <w:pPr>
        <w:pStyle w:val="Footnote"/>
      </w:pPr>
      <w:r w:rsidRPr="00D14896">
        <w:rPr>
          <w:rStyle w:val="EndnoteReference"/>
        </w:rPr>
        <w:endnoteRef/>
      </w:r>
      <w:r w:rsidRPr="00D14896">
        <w:t xml:space="preserve"> </w:t>
      </w:r>
      <w:r w:rsidRPr="00D14896">
        <w:rPr>
          <w:rFonts w:eastAsia="Arial"/>
        </w:rPr>
        <w:t xml:space="preserve">“Our Commitment,” </w:t>
      </w:r>
      <w:r w:rsidR="00CB1BC7" w:rsidRPr="00D14896">
        <w:rPr>
          <w:rFonts w:eastAsia="Arial"/>
        </w:rPr>
        <w:t>Walmart Canada</w:t>
      </w:r>
      <w:r w:rsidR="00CB1BC7">
        <w:rPr>
          <w:rFonts w:eastAsia="Arial"/>
        </w:rPr>
        <w:t xml:space="preserve"> (website)</w:t>
      </w:r>
      <w:r w:rsidRPr="00D14896">
        <w:rPr>
          <w:rFonts w:eastAsia="Arial"/>
        </w:rPr>
        <w:t>, accessed August 19, 2017, www.walmartcanada.ca/our-story/our-commitment.</w:t>
      </w:r>
    </w:p>
  </w:endnote>
  <w:endnote w:id="74">
    <w:p w14:paraId="2029212E" w14:textId="4BAB3D6D" w:rsidR="00EE1B72" w:rsidRPr="00D14896" w:rsidRDefault="00EE1B72" w:rsidP="00FD6CFB">
      <w:pPr>
        <w:pStyle w:val="Footnote"/>
      </w:pPr>
      <w:r w:rsidRPr="00D14896">
        <w:rPr>
          <w:rStyle w:val="EndnoteReference"/>
        </w:rPr>
        <w:endnoteRef/>
      </w:r>
      <w:r w:rsidRPr="00D14896">
        <w:t xml:space="preserve"> </w:t>
      </w:r>
      <w:r w:rsidRPr="00D14896">
        <w:rPr>
          <w:rFonts w:eastAsia="Arial"/>
        </w:rPr>
        <w:t>Ibid.</w:t>
      </w:r>
    </w:p>
  </w:endnote>
  <w:endnote w:id="75">
    <w:p w14:paraId="17BD54DA" w14:textId="2198B211" w:rsidR="00EE1B72" w:rsidRPr="00D14896" w:rsidRDefault="00EE1B72" w:rsidP="00FD6CFB">
      <w:pPr>
        <w:pStyle w:val="Footnote"/>
      </w:pPr>
      <w:r w:rsidRPr="00D14896">
        <w:rPr>
          <w:rStyle w:val="EndnoteReference"/>
        </w:rPr>
        <w:endnoteRef/>
      </w:r>
      <w:r w:rsidRPr="00D14896">
        <w:t xml:space="preserve"> </w:t>
      </w:r>
      <w:r w:rsidRPr="00D14896">
        <w:rPr>
          <w:rFonts w:eastAsia="Arial"/>
        </w:rPr>
        <w:t>“Our Commitment,” op. cit.</w:t>
      </w:r>
    </w:p>
  </w:endnote>
  <w:endnote w:id="76">
    <w:p w14:paraId="72D711AA" w14:textId="624022DF" w:rsidR="00EE1B72" w:rsidRPr="00D14896" w:rsidRDefault="00EE1B72" w:rsidP="00CB1BC7">
      <w:pPr>
        <w:pStyle w:val="Footnote"/>
      </w:pPr>
      <w:r w:rsidRPr="00D14896">
        <w:rPr>
          <w:vertAlign w:val="superscript"/>
        </w:rPr>
        <w:endnoteRef/>
      </w:r>
      <w:r w:rsidRPr="00D14896">
        <w:t xml:space="preserve"> IBISWorld, Supermarkets &amp; Grocery Stores in Canada: Market Research Report, op. cit.</w:t>
      </w:r>
    </w:p>
  </w:endnote>
  <w:endnote w:id="77">
    <w:p w14:paraId="3FCDADDB" w14:textId="31A54650" w:rsidR="00EE1B72" w:rsidRPr="00D14896" w:rsidRDefault="00EE1B72" w:rsidP="00875F25">
      <w:pPr>
        <w:pStyle w:val="Footnote"/>
      </w:pPr>
      <w:r w:rsidRPr="00D14896">
        <w:rPr>
          <w:vertAlign w:val="superscript"/>
        </w:rPr>
        <w:endnoteRef/>
      </w:r>
      <w:r w:rsidRPr="00D14896">
        <w:t xml:space="preserve"> Sophia Harris, “Shoppers Drug Mart Enters Grocery Wars, Armed with Fresh Fruit and Fish,” CBC News, July 31, 2016, accessed October 9, 2016, www.cbc.ca/news/business/shoppers-drug-mart-loblaw-walmart-1.3700945.</w:t>
      </w:r>
    </w:p>
  </w:endnote>
  <w:endnote w:id="78">
    <w:p w14:paraId="50937137" w14:textId="34B9DCCC" w:rsidR="00EE1B72" w:rsidRPr="00D14896" w:rsidRDefault="00EE1B72" w:rsidP="00875F25">
      <w:pPr>
        <w:pStyle w:val="Footnote"/>
      </w:pPr>
      <w:r w:rsidRPr="00D14896">
        <w:rPr>
          <w:vertAlign w:val="superscript"/>
        </w:rPr>
        <w:endnoteRef/>
      </w:r>
      <w:r w:rsidRPr="00D14896">
        <w:t xml:space="preserve"> IBISWorld, </w:t>
      </w:r>
      <w:r w:rsidRPr="00D14896">
        <w:rPr>
          <w:i/>
        </w:rPr>
        <w:t>Supermarkets &amp; Grocery Stores in Canada: Market Research Report</w:t>
      </w:r>
      <w:r w:rsidRPr="00D14896">
        <w:t>, op. cit.</w:t>
      </w:r>
    </w:p>
  </w:endnote>
  <w:endnote w:id="79">
    <w:p w14:paraId="436B2FD6" w14:textId="18B2E339" w:rsidR="00EE1B72" w:rsidRPr="00FC0F02" w:rsidRDefault="00EE1B72" w:rsidP="00875F25">
      <w:pPr>
        <w:pStyle w:val="Footnote"/>
      </w:pPr>
      <w:r w:rsidRPr="00D14896">
        <w:rPr>
          <w:rStyle w:val="EndnoteReference"/>
        </w:rPr>
        <w:endnoteRef/>
      </w:r>
      <w:r w:rsidRPr="00D14896">
        <w:t xml:space="preserve"> “Delivering the Future,” </w:t>
      </w:r>
      <w:r w:rsidR="00CB1BC7">
        <w:t>Corporate Videos</w:t>
      </w:r>
      <w:r w:rsidRPr="00D14896">
        <w:t xml:space="preserve">, </w:t>
      </w:r>
      <w:r w:rsidR="00CB1BC7">
        <w:t xml:space="preserve">8:41, posted by Sobeys Inc., </w:t>
      </w:r>
      <w:r w:rsidRPr="00D14896">
        <w:t>accessed July 11, 2017, http://corporate.sobeys.com/corporate-videos.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C8693B" w14:textId="77777777" w:rsidR="00D03233" w:rsidRDefault="00D03233" w:rsidP="00D75295">
      <w:r>
        <w:separator/>
      </w:r>
    </w:p>
  </w:footnote>
  <w:footnote w:type="continuationSeparator" w:id="0">
    <w:p w14:paraId="0A2A91A6" w14:textId="77777777" w:rsidR="00D03233" w:rsidRDefault="00D03233"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B4290" w14:textId="41A792CC" w:rsidR="00EE1B72" w:rsidRDefault="00EE1B72"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11740">
      <w:rPr>
        <w:rFonts w:ascii="Arial" w:hAnsi="Arial"/>
        <w:b/>
        <w:noProof/>
      </w:rPr>
      <w:t>12</w:t>
    </w:r>
    <w:r>
      <w:rPr>
        <w:rFonts w:ascii="Arial" w:hAnsi="Arial"/>
        <w:b/>
      </w:rPr>
      <w:fldChar w:fldCharType="end"/>
    </w:r>
    <w:r>
      <w:rPr>
        <w:rFonts w:ascii="Arial" w:hAnsi="Arial"/>
        <w:b/>
      </w:rPr>
      <w:tab/>
    </w:r>
    <w:r w:rsidR="00F53F0C">
      <w:rPr>
        <w:rFonts w:ascii="Arial" w:hAnsi="Arial"/>
        <w:b/>
      </w:rPr>
      <w:t>9B17M169</w:t>
    </w:r>
  </w:p>
  <w:p w14:paraId="6B958020" w14:textId="77777777" w:rsidR="00EE1B72" w:rsidRPr="00C92CC4" w:rsidRDefault="00EE1B72">
    <w:pPr>
      <w:pStyle w:val="Header"/>
      <w:rPr>
        <w:sz w:val="18"/>
        <w:szCs w:val="18"/>
      </w:rPr>
    </w:pPr>
  </w:p>
  <w:p w14:paraId="61614887" w14:textId="77777777" w:rsidR="00EE1B72" w:rsidRPr="00C92CC4" w:rsidRDefault="00EE1B72">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82624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020AC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CA8676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27A381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AEE9EC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774370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B3A54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8C816E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41610F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A1E436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3E27AF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C90AC0"/>
    <w:multiLevelType w:val="hybridMultilevel"/>
    <w:tmpl w:val="1CB82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AB2398"/>
    <w:multiLevelType w:val="hybridMultilevel"/>
    <w:tmpl w:val="61A43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4F05E54"/>
    <w:multiLevelType w:val="multilevel"/>
    <w:tmpl w:val="0D804606"/>
    <w:lvl w:ilvl="0">
      <w:start w:val="1"/>
      <w:numFmt w:val="bullet"/>
      <w:lvlText w:val=""/>
      <w:lvlJc w:val="left"/>
      <w:pPr>
        <w:ind w:left="360" w:firstLine="0"/>
      </w:pPr>
      <w:rPr>
        <w:rFonts w:ascii="Wingdings" w:hAnsi="Wingdings" w:hint="default"/>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2" w15:restartNumberingAfterBreak="0">
    <w:nsid w:val="45324D10"/>
    <w:multiLevelType w:val="hybridMultilevel"/>
    <w:tmpl w:val="582CE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4"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7"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8" w15:restartNumberingAfterBreak="0">
    <w:nsid w:val="68A66E0F"/>
    <w:multiLevelType w:val="hybridMultilevel"/>
    <w:tmpl w:val="E6C80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23"/>
  </w:num>
  <w:num w:numId="13">
    <w:abstractNumId w:val="14"/>
  </w:num>
  <w:num w:numId="14">
    <w:abstractNumId w:val="24"/>
  </w:num>
  <w:num w:numId="15">
    <w:abstractNumId w:val="25"/>
  </w:num>
  <w:num w:numId="16">
    <w:abstractNumId w:val="26"/>
  </w:num>
  <w:num w:numId="17">
    <w:abstractNumId w:val="17"/>
  </w:num>
  <w:num w:numId="18">
    <w:abstractNumId w:val="27"/>
  </w:num>
  <w:num w:numId="19">
    <w:abstractNumId w:val="13"/>
  </w:num>
  <w:num w:numId="20">
    <w:abstractNumId w:val="12"/>
  </w:num>
  <w:num w:numId="21">
    <w:abstractNumId w:val="29"/>
  </w:num>
  <w:num w:numId="22">
    <w:abstractNumId w:val="20"/>
  </w:num>
  <w:num w:numId="23">
    <w:abstractNumId w:val="30"/>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0"/>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0"/>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9"/>
  </w:num>
  <w:num w:numId="28">
    <w:abstractNumId w:val="21"/>
  </w:num>
  <w:num w:numId="29">
    <w:abstractNumId w:val="11"/>
  </w:num>
  <w:num w:numId="30">
    <w:abstractNumId w:val="22"/>
  </w:num>
  <w:num w:numId="31">
    <w:abstractNumId w:val="18"/>
  </w:num>
  <w:num w:numId="32">
    <w:abstractNumId w:val="28"/>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34D"/>
    <w:rsid w:val="00013360"/>
    <w:rsid w:val="000216CE"/>
    <w:rsid w:val="00025DC7"/>
    <w:rsid w:val="00026486"/>
    <w:rsid w:val="00036AD5"/>
    <w:rsid w:val="00044ECC"/>
    <w:rsid w:val="00051B0E"/>
    <w:rsid w:val="000531D3"/>
    <w:rsid w:val="0005646B"/>
    <w:rsid w:val="00056B0B"/>
    <w:rsid w:val="00061533"/>
    <w:rsid w:val="000751FD"/>
    <w:rsid w:val="0008102D"/>
    <w:rsid w:val="00094C0E"/>
    <w:rsid w:val="0009603E"/>
    <w:rsid w:val="000E32C0"/>
    <w:rsid w:val="000E32EB"/>
    <w:rsid w:val="000F0C22"/>
    <w:rsid w:val="000F6B09"/>
    <w:rsid w:val="000F6FDC"/>
    <w:rsid w:val="00104567"/>
    <w:rsid w:val="001105DD"/>
    <w:rsid w:val="0011617F"/>
    <w:rsid w:val="001213E3"/>
    <w:rsid w:val="0012732D"/>
    <w:rsid w:val="00154FC9"/>
    <w:rsid w:val="00163836"/>
    <w:rsid w:val="00191B21"/>
    <w:rsid w:val="0019241A"/>
    <w:rsid w:val="001A5335"/>
    <w:rsid w:val="001A752D"/>
    <w:rsid w:val="001D4E8E"/>
    <w:rsid w:val="00203AA1"/>
    <w:rsid w:val="00213E98"/>
    <w:rsid w:val="0024042A"/>
    <w:rsid w:val="00296F1B"/>
    <w:rsid w:val="002B1717"/>
    <w:rsid w:val="002B3389"/>
    <w:rsid w:val="002C2BBC"/>
    <w:rsid w:val="002D34DD"/>
    <w:rsid w:val="002D6EDF"/>
    <w:rsid w:val="002E32F0"/>
    <w:rsid w:val="002E517C"/>
    <w:rsid w:val="002F460C"/>
    <w:rsid w:val="002F48D6"/>
    <w:rsid w:val="002F79AE"/>
    <w:rsid w:val="00343565"/>
    <w:rsid w:val="0034771F"/>
    <w:rsid w:val="00354899"/>
    <w:rsid w:val="00355FD6"/>
    <w:rsid w:val="00361C8E"/>
    <w:rsid w:val="00364A5C"/>
    <w:rsid w:val="00373FB1"/>
    <w:rsid w:val="003937A1"/>
    <w:rsid w:val="003B30D8"/>
    <w:rsid w:val="003B7EF2"/>
    <w:rsid w:val="003C3FA4"/>
    <w:rsid w:val="003F2B0C"/>
    <w:rsid w:val="0040489E"/>
    <w:rsid w:val="004221E4"/>
    <w:rsid w:val="00430491"/>
    <w:rsid w:val="00463066"/>
    <w:rsid w:val="00471088"/>
    <w:rsid w:val="00483AF9"/>
    <w:rsid w:val="004968AF"/>
    <w:rsid w:val="004B1CCB"/>
    <w:rsid w:val="004C0C6A"/>
    <w:rsid w:val="004C7DD1"/>
    <w:rsid w:val="004D73A5"/>
    <w:rsid w:val="004E0136"/>
    <w:rsid w:val="004E7CFF"/>
    <w:rsid w:val="004F7926"/>
    <w:rsid w:val="00532CF5"/>
    <w:rsid w:val="00544356"/>
    <w:rsid w:val="005528CB"/>
    <w:rsid w:val="00566771"/>
    <w:rsid w:val="00581E2E"/>
    <w:rsid w:val="00583485"/>
    <w:rsid w:val="00584F15"/>
    <w:rsid w:val="0059522D"/>
    <w:rsid w:val="005C5EF8"/>
    <w:rsid w:val="005D5583"/>
    <w:rsid w:val="005E765D"/>
    <w:rsid w:val="005F5FEE"/>
    <w:rsid w:val="005F67CB"/>
    <w:rsid w:val="00600FE1"/>
    <w:rsid w:val="006163F7"/>
    <w:rsid w:val="0061706C"/>
    <w:rsid w:val="006241F1"/>
    <w:rsid w:val="00652606"/>
    <w:rsid w:val="00654A51"/>
    <w:rsid w:val="006724B8"/>
    <w:rsid w:val="00682754"/>
    <w:rsid w:val="006843E4"/>
    <w:rsid w:val="006A0EFA"/>
    <w:rsid w:val="006A58A9"/>
    <w:rsid w:val="006A606D"/>
    <w:rsid w:val="006B7D62"/>
    <w:rsid w:val="006B7F7A"/>
    <w:rsid w:val="006C0371"/>
    <w:rsid w:val="006C08B6"/>
    <w:rsid w:val="006C0B1A"/>
    <w:rsid w:val="006C4384"/>
    <w:rsid w:val="006C6065"/>
    <w:rsid w:val="006C68EB"/>
    <w:rsid w:val="006C7F9F"/>
    <w:rsid w:val="006C7FB0"/>
    <w:rsid w:val="006D3A62"/>
    <w:rsid w:val="006E2F6D"/>
    <w:rsid w:val="006E58F6"/>
    <w:rsid w:val="006E77E1"/>
    <w:rsid w:val="006F131D"/>
    <w:rsid w:val="00704BBD"/>
    <w:rsid w:val="00717A1F"/>
    <w:rsid w:val="0072550B"/>
    <w:rsid w:val="00747738"/>
    <w:rsid w:val="00752BCD"/>
    <w:rsid w:val="00766DA1"/>
    <w:rsid w:val="00772F77"/>
    <w:rsid w:val="007866A6"/>
    <w:rsid w:val="007871C3"/>
    <w:rsid w:val="00792B0B"/>
    <w:rsid w:val="007A130D"/>
    <w:rsid w:val="007B0926"/>
    <w:rsid w:val="007B4EA3"/>
    <w:rsid w:val="007D4102"/>
    <w:rsid w:val="007E222E"/>
    <w:rsid w:val="007E5921"/>
    <w:rsid w:val="007F51FC"/>
    <w:rsid w:val="00821079"/>
    <w:rsid w:val="00821FFC"/>
    <w:rsid w:val="008271CA"/>
    <w:rsid w:val="00844390"/>
    <w:rsid w:val="008467D5"/>
    <w:rsid w:val="00856D9F"/>
    <w:rsid w:val="008575B3"/>
    <w:rsid w:val="008613B6"/>
    <w:rsid w:val="00866F6D"/>
    <w:rsid w:val="00875F25"/>
    <w:rsid w:val="00891630"/>
    <w:rsid w:val="008A1428"/>
    <w:rsid w:val="008A4192"/>
    <w:rsid w:val="008A4DC4"/>
    <w:rsid w:val="008D01A5"/>
    <w:rsid w:val="009067A4"/>
    <w:rsid w:val="0090722E"/>
    <w:rsid w:val="00931F34"/>
    <w:rsid w:val="009340DB"/>
    <w:rsid w:val="009466E5"/>
    <w:rsid w:val="00972498"/>
    <w:rsid w:val="00974CC6"/>
    <w:rsid w:val="00976AD4"/>
    <w:rsid w:val="00980BFC"/>
    <w:rsid w:val="009A312F"/>
    <w:rsid w:val="009A5348"/>
    <w:rsid w:val="009A56E1"/>
    <w:rsid w:val="009A584A"/>
    <w:rsid w:val="009A67BB"/>
    <w:rsid w:val="009C4748"/>
    <w:rsid w:val="009C76D5"/>
    <w:rsid w:val="009D388F"/>
    <w:rsid w:val="009F4FBC"/>
    <w:rsid w:val="009F7AA4"/>
    <w:rsid w:val="00A207F2"/>
    <w:rsid w:val="00A41CE2"/>
    <w:rsid w:val="00A53395"/>
    <w:rsid w:val="00A559DB"/>
    <w:rsid w:val="00A6492A"/>
    <w:rsid w:val="00AA733E"/>
    <w:rsid w:val="00AB6126"/>
    <w:rsid w:val="00AD1265"/>
    <w:rsid w:val="00AE3462"/>
    <w:rsid w:val="00AF35FC"/>
    <w:rsid w:val="00B03639"/>
    <w:rsid w:val="00B0652A"/>
    <w:rsid w:val="00B3265F"/>
    <w:rsid w:val="00B3757D"/>
    <w:rsid w:val="00B40937"/>
    <w:rsid w:val="00B423EF"/>
    <w:rsid w:val="00B43793"/>
    <w:rsid w:val="00B453DE"/>
    <w:rsid w:val="00B45C0F"/>
    <w:rsid w:val="00B4742F"/>
    <w:rsid w:val="00B513BB"/>
    <w:rsid w:val="00B901F9"/>
    <w:rsid w:val="00BB4111"/>
    <w:rsid w:val="00BC47DC"/>
    <w:rsid w:val="00BD40F5"/>
    <w:rsid w:val="00BD5A37"/>
    <w:rsid w:val="00BD6EFB"/>
    <w:rsid w:val="00BE500D"/>
    <w:rsid w:val="00BF2410"/>
    <w:rsid w:val="00BF4AAB"/>
    <w:rsid w:val="00C02F68"/>
    <w:rsid w:val="00C15BE2"/>
    <w:rsid w:val="00C22219"/>
    <w:rsid w:val="00C3447F"/>
    <w:rsid w:val="00C41FF4"/>
    <w:rsid w:val="00C75F1C"/>
    <w:rsid w:val="00C81491"/>
    <w:rsid w:val="00C81676"/>
    <w:rsid w:val="00C90DF1"/>
    <w:rsid w:val="00C92CC4"/>
    <w:rsid w:val="00C944EB"/>
    <w:rsid w:val="00CA0AFB"/>
    <w:rsid w:val="00CA2CE1"/>
    <w:rsid w:val="00CA3976"/>
    <w:rsid w:val="00CA757B"/>
    <w:rsid w:val="00CB1BC7"/>
    <w:rsid w:val="00CB5A80"/>
    <w:rsid w:val="00CB5C64"/>
    <w:rsid w:val="00CC1787"/>
    <w:rsid w:val="00CC182C"/>
    <w:rsid w:val="00CD0824"/>
    <w:rsid w:val="00CD2908"/>
    <w:rsid w:val="00CE234B"/>
    <w:rsid w:val="00CF575C"/>
    <w:rsid w:val="00CF6551"/>
    <w:rsid w:val="00D03233"/>
    <w:rsid w:val="00D03A82"/>
    <w:rsid w:val="00D14896"/>
    <w:rsid w:val="00D15344"/>
    <w:rsid w:val="00D210C6"/>
    <w:rsid w:val="00D31BEC"/>
    <w:rsid w:val="00D32BA8"/>
    <w:rsid w:val="00D45C6E"/>
    <w:rsid w:val="00D62F25"/>
    <w:rsid w:val="00D63150"/>
    <w:rsid w:val="00D64A32"/>
    <w:rsid w:val="00D64EFC"/>
    <w:rsid w:val="00D75295"/>
    <w:rsid w:val="00D76CE9"/>
    <w:rsid w:val="00D927FF"/>
    <w:rsid w:val="00D97F12"/>
    <w:rsid w:val="00DB42E7"/>
    <w:rsid w:val="00DD26D2"/>
    <w:rsid w:val="00DD2905"/>
    <w:rsid w:val="00DD6CC2"/>
    <w:rsid w:val="00DE0392"/>
    <w:rsid w:val="00DE09B6"/>
    <w:rsid w:val="00DF32C2"/>
    <w:rsid w:val="00E11740"/>
    <w:rsid w:val="00E15FDD"/>
    <w:rsid w:val="00E471A7"/>
    <w:rsid w:val="00E635CF"/>
    <w:rsid w:val="00E76037"/>
    <w:rsid w:val="00E83ECC"/>
    <w:rsid w:val="00EB5410"/>
    <w:rsid w:val="00EC60D5"/>
    <w:rsid w:val="00EC6E0A"/>
    <w:rsid w:val="00ED29E2"/>
    <w:rsid w:val="00ED4E18"/>
    <w:rsid w:val="00EE1B72"/>
    <w:rsid w:val="00EE1F37"/>
    <w:rsid w:val="00EF7B6F"/>
    <w:rsid w:val="00F0159C"/>
    <w:rsid w:val="00F105B7"/>
    <w:rsid w:val="00F17A21"/>
    <w:rsid w:val="00F50E91"/>
    <w:rsid w:val="00F53F0C"/>
    <w:rsid w:val="00F57D29"/>
    <w:rsid w:val="00F92A99"/>
    <w:rsid w:val="00F96201"/>
    <w:rsid w:val="00FB6577"/>
    <w:rsid w:val="00FC0F02"/>
    <w:rsid w:val="00FC30E9"/>
    <w:rsid w:val="00FC3975"/>
    <w:rsid w:val="00FD0B18"/>
    <w:rsid w:val="00FD0F82"/>
    <w:rsid w:val="00FD6CFB"/>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A41857F"/>
  <w15:docId w15:val="{141FBF48-1C8B-465F-AC49-C41DB5C3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D3A62"/>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00FE1"/>
    <w:pPr>
      <w:jc w:val="both"/>
    </w:pPr>
    <w:rPr>
      <w:rFonts w:ascii="Arial" w:hAnsi="Arial" w:cs="Arial"/>
      <w:sz w:val="17"/>
      <w:szCs w:val="17"/>
    </w:rPr>
  </w:style>
  <w:style w:type="character" w:customStyle="1" w:styleId="FootnoteChar">
    <w:name w:val="Footnote Char"/>
    <w:basedOn w:val="FootnoteTextChar"/>
    <w:link w:val="Footnote"/>
    <w:rsid w:val="00600FE1"/>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DocumentMap">
    <w:name w:val="Document Map"/>
    <w:basedOn w:val="Normal"/>
    <w:link w:val="DocumentMapChar"/>
    <w:uiPriority w:val="99"/>
    <w:semiHidden/>
    <w:unhideWhenUsed/>
    <w:rsid w:val="009C4748"/>
    <w:rPr>
      <w:sz w:val="24"/>
      <w:szCs w:val="24"/>
    </w:rPr>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paragraph" w:customStyle="1" w:styleId="Default">
    <w:name w:val="Default"/>
    <w:rsid w:val="00A41CE2"/>
    <w:pPr>
      <w:autoSpaceDE w:val="0"/>
      <w:autoSpaceDN w:val="0"/>
      <w:adjustRightInd w:val="0"/>
      <w:spacing w:after="0" w:line="240" w:lineRule="auto"/>
    </w:pPr>
    <w:rPr>
      <w:rFonts w:ascii="Times New Roman" w:hAnsi="Times New Roman" w:cs="Times New Roman"/>
      <w:color w:val="000000"/>
      <w:sz w:val="24"/>
      <w:szCs w:val="24"/>
    </w:rPr>
  </w:style>
  <w:style w:type="table" w:styleId="MediumShading2-Accent2">
    <w:name w:val="Medium Shading 2 Accent 2"/>
    <w:basedOn w:val="TableNormal"/>
    <w:uiPriority w:val="64"/>
    <w:rsid w:val="00A41CE2"/>
    <w:pPr>
      <w:spacing w:after="0" w:line="240" w:lineRule="auto"/>
    </w:pPr>
    <w:rPr>
      <w:rFonts w:ascii="Times New Roman" w:eastAsia="Times New Roman" w:hAnsi="Times New Roman" w:cs="Times New Roman"/>
      <w:sz w:val="20"/>
      <w:szCs w:val="20"/>
      <w:lang w:val="en-CA" w:eastAsia="en-C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41CE2"/>
    <w:pPr>
      <w:spacing w:after="0" w:line="240" w:lineRule="auto"/>
    </w:pPr>
    <w:rPr>
      <w:rFonts w:ascii="Times New Roman" w:eastAsia="Times New Roman" w:hAnsi="Times New Roman" w:cs="Times New Roman"/>
      <w:sz w:val="20"/>
      <w:szCs w:val="20"/>
      <w:lang w:val="en-CA" w:eastAsia="en-C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41CE2"/>
    <w:pPr>
      <w:spacing w:after="0" w:line="240" w:lineRule="auto"/>
    </w:pPr>
    <w:rPr>
      <w:rFonts w:ascii="Times New Roman" w:eastAsia="Times New Roman" w:hAnsi="Times New Roman" w:cs="Times New Roman"/>
      <w:sz w:val="20"/>
      <w:szCs w:val="20"/>
      <w:lang w:val="en-CA" w:eastAsia="en-C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DocumentMapChar">
    <w:name w:val="Document Map Char"/>
    <w:basedOn w:val="DefaultParagraphFont"/>
    <w:link w:val="DocumentMap"/>
    <w:uiPriority w:val="99"/>
    <w:semiHidden/>
    <w:rsid w:val="009C4748"/>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12600-84CB-4246-BC31-0A4C95CBE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4055</Words>
  <Characters>23114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2011-06-23T13:34:00Z</cp:lastPrinted>
  <dcterms:created xsi:type="dcterms:W3CDTF">2017-11-07T16:58:00Z</dcterms:created>
  <dcterms:modified xsi:type="dcterms:W3CDTF">2017-11-08T14:48:00Z</dcterms:modified>
</cp:coreProperties>
</file>