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1AD04" w14:textId="0ED0CDA9" w:rsidR="008467D5" w:rsidRPr="00241F40" w:rsidRDefault="00241F40" w:rsidP="00013360">
      <w:pPr>
        <w:tabs>
          <w:tab w:val="left" w:pos="-1440"/>
          <w:tab w:val="left" w:pos="-720"/>
          <w:tab w:val="left" w:pos="1"/>
          <w:tab w:val="right" w:pos="9360"/>
        </w:tabs>
        <w:jc w:val="both"/>
        <w:rPr>
          <w:rFonts w:ascii="Arial" w:hAnsi="Arial"/>
          <w:sz w:val="24"/>
        </w:rPr>
      </w:pPr>
      <w:r w:rsidRPr="00241F40">
        <w:rPr>
          <w:rFonts w:ascii="Arial" w:hAnsi="Arial"/>
          <w:b/>
          <w:noProof/>
          <w:sz w:val="24"/>
          <w:lang w:val="en-US"/>
        </w:rPr>
        <w:drawing>
          <wp:inline distT="0" distB="0" distL="0" distR="0" wp14:anchorId="7B6E7288" wp14:editId="572CB6B4">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345E8DD" w14:textId="77777777" w:rsidR="00856D9F" w:rsidRPr="00241F40" w:rsidRDefault="00856D9F" w:rsidP="008467D5">
      <w:pPr>
        <w:pBdr>
          <w:bottom w:val="single" w:sz="18" w:space="1" w:color="auto"/>
        </w:pBdr>
        <w:tabs>
          <w:tab w:val="left" w:pos="-1440"/>
          <w:tab w:val="left" w:pos="-720"/>
          <w:tab w:val="left" w:pos="1"/>
        </w:tabs>
        <w:jc w:val="both"/>
        <w:rPr>
          <w:rFonts w:ascii="Arial" w:hAnsi="Arial"/>
          <w:b/>
          <w:sz w:val="24"/>
        </w:rPr>
      </w:pPr>
    </w:p>
    <w:p w14:paraId="0C0343B9" w14:textId="1DBE00A2" w:rsidR="00D75295" w:rsidRPr="00241F40" w:rsidRDefault="00C04EDA" w:rsidP="005831FD">
      <w:pPr>
        <w:pStyle w:val="ProductNumber"/>
        <w:outlineLvl w:val="0"/>
      </w:pPr>
      <w:r>
        <w:t>9B17M176</w:t>
      </w:r>
    </w:p>
    <w:p w14:paraId="7449D716" w14:textId="77777777" w:rsidR="00D75295" w:rsidRPr="00241F40" w:rsidRDefault="00D75295" w:rsidP="00D75295">
      <w:pPr>
        <w:jc w:val="right"/>
        <w:rPr>
          <w:rFonts w:ascii="Arial" w:hAnsi="Arial"/>
          <w:b/>
          <w:sz w:val="28"/>
          <w:szCs w:val="28"/>
        </w:rPr>
      </w:pPr>
    </w:p>
    <w:p w14:paraId="4FCD60C0" w14:textId="77777777" w:rsidR="00866F6D" w:rsidRPr="00241F40" w:rsidRDefault="00866F6D" w:rsidP="00D75295">
      <w:pPr>
        <w:jc w:val="right"/>
        <w:rPr>
          <w:rFonts w:ascii="Arial" w:hAnsi="Arial"/>
          <w:b/>
          <w:sz w:val="28"/>
          <w:szCs w:val="28"/>
        </w:rPr>
      </w:pPr>
    </w:p>
    <w:p w14:paraId="15058609" w14:textId="0A754180" w:rsidR="00013360" w:rsidRPr="00241F40" w:rsidRDefault="00C12740" w:rsidP="00013360">
      <w:pPr>
        <w:pStyle w:val="CaseTitle"/>
        <w:spacing w:after="0" w:line="240" w:lineRule="auto"/>
      </w:pPr>
      <w:r w:rsidRPr="00241F40">
        <w:t>S</w:t>
      </w:r>
      <w:r w:rsidR="00B27DE9" w:rsidRPr="00241F40">
        <w:t>olubles instantaneos c.a.</w:t>
      </w:r>
      <w:r w:rsidR="00D16F06" w:rsidRPr="00241F40">
        <w:t xml:space="preserve">: </w:t>
      </w:r>
      <w:r w:rsidRPr="00241F40">
        <w:t>A F</w:t>
      </w:r>
      <w:bookmarkStart w:id="0" w:name="_GoBack"/>
      <w:bookmarkEnd w:id="0"/>
      <w:r w:rsidRPr="00241F40">
        <w:t>AMILY HERITAGE, LOOKING TO THE FUTURE</w:t>
      </w:r>
    </w:p>
    <w:p w14:paraId="0FF3CA69" w14:textId="77777777" w:rsidR="00013360" w:rsidRPr="00241F40" w:rsidRDefault="00013360" w:rsidP="00013360">
      <w:pPr>
        <w:pStyle w:val="CaseTitle"/>
        <w:spacing w:after="0" w:line="240" w:lineRule="auto"/>
        <w:rPr>
          <w:sz w:val="20"/>
          <w:szCs w:val="20"/>
        </w:rPr>
      </w:pPr>
    </w:p>
    <w:p w14:paraId="16A8C808" w14:textId="77777777" w:rsidR="00CA3976" w:rsidRPr="00241F40" w:rsidRDefault="00CA3976" w:rsidP="00013360">
      <w:pPr>
        <w:pStyle w:val="CaseTitle"/>
        <w:spacing w:after="0" w:line="240" w:lineRule="auto"/>
        <w:rPr>
          <w:sz w:val="20"/>
          <w:szCs w:val="20"/>
        </w:rPr>
      </w:pPr>
    </w:p>
    <w:p w14:paraId="640EA2FC" w14:textId="77777777" w:rsidR="00013360" w:rsidRPr="00241F40" w:rsidRDefault="00013360" w:rsidP="00013360">
      <w:pPr>
        <w:pStyle w:val="CaseTitle"/>
        <w:spacing w:after="0" w:line="240" w:lineRule="auto"/>
        <w:rPr>
          <w:sz w:val="20"/>
          <w:szCs w:val="20"/>
        </w:rPr>
      </w:pPr>
    </w:p>
    <w:p w14:paraId="208F93B6" w14:textId="77777777" w:rsidR="00013360" w:rsidRPr="00241F40" w:rsidRDefault="00C12740" w:rsidP="00104567">
      <w:pPr>
        <w:pStyle w:val="StyleCopyrightStatementAfter0ptBottomSinglesolidline1"/>
      </w:pPr>
      <w:r w:rsidRPr="00241F40">
        <w:t xml:space="preserve">Angélica Sánchez-Riofrío, Nathaniel C. Lupton, and Teresa Larreta-Mendoza </w:t>
      </w:r>
      <w:r w:rsidR="007E5921" w:rsidRPr="00241F40">
        <w:t>wrote this case sol</w:t>
      </w:r>
      <w:r w:rsidR="00D75295" w:rsidRPr="00241F40">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3F2271C0" w14:textId="77777777" w:rsidR="00013360" w:rsidRPr="00241F40" w:rsidRDefault="00013360" w:rsidP="00104567">
      <w:pPr>
        <w:pStyle w:val="StyleCopyrightStatementAfter0ptBottomSinglesolidline1"/>
      </w:pPr>
    </w:p>
    <w:p w14:paraId="3CEFDE51" w14:textId="6B707ABD" w:rsidR="00241F40" w:rsidRPr="0047017F" w:rsidRDefault="00241F40" w:rsidP="009930D7">
      <w:pPr>
        <w:pStyle w:val="StyleStyleCopyrightStatementAfter0ptBottomSinglesolid"/>
      </w:pPr>
      <w:r w:rsidRPr="0047017F">
        <w:t>This publication may not be transmitted, photocopied, digitized</w:t>
      </w:r>
      <w:r w:rsidR="009930D7">
        <w:t>,</w:t>
      </w:r>
      <w:r w:rsidRPr="0047017F">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5930A330" w14:textId="77777777" w:rsidR="00241F40" w:rsidRPr="0047017F" w:rsidRDefault="00241F40" w:rsidP="009930D7">
      <w:pPr>
        <w:pStyle w:val="StyleStyleCopyrightStatementAfter0ptBottomSinglesolid"/>
      </w:pPr>
    </w:p>
    <w:p w14:paraId="1B78445A" w14:textId="74E19868" w:rsidR="003B7EF2" w:rsidRPr="00241F40" w:rsidRDefault="00241F40" w:rsidP="00241F40">
      <w:pPr>
        <w:pStyle w:val="StyleStyleCopyrightStatementAfter0ptBottomSinglesolid"/>
      </w:pPr>
      <w:r w:rsidRPr="0047017F">
        <w:t xml:space="preserve">Copyright © 2017, </w:t>
      </w:r>
      <w:r w:rsidRPr="0047017F">
        <w:rPr>
          <w:lang w:val="en-CA"/>
        </w:rPr>
        <w:t>Richard Ivey School of Business Foundation</w:t>
      </w:r>
      <w:r w:rsidR="003B7EF2" w:rsidRPr="00241F40">
        <w:tab/>
        <w:t xml:space="preserve">Version: </w:t>
      </w:r>
      <w:r w:rsidR="00361C8E" w:rsidRPr="00241F40">
        <w:t>201</w:t>
      </w:r>
      <w:r w:rsidR="007F51FC" w:rsidRPr="00241F40">
        <w:t>7</w:t>
      </w:r>
      <w:r w:rsidR="00361C8E" w:rsidRPr="00241F40">
        <w:t>-</w:t>
      </w:r>
      <w:r w:rsidR="009825CC">
        <w:t>11</w:t>
      </w:r>
      <w:r w:rsidRPr="00241F40">
        <w:t>-</w:t>
      </w:r>
      <w:r w:rsidR="00E8550E">
        <w:t>28</w:t>
      </w:r>
    </w:p>
    <w:p w14:paraId="6FE30177" w14:textId="77777777" w:rsidR="003B7EF2" w:rsidRPr="00241F40" w:rsidRDefault="003B7EF2" w:rsidP="00104567">
      <w:pPr>
        <w:pStyle w:val="StyleCopyrightStatementAfter0ptBottomSinglesolidline1"/>
        <w:rPr>
          <w:rFonts w:ascii="Times New Roman" w:hAnsi="Times New Roman"/>
          <w:sz w:val="20"/>
        </w:rPr>
      </w:pPr>
    </w:p>
    <w:p w14:paraId="72BC2B16" w14:textId="77777777" w:rsidR="003B7EF2" w:rsidRPr="00241F40" w:rsidRDefault="003B7EF2" w:rsidP="006B7F7A">
      <w:pPr>
        <w:pStyle w:val="BodyTextMain"/>
      </w:pPr>
    </w:p>
    <w:p w14:paraId="5963EA1F" w14:textId="7DA03E85" w:rsidR="0007038F" w:rsidRPr="00241F40" w:rsidRDefault="00C12740" w:rsidP="00C12740">
      <w:pPr>
        <w:pStyle w:val="BodyTextMain"/>
        <w:rPr>
          <w:spacing w:val="-2"/>
          <w:kern w:val="22"/>
        </w:rPr>
      </w:pPr>
      <w:r w:rsidRPr="00241F40">
        <w:rPr>
          <w:spacing w:val="-2"/>
          <w:kern w:val="22"/>
        </w:rPr>
        <w:t xml:space="preserve">In July 2017, Jorge Salcedo-Benitez was reflecting on his first decade as president of Solubles </w:t>
      </w:r>
      <w:r w:rsidR="00241F40" w:rsidRPr="00241F40">
        <w:rPr>
          <w:spacing w:val="-2"/>
          <w:kern w:val="22"/>
        </w:rPr>
        <w:t>Instantaneos</w:t>
      </w:r>
      <w:r w:rsidRPr="00241F40">
        <w:rPr>
          <w:spacing w:val="-2"/>
          <w:kern w:val="22"/>
        </w:rPr>
        <w:t xml:space="preserve"> C.A. (SICA). Under his leadership, SICA had retained ownership of two leading brands of instant coffee in Ecuador: Don Café and Café Oro. </w:t>
      </w:r>
      <w:r w:rsidR="00E8550E">
        <w:rPr>
          <w:spacing w:val="-2"/>
          <w:kern w:val="22"/>
        </w:rPr>
        <w:t>At the time</w:t>
      </w:r>
      <w:r w:rsidRPr="00241F40">
        <w:rPr>
          <w:spacing w:val="-2"/>
          <w:kern w:val="22"/>
        </w:rPr>
        <w:t xml:space="preserve">, business was stable, but as his descendants prepared to take the helm, Salcedo-Benitez wondered whether the company was still headed in the right direction. </w:t>
      </w:r>
    </w:p>
    <w:p w14:paraId="14046267" w14:textId="77777777" w:rsidR="0007038F" w:rsidRPr="00241F40" w:rsidRDefault="0007038F" w:rsidP="00C12740">
      <w:pPr>
        <w:pStyle w:val="BodyTextMain"/>
      </w:pPr>
    </w:p>
    <w:p w14:paraId="073FC750" w14:textId="1C62282B" w:rsidR="0007038F" w:rsidRPr="00241F40" w:rsidRDefault="00C12740" w:rsidP="00C12740">
      <w:pPr>
        <w:pStyle w:val="BodyTextMain"/>
      </w:pPr>
      <w:r w:rsidRPr="00241F40">
        <w:t xml:space="preserve">Giants like Nestlé dominated the markets elsewhere, in part by consolidating small family-owned operations such as his own. At the same time, consumer habits were changing while SICA’s brands remained a constant. The average consumer in affluent markets had come to exclusively identify </w:t>
      </w:r>
      <w:r w:rsidRPr="00241F40">
        <w:rPr>
          <w:i/>
        </w:rPr>
        <w:t>Arabica</w:t>
      </w:r>
      <w:r w:rsidRPr="00241F40">
        <w:t xml:space="preserve"> as </w:t>
      </w:r>
      <w:r w:rsidR="0007038F" w:rsidRPr="00241F40">
        <w:t>“</w:t>
      </w:r>
      <w:r w:rsidRPr="00241F40">
        <w:t>good</w:t>
      </w:r>
      <w:r w:rsidR="0007038F" w:rsidRPr="00241F40">
        <w:t>”</w:t>
      </w:r>
      <w:r w:rsidRPr="00241F40">
        <w:t xml:space="preserve"> coffee, which they consumed from the many neighbo</w:t>
      </w:r>
      <w:r w:rsidR="00626985" w:rsidRPr="00241F40">
        <w:t>u</w:t>
      </w:r>
      <w:r w:rsidRPr="00241F40">
        <w:t>rhood cafés a</w:t>
      </w:r>
      <w:r w:rsidR="00F16EEC">
        <w:t>nd outlets of global giants such as</w:t>
      </w:r>
      <w:r w:rsidRPr="00241F40">
        <w:t xml:space="preserve"> Starbucks. SICA still relied on the bolder, richer, and higher caffeine </w:t>
      </w:r>
      <w:r w:rsidRPr="00241F40">
        <w:rPr>
          <w:i/>
        </w:rPr>
        <w:t>Robusta</w:t>
      </w:r>
      <w:r w:rsidR="00626985" w:rsidRPr="00241F40">
        <w:t>,</w:t>
      </w:r>
      <w:r w:rsidRPr="00241F40">
        <w:t xml:space="preserve"> and </w:t>
      </w:r>
      <w:r w:rsidR="00E8550E">
        <w:t>generating</w:t>
      </w:r>
      <w:r w:rsidRPr="00241F40">
        <w:t xml:space="preserve"> time to spend with family was the value-added concept </w:t>
      </w:r>
      <w:r w:rsidR="00626985" w:rsidRPr="00241F40">
        <w:t xml:space="preserve">that </w:t>
      </w:r>
      <w:r w:rsidRPr="00241F40">
        <w:t xml:space="preserve">had driven the </w:t>
      </w:r>
      <w:r w:rsidR="00CA4B9E" w:rsidRPr="00241F40">
        <w:t>brand</w:t>
      </w:r>
      <w:r w:rsidRPr="00241F40">
        <w:t xml:space="preserve">’s success. </w:t>
      </w:r>
    </w:p>
    <w:p w14:paraId="5D6B6C7A" w14:textId="77777777" w:rsidR="0007038F" w:rsidRPr="00241F40" w:rsidRDefault="0007038F" w:rsidP="00C12740">
      <w:pPr>
        <w:pStyle w:val="BodyTextMain"/>
      </w:pPr>
    </w:p>
    <w:p w14:paraId="37CDEABF" w14:textId="7CABBA22" w:rsidR="00C12740" w:rsidRPr="00241F40" w:rsidRDefault="00C12740" w:rsidP="00C12740">
      <w:pPr>
        <w:pStyle w:val="BodyTextMain"/>
      </w:pPr>
      <w:r w:rsidRPr="00241F40">
        <w:t xml:space="preserve">Salcedo-Benitez wondered whether it was time to seek new markets or develop new products, and how to update the brand image. Yet he was hesitant to make large strategic moves while his sons were still </w:t>
      </w:r>
      <w:r w:rsidR="00626985" w:rsidRPr="00241F40">
        <w:t xml:space="preserve">in the process of </w:t>
      </w:r>
      <w:r w:rsidRPr="00241F40">
        <w:t>preparing to take the helm.</w:t>
      </w:r>
    </w:p>
    <w:p w14:paraId="71B36FAF" w14:textId="77777777" w:rsidR="00C12740" w:rsidRPr="00241F40" w:rsidRDefault="00C12740" w:rsidP="00C12740">
      <w:pPr>
        <w:pStyle w:val="BodyTextMain"/>
      </w:pPr>
    </w:p>
    <w:p w14:paraId="0BD085A9" w14:textId="77777777" w:rsidR="00C12740" w:rsidRPr="00241F40" w:rsidRDefault="00C12740" w:rsidP="00C12740">
      <w:pPr>
        <w:pStyle w:val="BodyTextMain"/>
      </w:pPr>
    </w:p>
    <w:p w14:paraId="59A46C40" w14:textId="77777777" w:rsidR="00C12740" w:rsidRPr="00241F40" w:rsidRDefault="00C12740" w:rsidP="005831FD">
      <w:pPr>
        <w:pStyle w:val="Casehead1"/>
        <w:outlineLvl w:val="0"/>
      </w:pPr>
      <w:r w:rsidRPr="00241F40">
        <w:t>SICA AND THE ECUADORIAN COFFEE INDUSTRY</w:t>
      </w:r>
    </w:p>
    <w:p w14:paraId="13D9B483" w14:textId="77777777" w:rsidR="00C12740" w:rsidRPr="00241F40" w:rsidRDefault="00C12740" w:rsidP="00C12740">
      <w:pPr>
        <w:pStyle w:val="BodyTextMain"/>
      </w:pPr>
    </w:p>
    <w:p w14:paraId="21EEB03A" w14:textId="77777777" w:rsidR="00C12740" w:rsidRPr="00241F40" w:rsidRDefault="00C12740" w:rsidP="005831FD">
      <w:pPr>
        <w:pStyle w:val="Casehead2"/>
        <w:outlineLvl w:val="0"/>
      </w:pPr>
      <w:r w:rsidRPr="00241F40">
        <w:t>The Ecuadorian Coffee Tradition</w:t>
      </w:r>
    </w:p>
    <w:p w14:paraId="5CEB621B" w14:textId="77777777" w:rsidR="00C12740" w:rsidRPr="00241F40" w:rsidRDefault="00C12740" w:rsidP="00C12740">
      <w:pPr>
        <w:pStyle w:val="BodyTextMain"/>
      </w:pPr>
    </w:p>
    <w:p w14:paraId="4D1F991F" w14:textId="31E393C8" w:rsidR="00C12740" w:rsidRPr="00241F40" w:rsidRDefault="00C12740" w:rsidP="0004214C">
      <w:pPr>
        <w:pStyle w:val="BodyTextMain"/>
      </w:pPr>
      <w:r w:rsidRPr="00241F40">
        <w:t>Six decades ago, a traditional Ecuadorian family would gather together at 7 p</w:t>
      </w:r>
      <w:r w:rsidR="00486D67" w:rsidRPr="00241F40">
        <w:t>.</w:t>
      </w:r>
      <w:r w:rsidRPr="00241F40">
        <w:t>m</w:t>
      </w:r>
      <w:r w:rsidR="00486D67" w:rsidRPr="00241F40">
        <w:t>.</w:t>
      </w:r>
      <w:r w:rsidRPr="00241F40">
        <w:t xml:space="preserve"> over a cup of coffee. By modern standards, making coffee </w:t>
      </w:r>
      <w:r w:rsidR="00486D67" w:rsidRPr="00241F40">
        <w:t xml:space="preserve">then </w:t>
      </w:r>
      <w:r w:rsidRPr="00241F40">
        <w:t>was a laborious task, taking about 45 minutes. The eldest son in the household would go to the nearest street corner to buy coffee, where beans could often be seen drying outdoors, under the sun. The process of preparing the coffee would begin with peeling the beans using a mill. Then, the</w:t>
      </w:r>
      <w:r w:rsidR="00A86370" w:rsidRPr="00241F40">
        <w:t xml:space="preserve"> beans</w:t>
      </w:r>
      <w:r w:rsidRPr="00241F40">
        <w:t xml:space="preserve"> were roasted in a </w:t>
      </w:r>
      <w:r w:rsidRPr="00241F40">
        <w:rPr>
          <w:i/>
        </w:rPr>
        <w:t>paila</w:t>
      </w:r>
      <w:r w:rsidRPr="00241F40">
        <w:t xml:space="preserve"> (large skillet) until viscous beads of </w:t>
      </w:r>
      <w:r w:rsidR="00486D67" w:rsidRPr="00241F40">
        <w:t>“</w:t>
      </w:r>
      <w:r w:rsidRPr="00241F40">
        <w:t>sweat</w:t>
      </w:r>
      <w:r w:rsidR="00486D67" w:rsidRPr="00241F40">
        <w:t>”</w:t>
      </w:r>
      <w:r w:rsidRPr="00241F40">
        <w:t xml:space="preserve"> appeared. The coffee beans were then cooled and ground to the desired consistency. When the kettle started its whistling, it was removed from the flame. The ground coffee was filtered to remove any remaining skin, large grains</w:t>
      </w:r>
      <w:r w:rsidR="00486D67" w:rsidRPr="00241F40">
        <w:t>,</w:t>
      </w:r>
      <w:r w:rsidRPr="00241F40">
        <w:t xml:space="preserve"> or foreign materials</w:t>
      </w:r>
      <w:r w:rsidR="00486D67" w:rsidRPr="00241F40">
        <w:t>,</w:t>
      </w:r>
      <w:r w:rsidRPr="00241F40">
        <w:t xml:space="preserve"> and the boiling water was finally added.</w:t>
      </w:r>
    </w:p>
    <w:p w14:paraId="152BF70A" w14:textId="71D4023B" w:rsidR="00C12740" w:rsidRPr="00241F40" w:rsidRDefault="00C12740" w:rsidP="00C12740">
      <w:pPr>
        <w:pStyle w:val="BodyTextMain"/>
      </w:pPr>
      <w:r w:rsidRPr="00241F40">
        <w:lastRenderedPageBreak/>
        <w:t xml:space="preserve">During this period, instant coffee was a complete unknown in Ecuador, but SICA changed that when it entered the market. </w:t>
      </w:r>
      <w:r w:rsidR="00443C25">
        <w:t>It acquired m</w:t>
      </w:r>
      <w:r w:rsidRPr="00241F40">
        <w:t>achinery from Denmark to automate the roasting, grinding</w:t>
      </w:r>
      <w:r w:rsidR="00486D67" w:rsidRPr="00241F40">
        <w:t>,</w:t>
      </w:r>
      <w:r w:rsidRPr="00241F40">
        <w:t xml:space="preserve"> and brewing of beans. SICA added the additional step of dehydrating and packaging the coffee for sale in shops and supermarkets. Consumers could then purchase the dehydrated, previously brewed coffee and simply add boiling water, saving them time and allowing them to consume coffee more often.</w:t>
      </w:r>
    </w:p>
    <w:p w14:paraId="52B0EEC8" w14:textId="77777777" w:rsidR="00C12740" w:rsidRPr="00241F40" w:rsidRDefault="00C12740" w:rsidP="00C12740">
      <w:pPr>
        <w:pStyle w:val="BodyTextMain"/>
      </w:pPr>
    </w:p>
    <w:p w14:paraId="68C558AD" w14:textId="77777777" w:rsidR="00C12740" w:rsidRPr="00241F40" w:rsidRDefault="00C12740" w:rsidP="00C12740">
      <w:pPr>
        <w:pStyle w:val="BodyTextMain"/>
      </w:pPr>
    </w:p>
    <w:p w14:paraId="75E7E5DF" w14:textId="77777777" w:rsidR="00C12740" w:rsidRPr="00241F40" w:rsidRDefault="00C12740" w:rsidP="005831FD">
      <w:pPr>
        <w:pStyle w:val="Casehead2"/>
        <w:outlineLvl w:val="0"/>
      </w:pPr>
      <w:r w:rsidRPr="00241F40">
        <w:t>Founding of SICA</w:t>
      </w:r>
    </w:p>
    <w:p w14:paraId="5C6A93F8" w14:textId="77777777" w:rsidR="00C12740" w:rsidRPr="00241F40" w:rsidRDefault="00C12740" w:rsidP="00C12740">
      <w:pPr>
        <w:pStyle w:val="BodyTextMain"/>
      </w:pPr>
    </w:p>
    <w:p w14:paraId="7FBB89F3" w14:textId="276646BC" w:rsidR="00C12740" w:rsidRPr="00241F40" w:rsidRDefault="00486D67" w:rsidP="00C12740">
      <w:pPr>
        <w:pStyle w:val="BodyTextMain"/>
      </w:pPr>
      <w:r w:rsidRPr="00241F40">
        <w:t>SICA</w:t>
      </w:r>
      <w:r w:rsidR="00C12740" w:rsidRPr="00241F40">
        <w:t xml:space="preserve"> was a family business </w:t>
      </w:r>
      <w:r w:rsidRPr="00241F40">
        <w:t xml:space="preserve">that </w:t>
      </w:r>
      <w:r w:rsidR="00C12740" w:rsidRPr="00241F40">
        <w:t xml:space="preserve">had been managed by two generations: Jorge Salcedo-Salcedo and his son, Jorge Salcedo-Benitez. Starting in 1952, and prior to the founding of SICA in 1960, Salcedo-Salcedo was a cacao and coffee exporter. After the tragic loss of his brother and business partner in 1965, </w:t>
      </w:r>
      <w:r w:rsidR="001573D4" w:rsidRPr="00241F40">
        <w:t xml:space="preserve">Salcedo-Salcedo </w:t>
      </w:r>
      <w:r w:rsidR="00C12740" w:rsidRPr="00241F40">
        <w:t xml:space="preserve">continued operating and expanding the company on his own. The idea for an instant coffee company started when </w:t>
      </w:r>
      <w:r w:rsidR="001573D4" w:rsidRPr="00241F40">
        <w:t>he</w:t>
      </w:r>
      <w:r w:rsidR="00C12740" w:rsidRPr="00241F40">
        <w:t xml:space="preserve"> visited Denmark, where he was introduced to dehydration technology. Immediately, he recognized an opportunity to use this technology in Ecuador, leveraging the country’s strong agricultural sector. With an initial investment from his savings and </w:t>
      </w:r>
      <w:r w:rsidR="00443C25">
        <w:t xml:space="preserve">from </w:t>
      </w:r>
      <w:r w:rsidR="00C12740" w:rsidRPr="00241F40">
        <w:t>bank loans, he purchased the machinery and installed it in a factory in Guayaquil, Ecuador, where it remain</w:t>
      </w:r>
      <w:r w:rsidRPr="00241F40">
        <w:t>ed</w:t>
      </w:r>
      <w:r w:rsidR="00C12740" w:rsidRPr="00241F40">
        <w:t xml:space="preserve"> in operation.</w:t>
      </w:r>
    </w:p>
    <w:p w14:paraId="58A82EF4" w14:textId="77777777" w:rsidR="00C12740" w:rsidRPr="00241F40" w:rsidRDefault="00C12740" w:rsidP="00C12740">
      <w:pPr>
        <w:pStyle w:val="BodyTextMain"/>
      </w:pPr>
    </w:p>
    <w:p w14:paraId="471E3443" w14:textId="36128B5A" w:rsidR="00C12740" w:rsidRPr="004E3A43" w:rsidRDefault="00C12740" w:rsidP="00C12740">
      <w:pPr>
        <w:pStyle w:val="BodyTextMain"/>
        <w:rPr>
          <w:spacing w:val="-2"/>
          <w:kern w:val="22"/>
        </w:rPr>
      </w:pPr>
      <w:r w:rsidRPr="004E3A43">
        <w:rPr>
          <w:spacing w:val="-2"/>
          <w:kern w:val="22"/>
        </w:rPr>
        <w:t xml:space="preserve">At its founding, the factory was located on a hill approximately one </w:t>
      </w:r>
      <w:r w:rsidR="00241F40" w:rsidRPr="004E3A43">
        <w:rPr>
          <w:spacing w:val="-2"/>
          <w:kern w:val="22"/>
        </w:rPr>
        <w:t>kilometre</w:t>
      </w:r>
      <w:r w:rsidRPr="004E3A43">
        <w:rPr>
          <w:spacing w:val="-2"/>
          <w:kern w:val="22"/>
        </w:rPr>
        <w:t xml:space="preserve"> (0.6 miles) from the city. The city sprawled dramatically in all directions, so that </w:t>
      </w:r>
      <w:r w:rsidR="001573D4" w:rsidRPr="004E3A43">
        <w:rPr>
          <w:spacing w:val="-2"/>
          <w:kern w:val="22"/>
        </w:rPr>
        <w:t xml:space="preserve">by 2010, </w:t>
      </w:r>
      <w:r w:rsidRPr="004E3A43">
        <w:rPr>
          <w:spacing w:val="-2"/>
          <w:kern w:val="22"/>
        </w:rPr>
        <w:t>SICA was located in a combined business and residential area. It was not easy to adjust operations for an urban area,</w:t>
      </w:r>
      <w:r w:rsidR="000521D6" w:rsidRPr="004E3A43">
        <w:rPr>
          <w:spacing w:val="-2"/>
          <w:kern w:val="22"/>
        </w:rPr>
        <w:t xml:space="preserve"> but SICA managed to reduce and</w:t>
      </w:r>
      <w:r w:rsidRPr="004E3A43">
        <w:rPr>
          <w:spacing w:val="-2"/>
          <w:kern w:val="22"/>
        </w:rPr>
        <w:t xml:space="preserve"> process emissions to meet Guayaquil’s increasingly stringent environmental protection standards.</w:t>
      </w:r>
    </w:p>
    <w:p w14:paraId="6CC7BE36" w14:textId="77777777" w:rsidR="00C12740" w:rsidRPr="00241F40" w:rsidRDefault="00C12740" w:rsidP="00C12740">
      <w:pPr>
        <w:pStyle w:val="BodyTextMain"/>
      </w:pPr>
    </w:p>
    <w:p w14:paraId="45D90F95" w14:textId="77777777" w:rsidR="00C12740" w:rsidRPr="00241F40" w:rsidRDefault="00C12740" w:rsidP="00C12740">
      <w:pPr>
        <w:pStyle w:val="BodyTextMain"/>
      </w:pPr>
    </w:p>
    <w:p w14:paraId="3337AB9C" w14:textId="77777777" w:rsidR="00C12740" w:rsidRPr="00241F40" w:rsidRDefault="00C12740" w:rsidP="005831FD">
      <w:pPr>
        <w:pStyle w:val="Casehead2"/>
        <w:outlineLvl w:val="0"/>
      </w:pPr>
      <w:r w:rsidRPr="00241F40">
        <w:t>Technology and Innovation</w:t>
      </w:r>
    </w:p>
    <w:p w14:paraId="79BF4966" w14:textId="77777777" w:rsidR="00C12740" w:rsidRPr="00241F40" w:rsidRDefault="00C12740" w:rsidP="00C12740">
      <w:pPr>
        <w:pStyle w:val="BodyTextMain"/>
      </w:pPr>
    </w:p>
    <w:p w14:paraId="3A6FC411" w14:textId="143BA874" w:rsidR="00C12740" w:rsidRPr="00241F40" w:rsidRDefault="00C12740" w:rsidP="00C12740">
      <w:pPr>
        <w:pStyle w:val="BodyTextMain"/>
      </w:pPr>
      <w:r w:rsidRPr="00241F40">
        <w:t xml:space="preserve">In 1960, </w:t>
      </w:r>
      <w:r w:rsidR="001573D4" w:rsidRPr="00241F40">
        <w:t xml:space="preserve">SICA’s </w:t>
      </w:r>
      <w:r w:rsidRPr="00241F40">
        <w:t>mission was to produce</w:t>
      </w:r>
      <w:r w:rsidR="00D16F06" w:rsidRPr="00241F40">
        <w:t xml:space="preserve"> Ecuadorian</w:t>
      </w:r>
      <w:r w:rsidRPr="00241F40">
        <w:t xml:space="preserve"> instant coffee and export </w:t>
      </w:r>
      <w:r w:rsidR="00443C25">
        <w:t xml:space="preserve">it </w:t>
      </w:r>
      <w:r w:rsidRPr="00241F40">
        <w:t xml:space="preserve">to England. Innovation was the keystone of Salcedo-Salcedo’s plan. After importing machinery from Denmark in 1970, SICA became the first spray-dry factory producing instant coffee in the </w:t>
      </w:r>
      <w:r w:rsidR="005E641D">
        <w:t>W</w:t>
      </w:r>
      <w:r w:rsidRPr="00241F40">
        <w:t xml:space="preserve">estern </w:t>
      </w:r>
      <w:r w:rsidR="005E641D">
        <w:t>H</w:t>
      </w:r>
      <w:r w:rsidRPr="00241F40">
        <w:t>emisphere. The</w:t>
      </w:r>
      <w:r w:rsidR="00CF2BF2" w:rsidRPr="00241F40">
        <w:t xml:space="preserve"> compan</w:t>
      </w:r>
      <w:r w:rsidRPr="00241F40">
        <w:t xml:space="preserve">y later implemented additional machinery </w:t>
      </w:r>
      <w:r w:rsidR="00CF2BF2" w:rsidRPr="00241F40">
        <w:t xml:space="preserve">that </w:t>
      </w:r>
      <w:r w:rsidRPr="00241F40">
        <w:t xml:space="preserve">allowed </w:t>
      </w:r>
      <w:r w:rsidR="005E641D">
        <w:t>it</w:t>
      </w:r>
      <w:r w:rsidR="00BE05DB" w:rsidRPr="00241F40">
        <w:t xml:space="preserve"> </w:t>
      </w:r>
      <w:r w:rsidRPr="00241F40">
        <w:t xml:space="preserve">to produce instant coffee using less heat than the industry standard. </w:t>
      </w:r>
    </w:p>
    <w:p w14:paraId="6CC19D4F" w14:textId="77777777" w:rsidR="00C12740" w:rsidRPr="00241F40" w:rsidRDefault="00C12740" w:rsidP="00C12740">
      <w:pPr>
        <w:pStyle w:val="BodyTextMain"/>
      </w:pPr>
    </w:p>
    <w:p w14:paraId="5ABCD76F" w14:textId="4FBA25AC" w:rsidR="00C12740" w:rsidRPr="00241F40" w:rsidRDefault="00C12740" w:rsidP="00C12740">
      <w:pPr>
        <w:pStyle w:val="BodyTextMain"/>
      </w:pPr>
      <w:r w:rsidRPr="00241F40">
        <w:t>In 1970, Salcedo-Salcedo bought new machinery to create the first freeze</w:t>
      </w:r>
      <w:r w:rsidR="00626985" w:rsidRPr="00241F40">
        <w:t>-</w:t>
      </w:r>
      <w:r w:rsidRPr="00241F40">
        <w:t>dried instant coffee plant</w:t>
      </w:r>
      <w:r w:rsidR="00CA4B9E" w:rsidRPr="00241F40">
        <w:t xml:space="preserve"> in Ecuador</w:t>
      </w:r>
      <w:r w:rsidRPr="00241F40">
        <w:t>, and installed it alongside his existing machinery. Freeze-drying involved flash freezing the freshly brewed coffee and dehydrating it in a closed system. By exposing the frozen ground coffee to small amounts of heat (about 40° C</w:t>
      </w:r>
      <w:r w:rsidR="00A069CE" w:rsidRPr="00241F40">
        <w:t>elsius</w:t>
      </w:r>
      <w:r w:rsidRPr="00241F40">
        <w:t xml:space="preserve">) in a low-pressure chamber, water was removed through transduction. While </w:t>
      </w:r>
      <w:r w:rsidR="00BE05DB" w:rsidRPr="00241F40">
        <w:t xml:space="preserve">freeze-drying </w:t>
      </w:r>
      <w:r w:rsidRPr="00241F40">
        <w:t xml:space="preserve">was a more expensive process, </w:t>
      </w:r>
      <w:r w:rsidR="00BE05DB" w:rsidRPr="00241F40">
        <w:t xml:space="preserve">it resulted in </w:t>
      </w:r>
      <w:r w:rsidRPr="00241F40">
        <w:t>a product of superior flavo</w:t>
      </w:r>
      <w:r w:rsidR="00A069CE" w:rsidRPr="00241F40">
        <w:t>u</w:t>
      </w:r>
      <w:r w:rsidRPr="00241F40">
        <w:t xml:space="preserve">r and aroma. </w:t>
      </w:r>
    </w:p>
    <w:p w14:paraId="19A1A15B" w14:textId="77777777" w:rsidR="00C12740" w:rsidRPr="00241F40" w:rsidRDefault="00C12740" w:rsidP="00C12740">
      <w:pPr>
        <w:pStyle w:val="BodyTextMain"/>
      </w:pPr>
    </w:p>
    <w:p w14:paraId="68B7E657" w14:textId="77777777" w:rsidR="00C12740" w:rsidRPr="00241F40" w:rsidRDefault="00C12740" w:rsidP="00C12740">
      <w:pPr>
        <w:pStyle w:val="BodyTextMain"/>
      </w:pPr>
    </w:p>
    <w:p w14:paraId="720C7FFA" w14:textId="77777777" w:rsidR="00C12740" w:rsidRPr="00241F40" w:rsidRDefault="00C12740" w:rsidP="005831FD">
      <w:pPr>
        <w:pStyle w:val="Casehead2"/>
        <w:outlineLvl w:val="0"/>
      </w:pPr>
      <w:r w:rsidRPr="00241F40">
        <w:t>Market and Economic Policy Trends</w:t>
      </w:r>
    </w:p>
    <w:p w14:paraId="64969AFF" w14:textId="77777777" w:rsidR="00C12740" w:rsidRPr="00241F40" w:rsidRDefault="00C12740" w:rsidP="00C12740">
      <w:pPr>
        <w:pStyle w:val="BodyTextMain"/>
      </w:pPr>
    </w:p>
    <w:p w14:paraId="21D74A2A" w14:textId="6F8B81F2" w:rsidR="00C12740" w:rsidRPr="004E3A43" w:rsidRDefault="00C12740" w:rsidP="00C12740">
      <w:pPr>
        <w:pStyle w:val="BodyTextMain"/>
        <w:rPr>
          <w:spacing w:val="-4"/>
          <w:kern w:val="22"/>
        </w:rPr>
      </w:pPr>
      <w:r w:rsidRPr="004E3A43">
        <w:rPr>
          <w:spacing w:val="-4"/>
          <w:kern w:val="22"/>
        </w:rPr>
        <w:t>As a pioneer of instant coffee in Ecuador, SICA products were designated by the government of that time (ruled by Camilo Ponce from</w:t>
      </w:r>
      <w:r w:rsidR="00BE05DB" w:rsidRPr="004E3A43">
        <w:rPr>
          <w:spacing w:val="-4"/>
          <w:kern w:val="22"/>
        </w:rPr>
        <w:t xml:space="preserve"> </w:t>
      </w:r>
      <w:r w:rsidRPr="004E3A43">
        <w:rPr>
          <w:spacing w:val="-4"/>
          <w:kern w:val="22"/>
        </w:rPr>
        <w:t>1956</w:t>
      </w:r>
      <w:r w:rsidR="00BE05DB" w:rsidRPr="004E3A43">
        <w:rPr>
          <w:spacing w:val="-4"/>
          <w:kern w:val="22"/>
        </w:rPr>
        <w:t>–</w:t>
      </w:r>
      <w:r w:rsidRPr="004E3A43">
        <w:rPr>
          <w:spacing w:val="-4"/>
          <w:kern w:val="22"/>
        </w:rPr>
        <w:t xml:space="preserve">1960) as non-traditional. In the </w:t>
      </w:r>
      <w:r w:rsidRPr="004E3A43">
        <w:rPr>
          <w:i/>
          <w:spacing w:val="-4"/>
          <w:kern w:val="22"/>
        </w:rPr>
        <w:t>sucres</w:t>
      </w:r>
      <w:r w:rsidR="005E641D" w:rsidRPr="004E3A43">
        <w:rPr>
          <w:rStyle w:val="FootnoteReference"/>
          <w:spacing w:val="-4"/>
          <w:kern w:val="22"/>
        </w:rPr>
        <w:footnoteReference w:id="1"/>
      </w:r>
      <w:r w:rsidRPr="004E3A43">
        <w:rPr>
          <w:spacing w:val="-4"/>
          <w:kern w:val="22"/>
        </w:rPr>
        <w:t xml:space="preserve"> er</w:t>
      </w:r>
      <w:r w:rsidR="000662E8" w:rsidRPr="004E3A43">
        <w:rPr>
          <w:spacing w:val="-4"/>
          <w:kern w:val="22"/>
        </w:rPr>
        <w:t>a, the exchange r</w:t>
      </w:r>
      <w:r w:rsidR="000521D6" w:rsidRPr="004E3A43">
        <w:rPr>
          <w:spacing w:val="-4"/>
          <w:kern w:val="22"/>
        </w:rPr>
        <w:t xml:space="preserve">ate was </w:t>
      </w:r>
      <w:r w:rsidR="00951FDF" w:rsidRPr="004E3A43">
        <w:rPr>
          <w:spacing w:val="-4"/>
          <w:kern w:val="22"/>
        </w:rPr>
        <w:t>US</w:t>
      </w:r>
      <w:r w:rsidR="000521D6" w:rsidRPr="004E3A43">
        <w:rPr>
          <w:spacing w:val="-4"/>
          <w:kern w:val="22"/>
        </w:rPr>
        <w:t>$1</w:t>
      </w:r>
      <w:r w:rsidR="000662E8" w:rsidRPr="004E3A43">
        <w:rPr>
          <w:rStyle w:val="FootnoteReference"/>
          <w:spacing w:val="-4"/>
          <w:kern w:val="22"/>
        </w:rPr>
        <w:footnoteReference w:id="2"/>
      </w:r>
      <w:r w:rsidRPr="004E3A43">
        <w:rPr>
          <w:spacing w:val="-4"/>
          <w:kern w:val="22"/>
        </w:rPr>
        <w:t xml:space="preserve"> to </w:t>
      </w:r>
      <w:r w:rsidR="000521D6" w:rsidRPr="004E3A43">
        <w:rPr>
          <w:spacing w:val="-4"/>
          <w:kern w:val="22"/>
        </w:rPr>
        <w:t>14</w:t>
      </w:r>
      <w:r w:rsidRPr="004E3A43">
        <w:rPr>
          <w:spacing w:val="-4"/>
          <w:kern w:val="22"/>
        </w:rPr>
        <w:t xml:space="preserve"> sucres. When exporting non-traditional products, the Central Bank of Ecuador offered an exchange </w:t>
      </w:r>
      <w:r w:rsidR="000662E8" w:rsidRPr="004E3A43">
        <w:rPr>
          <w:spacing w:val="-4"/>
          <w:kern w:val="22"/>
        </w:rPr>
        <w:t xml:space="preserve">rate of </w:t>
      </w:r>
      <w:r w:rsidR="000521D6" w:rsidRPr="004E3A43">
        <w:rPr>
          <w:spacing w:val="-4"/>
          <w:kern w:val="22"/>
        </w:rPr>
        <w:t>15</w:t>
      </w:r>
      <w:r w:rsidR="000662E8" w:rsidRPr="004E3A43">
        <w:rPr>
          <w:spacing w:val="-4"/>
          <w:kern w:val="22"/>
        </w:rPr>
        <w:t xml:space="preserve"> sucres </w:t>
      </w:r>
      <w:r w:rsidR="005E641D" w:rsidRPr="004E3A43">
        <w:rPr>
          <w:spacing w:val="-4"/>
          <w:kern w:val="22"/>
        </w:rPr>
        <w:t>to the</w:t>
      </w:r>
      <w:r w:rsidR="000662E8" w:rsidRPr="004E3A43">
        <w:rPr>
          <w:spacing w:val="-4"/>
          <w:kern w:val="22"/>
        </w:rPr>
        <w:t xml:space="preserve"> U</w:t>
      </w:r>
      <w:r w:rsidR="00323F3F" w:rsidRPr="004E3A43">
        <w:rPr>
          <w:spacing w:val="-4"/>
          <w:kern w:val="22"/>
        </w:rPr>
        <w:t>.</w:t>
      </w:r>
      <w:r w:rsidR="000662E8" w:rsidRPr="004E3A43">
        <w:rPr>
          <w:spacing w:val="-4"/>
          <w:kern w:val="22"/>
        </w:rPr>
        <w:t>S</w:t>
      </w:r>
      <w:r w:rsidR="00323F3F" w:rsidRPr="004E3A43">
        <w:rPr>
          <w:spacing w:val="-4"/>
          <w:kern w:val="22"/>
        </w:rPr>
        <w:t>.</w:t>
      </w:r>
      <w:r w:rsidR="00DC7D41" w:rsidRPr="004E3A43">
        <w:rPr>
          <w:spacing w:val="-4"/>
          <w:kern w:val="22"/>
        </w:rPr>
        <w:t xml:space="preserve"> dollar</w:t>
      </w:r>
      <w:r w:rsidRPr="004E3A43">
        <w:rPr>
          <w:spacing w:val="-4"/>
          <w:kern w:val="22"/>
        </w:rPr>
        <w:t>, which resulted in an 8</w:t>
      </w:r>
      <w:r w:rsidR="000662E8" w:rsidRPr="004E3A43">
        <w:rPr>
          <w:spacing w:val="-4"/>
          <w:kern w:val="22"/>
        </w:rPr>
        <w:t xml:space="preserve"> </w:t>
      </w:r>
      <w:r w:rsidR="009A342C" w:rsidRPr="004E3A43">
        <w:rPr>
          <w:spacing w:val="-4"/>
          <w:kern w:val="22"/>
        </w:rPr>
        <w:t>per cent</w:t>
      </w:r>
      <w:r w:rsidRPr="004E3A43">
        <w:rPr>
          <w:spacing w:val="-4"/>
          <w:kern w:val="22"/>
        </w:rPr>
        <w:t xml:space="preserve"> incentive for the company to export</w:t>
      </w:r>
      <w:r w:rsidR="005E641D" w:rsidRPr="004E3A43">
        <w:rPr>
          <w:spacing w:val="-4"/>
          <w:kern w:val="22"/>
        </w:rPr>
        <w:t>.</w:t>
      </w:r>
      <w:r w:rsidR="007D2D99" w:rsidRPr="004E3A43">
        <w:rPr>
          <w:rStyle w:val="FootnoteReference"/>
          <w:spacing w:val="-4"/>
          <w:kern w:val="22"/>
        </w:rPr>
        <w:t xml:space="preserve"> </w:t>
      </w:r>
      <w:r w:rsidR="007D2D99" w:rsidRPr="004E3A43">
        <w:rPr>
          <w:rStyle w:val="FootnoteReference"/>
          <w:spacing w:val="-4"/>
          <w:kern w:val="22"/>
        </w:rPr>
        <w:footnoteReference w:id="3"/>
      </w:r>
      <w:r w:rsidRPr="004E3A43">
        <w:rPr>
          <w:spacing w:val="-4"/>
          <w:kern w:val="22"/>
        </w:rPr>
        <w:t xml:space="preserve"> </w:t>
      </w:r>
    </w:p>
    <w:p w14:paraId="5B45005A" w14:textId="56052636" w:rsidR="00C12740" w:rsidRPr="00241F40" w:rsidRDefault="00C12740" w:rsidP="00C12740">
      <w:pPr>
        <w:pStyle w:val="BodyTextMain"/>
      </w:pPr>
      <w:r w:rsidRPr="00241F40">
        <w:lastRenderedPageBreak/>
        <w:t>Introducing instant coffee to Ecuadorian families was initially the hardest part of the business. To promote instant coffee, the Salcedo family started by buying ad</w:t>
      </w:r>
      <w:r w:rsidR="005E641D">
        <w:t>vertisement</w:t>
      </w:r>
      <w:r w:rsidRPr="00241F40">
        <w:t xml:space="preserve">s on the radio and offering tastings in </w:t>
      </w:r>
      <w:r w:rsidR="005E641D">
        <w:t xml:space="preserve">the </w:t>
      </w:r>
      <w:r w:rsidRPr="00241F40">
        <w:t>crowded markets around Guayaquil. Gradually, increasingly busy consumers came to appreciate the benefits of instant</w:t>
      </w:r>
      <w:r w:rsidR="005E641D">
        <w:t xml:space="preserve"> coffee</w:t>
      </w:r>
      <w:r w:rsidRPr="00241F40">
        <w:t>.</w:t>
      </w:r>
    </w:p>
    <w:p w14:paraId="012B72E6" w14:textId="77777777" w:rsidR="00C12740" w:rsidRPr="00241F40" w:rsidRDefault="00C12740" w:rsidP="00C12740">
      <w:pPr>
        <w:pStyle w:val="BodyTextMain"/>
      </w:pPr>
    </w:p>
    <w:p w14:paraId="7AE39673" w14:textId="53BAF195" w:rsidR="00C12740" w:rsidRPr="00241F40" w:rsidRDefault="00C12740" w:rsidP="00C12740">
      <w:pPr>
        <w:pStyle w:val="BodyTextMain"/>
      </w:pPr>
      <w:r w:rsidRPr="00241F40">
        <w:t>Over the decades, the company faced challenging economic conditions. In 1985, the company suffered the effect</w:t>
      </w:r>
      <w:r w:rsidR="005E641D">
        <w:t>s</w:t>
      </w:r>
      <w:r w:rsidRPr="00241F40">
        <w:t xml:space="preserve"> of the Ecuadorian economic crisis and had to sell one of its most recognized brands (Sí Café) to its main competitor, El Café C.A. </w:t>
      </w:r>
      <w:r w:rsidR="00316577">
        <w:t xml:space="preserve">(El Café). </w:t>
      </w:r>
      <w:r w:rsidRPr="00241F40">
        <w:t xml:space="preserve">At the time, Si Café (a play on SICA) was associated with coffee </w:t>
      </w:r>
      <w:r w:rsidR="004C2FF4">
        <w:t>like</w:t>
      </w:r>
      <w:r w:rsidRPr="00241F40">
        <w:t xml:space="preserve"> Kleenex was </w:t>
      </w:r>
      <w:r w:rsidR="004C2FF4">
        <w:t xml:space="preserve">associated </w:t>
      </w:r>
      <w:r w:rsidRPr="00241F40">
        <w:t>with facial tissue. El Café planned to capture S</w:t>
      </w:r>
      <w:r w:rsidR="0004214C" w:rsidRPr="00241F40">
        <w:t>í</w:t>
      </w:r>
      <w:r w:rsidRPr="00241F40">
        <w:t xml:space="preserve"> Café customers and then eliminate the brand, but encountered fierce brand</w:t>
      </w:r>
      <w:r w:rsidR="00316577">
        <w:t xml:space="preserve"> </w:t>
      </w:r>
      <w:r w:rsidRPr="00241F40">
        <w:t xml:space="preserve">loyalty. For this reason, El Café </w:t>
      </w:r>
      <w:r w:rsidR="00DC7D41" w:rsidRPr="00241F40">
        <w:t>continued to sell</w:t>
      </w:r>
      <w:r w:rsidRPr="00241F40">
        <w:t xml:space="preserve"> both S</w:t>
      </w:r>
      <w:r w:rsidR="0004214C" w:rsidRPr="00241F40">
        <w:t>í</w:t>
      </w:r>
      <w:r w:rsidRPr="00241F40">
        <w:t xml:space="preserve"> Café and its direct rival</w:t>
      </w:r>
      <w:r w:rsidR="00DC7D41" w:rsidRPr="00241F40">
        <w:t>,</w:t>
      </w:r>
      <w:r w:rsidRPr="00241F40">
        <w:t xml:space="preserve"> Café Pres 2, often side by side on market shelves, for the same price.</w:t>
      </w:r>
    </w:p>
    <w:p w14:paraId="080FC320" w14:textId="77777777" w:rsidR="00C12740" w:rsidRPr="00241F40" w:rsidRDefault="00C12740" w:rsidP="00C12740">
      <w:pPr>
        <w:pStyle w:val="BodyTextMain"/>
      </w:pPr>
    </w:p>
    <w:p w14:paraId="5FBD5FB1" w14:textId="2702C3D1" w:rsidR="00C12740" w:rsidRPr="00241F40" w:rsidRDefault="00C12740" w:rsidP="00C12740">
      <w:pPr>
        <w:pStyle w:val="BodyTextMain"/>
      </w:pPr>
      <w:r w:rsidRPr="00241F40">
        <w:t>Salcedo-Benitez, SICA president since 2006, was convinced that “once a person tastes SICA coffee, they will find it difficult to dislike</w:t>
      </w:r>
      <w:r w:rsidR="0004214C" w:rsidRPr="00241F40">
        <w:t>.</w:t>
      </w:r>
      <w:r w:rsidRPr="00241F40">
        <w:t>” The strategic move for SICA was international recognition for the Don Café and Café Oro brands. Salcedo</w:t>
      </w:r>
      <w:r w:rsidR="00DC7D41" w:rsidRPr="00241F40">
        <w:t>-Benitez</w:t>
      </w:r>
      <w:r w:rsidRPr="00241F40">
        <w:t xml:space="preserve"> believed this was possible due to SICA’s dominance in Ecuador,</w:t>
      </w:r>
      <w:r w:rsidR="000521D6" w:rsidRPr="00241F40">
        <w:t xml:space="preserve"> with annual sales of around</w:t>
      </w:r>
      <w:r w:rsidRPr="00241F40">
        <w:t xml:space="preserve"> </w:t>
      </w:r>
      <w:r w:rsidR="00DC7D41" w:rsidRPr="00241F40">
        <w:t>$</w:t>
      </w:r>
      <w:r w:rsidRPr="00241F40">
        <w:t>26 million (see Exhibit 1). However, international traders still preferred to acquire un</w:t>
      </w:r>
      <w:r w:rsidR="00AA1B79">
        <w:t>-</w:t>
      </w:r>
      <w:r w:rsidRPr="00241F40">
        <w:t xml:space="preserve">branded SICA coffee in bulk, which </w:t>
      </w:r>
      <w:r w:rsidR="00DC7D41" w:rsidRPr="00241F40">
        <w:t xml:space="preserve">was </w:t>
      </w:r>
      <w:r w:rsidRPr="00241F40">
        <w:t>sold in multiples of 25 k</w:t>
      </w:r>
      <w:r w:rsidR="00DC7D41" w:rsidRPr="00241F40">
        <w:t>ilograms (k</w:t>
      </w:r>
      <w:r w:rsidRPr="00241F40">
        <w:t>g</w:t>
      </w:r>
      <w:r w:rsidR="00DC7D41" w:rsidRPr="00241F40">
        <w:t>)</w:t>
      </w:r>
      <w:r w:rsidRPr="00241F40">
        <w:t xml:space="preserve"> dried, or 220 kg frozen. By trying to garner attention for SICA’s brands, SICA placed </w:t>
      </w:r>
      <w:r w:rsidR="008E5EEF">
        <w:t xml:space="preserve">itself </w:t>
      </w:r>
      <w:r w:rsidRPr="00241F40">
        <w:t xml:space="preserve">in direct </w:t>
      </w:r>
      <w:r w:rsidR="0099796A">
        <w:t>opposition</w:t>
      </w:r>
      <w:r w:rsidRPr="00241F40">
        <w:t xml:space="preserve"> </w:t>
      </w:r>
      <w:r w:rsidR="0099796A">
        <w:t>to</w:t>
      </w:r>
      <w:r w:rsidRPr="00241F40">
        <w:t xml:space="preserve"> its large customers, who accounted for almost a third of total sales. </w:t>
      </w:r>
    </w:p>
    <w:p w14:paraId="7F0CE48F" w14:textId="77777777" w:rsidR="00C12740" w:rsidRPr="00241F40" w:rsidRDefault="00C12740" w:rsidP="00C12740">
      <w:pPr>
        <w:pStyle w:val="BodyTextMain"/>
      </w:pPr>
    </w:p>
    <w:p w14:paraId="2CA94B4B" w14:textId="2C7CCB09" w:rsidR="00C12740" w:rsidRPr="00241F40" w:rsidRDefault="00C12740" w:rsidP="00C12740">
      <w:pPr>
        <w:pStyle w:val="BodyTextMain"/>
      </w:pPr>
      <w:r w:rsidRPr="00241F40">
        <w:t>Coffee, like most industries in Ecuador, was severely threatened by the Ecuadorian economic crisis</w:t>
      </w:r>
      <w:r w:rsidR="00DC7D41" w:rsidRPr="00241F40">
        <w:t>,</w:t>
      </w:r>
      <w:r w:rsidRPr="00241F40">
        <w:t xml:space="preserve"> which lead to the adoption of the U</w:t>
      </w:r>
      <w:r w:rsidR="0004214C" w:rsidRPr="00241F40">
        <w:t>.</w:t>
      </w:r>
      <w:r w:rsidRPr="00241F40">
        <w:t>S</w:t>
      </w:r>
      <w:r w:rsidR="0004214C" w:rsidRPr="00241F40">
        <w:t>.</w:t>
      </w:r>
      <w:r w:rsidRPr="00241F40">
        <w:t xml:space="preserve"> dollar as currency. From 2001 to 2005, coffee prices were very low, reflecting consumers’ financial fragility. While in 1980 coffee prices for a pound of cof</w:t>
      </w:r>
      <w:r w:rsidR="000521D6" w:rsidRPr="00241F40">
        <w:t>fee averaged</w:t>
      </w:r>
      <w:r w:rsidRPr="00241F40">
        <w:t xml:space="preserve"> </w:t>
      </w:r>
      <w:r w:rsidR="00DC7D41" w:rsidRPr="00241F40">
        <w:t>$</w:t>
      </w:r>
      <w:r w:rsidRPr="00241F40">
        <w:t>1.20,</w:t>
      </w:r>
      <w:r w:rsidR="000521D6" w:rsidRPr="00241F40">
        <w:t xml:space="preserve"> by 2002</w:t>
      </w:r>
      <w:r w:rsidR="00DC7D41" w:rsidRPr="00241F40">
        <w:t>,</w:t>
      </w:r>
      <w:r w:rsidR="000521D6" w:rsidRPr="00241F40">
        <w:t xml:space="preserve"> they had dropped to</w:t>
      </w:r>
      <w:r w:rsidRPr="00241F40">
        <w:t xml:space="preserve"> </w:t>
      </w:r>
      <w:r w:rsidR="00DC7D41" w:rsidRPr="00241F40">
        <w:t>$</w:t>
      </w:r>
      <w:r w:rsidRPr="00241F40">
        <w:t>0.50</w:t>
      </w:r>
      <w:r w:rsidR="00316577">
        <w:t>.</w:t>
      </w:r>
      <w:r w:rsidR="0070402D" w:rsidRPr="00241F40">
        <w:rPr>
          <w:rStyle w:val="FootnoteReference"/>
        </w:rPr>
        <w:footnoteReference w:id="4"/>
      </w:r>
    </w:p>
    <w:p w14:paraId="75BA5422" w14:textId="77777777" w:rsidR="00C12740" w:rsidRPr="00241F40" w:rsidRDefault="00C12740" w:rsidP="00C12740">
      <w:pPr>
        <w:pStyle w:val="BodyTextMain"/>
      </w:pPr>
    </w:p>
    <w:p w14:paraId="083A9F08" w14:textId="77777777" w:rsidR="00C12740" w:rsidRPr="00241F40" w:rsidRDefault="00C12740" w:rsidP="00C12740">
      <w:pPr>
        <w:pStyle w:val="BodyTextMain"/>
      </w:pPr>
    </w:p>
    <w:p w14:paraId="4BF3A0FD" w14:textId="77777777" w:rsidR="00C12740" w:rsidRPr="00241F40" w:rsidRDefault="00C12740" w:rsidP="005831FD">
      <w:pPr>
        <w:pStyle w:val="Casehead1"/>
        <w:outlineLvl w:val="0"/>
      </w:pPr>
      <w:r w:rsidRPr="00241F40">
        <w:t>SICA’s BRANDS</w:t>
      </w:r>
    </w:p>
    <w:p w14:paraId="5C73F4C2" w14:textId="77777777" w:rsidR="00C12740" w:rsidRPr="00241F40" w:rsidRDefault="00C12740" w:rsidP="00C12740">
      <w:pPr>
        <w:pStyle w:val="BodyTextMain"/>
      </w:pPr>
    </w:p>
    <w:p w14:paraId="67819110" w14:textId="77777777" w:rsidR="00C12740" w:rsidRPr="00241F40" w:rsidRDefault="00C12740" w:rsidP="005831FD">
      <w:pPr>
        <w:pStyle w:val="Casehead2"/>
        <w:outlineLvl w:val="0"/>
      </w:pPr>
      <w:r w:rsidRPr="00241F40">
        <w:t xml:space="preserve">Product </w:t>
      </w:r>
    </w:p>
    <w:p w14:paraId="70A703CD" w14:textId="77777777" w:rsidR="00C12740" w:rsidRPr="00241F40" w:rsidRDefault="00C12740" w:rsidP="00C12740">
      <w:pPr>
        <w:pStyle w:val="BodyTextMain"/>
      </w:pPr>
    </w:p>
    <w:p w14:paraId="5249CC61" w14:textId="172D81C3" w:rsidR="00C12740" w:rsidRPr="00241F40" w:rsidRDefault="00C12740" w:rsidP="00C12740">
      <w:pPr>
        <w:pStyle w:val="BodyTextMain"/>
      </w:pPr>
      <w:r w:rsidRPr="00241F40">
        <w:t>SICA offer</w:t>
      </w:r>
      <w:r w:rsidR="00DC7D41" w:rsidRPr="00241F40">
        <w:t>ed</w:t>
      </w:r>
      <w:r w:rsidRPr="00241F40">
        <w:t xml:space="preserve"> instant coffee under the Don Café and Café Oro brand labels (see Exhibit 2). Both brands used Robusta beans, but Don Café used the older, spray-dry technology</w:t>
      </w:r>
      <w:r w:rsidR="00DC7D41" w:rsidRPr="00241F40">
        <w:t>,</w:t>
      </w:r>
      <w:r w:rsidRPr="00241F40">
        <w:t xml:space="preserve"> while Café Oro</w:t>
      </w:r>
      <w:r w:rsidR="0099796A">
        <w:t>,</w:t>
      </w:r>
      <w:r w:rsidRPr="00241F40">
        <w:t xml:space="preserve"> the premium brand, </w:t>
      </w:r>
      <w:r w:rsidR="0099796A">
        <w:t xml:space="preserve">was </w:t>
      </w:r>
      <w:r w:rsidRPr="00241F40">
        <w:t>produced using freeze-drying. Bulk dried coffee was sold with a 20</w:t>
      </w:r>
      <w:r w:rsidR="00DC7D41" w:rsidRPr="00241F40">
        <w:t>–</w:t>
      </w:r>
      <w:r w:rsidRPr="00241F40">
        <w:t>25</w:t>
      </w:r>
      <w:r w:rsidR="000662E8" w:rsidRPr="00241F40">
        <w:t xml:space="preserve"> </w:t>
      </w:r>
      <w:r w:rsidR="009A342C" w:rsidRPr="00241F40">
        <w:t>per cent</w:t>
      </w:r>
      <w:r w:rsidRPr="00241F40">
        <w:t xml:space="preserve"> margin, while branded products fetched 30</w:t>
      </w:r>
      <w:r w:rsidR="00DC7D41" w:rsidRPr="00241F40">
        <w:t>–</w:t>
      </w:r>
      <w:r w:rsidRPr="00241F40">
        <w:t>35</w:t>
      </w:r>
      <w:r w:rsidR="000662E8" w:rsidRPr="00241F40">
        <w:t xml:space="preserve"> </w:t>
      </w:r>
      <w:r w:rsidR="009A342C" w:rsidRPr="00241F40">
        <w:t>per cent</w:t>
      </w:r>
      <w:r w:rsidRPr="00241F40">
        <w:t xml:space="preserve"> margins. According to Salcedo-Benitez, many firms used cheaper coffee beans to produce instant coffee, with cost savings passed on to consumers in the form of lower prices. SICA was committed to using better quality beans for both export and domestic markets.</w:t>
      </w:r>
    </w:p>
    <w:p w14:paraId="74327748" w14:textId="77777777" w:rsidR="00C12740" w:rsidRDefault="00C12740" w:rsidP="00C12740">
      <w:pPr>
        <w:pStyle w:val="BodyTextMain"/>
      </w:pPr>
    </w:p>
    <w:p w14:paraId="10E90AF3" w14:textId="5755BA6F" w:rsidR="00E8550E" w:rsidRPr="00241F40" w:rsidRDefault="00E8550E" w:rsidP="00C12740">
      <w:pPr>
        <w:pStyle w:val="BodyTextMain"/>
      </w:pPr>
      <w:r w:rsidRPr="00241F40">
        <w:t>SICA’s efforts to create higher than average quality products translated into higher price</w:t>
      </w:r>
      <w:r>
        <w:t>s</w:t>
      </w:r>
      <w:r w:rsidRPr="00241F40">
        <w:t xml:space="preserve"> than </w:t>
      </w:r>
      <w:r>
        <w:t xml:space="preserve">those for </w:t>
      </w:r>
      <w:r w:rsidRPr="00241F40">
        <w:t xml:space="preserve">other domestic offerings. For instance, SICA’s price for a 50-gram jar of coffee was $1.79 compared to </w:t>
      </w:r>
      <w:r>
        <w:t xml:space="preserve">the </w:t>
      </w:r>
      <w:r w:rsidRPr="00241F40">
        <w:t xml:space="preserve">$1.37 </w:t>
      </w:r>
      <w:r>
        <w:t xml:space="preserve">price </w:t>
      </w:r>
      <w:r w:rsidRPr="00241F40">
        <w:t xml:space="preserve">for </w:t>
      </w:r>
      <w:r>
        <w:t xml:space="preserve">that of </w:t>
      </w:r>
      <w:r w:rsidRPr="00241F40">
        <w:t>the closest competitor, El Café (see Exhibit 3).</w:t>
      </w:r>
    </w:p>
    <w:p w14:paraId="0EDE09F8" w14:textId="77777777" w:rsidR="00E8550E" w:rsidRDefault="00E8550E" w:rsidP="00C12740">
      <w:pPr>
        <w:pStyle w:val="BodyTextMain"/>
      </w:pPr>
    </w:p>
    <w:p w14:paraId="4F170163" w14:textId="06752428" w:rsidR="00C12740" w:rsidRPr="00241F40" w:rsidRDefault="00C12740" w:rsidP="00C12740">
      <w:pPr>
        <w:pStyle w:val="BodyTextMain"/>
      </w:pPr>
      <w:r w:rsidRPr="00241F40">
        <w:t xml:space="preserve">SICA’s factory </w:t>
      </w:r>
      <w:r w:rsidR="00DC7D41" w:rsidRPr="00241F40">
        <w:t xml:space="preserve">could </w:t>
      </w:r>
      <w:r w:rsidRPr="00241F40">
        <w:t>produce around 3,200 ton</w:t>
      </w:r>
      <w:r w:rsidR="006A48F3" w:rsidRPr="00241F40">
        <w:t>ne</w:t>
      </w:r>
      <w:r w:rsidRPr="00241F40">
        <w:t>s of instant coffee per year. To extend the life of the equipment, much of which had been in operation since the factory opened, production was constrained to about 75</w:t>
      </w:r>
      <w:r w:rsidR="000662E8" w:rsidRPr="00241F40">
        <w:t xml:space="preserve"> </w:t>
      </w:r>
      <w:r w:rsidR="009A342C" w:rsidRPr="00241F40">
        <w:t>per cent</w:t>
      </w:r>
      <w:r w:rsidRPr="00241F40">
        <w:t xml:space="preserve"> of capacity. Salcedo-Benitez often thought about replacing the machinery, but </w:t>
      </w:r>
      <w:r w:rsidR="008E76B0">
        <w:t xml:space="preserve">he </w:t>
      </w:r>
      <w:r w:rsidRPr="00241F40">
        <w:t xml:space="preserve">was </w:t>
      </w:r>
      <w:r w:rsidR="00416308" w:rsidRPr="00241F40">
        <w:t>deterred</w:t>
      </w:r>
      <w:r w:rsidRPr="00241F40">
        <w:t xml:space="preserve"> by the high cost and </w:t>
      </w:r>
      <w:r w:rsidR="001C03B5" w:rsidRPr="00241F40">
        <w:t xml:space="preserve">the </w:t>
      </w:r>
      <w:r w:rsidRPr="00241F40">
        <w:t>lag in production</w:t>
      </w:r>
      <w:r w:rsidR="001C03B5" w:rsidRPr="00241F40">
        <w:t xml:space="preserve"> involved</w:t>
      </w:r>
      <w:r w:rsidRPr="00241F40">
        <w:t>.</w:t>
      </w:r>
    </w:p>
    <w:p w14:paraId="409D1319" w14:textId="77777777" w:rsidR="00C12740" w:rsidRPr="00241F40" w:rsidRDefault="00C12740" w:rsidP="00C12740">
      <w:pPr>
        <w:pStyle w:val="BodyTextMain"/>
      </w:pPr>
    </w:p>
    <w:p w14:paraId="77B708FE" w14:textId="0780C725" w:rsidR="00C12740" w:rsidRDefault="00DC7D41" w:rsidP="00E8550E">
      <w:pPr>
        <w:pStyle w:val="BodyTextMain"/>
      </w:pPr>
      <w:r w:rsidRPr="00241F40">
        <w:t xml:space="preserve">In 2017, </w:t>
      </w:r>
      <w:r w:rsidR="00C12740" w:rsidRPr="00241F40">
        <w:t xml:space="preserve">SICA was considering two new product introductions: decaffeinated </w:t>
      </w:r>
      <w:r w:rsidR="00ED5348" w:rsidRPr="00241F40">
        <w:t xml:space="preserve">instant </w:t>
      </w:r>
      <w:r w:rsidR="00C12740" w:rsidRPr="00241F40">
        <w:t>coffee, and instant</w:t>
      </w:r>
      <w:r w:rsidR="00ED5348" w:rsidRPr="00241F40">
        <w:t xml:space="preserve"> cocoa (</w:t>
      </w:r>
      <w:r w:rsidRPr="00241F40">
        <w:t>also known as</w:t>
      </w:r>
      <w:r w:rsidR="00C12740" w:rsidRPr="00241F40">
        <w:t xml:space="preserve"> instant hot chocolate). Decaffeinated instant coffee ha</w:t>
      </w:r>
      <w:r w:rsidRPr="00241F40">
        <w:t>d</w:t>
      </w:r>
      <w:r w:rsidR="00C12740" w:rsidRPr="00241F40">
        <w:t xml:space="preserve"> fewer competitors in </w:t>
      </w:r>
      <w:r w:rsidR="00C12740" w:rsidRPr="00241F40">
        <w:lastRenderedPageBreak/>
        <w:t xml:space="preserve">Ecuador, providing an opportunity for SICA to enter this market segment with less reaction from competitors. Experiments with instant cocoa revolved around a more soluble product than the powdered cocoa currently available in Ecuador. Part of the motivation for producing instant cocoa was the increasing international recognition of the quality and </w:t>
      </w:r>
      <w:r w:rsidRPr="00241F40">
        <w:t>“</w:t>
      </w:r>
      <w:r w:rsidR="00C12740" w:rsidRPr="00241F40">
        <w:t>fine aroma</w:t>
      </w:r>
      <w:r w:rsidRPr="00241F40">
        <w:t>”</w:t>
      </w:r>
      <w:r w:rsidR="00C12740" w:rsidRPr="00241F40">
        <w:t xml:space="preserve"> of Ecuadorian cocoa. </w:t>
      </w:r>
    </w:p>
    <w:p w14:paraId="72648831" w14:textId="77777777" w:rsidR="00E8550E" w:rsidRDefault="00E8550E" w:rsidP="00E8550E">
      <w:pPr>
        <w:pStyle w:val="BodyTextMain"/>
      </w:pPr>
    </w:p>
    <w:p w14:paraId="15C9B105" w14:textId="77777777" w:rsidR="00E8550E" w:rsidRPr="00241F40" w:rsidRDefault="00E8550E" w:rsidP="00E8550E">
      <w:pPr>
        <w:pStyle w:val="BodyTextMain"/>
      </w:pPr>
    </w:p>
    <w:p w14:paraId="43E0FD32" w14:textId="77777777" w:rsidR="00C12740" w:rsidRPr="00241F40" w:rsidRDefault="00C12740" w:rsidP="005831FD">
      <w:pPr>
        <w:pStyle w:val="Casehead2"/>
        <w:outlineLvl w:val="0"/>
      </w:pPr>
      <w:r w:rsidRPr="00241F40">
        <w:t>Place</w:t>
      </w:r>
    </w:p>
    <w:p w14:paraId="295E49FF" w14:textId="77777777" w:rsidR="00C12740" w:rsidRPr="00241F40" w:rsidRDefault="00C12740" w:rsidP="00C12740">
      <w:pPr>
        <w:pStyle w:val="BodyTextMain"/>
      </w:pPr>
    </w:p>
    <w:p w14:paraId="21498585" w14:textId="1D8B2C7F" w:rsidR="00C12740" w:rsidRPr="00241F40" w:rsidRDefault="00C12740" w:rsidP="00C12740">
      <w:pPr>
        <w:pStyle w:val="BodyTextMain"/>
      </w:pPr>
      <w:r w:rsidRPr="00241F40">
        <w:t>SICA’s products were available in all the big superm</w:t>
      </w:r>
      <w:r w:rsidR="007A7402" w:rsidRPr="00241F40">
        <w:t>arkets</w:t>
      </w:r>
      <w:r w:rsidRPr="00241F40">
        <w:t xml:space="preserve"> of Ecuador. Smaller sachets had found a niche in local mini markets and small convenience stores. It was also common to find Café Oro or Don Café at local cafeterias (small coffee shops and restaurants) due to </w:t>
      </w:r>
      <w:r w:rsidR="00DC7D41" w:rsidRPr="00241F40">
        <w:t xml:space="preserve">the products’ </w:t>
      </w:r>
      <w:r w:rsidRPr="00241F40">
        <w:t>quality and affordability.</w:t>
      </w:r>
    </w:p>
    <w:p w14:paraId="1C93F68B" w14:textId="77777777" w:rsidR="00C12740" w:rsidRPr="00241F40" w:rsidRDefault="00C12740" w:rsidP="00C12740">
      <w:pPr>
        <w:pStyle w:val="BodyTextMain"/>
      </w:pPr>
    </w:p>
    <w:p w14:paraId="7365E0F3" w14:textId="65E9FE7C" w:rsidR="00C12740" w:rsidRPr="00241F40" w:rsidRDefault="00C12740" w:rsidP="00C12740">
      <w:pPr>
        <w:pStyle w:val="BodyTextMain"/>
      </w:pPr>
      <w:r w:rsidRPr="00241F40">
        <w:t xml:space="preserve">There were two main tiers of modern </w:t>
      </w:r>
      <w:r w:rsidR="007A7402" w:rsidRPr="00241F40">
        <w:t xml:space="preserve">supermarkets </w:t>
      </w:r>
      <w:r w:rsidRPr="00241F40">
        <w:t>in Ecuador. The upper end of the market for upper</w:t>
      </w:r>
      <w:r w:rsidR="00BA535F" w:rsidRPr="00241F40">
        <w:t>-</w:t>
      </w:r>
      <w:r w:rsidRPr="00241F40">
        <w:t>middle and high-income customers was served by Supermaxi and the larger, more diversified Megamaxi, with about 50 locations. The most important stores in the lower price tier were Hipermarket, Mi Comisariato, Akí</w:t>
      </w:r>
      <w:r w:rsidR="00DC7D41" w:rsidRPr="00241F40">
        <w:t>,</w:t>
      </w:r>
      <w:r w:rsidRPr="00241F40">
        <w:t xml:space="preserve"> and Tía</w:t>
      </w:r>
      <w:r w:rsidR="005056CE">
        <w:t>,</w:t>
      </w:r>
      <w:r w:rsidRPr="00241F40">
        <w:t xml:space="preserve"> with a total of about 260 locations. </w:t>
      </w:r>
      <w:r w:rsidR="000B41CA" w:rsidRPr="00241F40">
        <w:t xml:space="preserve">The </w:t>
      </w:r>
      <w:r w:rsidRPr="00241F40">
        <w:t xml:space="preserve">upper tier supermarkets </w:t>
      </w:r>
      <w:r w:rsidR="000B41CA" w:rsidRPr="00241F40">
        <w:t xml:space="preserve">were fewer in number but </w:t>
      </w:r>
      <w:r w:rsidR="007C6995" w:rsidRPr="00241F40">
        <w:t xml:space="preserve">carried a larger variety of products than the lower tier stores. Nescafé occupied the largest share of shelf space in the supermarket, flanked on either side by Café Pres 2 and Café Oro. Don Café was relegated to the bottom shelf. </w:t>
      </w:r>
      <w:r w:rsidRPr="00241F40">
        <w:t>While global giants such as Walmart and Carrefour had made significant inroads to South America, they still had no presence in Ecuador or Peru.</w:t>
      </w:r>
    </w:p>
    <w:p w14:paraId="2673BBCC" w14:textId="77777777" w:rsidR="00C12740" w:rsidRPr="00241F40" w:rsidRDefault="00C12740" w:rsidP="00C12740">
      <w:pPr>
        <w:pStyle w:val="BodyTextMain"/>
      </w:pPr>
    </w:p>
    <w:p w14:paraId="40F83BC7" w14:textId="77777777" w:rsidR="00C12740" w:rsidRPr="00241F40" w:rsidRDefault="00C12740" w:rsidP="00C12740">
      <w:pPr>
        <w:pStyle w:val="BodyTextMain"/>
      </w:pPr>
    </w:p>
    <w:p w14:paraId="0E1A23C1" w14:textId="77777777" w:rsidR="00C12740" w:rsidRPr="00241F40" w:rsidRDefault="00C12740" w:rsidP="005831FD">
      <w:pPr>
        <w:pStyle w:val="Casehead2"/>
        <w:outlineLvl w:val="0"/>
      </w:pPr>
      <w:r w:rsidRPr="00241F40">
        <w:t>Promotion</w:t>
      </w:r>
    </w:p>
    <w:p w14:paraId="1BDA4A27" w14:textId="77777777" w:rsidR="00C12740" w:rsidRPr="00241F40" w:rsidRDefault="00C12740" w:rsidP="00C12740">
      <w:pPr>
        <w:pStyle w:val="BodyTextMain"/>
      </w:pPr>
    </w:p>
    <w:p w14:paraId="205B85FF" w14:textId="406ABBE8" w:rsidR="00C12740" w:rsidRPr="00241F40" w:rsidRDefault="00C12740" w:rsidP="00C12740">
      <w:pPr>
        <w:pStyle w:val="BodyTextMain"/>
      </w:pPr>
      <w:r w:rsidRPr="00241F40">
        <w:t>SICA’s current expenditure on promotion had declined substantially since the early days. SICA ad</w:t>
      </w:r>
      <w:r w:rsidR="00323F3F" w:rsidRPr="00241F40">
        <w:t>vertisement</w:t>
      </w:r>
      <w:r w:rsidRPr="00241F40">
        <w:t>s could still occasionally be found on television</w:t>
      </w:r>
      <w:r w:rsidR="00323F3F" w:rsidRPr="00241F40">
        <w:t xml:space="preserve"> and</w:t>
      </w:r>
      <w:r w:rsidRPr="00241F40">
        <w:t xml:space="preserve"> radio</w:t>
      </w:r>
      <w:r w:rsidR="00323F3F" w:rsidRPr="00241F40">
        <w:t>,</w:t>
      </w:r>
      <w:r w:rsidRPr="00241F40">
        <w:t xml:space="preserve"> and in the press. In Peru, SICA’s brands were promoted by the wholesaler, as stipulated in its agreement with SICA. </w:t>
      </w:r>
    </w:p>
    <w:p w14:paraId="72305A94" w14:textId="77777777" w:rsidR="00C12740" w:rsidRPr="00241F40" w:rsidRDefault="00C12740" w:rsidP="00C12740">
      <w:pPr>
        <w:pStyle w:val="BodyTextMain"/>
      </w:pPr>
    </w:p>
    <w:p w14:paraId="440FE2E4" w14:textId="3F74F604" w:rsidR="00C12740" w:rsidRPr="00241F40" w:rsidRDefault="00C12740" w:rsidP="00C12740">
      <w:pPr>
        <w:pStyle w:val="BodyTextMain"/>
      </w:pPr>
      <w:r w:rsidRPr="00241F40">
        <w:t xml:space="preserve">Recently, SICA </w:t>
      </w:r>
      <w:r w:rsidR="000B41CA" w:rsidRPr="00241F40">
        <w:t xml:space="preserve">had </w:t>
      </w:r>
      <w:r w:rsidRPr="00241F40">
        <w:t xml:space="preserve">experimented with social media to reach its customers. Ecuadorians in 2016 were increasingly </w:t>
      </w:r>
      <w:r w:rsidR="000B41CA" w:rsidRPr="00241F40">
        <w:t>focused on</w:t>
      </w:r>
      <w:r w:rsidRPr="00241F40">
        <w:t xml:space="preserve"> their smartphones, consuming a vast amount of media through the </w:t>
      </w:r>
      <w:r w:rsidR="00323F3F" w:rsidRPr="00241F40">
        <w:t>I</w:t>
      </w:r>
      <w:r w:rsidRPr="00241F40">
        <w:t xml:space="preserve">nternet, </w:t>
      </w:r>
      <w:r w:rsidR="00323F3F" w:rsidRPr="00241F40">
        <w:t>and</w:t>
      </w:r>
      <w:r w:rsidRPr="00241F40">
        <w:t xml:space="preserve"> relying on the</w:t>
      </w:r>
      <w:r w:rsidR="005056CE">
        <w:t xml:space="preserve"> phones</w:t>
      </w:r>
      <w:r w:rsidRPr="00241F40">
        <w:t xml:space="preserve"> for common daily functions such as arranging taxi rides and </w:t>
      </w:r>
      <w:r w:rsidR="00323F3F" w:rsidRPr="00241F40">
        <w:t xml:space="preserve">grocery </w:t>
      </w:r>
      <w:r w:rsidRPr="00241F40">
        <w:t>deliveries. Contests, with product-related prizes, were used in promoting SICA brands. This strategy sough</w:t>
      </w:r>
      <w:r w:rsidR="00323F3F" w:rsidRPr="00241F40">
        <w:t>t</w:t>
      </w:r>
      <w:r w:rsidRPr="00241F40">
        <w:t xml:space="preserve"> to capture consumers’ attention to establish a marketing channel for further promotion.</w:t>
      </w:r>
    </w:p>
    <w:p w14:paraId="308019DF" w14:textId="77777777" w:rsidR="00C12740" w:rsidRPr="00241F40" w:rsidRDefault="00C12740" w:rsidP="00C12740">
      <w:pPr>
        <w:pStyle w:val="BodyTextMain"/>
      </w:pPr>
    </w:p>
    <w:p w14:paraId="3D6D6012" w14:textId="77777777" w:rsidR="00C12740" w:rsidRDefault="00C12740" w:rsidP="00C12740">
      <w:pPr>
        <w:pStyle w:val="BodyTextMain"/>
      </w:pPr>
    </w:p>
    <w:p w14:paraId="280B6723" w14:textId="77777777" w:rsidR="00C12740" w:rsidRPr="00241F40" w:rsidRDefault="00C12740" w:rsidP="005831FD">
      <w:pPr>
        <w:pStyle w:val="Casehead1"/>
        <w:outlineLvl w:val="0"/>
      </w:pPr>
      <w:r w:rsidRPr="00241F40">
        <w:t>THE ECUADORIAN ECONOMY AND COFFEE INDUSTRY</w:t>
      </w:r>
    </w:p>
    <w:p w14:paraId="58805FF6" w14:textId="77777777" w:rsidR="00C12740" w:rsidRPr="00241F40" w:rsidRDefault="00C12740" w:rsidP="00C12740">
      <w:pPr>
        <w:pStyle w:val="BodyTextMain"/>
      </w:pPr>
    </w:p>
    <w:p w14:paraId="4FEE4DB0" w14:textId="77777777" w:rsidR="00C12740" w:rsidRPr="00241F40" w:rsidRDefault="00C12740" w:rsidP="005831FD">
      <w:pPr>
        <w:pStyle w:val="Casehead2"/>
        <w:outlineLvl w:val="0"/>
      </w:pPr>
      <w:r w:rsidRPr="00241F40">
        <w:t>Economy</w:t>
      </w:r>
    </w:p>
    <w:p w14:paraId="0427334E" w14:textId="77777777" w:rsidR="00C12740" w:rsidRPr="00241F40" w:rsidRDefault="00C12740" w:rsidP="00C12740">
      <w:pPr>
        <w:pStyle w:val="BodyTextMain"/>
      </w:pPr>
    </w:p>
    <w:p w14:paraId="6EE7ED0F" w14:textId="050ED1F8" w:rsidR="007D35DA" w:rsidRPr="00241F40" w:rsidRDefault="00C12740" w:rsidP="00C12740">
      <w:pPr>
        <w:pStyle w:val="BodyTextMain"/>
      </w:pPr>
      <w:r w:rsidRPr="00241F40">
        <w:t xml:space="preserve">Ecuador </w:t>
      </w:r>
      <w:r w:rsidR="00323F3F" w:rsidRPr="00241F40">
        <w:t>wa</w:t>
      </w:r>
      <w:r w:rsidRPr="00241F40">
        <w:t>s the eighth largest economy of Latin America and the Caribbean.</w:t>
      </w:r>
      <w:r w:rsidR="007D35DA" w:rsidRPr="00241F40">
        <w:rPr>
          <w:rStyle w:val="FootnoteReference"/>
        </w:rPr>
        <w:footnoteReference w:id="5"/>
      </w:r>
      <w:r w:rsidR="007D35DA" w:rsidRPr="00241F40">
        <w:t xml:space="preserve"> Despite its small size (16 million people inhabiting 283,560 </w:t>
      </w:r>
      <w:r w:rsidR="00323F3F" w:rsidRPr="00241F40">
        <w:t xml:space="preserve">square </w:t>
      </w:r>
      <w:r w:rsidR="007D35DA" w:rsidRPr="00241F40">
        <w:t>k</w:t>
      </w:r>
      <w:r w:rsidR="00323F3F" w:rsidRPr="00241F40">
        <w:t>ilo</w:t>
      </w:r>
      <w:r w:rsidR="007D35DA" w:rsidRPr="00241F40">
        <w:t>m</w:t>
      </w:r>
      <w:r w:rsidR="00323F3F" w:rsidRPr="00241F40">
        <w:t>etres</w:t>
      </w:r>
      <w:r w:rsidR="007D35DA" w:rsidRPr="00241F40">
        <w:t xml:space="preserve">), Ecuador </w:t>
      </w:r>
      <w:r w:rsidR="00323F3F" w:rsidRPr="00241F40">
        <w:t>wa</w:t>
      </w:r>
      <w:r w:rsidR="007D35DA" w:rsidRPr="00241F40">
        <w:t>s a significant exporter of several types of products and raw materials such as bananas (top exporter in the world),</w:t>
      </w:r>
      <w:r w:rsidR="007D35DA" w:rsidRPr="00241F40">
        <w:rPr>
          <w:rStyle w:val="FootnoteReference"/>
        </w:rPr>
        <w:footnoteReference w:id="6"/>
      </w:r>
      <w:r w:rsidR="007D35DA" w:rsidRPr="00241F40">
        <w:t xml:space="preserve"> cacao (</w:t>
      </w:r>
      <w:r w:rsidR="00323F3F" w:rsidRPr="00241F40">
        <w:t>seventh</w:t>
      </w:r>
      <w:r w:rsidR="005056CE">
        <w:t>-</w:t>
      </w:r>
      <w:r w:rsidR="007D35DA" w:rsidRPr="00241F40">
        <w:t>largest</w:t>
      </w:r>
      <w:r w:rsidR="005056CE">
        <w:t xml:space="preserve"> exporter in the world</w:t>
      </w:r>
      <w:r w:rsidR="007D35DA" w:rsidRPr="00241F40">
        <w:t>),</w:t>
      </w:r>
      <w:r w:rsidR="007D35DA" w:rsidRPr="00241F40">
        <w:rPr>
          <w:rStyle w:val="FootnoteReference"/>
        </w:rPr>
        <w:footnoteReference w:id="7"/>
      </w:r>
      <w:r w:rsidR="007D35DA" w:rsidRPr="00241F40">
        <w:t xml:space="preserve"> shrimp, coffee, flowers, crude oil, fish, and agricultural materials. </w:t>
      </w:r>
    </w:p>
    <w:p w14:paraId="4FB7E2E8" w14:textId="448C1040" w:rsidR="007D35DA" w:rsidRPr="004A2F3D" w:rsidRDefault="007D35DA" w:rsidP="007E47E8">
      <w:pPr>
        <w:pStyle w:val="BodyTextMain"/>
        <w:rPr>
          <w:spacing w:val="-2"/>
          <w:kern w:val="22"/>
        </w:rPr>
      </w:pPr>
      <w:r w:rsidRPr="004A2F3D">
        <w:rPr>
          <w:spacing w:val="-2"/>
          <w:kern w:val="22"/>
        </w:rPr>
        <w:lastRenderedPageBreak/>
        <w:t>Ecuador’s main trading partners include</w:t>
      </w:r>
      <w:r w:rsidR="00323F3F" w:rsidRPr="004A2F3D">
        <w:rPr>
          <w:spacing w:val="-2"/>
          <w:kern w:val="22"/>
        </w:rPr>
        <w:t>d</w:t>
      </w:r>
      <w:r w:rsidRPr="004A2F3D">
        <w:rPr>
          <w:spacing w:val="-2"/>
          <w:kern w:val="22"/>
        </w:rPr>
        <w:t xml:space="preserve"> the United States, Peru, Colombia, the European Union</w:t>
      </w:r>
      <w:r w:rsidR="000B41CA" w:rsidRPr="004A2F3D">
        <w:rPr>
          <w:spacing w:val="-2"/>
          <w:kern w:val="22"/>
        </w:rPr>
        <w:t xml:space="preserve"> (EU)</w:t>
      </w:r>
      <w:r w:rsidRPr="004A2F3D">
        <w:rPr>
          <w:spacing w:val="-2"/>
          <w:kern w:val="22"/>
        </w:rPr>
        <w:t xml:space="preserve">, and China. Ecuador </w:t>
      </w:r>
      <w:r w:rsidR="00323F3F" w:rsidRPr="004A2F3D">
        <w:rPr>
          <w:spacing w:val="-2"/>
          <w:kern w:val="22"/>
        </w:rPr>
        <w:t>wa</w:t>
      </w:r>
      <w:r w:rsidRPr="004A2F3D">
        <w:rPr>
          <w:spacing w:val="-2"/>
          <w:kern w:val="22"/>
        </w:rPr>
        <w:t xml:space="preserve">s a member of the Andean Community (CAN) and </w:t>
      </w:r>
      <w:r w:rsidR="00A635C8" w:rsidRPr="004A2F3D">
        <w:rPr>
          <w:spacing w:val="-2"/>
          <w:kern w:val="22"/>
        </w:rPr>
        <w:t xml:space="preserve">had joined </w:t>
      </w:r>
      <w:r w:rsidRPr="004A2F3D">
        <w:rPr>
          <w:spacing w:val="-2"/>
          <w:kern w:val="22"/>
        </w:rPr>
        <w:t xml:space="preserve">the </w:t>
      </w:r>
      <w:r w:rsidR="000B41CA" w:rsidRPr="004A2F3D">
        <w:rPr>
          <w:spacing w:val="-2"/>
          <w:kern w:val="22"/>
        </w:rPr>
        <w:t>EU</w:t>
      </w:r>
      <w:r w:rsidR="00323F3F" w:rsidRPr="004A2F3D">
        <w:rPr>
          <w:spacing w:val="-2"/>
          <w:kern w:val="22"/>
        </w:rPr>
        <w:t>–</w:t>
      </w:r>
      <w:r w:rsidR="00A635C8" w:rsidRPr="004A2F3D">
        <w:rPr>
          <w:spacing w:val="-2"/>
          <w:kern w:val="22"/>
        </w:rPr>
        <w:t>Columbia/Peru Trade A</w:t>
      </w:r>
      <w:r w:rsidRPr="004A2F3D">
        <w:rPr>
          <w:spacing w:val="-2"/>
          <w:kern w:val="22"/>
        </w:rPr>
        <w:t>greement in November 2016. As a member of CAN, Ecuador ha</w:t>
      </w:r>
      <w:r w:rsidR="00323F3F" w:rsidRPr="004A2F3D">
        <w:rPr>
          <w:spacing w:val="-2"/>
          <w:kern w:val="22"/>
        </w:rPr>
        <w:t>d</w:t>
      </w:r>
      <w:r w:rsidRPr="004A2F3D">
        <w:rPr>
          <w:spacing w:val="-2"/>
          <w:kern w:val="22"/>
        </w:rPr>
        <w:t xml:space="preserve"> multilateral agreements with </w:t>
      </w:r>
      <w:r w:rsidR="007E47E8" w:rsidRPr="004A2F3D">
        <w:rPr>
          <w:spacing w:val="-2"/>
          <w:kern w:val="22"/>
        </w:rPr>
        <w:t xml:space="preserve">various regional trading blocs, such as </w:t>
      </w:r>
      <w:r w:rsidRPr="004A2F3D">
        <w:rPr>
          <w:spacing w:val="-2"/>
          <w:kern w:val="22"/>
        </w:rPr>
        <w:t xml:space="preserve">Mercosur, </w:t>
      </w:r>
      <w:r w:rsidR="00C60376" w:rsidRPr="004A2F3D">
        <w:rPr>
          <w:spacing w:val="-2"/>
          <w:kern w:val="22"/>
        </w:rPr>
        <w:t>the Bolivarian Alliance for the Peoples of Our America (</w:t>
      </w:r>
      <w:r w:rsidRPr="004A2F3D">
        <w:rPr>
          <w:spacing w:val="-2"/>
          <w:kern w:val="22"/>
        </w:rPr>
        <w:t>ALBA</w:t>
      </w:r>
      <w:r w:rsidR="00C60376" w:rsidRPr="004A2F3D">
        <w:rPr>
          <w:spacing w:val="-2"/>
          <w:kern w:val="22"/>
        </w:rPr>
        <w:t>)</w:t>
      </w:r>
      <w:r w:rsidRPr="004A2F3D">
        <w:rPr>
          <w:spacing w:val="-2"/>
          <w:kern w:val="22"/>
        </w:rPr>
        <w:t xml:space="preserve">, </w:t>
      </w:r>
      <w:r w:rsidR="00C60376" w:rsidRPr="004A2F3D">
        <w:rPr>
          <w:spacing w:val="-2"/>
          <w:kern w:val="22"/>
        </w:rPr>
        <w:t>Union of South American Nations (</w:t>
      </w:r>
      <w:r w:rsidRPr="004A2F3D">
        <w:rPr>
          <w:spacing w:val="-2"/>
          <w:kern w:val="22"/>
        </w:rPr>
        <w:t>UNASUR</w:t>
      </w:r>
      <w:r w:rsidR="00C60376" w:rsidRPr="004A2F3D">
        <w:rPr>
          <w:spacing w:val="-2"/>
          <w:kern w:val="22"/>
        </w:rPr>
        <w:t>)</w:t>
      </w:r>
      <w:r w:rsidRPr="004A2F3D">
        <w:rPr>
          <w:spacing w:val="-2"/>
          <w:kern w:val="22"/>
        </w:rPr>
        <w:t xml:space="preserve">, </w:t>
      </w:r>
      <w:r w:rsidR="007E47E8" w:rsidRPr="004A2F3D">
        <w:rPr>
          <w:spacing w:val="-2"/>
          <w:kern w:val="22"/>
        </w:rPr>
        <w:t>and the Latin American and Caribbean Economic System (</w:t>
      </w:r>
      <w:r w:rsidRPr="004A2F3D">
        <w:rPr>
          <w:spacing w:val="-2"/>
          <w:kern w:val="22"/>
        </w:rPr>
        <w:t>SELA</w:t>
      </w:r>
      <w:r w:rsidR="007E47E8" w:rsidRPr="004A2F3D">
        <w:rPr>
          <w:spacing w:val="-2"/>
          <w:kern w:val="22"/>
        </w:rPr>
        <w:t>)</w:t>
      </w:r>
      <w:r w:rsidRPr="004A2F3D">
        <w:rPr>
          <w:spacing w:val="-2"/>
          <w:kern w:val="22"/>
        </w:rPr>
        <w:t>. Ecuador also h</w:t>
      </w:r>
      <w:r w:rsidR="00323F3F" w:rsidRPr="004A2F3D">
        <w:rPr>
          <w:spacing w:val="-2"/>
          <w:kern w:val="22"/>
        </w:rPr>
        <w:t>e</w:t>
      </w:r>
      <w:r w:rsidRPr="004A2F3D">
        <w:rPr>
          <w:spacing w:val="-2"/>
          <w:kern w:val="22"/>
        </w:rPr>
        <w:t>ld bilateral agreements with India, Turkey, Iran, Indonesia, Belarus</w:t>
      </w:r>
      <w:r w:rsidR="00323F3F" w:rsidRPr="004A2F3D">
        <w:rPr>
          <w:spacing w:val="-2"/>
          <w:kern w:val="22"/>
        </w:rPr>
        <w:t>,</w:t>
      </w:r>
      <w:r w:rsidRPr="004A2F3D">
        <w:rPr>
          <w:spacing w:val="-2"/>
          <w:kern w:val="22"/>
        </w:rPr>
        <w:t xml:space="preserve"> and others. Negotiations </w:t>
      </w:r>
      <w:r w:rsidR="00323F3F" w:rsidRPr="004A2F3D">
        <w:rPr>
          <w:spacing w:val="-2"/>
          <w:kern w:val="22"/>
        </w:rPr>
        <w:t>we</w:t>
      </w:r>
      <w:r w:rsidRPr="004A2F3D">
        <w:rPr>
          <w:spacing w:val="-2"/>
          <w:kern w:val="22"/>
        </w:rPr>
        <w:t>re currently underway to form a trade agreement with South Korea.</w:t>
      </w:r>
      <w:r w:rsidRPr="004A2F3D">
        <w:rPr>
          <w:rStyle w:val="FootnoteReference"/>
          <w:spacing w:val="-2"/>
          <w:kern w:val="22"/>
        </w:rPr>
        <w:footnoteReference w:id="8"/>
      </w:r>
    </w:p>
    <w:p w14:paraId="5C88B7BF" w14:textId="77777777" w:rsidR="007D35DA" w:rsidRPr="00322E7A" w:rsidRDefault="007D35DA" w:rsidP="00C12740">
      <w:pPr>
        <w:pStyle w:val="BodyTextMain"/>
        <w:rPr>
          <w:sz w:val="18"/>
          <w:szCs w:val="18"/>
        </w:rPr>
      </w:pPr>
    </w:p>
    <w:p w14:paraId="03FDEF96" w14:textId="2499DAC2" w:rsidR="007D35DA" w:rsidRPr="00241F40" w:rsidRDefault="007D35DA" w:rsidP="00C12740">
      <w:pPr>
        <w:pStyle w:val="BodyTextMain"/>
      </w:pPr>
      <w:r w:rsidRPr="00241F40">
        <w:t xml:space="preserve">Economic development in Ecuador over the </w:t>
      </w:r>
      <w:r w:rsidR="00323F3F" w:rsidRPr="00241F40">
        <w:t xml:space="preserve">previous </w:t>
      </w:r>
      <w:r w:rsidRPr="00241F40">
        <w:t>two decades ha</w:t>
      </w:r>
      <w:r w:rsidR="00323F3F" w:rsidRPr="00241F40">
        <w:t>d</w:t>
      </w:r>
      <w:r w:rsidRPr="00241F40">
        <w:t xml:space="preserve"> been slow and punctuated. Prior to 1999, the economy was characterized by high and escalating income inequality</w:t>
      </w:r>
      <w:r w:rsidR="00323F3F" w:rsidRPr="00241F40">
        <w:t>;</w:t>
      </w:r>
      <w:r w:rsidRPr="00241F40">
        <w:t xml:space="preserve"> most large business was dominated by an elite class </w:t>
      </w:r>
      <w:r w:rsidR="00323F3F" w:rsidRPr="00241F40">
        <w:t xml:space="preserve">who </w:t>
      </w:r>
      <w:r w:rsidRPr="00241F40">
        <w:t xml:space="preserve">held substantial sway over government, curtailing foreign investment and limiting incentives for </w:t>
      </w:r>
      <w:r w:rsidR="00323F3F" w:rsidRPr="00241F40">
        <w:t xml:space="preserve">growth of </w:t>
      </w:r>
      <w:r w:rsidRPr="00241F40">
        <w:t xml:space="preserve">domestic businesses. Hyperinflation in 2000 lead to the sucre being replaced </w:t>
      </w:r>
      <w:r w:rsidR="005056CE">
        <w:t>by</w:t>
      </w:r>
      <w:r w:rsidRPr="00241F40">
        <w:t xml:space="preserve"> the U</w:t>
      </w:r>
      <w:r w:rsidR="00323F3F" w:rsidRPr="00241F40">
        <w:t>.</w:t>
      </w:r>
      <w:r w:rsidRPr="00241F40">
        <w:t>S</w:t>
      </w:r>
      <w:r w:rsidR="00323F3F" w:rsidRPr="00241F40">
        <w:t>.</w:t>
      </w:r>
      <w:r w:rsidRPr="00241F40">
        <w:t xml:space="preserve"> dollar as </w:t>
      </w:r>
      <w:r w:rsidR="005056CE">
        <w:t xml:space="preserve">the </w:t>
      </w:r>
      <w:r w:rsidRPr="00241F40">
        <w:t xml:space="preserve">official currency. Income inequality subsequently dropped, mainly because the lowest wage earners fled the country out of desperation. </w:t>
      </w:r>
    </w:p>
    <w:p w14:paraId="3FDCEEC3" w14:textId="77777777" w:rsidR="007D35DA" w:rsidRPr="00322E7A" w:rsidRDefault="007D35DA" w:rsidP="00C12740">
      <w:pPr>
        <w:pStyle w:val="BodyTextMain"/>
        <w:rPr>
          <w:sz w:val="18"/>
          <w:szCs w:val="18"/>
        </w:rPr>
      </w:pPr>
    </w:p>
    <w:p w14:paraId="19C07B32" w14:textId="301EF6DA" w:rsidR="007D35DA" w:rsidRPr="00AF13C8" w:rsidRDefault="00323F3F" w:rsidP="00C12740">
      <w:pPr>
        <w:pStyle w:val="BodyTextMain"/>
        <w:rPr>
          <w:spacing w:val="-2"/>
          <w:kern w:val="22"/>
        </w:rPr>
      </w:pPr>
      <w:r w:rsidRPr="00AF13C8">
        <w:rPr>
          <w:spacing w:val="-2"/>
          <w:kern w:val="22"/>
        </w:rPr>
        <w:t xml:space="preserve">In 2017, </w:t>
      </w:r>
      <w:r w:rsidR="007E47E8" w:rsidRPr="00AF13C8">
        <w:rPr>
          <w:spacing w:val="-2"/>
          <w:kern w:val="22"/>
        </w:rPr>
        <w:t xml:space="preserve">Ecuador’s </w:t>
      </w:r>
      <w:r w:rsidR="007D35DA" w:rsidRPr="00AF13C8">
        <w:rPr>
          <w:spacing w:val="-2"/>
          <w:kern w:val="22"/>
        </w:rPr>
        <w:t xml:space="preserve">economy </w:t>
      </w:r>
      <w:r w:rsidRPr="00AF13C8">
        <w:rPr>
          <w:spacing w:val="-2"/>
          <w:kern w:val="22"/>
        </w:rPr>
        <w:t>wa</w:t>
      </w:r>
      <w:r w:rsidR="007D35DA" w:rsidRPr="00AF13C8">
        <w:rPr>
          <w:spacing w:val="-2"/>
          <w:kern w:val="22"/>
        </w:rPr>
        <w:t>s stable, but remain</w:t>
      </w:r>
      <w:r w:rsidRPr="00AF13C8">
        <w:rPr>
          <w:spacing w:val="-2"/>
          <w:kern w:val="22"/>
        </w:rPr>
        <w:t>ed</w:t>
      </w:r>
      <w:r w:rsidR="007D35DA" w:rsidRPr="00AF13C8">
        <w:rPr>
          <w:spacing w:val="-2"/>
          <w:kern w:val="22"/>
        </w:rPr>
        <w:t xml:space="preserve"> unattractive to foreign investors due to </w:t>
      </w:r>
      <w:r w:rsidR="00241F40" w:rsidRPr="00AF13C8">
        <w:rPr>
          <w:spacing w:val="-2"/>
          <w:kern w:val="22"/>
        </w:rPr>
        <w:t>the small</w:t>
      </w:r>
      <w:r w:rsidR="007D35DA" w:rsidRPr="00AF13C8">
        <w:rPr>
          <w:spacing w:val="-2"/>
          <w:kern w:val="22"/>
        </w:rPr>
        <w:t xml:space="preserve"> size </w:t>
      </w:r>
      <w:r w:rsidR="00550148" w:rsidRPr="00AF13C8">
        <w:rPr>
          <w:spacing w:val="-2"/>
          <w:kern w:val="22"/>
        </w:rPr>
        <w:t xml:space="preserve">of the market </w:t>
      </w:r>
      <w:r w:rsidR="007D35DA" w:rsidRPr="00AF13C8">
        <w:rPr>
          <w:spacing w:val="-2"/>
          <w:kern w:val="22"/>
        </w:rPr>
        <w:t>and the overall perceived difficulty of doing business</w:t>
      </w:r>
      <w:r w:rsidR="007E47E8" w:rsidRPr="00AF13C8">
        <w:rPr>
          <w:spacing w:val="-2"/>
          <w:kern w:val="22"/>
        </w:rPr>
        <w:t xml:space="preserve"> there</w:t>
      </w:r>
      <w:r w:rsidR="007D35DA" w:rsidRPr="00AF13C8">
        <w:rPr>
          <w:spacing w:val="-2"/>
          <w:kern w:val="22"/>
        </w:rPr>
        <w:t>. However, the current government ha</w:t>
      </w:r>
      <w:r w:rsidRPr="00AF13C8">
        <w:rPr>
          <w:spacing w:val="-2"/>
          <w:kern w:val="22"/>
        </w:rPr>
        <w:t>d</w:t>
      </w:r>
      <w:r w:rsidR="007D35DA" w:rsidRPr="00AF13C8">
        <w:rPr>
          <w:spacing w:val="-2"/>
          <w:kern w:val="22"/>
        </w:rPr>
        <w:t xml:space="preserve"> extended prior government policies for improving domestic industry competence, while increasing workers’ income. University students </w:t>
      </w:r>
      <w:r w:rsidRPr="00AF13C8">
        <w:rPr>
          <w:spacing w:val="-2"/>
          <w:kern w:val="22"/>
        </w:rPr>
        <w:t>we</w:t>
      </w:r>
      <w:r w:rsidR="007D35DA" w:rsidRPr="00AF13C8">
        <w:rPr>
          <w:spacing w:val="-2"/>
          <w:kern w:val="22"/>
        </w:rPr>
        <w:t xml:space="preserve">re encouraged to start businesses, and larger businesses </w:t>
      </w:r>
      <w:r w:rsidRPr="00AF13C8">
        <w:rPr>
          <w:spacing w:val="-2"/>
          <w:kern w:val="22"/>
        </w:rPr>
        <w:t>we</w:t>
      </w:r>
      <w:r w:rsidR="007D35DA" w:rsidRPr="00AF13C8">
        <w:rPr>
          <w:spacing w:val="-2"/>
          <w:kern w:val="22"/>
        </w:rPr>
        <w:t>re required, by law, to share 15</w:t>
      </w:r>
      <w:r w:rsidR="000662E8" w:rsidRPr="00AF13C8">
        <w:rPr>
          <w:spacing w:val="-2"/>
          <w:kern w:val="22"/>
        </w:rPr>
        <w:t xml:space="preserve"> </w:t>
      </w:r>
      <w:r w:rsidR="007D35DA" w:rsidRPr="00AF13C8">
        <w:rPr>
          <w:spacing w:val="-2"/>
          <w:kern w:val="22"/>
        </w:rPr>
        <w:t xml:space="preserve">per cent of their profits with employees. </w:t>
      </w:r>
      <w:r w:rsidR="00DE13A4" w:rsidRPr="00AF13C8">
        <w:rPr>
          <w:spacing w:val="-2"/>
          <w:kern w:val="22"/>
        </w:rPr>
        <w:t>In addition</w:t>
      </w:r>
      <w:r w:rsidR="007D35DA" w:rsidRPr="00AF13C8">
        <w:rPr>
          <w:spacing w:val="-2"/>
          <w:kern w:val="22"/>
        </w:rPr>
        <w:t>, signs dot</w:t>
      </w:r>
      <w:r w:rsidRPr="00AF13C8">
        <w:rPr>
          <w:spacing w:val="-2"/>
          <w:kern w:val="22"/>
        </w:rPr>
        <w:t>ted</w:t>
      </w:r>
      <w:r w:rsidR="007D35DA" w:rsidRPr="00AF13C8">
        <w:rPr>
          <w:spacing w:val="-2"/>
          <w:kern w:val="22"/>
        </w:rPr>
        <w:t xml:space="preserve"> well-travelled highways and roads </w:t>
      </w:r>
      <w:r w:rsidR="000C1D7F" w:rsidRPr="00AF13C8">
        <w:rPr>
          <w:spacing w:val="-2"/>
          <w:kern w:val="22"/>
        </w:rPr>
        <w:t xml:space="preserve">around </w:t>
      </w:r>
      <w:r w:rsidR="007D35DA" w:rsidRPr="00AF13C8">
        <w:rPr>
          <w:spacing w:val="-2"/>
          <w:kern w:val="22"/>
        </w:rPr>
        <w:t>the country with the slogan “</w:t>
      </w:r>
      <w:r w:rsidR="007D35DA" w:rsidRPr="00AF13C8">
        <w:rPr>
          <w:i/>
          <w:spacing w:val="-2"/>
          <w:kern w:val="22"/>
        </w:rPr>
        <w:t>¡Mucho mejor! si es hecho en Ecuador</w:t>
      </w:r>
      <w:r w:rsidR="007D35DA" w:rsidRPr="00AF13C8">
        <w:rPr>
          <w:spacing w:val="-2"/>
          <w:kern w:val="22"/>
        </w:rPr>
        <w:t xml:space="preserve">” (Much better, if it is made in Ecuador). However, there </w:t>
      </w:r>
      <w:r w:rsidRPr="00AF13C8">
        <w:rPr>
          <w:spacing w:val="-2"/>
          <w:kern w:val="22"/>
        </w:rPr>
        <w:t>we</w:t>
      </w:r>
      <w:r w:rsidR="007D35DA" w:rsidRPr="00AF13C8">
        <w:rPr>
          <w:spacing w:val="-2"/>
          <w:kern w:val="22"/>
        </w:rPr>
        <w:t>re still many social problems that hinder</w:t>
      </w:r>
      <w:r w:rsidRPr="00AF13C8">
        <w:rPr>
          <w:spacing w:val="-2"/>
          <w:kern w:val="22"/>
        </w:rPr>
        <w:t>ed</w:t>
      </w:r>
      <w:r w:rsidR="007D35DA" w:rsidRPr="00AF13C8">
        <w:rPr>
          <w:spacing w:val="-2"/>
          <w:kern w:val="22"/>
        </w:rPr>
        <w:t xml:space="preserve"> the country’s transition from a primary agricultural economy to a high-technology, agro-industrial </w:t>
      </w:r>
      <w:r w:rsidR="00DE13A4" w:rsidRPr="00AF13C8">
        <w:rPr>
          <w:spacing w:val="-2"/>
          <w:kern w:val="22"/>
        </w:rPr>
        <w:t>one</w:t>
      </w:r>
      <w:r w:rsidR="007D35DA" w:rsidRPr="00AF13C8">
        <w:rPr>
          <w:spacing w:val="-2"/>
          <w:kern w:val="22"/>
        </w:rPr>
        <w:t>. Those who most strongly resist</w:t>
      </w:r>
      <w:r w:rsidRPr="00AF13C8">
        <w:rPr>
          <w:spacing w:val="-2"/>
          <w:kern w:val="22"/>
        </w:rPr>
        <w:t>ed</w:t>
      </w:r>
      <w:r w:rsidR="007D35DA" w:rsidRPr="00AF13C8">
        <w:rPr>
          <w:spacing w:val="-2"/>
          <w:kern w:val="22"/>
        </w:rPr>
        <w:t xml:space="preserve"> industrial modernization </w:t>
      </w:r>
      <w:r w:rsidRPr="00AF13C8">
        <w:rPr>
          <w:spacing w:val="-2"/>
          <w:kern w:val="22"/>
        </w:rPr>
        <w:t>we</w:t>
      </w:r>
      <w:r w:rsidR="007D35DA" w:rsidRPr="00AF13C8">
        <w:rPr>
          <w:spacing w:val="-2"/>
          <w:kern w:val="22"/>
        </w:rPr>
        <w:t>re deeply entrenched</w:t>
      </w:r>
      <w:r w:rsidR="008E5EEF" w:rsidRPr="00AF13C8">
        <w:rPr>
          <w:spacing w:val="-2"/>
          <w:kern w:val="22"/>
        </w:rPr>
        <w:t xml:space="preserve"> in this resist</w:t>
      </w:r>
      <w:r w:rsidR="00DF4635" w:rsidRPr="00AF13C8">
        <w:rPr>
          <w:spacing w:val="-2"/>
          <w:kern w:val="22"/>
        </w:rPr>
        <w:t>a</w:t>
      </w:r>
      <w:r w:rsidR="008E5EEF" w:rsidRPr="00AF13C8">
        <w:rPr>
          <w:spacing w:val="-2"/>
          <w:kern w:val="22"/>
        </w:rPr>
        <w:t>nce</w:t>
      </w:r>
      <w:r w:rsidR="007D35DA" w:rsidRPr="00AF13C8">
        <w:rPr>
          <w:spacing w:val="-2"/>
          <w:kern w:val="22"/>
        </w:rPr>
        <w:t>.</w:t>
      </w:r>
    </w:p>
    <w:p w14:paraId="0842E42A" w14:textId="77777777" w:rsidR="007D35DA" w:rsidRPr="00322E7A" w:rsidRDefault="007D35DA" w:rsidP="00C12740">
      <w:pPr>
        <w:pStyle w:val="BodyTextMain"/>
        <w:rPr>
          <w:sz w:val="18"/>
          <w:szCs w:val="18"/>
        </w:rPr>
      </w:pPr>
    </w:p>
    <w:p w14:paraId="0937DF2D" w14:textId="77777777" w:rsidR="007D35DA" w:rsidRPr="00322E7A" w:rsidRDefault="007D35DA" w:rsidP="00C12740">
      <w:pPr>
        <w:pStyle w:val="BodyTextMain"/>
        <w:rPr>
          <w:sz w:val="18"/>
          <w:szCs w:val="18"/>
        </w:rPr>
      </w:pPr>
    </w:p>
    <w:p w14:paraId="3F797280" w14:textId="77777777" w:rsidR="007D35DA" w:rsidRPr="00241F40" w:rsidRDefault="007D35DA" w:rsidP="005831FD">
      <w:pPr>
        <w:pStyle w:val="Casehead2"/>
        <w:outlineLvl w:val="0"/>
      </w:pPr>
      <w:r w:rsidRPr="00241F40">
        <w:t>Ecuadorian Coffee Producers</w:t>
      </w:r>
    </w:p>
    <w:p w14:paraId="312A7856" w14:textId="77777777" w:rsidR="007D35DA" w:rsidRPr="00322E7A" w:rsidRDefault="007D35DA" w:rsidP="00C12740">
      <w:pPr>
        <w:pStyle w:val="BodyTextMain"/>
        <w:rPr>
          <w:sz w:val="18"/>
          <w:szCs w:val="18"/>
        </w:rPr>
      </w:pPr>
    </w:p>
    <w:p w14:paraId="45573AEE" w14:textId="778B6CFB" w:rsidR="007D35DA" w:rsidRPr="004A2F3D" w:rsidRDefault="007D35DA" w:rsidP="00C12740">
      <w:pPr>
        <w:pStyle w:val="BodyTextMain"/>
        <w:rPr>
          <w:spacing w:val="-2"/>
          <w:kern w:val="22"/>
        </w:rPr>
      </w:pPr>
      <w:r w:rsidRPr="004A2F3D">
        <w:rPr>
          <w:spacing w:val="-2"/>
          <w:kern w:val="22"/>
        </w:rPr>
        <w:t>In 2016, Arabica coffee represented 63 per cent of the national coffee production and Robusta the other 37</w:t>
      </w:r>
      <w:r w:rsidR="000662E8" w:rsidRPr="004A2F3D">
        <w:rPr>
          <w:spacing w:val="-2"/>
          <w:kern w:val="22"/>
        </w:rPr>
        <w:t xml:space="preserve"> </w:t>
      </w:r>
      <w:r w:rsidRPr="004A2F3D">
        <w:rPr>
          <w:spacing w:val="-2"/>
          <w:kern w:val="22"/>
        </w:rPr>
        <w:t>per cent.</w:t>
      </w:r>
      <w:r w:rsidRPr="004A2F3D">
        <w:rPr>
          <w:rStyle w:val="FootnoteReference"/>
          <w:spacing w:val="-2"/>
          <w:kern w:val="22"/>
        </w:rPr>
        <w:footnoteReference w:id="9"/>
      </w:r>
      <w:r w:rsidRPr="004A2F3D">
        <w:rPr>
          <w:spacing w:val="-2"/>
          <w:kern w:val="22"/>
        </w:rPr>
        <w:t xml:space="preserve"> About 85</w:t>
      </w:r>
      <w:r w:rsidR="000662E8" w:rsidRPr="004A2F3D">
        <w:rPr>
          <w:spacing w:val="-2"/>
          <w:kern w:val="22"/>
        </w:rPr>
        <w:t xml:space="preserve"> </w:t>
      </w:r>
      <w:r w:rsidRPr="004A2F3D">
        <w:rPr>
          <w:spacing w:val="-2"/>
          <w:kern w:val="22"/>
        </w:rPr>
        <w:t>per cent of coffee farmers had decided to cultivate Arabica coffee, motivated by steadily</w:t>
      </w:r>
      <w:r w:rsidR="00323F3F" w:rsidRPr="004A2F3D">
        <w:rPr>
          <w:spacing w:val="-2"/>
          <w:kern w:val="22"/>
        </w:rPr>
        <w:t xml:space="preserve"> </w:t>
      </w:r>
      <w:r w:rsidRPr="004A2F3D">
        <w:rPr>
          <w:spacing w:val="-2"/>
          <w:kern w:val="22"/>
        </w:rPr>
        <w:t>increasing international demand. In Ecuador, coffee plantations span</w:t>
      </w:r>
      <w:r w:rsidR="00323F3F" w:rsidRPr="004A2F3D">
        <w:rPr>
          <w:spacing w:val="-2"/>
          <w:kern w:val="22"/>
        </w:rPr>
        <w:t>ned</w:t>
      </w:r>
      <w:r w:rsidRPr="004A2F3D">
        <w:rPr>
          <w:spacing w:val="-2"/>
          <w:kern w:val="22"/>
        </w:rPr>
        <w:t xml:space="preserve"> 21 provinces, but </w:t>
      </w:r>
      <w:r w:rsidR="007B2727" w:rsidRPr="004A2F3D">
        <w:rPr>
          <w:spacing w:val="-2"/>
          <w:kern w:val="22"/>
        </w:rPr>
        <w:t>much of the production, about 87 per cent</w:t>
      </w:r>
      <w:r w:rsidRPr="004A2F3D">
        <w:rPr>
          <w:spacing w:val="-2"/>
          <w:kern w:val="22"/>
        </w:rPr>
        <w:t xml:space="preserve">, </w:t>
      </w:r>
      <w:r w:rsidR="007B2727">
        <w:rPr>
          <w:spacing w:val="-2"/>
          <w:kern w:val="22"/>
        </w:rPr>
        <w:t xml:space="preserve">took place in the provinces of </w:t>
      </w:r>
      <w:r w:rsidRPr="004A2F3D">
        <w:rPr>
          <w:spacing w:val="-2"/>
          <w:kern w:val="22"/>
        </w:rPr>
        <w:t>Manabí, Sucumbíos, Orellana</w:t>
      </w:r>
      <w:r w:rsidR="00FA7007" w:rsidRPr="004A2F3D">
        <w:rPr>
          <w:spacing w:val="-2"/>
          <w:kern w:val="22"/>
        </w:rPr>
        <w:t>,</w:t>
      </w:r>
      <w:r w:rsidRPr="004A2F3D">
        <w:rPr>
          <w:spacing w:val="-2"/>
          <w:kern w:val="22"/>
        </w:rPr>
        <w:t xml:space="preserve"> and Loja</w:t>
      </w:r>
      <w:r w:rsidR="00DE13A4">
        <w:rPr>
          <w:spacing w:val="-2"/>
          <w:kern w:val="22"/>
        </w:rPr>
        <w:t>.</w:t>
      </w:r>
      <w:r w:rsidR="008A48EB" w:rsidRPr="004A2F3D">
        <w:rPr>
          <w:rStyle w:val="FootnoteReference"/>
          <w:spacing w:val="-2"/>
          <w:kern w:val="22"/>
        </w:rPr>
        <w:footnoteReference w:id="10"/>
      </w:r>
    </w:p>
    <w:p w14:paraId="7598D1F9" w14:textId="77777777" w:rsidR="00E8550E" w:rsidRPr="00322E7A" w:rsidRDefault="00E8550E" w:rsidP="00C12740">
      <w:pPr>
        <w:pStyle w:val="BodyTextMain"/>
        <w:rPr>
          <w:sz w:val="18"/>
          <w:szCs w:val="18"/>
        </w:rPr>
      </w:pPr>
    </w:p>
    <w:p w14:paraId="4EE37F85" w14:textId="50C458BE" w:rsidR="007D35DA" w:rsidRPr="00241F40" w:rsidRDefault="007D35DA" w:rsidP="00C12740">
      <w:pPr>
        <w:pStyle w:val="BodyTextMain"/>
      </w:pPr>
      <w:r w:rsidRPr="00241F40">
        <w:t xml:space="preserve">Over the </w:t>
      </w:r>
      <w:r w:rsidR="00FA7007" w:rsidRPr="00241F40">
        <w:t xml:space="preserve">previous </w:t>
      </w:r>
      <w:r w:rsidRPr="00241F40">
        <w:t>15 years, coffee production ha</w:t>
      </w:r>
      <w:r w:rsidR="00FA7007" w:rsidRPr="00241F40">
        <w:t>d</w:t>
      </w:r>
      <w:r w:rsidRPr="00241F40">
        <w:t xml:space="preserve"> varied significantly. From 2002 to 2011</w:t>
      </w:r>
      <w:r w:rsidR="00FA7007" w:rsidRPr="00241F40">
        <w:t>,</w:t>
      </w:r>
      <w:r w:rsidRPr="00241F40">
        <w:t xml:space="preserve"> there was a</w:t>
      </w:r>
      <w:r w:rsidR="00FB1AE4" w:rsidRPr="00241F40">
        <w:t xml:space="preserve"> trend of</w:t>
      </w:r>
      <w:r w:rsidRPr="00241F40">
        <w:t xml:space="preserve"> increasing </w:t>
      </w:r>
      <w:r w:rsidR="00FA7007" w:rsidRPr="00241F40">
        <w:t>production</w:t>
      </w:r>
      <w:r w:rsidRPr="00241F40">
        <w:t>. Then</w:t>
      </w:r>
      <w:r w:rsidR="007B2727">
        <w:t>,</w:t>
      </w:r>
      <w:r w:rsidRPr="00241F40">
        <w:t xml:space="preserve"> in 2012, there was a 69 per cent drop in national output as compared to 2011. In 2016, the national output of coffee was 3.905 </w:t>
      </w:r>
      <w:r w:rsidR="00FA7007" w:rsidRPr="00241F40">
        <w:t xml:space="preserve">tonnes, </w:t>
      </w:r>
      <w:r w:rsidRPr="00241F40">
        <w:t>while one year prior</w:t>
      </w:r>
      <w:r w:rsidR="00FA7007" w:rsidRPr="00241F40">
        <w:t xml:space="preserve">, </w:t>
      </w:r>
      <w:r w:rsidR="00FB1AE4" w:rsidRPr="00241F40">
        <w:t>the output</w:t>
      </w:r>
      <w:r w:rsidRPr="00241F40">
        <w:t xml:space="preserve"> had reached 5.297 </w:t>
      </w:r>
      <w:r w:rsidR="00FA7007" w:rsidRPr="00241F40">
        <w:t>tonnes</w:t>
      </w:r>
      <w:r w:rsidR="007C6995" w:rsidRPr="00241F40">
        <w:t>.</w:t>
      </w:r>
      <w:r w:rsidR="008A48EB" w:rsidRPr="00241F40">
        <w:rPr>
          <w:rStyle w:val="FootnoteReference"/>
        </w:rPr>
        <w:footnoteReference w:id="11"/>
      </w:r>
      <w:r w:rsidRPr="00241F40">
        <w:t xml:space="preserve"> One of the key reasons for this decline </w:t>
      </w:r>
      <w:r w:rsidR="00FA7007" w:rsidRPr="00241F40">
        <w:t>wa</w:t>
      </w:r>
      <w:r w:rsidRPr="00241F40">
        <w:t>s the aging plantations.</w:t>
      </w:r>
    </w:p>
    <w:p w14:paraId="089FF640" w14:textId="77777777" w:rsidR="007D35DA" w:rsidRPr="00322E7A" w:rsidRDefault="007D35DA" w:rsidP="00C12740">
      <w:pPr>
        <w:pStyle w:val="BodyTextMain"/>
        <w:rPr>
          <w:sz w:val="18"/>
          <w:szCs w:val="18"/>
        </w:rPr>
      </w:pPr>
    </w:p>
    <w:p w14:paraId="7BB69C0F" w14:textId="77777777" w:rsidR="007D35DA" w:rsidRPr="00322E7A" w:rsidRDefault="007D35DA" w:rsidP="00C12740">
      <w:pPr>
        <w:pStyle w:val="BodyTextMain"/>
        <w:rPr>
          <w:sz w:val="18"/>
          <w:szCs w:val="18"/>
        </w:rPr>
      </w:pPr>
    </w:p>
    <w:p w14:paraId="278DEF1A" w14:textId="77777777" w:rsidR="007D35DA" w:rsidRPr="00241F40" w:rsidRDefault="007D35DA" w:rsidP="00AF13C8">
      <w:pPr>
        <w:pStyle w:val="Casehead2"/>
        <w:keepNext w:val="0"/>
        <w:outlineLvl w:val="0"/>
      </w:pPr>
      <w:r w:rsidRPr="00241F40">
        <w:t xml:space="preserve">Instant Coffee in Ecuador </w:t>
      </w:r>
    </w:p>
    <w:p w14:paraId="02BC3067" w14:textId="77777777" w:rsidR="00E8550E" w:rsidRPr="00E8550E" w:rsidRDefault="00E8550E" w:rsidP="00AF13C8">
      <w:pPr>
        <w:pStyle w:val="BodyTextMain"/>
        <w:rPr>
          <w:sz w:val="18"/>
          <w:szCs w:val="18"/>
        </w:rPr>
      </w:pPr>
    </w:p>
    <w:p w14:paraId="107FC4D7" w14:textId="43D51A42" w:rsidR="007D35DA" w:rsidRPr="004A2F3D" w:rsidRDefault="007D35DA" w:rsidP="00AF13C8">
      <w:pPr>
        <w:pStyle w:val="BodyTextMain"/>
        <w:rPr>
          <w:spacing w:val="-4"/>
          <w:kern w:val="22"/>
        </w:rPr>
      </w:pPr>
      <w:r w:rsidRPr="004A2F3D">
        <w:rPr>
          <w:spacing w:val="-4"/>
          <w:kern w:val="22"/>
        </w:rPr>
        <w:t xml:space="preserve">Instant coffee </w:t>
      </w:r>
      <w:r w:rsidR="00FA7007" w:rsidRPr="004A2F3D">
        <w:rPr>
          <w:spacing w:val="-4"/>
          <w:kern w:val="22"/>
        </w:rPr>
        <w:t>wa</w:t>
      </w:r>
      <w:r w:rsidRPr="004A2F3D">
        <w:rPr>
          <w:spacing w:val="-4"/>
          <w:kern w:val="22"/>
        </w:rPr>
        <w:t>s almost universally considered a commodity</w:t>
      </w:r>
      <w:r w:rsidR="00FA7007" w:rsidRPr="004A2F3D">
        <w:rPr>
          <w:spacing w:val="-4"/>
          <w:kern w:val="22"/>
        </w:rPr>
        <w:t xml:space="preserve"> because</w:t>
      </w:r>
      <w:r w:rsidRPr="004A2F3D">
        <w:rPr>
          <w:spacing w:val="-4"/>
          <w:kern w:val="22"/>
        </w:rPr>
        <w:t xml:space="preserve"> its production ha</w:t>
      </w:r>
      <w:r w:rsidR="00FA7007" w:rsidRPr="004A2F3D">
        <w:rPr>
          <w:spacing w:val="-4"/>
          <w:kern w:val="22"/>
        </w:rPr>
        <w:t>d</w:t>
      </w:r>
      <w:r w:rsidRPr="004A2F3D">
        <w:rPr>
          <w:spacing w:val="-4"/>
          <w:kern w:val="22"/>
        </w:rPr>
        <w:t xml:space="preserve"> little variance.</w:t>
      </w:r>
      <w:r w:rsidRPr="004A2F3D">
        <w:rPr>
          <w:rStyle w:val="FootnoteReference"/>
          <w:spacing w:val="-4"/>
          <w:kern w:val="22"/>
        </w:rPr>
        <w:footnoteReference w:id="12"/>
      </w:r>
      <w:r w:rsidRPr="004A2F3D">
        <w:rPr>
          <w:spacing w:val="-4"/>
          <w:kern w:val="22"/>
        </w:rPr>
        <w:t xml:space="preserve"> Aside from flavo</w:t>
      </w:r>
      <w:r w:rsidR="00FB1AE4" w:rsidRPr="004A2F3D">
        <w:rPr>
          <w:spacing w:val="-4"/>
          <w:kern w:val="22"/>
        </w:rPr>
        <w:t>u</w:t>
      </w:r>
      <w:r w:rsidRPr="004A2F3D">
        <w:rPr>
          <w:spacing w:val="-4"/>
          <w:kern w:val="22"/>
        </w:rPr>
        <w:t xml:space="preserve">r, brand </w:t>
      </w:r>
      <w:r w:rsidR="00FA7007" w:rsidRPr="004A2F3D">
        <w:rPr>
          <w:spacing w:val="-4"/>
          <w:kern w:val="22"/>
        </w:rPr>
        <w:t>wa</w:t>
      </w:r>
      <w:r w:rsidRPr="004A2F3D">
        <w:rPr>
          <w:spacing w:val="-4"/>
          <w:kern w:val="22"/>
        </w:rPr>
        <w:t>s the most significant differentiator for consumers when buying instant coffee.</w:t>
      </w:r>
      <w:r w:rsidRPr="004A2F3D">
        <w:rPr>
          <w:rStyle w:val="FootnoteReference"/>
          <w:spacing w:val="-4"/>
          <w:kern w:val="22"/>
        </w:rPr>
        <w:footnoteReference w:id="13"/>
      </w:r>
    </w:p>
    <w:p w14:paraId="2994E637" w14:textId="3AE0C41B" w:rsidR="007D35DA" w:rsidRPr="00241F40" w:rsidRDefault="007D35DA" w:rsidP="00C12740">
      <w:pPr>
        <w:pStyle w:val="BodyTextMain"/>
      </w:pPr>
      <w:r w:rsidRPr="00241F40">
        <w:lastRenderedPageBreak/>
        <w:t>A wide variety of instant coffee brands serve</w:t>
      </w:r>
      <w:r w:rsidR="00FA7007" w:rsidRPr="00241F40">
        <w:t>d</w:t>
      </w:r>
      <w:r w:rsidRPr="00241F40">
        <w:t xml:space="preserve"> the Ecuadorian market. By domestic sales, Nestlé Ecuador S.A. had the highest market share by overall revenue (see </w:t>
      </w:r>
      <w:r w:rsidR="00210BCC">
        <w:t>Exhibit 4</w:t>
      </w:r>
      <w:r w:rsidRPr="00241F40">
        <w:t xml:space="preserve">). While Nescafé </w:t>
      </w:r>
      <w:r w:rsidR="00FA7007" w:rsidRPr="00241F40">
        <w:t>wa</w:t>
      </w:r>
      <w:r w:rsidRPr="00241F40">
        <w:t>s not the leading brand in Ecuador, Nestlé continued to lead in overall sales in 2016, with a 26</w:t>
      </w:r>
      <w:r w:rsidR="000521D6" w:rsidRPr="00241F40">
        <w:t xml:space="preserve"> </w:t>
      </w:r>
      <w:r w:rsidRPr="00241F40">
        <w:t>per cent market share.</w:t>
      </w:r>
      <w:r w:rsidRPr="00241F40">
        <w:rPr>
          <w:rStyle w:val="FootnoteReference"/>
        </w:rPr>
        <w:footnoteReference w:id="14"/>
      </w:r>
      <w:r w:rsidRPr="00241F40">
        <w:rPr>
          <w:vertAlign w:val="superscript"/>
        </w:rPr>
        <w:t xml:space="preserve"> </w:t>
      </w:r>
      <w:r w:rsidRPr="00241F40">
        <w:t xml:space="preserve">Constant innovation and marketing intensity, along with </w:t>
      </w:r>
      <w:r w:rsidR="007B2727">
        <w:t>its</w:t>
      </w:r>
      <w:r w:rsidRPr="00241F40">
        <w:t xml:space="preserve"> diversified product portfolio, </w:t>
      </w:r>
      <w:r w:rsidR="00FA7007" w:rsidRPr="00241F40">
        <w:t>we</w:t>
      </w:r>
      <w:r w:rsidRPr="00241F40">
        <w:t xml:space="preserve">re key factors </w:t>
      </w:r>
      <w:r w:rsidR="00FA7007" w:rsidRPr="00241F40">
        <w:t xml:space="preserve">that </w:t>
      </w:r>
      <w:r w:rsidRPr="00241F40">
        <w:t>dr</w:t>
      </w:r>
      <w:r w:rsidR="00FA7007" w:rsidRPr="00241F40">
        <w:t>o</w:t>
      </w:r>
      <w:r w:rsidRPr="00241F40">
        <w:t xml:space="preserve">ve the company’s success. </w:t>
      </w:r>
      <w:r w:rsidR="00FA7007" w:rsidRPr="00241F40">
        <w:t>O</w:t>
      </w:r>
      <w:r w:rsidRPr="00241F40">
        <w:t>ver the same period, SICA’s Don Café ha</w:t>
      </w:r>
      <w:r w:rsidR="00FA7007" w:rsidRPr="00241F40">
        <w:t>d</w:t>
      </w:r>
      <w:r w:rsidRPr="00241F40">
        <w:t xml:space="preserve"> remained the leading brand, with </w:t>
      </w:r>
      <w:r w:rsidR="0090013B" w:rsidRPr="00241F40">
        <w:t xml:space="preserve">a </w:t>
      </w:r>
      <w:r w:rsidRPr="00241F40">
        <w:t>market share of 20 per cent versus Nescafé’s 18 per cent.</w:t>
      </w:r>
      <w:r w:rsidRPr="00241F40">
        <w:rPr>
          <w:rStyle w:val="FootnoteReference"/>
        </w:rPr>
        <w:footnoteReference w:id="15"/>
      </w:r>
      <w:r w:rsidRPr="00241F40">
        <w:t xml:space="preserve"> </w:t>
      </w:r>
    </w:p>
    <w:p w14:paraId="50509FAD" w14:textId="77777777" w:rsidR="007D35DA" w:rsidRPr="00322E7A" w:rsidRDefault="007D35DA" w:rsidP="00C12740">
      <w:pPr>
        <w:pStyle w:val="BodyTextMain"/>
        <w:rPr>
          <w:sz w:val="18"/>
          <w:szCs w:val="18"/>
        </w:rPr>
      </w:pPr>
    </w:p>
    <w:p w14:paraId="400A8591" w14:textId="518C1816" w:rsidR="007D35DA" w:rsidRPr="00241F40" w:rsidRDefault="007D35DA" w:rsidP="00C12740">
      <w:pPr>
        <w:pStyle w:val="BodyTextMain"/>
      </w:pPr>
      <w:r w:rsidRPr="00241F40">
        <w:t>Combined, international instant coffee brands led sales with 63</w:t>
      </w:r>
      <w:r w:rsidR="000521D6" w:rsidRPr="00241F40">
        <w:t xml:space="preserve"> </w:t>
      </w:r>
      <w:r w:rsidRPr="00241F40">
        <w:t>per cent market share in 2016,</w:t>
      </w:r>
      <w:r w:rsidR="008A48EB" w:rsidRPr="00241F40">
        <w:t xml:space="preserve"> while domestic brands accounted for the other 37 per cent</w:t>
      </w:r>
      <w:r w:rsidR="007C6995" w:rsidRPr="00241F40">
        <w:t>.</w:t>
      </w:r>
      <w:r w:rsidRPr="00241F40">
        <w:rPr>
          <w:rStyle w:val="FootnoteReference"/>
        </w:rPr>
        <w:footnoteReference w:id="16"/>
      </w:r>
      <w:r w:rsidRPr="00241F40">
        <w:t xml:space="preserve"> Larger investments in marketing and promotion g</w:t>
      </w:r>
      <w:r w:rsidR="00FA7007" w:rsidRPr="00241F40">
        <w:t>a</w:t>
      </w:r>
      <w:r w:rsidRPr="00241F40">
        <w:t>ve leading brands an edge.</w:t>
      </w:r>
      <w:r w:rsidRPr="00241F40">
        <w:rPr>
          <w:rStyle w:val="FootnoteReference"/>
        </w:rPr>
        <w:footnoteReference w:id="17"/>
      </w:r>
      <w:r w:rsidRPr="00241F40">
        <w:t xml:space="preserve"> Also, more affluent Ecuadorian consumers h</w:t>
      </w:r>
      <w:r w:rsidR="00FA7007" w:rsidRPr="00241F40">
        <w:t>e</w:t>
      </w:r>
      <w:r w:rsidRPr="00241F40">
        <w:t xml:space="preserve">ld the persistent belief that foreign products </w:t>
      </w:r>
      <w:r w:rsidR="00FA7007" w:rsidRPr="00241F40">
        <w:t>we</w:t>
      </w:r>
      <w:r w:rsidRPr="00241F40">
        <w:t xml:space="preserve">re of </w:t>
      </w:r>
      <w:r w:rsidR="007B2727">
        <w:t xml:space="preserve">a </w:t>
      </w:r>
      <w:r w:rsidRPr="00241F40">
        <w:t>higher quality.</w:t>
      </w:r>
    </w:p>
    <w:p w14:paraId="6EB2DDB8" w14:textId="77777777" w:rsidR="007D35DA" w:rsidRPr="00322E7A" w:rsidRDefault="007D35DA" w:rsidP="00C12740">
      <w:pPr>
        <w:pStyle w:val="BodyTextMain"/>
        <w:rPr>
          <w:sz w:val="18"/>
          <w:szCs w:val="18"/>
        </w:rPr>
      </w:pPr>
    </w:p>
    <w:p w14:paraId="5EF0D813" w14:textId="4767A7A4" w:rsidR="007D35DA" w:rsidRPr="00241F40" w:rsidRDefault="007D35DA" w:rsidP="00C12740">
      <w:pPr>
        <w:pStyle w:val="BodyTextMain"/>
      </w:pPr>
      <w:r w:rsidRPr="00241F40">
        <w:t>The Ecuadorian market in 2016 was dominated by Don Café with 20</w:t>
      </w:r>
      <w:r w:rsidR="000521D6" w:rsidRPr="00241F40">
        <w:t xml:space="preserve"> </w:t>
      </w:r>
      <w:r w:rsidRPr="00241F40">
        <w:t xml:space="preserve">per cent, followed by Nestlé’s </w:t>
      </w:r>
      <w:r w:rsidR="007E47E8" w:rsidRPr="00241F40">
        <w:t>Nescafé</w:t>
      </w:r>
      <w:r w:rsidRPr="00241F40">
        <w:t xml:space="preserve"> with 18.7</w:t>
      </w:r>
      <w:r w:rsidR="000521D6" w:rsidRPr="00241F40">
        <w:t xml:space="preserve"> </w:t>
      </w:r>
      <w:r w:rsidRPr="00241F40">
        <w:t>per cent</w:t>
      </w:r>
      <w:r w:rsidR="00FA7007" w:rsidRPr="00241F40">
        <w:t>,</w:t>
      </w:r>
      <w:r w:rsidRPr="00241F40">
        <w:t xml:space="preserve"> and El Café’s S</w:t>
      </w:r>
      <w:r w:rsidR="000A55EB" w:rsidRPr="00241F40">
        <w:t>í</w:t>
      </w:r>
      <w:r w:rsidRPr="00241F40">
        <w:t xml:space="preserve"> Café and Pres 2 accounting for another 18.4 per cent. Nestlé’s Gold led in the premium category with 7.2</w:t>
      </w:r>
      <w:r w:rsidR="000521D6" w:rsidRPr="00241F40">
        <w:t xml:space="preserve"> </w:t>
      </w:r>
      <w:r w:rsidRPr="00241F40">
        <w:t>per cent, while Café Oro held 2.1</w:t>
      </w:r>
      <w:r w:rsidR="000521D6" w:rsidRPr="00241F40">
        <w:t xml:space="preserve"> </w:t>
      </w:r>
      <w:r w:rsidRPr="00241F40">
        <w:t>per cent. Smaller niche players made up the rest of the market (see Exhibits 5 and 6)</w:t>
      </w:r>
      <w:r w:rsidR="007C6995" w:rsidRPr="00241F40">
        <w:t>.</w:t>
      </w:r>
      <w:r w:rsidR="00252609" w:rsidRPr="00241F40">
        <w:rPr>
          <w:rStyle w:val="FootnoteReference"/>
        </w:rPr>
        <w:footnoteReference w:id="18"/>
      </w:r>
    </w:p>
    <w:p w14:paraId="589E3109" w14:textId="77777777" w:rsidR="007D35DA" w:rsidRPr="00322E7A" w:rsidRDefault="007D35DA" w:rsidP="00C12740">
      <w:pPr>
        <w:pStyle w:val="BodyTextMain"/>
        <w:rPr>
          <w:sz w:val="18"/>
          <w:szCs w:val="18"/>
        </w:rPr>
      </w:pPr>
    </w:p>
    <w:p w14:paraId="47CC01D5" w14:textId="5A9FB986" w:rsidR="007D35DA" w:rsidRPr="00241F40" w:rsidRDefault="007D35DA" w:rsidP="00C12740">
      <w:pPr>
        <w:pStyle w:val="BodyTextMain"/>
      </w:pPr>
      <w:r w:rsidRPr="00241F40">
        <w:t>Instant coffee was traditionally served at breakfast, which</w:t>
      </w:r>
      <w:r w:rsidR="00FA7007" w:rsidRPr="00241F40">
        <w:t>,</w:t>
      </w:r>
      <w:r w:rsidRPr="00241F40">
        <w:t xml:space="preserve"> for the most part</w:t>
      </w:r>
      <w:r w:rsidR="00FA7007" w:rsidRPr="00241F40">
        <w:t>,</w:t>
      </w:r>
      <w:r w:rsidRPr="00241F40">
        <w:t xml:space="preserve"> meant </w:t>
      </w:r>
      <w:r w:rsidR="00FA7007" w:rsidRPr="00241F40">
        <w:t xml:space="preserve">it was consumed </w:t>
      </w:r>
      <w:r w:rsidRPr="00241F40">
        <w:t>in the family home. Typically, multiple generations of a family live</w:t>
      </w:r>
      <w:r w:rsidR="00FA7007" w:rsidRPr="00241F40">
        <w:t>d</w:t>
      </w:r>
      <w:r w:rsidRPr="00241F40">
        <w:t xml:space="preserve"> in the same home, and breakfast </w:t>
      </w:r>
      <w:r w:rsidR="00FA7007" w:rsidRPr="00241F40">
        <w:t>wa</w:t>
      </w:r>
      <w:r w:rsidRPr="00241F40">
        <w:t>s a family affair. More recently</w:t>
      </w:r>
      <w:r w:rsidR="00FA7007" w:rsidRPr="00241F40">
        <w:t>,</w:t>
      </w:r>
      <w:r w:rsidRPr="00241F40">
        <w:t xml:space="preserve"> a small percentage of children ha</w:t>
      </w:r>
      <w:r w:rsidR="00FA7007" w:rsidRPr="00241F40">
        <w:t>d</w:t>
      </w:r>
      <w:r w:rsidRPr="00241F40">
        <w:t xml:space="preserve"> </w:t>
      </w:r>
      <w:r w:rsidR="007B697C" w:rsidRPr="00241F40">
        <w:t xml:space="preserve">begun </w:t>
      </w:r>
      <w:r w:rsidRPr="00241F40">
        <w:t xml:space="preserve">to leave the family home to start </w:t>
      </w:r>
      <w:r w:rsidR="007B697C" w:rsidRPr="00241F40">
        <w:t xml:space="preserve">a home </w:t>
      </w:r>
      <w:r w:rsidRPr="00241F40">
        <w:t xml:space="preserve">of their own, typically after marriage. Until that time, the person serving breakfast in the house retained a large influence over what </w:t>
      </w:r>
      <w:r w:rsidR="00FA7007" w:rsidRPr="00241F40">
        <w:t>wa</w:t>
      </w:r>
      <w:r w:rsidRPr="00241F40">
        <w:t>s consumed, and hence purchased. However, as the economy gradually expanded, increased disposable income allow</w:t>
      </w:r>
      <w:r w:rsidR="00FA7007" w:rsidRPr="00241F40">
        <w:t>ed</w:t>
      </w:r>
      <w:r w:rsidRPr="00241F40">
        <w:t xml:space="preserve"> more dining out and visits to coffee shops in major urban areas such as Quito, Guayaquil, and Cuenca. One of the most popular local café chains, Sweet &amp; Coffee, ha</w:t>
      </w:r>
      <w:r w:rsidR="00FA7007" w:rsidRPr="00241F40">
        <w:t>d</w:t>
      </w:r>
      <w:r w:rsidRPr="00241F40">
        <w:t xml:space="preserve"> opened numerous locations in high</w:t>
      </w:r>
      <w:r w:rsidR="007B2727">
        <w:t>-</w:t>
      </w:r>
      <w:r w:rsidRPr="00241F40">
        <w:t>density urban areas</w:t>
      </w:r>
      <w:r w:rsidR="00FA7007" w:rsidRPr="00241F40">
        <w:t xml:space="preserve"> and</w:t>
      </w:r>
      <w:r w:rsidRPr="00241F40">
        <w:t xml:space="preserve"> on university campuses. SICA supplie</w:t>
      </w:r>
      <w:r w:rsidR="00FA7007" w:rsidRPr="00241F40">
        <w:t>d</w:t>
      </w:r>
      <w:r w:rsidRPr="00241F40">
        <w:t xml:space="preserve"> the chain with instant coffee.</w:t>
      </w:r>
    </w:p>
    <w:p w14:paraId="786F20DE" w14:textId="77777777" w:rsidR="007D35DA" w:rsidRPr="00322E7A" w:rsidRDefault="007D35DA" w:rsidP="00C12740">
      <w:pPr>
        <w:pStyle w:val="BodyTextMain"/>
        <w:rPr>
          <w:sz w:val="18"/>
          <w:szCs w:val="18"/>
        </w:rPr>
      </w:pPr>
    </w:p>
    <w:p w14:paraId="5A4CD258" w14:textId="18A28799" w:rsidR="007D35DA" w:rsidRPr="00241F40" w:rsidRDefault="007D35DA" w:rsidP="00C12740">
      <w:pPr>
        <w:pStyle w:val="BodyTextMain"/>
      </w:pPr>
      <w:r w:rsidRPr="00241F40">
        <w:t>A rare foreign entry, Dunkin’ Donuts, ha</w:t>
      </w:r>
      <w:r w:rsidR="00FA7007" w:rsidRPr="00241F40">
        <w:t>d</w:t>
      </w:r>
      <w:r w:rsidRPr="00241F40">
        <w:t xml:space="preserve"> four locations in Guayaquil and one in Quito. These shops </w:t>
      </w:r>
      <w:r w:rsidR="00FA7007" w:rsidRPr="00241F40">
        <w:t>we</w:t>
      </w:r>
      <w:r w:rsidRPr="00241F40">
        <w:t>re typically patronized more for their baked goods, such as donuts and cakes, than for their fresh-brewed coffee. Major international players such as Starbucks ha</w:t>
      </w:r>
      <w:r w:rsidR="00FA7007" w:rsidRPr="00241F40">
        <w:t>d</w:t>
      </w:r>
      <w:r w:rsidRPr="00241F40">
        <w:t xml:space="preserve"> yet to gain a foothold in Ecuador, but smaller local players </w:t>
      </w:r>
      <w:r w:rsidR="00FA7007" w:rsidRPr="00241F40">
        <w:t>we</w:t>
      </w:r>
      <w:r w:rsidRPr="00241F40">
        <w:t>re gradually opening new shops. These appeal</w:t>
      </w:r>
      <w:r w:rsidR="00FA7007" w:rsidRPr="00241F40">
        <w:t>ed</w:t>
      </w:r>
      <w:r w:rsidRPr="00241F40">
        <w:t xml:space="preserve"> to a younger, more educated crowd interested in the variety of hot and cold coffee-based beverages, tea</w:t>
      </w:r>
      <w:r w:rsidR="00FA7007" w:rsidRPr="00241F40">
        <w:t>,</w:t>
      </w:r>
      <w:r w:rsidRPr="00241F40">
        <w:t xml:space="preserve"> and fruit juice concoctions, as well as </w:t>
      </w:r>
      <w:r w:rsidR="005157EF">
        <w:t>in the</w:t>
      </w:r>
      <w:r w:rsidRPr="00241F40">
        <w:t xml:space="preserve"> reasonable variety of artisan sandwiches and baked goods inspired by European and American cuisine.</w:t>
      </w:r>
    </w:p>
    <w:p w14:paraId="502E50CF" w14:textId="77777777" w:rsidR="007D35DA" w:rsidRPr="00322E7A" w:rsidRDefault="007D35DA" w:rsidP="00C12740">
      <w:pPr>
        <w:pStyle w:val="BodyTextMain"/>
        <w:rPr>
          <w:sz w:val="18"/>
          <w:szCs w:val="18"/>
        </w:rPr>
      </w:pPr>
    </w:p>
    <w:p w14:paraId="1BDF030C" w14:textId="77777777" w:rsidR="007D35DA" w:rsidRPr="00322E7A" w:rsidRDefault="007D35DA" w:rsidP="00C12740">
      <w:pPr>
        <w:pStyle w:val="BodyTextMain"/>
        <w:rPr>
          <w:sz w:val="18"/>
          <w:szCs w:val="18"/>
        </w:rPr>
      </w:pPr>
    </w:p>
    <w:p w14:paraId="5584A1C6" w14:textId="77777777" w:rsidR="007D35DA" w:rsidRPr="00241F40" w:rsidRDefault="007D35DA" w:rsidP="005831FD">
      <w:pPr>
        <w:pStyle w:val="Casehead2"/>
        <w:outlineLvl w:val="0"/>
      </w:pPr>
      <w:r w:rsidRPr="00241F40">
        <w:t>Exports</w:t>
      </w:r>
    </w:p>
    <w:p w14:paraId="5C3F0E88" w14:textId="77777777" w:rsidR="007D35DA" w:rsidRPr="00322E7A" w:rsidRDefault="007D35DA" w:rsidP="00C12740">
      <w:pPr>
        <w:pStyle w:val="BodyTextMain"/>
        <w:rPr>
          <w:sz w:val="18"/>
          <w:szCs w:val="18"/>
        </w:rPr>
      </w:pPr>
    </w:p>
    <w:p w14:paraId="67BE616E" w14:textId="3027A9AB" w:rsidR="007D35DA" w:rsidRPr="00241F40" w:rsidRDefault="007D35DA" w:rsidP="00C12740">
      <w:pPr>
        <w:pStyle w:val="BodyTextMain"/>
        <w:rPr>
          <w:spacing w:val="-4"/>
        </w:rPr>
      </w:pPr>
      <w:r w:rsidRPr="00241F40">
        <w:t>Exports of coffee from Ecuador ha</w:t>
      </w:r>
      <w:r w:rsidR="00084C37" w:rsidRPr="00241F40">
        <w:t>d</w:t>
      </w:r>
      <w:r w:rsidRPr="00241F40">
        <w:t xml:space="preserve"> decreased dramati</w:t>
      </w:r>
      <w:r w:rsidR="00951FDF" w:rsidRPr="00241F40">
        <w:t xml:space="preserve">cally, from about </w:t>
      </w:r>
      <w:r w:rsidR="00084C37" w:rsidRPr="00241F40">
        <w:t>$</w:t>
      </w:r>
      <w:r w:rsidR="00951FDF" w:rsidRPr="00241F40">
        <w:t xml:space="preserve">75 million </w:t>
      </w:r>
      <w:r w:rsidRPr="00241F40">
        <w:t xml:space="preserve">in </w:t>
      </w:r>
      <w:r w:rsidR="00951FDF" w:rsidRPr="00241F40">
        <w:t xml:space="preserve">2012 to less than </w:t>
      </w:r>
      <w:r w:rsidR="00084C37" w:rsidRPr="00241F40">
        <w:t>$</w:t>
      </w:r>
      <w:r w:rsidR="00951FDF" w:rsidRPr="00241F40">
        <w:t>18</w:t>
      </w:r>
      <w:r w:rsidR="004A2F3D">
        <w:t xml:space="preserve"> </w:t>
      </w:r>
      <w:r w:rsidR="00951FDF" w:rsidRPr="00241F40">
        <w:t xml:space="preserve">million </w:t>
      </w:r>
      <w:r w:rsidRPr="00241F40">
        <w:t>in 2016</w:t>
      </w:r>
      <w:r w:rsidR="007C6995" w:rsidRPr="00241F40">
        <w:t>.</w:t>
      </w:r>
      <w:r w:rsidR="00252609" w:rsidRPr="00241F40">
        <w:rPr>
          <w:rStyle w:val="FootnoteReference"/>
        </w:rPr>
        <w:footnoteReference w:id="19"/>
      </w:r>
      <w:r w:rsidRPr="00241F40">
        <w:t xml:space="preserve"> One of the key factors affecting coffee production </w:t>
      </w:r>
      <w:r w:rsidR="00084C37" w:rsidRPr="00241F40">
        <w:t>wa</w:t>
      </w:r>
      <w:r w:rsidRPr="00241F40">
        <w:t xml:space="preserve">s the age of coffee </w:t>
      </w:r>
      <w:r w:rsidRPr="00241F40">
        <w:lastRenderedPageBreak/>
        <w:t xml:space="preserve">plantations. Peak Arabica and Robusta yields </w:t>
      </w:r>
      <w:r w:rsidR="00084C37" w:rsidRPr="00241F40">
        <w:t>we</w:t>
      </w:r>
      <w:r w:rsidRPr="00241F40">
        <w:t>re obtained at very different stages of plantation growth. More than 50</w:t>
      </w:r>
      <w:r w:rsidR="00AF13C8">
        <w:t xml:space="preserve"> </w:t>
      </w:r>
      <w:r w:rsidRPr="00241F40">
        <w:t xml:space="preserve">per cent of the planted area of Arabica and Robusta </w:t>
      </w:r>
      <w:r w:rsidR="00084C37" w:rsidRPr="00241F40">
        <w:t>wa</w:t>
      </w:r>
      <w:r w:rsidRPr="00241F40">
        <w:t xml:space="preserve">s less than </w:t>
      </w:r>
      <w:r w:rsidR="005157EF">
        <w:t>four</w:t>
      </w:r>
      <w:r w:rsidRPr="00241F40">
        <w:t xml:space="preserve"> years old, and produce</w:t>
      </w:r>
      <w:r w:rsidR="00084C37" w:rsidRPr="00241F40">
        <w:t>d</w:t>
      </w:r>
      <w:r w:rsidRPr="00241F40">
        <w:t xml:space="preserve"> up to</w:t>
      </w:r>
      <w:r w:rsidR="005157EF">
        <w:t xml:space="preserve"> one-third</w:t>
      </w:r>
      <w:r w:rsidR="00F71CAC" w:rsidRPr="00241F40">
        <w:t> </w:t>
      </w:r>
      <w:r w:rsidR="00405135">
        <w:t xml:space="preserve">of a </w:t>
      </w:r>
      <w:r w:rsidRPr="00241F40">
        <w:t>ton</w:t>
      </w:r>
      <w:r w:rsidR="00C51994" w:rsidRPr="00241F40">
        <w:t>ne</w:t>
      </w:r>
      <w:r w:rsidRPr="00241F40">
        <w:t xml:space="preserve"> per hectare, compared to up to</w:t>
      </w:r>
      <w:r w:rsidR="005157EF">
        <w:t xml:space="preserve"> two-thirds </w:t>
      </w:r>
      <w:r w:rsidR="00405135">
        <w:t xml:space="preserve">of a </w:t>
      </w:r>
      <w:r w:rsidR="005157EF">
        <w:t>tonne</w:t>
      </w:r>
      <w:r w:rsidRPr="00241F40">
        <w:t xml:space="preserve"> per hectare for older plantations.</w:t>
      </w:r>
      <w:r w:rsidRPr="00241F40">
        <w:rPr>
          <w:rStyle w:val="FootnoteReference"/>
        </w:rPr>
        <w:footnoteReference w:id="20"/>
      </w:r>
      <w:r w:rsidRPr="00241F40">
        <w:t xml:space="preserve"> The oldest plantations (more than 30 years</w:t>
      </w:r>
      <w:r w:rsidR="00102913" w:rsidRPr="00241F40">
        <w:t xml:space="preserve"> old</w:t>
      </w:r>
      <w:r w:rsidRPr="00241F40">
        <w:t xml:space="preserve">) </w:t>
      </w:r>
      <w:r w:rsidR="00084C37" w:rsidRPr="00241F40">
        <w:t>we</w:t>
      </w:r>
      <w:r w:rsidRPr="00241F40">
        <w:t>re in the Arabica species, comprising 3</w:t>
      </w:r>
      <w:r w:rsidR="000521D6" w:rsidRPr="00241F40">
        <w:t xml:space="preserve"> </w:t>
      </w:r>
      <w:r w:rsidRPr="00241F40">
        <w:t>per cent of the total cultivated area of Ecuador. Arabica plantations produce</w:t>
      </w:r>
      <w:r w:rsidR="00084C37" w:rsidRPr="00241F40">
        <w:t>d</w:t>
      </w:r>
      <w:r w:rsidRPr="00241F40">
        <w:t xml:space="preserve"> </w:t>
      </w:r>
      <w:r w:rsidR="005157EF">
        <w:t xml:space="preserve">the </w:t>
      </w:r>
      <w:r w:rsidRPr="00241F40">
        <w:t xml:space="preserve">highest yields when between </w:t>
      </w:r>
      <w:r w:rsidR="00084C37" w:rsidRPr="00241F40">
        <w:t xml:space="preserve">four </w:t>
      </w:r>
      <w:r w:rsidRPr="00241F40">
        <w:t>to 10 years old, so younger plantations offer</w:t>
      </w:r>
      <w:r w:rsidR="00084C37" w:rsidRPr="00241F40">
        <w:t>ed</w:t>
      </w:r>
      <w:r w:rsidRPr="00241F40">
        <w:t xml:space="preserve"> the potential to add an addition</w:t>
      </w:r>
      <w:r w:rsidR="00084C37" w:rsidRPr="00241F40">
        <w:t>al</w:t>
      </w:r>
      <w:r w:rsidRPr="00241F40">
        <w:t xml:space="preserve"> </w:t>
      </w:r>
      <w:r w:rsidR="005157EF">
        <w:t xml:space="preserve">one-third </w:t>
      </w:r>
      <w:r w:rsidR="00405135">
        <w:t xml:space="preserve">of a </w:t>
      </w:r>
      <w:r w:rsidR="005157EF">
        <w:t>tonne</w:t>
      </w:r>
      <w:r w:rsidRPr="00241F40">
        <w:t xml:space="preserve"> per hectare.</w:t>
      </w:r>
      <w:r w:rsidRPr="00241F40">
        <w:rPr>
          <w:rStyle w:val="FootnoteReference"/>
        </w:rPr>
        <w:footnoteReference w:id="21"/>
      </w:r>
      <w:r w:rsidRPr="00241F40">
        <w:rPr>
          <w:vertAlign w:val="superscript"/>
        </w:rPr>
        <w:t xml:space="preserve"> </w:t>
      </w:r>
      <w:r w:rsidRPr="00241F40">
        <w:t xml:space="preserve">Unlike the Arabica species, peak production of Robusta coffee </w:t>
      </w:r>
      <w:r w:rsidR="00102913" w:rsidRPr="00241F40">
        <w:t>wa</w:t>
      </w:r>
      <w:r w:rsidRPr="00241F40">
        <w:t>s reached before the third year</w:t>
      </w:r>
      <w:r w:rsidRPr="00241F40">
        <w:rPr>
          <w:spacing w:val="-20"/>
        </w:rPr>
        <w:t>.</w:t>
      </w:r>
      <w:r w:rsidR="00102913" w:rsidRPr="00241F40">
        <w:rPr>
          <w:spacing w:val="-20"/>
        </w:rPr>
        <w:t xml:space="preserve"> </w:t>
      </w:r>
      <w:r w:rsidRPr="00241F40">
        <w:rPr>
          <w:spacing w:val="-4"/>
        </w:rPr>
        <w:t>As the value of coffee beans decrease</w:t>
      </w:r>
      <w:r w:rsidR="00102913" w:rsidRPr="00241F40">
        <w:rPr>
          <w:spacing w:val="-4"/>
        </w:rPr>
        <w:t>d</w:t>
      </w:r>
      <w:r w:rsidRPr="00241F40">
        <w:rPr>
          <w:spacing w:val="-4"/>
        </w:rPr>
        <w:t xml:space="preserve"> relative to other products, such as cacao, roses</w:t>
      </w:r>
      <w:r w:rsidR="00102913" w:rsidRPr="00241F40">
        <w:rPr>
          <w:spacing w:val="-4"/>
        </w:rPr>
        <w:t>,</w:t>
      </w:r>
      <w:r w:rsidRPr="00241F40">
        <w:rPr>
          <w:spacing w:val="-4"/>
        </w:rPr>
        <w:t xml:space="preserve"> and whole grains, older plantations </w:t>
      </w:r>
      <w:r w:rsidR="00102913" w:rsidRPr="00241F40">
        <w:rPr>
          <w:spacing w:val="-4"/>
        </w:rPr>
        <w:t>we</w:t>
      </w:r>
      <w:r w:rsidRPr="00241F40">
        <w:rPr>
          <w:spacing w:val="-4"/>
        </w:rPr>
        <w:t>re replaced with higher value produce.</w:t>
      </w:r>
    </w:p>
    <w:p w14:paraId="3AA02197" w14:textId="77777777" w:rsidR="00D16F06" w:rsidRPr="00322E7A" w:rsidRDefault="00D16F06" w:rsidP="00C12740">
      <w:pPr>
        <w:pStyle w:val="BodyTextMain"/>
        <w:rPr>
          <w:spacing w:val="-4"/>
          <w:sz w:val="18"/>
          <w:szCs w:val="18"/>
        </w:rPr>
      </w:pPr>
    </w:p>
    <w:p w14:paraId="42A8D31E" w14:textId="77777777" w:rsidR="00D16F06" w:rsidRPr="00322E7A" w:rsidRDefault="00D16F06" w:rsidP="00C12740">
      <w:pPr>
        <w:pStyle w:val="BodyTextMain"/>
        <w:rPr>
          <w:spacing w:val="-4"/>
          <w:sz w:val="18"/>
          <w:szCs w:val="18"/>
        </w:rPr>
      </w:pPr>
    </w:p>
    <w:p w14:paraId="0DACA935" w14:textId="77777777" w:rsidR="007D35DA" w:rsidRPr="00241F40" w:rsidRDefault="007D35DA" w:rsidP="005831FD">
      <w:pPr>
        <w:pStyle w:val="Casehead2"/>
        <w:outlineLvl w:val="0"/>
      </w:pPr>
      <w:r w:rsidRPr="00241F40">
        <w:t>Imports</w:t>
      </w:r>
    </w:p>
    <w:p w14:paraId="33E40D7A" w14:textId="77777777" w:rsidR="007D35DA" w:rsidRPr="00322E7A" w:rsidRDefault="007D35DA" w:rsidP="00C12740">
      <w:pPr>
        <w:pStyle w:val="BodyTextMain"/>
        <w:rPr>
          <w:sz w:val="18"/>
          <w:szCs w:val="18"/>
        </w:rPr>
      </w:pPr>
    </w:p>
    <w:p w14:paraId="4EE5D623" w14:textId="3AE05E92" w:rsidR="007D35DA" w:rsidRPr="00241F40" w:rsidRDefault="007D35DA" w:rsidP="00C12740">
      <w:pPr>
        <w:pStyle w:val="BodyTextMain"/>
      </w:pPr>
      <w:r w:rsidRPr="00241F40">
        <w:t>Due to decreasing domestic production of coffee, factories ha</w:t>
      </w:r>
      <w:r w:rsidR="00102913" w:rsidRPr="00241F40">
        <w:t>d</w:t>
      </w:r>
      <w:r w:rsidRPr="00241F40">
        <w:t xml:space="preserve"> been forced to seek international suppliers. For instanc</w:t>
      </w:r>
      <w:r w:rsidR="000521D6" w:rsidRPr="00241F40">
        <w:t>e, in 2012, Ecuador imported</w:t>
      </w:r>
      <w:r w:rsidRPr="00241F40">
        <w:t xml:space="preserve"> </w:t>
      </w:r>
      <w:r w:rsidR="00102913" w:rsidRPr="00241F40">
        <w:t>$</w:t>
      </w:r>
      <w:r w:rsidRPr="00241F40">
        <w:t>214.6 million</w:t>
      </w:r>
      <w:r w:rsidR="00951FDF" w:rsidRPr="00241F40">
        <w:t xml:space="preserve"> </w:t>
      </w:r>
      <w:r w:rsidRPr="00241F40">
        <w:t xml:space="preserve">in coffee (see </w:t>
      </w:r>
      <w:r w:rsidR="00210BCC">
        <w:t>Exhibit 6</w:t>
      </w:r>
      <w:r w:rsidRPr="00241F40">
        <w:t>). Vietnam ha</w:t>
      </w:r>
      <w:r w:rsidR="00102913" w:rsidRPr="00241F40">
        <w:t>d</w:t>
      </w:r>
      <w:r w:rsidRPr="00241F40">
        <w:t xml:space="preserve"> been the primary supplier due to the reasonable quality and lower price of </w:t>
      </w:r>
      <w:r w:rsidR="005157EF">
        <w:t>its</w:t>
      </w:r>
      <w:r w:rsidRPr="00241F40">
        <w:t xml:space="preserve"> product</w:t>
      </w:r>
      <w:r w:rsidR="007C6995" w:rsidRPr="00241F40">
        <w:t>.</w:t>
      </w:r>
      <w:r w:rsidR="00252609" w:rsidRPr="00241F40">
        <w:rPr>
          <w:rStyle w:val="FootnoteReference"/>
        </w:rPr>
        <w:footnoteReference w:id="22"/>
      </w:r>
      <w:r w:rsidRPr="00241F40">
        <w:t xml:space="preserve"> </w:t>
      </w:r>
      <w:r w:rsidR="005157EF">
        <w:t xml:space="preserve">However, </w:t>
      </w:r>
      <w:r w:rsidRPr="00241F40">
        <w:t xml:space="preserve">Salcedo-Benitez felt the quality of imported beans </w:t>
      </w:r>
      <w:r w:rsidR="00102913" w:rsidRPr="00241F40">
        <w:t>wa</w:t>
      </w:r>
      <w:r w:rsidRPr="00241F40">
        <w:t xml:space="preserve">s not on par with those he sourced from Ecuador. </w:t>
      </w:r>
    </w:p>
    <w:p w14:paraId="6254EE3B" w14:textId="77777777" w:rsidR="007D35DA" w:rsidRPr="00322E7A" w:rsidRDefault="007D35DA" w:rsidP="00C12740">
      <w:pPr>
        <w:pStyle w:val="BodyTextMain"/>
        <w:rPr>
          <w:sz w:val="18"/>
          <w:szCs w:val="18"/>
        </w:rPr>
      </w:pPr>
    </w:p>
    <w:p w14:paraId="6F442E63" w14:textId="77777777" w:rsidR="007D35DA" w:rsidRPr="00322E7A" w:rsidRDefault="007D35DA" w:rsidP="00C12740">
      <w:pPr>
        <w:pStyle w:val="BodyTextMain"/>
        <w:rPr>
          <w:sz w:val="18"/>
          <w:szCs w:val="18"/>
        </w:rPr>
      </w:pPr>
    </w:p>
    <w:p w14:paraId="25B48DD1" w14:textId="77777777" w:rsidR="007D35DA" w:rsidRPr="00241F40" w:rsidRDefault="001A3E52" w:rsidP="005831FD">
      <w:pPr>
        <w:pStyle w:val="Casehead2"/>
        <w:outlineLvl w:val="0"/>
      </w:pPr>
      <w:r w:rsidRPr="00241F40">
        <w:t>Government I</w:t>
      </w:r>
      <w:r w:rsidR="007D35DA" w:rsidRPr="00241F40">
        <w:t>ntervention</w:t>
      </w:r>
    </w:p>
    <w:p w14:paraId="1AB15C86" w14:textId="77777777" w:rsidR="007D35DA" w:rsidRPr="00322E7A" w:rsidRDefault="007D35DA" w:rsidP="00C12740">
      <w:pPr>
        <w:pStyle w:val="BodyTextMain"/>
        <w:rPr>
          <w:sz w:val="18"/>
          <w:szCs w:val="18"/>
        </w:rPr>
      </w:pPr>
    </w:p>
    <w:p w14:paraId="2137531A" w14:textId="37D53F0E" w:rsidR="007D35DA" w:rsidRPr="00241F40" w:rsidRDefault="007D35DA" w:rsidP="00C12740">
      <w:pPr>
        <w:pStyle w:val="BodyTextMain"/>
      </w:pPr>
      <w:r w:rsidRPr="00241F40">
        <w:t xml:space="preserve">To boost coffee production, </w:t>
      </w:r>
      <w:r w:rsidR="00102913" w:rsidRPr="00241F40">
        <w:t>t</w:t>
      </w:r>
      <w:r w:rsidRPr="00241F40">
        <w:t xml:space="preserve">he Ministry of Agriculture, </w:t>
      </w:r>
      <w:r w:rsidR="007E47E8" w:rsidRPr="00241F40">
        <w:t xml:space="preserve">Livestock, </w:t>
      </w:r>
      <w:r w:rsidRPr="00241F40">
        <w:t xml:space="preserve">Aquaculture, and Fisheries started the </w:t>
      </w:r>
      <w:r w:rsidR="007E47E8" w:rsidRPr="00241F40">
        <w:t xml:space="preserve">Coffee </w:t>
      </w:r>
      <w:r w:rsidRPr="00241F40">
        <w:t>Reactivation Project</w:t>
      </w:r>
      <w:r w:rsidR="007E47E8" w:rsidRPr="00241F40">
        <w:t xml:space="preserve"> in Ecuador</w:t>
      </w:r>
      <w:r w:rsidRPr="00241F40">
        <w:t xml:space="preserve">. The main goals </w:t>
      </w:r>
      <w:r w:rsidR="00102913" w:rsidRPr="00241F40">
        <w:t>we</w:t>
      </w:r>
      <w:r w:rsidRPr="00241F40">
        <w:t>re to boost productivity and profitability, fund research on quality improvement, and encourage more segments of the value chain to remain in Ecuador. The project started in 2012 with a goal to renew 135,000 hectare</w:t>
      </w:r>
      <w:r w:rsidR="000521D6" w:rsidRPr="00241F40">
        <w:t>s with a total investment of</w:t>
      </w:r>
      <w:r w:rsidRPr="00241F40">
        <w:t xml:space="preserve"> </w:t>
      </w:r>
      <w:r w:rsidR="00102913" w:rsidRPr="00241F40">
        <w:t>$</w:t>
      </w:r>
      <w:r w:rsidRPr="00241F40">
        <w:t>70 million by 2021.</w:t>
      </w:r>
      <w:r w:rsidRPr="00241F40">
        <w:rPr>
          <w:rStyle w:val="FootnoteReference"/>
        </w:rPr>
        <w:footnoteReference w:id="23"/>
      </w:r>
      <w:r w:rsidRPr="00241F40">
        <w:t xml:space="preserve"> In 2016, 82</w:t>
      </w:r>
      <w:r w:rsidR="000521D6" w:rsidRPr="00241F40">
        <w:t xml:space="preserve"> </w:t>
      </w:r>
      <w:r w:rsidRPr="00241F40">
        <w:t>per cent of Arabica and 39</w:t>
      </w:r>
      <w:r w:rsidR="000521D6" w:rsidRPr="00241F40">
        <w:t xml:space="preserve"> </w:t>
      </w:r>
      <w:r w:rsidRPr="00241F40">
        <w:t>per cent of Robusta coffee farmers joined these initiatives, and production noticeably increased</w:t>
      </w:r>
      <w:r w:rsidR="007C6995" w:rsidRPr="00241F40">
        <w:t>.</w:t>
      </w:r>
      <w:r w:rsidR="00E25D5C" w:rsidRPr="00241F40">
        <w:rPr>
          <w:rStyle w:val="FootnoteReference"/>
        </w:rPr>
        <w:footnoteReference w:id="24"/>
      </w:r>
    </w:p>
    <w:p w14:paraId="627BDECA" w14:textId="77777777" w:rsidR="007D35DA" w:rsidRPr="00322E7A" w:rsidRDefault="007D35DA" w:rsidP="00C12740">
      <w:pPr>
        <w:pStyle w:val="BodyTextMain"/>
        <w:rPr>
          <w:sz w:val="18"/>
          <w:szCs w:val="18"/>
        </w:rPr>
      </w:pPr>
    </w:p>
    <w:p w14:paraId="451EDD20" w14:textId="77777777" w:rsidR="007D35DA" w:rsidRPr="00322E7A" w:rsidRDefault="007D35DA" w:rsidP="00C12740">
      <w:pPr>
        <w:pStyle w:val="BodyTextMain"/>
        <w:rPr>
          <w:sz w:val="18"/>
          <w:szCs w:val="18"/>
        </w:rPr>
      </w:pPr>
    </w:p>
    <w:p w14:paraId="4C15E420" w14:textId="77777777" w:rsidR="007D35DA" w:rsidRPr="00241F40" w:rsidRDefault="007D35DA" w:rsidP="005831FD">
      <w:pPr>
        <w:pStyle w:val="Casehead1"/>
        <w:outlineLvl w:val="0"/>
      </w:pPr>
      <w:r w:rsidRPr="00241F40">
        <w:t>SICA’S CONTRIBUTION TO THE ECUADORIAN COFFEE INDUSTRY</w:t>
      </w:r>
    </w:p>
    <w:p w14:paraId="7EDD6EBF" w14:textId="77777777" w:rsidR="007D35DA" w:rsidRPr="00322E7A" w:rsidRDefault="007D35DA" w:rsidP="00C12740">
      <w:pPr>
        <w:pStyle w:val="BodyTextMain"/>
        <w:rPr>
          <w:sz w:val="18"/>
          <w:szCs w:val="18"/>
        </w:rPr>
      </w:pPr>
    </w:p>
    <w:p w14:paraId="30DCA5CD" w14:textId="587E7D58" w:rsidR="007D35DA" w:rsidRPr="00241F40" w:rsidRDefault="004F0C99" w:rsidP="00C12740">
      <w:pPr>
        <w:pStyle w:val="BodyTextMain"/>
      </w:pPr>
      <w:r w:rsidRPr="00241F40">
        <w:t xml:space="preserve">Salcedo-Benitez maintained that low productivity was a key issue facing the coffee sector in Ecuador. To help ameliorate the situation, </w:t>
      </w:r>
      <w:r w:rsidR="00102913" w:rsidRPr="00241F40">
        <w:t>SICA</w:t>
      </w:r>
      <w:r w:rsidR="007D35DA" w:rsidRPr="00241F40">
        <w:t xml:space="preserve"> had been working with several universities</w:t>
      </w:r>
      <w:r w:rsidRPr="00241F40">
        <w:t xml:space="preserve"> since 2015</w:t>
      </w:r>
      <w:r w:rsidR="00010A8B" w:rsidRPr="00241F40">
        <w:t>,</w:t>
      </w:r>
      <w:r w:rsidR="007D35DA" w:rsidRPr="00241F40">
        <w:t xml:space="preserve"> </w:t>
      </w:r>
      <w:r w:rsidR="00010A8B" w:rsidRPr="00241F40">
        <w:t xml:space="preserve">sponsoring research </w:t>
      </w:r>
      <w:r w:rsidR="007D35DA" w:rsidRPr="00241F40">
        <w:t xml:space="preserve">to increase the production of coffee beans. </w:t>
      </w:r>
      <w:r w:rsidRPr="00241F40">
        <w:t xml:space="preserve">SICA also boosted production by </w:t>
      </w:r>
      <w:r w:rsidR="007D35DA" w:rsidRPr="00241F40">
        <w:t>incentiviz</w:t>
      </w:r>
      <w:r w:rsidRPr="00241F40">
        <w:t>ing</w:t>
      </w:r>
      <w:r w:rsidR="007D35DA" w:rsidRPr="00241F40">
        <w:t xml:space="preserve"> farmers</w:t>
      </w:r>
      <w:r w:rsidRPr="00241F40">
        <w:t xml:space="preserve">, paying </w:t>
      </w:r>
      <w:r w:rsidR="007D35DA" w:rsidRPr="00241F40">
        <w:t>$6 more than market price per 70 kg of raw coffee beans. This created a win</w:t>
      </w:r>
      <w:r w:rsidR="006B4AA3">
        <w:t>–</w:t>
      </w:r>
      <w:r w:rsidR="007D35DA" w:rsidRPr="00241F40">
        <w:t xml:space="preserve">win situation </w:t>
      </w:r>
      <w:r w:rsidRPr="00241F40">
        <w:t xml:space="preserve">for </w:t>
      </w:r>
      <w:r w:rsidR="007D35DA" w:rsidRPr="00241F40">
        <w:t xml:space="preserve">SICA and </w:t>
      </w:r>
      <w:r w:rsidRPr="00241F40">
        <w:t xml:space="preserve">the </w:t>
      </w:r>
      <w:r w:rsidR="007D35DA" w:rsidRPr="00241F40">
        <w:t>coffee farmers</w:t>
      </w:r>
      <w:r w:rsidRPr="00241F40">
        <w:t xml:space="preserve">. </w:t>
      </w:r>
      <w:r w:rsidR="007D35DA" w:rsidRPr="00241F40">
        <w:t xml:space="preserve">SICA had worked for decades to obtain </w:t>
      </w:r>
      <w:r w:rsidR="006B4AA3">
        <w:t>its</w:t>
      </w:r>
      <w:r w:rsidR="007D35DA" w:rsidRPr="00241F40">
        <w:t xml:space="preserve"> preferred buyer status among local farmers</w:t>
      </w:r>
      <w:r w:rsidRPr="00241F40">
        <w:t>; t</w:t>
      </w:r>
      <w:r w:rsidR="007D35DA" w:rsidRPr="00241F40">
        <w:t>hese relationships helped stabilize the supply of high quality coffee beans within Ecuador</w:t>
      </w:r>
      <w:r w:rsidRPr="00241F40">
        <w:t>. A</w:t>
      </w:r>
      <w:r w:rsidR="007D35DA" w:rsidRPr="00241F40">
        <w:t>nd coffee farmers received a tangible incentive for increas</w:t>
      </w:r>
      <w:r w:rsidR="006B4AA3">
        <w:t>ing</w:t>
      </w:r>
      <w:r w:rsidR="007D35DA" w:rsidRPr="00241F40">
        <w:t xml:space="preserve"> production of high quality beans.</w:t>
      </w:r>
      <w:r w:rsidRPr="00241F40">
        <w:t xml:space="preserve"> In addition, </w:t>
      </w:r>
      <w:r w:rsidR="007D35DA" w:rsidRPr="00241F40">
        <w:t xml:space="preserve">SICA implemented two partnership programs in the cities of Echeandía and Guaranda, in </w:t>
      </w:r>
      <w:r w:rsidR="00314092" w:rsidRPr="00241F40">
        <w:t xml:space="preserve">the province of </w:t>
      </w:r>
      <w:r w:rsidR="007D35DA" w:rsidRPr="00241F40">
        <w:t xml:space="preserve">Bolívar, aided by the National Coffee Council. Partnering with about 250 farmers, </w:t>
      </w:r>
      <w:r w:rsidR="00314092" w:rsidRPr="00241F40">
        <w:t xml:space="preserve">SICA was </w:t>
      </w:r>
      <w:r w:rsidR="007D35DA" w:rsidRPr="00241F40">
        <w:t>developing 300 hectares of coffee. In exchange for producing coffee, these farmers received advice and economic support from SICA and the National Coffee Council.</w:t>
      </w:r>
    </w:p>
    <w:p w14:paraId="1BD175FA" w14:textId="77777777" w:rsidR="007D35DA" w:rsidRDefault="007D35DA" w:rsidP="00C12740">
      <w:pPr>
        <w:pStyle w:val="BodyTextMain"/>
        <w:rPr>
          <w:sz w:val="18"/>
          <w:szCs w:val="18"/>
        </w:rPr>
      </w:pPr>
    </w:p>
    <w:p w14:paraId="0371E9C8" w14:textId="77777777" w:rsidR="00322E7A" w:rsidRPr="00322E7A" w:rsidRDefault="00322E7A" w:rsidP="00C12740">
      <w:pPr>
        <w:pStyle w:val="BodyTextMain"/>
        <w:rPr>
          <w:sz w:val="18"/>
          <w:szCs w:val="18"/>
        </w:rPr>
      </w:pPr>
    </w:p>
    <w:p w14:paraId="37011626" w14:textId="77777777" w:rsidR="007D35DA" w:rsidRPr="00241F40" w:rsidRDefault="007D35DA" w:rsidP="005831FD">
      <w:pPr>
        <w:pStyle w:val="Casehead2"/>
        <w:outlineLvl w:val="0"/>
      </w:pPr>
      <w:r w:rsidRPr="00241F40">
        <w:lastRenderedPageBreak/>
        <w:t>Internationalization</w:t>
      </w:r>
    </w:p>
    <w:p w14:paraId="3FBB8812" w14:textId="77777777" w:rsidR="007D35DA" w:rsidRPr="00322E7A" w:rsidRDefault="007D35DA" w:rsidP="00C12740">
      <w:pPr>
        <w:pStyle w:val="BodyTextMain"/>
        <w:rPr>
          <w:sz w:val="18"/>
          <w:szCs w:val="18"/>
        </w:rPr>
      </w:pPr>
    </w:p>
    <w:p w14:paraId="66820A5D" w14:textId="2C10E4DA" w:rsidR="00C35119" w:rsidRPr="00241F40" w:rsidRDefault="007D35DA" w:rsidP="00C12740">
      <w:pPr>
        <w:pStyle w:val="BodyTextMain"/>
      </w:pPr>
      <w:r w:rsidRPr="00241F40">
        <w:t xml:space="preserve">The international market for </w:t>
      </w:r>
      <w:r w:rsidR="00C35119" w:rsidRPr="00241F40">
        <w:t>SICA’s</w:t>
      </w:r>
      <w:r w:rsidRPr="00241F40">
        <w:t xml:space="preserve"> products had proven much more challenging</w:t>
      </w:r>
      <w:r w:rsidR="0022523A" w:rsidRPr="00241F40">
        <w:t xml:space="preserve"> than the domestic market</w:t>
      </w:r>
      <w:r w:rsidRPr="00241F40">
        <w:t>. Cultural differences, increased rivalry</w:t>
      </w:r>
      <w:r w:rsidR="00C35119" w:rsidRPr="00241F40">
        <w:t>,</w:t>
      </w:r>
      <w:r w:rsidRPr="00241F40">
        <w:t xml:space="preserve"> and more transitory consumer preferences were the major hurdles to serving these foreign markets. SICA products were offered worldwide, which had </w:t>
      </w:r>
      <w:r w:rsidR="00C35119" w:rsidRPr="00241F40">
        <w:t xml:space="preserve">also </w:t>
      </w:r>
      <w:r w:rsidRPr="00241F40">
        <w:t xml:space="preserve">necessitated continual improvement on quality standards. </w:t>
      </w:r>
    </w:p>
    <w:p w14:paraId="6270BC71" w14:textId="77777777" w:rsidR="00C35119" w:rsidRPr="00322E7A" w:rsidRDefault="00C35119" w:rsidP="00C12740">
      <w:pPr>
        <w:pStyle w:val="BodyTextMain"/>
        <w:rPr>
          <w:sz w:val="18"/>
          <w:szCs w:val="18"/>
        </w:rPr>
      </w:pPr>
    </w:p>
    <w:p w14:paraId="185FF355" w14:textId="471AEEC9" w:rsidR="007D35DA" w:rsidRPr="00241F40" w:rsidRDefault="007D35DA" w:rsidP="00C12740">
      <w:pPr>
        <w:pStyle w:val="BodyTextMain"/>
      </w:pPr>
      <w:r w:rsidRPr="00241F40">
        <w:t>The mo</w:t>
      </w:r>
      <w:r w:rsidR="00E8550E">
        <w:t xml:space="preserve">st demanding markets </w:t>
      </w:r>
      <w:r w:rsidRPr="00241F40">
        <w:t xml:space="preserve">SICA traded </w:t>
      </w:r>
      <w:r w:rsidR="00E8550E">
        <w:t xml:space="preserve">with </w:t>
      </w:r>
      <w:r w:rsidRPr="00241F40">
        <w:t xml:space="preserve">included Japan, Korea, Taiwan, </w:t>
      </w:r>
      <w:r w:rsidR="00C35119" w:rsidRPr="00241F40">
        <w:t>the Netherlands</w:t>
      </w:r>
      <w:r w:rsidRPr="00241F40">
        <w:t>, England, France, Poland, Russia, Turkey, Germany, Italy, and Peru. Japan represented 20</w:t>
      </w:r>
      <w:r w:rsidR="000521D6" w:rsidRPr="00241F40">
        <w:t xml:space="preserve"> </w:t>
      </w:r>
      <w:r w:rsidRPr="00241F40">
        <w:t>per cent of total sales, Peru around 20</w:t>
      </w:r>
      <w:r w:rsidR="000521D6" w:rsidRPr="00241F40">
        <w:t xml:space="preserve"> </w:t>
      </w:r>
      <w:r w:rsidRPr="00241F40">
        <w:t xml:space="preserve">per cent, </w:t>
      </w:r>
      <w:r w:rsidR="00C35119" w:rsidRPr="00241F40">
        <w:t xml:space="preserve">and </w:t>
      </w:r>
      <w:r w:rsidRPr="00241F40">
        <w:t>Europe 8</w:t>
      </w:r>
      <w:r w:rsidR="00C35119" w:rsidRPr="00241F40">
        <w:t xml:space="preserve"> to </w:t>
      </w:r>
      <w:r w:rsidRPr="00241F40">
        <w:t>9</w:t>
      </w:r>
      <w:r w:rsidR="000521D6" w:rsidRPr="00241F40">
        <w:t xml:space="preserve"> </w:t>
      </w:r>
      <w:r w:rsidRPr="00241F40">
        <w:t>per cent. Taiwan, Korea</w:t>
      </w:r>
      <w:r w:rsidR="00C35119" w:rsidRPr="00241F40">
        <w:t>,</w:t>
      </w:r>
      <w:r w:rsidRPr="00241F40">
        <w:t xml:space="preserve"> and the rest of the world accounted for 1</w:t>
      </w:r>
      <w:r w:rsidR="00C35119" w:rsidRPr="00241F40">
        <w:t xml:space="preserve"> to </w:t>
      </w:r>
      <w:r w:rsidRPr="00241F40">
        <w:t>2</w:t>
      </w:r>
      <w:r w:rsidR="000521D6" w:rsidRPr="00241F40">
        <w:t xml:space="preserve"> </w:t>
      </w:r>
      <w:r w:rsidRPr="00241F40">
        <w:t xml:space="preserve">per cent of total sales. </w:t>
      </w:r>
      <w:r w:rsidR="0064163B">
        <w:t>T</w:t>
      </w:r>
      <w:r w:rsidRPr="00241F40">
        <w:t xml:space="preserve">rade with Germany and Italy </w:t>
      </w:r>
      <w:r w:rsidR="00C35119" w:rsidRPr="00241F40">
        <w:t xml:space="preserve">was </w:t>
      </w:r>
      <w:r w:rsidRPr="00241F40">
        <w:t xml:space="preserve">infrequent. </w:t>
      </w:r>
    </w:p>
    <w:p w14:paraId="399DA860" w14:textId="77777777" w:rsidR="005D5F87" w:rsidRPr="00322E7A" w:rsidRDefault="005D5F87" w:rsidP="00C12740">
      <w:pPr>
        <w:pStyle w:val="BodyTextMain"/>
        <w:rPr>
          <w:sz w:val="18"/>
          <w:szCs w:val="18"/>
        </w:rPr>
      </w:pPr>
    </w:p>
    <w:p w14:paraId="3406C0B9" w14:textId="74B51FD1" w:rsidR="007D35DA" w:rsidRPr="00241F40" w:rsidRDefault="007D35DA" w:rsidP="00C12740">
      <w:pPr>
        <w:pStyle w:val="BodyTextMain"/>
      </w:pPr>
      <w:r w:rsidRPr="00241F40">
        <w:t>The international market was of great importance to SICA because it represented a substantial portion of total sales. In 2014, the net merchandise export of the company accounted for 32</w:t>
      </w:r>
      <w:r w:rsidR="000521D6" w:rsidRPr="00241F40">
        <w:t xml:space="preserve"> </w:t>
      </w:r>
      <w:r w:rsidRPr="00241F40">
        <w:t>per cent of total sales</w:t>
      </w:r>
      <w:r w:rsidR="005D5F87" w:rsidRPr="00241F40">
        <w:t>;</w:t>
      </w:r>
      <w:r w:rsidRPr="00241F40">
        <w:t xml:space="preserve"> in 2015</w:t>
      </w:r>
      <w:r w:rsidR="0064163B">
        <w:t>,</w:t>
      </w:r>
      <w:r w:rsidRPr="00241F40">
        <w:t xml:space="preserve"> this dropped to 27</w:t>
      </w:r>
      <w:r w:rsidR="000521D6" w:rsidRPr="00241F40">
        <w:t xml:space="preserve"> </w:t>
      </w:r>
      <w:r w:rsidRPr="00241F40">
        <w:t>per cent</w:t>
      </w:r>
      <w:r w:rsidR="00C35119" w:rsidRPr="00241F40">
        <w:t>,</w:t>
      </w:r>
      <w:r w:rsidRPr="00241F40">
        <w:t xml:space="preserve"> and </w:t>
      </w:r>
      <w:r w:rsidR="005D5F87" w:rsidRPr="00241F40">
        <w:t xml:space="preserve">in 2016, it </w:t>
      </w:r>
      <w:r w:rsidRPr="00241F40">
        <w:t xml:space="preserve">dropped </w:t>
      </w:r>
      <w:r w:rsidR="005D5F87" w:rsidRPr="00241F40">
        <w:t xml:space="preserve">further </w:t>
      </w:r>
      <w:r w:rsidRPr="00241F40">
        <w:t>to around 25</w:t>
      </w:r>
      <w:r w:rsidR="000521D6" w:rsidRPr="00241F40">
        <w:t xml:space="preserve"> </w:t>
      </w:r>
      <w:r w:rsidRPr="00241F40">
        <w:t xml:space="preserve">per cent of total sales. </w:t>
      </w:r>
    </w:p>
    <w:p w14:paraId="10BF66A9" w14:textId="77777777" w:rsidR="007D35DA" w:rsidRPr="00322E7A" w:rsidRDefault="007D35DA" w:rsidP="00C12740">
      <w:pPr>
        <w:pStyle w:val="BodyTextMain"/>
        <w:rPr>
          <w:sz w:val="18"/>
          <w:szCs w:val="18"/>
        </w:rPr>
      </w:pPr>
    </w:p>
    <w:p w14:paraId="0E75ABDB" w14:textId="575CA2A6" w:rsidR="007D35DA" w:rsidRPr="00241F40" w:rsidRDefault="007D35DA" w:rsidP="00C12740">
      <w:pPr>
        <w:pStyle w:val="BodyTextMain"/>
      </w:pPr>
      <w:r w:rsidRPr="00241F40">
        <w:t xml:space="preserve">Instant coffee was a commodity product in global markets. Hence, the most important criterion for most international traders and end consumers was price. SICA’s mission to provide a high-quality product at an affordable price conflicted with this </w:t>
      </w:r>
      <w:r w:rsidR="00C35119" w:rsidRPr="00241F40">
        <w:t>benchmark</w:t>
      </w:r>
      <w:r w:rsidRPr="00241F40">
        <w:t xml:space="preserve">. Wholesalers typically preferred a cheaper product regardless of quality, often aggregating </w:t>
      </w:r>
      <w:r w:rsidR="00C35119" w:rsidRPr="00241F40">
        <w:t xml:space="preserve">coffee </w:t>
      </w:r>
      <w:r w:rsidRPr="00241F40">
        <w:t xml:space="preserve">from multiple suppliers and selling the product under several brands and price points. </w:t>
      </w:r>
    </w:p>
    <w:p w14:paraId="534EAFDF" w14:textId="77777777" w:rsidR="007D35DA" w:rsidRPr="00322E7A" w:rsidRDefault="007D35DA" w:rsidP="00C12740">
      <w:pPr>
        <w:pStyle w:val="BodyTextMain"/>
        <w:rPr>
          <w:sz w:val="18"/>
          <w:szCs w:val="18"/>
        </w:rPr>
      </w:pPr>
    </w:p>
    <w:p w14:paraId="6FA77AE0" w14:textId="17D8ABD3" w:rsidR="00BD7644" w:rsidRPr="00241F40" w:rsidRDefault="007D35DA" w:rsidP="00C12740">
      <w:pPr>
        <w:pStyle w:val="BodyTextMain"/>
      </w:pPr>
      <w:r w:rsidRPr="00241F40">
        <w:t>SICA entered new markets through its established relationships with trading companies. Salcedo</w:t>
      </w:r>
      <w:r w:rsidR="00C35119" w:rsidRPr="00241F40">
        <w:t>-Benitez</w:t>
      </w:r>
      <w:r w:rsidRPr="00241F40">
        <w:t xml:space="preserve"> first looked for large wholesalers among trading companies, and offered them product samples. SICA was flexible on price</w:t>
      </w:r>
      <w:r w:rsidR="005D5F87" w:rsidRPr="00241F40">
        <w:t>,</w:t>
      </w:r>
      <w:r w:rsidRPr="00241F40">
        <w:t xml:space="preserve"> depending on demand conditions and the potential for realizing a profit. </w:t>
      </w:r>
    </w:p>
    <w:p w14:paraId="3A2FF5FF" w14:textId="77777777" w:rsidR="00BD7644" w:rsidRPr="00322E7A" w:rsidRDefault="00BD7644" w:rsidP="00C12740">
      <w:pPr>
        <w:pStyle w:val="BodyTextMain"/>
        <w:rPr>
          <w:sz w:val="18"/>
          <w:szCs w:val="18"/>
        </w:rPr>
      </w:pPr>
    </w:p>
    <w:p w14:paraId="0CBDEA83" w14:textId="604F4795" w:rsidR="007D35DA" w:rsidRDefault="007D35DA" w:rsidP="00C12740">
      <w:pPr>
        <w:pStyle w:val="BodyTextMain"/>
        <w:rPr>
          <w:spacing w:val="-2"/>
          <w:kern w:val="22"/>
        </w:rPr>
      </w:pPr>
      <w:r w:rsidRPr="004A2F3D">
        <w:rPr>
          <w:spacing w:val="-2"/>
          <w:kern w:val="22"/>
        </w:rPr>
        <w:t xml:space="preserve">Aside from its regular distribution to Peru and Japan, finding new buyers was a constant preoccupation. The company had already considered market niches in Europe and </w:t>
      </w:r>
      <w:r w:rsidR="00951FDF" w:rsidRPr="004A2F3D">
        <w:rPr>
          <w:spacing w:val="-2"/>
          <w:kern w:val="22"/>
        </w:rPr>
        <w:t xml:space="preserve">the </w:t>
      </w:r>
      <w:r w:rsidRPr="004A2F3D">
        <w:rPr>
          <w:spacing w:val="-2"/>
          <w:kern w:val="22"/>
        </w:rPr>
        <w:t>U</w:t>
      </w:r>
      <w:r w:rsidR="00BD7644" w:rsidRPr="004A2F3D">
        <w:rPr>
          <w:spacing w:val="-2"/>
          <w:kern w:val="22"/>
        </w:rPr>
        <w:t xml:space="preserve">nited </w:t>
      </w:r>
      <w:r w:rsidRPr="004A2F3D">
        <w:rPr>
          <w:spacing w:val="-2"/>
          <w:kern w:val="22"/>
        </w:rPr>
        <w:t>S</w:t>
      </w:r>
      <w:r w:rsidR="00BD7644" w:rsidRPr="004A2F3D">
        <w:rPr>
          <w:spacing w:val="-2"/>
          <w:kern w:val="22"/>
        </w:rPr>
        <w:t>tates</w:t>
      </w:r>
      <w:r w:rsidRPr="004A2F3D">
        <w:rPr>
          <w:spacing w:val="-2"/>
          <w:kern w:val="22"/>
        </w:rPr>
        <w:t xml:space="preserve"> </w:t>
      </w:r>
      <w:r w:rsidR="00BD7644" w:rsidRPr="004A2F3D">
        <w:rPr>
          <w:spacing w:val="-2"/>
          <w:kern w:val="22"/>
        </w:rPr>
        <w:t xml:space="preserve">where </w:t>
      </w:r>
      <w:r w:rsidRPr="004A2F3D">
        <w:rPr>
          <w:spacing w:val="-2"/>
          <w:kern w:val="22"/>
        </w:rPr>
        <w:t xml:space="preserve">large communities of Ecuadorians and other Latin American emigrants had made their homes. </w:t>
      </w:r>
      <w:r w:rsidR="00BD7644" w:rsidRPr="004A2F3D">
        <w:rPr>
          <w:spacing w:val="-2"/>
          <w:kern w:val="22"/>
        </w:rPr>
        <w:t>SICA</w:t>
      </w:r>
      <w:r w:rsidRPr="004A2F3D">
        <w:rPr>
          <w:spacing w:val="-2"/>
          <w:kern w:val="22"/>
        </w:rPr>
        <w:t xml:space="preserve"> found</w:t>
      </w:r>
      <w:r w:rsidR="00BD7644" w:rsidRPr="004A2F3D">
        <w:rPr>
          <w:spacing w:val="-2"/>
          <w:kern w:val="22"/>
        </w:rPr>
        <w:t>, however,</w:t>
      </w:r>
      <w:r w:rsidRPr="004A2F3D">
        <w:rPr>
          <w:spacing w:val="-2"/>
          <w:kern w:val="22"/>
        </w:rPr>
        <w:t xml:space="preserve"> that these opportunities were very small and difficult to serve because there were already several instant coffee brands on offer. Given the recent multi-party trade agreement between Ecuador and the </w:t>
      </w:r>
      <w:r w:rsidR="005D5F87" w:rsidRPr="004A2F3D">
        <w:rPr>
          <w:spacing w:val="-2"/>
          <w:kern w:val="22"/>
        </w:rPr>
        <w:t>EU</w:t>
      </w:r>
      <w:r w:rsidRPr="004A2F3D">
        <w:rPr>
          <w:spacing w:val="-2"/>
          <w:kern w:val="22"/>
        </w:rPr>
        <w:t>, the company nevertheless anticipated increasing international sales as the 9</w:t>
      </w:r>
      <w:r w:rsidR="000521D6" w:rsidRPr="004A2F3D">
        <w:rPr>
          <w:spacing w:val="-2"/>
          <w:kern w:val="22"/>
        </w:rPr>
        <w:t xml:space="preserve"> </w:t>
      </w:r>
      <w:r w:rsidRPr="004A2F3D">
        <w:rPr>
          <w:spacing w:val="-2"/>
          <w:kern w:val="22"/>
        </w:rPr>
        <w:t xml:space="preserve">per cent tariff rate was eliminated. </w:t>
      </w:r>
    </w:p>
    <w:p w14:paraId="7CA4DE0F" w14:textId="77777777" w:rsidR="00AF13C8" w:rsidRPr="00322E7A" w:rsidRDefault="00AF13C8" w:rsidP="00C12740">
      <w:pPr>
        <w:pStyle w:val="BodyTextMain"/>
        <w:rPr>
          <w:spacing w:val="-2"/>
          <w:kern w:val="22"/>
          <w:sz w:val="18"/>
          <w:szCs w:val="18"/>
        </w:rPr>
      </w:pPr>
    </w:p>
    <w:p w14:paraId="5BE7D697" w14:textId="77777777" w:rsidR="00AF13C8" w:rsidRPr="00322E7A" w:rsidRDefault="00AF13C8" w:rsidP="00C12740">
      <w:pPr>
        <w:pStyle w:val="BodyTextMain"/>
        <w:rPr>
          <w:spacing w:val="-2"/>
          <w:kern w:val="22"/>
          <w:sz w:val="18"/>
          <w:szCs w:val="18"/>
        </w:rPr>
      </w:pPr>
    </w:p>
    <w:p w14:paraId="3C6CC57F" w14:textId="77777777" w:rsidR="007D35DA" w:rsidRPr="00241F40" w:rsidRDefault="007D35DA" w:rsidP="005831FD">
      <w:pPr>
        <w:pStyle w:val="Casehead2"/>
        <w:outlineLvl w:val="0"/>
      </w:pPr>
      <w:r w:rsidRPr="00241F40">
        <w:t>Global Competition</w:t>
      </w:r>
    </w:p>
    <w:p w14:paraId="33E1784C" w14:textId="77777777" w:rsidR="007D35DA" w:rsidRPr="00322E7A" w:rsidRDefault="007D35DA" w:rsidP="00C12740">
      <w:pPr>
        <w:pStyle w:val="BodyTextMain"/>
        <w:rPr>
          <w:sz w:val="18"/>
          <w:szCs w:val="18"/>
        </w:rPr>
      </w:pPr>
    </w:p>
    <w:p w14:paraId="6BD0C94F" w14:textId="20740669" w:rsidR="007D35DA" w:rsidRPr="00241F40" w:rsidRDefault="007D35DA" w:rsidP="00C12740">
      <w:pPr>
        <w:pStyle w:val="BodyTextMain"/>
      </w:pPr>
      <w:r w:rsidRPr="00241F40">
        <w:t>Nestlé dominated globally, with Nescafé being the top global brand.</w:t>
      </w:r>
      <w:r w:rsidRPr="00241F40">
        <w:rPr>
          <w:rStyle w:val="FootnoteReference"/>
        </w:rPr>
        <w:footnoteReference w:id="25"/>
      </w:r>
      <w:r w:rsidRPr="00241F40">
        <w:t xml:space="preserve"> Its success was largely attributed to its far</w:t>
      </w:r>
      <w:r w:rsidR="00202A42">
        <w:t>-</w:t>
      </w:r>
      <w:r w:rsidRPr="00241F40">
        <w:t>reaching and high-expenditure marketing campaigns. Nescafé emphasized that it offered not just a cup of</w:t>
      </w:r>
      <w:r w:rsidR="005831FD" w:rsidRPr="00241F40">
        <w:t xml:space="preserve"> </w:t>
      </w:r>
      <w:r w:rsidRPr="00241F40">
        <w:t>instant</w:t>
      </w:r>
      <w:r w:rsidR="005831FD" w:rsidRPr="00241F40">
        <w:t xml:space="preserve"> </w:t>
      </w:r>
      <w:r w:rsidRPr="00241F40">
        <w:t xml:space="preserve">coffee, but </w:t>
      </w:r>
      <w:r w:rsidR="00202A42">
        <w:t>also</w:t>
      </w:r>
      <w:r w:rsidRPr="00241F40">
        <w:t xml:space="preserve"> an </w:t>
      </w:r>
      <w:r w:rsidR="00BD7644" w:rsidRPr="00241F40">
        <w:t>“</w:t>
      </w:r>
      <w:r w:rsidRPr="00241F40">
        <w:t>experience</w:t>
      </w:r>
      <w:r w:rsidR="00BD7644" w:rsidRPr="00241F40">
        <w:t>”</w:t>
      </w:r>
      <w:r w:rsidRPr="00241F40">
        <w:t xml:space="preserve"> or a </w:t>
      </w:r>
      <w:r w:rsidR="00BD7644" w:rsidRPr="00241F40">
        <w:t>“</w:t>
      </w:r>
      <w:r w:rsidRPr="00241F40">
        <w:t>moment</w:t>
      </w:r>
      <w:r w:rsidR="001A3E52" w:rsidRPr="00241F40">
        <w:t>.</w:t>
      </w:r>
      <w:r w:rsidR="00BD7644" w:rsidRPr="00241F40">
        <w:t>”</w:t>
      </w:r>
      <w:r w:rsidRPr="00241F40">
        <w:rPr>
          <w:rStyle w:val="FootnoteReference"/>
        </w:rPr>
        <w:footnoteReference w:id="26"/>
      </w:r>
      <w:r w:rsidRPr="00241F40">
        <w:t xml:space="preserve"> Aside from Nestlé, many domestic and regional players had gained brand loyalty among their local markets. </w:t>
      </w:r>
    </w:p>
    <w:p w14:paraId="43C7C366" w14:textId="77777777" w:rsidR="007D35DA" w:rsidRPr="00322E7A" w:rsidRDefault="007D35DA" w:rsidP="00C12740">
      <w:pPr>
        <w:pStyle w:val="BodyTextMain"/>
        <w:rPr>
          <w:sz w:val="18"/>
          <w:szCs w:val="18"/>
        </w:rPr>
      </w:pPr>
    </w:p>
    <w:p w14:paraId="23FCC1F8" w14:textId="77777777" w:rsidR="00E8550E" w:rsidRDefault="007D35DA" w:rsidP="00C12740">
      <w:pPr>
        <w:pStyle w:val="BodyTextMain"/>
      </w:pPr>
      <w:r w:rsidRPr="00241F40">
        <w:t>Throughout the world, instant coffee was increasingly considered a less</w:t>
      </w:r>
      <w:r w:rsidR="00202A42">
        <w:t>er</w:t>
      </w:r>
      <w:r w:rsidRPr="00241F40">
        <w:t xml:space="preserve"> substitute for brewed coffee</w:t>
      </w:r>
      <w:r w:rsidR="00BD7644" w:rsidRPr="00241F40">
        <w:t xml:space="preserve">; </w:t>
      </w:r>
      <w:r w:rsidRPr="00241F40">
        <w:t>consumers could make the latter at home with relative ease</w:t>
      </w:r>
      <w:r w:rsidR="00BD7644" w:rsidRPr="00241F40">
        <w:t xml:space="preserve"> now</w:t>
      </w:r>
      <w:r w:rsidRPr="00241F40">
        <w:t>, or purchase it freshly prepared from a multitude of coffee shops, convenience stores</w:t>
      </w:r>
      <w:r w:rsidR="00BD7644" w:rsidRPr="00241F40">
        <w:t>,</w:t>
      </w:r>
      <w:r w:rsidRPr="00241F40">
        <w:t xml:space="preserve"> and cafés. In Canada, Tim Hortons had effectively locked out similar value-priced chains, such as Dunkin Donuts from the U</w:t>
      </w:r>
      <w:r w:rsidR="00BD7644" w:rsidRPr="00241F40">
        <w:t xml:space="preserve">nited </w:t>
      </w:r>
      <w:r w:rsidRPr="00241F40">
        <w:t>S</w:t>
      </w:r>
      <w:r w:rsidR="00BD7644" w:rsidRPr="00241F40">
        <w:t>tates</w:t>
      </w:r>
      <w:r w:rsidRPr="00241F40">
        <w:t>, through aggressive franchising and appeal</w:t>
      </w:r>
      <w:r w:rsidR="00202A42">
        <w:t>ing</w:t>
      </w:r>
      <w:r w:rsidRPr="00241F40">
        <w:t xml:space="preserve"> to national pride.</w:t>
      </w:r>
    </w:p>
    <w:p w14:paraId="4DA9BAD9" w14:textId="77777777" w:rsidR="00322E7A" w:rsidRDefault="00322E7A" w:rsidP="00C12740">
      <w:pPr>
        <w:pStyle w:val="BodyTextMain"/>
      </w:pPr>
    </w:p>
    <w:p w14:paraId="4884BF4C" w14:textId="32AA0882" w:rsidR="00C12740" w:rsidRPr="00241F40" w:rsidRDefault="007D35DA" w:rsidP="00C12740">
      <w:pPr>
        <w:pStyle w:val="BodyTextMain"/>
      </w:pPr>
      <w:r w:rsidRPr="00241F40">
        <w:t>The highest ranked global instant coffee brands were Nescafé, Starbucks, Stok, Organo Gold Gourmet</w:t>
      </w:r>
      <w:r w:rsidR="00BD7644" w:rsidRPr="00241F40">
        <w:t>,</w:t>
      </w:r>
      <w:r w:rsidRPr="00241F40">
        <w:t xml:space="preserve"> and Folgers.</w:t>
      </w:r>
      <w:r w:rsidRPr="00241F40">
        <w:rPr>
          <w:rStyle w:val="FootnoteReference"/>
        </w:rPr>
        <w:footnoteReference w:id="27"/>
      </w:r>
      <w:r w:rsidRPr="00241F40">
        <w:t xml:space="preserve"> </w:t>
      </w:r>
      <w:r w:rsidR="00C12740" w:rsidRPr="00241F40">
        <w:t>The ranking was det</w:t>
      </w:r>
      <w:r w:rsidR="001A3E52" w:rsidRPr="00241F40">
        <w:t>ermined by how rich the flavo</w:t>
      </w:r>
      <w:r w:rsidR="009E72AB" w:rsidRPr="00241F40">
        <w:t>u</w:t>
      </w:r>
      <w:r w:rsidR="001A3E52" w:rsidRPr="00241F40">
        <w:t xml:space="preserve">r </w:t>
      </w:r>
      <w:r w:rsidR="00BD7644" w:rsidRPr="00241F40">
        <w:t xml:space="preserve">and </w:t>
      </w:r>
      <w:r w:rsidR="001A3E52" w:rsidRPr="00241F40">
        <w:t xml:space="preserve">how smooth the coffee </w:t>
      </w:r>
      <w:r w:rsidR="009E72AB" w:rsidRPr="00241F40">
        <w:t>were</w:t>
      </w:r>
      <w:r w:rsidR="00C12740" w:rsidRPr="00241F40">
        <w:t xml:space="preserve">, </w:t>
      </w:r>
      <w:r w:rsidR="00BD7644" w:rsidRPr="00241F40">
        <w:t xml:space="preserve">and </w:t>
      </w:r>
      <w:r w:rsidR="00C12740" w:rsidRPr="00241F40">
        <w:t>the aroma, affordability, and number of sachets per pack. All top brands had rich flavo</w:t>
      </w:r>
      <w:r w:rsidR="00BD7644" w:rsidRPr="00241F40">
        <w:t>u</w:t>
      </w:r>
      <w:r w:rsidR="00C12740" w:rsidRPr="00241F40">
        <w:t>r, smoothness</w:t>
      </w:r>
      <w:r w:rsidR="00BD7644" w:rsidRPr="00241F40">
        <w:t>,</w:t>
      </w:r>
      <w:r w:rsidR="00C12740" w:rsidRPr="00241F40">
        <w:t xml:space="preserve"> and excellent aroma in common. By offering an affordable price and a higher number of sachets per pack, these brands had entered offices and cafeterias to conquer the instant coffee market.</w:t>
      </w:r>
    </w:p>
    <w:p w14:paraId="27ABAA00" w14:textId="77777777" w:rsidR="007D35DA" w:rsidRPr="00322E7A" w:rsidRDefault="007D35DA" w:rsidP="00C12740">
      <w:pPr>
        <w:pStyle w:val="BodyTextMain"/>
        <w:rPr>
          <w:sz w:val="18"/>
          <w:szCs w:val="18"/>
        </w:rPr>
      </w:pPr>
    </w:p>
    <w:p w14:paraId="71D67B17" w14:textId="77777777" w:rsidR="00BD7644" w:rsidRPr="00322E7A" w:rsidRDefault="00BD7644" w:rsidP="00C12740">
      <w:pPr>
        <w:pStyle w:val="BodyTextMain"/>
        <w:rPr>
          <w:sz w:val="18"/>
          <w:szCs w:val="18"/>
        </w:rPr>
      </w:pPr>
    </w:p>
    <w:p w14:paraId="7FA57EFD" w14:textId="77777777" w:rsidR="00C12740" w:rsidRPr="00241F40" w:rsidRDefault="00C12740" w:rsidP="005831FD">
      <w:pPr>
        <w:pStyle w:val="Casehead2"/>
        <w:outlineLvl w:val="0"/>
      </w:pPr>
      <w:r w:rsidRPr="00241F40">
        <w:t>International Trading Market and Partners</w:t>
      </w:r>
    </w:p>
    <w:p w14:paraId="0B05AA92" w14:textId="77777777" w:rsidR="007D35DA" w:rsidRPr="00322E7A" w:rsidRDefault="007D35DA" w:rsidP="00C12740">
      <w:pPr>
        <w:pStyle w:val="BodyTextMain"/>
        <w:rPr>
          <w:sz w:val="18"/>
          <w:szCs w:val="18"/>
        </w:rPr>
      </w:pPr>
    </w:p>
    <w:p w14:paraId="736D63D9" w14:textId="4E989EF8" w:rsidR="00C12740" w:rsidRPr="00241F40" w:rsidRDefault="00C12740" w:rsidP="00C12740">
      <w:pPr>
        <w:pStyle w:val="BodyTextMain"/>
      </w:pPr>
      <w:r w:rsidRPr="00241F40">
        <w:t>In the bulk coffee export market, trading partners ultimately determined whether a product succeed</w:t>
      </w:r>
      <w:r w:rsidR="00C80C3E" w:rsidRPr="00241F40">
        <w:t>ed</w:t>
      </w:r>
      <w:r w:rsidRPr="00241F40">
        <w:t xml:space="preserve"> or fail</w:t>
      </w:r>
      <w:r w:rsidR="00C80C3E" w:rsidRPr="00241F40">
        <w:t>ed</w:t>
      </w:r>
      <w:r w:rsidRPr="00241F40">
        <w:t xml:space="preserve">. SICA had completely different experiences dealing with Japan and </w:t>
      </w:r>
      <w:r w:rsidR="007E2BA0" w:rsidRPr="00241F40">
        <w:t>the United States</w:t>
      </w:r>
      <w:r w:rsidRPr="00241F40">
        <w:t>. According to Salcedo</w:t>
      </w:r>
      <w:r w:rsidR="007E2BA0" w:rsidRPr="00241F40">
        <w:t>-Benitez</w:t>
      </w:r>
      <w:r w:rsidRPr="00241F40">
        <w:t xml:space="preserve">, business in the </w:t>
      </w:r>
      <w:r w:rsidR="007E2BA0" w:rsidRPr="00241F40">
        <w:t xml:space="preserve">United States </w:t>
      </w:r>
      <w:r w:rsidRPr="00241F40">
        <w:t>was rife with uncertainty. American traders would not keep adequate coffee in stock, instead demanding rush orders for next-day delivery. It was extremely difficult for the factory to quickly adjust its production to meet these requests. In contrast, Japanese traders tended to manage inventories more closely. Salcedo</w:t>
      </w:r>
      <w:r w:rsidR="007E2BA0" w:rsidRPr="00241F40">
        <w:t>-Benitez</w:t>
      </w:r>
      <w:r w:rsidRPr="00241F40">
        <w:t xml:space="preserve"> considered Japanese traders better customers because they regarded SICA as a long-term business partner. While Japanese consumers were more demanding, buyers freely offered advice on how to improve product quality. A recent example was a quality initiative to reduce bacterial contamination</w:t>
      </w:r>
      <w:r w:rsidR="007E2BA0" w:rsidRPr="00241F40">
        <w:t>,</w:t>
      </w:r>
      <w:r w:rsidRPr="00241F40">
        <w:t xml:space="preserve"> which </w:t>
      </w:r>
      <w:r w:rsidR="00C42D21" w:rsidRPr="00241F40">
        <w:t xml:space="preserve">could </w:t>
      </w:r>
      <w:r w:rsidRPr="00241F40">
        <w:t xml:space="preserve">adversely </w:t>
      </w:r>
      <w:r w:rsidR="00F9304A">
        <w:t>affect</w:t>
      </w:r>
      <w:r w:rsidRPr="00241F40">
        <w:t xml:space="preserve"> the freshness of coffee. Immediately after introducing this new requirement, Japanese technicians visited SICA to assist in implementing new measures to meet the requirement. </w:t>
      </w:r>
    </w:p>
    <w:p w14:paraId="469C809B" w14:textId="77777777" w:rsidR="007D35DA" w:rsidRPr="00322E7A" w:rsidRDefault="007D35DA" w:rsidP="00C12740">
      <w:pPr>
        <w:pStyle w:val="BodyTextMain"/>
        <w:rPr>
          <w:sz w:val="18"/>
          <w:szCs w:val="18"/>
        </w:rPr>
      </w:pPr>
    </w:p>
    <w:p w14:paraId="2DF6424C" w14:textId="3086821F" w:rsidR="00C12740" w:rsidRPr="00AF13C8" w:rsidRDefault="00C12740" w:rsidP="00C12740">
      <w:pPr>
        <w:pStyle w:val="BodyTextMain"/>
        <w:rPr>
          <w:spacing w:val="-2"/>
          <w:kern w:val="22"/>
        </w:rPr>
      </w:pPr>
      <w:r w:rsidRPr="00AF13C8">
        <w:rPr>
          <w:spacing w:val="-2"/>
          <w:kern w:val="22"/>
        </w:rPr>
        <w:t xml:space="preserve">The United States was a difficult market for SICA because buyers typically </w:t>
      </w:r>
      <w:r w:rsidR="00C42D21" w:rsidRPr="00AF13C8">
        <w:rPr>
          <w:spacing w:val="-2"/>
          <w:kern w:val="22"/>
        </w:rPr>
        <w:t xml:space="preserve">focused on </w:t>
      </w:r>
      <w:r w:rsidRPr="00AF13C8">
        <w:rPr>
          <w:spacing w:val="-2"/>
          <w:kern w:val="22"/>
        </w:rPr>
        <w:t xml:space="preserve">more product at lower prices. Buyers took offers from a multitude of suppliers around the globe </w:t>
      </w:r>
      <w:r w:rsidR="00C42D21" w:rsidRPr="00AF13C8">
        <w:rPr>
          <w:spacing w:val="-2"/>
          <w:kern w:val="22"/>
        </w:rPr>
        <w:t xml:space="preserve">who were </w:t>
      </w:r>
      <w:r w:rsidRPr="00AF13C8">
        <w:rPr>
          <w:spacing w:val="-2"/>
          <w:kern w:val="22"/>
        </w:rPr>
        <w:t xml:space="preserve">eager to supply </w:t>
      </w:r>
      <w:r w:rsidR="00F9304A" w:rsidRPr="00AF13C8">
        <w:rPr>
          <w:spacing w:val="-2"/>
          <w:kern w:val="22"/>
        </w:rPr>
        <w:t xml:space="preserve">to </w:t>
      </w:r>
      <w:r w:rsidRPr="00AF13C8">
        <w:rPr>
          <w:spacing w:val="-2"/>
          <w:kern w:val="22"/>
        </w:rPr>
        <w:t xml:space="preserve">the largest single market in the world. Due to SICA’s higher cost of production, it had to exit the market. SICA experimented with selling its own brands in the city of Boston, but promotion costs were simply too high for the low volume of </w:t>
      </w:r>
      <w:r w:rsidR="009E6519" w:rsidRPr="00AF13C8">
        <w:rPr>
          <w:spacing w:val="-2"/>
          <w:kern w:val="22"/>
        </w:rPr>
        <w:t xml:space="preserve">expected </w:t>
      </w:r>
      <w:r w:rsidRPr="00AF13C8">
        <w:rPr>
          <w:spacing w:val="-2"/>
          <w:kern w:val="22"/>
        </w:rPr>
        <w:t xml:space="preserve">sales. Similarly, SICA sold coffee in Canada through Nestlé Canada. The relationship was mutually acceptable until Nestlé decided to start producing its own instant coffee in Brazil and Colombia. In these countries, both coffee beans and production costs were lower than in Ecuador, </w:t>
      </w:r>
      <w:r w:rsidR="00F9304A" w:rsidRPr="00AF13C8">
        <w:rPr>
          <w:spacing w:val="-2"/>
          <w:kern w:val="22"/>
        </w:rPr>
        <w:t>affecting</w:t>
      </w:r>
      <w:r w:rsidRPr="00AF13C8">
        <w:rPr>
          <w:spacing w:val="-2"/>
          <w:kern w:val="22"/>
        </w:rPr>
        <w:t xml:space="preserve"> profitability. SICA had to quit this partnership</w:t>
      </w:r>
      <w:r w:rsidR="00F9304A" w:rsidRPr="00AF13C8">
        <w:rPr>
          <w:spacing w:val="-2"/>
          <w:kern w:val="22"/>
        </w:rPr>
        <w:t>,</w:t>
      </w:r>
      <w:r w:rsidRPr="00AF13C8">
        <w:rPr>
          <w:spacing w:val="-2"/>
          <w:kern w:val="22"/>
        </w:rPr>
        <w:t xml:space="preserve"> and </w:t>
      </w:r>
      <w:r w:rsidR="00F9304A" w:rsidRPr="00AF13C8">
        <w:rPr>
          <w:spacing w:val="-2"/>
          <w:kern w:val="22"/>
        </w:rPr>
        <w:t xml:space="preserve">it </w:t>
      </w:r>
      <w:r w:rsidRPr="00AF13C8">
        <w:rPr>
          <w:spacing w:val="-2"/>
          <w:kern w:val="22"/>
        </w:rPr>
        <w:t>ha</w:t>
      </w:r>
      <w:r w:rsidR="009E6519" w:rsidRPr="00AF13C8">
        <w:rPr>
          <w:spacing w:val="-2"/>
          <w:kern w:val="22"/>
        </w:rPr>
        <w:t>d</w:t>
      </w:r>
      <w:r w:rsidRPr="00AF13C8">
        <w:rPr>
          <w:spacing w:val="-2"/>
          <w:kern w:val="22"/>
        </w:rPr>
        <w:t xml:space="preserve"> not sold in Canada since.</w:t>
      </w:r>
    </w:p>
    <w:p w14:paraId="5B5A2A69" w14:textId="77777777" w:rsidR="00C12740" w:rsidRPr="00322E7A" w:rsidRDefault="00C12740" w:rsidP="00C12740">
      <w:pPr>
        <w:pStyle w:val="BodyTextMain"/>
        <w:rPr>
          <w:sz w:val="18"/>
          <w:szCs w:val="18"/>
        </w:rPr>
      </w:pPr>
    </w:p>
    <w:p w14:paraId="2D19DEF4" w14:textId="77777777" w:rsidR="007D35DA" w:rsidRPr="00322E7A" w:rsidRDefault="007D35DA" w:rsidP="00C12740">
      <w:pPr>
        <w:pStyle w:val="BodyTextMain"/>
        <w:rPr>
          <w:sz w:val="18"/>
          <w:szCs w:val="18"/>
        </w:rPr>
      </w:pPr>
    </w:p>
    <w:p w14:paraId="548B0431" w14:textId="77777777" w:rsidR="00C12740" w:rsidRPr="00241F40" w:rsidRDefault="00C12740" w:rsidP="005831FD">
      <w:pPr>
        <w:pStyle w:val="Casehead1"/>
        <w:outlineLvl w:val="0"/>
      </w:pPr>
      <w:r w:rsidRPr="00241F40">
        <w:t>LOOKING TO THE FUTURE</w:t>
      </w:r>
    </w:p>
    <w:p w14:paraId="742CA590" w14:textId="77777777" w:rsidR="007D35DA" w:rsidRPr="00322E7A" w:rsidRDefault="007D35DA" w:rsidP="00C12740">
      <w:pPr>
        <w:pStyle w:val="BodyTextMain"/>
        <w:rPr>
          <w:sz w:val="18"/>
          <w:szCs w:val="18"/>
        </w:rPr>
      </w:pPr>
    </w:p>
    <w:p w14:paraId="08C71B39" w14:textId="3178E722" w:rsidR="009E6519" w:rsidRPr="00241F40" w:rsidRDefault="00C12740" w:rsidP="00C12740">
      <w:pPr>
        <w:pStyle w:val="BodyTextMain"/>
      </w:pPr>
      <w:r w:rsidRPr="00241F40">
        <w:t>Salcedo-Benitez sat in his small and simply furnished meeting room in the equally humble administrative building located near the factory he and his father had built, managed</w:t>
      </w:r>
      <w:r w:rsidR="0093473F" w:rsidRPr="00241F40">
        <w:t>,</w:t>
      </w:r>
      <w:r w:rsidRPr="00241F40">
        <w:t xml:space="preserve"> and gradually grown over the past six decades. As he enjoyed a freshly prepared cup of Café Oro </w:t>
      </w:r>
      <w:r w:rsidRPr="00241F40">
        <w:rPr>
          <w:i/>
        </w:rPr>
        <w:t>con leche</w:t>
      </w:r>
      <w:r w:rsidRPr="00241F40">
        <w:t xml:space="preserve"> (with milk)</w:t>
      </w:r>
      <w:r w:rsidR="009E6519" w:rsidRPr="00241F40">
        <w:t>,</w:t>
      </w:r>
      <w:r w:rsidRPr="00241F40">
        <w:t xml:space="preserve"> he could almost feel the presence of his father, Salcedo-Salcedo, emanating from his portrait on the wall. </w:t>
      </w:r>
      <w:r w:rsidR="009E6519" w:rsidRPr="00241F40">
        <w:t xml:space="preserve">Salcedo-Benitez </w:t>
      </w:r>
      <w:r w:rsidRPr="00241F40">
        <w:t xml:space="preserve">took comfort in knowing that Don Café was a well-established household staple in Ecuador and Peru, one that had withstood both economic instability and foreign competition. </w:t>
      </w:r>
    </w:p>
    <w:p w14:paraId="232E1FA2" w14:textId="77777777" w:rsidR="009E6519" w:rsidRPr="00322E7A" w:rsidRDefault="009E6519" w:rsidP="00C12740">
      <w:pPr>
        <w:pStyle w:val="BodyTextMain"/>
        <w:rPr>
          <w:sz w:val="18"/>
          <w:szCs w:val="18"/>
        </w:rPr>
      </w:pPr>
    </w:p>
    <w:p w14:paraId="6FD87660" w14:textId="1444C2C5" w:rsidR="00C12740" w:rsidRPr="00AF13C8" w:rsidRDefault="00C12740" w:rsidP="00C12740">
      <w:pPr>
        <w:pStyle w:val="BodyTextMain"/>
        <w:rPr>
          <w:spacing w:val="-4"/>
          <w:kern w:val="22"/>
        </w:rPr>
      </w:pPr>
      <w:r w:rsidRPr="00AF13C8">
        <w:rPr>
          <w:spacing w:val="-4"/>
          <w:kern w:val="22"/>
        </w:rPr>
        <w:t xml:space="preserve">As he anticipated the eventual transfer of complete responsibility to his sons, </w:t>
      </w:r>
      <w:r w:rsidR="009E6519" w:rsidRPr="00AF13C8">
        <w:rPr>
          <w:spacing w:val="-4"/>
          <w:kern w:val="22"/>
        </w:rPr>
        <w:t xml:space="preserve">Salcedo-Benitez </w:t>
      </w:r>
      <w:r w:rsidRPr="00AF13C8">
        <w:rPr>
          <w:spacing w:val="-4"/>
          <w:kern w:val="22"/>
        </w:rPr>
        <w:t xml:space="preserve">felt a slight tinge of anxiety. It was not that </w:t>
      </w:r>
      <w:r w:rsidR="0014075E">
        <w:rPr>
          <w:spacing w:val="-4"/>
          <w:kern w:val="22"/>
        </w:rPr>
        <w:t>they</w:t>
      </w:r>
      <w:r w:rsidRPr="00AF13C8">
        <w:rPr>
          <w:spacing w:val="-4"/>
          <w:kern w:val="22"/>
        </w:rPr>
        <w:t xml:space="preserve"> were any less than ideal candidates</w:t>
      </w:r>
      <w:r w:rsidR="00F9304A" w:rsidRPr="00AF13C8">
        <w:rPr>
          <w:spacing w:val="-4"/>
          <w:kern w:val="22"/>
        </w:rPr>
        <w:t>;</w:t>
      </w:r>
      <w:r w:rsidRPr="00AF13C8">
        <w:rPr>
          <w:spacing w:val="-4"/>
          <w:kern w:val="22"/>
        </w:rPr>
        <w:t xml:space="preserve"> </w:t>
      </w:r>
      <w:r w:rsidR="00F9304A" w:rsidRPr="00AF13C8">
        <w:rPr>
          <w:spacing w:val="-4"/>
          <w:kern w:val="22"/>
        </w:rPr>
        <w:t>t</w:t>
      </w:r>
      <w:r w:rsidRPr="00AF13C8">
        <w:rPr>
          <w:spacing w:val="-4"/>
          <w:kern w:val="22"/>
        </w:rPr>
        <w:t xml:space="preserve">hey were exceptionally diligent about following orders, and quick to master and take responsibility for managerial duties on their own. </w:t>
      </w:r>
      <w:r w:rsidR="00F9304A" w:rsidRPr="00AF13C8">
        <w:rPr>
          <w:spacing w:val="-4"/>
          <w:kern w:val="22"/>
        </w:rPr>
        <w:t>Rather, i</w:t>
      </w:r>
      <w:r w:rsidRPr="00AF13C8">
        <w:rPr>
          <w:spacing w:val="-4"/>
          <w:kern w:val="22"/>
        </w:rPr>
        <w:t xml:space="preserve">t was that the city, which had sprawled around the small hill that SICA occupied, seemed increasingly restless, almost as though it were resonating with the nervous energy of an increasingly complex and interconnected world. SICA had remained the solid foundation upon which the Salcedo family was built, but the rising tide surrounding it seemed more turbulent than ever. </w:t>
      </w:r>
      <w:r w:rsidR="00B67E83" w:rsidRPr="00AF13C8">
        <w:rPr>
          <w:spacing w:val="-4"/>
          <w:kern w:val="22"/>
        </w:rPr>
        <w:t xml:space="preserve">Would SICA continue to succeed with the market position </w:t>
      </w:r>
      <w:r w:rsidR="00F9304A" w:rsidRPr="00AF13C8">
        <w:rPr>
          <w:spacing w:val="-4"/>
          <w:kern w:val="22"/>
        </w:rPr>
        <w:t>it</w:t>
      </w:r>
      <w:r w:rsidR="00B67E83" w:rsidRPr="00AF13C8">
        <w:rPr>
          <w:spacing w:val="-4"/>
          <w:kern w:val="22"/>
        </w:rPr>
        <w:t xml:space="preserve"> </w:t>
      </w:r>
      <w:r w:rsidR="00B67E83" w:rsidRPr="00AF13C8">
        <w:rPr>
          <w:spacing w:val="-4"/>
          <w:kern w:val="22"/>
        </w:rPr>
        <w:lastRenderedPageBreak/>
        <w:t>had claimed over the years? Or was it time for SICA to consider a new strategy to compete in the chaotic, competitive atmosphere that dominated the modern marketplace</w:t>
      </w:r>
      <w:r w:rsidRPr="00AF13C8">
        <w:rPr>
          <w:spacing w:val="-4"/>
          <w:kern w:val="22"/>
        </w:rPr>
        <w:t>?</w:t>
      </w:r>
    </w:p>
    <w:p w14:paraId="19EDB197" w14:textId="77777777" w:rsidR="009E6519" w:rsidRPr="00322E7A" w:rsidRDefault="009E6519" w:rsidP="00C12740">
      <w:pPr>
        <w:pStyle w:val="BodyTextMain"/>
        <w:rPr>
          <w:sz w:val="18"/>
          <w:szCs w:val="18"/>
        </w:rPr>
      </w:pPr>
    </w:p>
    <w:p w14:paraId="4EC2C05A" w14:textId="77777777" w:rsidR="009E6519" w:rsidRPr="00322E7A" w:rsidRDefault="009E6519" w:rsidP="00C12740">
      <w:pPr>
        <w:pStyle w:val="BodyTextMain"/>
        <w:rPr>
          <w:sz w:val="18"/>
          <w:szCs w:val="18"/>
        </w:rPr>
      </w:pPr>
    </w:p>
    <w:p w14:paraId="3B0B3859" w14:textId="77777777" w:rsidR="009E6519" w:rsidRPr="008E5EEF" w:rsidRDefault="009E6519" w:rsidP="0014075E">
      <w:pPr>
        <w:pStyle w:val="Footnote"/>
        <w:pBdr>
          <w:top w:val="single" w:sz="4" w:space="4" w:color="auto"/>
          <w:left w:val="single" w:sz="4" w:space="4" w:color="auto"/>
          <w:bottom w:val="single" w:sz="4" w:space="4" w:color="auto"/>
          <w:right w:val="single" w:sz="4" w:space="1" w:color="auto"/>
        </w:pBdr>
        <w:ind w:left="1080" w:right="1109"/>
        <w:jc w:val="center"/>
        <w:rPr>
          <w:lang w:val="es-EC"/>
        </w:rPr>
      </w:pPr>
      <w:r w:rsidRPr="008E5EEF">
        <w:rPr>
          <w:lang w:val="es-EC"/>
        </w:rPr>
        <w:t>Angélica Sánchez-Riofrío is a professor at Universidad Espíritu Santo, Ecuador.</w:t>
      </w:r>
    </w:p>
    <w:p w14:paraId="387D7E35" w14:textId="2CF0BD3C" w:rsidR="009E6519" w:rsidRPr="00241F40" w:rsidRDefault="009E6519" w:rsidP="0014075E">
      <w:pPr>
        <w:pStyle w:val="Footnote"/>
        <w:pBdr>
          <w:top w:val="single" w:sz="4" w:space="4" w:color="auto"/>
          <w:left w:val="single" w:sz="4" w:space="4" w:color="auto"/>
          <w:bottom w:val="single" w:sz="4" w:space="4" w:color="auto"/>
          <w:right w:val="single" w:sz="4" w:space="1" w:color="auto"/>
        </w:pBdr>
        <w:ind w:left="1080" w:right="1109"/>
        <w:jc w:val="center"/>
      </w:pPr>
      <w:r w:rsidRPr="00241F40">
        <w:t>Nathaniel C. Lupton is a professor at University of Lethbridge, Canada.</w:t>
      </w:r>
    </w:p>
    <w:p w14:paraId="42AECD36" w14:textId="79C31FD9" w:rsidR="001A3E52" w:rsidRPr="00322E7A" w:rsidRDefault="009E6519" w:rsidP="00322E7A">
      <w:pPr>
        <w:pStyle w:val="Footnote"/>
        <w:pBdr>
          <w:top w:val="single" w:sz="4" w:space="4" w:color="auto"/>
          <w:left w:val="single" w:sz="4" w:space="4" w:color="auto"/>
          <w:bottom w:val="single" w:sz="4" w:space="4" w:color="auto"/>
          <w:right w:val="single" w:sz="4" w:space="1" w:color="auto"/>
        </w:pBdr>
        <w:ind w:left="1080" w:right="1109"/>
        <w:jc w:val="center"/>
        <w:rPr>
          <w:lang w:val="es-EC"/>
        </w:rPr>
      </w:pPr>
      <w:r w:rsidRPr="008E5EEF">
        <w:rPr>
          <w:lang w:val="es-EC"/>
        </w:rPr>
        <w:t>Teresa Larreta-Mendoza is a research assistant at Universidad Espíritu Santo</w:t>
      </w:r>
      <w:r w:rsidR="00241F40" w:rsidRPr="008E5EEF">
        <w:rPr>
          <w:lang w:val="es-EC"/>
        </w:rPr>
        <w:t>, Ecuador</w:t>
      </w:r>
      <w:r w:rsidRPr="008E5EEF">
        <w:rPr>
          <w:lang w:val="es-EC"/>
        </w:rPr>
        <w:t>.</w:t>
      </w:r>
      <w:r w:rsidR="001A3E52" w:rsidRPr="008E5EEF">
        <w:rPr>
          <w:lang w:val="es-EC" w:eastAsia="ja-JP"/>
        </w:rPr>
        <w:br w:type="page"/>
      </w:r>
    </w:p>
    <w:p w14:paraId="47036DD4" w14:textId="78FB96DB" w:rsidR="0017012C" w:rsidRPr="00241F40" w:rsidRDefault="0017012C" w:rsidP="005831FD">
      <w:pPr>
        <w:pStyle w:val="ExhibitHeading"/>
        <w:outlineLvl w:val="0"/>
        <w:rPr>
          <w:lang w:eastAsia="ja-JP"/>
        </w:rPr>
      </w:pPr>
      <w:r w:rsidRPr="00241F40">
        <w:rPr>
          <w:lang w:eastAsia="ja-JP"/>
        </w:rPr>
        <w:lastRenderedPageBreak/>
        <w:t>Exhibit 1: SICA’S INCOME STATEMENTS</w:t>
      </w:r>
      <w:r w:rsidR="009E6519" w:rsidRPr="00241F40">
        <w:rPr>
          <w:lang w:eastAsia="ja-JP"/>
        </w:rPr>
        <w:t>,</w:t>
      </w:r>
      <w:r w:rsidRPr="00241F40">
        <w:rPr>
          <w:lang w:eastAsia="ja-JP"/>
        </w:rPr>
        <w:t xml:space="preserve"> 2010 to 2016 </w:t>
      </w:r>
      <w:r w:rsidR="00ED5348" w:rsidRPr="00241F40">
        <w:rPr>
          <w:lang w:eastAsia="ja-JP"/>
        </w:rPr>
        <w:t>(</w:t>
      </w:r>
      <w:r w:rsidR="009E6519" w:rsidRPr="00241F40">
        <w:rPr>
          <w:lang w:eastAsia="ja-JP"/>
        </w:rPr>
        <w:t xml:space="preserve">US$ </w:t>
      </w:r>
      <w:r w:rsidRPr="00241F40">
        <w:rPr>
          <w:lang w:eastAsia="ja-JP"/>
        </w:rPr>
        <w:t>thousands)</w:t>
      </w:r>
    </w:p>
    <w:p w14:paraId="6999365B" w14:textId="77777777" w:rsidR="0017012C" w:rsidRPr="00241F40" w:rsidRDefault="0017012C" w:rsidP="009E6519">
      <w:pPr>
        <w:pStyle w:val="ExhibitText"/>
      </w:pPr>
    </w:p>
    <w:tbl>
      <w:tblPr>
        <w:tblStyle w:val="TableGrid"/>
        <w:tblW w:w="4699" w:type="pct"/>
        <w:jc w:val="center"/>
        <w:tblLayout w:type="fixed"/>
        <w:tblLook w:val="04A0" w:firstRow="1" w:lastRow="0" w:firstColumn="1" w:lastColumn="0" w:noHBand="0" w:noVBand="1"/>
      </w:tblPr>
      <w:tblGrid>
        <w:gridCol w:w="2700"/>
        <w:gridCol w:w="900"/>
        <w:gridCol w:w="900"/>
        <w:gridCol w:w="900"/>
        <w:gridCol w:w="900"/>
        <w:gridCol w:w="900"/>
        <w:gridCol w:w="900"/>
        <w:gridCol w:w="900"/>
      </w:tblGrid>
      <w:tr w:rsidR="0017012C" w:rsidRPr="00241F40" w14:paraId="7795A92C" w14:textId="77777777" w:rsidTr="00CB1631">
        <w:trPr>
          <w:trHeight w:val="288"/>
          <w:jc w:val="center"/>
        </w:trPr>
        <w:tc>
          <w:tcPr>
            <w:tcW w:w="2700" w:type="dxa"/>
            <w:tcBorders>
              <w:top w:val="nil"/>
              <w:left w:val="nil"/>
              <w:bottom w:val="single" w:sz="8" w:space="0" w:color="auto"/>
            </w:tcBorders>
            <w:noWrap/>
            <w:vAlign w:val="center"/>
            <w:hideMark/>
          </w:tcPr>
          <w:p w14:paraId="35C720D1" w14:textId="77777777" w:rsidR="0017012C" w:rsidRPr="00241F40" w:rsidRDefault="0017012C" w:rsidP="009E6519">
            <w:pPr>
              <w:pStyle w:val="ExhibitText"/>
              <w:jc w:val="left"/>
              <w:rPr>
                <w:lang w:eastAsia="ja-JP"/>
              </w:rPr>
            </w:pPr>
          </w:p>
        </w:tc>
        <w:tc>
          <w:tcPr>
            <w:tcW w:w="900" w:type="dxa"/>
            <w:tcBorders>
              <w:bottom w:val="single" w:sz="8" w:space="0" w:color="auto"/>
            </w:tcBorders>
            <w:vAlign w:val="center"/>
          </w:tcPr>
          <w:p w14:paraId="3342D103" w14:textId="77777777" w:rsidR="0017012C" w:rsidRPr="00241F40" w:rsidRDefault="0017012C" w:rsidP="009E6519">
            <w:pPr>
              <w:pStyle w:val="ExhibitText"/>
              <w:jc w:val="center"/>
              <w:rPr>
                <w:b/>
                <w:lang w:eastAsia="ja-JP"/>
              </w:rPr>
            </w:pPr>
            <w:r w:rsidRPr="00241F40">
              <w:rPr>
                <w:b/>
                <w:lang w:eastAsia="ja-JP"/>
              </w:rPr>
              <w:t>2010</w:t>
            </w:r>
          </w:p>
        </w:tc>
        <w:tc>
          <w:tcPr>
            <w:tcW w:w="900" w:type="dxa"/>
            <w:tcBorders>
              <w:bottom w:val="single" w:sz="8" w:space="0" w:color="auto"/>
            </w:tcBorders>
            <w:vAlign w:val="center"/>
          </w:tcPr>
          <w:p w14:paraId="255926D3" w14:textId="77777777" w:rsidR="0017012C" w:rsidRPr="00241F40" w:rsidRDefault="0017012C" w:rsidP="009E6519">
            <w:pPr>
              <w:pStyle w:val="ExhibitText"/>
              <w:jc w:val="center"/>
              <w:rPr>
                <w:b/>
                <w:lang w:eastAsia="ja-JP"/>
              </w:rPr>
            </w:pPr>
            <w:r w:rsidRPr="00241F40">
              <w:rPr>
                <w:b/>
                <w:lang w:eastAsia="ja-JP"/>
              </w:rPr>
              <w:t>2011</w:t>
            </w:r>
          </w:p>
        </w:tc>
        <w:tc>
          <w:tcPr>
            <w:tcW w:w="900" w:type="dxa"/>
            <w:tcBorders>
              <w:bottom w:val="single" w:sz="8" w:space="0" w:color="auto"/>
            </w:tcBorders>
            <w:vAlign w:val="center"/>
          </w:tcPr>
          <w:p w14:paraId="6833321C" w14:textId="77777777" w:rsidR="0017012C" w:rsidRPr="00241F40" w:rsidRDefault="0017012C" w:rsidP="009E6519">
            <w:pPr>
              <w:pStyle w:val="ExhibitText"/>
              <w:jc w:val="center"/>
              <w:rPr>
                <w:b/>
                <w:lang w:eastAsia="ja-JP"/>
              </w:rPr>
            </w:pPr>
            <w:r w:rsidRPr="00241F40">
              <w:rPr>
                <w:b/>
                <w:lang w:eastAsia="ja-JP"/>
              </w:rPr>
              <w:t>2012</w:t>
            </w:r>
          </w:p>
        </w:tc>
        <w:tc>
          <w:tcPr>
            <w:tcW w:w="900" w:type="dxa"/>
            <w:tcBorders>
              <w:bottom w:val="single" w:sz="8" w:space="0" w:color="auto"/>
            </w:tcBorders>
            <w:vAlign w:val="center"/>
          </w:tcPr>
          <w:p w14:paraId="0F1644A0" w14:textId="77777777" w:rsidR="0017012C" w:rsidRPr="00241F40" w:rsidRDefault="0017012C" w:rsidP="009E6519">
            <w:pPr>
              <w:pStyle w:val="ExhibitText"/>
              <w:jc w:val="center"/>
              <w:rPr>
                <w:b/>
                <w:lang w:eastAsia="ja-JP"/>
              </w:rPr>
            </w:pPr>
            <w:r w:rsidRPr="00241F40">
              <w:rPr>
                <w:b/>
                <w:lang w:eastAsia="ja-JP"/>
              </w:rPr>
              <w:t>2013</w:t>
            </w:r>
          </w:p>
        </w:tc>
        <w:tc>
          <w:tcPr>
            <w:tcW w:w="900" w:type="dxa"/>
            <w:tcBorders>
              <w:bottom w:val="single" w:sz="8" w:space="0" w:color="auto"/>
            </w:tcBorders>
            <w:vAlign w:val="center"/>
          </w:tcPr>
          <w:p w14:paraId="6453698B" w14:textId="77777777" w:rsidR="0017012C" w:rsidRPr="00241F40" w:rsidRDefault="0017012C" w:rsidP="009E6519">
            <w:pPr>
              <w:pStyle w:val="ExhibitText"/>
              <w:jc w:val="center"/>
              <w:rPr>
                <w:b/>
                <w:lang w:eastAsia="ja-JP"/>
              </w:rPr>
            </w:pPr>
            <w:r w:rsidRPr="00241F40">
              <w:rPr>
                <w:b/>
                <w:lang w:eastAsia="ja-JP"/>
              </w:rPr>
              <w:t>2014</w:t>
            </w:r>
          </w:p>
        </w:tc>
        <w:tc>
          <w:tcPr>
            <w:tcW w:w="900" w:type="dxa"/>
            <w:tcBorders>
              <w:bottom w:val="single" w:sz="8" w:space="0" w:color="auto"/>
            </w:tcBorders>
            <w:vAlign w:val="center"/>
          </w:tcPr>
          <w:p w14:paraId="6F04D4E8" w14:textId="77777777" w:rsidR="0017012C" w:rsidRPr="00241F40" w:rsidRDefault="0017012C" w:rsidP="009E6519">
            <w:pPr>
              <w:pStyle w:val="ExhibitText"/>
              <w:jc w:val="center"/>
              <w:rPr>
                <w:b/>
                <w:lang w:eastAsia="ja-JP"/>
              </w:rPr>
            </w:pPr>
            <w:r w:rsidRPr="00241F40">
              <w:rPr>
                <w:b/>
                <w:lang w:eastAsia="ja-JP"/>
              </w:rPr>
              <w:t>2015</w:t>
            </w:r>
          </w:p>
        </w:tc>
        <w:tc>
          <w:tcPr>
            <w:tcW w:w="900" w:type="dxa"/>
            <w:tcBorders>
              <w:bottom w:val="single" w:sz="8" w:space="0" w:color="auto"/>
            </w:tcBorders>
            <w:vAlign w:val="center"/>
          </w:tcPr>
          <w:p w14:paraId="2768B933" w14:textId="77777777" w:rsidR="0017012C" w:rsidRPr="00241F40" w:rsidRDefault="0017012C" w:rsidP="009E6519">
            <w:pPr>
              <w:pStyle w:val="ExhibitText"/>
              <w:jc w:val="center"/>
              <w:rPr>
                <w:b/>
                <w:lang w:eastAsia="ja-JP"/>
              </w:rPr>
            </w:pPr>
            <w:r w:rsidRPr="00241F40">
              <w:rPr>
                <w:b/>
                <w:lang w:eastAsia="ja-JP"/>
              </w:rPr>
              <w:t>2016</w:t>
            </w:r>
          </w:p>
        </w:tc>
      </w:tr>
      <w:tr w:rsidR="0017012C" w:rsidRPr="00241F40" w14:paraId="279B72C4" w14:textId="77777777" w:rsidTr="00CB1631">
        <w:trPr>
          <w:trHeight w:val="288"/>
          <w:jc w:val="center"/>
        </w:trPr>
        <w:tc>
          <w:tcPr>
            <w:tcW w:w="2700" w:type="dxa"/>
            <w:tcBorders>
              <w:top w:val="single" w:sz="8" w:space="0" w:color="auto"/>
            </w:tcBorders>
            <w:noWrap/>
            <w:vAlign w:val="center"/>
            <w:hideMark/>
          </w:tcPr>
          <w:p w14:paraId="43880069" w14:textId="77777777" w:rsidR="0017012C" w:rsidRPr="00241F40" w:rsidRDefault="0017012C" w:rsidP="009E6519">
            <w:pPr>
              <w:pStyle w:val="ExhibitText"/>
              <w:jc w:val="left"/>
              <w:rPr>
                <w:lang w:eastAsia="ja-JP"/>
              </w:rPr>
            </w:pPr>
            <w:r w:rsidRPr="00241F40">
              <w:rPr>
                <w:lang w:eastAsia="ja-JP"/>
              </w:rPr>
              <w:t>Local Merchandise Sales</w:t>
            </w:r>
          </w:p>
        </w:tc>
        <w:tc>
          <w:tcPr>
            <w:tcW w:w="900" w:type="dxa"/>
            <w:tcBorders>
              <w:top w:val="single" w:sz="8" w:space="0" w:color="auto"/>
            </w:tcBorders>
            <w:noWrap/>
            <w:vAlign w:val="center"/>
            <w:hideMark/>
          </w:tcPr>
          <w:p w14:paraId="538486B3" w14:textId="77777777" w:rsidR="0017012C" w:rsidRPr="00241F40" w:rsidRDefault="0017012C" w:rsidP="009E6519">
            <w:pPr>
              <w:pStyle w:val="ExhibitText"/>
              <w:jc w:val="right"/>
              <w:rPr>
                <w:lang w:eastAsia="ja-JP"/>
              </w:rPr>
            </w:pPr>
            <w:r w:rsidRPr="00241F40">
              <w:rPr>
                <w:lang w:eastAsia="ja-JP"/>
              </w:rPr>
              <w:t>12,253</w:t>
            </w:r>
          </w:p>
        </w:tc>
        <w:tc>
          <w:tcPr>
            <w:tcW w:w="900" w:type="dxa"/>
            <w:tcBorders>
              <w:top w:val="single" w:sz="8" w:space="0" w:color="auto"/>
            </w:tcBorders>
            <w:vAlign w:val="center"/>
          </w:tcPr>
          <w:p w14:paraId="1E30509B" w14:textId="77777777" w:rsidR="0017012C" w:rsidRPr="00241F40" w:rsidRDefault="0017012C" w:rsidP="009E6519">
            <w:pPr>
              <w:pStyle w:val="ExhibitText"/>
              <w:jc w:val="right"/>
              <w:rPr>
                <w:lang w:eastAsia="ja-JP"/>
              </w:rPr>
            </w:pPr>
            <w:r w:rsidRPr="00241F40">
              <w:rPr>
                <w:lang w:eastAsia="ja-JP"/>
              </w:rPr>
              <w:t>21,642</w:t>
            </w:r>
          </w:p>
        </w:tc>
        <w:tc>
          <w:tcPr>
            <w:tcW w:w="900" w:type="dxa"/>
            <w:tcBorders>
              <w:top w:val="single" w:sz="8" w:space="0" w:color="auto"/>
            </w:tcBorders>
            <w:vAlign w:val="center"/>
          </w:tcPr>
          <w:p w14:paraId="3E90FA0A" w14:textId="77777777" w:rsidR="0017012C" w:rsidRPr="00241F40" w:rsidRDefault="0017012C" w:rsidP="009E6519">
            <w:pPr>
              <w:pStyle w:val="ExhibitText"/>
              <w:jc w:val="right"/>
              <w:rPr>
                <w:lang w:eastAsia="ja-JP"/>
              </w:rPr>
            </w:pPr>
            <w:r w:rsidRPr="00241F40">
              <w:rPr>
                <w:lang w:eastAsia="ja-JP"/>
              </w:rPr>
              <w:t>28,401</w:t>
            </w:r>
          </w:p>
        </w:tc>
        <w:tc>
          <w:tcPr>
            <w:tcW w:w="900" w:type="dxa"/>
            <w:tcBorders>
              <w:top w:val="single" w:sz="8" w:space="0" w:color="auto"/>
            </w:tcBorders>
            <w:vAlign w:val="center"/>
          </w:tcPr>
          <w:p w14:paraId="5AD52028" w14:textId="77777777" w:rsidR="0017012C" w:rsidRPr="00241F40" w:rsidRDefault="0017012C" w:rsidP="009E6519">
            <w:pPr>
              <w:pStyle w:val="ExhibitText"/>
              <w:jc w:val="right"/>
              <w:rPr>
                <w:lang w:eastAsia="ja-JP"/>
              </w:rPr>
            </w:pPr>
            <w:r w:rsidRPr="00241F40">
              <w:rPr>
                <w:lang w:eastAsia="ja-JP"/>
              </w:rPr>
              <w:t>28,392</w:t>
            </w:r>
          </w:p>
        </w:tc>
        <w:tc>
          <w:tcPr>
            <w:tcW w:w="900" w:type="dxa"/>
            <w:tcBorders>
              <w:top w:val="single" w:sz="8" w:space="0" w:color="auto"/>
            </w:tcBorders>
            <w:vAlign w:val="center"/>
          </w:tcPr>
          <w:p w14:paraId="3D3F8628" w14:textId="77777777" w:rsidR="0017012C" w:rsidRPr="00241F40" w:rsidRDefault="0017012C" w:rsidP="009E6519">
            <w:pPr>
              <w:pStyle w:val="ExhibitText"/>
              <w:jc w:val="right"/>
              <w:rPr>
                <w:lang w:eastAsia="ja-JP"/>
              </w:rPr>
            </w:pPr>
            <w:r w:rsidRPr="00241F40">
              <w:rPr>
                <w:lang w:eastAsia="ja-JP"/>
              </w:rPr>
              <w:t>19,448</w:t>
            </w:r>
          </w:p>
        </w:tc>
        <w:tc>
          <w:tcPr>
            <w:tcW w:w="900" w:type="dxa"/>
            <w:tcBorders>
              <w:top w:val="single" w:sz="8" w:space="0" w:color="auto"/>
            </w:tcBorders>
            <w:vAlign w:val="center"/>
          </w:tcPr>
          <w:p w14:paraId="490A8E63" w14:textId="77777777" w:rsidR="0017012C" w:rsidRPr="00241F40" w:rsidRDefault="0017012C" w:rsidP="009E6519">
            <w:pPr>
              <w:pStyle w:val="ExhibitText"/>
              <w:jc w:val="right"/>
              <w:rPr>
                <w:lang w:eastAsia="ja-JP"/>
              </w:rPr>
            </w:pPr>
            <w:r w:rsidRPr="00241F40">
              <w:rPr>
                <w:lang w:eastAsia="ja-JP"/>
              </w:rPr>
              <w:t>21,905</w:t>
            </w:r>
          </w:p>
        </w:tc>
        <w:tc>
          <w:tcPr>
            <w:tcW w:w="900" w:type="dxa"/>
            <w:tcBorders>
              <w:top w:val="single" w:sz="8" w:space="0" w:color="auto"/>
            </w:tcBorders>
            <w:vAlign w:val="center"/>
          </w:tcPr>
          <w:p w14:paraId="35054E59" w14:textId="77777777" w:rsidR="0017012C" w:rsidRPr="00241F40" w:rsidRDefault="0017012C" w:rsidP="009E6519">
            <w:pPr>
              <w:pStyle w:val="ExhibitText"/>
              <w:jc w:val="right"/>
              <w:rPr>
                <w:lang w:eastAsia="ja-JP"/>
              </w:rPr>
            </w:pPr>
            <w:r w:rsidRPr="00241F40">
              <w:rPr>
                <w:lang w:eastAsia="ja-JP"/>
              </w:rPr>
              <w:t>26,606</w:t>
            </w:r>
          </w:p>
        </w:tc>
      </w:tr>
      <w:tr w:rsidR="0017012C" w:rsidRPr="00241F40" w14:paraId="463D1907" w14:textId="77777777" w:rsidTr="00CB1631">
        <w:trPr>
          <w:trHeight w:val="288"/>
          <w:jc w:val="center"/>
        </w:trPr>
        <w:tc>
          <w:tcPr>
            <w:tcW w:w="2700" w:type="dxa"/>
            <w:noWrap/>
            <w:vAlign w:val="center"/>
          </w:tcPr>
          <w:p w14:paraId="118E9928" w14:textId="77777777" w:rsidR="0017012C" w:rsidRPr="00241F40" w:rsidRDefault="0017012C" w:rsidP="009E6519">
            <w:pPr>
              <w:pStyle w:val="ExhibitText"/>
              <w:jc w:val="left"/>
              <w:rPr>
                <w:lang w:eastAsia="ja-JP"/>
              </w:rPr>
            </w:pPr>
            <w:r w:rsidRPr="00241F40">
              <w:rPr>
                <w:lang w:eastAsia="ja-JP"/>
              </w:rPr>
              <w:t>Net Merchandise Export</w:t>
            </w:r>
          </w:p>
        </w:tc>
        <w:tc>
          <w:tcPr>
            <w:tcW w:w="900" w:type="dxa"/>
            <w:noWrap/>
            <w:vAlign w:val="center"/>
          </w:tcPr>
          <w:p w14:paraId="26963FBE"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6D1815F1"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500EA80D"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5D51CAF8"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25E47A8A" w14:textId="77777777" w:rsidR="0017012C" w:rsidRPr="00241F40" w:rsidRDefault="0017012C" w:rsidP="009E6519">
            <w:pPr>
              <w:pStyle w:val="ExhibitText"/>
              <w:jc w:val="right"/>
              <w:rPr>
                <w:lang w:eastAsia="ja-JP"/>
              </w:rPr>
            </w:pPr>
            <w:r w:rsidRPr="00241F40">
              <w:rPr>
                <w:lang w:eastAsia="ja-JP"/>
              </w:rPr>
              <w:t>9,458</w:t>
            </w:r>
          </w:p>
        </w:tc>
        <w:tc>
          <w:tcPr>
            <w:tcW w:w="900" w:type="dxa"/>
            <w:vAlign w:val="center"/>
          </w:tcPr>
          <w:p w14:paraId="493DCFEE" w14:textId="77777777" w:rsidR="0017012C" w:rsidRPr="00241F40" w:rsidRDefault="0017012C" w:rsidP="009E6519">
            <w:pPr>
              <w:pStyle w:val="ExhibitText"/>
              <w:jc w:val="right"/>
              <w:rPr>
                <w:lang w:eastAsia="ja-JP"/>
              </w:rPr>
            </w:pPr>
            <w:r w:rsidRPr="00241F40">
              <w:rPr>
                <w:lang w:eastAsia="ja-JP"/>
              </w:rPr>
              <w:t>8,870</w:t>
            </w:r>
          </w:p>
        </w:tc>
        <w:tc>
          <w:tcPr>
            <w:tcW w:w="900" w:type="dxa"/>
            <w:vAlign w:val="center"/>
          </w:tcPr>
          <w:p w14:paraId="635EC875" w14:textId="77777777" w:rsidR="0017012C" w:rsidRPr="00241F40" w:rsidRDefault="0017012C" w:rsidP="009E6519">
            <w:pPr>
              <w:pStyle w:val="ExhibitText"/>
              <w:jc w:val="right"/>
              <w:rPr>
                <w:lang w:eastAsia="ja-JP"/>
              </w:rPr>
            </w:pPr>
            <w:r w:rsidRPr="00241F40">
              <w:rPr>
                <w:lang w:eastAsia="ja-JP"/>
              </w:rPr>
              <w:t>9,077</w:t>
            </w:r>
          </w:p>
        </w:tc>
      </w:tr>
      <w:tr w:rsidR="0017012C" w:rsidRPr="00241F40" w14:paraId="78212ED2" w14:textId="77777777" w:rsidTr="00CB1631">
        <w:trPr>
          <w:trHeight w:val="288"/>
          <w:jc w:val="center"/>
        </w:trPr>
        <w:tc>
          <w:tcPr>
            <w:tcW w:w="2700" w:type="dxa"/>
            <w:noWrap/>
            <w:vAlign w:val="center"/>
          </w:tcPr>
          <w:p w14:paraId="30F60A4B" w14:textId="77777777" w:rsidR="0017012C" w:rsidRPr="00241F40" w:rsidRDefault="0017012C" w:rsidP="009E6519">
            <w:pPr>
              <w:pStyle w:val="ExhibitText"/>
              <w:jc w:val="left"/>
              <w:rPr>
                <w:lang w:eastAsia="ja-JP"/>
              </w:rPr>
            </w:pPr>
            <w:r w:rsidRPr="00241F40">
              <w:rPr>
                <w:lang w:eastAsia="ja-JP"/>
              </w:rPr>
              <w:t>Dividends</w:t>
            </w:r>
          </w:p>
        </w:tc>
        <w:tc>
          <w:tcPr>
            <w:tcW w:w="900" w:type="dxa"/>
            <w:noWrap/>
            <w:vAlign w:val="center"/>
          </w:tcPr>
          <w:p w14:paraId="69F5B689"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12689710"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51780CDD"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05926224" w14:textId="77777777" w:rsidR="0017012C" w:rsidRPr="00241F40" w:rsidRDefault="0017012C" w:rsidP="009E6519">
            <w:pPr>
              <w:pStyle w:val="ExhibitText"/>
              <w:jc w:val="right"/>
              <w:rPr>
                <w:lang w:eastAsia="ja-JP"/>
              </w:rPr>
            </w:pPr>
            <w:r w:rsidRPr="00241F40">
              <w:rPr>
                <w:lang w:eastAsia="ja-JP"/>
              </w:rPr>
              <w:t>17</w:t>
            </w:r>
          </w:p>
        </w:tc>
        <w:tc>
          <w:tcPr>
            <w:tcW w:w="900" w:type="dxa"/>
            <w:vAlign w:val="center"/>
          </w:tcPr>
          <w:p w14:paraId="5BCBA91D"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2F23938E"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02E07626" w14:textId="77777777" w:rsidR="0017012C" w:rsidRPr="00241F40" w:rsidRDefault="0017012C" w:rsidP="009E6519">
            <w:pPr>
              <w:pStyle w:val="ExhibitText"/>
              <w:jc w:val="right"/>
              <w:rPr>
                <w:lang w:eastAsia="ja-JP"/>
              </w:rPr>
            </w:pPr>
            <w:r w:rsidRPr="00241F40">
              <w:rPr>
                <w:lang w:eastAsia="ja-JP"/>
              </w:rPr>
              <w:t>-</w:t>
            </w:r>
          </w:p>
        </w:tc>
      </w:tr>
      <w:tr w:rsidR="0017012C" w:rsidRPr="00241F40" w14:paraId="4571F7AD" w14:textId="77777777" w:rsidTr="00CB1631">
        <w:trPr>
          <w:trHeight w:val="288"/>
          <w:jc w:val="center"/>
        </w:trPr>
        <w:tc>
          <w:tcPr>
            <w:tcW w:w="2700" w:type="dxa"/>
            <w:noWrap/>
            <w:vAlign w:val="center"/>
            <w:hideMark/>
          </w:tcPr>
          <w:p w14:paraId="2C0E3623" w14:textId="77777777" w:rsidR="0017012C" w:rsidRPr="00241F40" w:rsidRDefault="0017012C" w:rsidP="009E6519">
            <w:pPr>
              <w:pStyle w:val="ExhibitText"/>
              <w:jc w:val="left"/>
              <w:rPr>
                <w:lang w:eastAsia="ja-JP"/>
              </w:rPr>
            </w:pPr>
            <w:r w:rsidRPr="00241F40">
              <w:rPr>
                <w:lang w:eastAsia="ja-JP"/>
              </w:rPr>
              <w:t>Other Revenues</w:t>
            </w:r>
          </w:p>
        </w:tc>
        <w:tc>
          <w:tcPr>
            <w:tcW w:w="900" w:type="dxa"/>
            <w:noWrap/>
            <w:vAlign w:val="center"/>
            <w:hideMark/>
          </w:tcPr>
          <w:p w14:paraId="383FB342" w14:textId="77777777" w:rsidR="0017012C" w:rsidRPr="00241F40" w:rsidRDefault="0017012C" w:rsidP="009E6519">
            <w:pPr>
              <w:pStyle w:val="ExhibitText"/>
              <w:jc w:val="right"/>
              <w:rPr>
                <w:lang w:eastAsia="ja-JP"/>
              </w:rPr>
            </w:pPr>
            <w:r w:rsidRPr="00241F40">
              <w:rPr>
                <w:lang w:eastAsia="ja-JP"/>
              </w:rPr>
              <w:t>9,420</w:t>
            </w:r>
          </w:p>
        </w:tc>
        <w:tc>
          <w:tcPr>
            <w:tcW w:w="900" w:type="dxa"/>
            <w:vAlign w:val="center"/>
          </w:tcPr>
          <w:p w14:paraId="7ECCBCF2"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0F79852E"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43F6F387" w14:textId="77777777" w:rsidR="0017012C" w:rsidRPr="00241F40" w:rsidRDefault="0017012C" w:rsidP="009E6519">
            <w:pPr>
              <w:pStyle w:val="ExhibitText"/>
              <w:jc w:val="right"/>
              <w:rPr>
                <w:lang w:eastAsia="ja-JP"/>
              </w:rPr>
            </w:pPr>
            <w:r w:rsidRPr="00241F40">
              <w:rPr>
                <w:lang w:eastAsia="ja-JP"/>
              </w:rPr>
              <w:t>44</w:t>
            </w:r>
          </w:p>
        </w:tc>
        <w:tc>
          <w:tcPr>
            <w:tcW w:w="900" w:type="dxa"/>
            <w:vAlign w:val="center"/>
          </w:tcPr>
          <w:p w14:paraId="73E95642" w14:textId="77777777" w:rsidR="0017012C" w:rsidRPr="00241F40" w:rsidRDefault="0017012C" w:rsidP="009E6519">
            <w:pPr>
              <w:pStyle w:val="ExhibitText"/>
              <w:jc w:val="right"/>
              <w:rPr>
                <w:lang w:eastAsia="ja-JP"/>
              </w:rPr>
            </w:pPr>
            <w:r w:rsidRPr="00241F40">
              <w:rPr>
                <w:lang w:eastAsia="ja-JP"/>
              </w:rPr>
              <w:t>73</w:t>
            </w:r>
          </w:p>
        </w:tc>
        <w:tc>
          <w:tcPr>
            <w:tcW w:w="900" w:type="dxa"/>
            <w:vAlign w:val="center"/>
          </w:tcPr>
          <w:p w14:paraId="599F2879" w14:textId="77777777" w:rsidR="0017012C" w:rsidRPr="00241F40" w:rsidRDefault="0017012C" w:rsidP="009E6519">
            <w:pPr>
              <w:pStyle w:val="ExhibitText"/>
              <w:jc w:val="right"/>
              <w:rPr>
                <w:lang w:eastAsia="ja-JP"/>
              </w:rPr>
            </w:pPr>
            <w:r w:rsidRPr="00241F40">
              <w:rPr>
                <w:lang w:eastAsia="ja-JP"/>
              </w:rPr>
              <w:t>22</w:t>
            </w:r>
          </w:p>
        </w:tc>
        <w:tc>
          <w:tcPr>
            <w:tcW w:w="900" w:type="dxa"/>
            <w:vAlign w:val="center"/>
          </w:tcPr>
          <w:p w14:paraId="49E08598" w14:textId="77777777" w:rsidR="0017012C" w:rsidRPr="00241F40" w:rsidRDefault="0017012C" w:rsidP="009E6519">
            <w:pPr>
              <w:pStyle w:val="ExhibitText"/>
              <w:jc w:val="right"/>
              <w:rPr>
                <w:lang w:eastAsia="ja-JP"/>
              </w:rPr>
            </w:pPr>
            <w:r w:rsidRPr="00241F40">
              <w:rPr>
                <w:lang w:eastAsia="ja-JP"/>
              </w:rPr>
              <w:t>-</w:t>
            </w:r>
          </w:p>
        </w:tc>
      </w:tr>
      <w:tr w:rsidR="0017012C" w:rsidRPr="00241F40" w14:paraId="08C455A9" w14:textId="77777777" w:rsidTr="00CB1631">
        <w:trPr>
          <w:trHeight w:val="288"/>
          <w:jc w:val="center"/>
        </w:trPr>
        <w:tc>
          <w:tcPr>
            <w:tcW w:w="2700" w:type="dxa"/>
            <w:noWrap/>
            <w:vAlign w:val="center"/>
          </w:tcPr>
          <w:p w14:paraId="4037916C" w14:textId="339216DF" w:rsidR="0017012C" w:rsidRPr="00241F40" w:rsidRDefault="0017012C" w:rsidP="009E6519">
            <w:pPr>
              <w:pStyle w:val="ExhibitText"/>
              <w:jc w:val="left"/>
              <w:rPr>
                <w:lang w:eastAsia="ja-JP"/>
              </w:rPr>
            </w:pPr>
            <w:r w:rsidRPr="00241F40">
              <w:rPr>
                <w:lang w:eastAsia="ja-JP"/>
              </w:rPr>
              <w:t>Sales Discounts</w:t>
            </w:r>
            <w:r w:rsidR="003D733F">
              <w:rPr>
                <w:lang w:eastAsia="ja-JP"/>
              </w:rPr>
              <w:t xml:space="preserve"> </w:t>
            </w:r>
            <w:r w:rsidR="002650D5" w:rsidRPr="00241F40">
              <w:rPr>
                <w:lang w:eastAsia="ja-JP"/>
              </w:rPr>
              <w:t>(-)</w:t>
            </w:r>
          </w:p>
        </w:tc>
        <w:tc>
          <w:tcPr>
            <w:tcW w:w="900" w:type="dxa"/>
            <w:noWrap/>
            <w:vAlign w:val="center"/>
          </w:tcPr>
          <w:p w14:paraId="2ED2B374"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643B2D19"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4D3E0E9E" w14:textId="6D0BC752" w:rsidR="0017012C" w:rsidRPr="00241F40" w:rsidRDefault="0017012C" w:rsidP="009E6519">
            <w:pPr>
              <w:pStyle w:val="ExhibitText"/>
              <w:jc w:val="right"/>
              <w:rPr>
                <w:lang w:eastAsia="ja-JP"/>
              </w:rPr>
            </w:pPr>
            <w:r w:rsidRPr="00241F40">
              <w:rPr>
                <w:lang w:eastAsia="ja-JP"/>
              </w:rPr>
              <w:t>279</w:t>
            </w:r>
          </w:p>
        </w:tc>
        <w:tc>
          <w:tcPr>
            <w:tcW w:w="900" w:type="dxa"/>
            <w:vAlign w:val="center"/>
          </w:tcPr>
          <w:p w14:paraId="60C3AADF" w14:textId="7BE17759" w:rsidR="0017012C" w:rsidRPr="00241F40" w:rsidRDefault="0017012C" w:rsidP="009E6519">
            <w:pPr>
              <w:pStyle w:val="ExhibitText"/>
              <w:jc w:val="right"/>
              <w:rPr>
                <w:lang w:eastAsia="ja-JP"/>
              </w:rPr>
            </w:pPr>
            <w:r w:rsidRPr="00241F40">
              <w:rPr>
                <w:lang w:eastAsia="ja-JP"/>
              </w:rPr>
              <w:t>362</w:t>
            </w:r>
          </w:p>
        </w:tc>
        <w:tc>
          <w:tcPr>
            <w:tcW w:w="900" w:type="dxa"/>
            <w:vAlign w:val="center"/>
          </w:tcPr>
          <w:p w14:paraId="4D7F274B"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221352DF"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5A5EFAB2" w14:textId="77777777" w:rsidR="0017012C" w:rsidRPr="00241F40" w:rsidRDefault="0017012C" w:rsidP="009E6519">
            <w:pPr>
              <w:pStyle w:val="ExhibitText"/>
              <w:jc w:val="right"/>
              <w:rPr>
                <w:lang w:eastAsia="ja-JP"/>
              </w:rPr>
            </w:pPr>
            <w:r w:rsidRPr="00241F40">
              <w:rPr>
                <w:lang w:eastAsia="ja-JP"/>
              </w:rPr>
              <w:t>-</w:t>
            </w:r>
          </w:p>
        </w:tc>
      </w:tr>
      <w:tr w:rsidR="0017012C" w:rsidRPr="00241F40" w14:paraId="1A4989E8" w14:textId="77777777" w:rsidTr="00CB1631">
        <w:trPr>
          <w:trHeight w:val="288"/>
          <w:jc w:val="center"/>
        </w:trPr>
        <w:tc>
          <w:tcPr>
            <w:tcW w:w="2700" w:type="dxa"/>
            <w:noWrap/>
            <w:vAlign w:val="center"/>
            <w:hideMark/>
          </w:tcPr>
          <w:p w14:paraId="6F16E372" w14:textId="77777777" w:rsidR="0017012C" w:rsidRPr="00241F40" w:rsidRDefault="0017012C" w:rsidP="009E6519">
            <w:pPr>
              <w:pStyle w:val="ExhibitText"/>
              <w:jc w:val="left"/>
              <w:rPr>
                <w:lang w:eastAsia="ja-JP"/>
              </w:rPr>
            </w:pPr>
            <w:r w:rsidRPr="00241F40">
              <w:rPr>
                <w:lang w:eastAsia="ja-JP"/>
              </w:rPr>
              <w:t>Total Revenues</w:t>
            </w:r>
          </w:p>
        </w:tc>
        <w:tc>
          <w:tcPr>
            <w:tcW w:w="900" w:type="dxa"/>
            <w:noWrap/>
            <w:vAlign w:val="center"/>
            <w:hideMark/>
          </w:tcPr>
          <w:p w14:paraId="5C208F50" w14:textId="77777777" w:rsidR="0017012C" w:rsidRPr="00241F40" w:rsidRDefault="0017012C" w:rsidP="009E6519">
            <w:pPr>
              <w:pStyle w:val="ExhibitText"/>
              <w:jc w:val="right"/>
              <w:rPr>
                <w:lang w:eastAsia="ja-JP"/>
              </w:rPr>
            </w:pPr>
            <w:r w:rsidRPr="00241F40">
              <w:rPr>
                <w:lang w:eastAsia="ja-JP"/>
              </w:rPr>
              <w:t>21,674</w:t>
            </w:r>
          </w:p>
        </w:tc>
        <w:tc>
          <w:tcPr>
            <w:tcW w:w="900" w:type="dxa"/>
            <w:vAlign w:val="center"/>
          </w:tcPr>
          <w:p w14:paraId="6826D67D" w14:textId="77777777" w:rsidR="0017012C" w:rsidRPr="00241F40" w:rsidRDefault="0017012C" w:rsidP="009E6519">
            <w:pPr>
              <w:pStyle w:val="ExhibitText"/>
              <w:jc w:val="right"/>
              <w:rPr>
                <w:lang w:eastAsia="ja-JP"/>
              </w:rPr>
            </w:pPr>
            <w:r w:rsidRPr="00241F40">
              <w:rPr>
                <w:lang w:eastAsia="ja-JP"/>
              </w:rPr>
              <w:t>21,642</w:t>
            </w:r>
          </w:p>
        </w:tc>
        <w:tc>
          <w:tcPr>
            <w:tcW w:w="900" w:type="dxa"/>
            <w:vAlign w:val="center"/>
          </w:tcPr>
          <w:p w14:paraId="34FF5EDD" w14:textId="77777777" w:rsidR="0017012C" w:rsidRPr="00241F40" w:rsidRDefault="0017012C" w:rsidP="009E6519">
            <w:pPr>
              <w:pStyle w:val="ExhibitText"/>
              <w:jc w:val="right"/>
              <w:rPr>
                <w:lang w:eastAsia="ja-JP"/>
              </w:rPr>
            </w:pPr>
            <w:r w:rsidRPr="00241F40">
              <w:rPr>
                <w:lang w:eastAsia="ja-JP"/>
              </w:rPr>
              <w:t>28,122</w:t>
            </w:r>
          </w:p>
        </w:tc>
        <w:tc>
          <w:tcPr>
            <w:tcW w:w="900" w:type="dxa"/>
            <w:vAlign w:val="center"/>
          </w:tcPr>
          <w:p w14:paraId="43E71BE0" w14:textId="77777777" w:rsidR="0017012C" w:rsidRPr="00241F40" w:rsidRDefault="0017012C" w:rsidP="009E6519">
            <w:pPr>
              <w:pStyle w:val="ExhibitText"/>
              <w:jc w:val="right"/>
              <w:rPr>
                <w:lang w:eastAsia="ja-JP"/>
              </w:rPr>
            </w:pPr>
            <w:r w:rsidRPr="00241F40">
              <w:rPr>
                <w:lang w:eastAsia="ja-JP"/>
              </w:rPr>
              <w:t>28,092</w:t>
            </w:r>
          </w:p>
        </w:tc>
        <w:tc>
          <w:tcPr>
            <w:tcW w:w="900" w:type="dxa"/>
            <w:vAlign w:val="center"/>
          </w:tcPr>
          <w:p w14:paraId="1425472E" w14:textId="77777777" w:rsidR="0017012C" w:rsidRPr="00241F40" w:rsidRDefault="0017012C" w:rsidP="009E6519">
            <w:pPr>
              <w:pStyle w:val="ExhibitText"/>
              <w:jc w:val="right"/>
              <w:rPr>
                <w:lang w:eastAsia="ja-JP"/>
              </w:rPr>
            </w:pPr>
            <w:r w:rsidRPr="00241F40">
              <w:rPr>
                <w:lang w:eastAsia="ja-JP"/>
              </w:rPr>
              <w:t>28,979</w:t>
            </w:r>
          </w:p>
        </w:tc>
        <w:tc>
          <w:tcPr>
            <w:tcW w:w="900" w:type="dxa"/>
            <w:vAlign w:val="center"/>
          </w:tcPr>
          <w:p w14:paraId="75286B47" w14:textId="77777777" w:rsidR="0017012C" w:rsidRPr="00241F40" w:rsidRDefault="0017012C" w:rsidP="009E6519">
            <w:pPr>
              <w:pStyle w:val="ExhibitText"/>
              <w:jc w:val="right"/>
              <w:rPr>
                <w:lang w:eastAsia="ja-JP"/>
              </w:rPr>
            </w:pPr>
            <w:r w:rsidRPr="00241F40">
              <w:rPr>
                <w:lang w:eastAsia="ja-JP"/>
              </w:rPr>
              <w:t>31,045</w:t>
            </w:r>
          </w:p>
        </w:tc>
        <w:tc>
          <w:tcPr>
            <w:tcW w:w="900" w:type="dxa"/>
            <w:vAlign w:val="center"/>
          </w:tcPr>
          <w:p w14:paraId="2AA86C25" w14:textId="77777777" w:rsidR="0017012C" w:rsidRPr="00241F40" w:rsidRDefault="0017012C" w:rsidP="009E6519">
            <w:pPr>
              <w:pStyle w:val="ExhibitText"/>
              <w:jc w:val="right"/>
              <w:rPr>
                <w:lang w:eastAsia="ja-JP"/>
              </w:rPr>
            </w:pPr>
            <w:r w:rsidRPr="00241F40">
              <w:rPr>
                <w:lang w:eastAsia="ja-JP"/>
              </w:rPr>
              <w:t>35,802</w:t>
            </w:r>
          </w:p>
        </w:tc>
      </w:tr>
      <w:tr w:rsidR="0017012C" w:rsidRPr="00241F40" w14:paraId="62520A65" w14:textId="77777777" w:rsidTr="00CB1631">
        <w:trPr>
          <w:trHeight w:val="288"/>
          <w:jc w:val="center"/>
        </w:trPr>
        <w:tc>
          <w:tcPr>
            <w:tcW w:w="2700" w:type="dxa"/>
            <w:noWrap/>
            <w:vAlign w:val="center"/>
            <w:hideMark/>
          </w:tcPr>
          <w:p w14:paraId="123C412E" w14:textId="4826C998" w:rsidR="0017012C" w:rsidRPr="00241F40" w:rsidRDefault="0017012C" w:rsidP="009E6519">
            <w:pPr>
              <w:pStyle w:val="ExhibitText"/>
              <w:jc w:val="left"/>
              <w:rPr>
                <w:lang w:eastAsia="ja-JP"/>
              </w:rPr>
            </w:pPr>
            <w:r w:rsidRPr="00241F40">
              <w:rPr>
                <w:lang w:eastAsia="ja-JP"/>
              </w:rPr>
              <w:t>Cost of Production and Goods Sold</w:t>
            </w:r>
            <w:r w:rsidR="002650D5" w:rsidRPr="00241F40">
              <w:rPr>
                <w:lang w:eastAsia="ja-JP"/>
              </w:rPr>
              <w:t xml:space="preserve"> (-)</w:t>
            </w:r>
          </w:p>
        </w:tc>
        <w:tc>
          <w:tcPr>
            <w:tcW w:w="900" w:type="dxa"/>
            <w:noWrap/>
            <w:vAlign w:val="center"/>
            <w:hideMark/>
          </w:tcPr>
          <w:p w14:paraId="2C9D4885" w14:textId="77777777" w:rsidR="0017012C" w:rsidRPr="00241F40" w:rsidRDefault="0017012C" w:rsidP="009E6519">
            <w:pPr>
              <w:pStyle w:val="ExhibitText"/>
              <w:jc w:val="right"/>
              <w:rPr>
                <w:lang w:eastAsia="ja-JP"/>
              </w:rPr>
            </w:pPr>
            <w:r w:rsidRPr="00241F40">
              <w:rPr>
                <w:lang w:eastAsia="ja-JP"/>
              </w:rPr>
              <w:t>18,839</w:t>
            </w:r>
          </w:p>
        </w:tc>
        <w:tc>
          <w:tcPr>
            <w:tcW w:w="900" w:type="dxa"/>
            <w:vAlign w:val="center"/>
          </w:tcPr>
          <w:p w14:paraId="28F3E2BF" w14:textId="77777777" w:rsidR="0017012C" w:rsidRPr="00241F40" w:rsidRDefault="0017012C" w:rsidP="009E6519">
            <w:pPr>
              <w:pStyle w:val="ExhibitText"/>
              <w:jc w:val="right"/>
              <w:rPr>
                <w:lang w:eastAsia="ja-JP"/>
              </w:rPr>
            </w:pPr>
            <w:r w:rsidRPr="00241F40">
              <w:rPr>
                <w:lang w:eastAsia="ja-JP"/>
              </w:rPr>
              <w:t>18,839</w:t>
            </w:r>
          </w:p>
        </w:tc>
        <w:tc>
          <w:tcPr>
            <w:tcW w:w="900" w:type="dxa"/>
            <w:vAlign w:val="center"/>
          </w:tcPr>
          <w:p w14:paraId="2F4E775B" w14:textId="77777777" w:rsidR="0017012C" w:rsidRPr="00241F40" w:rsidRDefault="0017012C" w:rsidP="009E6519">
            <w:pPr>
              <w:pStyle w:val="ExhibitText"/>
              <w:jc w:val="right"/>
              <w:rPr>
                <w:lang w:eastAsia="ja-JP"/>
              </w:rPr>
            </w:pPr>
            <w:r w:rsidRPr="00241F40">
              <w:rPr>
                <w:lang w:eastAsia="ja-JP"/>
              </w:rPr>
              <w:t>25,247</w:t>
            </w:r>
          </w:p>
        </w:tc>
        <w:tc>
          <w:tcPr>
            <w:tcW w:w="900" w:type="dxa"/>
            <w:vAlign w:val="center"/>
          </w:tcPr>
          <w:p w14:paraId="704599D9" w14:textId="77777777" w:rsidR="0017012C" w:rsidRPr="00241F40" w:rsidRDefault="0017012C" w:rsidP="009E6519">
            <w:pPr>
              <w:pStyle w:val="ExhibitText"/>
              <w:jc w:val="right"/>
              <w:rPr>
                <w:lang w:eastAsia="ja-JP"/>
              </w:rPr>
            </w:pPr>
            <w:r w:rsidRPr="00241F40">
              <w:rPr>
                <w:lang w:eastAsia="ja-JP"/>
              </w:rPr>
              <w:t>22,306</w:t>
            </w:r>
          </w:p>
        </w:tc>
        <w:tc>
          <w:tcPr>
            <w:tcW w:w="900" w:type="dxa"/>
            <w:vAlign w:val="center"/>
          </w:tcPr>
          <w:p w14:paraId="392C1816" w14:textId="77777777" w:rsidR="0017012C" w:rsidRPr="00241F40" w:rsidRDefault="0017012C" w:rsidP="009E6519">
            <w:pPr>
              <w:pStyle w:val="ExhibitText"/>
              <w:jc w:val="right"/>
              <w:rPr>
                <w:lang w:eastAsia="ja-JP"/>
              </w:rPr>
            </w:pPr>
            <w:r w:rsidRPr="00241F40">
              <w:rPr>
                <w:lang w:eastAsia="ja-JP"/>
              </w:rPr>
              <w:t>23,777</w:t>
            </w:r>
          </w:p>
        </w:tc>
        <w:tc>
          <w:tcPr>
            <w:tcW w:w="900" w:type="dxa"/>
            <w:vAlign w:val="center"/>
          </w:tcPr>
          <w:p w14:paraId="6BA4E060" w14:textId="77777777" w:rsidR="0017012C" w:rsidRPr="00241F40" w:rsidRDefault="0017012C" w:rsidP="009E6519">
            <w:pPr>
              <w:pStyle w:val="ExhibitText"/>
              <w:jc w:val="right"/>
              <w:rPr>
                <w:lang w:eastAsia="ja-JP"/>
              </w:rPr>
            </w:pPr>
            <w:r w:rsidRPr="00241F40">
              <w:rPr>
                <w:lang w:eastAsia="ja-JP"/>
              </w:rPr>
              <w:t>23,712</w:t>
            </w:r>
          </w:p>
        </w:tc>
        <w:tc>
          <w:tcPr>
            <w:tcW w:w="900" w:type="dxa"/>
            <w:vAlign w:val="center"/>
          </w:tcPr>
          <w:p w14:paraId="2F40C1A8" w14:textId="77777777" w:rsidR="0017012C" w:rsidRPr="00241F40" w:rsidRDefault="0017012C" w:rsidP="009E6519">
            <w:pPr>
              <w:pStyle w:val="ExhibitText"/>
              <w:jc w:val="right"/>
              <w:rPr>
                <w:lang w:eastAsia="ja-JP"/>
              </w:rPr>
            </w:pPr>
            <w:r w:rsidRPr="00241F40">
              <w:rPr>
                <w:lang w:eastAsia="ja-JP"/>
              </w:rPr>
              <w:t>25,700</w:t>
            </w:r>
          </w:p>
        </w:tc>
      </w:tr>
      <w:tr w:rsidR="0017012C" w:rsidRPr="00241F40" w14:paraId="41BA7D5E" w14:textId="77777777" w:rsidTr="00CB1631">
        <w:trPr>
          <w:trHeight w:val="288"/>
          <w:jc w:val="center"/>
        </w:trPr>
        <w:tc>
          <w:tcPr>
            <w:tcW w:w="2700" w:type="dxa"/>
            <w:noWrap/>
            <w:vAlign w:val="center"/>
            <w:hideMark/>
          </w:tcPr>
          <w:p w14:paraId="00659FA9" w14:textId="77777777" w:rsidR="0017012C" w:rsidRPr="00241F40" w:rsidRDefault="0017012C" w:rsidP="009E6519">
            <w:pPr>
              <w:pStyle w:val="ExhibitText"/>
              <w:jc w:val="left"/>
              <w:rPr>
                <w:lang w:eastAsia="ja-JP"/>
              </w:rPr>
            </w:pPr>
            <w:r w:rsidRPr="00241F40">
              <w:rPr>
                <w:lang w:eastAsia="ja-JP"/>
              </w:rPr>
              <w:t>Gross Margin</w:t>
            </w:r>
          </w:p>
        </w:tc>
        <w:tc>
          <w:tcPr>
            <w:tcW w:w="900" w:type="dxa"/>
            <w:noWrap/>
            <w:vAlign w:val="center"/>
            <w:hideMark/>
          </w:tcPr>
          <w:p w14:paraId="55AAB723" w14:textId="77777777" w:rsidR="0017012C" w:rsidRPr="00241F40" w:rsidRDefault="0017012C" w:rsidP="009E6519">
            <w:pPr>
              <w:pStyle w:val="ExhibitText"/>
              <w:jc w:val="right"/>
              <w:rPr>
                <w:lang w:eastAsia="ja-JP"/>
              </w:rPr>
            </w:pPr>
            <w:r w:rsidRPr="00241F40">
              <w:rPr>
                <w:lang w:eastAsia="ja-JP"/>
              </w:rPr>
              <w:t>2,803</w:t>
            </w:r>
          </w:p>
        </w:tc>
        <w:tc>
          <w:tcPr>
            <w:tcW w:w="900" w:type="dxa"/>
            <w:vAlign w:val="center"/>
          </w:tcPr>
          <w:p w14:paraId="1140A205" w14:textId="77777777" w:rsidR="0017012C" w:rsidRPr="00241F40" w:rsidRDefault="0017012C" w:rsidP="009E6519">
            <w:pPr>
              <w:pStyle w:val="ExhibitText"/>
              <w:jc w:val="right"/>
              <w:rPr>
                <w:lang w:eastAsia="ja-JP"/>
              </w:rPr>
            </w:pPr>
            <w:r w:rsidRPr="00241F40">
              <w:rPr>
                <w:lang w:eastAsia="ja-JP"/>
              </w:rPr>
              <w:t>2,803</w:t>
            </w:r>
          </w:p>
        </w:tc>
        <w:tc>
          <w:tcPr>
            <w:tcW w:w="900" w:type="dxa"/>
            <w:vAlign w:val="center"/>
          </w:tcPr>
          <w:p w14:paraId="779455AE" w14:textId="77777777" w:rsidR="0017012C" w:rsidRPr="00241F40" w:rsidRDefault="0017012C" w:rsidP="009E6519">
            <w:pPr>
              <w:pStyle w:val="ExhibitText"/>
              <w:jc w:val="right"/>
              <w:rPr>
                <w:lang w:eastAsia="ja-JP"/>
              </w:rPr>
            </w:pPr>
            <w:r w:rsidRPr="00241F40">
              <w:rPr>
                <w:lang w:eastAsia="ja-JP"/>
              </w:rPr>
              <w:t>2,875</w:t>
            </w:r>
          </w:p>
        </w:tc>
        <w:tc>
          <w:tcPr>
            <w:tcW w:w="900" w:type="dxa"/>
            <w:vAlign w:val="center"/>
          </w:tcPr>
          <w:p w14:paraId="10A7F970" w14:textId="77777777" w:rsidR="0017012C" w:rsidRPr="00241F40" w:rsidRDefault="0017012C" w:rsidP="009E6519">
            <w:pPr>
              <w:pStyle w:val="ExhibitText"/>
              <w:jc w:val="right"/>
              <w:rPr>
                <w:lang w:eastAsia="ja-JP"/>
              </w:rPr>
            </w:pPr>
            <w:r w:rsidRPr="00241F40">
              <w:rPr>
                <w:lang w:eastAsia="ja-JP"/>
              </w:rPr>
              <w:t>5,785</w:t>
            </w:r>
          </w:p>
        </w:tc>
        <w:tc>
          <w:tcPr>
            <w:tcW w:w="900" w:type="dxa"/>
            <w:vAlign w:val="center"/>
          </w:tcPr>
          <w:p w14:paraId="1718EFAB" w14:textId="77777777" w:rsidR="0017012C" w:rsidRPr="00241F40" w:rsidRDefault="0017012C" w:rsidP="009E6519">
            <w:pPr>
              <w:pStyle w:val="ExhibitText"/>
              <w:jc w:val="right"/>
              <w:rPr>
                <w:lang w:eastAsia="ja-JP"/>
              </w:rPr>
            </w:pPr>
            <w:r w:rsidRPr="00241F40">
              <w:rPr>
                <w:lang w:eastAsia="ja-JP"/>
              </w:rPr>
              <w:t>5,201</w:t>
            </w:r>
          </w:p>
        </w:tc>
        <w:tc>
          <w:tcPr>
            <w:tcW w:w="900" w:type="dxa"/>
            <w:vAlign w:val="center"/>
          </w:tcPr>
          <w:p w14:paraId="32AF2C84" w14:textId="77777777" w:rsidR="0017012C" w:rsidRPr="00241F40" w:rsidRDefault="0017012C" w:rsidP="009E6519">
            <w:pPr>
              <w:pStyle w:val="ExhibitText"/>
              <w:jc w:val="right"/>
              <w:rPr>
                <w:lang w:eastAsia="ja-JP"/>
              </w:rPr>
            </w:pPr>
            <w:r w:rsidRPr="00241F40">
              <w:rPr>
                <w:lang w:eastAsia="ja-JP"/>
              </w:rPr>
              <w:t xml:space="preserve">7,332 </w:t>
            </w:r>
          </w:p>
        </w:tc>
        <w:tc>
          <w:tcPr>
            <w:tcW w:w="900" w:type="dxa"/>
            <w:vAlign w:val="center"/>
          </w:tcPr>
          <w:p w14:paraId="054BA30B" w14:textId="77777777" w:rsidR="0017012C" w:rsidRPr="00241F40" w:rsidRDefault="0017012C" w:rsidP="009E6519">
            <w:pPr>
              <w:pStyle w:val="ExhibitText"/>
              <w:jc w:val="right"/>
              <w:rPr>
                <w:lang w:eastAsia="ja-JP"/>
              </w:rPr>
            </w:pPr>
            <w:r w:rsidRPr="00241F40">
              <w:rPr>
                <w:lang w:eastAsia="ja-JP"/>
              </w:rPr>
              <w:t>10,102</w:t>
            </w:r>
          </w:p>
        </w:tc>
      </w:tr>
      <w:tr w:rsidR="0017012C" w:rsidRPr="00241F40" w14:paraId="1D6D0D2E" w14:textId="77777777" w:rsidTr="00CB1631">
        <w:trPr>
          <w:trHeight w:val="288"/>
          <w:jc w:val="center"/>
        </w:trPr>
        <w:tc>
          <w:tcPr>
            <w:tcW w:w="2700" w:type="dxa"/>
            <w:noWrap/>
            <w:vAlign w:val="center"/>
          </w:tcPr>
          <w:p w14:paraId="2A68449C" w14:textId="77777777" w:rsidR="0017012C" w:rsidRPr="00241F40" w:rsidRDefault="0017012C" w:rsidP="009E6519">
            <w:pPr>
              <w:pStyle w:val="ExhibitText"/>
              <w:jc w:val="left"/>
              <w:rPr>
                <w:lang w:eastAsia="ja-JP"/>
              </w:rPr>
            </w:pPr>
            <w:r w:rsidRPr="00241F40">
              <w:rPr>
                <w:lang w:eastAsia="ja-JP"/>
              </w:rPr>
              <w:t>Other Revenues</w:t>
            </w:r>
          </w:p>
        </w:tc>
        <w:tc>
          <w:tcPr>
            <w:tcW w:w="900" w:type="dxa"/>
            <w:noWrap/>
            <w:vAlign w:val="center"/>
          </w:tcPr>
          <w:p w14:paraId="7D1CD6C1"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5667B242"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632E6976" w14:textId="77777777" w:rsidR="0017012C" w:rsidRPr="00241F40" w:rsidRDefault="0017012C" w:rsidP="009E6519">
            <w:pPr>
              <w:pStyle w:val="ExhibitText"/>
              <w:jc w:val="right"/>
              <w:rPr>
                <w:lang w:eastAsia="ja-JP"/>
              </w:rPr>
            </w:pPr>
            <w:r w:rsidRPr="00241F40">
              <w:rPr>
                <w:lang w:eastAsia="ja-JP"/>
              </w:rPr>
              <w:t>15</w:t>
            </w:r>
          </w:p>
        </w:tc>
        <w:tc>
          <w:tcPr>
            <w:tcW w:w="900" w:type="dxa"/>
            <w:vAlign w:val="center"/>
          </w:tcPr>
          <w:p w14:paraId="0690CBC2"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7BE57690"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2D026F25"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516EA998" w14:textId="77777777" w:rsidR="0017012C" w:rsidRPr="00241F40" w:rsidRDefault="0017012C" w:rsidP="009E6519">
            <w:pPr>
              <w:pStyle w:val="ExhibitText"/>
              <w:jc w:val="right"/>
              <w:rPr>
                <w:lang w:eastAsia="ja-JP"/>
              </w:rPr>
            </w:pPr>
            <w:r w:rsidRPr="00241F40">
              <w:rPr>
                <w:lang w:eastAsia="ja-JP"/>
              </w:rPr>
              <w:t>-</w:t>
            </w:r>
          </w:p>
        </w:tc>
      </w:tr>
      <w:tr w:rsidR="0017012C" w:rsidRPr="00241F40" w14:paraId="1E33AB4E" w14:textId="77777777" w:rsidTr="00CB1631">
        <w:trPr>
          <w:trHeight w:val="288"/>
          <w:jc w:val="center"/>
        </w:trPr>
        <w:tc>
          <w:tcPr>
            <w:tcW w:w="2700" w:type="dxa"/>
            <w:noWrap/>
            <w:vAlign w:val="center"/>
            <w:hideMark/>
          </w:tcPr>
          <w:p w14:paraId="7B9F52D5" w14:textId="1310B4F9" w:rsidR="0017012C" w:rsidRPr="00241F40" w:rsidRDefault="0017012C" w:rsidP="009E6519">
            <w:pPr>
              <w:pStyle w:val="ExhibitText"/>
              <w:jc w:val="left"/>
              <w:rPr>
                <w:lang w:eastAsia="ja-JP"/>
              </w:rPr>
            </w:pPr>
            <w:r w:rsidRPr="00241F40">
              <w:rPr>
                <w:lang w:eastAsia="ja-JP"/>
              </w:rPr>
              <w:t>Total Expenses</w:t>
            </w:r>
            <w:r w:rsidR="002650D5" w:rsidRPr="00241F40">
              <w:rPr>
                <w:lang w:eastAsia="ja-JP"/>
              </w:rPr>
              <w:t xml:space="preserve"> (-)</w:t>
            </w:r>
          </w:p>
        </w:tc>
        <w:tc>
          <w:tcPr>
            <w:tcW w:w="900" w:type="dxa"/>
            <w:noWrap/>
            <w:vAlign w:val="center"/>
            <w:hideMark/>
          </w:tcPr>
          <w:p w14:paraId="2A39AD44" w14:textId="77777777" w:rsidR="0017012C" w:rsidRPr="00241F40" w:rsidRDefault="0017012C" w:rsidP="009E6519">
            <w:pPr>
              <w:pStyle w:val="ExhibitText"/>
              <w:jc w:val="right"/>
              <w:rPr>
                <w:lang w:eastAsia="ja-JP"/>
              </w:rPr>
            </w:pPr>
            <w:r w:rsidRPr="00241F40">
              <w:rPr>
                <w:lang w:eastAsia="ja-JP"/>
              </w:rPr>
              <w:t>2,532</w:t>
            </w:r>
          </w:p>
        </w:tc>
        <w:tc>
          <w:tcPr>
            <w:tcW w:w="900" w:type="dxa"/>
            <w:vAlign w:val="center"/>
          </w:tcPr>
          <w:p w14:paraId="01B8D529" w14:textId="77777777" w:rsidR="0017012C" w:rsidRPr="00241F40" w:rsidRDefault="0017012C" w:rsidP="009E6519">
            <w:pPr>
              <w:pStyle w:val="ExhibitText"/>
              <w:jc w:val="right"/>
              <w:rPr>
                <w:lang w:eastAsia="ja-JP"/>
              </w:rPr>
            </w:pPr>
            <w:r w:rsidRPr="00241F40">
              <w:rPr>
                <w:lang w:eastAsia="ja-JP"/>
              </w:rPr>
              <w:t>2,500</w:t>
            </w:r>
          </w:p>
        </w:tc>
        <w:tc>
          <w:tcPr>
            <w:tcW w:w="900" w:type="dxa"/>
            <w:vAlign w:val="center"/>
          </w:tcPr>
          <w:p w14:paraId="2AD63600" w14:textId="77777777" w:rsidR="0017012C" w:rsidRPr="00241F40" w:rsidRDefault="0017012C" w:rsidP="009E6519">
            <w:pPr>
              <w:pStyle w:val="ExhibitText"/>
              <w:jc w:val="right"/>
              <w:rPr>
                <w:lang w:eastAsia="ja-JP"/>
              </w:rPr>
            </w:pPr>
            <w:r w:rsidRPr="00241F40">
              <w:rPr>
                <w:lang w:eastAsia="ja-JP"/>
              </w:rPr>
              <w:t>2,488</w:t>
            </w:r>
          </w:p>
        </w:tc>
        <w:tc>
          <w:tcPr>
            <w:tcW w:w="900" w:type="dxa"/>
            <w:vAlign w:val="center"/>
          </w:tcPr>
          <w:p w14:paraId="76E26901" w14:textId="77777777" w:rsidR="0017012C" w:rsidRPr="00241F40" w:rsidRDefault="0017012C" w:rsidP="009E6519">
            <w:pPr>
              <w:pStyle w:val="ExhibitText"/>
              <w:jc w:val="right"/>
              <w:rPr>
                <w:lang w:eastAsia="ja-JP"/>
              </w:rPr>
            </w:pPr>
            <w:r w:rsidRPr="00241F40">
              <w:rPr>
                <w:lang w:eastAsia="ja-JP"/>
              </w:rPr>
              <w:t>2,511</w:t>
            </w:r>
          </w:p>
        </w:tc>
        <w:tc>
          <w:tcPr>
            <w:tcW w:w="900" w:type="dxa"/>
            <w:vAlign w:val="center"/>
          </w:tcPr>
          <w:p w14:paraId="66E33563" w14:textId="77777777" w:rsidR="0017012C" w:rsidRPr="00241F40" w:rsidRDefault="0017012C" w:rsidP="009E6519">
            <w:pPr>
              <w:pStyle w:val="ExhibitText"/>
              <w:jc w:val="right"/>
              <w:rPr>
                <w:lang w:eastAsia="ja-JP"/>
              </w:rPr>
            </w:pPr>
            <w:r w:rsidRPr="00241F40">
              <w:rPr>
                <w:lang w:eastAsia="ja-JP"/>
              </w:rPr>
              <w:t>3,729</w:t>
            </w:r>
          </w:p>
        </w:tc>
        <w:tc>
          <w:tcPr>
            <w:tcW w:w="900" w:type="dxa"/>
            <w:vAlign w:val="center"/>
          </w:tcPr>
          <w:p w14:paraId="3583F1B4" w14:textId="77777777" w:rsidR="0017012C" w:rsidRPr="00241F40" w:rsidRDefault="0017012C" w:rsidP="009E6519">
            <w:pPr>
              <w:pStyle w:val="ExhibitText"/>
              <w:jc w:val="right"/>
              <w:rPr>
                <w:lang w:eastAsia="ja-JP"/>
              </w:rPr>
            </w:pPr>
            <w:r w:rsidRPr="00241F40">
              <w:rPr>
                <w:lang w:eastAsia="ja-JP"/>
              </w:rPr>
              <w:t>3,979</w:t>
            </w:r>
          </w:p>
        </w:tc>
        <w:tc>
          <w:tcPr>
            <w:tcW w:w="900" w:type="dxa"/>
            <w:vAlign w:val="center"/>
          </w:tcPr>
          <w:p w14:paraId="21DC5EF5" w14:textId="77777777" w:rsidR="0017012C" w:rsidRPr="00241F40" w:rsidRDefault="0017012C" w:rsidP="009E6519">
            <w:pPr>
              <w:pStyle w:val="ExhibitText"/>
              <w:jc w:val="right"/>
              <w:rPr>
                <w:lang w:eastAsia="ja-JP"/>
              </w:rPr>
            </w:pPr>
            <w:r w:rsidRPr="00241F40">
              <w:rPr>
                <w:lang w:eastAsia="ja-JP"/>
              </w:rPr>
              <w:t>4,775</w:t>
            </w:r>
          </w:p>
        </w:tc>
      </w:tr>
      <w:tr w:rsidR="0017012C" w:rsidRPr="00241F40" w14:paraId="24FDDAEF" w14:textId="77777777" w:rsidTr="00CB1631">
        <w:trPr>
          <w:trHeight w:val="288"/>
          <w:jc w:val="center"/>
        </w:trPr>
        <w:tc>
          <w:tcPr>
            <w:tcW w:w="2700" w:type="dxa"/>
            <w:noWrap/>
            <w:vAlign w:val="center"/>
            <w:hideMark/>
          </w:tcPr>
          <w:p w14:paraId="3F3FA20F" w14:textId="77777777" w:rsidR="0017012C" w:rsidRPr="00241F40" w:rsidRDefault="0017012C" w:rsidP="009E6519">
            <w:pPr>
              <w:pStyle w:val="ExhibitText"/>
              <w:jc w:val="left"/>
              <w:rPr>
                <w:lang w:eastAsia="ja-JP"/>
              </w:rPr>
            </w:pPr>
            <w:r w:rsidRPr="00241F40">
              <w:rPr>
                <w:lang w:eastAsia="ja-JP"/>
              </w:rPr>
              <w:t>Operating Income</w:t>
            </w:r>
          </w:p>
        </w:tc>
        <w:tc>
          <w:tcPr>
            <w:tcW w:w="900" w:type="dxa"/>
            <w:noWrap/>
            <w:vAlign w:val="center"/>
            <w:hideMark/>
          </w:tcPr>
          <w:p w14:paraId="0738E14F" w14:textId="77777777" w:rsidR="0017012C" w:rsidRPr="00241F40" w:rsidRDefault="0017012C" w:rsidP="009E6519">
            <w:pPr>
              <w:pStyle w:val="ExhibitText"/>
              <w:jc w:val="right"/>
              <w:rPr>
                <w:lang w:eastAsia="ja-JP"/>
              </w:rPr>
            </w:pPr>
            <w:r w:rsidRPr="00241F40">
              <w:rPr>
                <w:lang w:eastAsia="ja-JP"/>
              </w:rPr>
              <w:t>303</w:t>
            </w:r>
          </w:p>
        </w:tc>
        <w:tc>
          <w:tcPr>
            <w:tcW w:w="900" w:type="dxa"/>
            <w:vAlign w:val="center"/>
          </w:tcPr>
          <w:p w14:paraId="2C284E98" w14:textId="77777777" w:rsidR="0017012C" w:rsidRPr="00241F40" w:rsidRDefault="0017012C" w:rsidP="009E6519">
            <w:pPr>
              <w:pStyle w:val="ExhibitText"/>
              <w:jc w:val="right"/>
              <w:rPr>
                <w:lang w:eastAsia="ja-JP"/>
              </w:rPr>
            </w:pPr>
            <w:r w:rsidRPr="00241F40">
              <w:rPr>
                <w:lang w:eastAsia="ja-JP"/>
              </w:rPr>
              <w:t>303</w:t>
            </w:r>
          </w:p>
        </w:tc>
        <w:tc>
          <w:tcPr>
            <w:tcW w:w="900" w:type="dxa"/>
            <w:vAlign w:val="center"/>
          </w:tcPr>
          <w:p w14:paraId="215BEE38" w14:textId="77777777" w:rsidR="0017012C" w:rsidRPr="00241F40" w:rsidRDefault="0017012C" w:rsidP="009E6519">
            <w:pPr>
              <w:pStyle w:val="ExhibitText"/>
              <w:jc w:val="right"/>
              <w:rPr>
                <w:lang w:eastAsia="ja-JP"/>
              </w:rPr>
            </w:pPr>
            <w:r w:rsidRPr="00241F40">
              <w:rPr>
                <w:lang w:eastAsia="ja-JP"/>
              </w:rPr>
              <w:t>402</w:t>
            </w:r>
          </w:p>
        </w:tc>
        <w:tc>
          <w:tcPr>
            <w:tcW w:w="900" w:type="dxa"/>
            <w:vAlign w:val="center"/>
          </w:tcPr>
          <w:p w14:paraId="5ECE9B61" w14:textId="77777777" w:rsidR="0017012C" w:rsidRPr="00241F40" w:rsidRDefault="0017012C" w:rsidP="009E6519">
            <w:pPr>
              <w:pStyle w:val="ExhibitText"/>
              <w:jc w:val="right"/>
              <w:rPr>
                <w:lang w:eastAsia="ja-JP"/>
              </w:rPr>
            </w:pPr>
            <w:r w:rsidRPr="00241F40">
              <w:rPr>
                <w:lang w:eastAsia="ja-JP"/>
              </w:rPr>
              <w:t>3,273</w:t>
            </w:r>
          </w:p>
        </w:tc>
        <w:tc>
          <w:tcPr>
            <w:tcW w:w="900" w:type="dxa"/>
            <w:vAlign w:val="center"/>
          </w:tcPr>
          <w:p w14:paraId="372BCB8E" w14:textId="77777777" w:rsidR="0017012C" w:rsidRPr="00241F40" w:rsidRDefault="0017012C" w:rsidP="009E6519">
            <w:pPr>
              <w:pStyle w:val="ExhibitText"/>
              <w:jc w:val="right"/>
              <w:rPr>
                <w:lang w:eastAsia="ja-JP"/>
              </w:rPr>
            </w:pPr>
            <w:r w:rsidRPr="00241F40">
              <w:rPr>
                <w:lang w:eastAsia="ja-JP"/>
              </w:rPr>
              <w:t>1,473</w:t>
            </w:r>
          </w:p>
        </w:tc>
        <w:tc>
          <w:tcPr>
            <w:tcW w:w="900" w:type="dxa"/>
            <w:vAlign w:val="center"/>
          </w:tcPr>
          <w:p w14:paraId="262CCEF8" w14:textId="77777777" w:rsidR="0017012C" w:rsidRPr="00241F40" w:rsidRDefault="0017012C" w:rsidP="009E6519">
            <w:pPr>
              <w:pStyle w:val="ExhibitText"/>
              <w:jc w:val="right"/>
              <w:rPr>
                <w:lang w:eastAsia="ja-JP"/>
              </w:rPr>
            </w:pPr>
            <w:r w:rsidRPr="00241F40">
              <w:rPr>
                <w:lang w:eastAsia="ja-JP"/>
              </w:rPr>
              <w:t>3,353</w:t>
            </w:r>
          </w:p>
        </w:tc>
        <w:tc>
          <w:tcPr>
            <w:tcW w:w="900" w:type="dxa"/>
            <w:vAlign w:val="center"/>
          </w:tcPr>
          <w:p w14:paraId="200CC568" w14:textId="77777777" w:rsidR="0017012C" w:rsidRPr="00241F40" w:rsidRDefault="0017012C" w:rsidP="009E6519">
            <w:pPr>
              <w:pStyle w:val="ExhibitText"/>
              <w:jc w:val="right"/>
              <w:rPr>
                <w:lang w:eastAsia="ja-JP"/>
              </w:rPr>
            </w:pPr>
            <w:r w:rsidRPr="00241F40">
              <w:rPr>
                <w:lang w:eastAsia="ja-JP"/>
              </w:rPr>
              <w:t>5,327</w:t>
            </w:r>
          </w:p>
        </w:tc>
      </w:tr>
      <w:tr w:rsidR="0017012C" w:rsidRPr="00241F40" w14:paraId="7EB9472D" w14:textId="77777777" w:rsidTr="00CB1631">
        <w:trPr>
          <w:trHeight w:val="288"/>
          <w:jc w:val="center"/>
        </w:trPr>
        <w:tc>
          <w:tcPr>
            <w:tcW w:w="2700" w:type="dxa"/>
            <w:noWrap/>
            <w:vAlign w:val="center"/>
            <w:hideMark/>
          </w:tcPr>
          <w:p w14:paraId="39C4C67C" w14:textId="50EF0295" w:rsidR="0017012C" w:rsidRPr="00241F40" w:rsidRDefault="007D2D99" w:rsidP="009E6519">
            <w:pPr>
              <w:pStyle w:val="ExhibitText"/>
              <w:jc w:val="left"/>
              <w:rPr>
                <w:lang w:eastAsia="ja-JP"/>
              </w:rPr>
            </w:pPr>
            <w:r w:rsidRPr="00241F40">
              <w:rPr>
                <w:lang w:eastAsia="ja-JP"/>
              </w:rPr>
              <w:t>Employee Profit Sharing</w:t>
            </w:r>
            <w:r w:rsidR="002650D5" w:rsidRPr="00241F40">
              <w:rPr>
                <w:lang w:eastAsia="ja-JP"/>
              </w:rPr>
              <w:t xml:space="preserve"> (-)</w:t>
            </w:r>
          </w:p>
        </w:tc>
        <w:tc>
          <w:tcPr>
            <w:tcW w:w="900" w:type="dxa"/>
            <w:noWrap/>
            <w:vAlign w:val="center"/>
            <w:hideMark/>
          </w:tcPr>
          <w:p w14:paraId="4CFF5DB6" w14:textId="3036CAD5" w:rsidR="0017012C" w:rsidRPr="00241F40" w:rsidRDefault="0017012C" w:rsidP="009E6519">
            <w:pPr>
              <w:pStyle w:val="ExhibitText"/>
              <w:jc w:val="right"/>
              <w:rPr>
                <w:lang w:eastAsia="ja-JP"/>
              </w:rPr>
            </w:pPr>
            <w:r w:rsidRPr="00241F40">
              <w:rPr>
                <w:lang w:eastAsia="ja-JP"/>
              </w:rPr>
              <w:t xml:space="preserve"> 45</w:t>
            </w:r>
          </w:p>
        </w:tc>
        <w:tc>
          <w:tcPr>
            <w:tcW w:w="900" w:type="dxa"/>
            <w:vAlign w:val="center"/>
          </w:tcPr>
          <w:p w14:paraId="7BBAE0B6"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4B4B9EE7" w14:textId="77777777" w:rsidR="0017012C" w:rsidRPr="00241F40" w:rsidRDefault="0017012C" w:rsidP="009E6519">
            <w:pPr>
              <w:pStyle w:val="ExhibitText"/>
              <w:jc w:val="right"/>
              <w:rPr>
                <w:lang w:eastAsia="ja-JP"/>
              </w:rPr>
            </w:pPr>
            <w:r w:rsidRPr="00241F40">
              <w:rPr>
                <w:lang w:eastAsia="ja-JP"/>
              </w:rPr>
              <w:t>60</w:t>
            </w:r>
          </w:p>
        </w:tc>
        <w:tc>
          <w:tcPr>
            <w:tcW w:w="900" w:type="dxa"/>
            <w:vAlign w:val="center"/>
          </w:tcPr>
          <w:p w14:paraId="2F1BD644" w14:textId="77777777" w:rsidR="0017012C" w:rsidRPr="00241F40" w:rsidRDefault="0017012C" w:rsidP="009E6519">
            <w:pPr>
              <w:pStyle w:val="ExhibitText"/>
              <w:jc w:val="right"/>
              <w:rPr>
                <w:lang w:eastAsia="ja-JP"/>
              </w:rPr>
            </w:pPr>
            <w:r w:rsidRPr="00241F40">
              <w:rPr>
                <w:lang w:eastAsia="ja-JP"/>
              </w:rPr>
              <w:t>491</w:t>
            </w:r>
          </w:p>
        </w:tc>
        <w:tc>
          <w:tcPr>
            <w:tcW w:w="900" w:type="dxa"/>
            <w:vAlign w:val="center"/>
          </w:tcPr>
          <w:p w14:paraId="59F7BA14" w14:textId="77777777" w:rsidR="0017012C" w:rsidRPr="00241F40" w:rsidRDefault="0017012C" w:rsidP="009E6519">
            <w:pPr>
              <w:pStyle w:val="ExhibitText"/>
              <w:jc w:val="right"/>
              <w:rPr>
                <w:lang w:eastAsia="ja-JP"/>
              </w:rPr>
            </w:pPr>
            <w:r w:rsidRPr="00241F40">
              <w:rPr>
                <w:lang w:eastAsia="ja-JP"/>
              </w:rPr>
              <w:t>503</w:t>
            </w:r>
          </w:p>
        </w:tc>
        <w:tc>
          <w:tcPr>
            <w:tcW w:w="900" w:type="dxa"/>
            <w:vAlign w:val="center"/>
          </w:tcPr>
          <w:p w14:paraId="0FAA8722" w14:textId="77777777" w:rsidR="0017012C" w:rsidRPr="00241F40" w:rsidRDefault="0017012C" w:rsidP="009E6519">
            <w:pPr>
              <w:pStyle w:val="ExhibitText"/>
              <w:jc w:val="right"/>
              <w:rPr>
                <w:lang w:eastAsia="ja-JP"/>
              </w:rPr>
            </w:pPr>
            <w:r w:rsidRPr="00241F40">
              <w:rPr>
                <w:lang w:eastAsia="ja-JP"/>
              </w:rPr>
              <w:t>503</w:t>
            </w:r>
          </w:p>
        </w:tc>
        <w:tc>
          <w:tcPr>
            <w:tcW w:w="900" w:type="dxa"/>
            <w:vAlign w:val="center"/>
          </w:tcPr>
          <w:p w14:paraId="1C0ECC1D" w14:textId="77777777" w:rsidR="0017012C" w:rsidRPr="00241F40" w:rsidRDefault="0017012C" w:rsidP="009E6519">
            <w:pPr>
              <w:pStyle w:val="ExhibitText"/>
              <w:jc w:val="right"/>
              <w:rPr>
                <w:lang w:eastAsia="ja-JP"/>
              </w:rPr>
            </w:pPr>
            <w:r w:rsidRPr="00241F40">
              <w:rPr>
                <w:lang w:eastAsia="ja-JP"/>
              </w:rPr>
              <w:t>799</w:t>
            </w:r>
          </w:p>
        </w:tc>
      </w:tr>
      <w:tr w:rsidR="0017012C" w:rsidRPr="00241F40" w14:paraId="7A658821" w14:textId="77777777" w:rsidTr="00CB1631">
        <w:trPr>
          <w:trHeight w:val="288"/>
          <w:jc w:val="center"/>
        </w:trPr>
        <w:tc>
          <w:tcPr>
            <w:tcW w:w="2700" w:type="dxa"/>
            <w:noWrap/>
            <w:vAlign w:val="center"/>
          </w:tcPr>
          <w:p w14:paraId="24EC96F7" w14:textId="016D51E6" w:rsidR="0017012C" w:rsidRPr="00241F40" w:rsidRDefault="0017012C" w:rsidP="009E6519">
            <w:pPr>
              <w:pStyle w:val="ExhibitText"/>
              <w:jc w:val="left"/>
              <w:rPr>
                <w:lang w:eastAsia="ja-JP"/>
              </w:rPr>
            </w:pPr>
            <w:r w:rsidRPr="00241F40">
              <w:rPr>
                <w:lang w:eastAsia="ja-JP"/>
              </w:rPr>
              <w:t>Non-</w:t>
            </w:r>
            <w:r w:rsidR="009E6519" w:rsidRPr="00241F40">
              <w:rPr>
                <w:lang w:eastAsia="ja-JP"/>
              </w:rPr>
              <w:t>Taxable Dividends</w:t>
            </w:r>
            <w:r w:rsidR="002650D5" w:rsidRPr="00241F40">
              <w:rPr>
                <w:lang w:eastAsia="ja-JP"/>
              </w:rPr>
              <w:t xml:space="preserve"> (-)</w:t>
            </w:r>
          </w:p>
        </w:tc>
        <w:tc>
          <w:tcPr>
            <w:tcW w:w="900" w:type="dxa"/>
            <w:noWrap/>
            <w:vAlign w:val="center"/>
          </w:tcPr>
          <w:p w14:paraId="236840E6"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718E6FC0"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0061FB6F"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49F78D57"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38F62F67"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578560C0"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32DD99E4" w14:textId="77777777" w:rsidR="0017012C" w:rsidRPr="00241F40" w:rsidRDefault="0017012C" w:rsidP="009E6519">
            <w:pPr>
              <w:pStyle w:val="ExhibitText"/>
              <w:jc w:val="right"/>
              <w:rPr>
                <w:lang w:eastAsia="ja-JP"/>
              </w:rPr>
            </w:pPr>
            <w:r w:rsidRPr="00241F40">
              <w:rPr>
                <w:lang w:eastAsia="ja-JP"/>
              </w:rPr>
              <w:t>19</w:t>
            </w:r>
          </w:p>
        </w:tc>
      </w:tr>
      <w:tr w:rsidR="0017012C" w:rsidRPr="00241F40" w14:paraId="59EE67D1" w14:textId="77777777" w:rsidTr="00CB1631">
        <w:trPr>
          <w:trHeight w:val="288"/>
          <w:jc w:val="center"/>
        </w:trPr>
        <w:tc>
          <w:tcPr>
            <w:tcW w:w="2700" w:type="dxa"/>
            <w:noWrap/>
            <w:vAlign w:val="center"/>
            <w:hideMark/>
          </w:tcPr>
          <w:p w14:paraId="2424650F" w14:textId="77777777" w:rsidR="0017012C" w:rsidRPr="00241F40" w:rsidRDefault="0017012C" w:rsidP="009E6519">
            <w:pPr>
              <w:pStyle w:val="ExhibitText"/>
              <w:jc w:val="left"/>
              <w:rPr>
                <w:lang w:eastAsia="ja-JP"/>
              </w:rPr>
            </w:pPr>
            <w:r w:rsidRPr="00241F40">
              <w:rPr>
                <w:lang w:eastAsia="ja-JP"/>
              </w:rPr>
              <w:t>Income Before Tax</w:t>
            </w:r>
          </w:p>
        </w:tc>
        <w:tc>
          <w:tcPr>
            <w:tcW w:w="900" w:type="dxa"/>
            <w:noWrap/>
            <w:vAlign w:val="center"/>
            <w:hideMark/>
          </w:tcPr>
          <w:p w14:paraId="2345A8B9" w14:textId="77777777" w:rsidR="0017012C" w:rsidRPr="00241F40" w:rsidRDefault="0017012C" w:rsidP="009E6519">
            <w:pPr>
              <w:pStyle w:val="ExhibitText"/>
              <w:jc w:val="right"/>
              <w:rPr>
                <w:lang w:eastAsia="ja-JP"/>
              </w:rPr>
            </w:pPr>
            <w:r w:rsidRPr="00241F40">
              <w:rPr>
                <w:lang w:eastAsia="ja-JP"/>
              </w:rPr>
              <w:t>257</w:t>
            </w:r>
          </w:p>
        </w:tc>
        <w:tc>
          <w:tcPr>
            <w:tcW w:w="900" w:type="dxa"/>
            <w:vAlign w:val="center"/>
          </w:tcPr>
          <w:p w14:paraId="4266847E" w14:textId="77777777" w:rsidR="0017012C" w:rsidRPr="00241F40" w:rsidRDefault="0017012C" w:rsidP="009E6519">
            <w:pPr>
              <w:pStyle w:val="ExhibitText"/>
              <w:jc w:val="right"/>
              <w:rPr>
                <w:lang w:eastAsia="ja-JP"/>
              </w:rPr>
            </w:pPr>
            <w:r w:rsidRPr="00241F40">
              <w:rPr>
                <w:lang w:eastAsia="ja-JP"/>
              </w:rPr>
              <w:t>303</w:t>
            </w:r>
          </w:p>
        </w:tc>
        <w:tc>
          <w:tcPr>
            <w:tcW w:w="900" w:type="dxa"/>
            <w:vAlign w:val="center"/>
          </w:tcPr>
          <w:p w14:paraId="71F5B3F5" w14:textId="77777777" w:rsidR="0017012C" w:rsidRPr="00241F40" w:rsidRDefault="0017012C" w:rsidP="009E6519">
            <w:pPr>
              <w:pStyle w:val="ExhibitText"/>
              <w:jc w:val="right"/>
              <w:rPr>
                <w:lang w:eastAsia="ja-JP"/>
              </w:rPr>
            </w:pPr>
            <w:r w:rsidRPr="00241F40">
              <w:rPr>
                <w:lang w:eastAsia="ja-JP"/>
              </w:rPr>
              <w:t>342</w:t>
            </w:r>
          </w:p>
        </w:tc>
        <w:tc>
          <w:tcPr>
            <w:tcW w:w="900" w:type="dxa"/>
            <w:vAlign w:val="center"/>
          </w:tcPr>
          <w:p w14:paraId="7A05A434" w14:textId="77777777" w:rsidR="0017012C" w:rsidRPr="00241F40" w:rsidRDefault="0017012C" w:rsidP="009E6519">
            <w:pPr>
              <w:pStyle w:val="ExhibitText"/>
              <w:jc w:val="right"/>
              <w:rPr>
                <w:lang w:eastAsia="ja-JP"/>
              </w:rPr>
            </w:pPr>
            <w:r w:rsidRPr="00241F40">
              <w:rPr>
                <w:lang w:eastAsia="ja-JP"/>
              </w:rPr>
              <w:t>2,782</w:t>
            </w:r>
          </w:p>
        </w:tc>
        <w:tc>
          <w:tcPr>
            <w:tcW w:w="900" w:type="dxa"/>
            <w:vAlign w:val="center"/>
          </w:tcPr>
          <w:p w14:paraId="457955CD" w14:textId="77777777" w:rsidR="0017012C" w:rsidRPr="00241F40" w:rsidRDefault="0017012C" w:rsidP="009E6519">
            <w:pPr>
              <w:pStyle w:val="ExhibitText"/>
              <w:jc w:val="right"/>
              <w:rPr>
                <w:lang w:eastAsia="ja-JP"/>
              </w:rPr>
            </w:pPr>
            <w:r w:rsidRPr="00241F40">
              <w:rPr>
                <w:lang w:eastAsia="ja-JP"/>
              </w:rPr>
              <w:t>1,054</w:t>
            </w:r>
          </w:p>
        </w:tc>
        <w:tc>
          <w:tcPr>
            <w:tcW w:w="900" w:type="dxa"/>
            <w:vAlign w:val="center"/>
          </w:tcPr>
          <w:p w14:paraId="5ADD7D80" w14:textId="77777777" w:rsidR="0017012C" w:rsidRPr="00241F40" w:rsidRDefault="0017012C" w:rsidP="009E6519">
            <w:pPr>
              <w:pStyle w:val="ExhibitText"/>
              <w:jc w:val="right"/>
              <w:rPr>
                <w:lang w:eastAsia="ja-JP"/>
              </w:rPr>
            </w:pPr>
            <w:r w:rsidRPr="00241F40">
              <w:rPr>
                <w:lang w:eastAsia="ja-JP"/>
              </w:rPr>
              <w:t>2,933</w:t>
            </w:r>
          </w:p>
        </w:tc>
        <w:tc>
          <w:tcPr>
            <w:tcW w:w="900" w:type="dxa"/>
            <w:vAlign w:val="center"/>
          </w:tcPr>
          <w:p w14:paraId="7E248424" w14:textId="77777777" w:rsidR="0017012C" w:rsidRPr="00241F40" w:rsidRDefault="0017012C" w:rsidP="009E6519">
            <w:pPr>
              <w:pStyle w:val="ExhibitText"/>
              <w:jc w:val="right"/>
              <w:rPr>
                <w:lang w:eastAsia="ja-JP"/>
              </w:rPr>
            </w:pPr>
            <w:r w:rsidRPr="00241F40">
              <w:rPr>
                <w:lang w:eastAsia="ja-JP"/>
              </w:rPr>
              <w:t>4,509</w:t>
            </w:r>
          </w:p>
        </w:tc>
      </w:tr>
      <w:tr w:rsidR="0017012C" w:rsidRPr="00241F40" w14:paraId="7DEEC9C3" w14:textId="77777777" w:rsidTr="00CB1631">
        <w:trPr>
          <w:trHeight w:val="288"/>
          <w:jc w:val="center"/>
        </w:trPr>
        <w:tc>
          <w:tcPr>
            <w:tcW w:w="2700" w:type="dxa"/>
            <w:noWrap/>
            <w:vAlign w:val="center"/>
            <w:hideMark/>
          </w:tcPr>
          <w:p w14:paraId="2A1197D1" w14:textId="59EB8A3F" w:rsidR="0017012C" w:rsidRPr="00241F40" w:rsidRDefault="0017012C" w:rsidP="009E6519">
            <w:pPr>
              <w:pStyle w:val="ExhibitText"/>
              <w:jc w:val="left"/>
              <w:rPr>
                <w:lang w:eastAsia="ja-JP"/>
              </w:rPr>
            </w:pPr>
            <w:r w:rsidRPr="00241F40">
              <w:rPr>
                <w:lang w:eastAsia="ja-JP"/>
              </w:rPr>
              <w:t>Income Tax</w:t>
            </w:r>
            <w:r w:rsidR="002650D5" w:rsidRPr="00241F40">
              <w:rPr>
                <w:lang w:eastAsia="ja-JP"/>
              </w:rPr>
              <w:t xml:space="preserve"> (-)</w:t>
            </w:r>
          </w:p>
        </w:tc>
        <w:tc>
          <w:tcPr>
            <w:tcW w:w="900" w:type="dxa"/>
            <w:noWrap/>
            <w:vAlign w:val="center"/>
            <w:hideMark/>
          </w:tcPr>
          <w:p w14:paraId="7FF9ED10" w14:textId="2286EEFC" w:rsidR="0017012C" w:rsidRPr="00241F40" w:rsidRDefault="0017012C" w:rsidP="009E6519">
            <w:pPr>
              <w:pStyle w:val="ExhibitText"/>
              <w:jc w:val="right"/>
              <w:rPr>
                <w:lang w:eastAsia="ja-JP"/>
              </w:rPr>
            </w:pPr>
            <w:r w:rsidRPr="00241F40">
              <w:rPr>
                <w:lang w:eastAsia="ja-JP"/>
              </w:rPr>
              <w:t xml:space="preserve"> 168</w:t>
            </w:r>
          </w:p>
        </w:tc>
        <w:tc>
          <w:tcPr>
            <w:tcW w:w="900" w:type="dxa"/>
            <w:vAlign w:val="center"/>
          </w:tcPr>
          <w:p w14:paraId="32086B3C"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0806B058" w14:textId="46F557AD" w:rsidR="0017012C" w:rsidRPr="00241F40" w:rsidRDefault="0017012C" w:rsidP="009E6519">
            <w:pPr>
              <w:pStyle w:val="ExhibitText"/>
              <w:jc w:val="right"/>
              <w:rPr>
                <w:lang w:eastAsia="ja-JP"/>
              </w:rPr>
            </w:pPr>
            <w:r w:rsidRPr="00241F40">
              <w:rPr>
                <w:lang w:eastAsia="ja-JP"/>
              </w:rPr>
              <w:t>248</w:t>
            </w:r>
          </w:p>
        </w:tc>
        <w:tc>
          <w:tcPr>
            <w:tcW w:w="900" w:type="dxa"/>
            <w:vAlign w:val="center"/>
          </w:tcPr>
          <w:p w14:paraId="03A7E7C1" w14:textId="4DC61E20" w:rsidR="0017012C" w:rsidRPr="00241F40" w:rsidRDefault="0017012C" w:rsidP="009E6519">
            <w:pPr>
              <w:pStyle w:val="ExhibitText"/>
              <w:jc w:val="right"/>
              <w:rPr>
                <w:lang w:eastAsia="ja-JP"/>
              </w:rPr>
            </w:pPr>
            <w:r w:rsidRPr="00241F40">
              <w:rPr>
                <w:lang w:eastAsia="ja-JP"/>
              </w:rPr>
              <w:t>337</w:t>
            </w:r>
          </w:p>
        </w:tc>
        <w:tc>
          <w:tcPr>
            <w:tcW w:w="900" w:type="dxa"/>
            <w:vAlign w:val="center"/>
          </w:tcPr>
          <w:p w14:paraId="5B728B0A"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544CD3C0" w14:textId="22A216A5" w:rsidR="0017012C" w:rsidRPr="00241F40" w:rsidRDefault="0017012C" w:rsidP="009E6519">
            <w:pPr>
              <w:pStyle w:val="ExhibitText"/>
              <w:jc w:val="right"/>
              <w:rPr>
                <w:lang w:eastAsia="ja-JP"/>
              </w:rPr>
            </w:pPr>
            <w:r w:rsidRPr="00241F40">
              <w:rPr>
                <w:lang w:eastAsia="ja-JP"/>
              </w:rPr>
              <w:t>226</w:t>
            </w:r>
          </w:p>
        </w:tc>
        <w:tc>
          <w:tcPr>
            <w:tcW w:w="900" w:type="dxa"/>
            <w:vAlign w:val="center"/>
          </w:tcPr>
          <w:p w14:paraId="226453C7" w14:textId="18C69A25" w:rsidR="0017012C" w:rsidRPr="00241F40" w:rsidRDefault="0017012C" w:rsidP="009E6519">
            <w:pPr>
              <w:pStyle w:val="ExhibitText"/>
              <w:jc w:val="right"/>
              <w:rPr>
                <w:lang w:eastAsia="ja-JP"/>
              </w:rPr>
            </w:pPr>
            <w:r w:rsidRPr="00241F40">
              <w:rPr>
                <w:lang w:eastAsia="ja-JP"/>
              </w:rPr>
              <w:t>973</w:t>
            </w:r>
          </w:p>
        </w:tc>
      </w:tr>
      <w:tr w:rsidR="0017012C" w:rsidRPr="00241F40" w14:paraId="3FCA71C6" w14:textId="77777777" w:rsidTr="00CB1631">
        <w:trPr>
          <w:trHeight w:val="288"/>
          <w:jc w:val="center"/>
        </w:trPr>
        <w:tc>
          <w:tcPr>
            <w:tcW w:w="2700" w:type="dxa"/>
            <w:noWrap/>
            <w:vAlign w:val="center"/>
          </w:tcPr>
          <w:p w14:paraId="4CBF4130" w14:textId="3C236B5F" w:rsidR="0017012C" w:rsidRPr="00241F40" w:rsidRDefault="0017012C" w:rsidP="009E6519">
            <w:pPr>
              <w:pStyle w:val="ExhibitText"/>
              <w:jc w:val="left"/>
              <w:rPr>
                <w:lang w:eastAsia="ja-JP"/>
              </w:rPr>
            </w:pPr>
            <w:r w:rsidRPr="00241F40">
              <w:rPr>
                <w:lang w:eastAsia="ja-JP"/>
              </w:rPr>
              <w:t>Discontinued Operations Income</w:t>
            </w:r>
            <w:r w:rsidR="002650D5" w:rsidRPr="00241F40">
              <w:rPr>
                <w:lang w:eastAsia="ja-JP"/>
              </w:rPr>
              <w:t xml:space="preserve"> </w:t>
            </w:r>
          </w:p>
        </w:tc>
        <w:tc>
          <w:tcPr>
            <w:tcW w:w="900" w:type="dxa"/>
            <w:noWrap/>
            <w:vAlign w:val="center"/>
          </w:tcPr>
          <w:p w14:paraId="6034B84F"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618FA1CA" w14:textId="77777777" w:rsidR="0017012C" w:rsidRPr="00241F40" w:rsidRDefault="0017012C" w:rsidP="009E6519">
            <w:pPr>
              <w:pStyle w:val="ExhibitText"/>
              <w:jc w:val="right"/>
              <w:rPr>
                <w:lang w:eastAsia="ja-JP"/>
              </w:rPr>
            </w:pPr>
            <w:r w:rsidRPr="00241F40">
              <w:rPr>
                <w:lang w:eastAsia="ja-JP"/>
              </w:rPr>
              <w:t>(214)</w:t>
            </w:r>
          </w:p>
        </w:tc>
        <w:tc>
          <w:tcPr>
            <w:tcW w:w="900" w:type="dxa"/>
            <w:vAlign w:val="center"/>
          </w:tcPr>
          <w:p w14:paraId="5E3E9C38"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22FC0862"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39DA4AA1"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066DD0B8"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3DECC83C" w14:textId="77777777" w:rsidR="0017012C" w:rsidRPr="00241F40" w:rsidRDefault="0017012C" w:rsidP="009E6519">
            <w:pPr>
              <w:pStyle w:val="ExhibitText"/>
              <w:jc w:val="right"/>
              <w:rPr>
                <w:lang w:eastAsia="ja-JP"/>
              </w:rPr>
            </w:pPr>
            <w:r w:rsidRPr="00241F40">
              <w:rPr>
                <w:lang w:eastAsia="ja-JP"/>
              </w:rPr>
              <w:t>-</w:t>
            </w:r>
          </w:p>
        </w:tc>
      </w:tr>
      <w:tr w:rsidR="0017012C" w:rsidRPr="00241F40" w14:paraId="18C46569" w14:textId="77777777" w:rsidTr="00CB1631">
        <w:trPr>
          <w:trHeight w:val="288"/>
          <w:jc w:val="center"/>
        </w:trPr>
        <w:tc>
          <w:tcPr>
            <w:tcW w:w="2700" w:type="dxa"/>
            <w:noWrap/>
            <w:vAlign w:val="center"/>
          </w:tcPr>
          <w:p w14:paraId="547B99D0" w14:textId="1179E6C0" w:rsidR="0017012C" w:rsidRPr="00241F40" w:rsidRDefault="0017012C" w:rsidP="009E6519">
            <w:pPr>
              <w:pStyle w:val="ExhibitText"/>
              <w:jc w:val="left"/>
              <w:rPr>
                <w:lang w:eastAsia="ja-JP"/>
              </w:rPr>
            </w:pPr>
            <w:r w:rsidRPr="00241F40">
              <w:rPr>
                <w:lang w:eastAsia="ja-JP"/>
              </w:rPr>
              <w:t>Anticipated Income Tax</w:t>
            </w:r>
            <w:r w:rsidR="00096B38" w:rsidRPr="00241F40">
              <w:rPr>
                <w:lang w:eastAsia="ja-JP"/>
              </w:rPr>
              <w:t xml:space="preserve"> (-)</w:t>
            </w:r>
          </w:p>
        </w:tc>
        <w:tc>
          <w:tcPr>
            <w:tcW w:w="900" w:type="dxa"/>
            <w:noWrap/>
            <w:vAlign w:val="center"/>
          </w:tcPr>
          <w:p w14:paraId="24C89515"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3E0C1C46"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71A57481"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73737936" w14:textId="77777777" w:rsidR="0017012C" w:rsidRPr="00241F40" w:rsidRDefault="0017012C" w:rsidP="009E6519">
            <w:pPr>
              <w:pStyle w:val="ExhibitText"/>
              <w:jc w:val="right"/>
              <w:rPr>
                <w:lang w:eastAsia="ja-JP"/>
              </w:rPr>
            </w:pPr>
            <w:r w:rsidRPr="00241F40">
              <w:rPr>
                <w:lang w:eastAsia="ja-JP"/>
              </w:rPr>
              <w:t>-</w:t>
            </w:r>
          </w:p>
        </w:tc>
        <w:tc>
          <w:tcPr>
            <w:tcW w:w="900" w:type="dxa"/>
            <w:vAlign w:val="center"/>
          </w:tcPr>
          <w:p w14:paraId="2FFE12AA" w14:textId="52C135F5" w:rsidR="0017012C" w:rsidRPr="00241F40" w:rsidRDefault="0017012C" w:rsidP="009E6519">
            <w:pPr>
              <w:pStyle w:val="ExhibitText"/>
              <w:jc w:val="right"/>
              <w:rPr>
                <w:lang w:eastAsia="ja-JP"/>
              </w:rPr>
            </w:pPr>
            <w:r w:rsidRPr="00241F40">
              <w:rPr>
                <w:lang w:eastAsia="ja-JP"/>
              </w:rPr>
              <w:t>234</w:t>
            </w:r>
          </w:p>
        </w:tc>
        <w:tc>
          <w:tcPr>
            <w:tcW w:w="900" w:type="dxa"/>
            <w:vAlign w:val="center"/>
          </w:tcPr>
          <w:p w14:paraId="411EDBF3" w14:textId="7B7A633A" w:rsidR="0017012C" w:rsidRPr="00241F40" w:rsidRDefault="0017012C" w:rsidP="009E6519">
            <w:pPr>
              <w:pStyle w:val="ExhibitText"/>
              <w:jc w:val="right"/>
              <w:rPr>
                <w:lang w:eastAsia="ja-JP"/>
              </w:rPr>
            </w:pPr>
            <w:r w:rsidRPr="00241F40">
              <w:rPr>
                <w:lang w:eastAsia="ja-JP"/>
              </w:rPr>
              <w:t>295</w:t>
            </w:r>
          </w:p>
        </w:tc>
        <w:tc>
          <w:tcPr>
            <w:tcW w:w="900" w:type="dxa"/>
            <w:vAlign w:val="center"/>
          </w:tcPr>
          <w:p w14:paraId="57E8CB19" w14:textId="7EDE0E99" w:rsidR="0017012C" w:rsidRPr="00241F40" w:rsidRDefault="0017012C" w:rsidP="009E6519">
            <w:pPr>
              <w:pStyle w:val="ExhibitText"/>
              <w:jc w:val="right"/>
              <w:rPr>
                <w:lang w:eastAsia="ja-JP"/>
              </w:rPr>
            </w:pPr>
            <w:r w:rsidRPr="00241F40">
              <w:rPr>
                <w:lang w:eastAsia="ja-JP"/>
              </w:rPr>
              <w:t>295</w:t>
            </w:r>
          </w:p>
        </w:tc>
      </w:tr>
      <w:tr w:rsidR="0017012C" w:rsidRPr="00241F40" w14:paraId="54E1287C" w14:textId="77777777" w:rsidTr="00CB1631">
        <w:trPr>
          <w:trHeight w:val="288"/>
          <w:jc w:val="center"/>
        </w:trPr>
        <w:tc>
          <w:tcPr>
            <w:tcW w:w="2700" w:type="dxa"/>
            <w:noWrap/>
            <w:vAlign w:val="center"/>
            <w:hideMark/>
          </w:tcPr>
          <w:p w14:paraId="41733321" w14:textId="77777777" w:rsidR="0017012C" w:rsidRPr="00241F40" w:rsidRDefault="0017012C" w:rsidP="009E6519">
            <w:pPr>
              <w:pStyle w:val="ExhibitText"/>
              <w:jc w:val="left"/>
              <w:rPr>
                <w:b/>
                <w:lang w:eastAsia="ja-JP"/>
              </w:rPr>
            </w:pPr>
            <w:r w:rsidRPr="00241F40">
              <w:rPr>
                <w:b/>
                <w:lang w:eastAsia="ja-JP"/>
              </w:rPr>
              <w:t>Net Income</w:t>
            </w:r>
          </w:p>
        </w:tc>
        <w:tc>
          <w:tcPr>
            <w:tcW w:w="900" w:type="dxa"/>
            <w:noWrap/>
            <w:vAlign w:val="center"/>
            <w:hideMark/>
          </w:tcPr>
          <w:p w14:paraId="7B7D457D" w14:textId="66D73862" w:rsidR="0017012C" w:rsidRPr="00241F40" w:rsidRDefault="0017012C" w:rsidP="009E6519">
            <w:pPr>
              <w:pStyle w:val="ExhibitText"/>
              <w:jc w:val="right"/>
              <w:rPr>
                <w:b/>
                <w:lang w:eastAsia="ja-JP"/>
              </w:rPr>
            </w:pPr>
            <w:r w:rsidRPr="00241F40">
              <w:rPr>
                <w:b/>
                <w:lang w:eastAsia="ja-JP"/>
              </w:rPr>
              <w:t>89</w:t>
            </w:r>
          </w:p>
        </w:tc>
        <w:tc>
          <w:tcPr>
            <w:tcW w:w="900" w:type="dxa"/>
            <w:vAlign w:val="center"/>
          </w:tcPr>
          <w:p w14:paraId="0FDFB7B6" w14:textId="699AE5EF" w:rsidR="0017012C" w:rsidRPr="00241F40" w:rsidRDefault="0017012C" w:rsidP="009E6519">
            <w:pPr>
              <w:pStyle w:val="ExhibitText"/>
              <w:jc w:val="right"/>
              <w:rPr>
                <w:b/>
                <w:lang w:eastAsia="ja-JP"/>
              </w:rPr>
            </w:pPr>
            <w:r w:rsidRPr="00241F40">
              <w:rPr>
                <w:b/>
                <w:lang w:eastAsia="ja-JP"/>
              </w:rPr>
              <w:t>89</w:t>
            </w:r>
          </w:p>
        </w:tc>
        <w:tc>
          <w:tcPr>
            <w:tcW w:w="900" w:type="dxa"/>
            <w:vAlign w:val="center"/>
          </w:tcPr>
          <w:p w14:paraId="149778CB" w14:textId="7673F5F6" w:rsidR="0017012C" w:rsidRPr="00241F40" w:rsidRDefault="007344E5" w:rsidP="009E6519">
            <w:pPr>
              <w:pStyle w:val="ExhibitText"/>
              <w:jc w:val="right"/>
              <w:rPr>
                <w:b/>
                <w:lang w:eastAsia="ja-JP"/>
              </w:rPr>
            </w:pPr>
            <w:r w:rsidRPr="00241F40">
              <w:rPr>
                <w:b/>
                <w:lang w:eastAsia="ja-JP"/>
              </w:rPr>
              <w:t>94</w:t>
            </w:r>
          </w:p>
        </w:tc>
        <w:tc>
          <w:tcPr>
            <w:tcW w:w="900" w:type="dxa"/>
            <w:vAlign w:val="center"/>
          </w:tcPr>
          <w:p w14:paraId="1201B5A7" w14:textId="77777777" w:rsidR="0017012C" w:rsidRPr="00241F40" w:rsidRDefault="0017012C" w:rsidP="009E6519">
            <w:pPr>
              <w:pStyle w:val="ExhibitText"/>
              <w:jc w:val="right"/>
              <w:rPr>
                <w:b/>
                <w:lang w:eastAsia="ja-JP"/>
              </w:rPr>
            </w:pPr>
            <w:r w:rsidRPr="00241F40">
              <w:rPr>
                <w:b/>
                <w:lang w:eastAsia="ja-JP"/>
              </w:rPr>
              <w:t>2,445</w:t>
            </w:r>
          </w:p>
        </w:tc>
        <w:tc>
          <w:tcPr>
            <w:tcW w:w="900" w:type="dxa"/>
            <w:vAlign w:val="center"/>
          </w:tcPr>
          <w:p w14:paraId="66A27A18" w14:textId="77777777" w:rsidR="0017012C" w:rsidRPr="00241F40" w:rsidRDefault="0017012C" w:rsidP="009E6519">
            <w:pPr>
              <w:pStyle w:val="ExhibitText"/>
              <w:jc w:val="right"/>
              <w:rPr>
                <w:b/>
                <w:lang w:eastAsia="ja-JP"/>
              </w:rPr>
            </w:pPr>
            <w:r w:rsidRPr="00241F40">
              <w:rPr>
                <w:b/>
                <w:lang w:eastAsia="ja-JP"/>
              </w:rPr>
              <w:t>978</w:t>
            </w:r>
          </w:p>
        </w:tc>
        <w:tc>
          <w:tcPr>
            <w:tcW w:w="900" w:type="dxa"/>
            <w:vAlign w:val="center"/>
          </w:tcPr>
          <w:p w14:paraId="0232CDEE" w14:textId="77777777" w:rsidR="0017012C" w:rsidRPr="00241F40" w:rsidRDefault="0017012C" w:rsidP="009E6519">
            <w:pPr>
              <w:pStyle w:val="ExhibitText"/>
              <w:jc w:val="right"/>
              <w:rPr>
                <w:b/>
                <w:lang w:eastAsia="ja-JP"/>
              </w:rPr>
            </w:pPr>
            <w:r w:rsidRPr="00241F40">
              <w:rPr>
                <w:b/>
                <w:lang w:eastAsia="ja-JP"/>
              </w:rPr>
              <w:t>2,355</w:t>
            </w:r>
          </w:p>
        </w:tc>
        <w:tc>
          <w:tcPr>
            <w:tcW w:w="900" w:type="dxa"/>
            <w:vAlign w:val="center"/>
          </w:tcPr>
          <w:p w14:paraId="7212C374" w14:textId="77777777" w:rsidR="0017012C" w:rsidRPr="00241F40" w:rsidRDefault="0017012C" w:rsidP="009E6519">
            <w:pPr>
              <w:pStyle w:val="ExhibitText"/>
              <w:jc w:val="right"/>
              <w:rPr>
                <w:b/>
                <w:lang w:eastAsia="ja-JP"/>
              </w:rPr>
            </w:pPr>
            <w:r w:rsidRPr="00241F40">
              <w:rPr>
                <w:b/>
                <w:lang w:eastAsia="ja-JP"/>
              </w:rPr>
              <w:t>3,241</w:t>
            </w:r>
          </w:p>
        </w:tc>
      </w:tr>
    </w:tbl>
    <w:p w14:paraId="5CDB0AD1" w14:textId="77777777" w:rsidR="0017012C" w:rsidRPr="00241F40" w:rsidRDefault="0017012C" w:rsidP="00FD54D0">
      <w:pPr>
        <w:pStyle w:val="ExhibitText"/>
      </w:pPr>
    </w:p>
    <w:p w14:paraId="5A3AD1BC" w14:textId="14B64CCA" w:rsidR="0017012C" w:rsidRPr="008E5EEF" w:rsidRDefault="0017012C" w:rsidP="005831FD">
      <w:pPr>
        <w:pStyle w:val="Footnote"/>
        <w:outlineLvl w:val="0"/>
        <w:rPr>
          <w:lang w:val="es-EC"/>
        </w:rPr>
      </w:pPr>
      <w:r w:rsidRPr="008E5EEF">
        <w:rPr>
          <w:lang w:val="es-EC" w:eastAsia="ja-JP"/>
        </w:rPr>
        <w:t xml:space="preserve">Source: </w:t>
      </w:r>
      <w:r w:rsidR="009B6858" w:rsidRPr="008E5EEF">
        <w:rPr>
          <w:lang w:val="es-EC" w:eastAsia="ja-JP"/>
        </w:rPr>
        <w:t xml:space="preserve">Solubles </w:t>
      </w:r>
      <w:r w:rsidR="00241F40" w:rsidRPr="008E5EEF">
        <w:rPr>
          <w:lang w:val="es-EC" w:eastAsia="ja-JP"/>
        </w:rPr>
        <w:t>Instantaneos</w:t>
      </w:r>
      <w:r w:rsidR="009B6858" w:rsidRPr="008E5EEF">
        <w:rPr>
          <w:lang w:val="es-EC" w:eastAsia="ja-JP"/>
        </w:rPr>
        <w:t>,</w:t>
      </w:r>
      <w:r w:rsidR="00033630" w:rsidRPr="008E5EEF">
        <w:rPr>
          <w:lang w:val="es-EC" w:eastAsia="ja-JP"/>
        </w:rPr>
        <w:t xml:space="preserve"> </w:t>
      </w:r>
      <w:r w:rsidR="003D733F" w:rsidRPr="008E5EEF">
        <w:rPr>
          <w:lang w:val="es-EC" w:eastAsia="ja-JP"/>
        </w:rPr>
        <w:t>“</w:t>
      </w:r>
      <w:r w:rsidR="00033630" w:rsidRPr="008E5EEF">
        <w:rPr>
          <w:lang w:val="es-EC" w:eastAsia="ja-JP"/>
        </w:rPr>
        <w:t>Estado de Resultados,</w:t>
      </w:r>
      <w:r w:rsidR="003D733F" w:rsidRPr="008E5EEF">
        <w:rPr>
          <w:lang w:val="es-EC" w:eastAsia="ja-JP"/>
        </w:rPr>
        <w:t>”</w:t>
      </w:r>
      <w:r w:rsidR="00033630" w:rsidRPr="008E5EEF">
        <w:rPr>
          <w:lang w:val="es-EC" w:eastAsia="ja-JP"/>
        </w:rPr>
        <w:t xml:space="preserve"> </w:t>
      </w:r>
      <w:r w:rsidRPr="008E5EEF">
        <w:rPr>
          <w:lang w:val="es-EC" w:eastAsia="ja-JP"/>
        </w:rPr>
        <w:t xml:space="preserve">Superintendencia de Compañías </w:t>
      </w:r>
      <w:r w:rsidR="00241F40" w:rsidRPr="008E5EEF">
        <w:rPr>
          <w:lang w:val="es-EC" w:eastAsia="ja-JP"/>
        </w:rPr>
        <w:t>Ecuador,</w:t>
      </w:r>
      <w:r w:rsidR="00241F40" w:rsidRPr="008E5EEF">
        <w:rPr>
          <w:lang w:val="es-EC"/>
        </w:rPr>
        <w:t xml:space="preserve"> accessed</w:t>
      </w:r>
      <w:r w:rsidRPr="008E5EEF">
        <w:rPr>
          <w:lang w:val="es-EC"/>
        </w:rPr>
        <w:t xml:space="preserve"> June 15, 2017</w:t>
      </w:r>
      <w:r w:rsidR="009B6858" w:rsidRPr="008E5EEF">
        <w:rPr>
          <w:lang w:val="es-EC"/>
        </w:rPr>
        <w:t>, http://appscvs.supercias.gob.ec/portalInformacion/sector_societario.zul</w:t>
      </w:r>
      <w:r w:rsidRPr="008E5EEF">
        <w:rPr>
          <w:lang w:val="es-EC"/>
        </w:rPr>
        <w:t>.</w:t>
      </w:r>
    </w:p>
    <w:p w14:paraId="1D8D0306" w14:textId="77777777" w:rsidR="0017012C" w:rsidRPr="008E5EEF" w:rsidRDefault="0017012C" w:rsidP="00FD54D0">
      <w:pPr>
        <w:pStyle w:val="ExhibitText"/>
        <w:rPr>
          <w:lang w:val="es-EC"/>
        </w:rPr>
      </w:pPr>
    </w:p>
    <w:p w14:paraId="45B9BBF8" w14:textId="77777777" w:rsidR="0017012C" w:rsidRPr="008E5EEF" w:rsidRDefault="0017012C" w:rsidP="00FD54D0">
      <w:pPr>
        <w:pStyle w:val="ExhibitText"/>
        <w:rPr>
          <w:lang w:val="es-EC" w:eastAsia="ja-JP"/>
        </w:rPr>
      </w:pPr>
    </w:p>
    <w:p w14:paraId="4C823FEA" w14:textId="77777777" w:rsidR="003D733F" w:rsidRDefault="0017012C" w:rsidP="0017012C">
      <w:pPr>
        <w:pStyle w:val="ExhibitHeading"/>
        <w:rPr>
          <w:lang w:eastAsia="ja-JP"/>
        </w:rPr>
      </w:pPr>
      <w:r w:rsidRPr="00241F40">
        <w:rPr>
          <w:lang w:eastAsia="ja-JP"/>
        </w:rPr>
        <w:t xml:space="preserve">Exhibit 2: DON CAFÉ AND CAFÉ ORO PACKAGING FOR </w:t>
      </w:r>
      <w:r w:rsidR="003D733F">
        <w:rPr>
          <w:lang w:eastAsia="ja-JP"/>
        </w:rPr>
        <w:t xml:space="preserve">the </w:t>
      </w:r>
      <w:r w:rsidRPr="00241F40">
        <w:rPr>
          <w:lang w:eastAsia="ja-JP"/>
        </w:rPr>
        <w:t xml:space="preserve">DOMESTIC MARKET </w:t>
      </w:r>
    </w:p>
    <w:p w14:paraId="016CFB2E" w14:textId="3BDAD51E" w:rsidR="0017012C" w:rsidRPr="00241F40" w:rsidRDefault="0017012C" w:rsidP="0017012C">
      <w:pPr>
        <w:pStyle w:val="ExhibitHeading"/>
        <w:rPr>
          <w:lang w:eastAsia="ja-JP"/>
        </w:rPr>
      </w:pPr>
      <w:r w:rsidRPr="00241F40">
        <w:rPr>
          <w:lang w:eastAsia="ja-JP"/>
        </w:rPr>
        <w:t>AND EXPORT TO PERU</w:t>
      </w:r>
    </w:p>
    <w:p w14:paraId="4CECBE45" w14:textId="77777777" w:rsidR="0017012C" w:rsidRPr="00241F40" w:rsidRDefault="0017012C" w:rsidP="00FD54D0">
      <w:pPr>
        <w:pStyle w:val="ExhibitText"/>
        <w:rPr>
          <w:lang w:eastAsia="ja-JP"/>
        </w:rPr>
      </w:pPr>
    </w:p>
    <w:p w14:paraId="314C3D80" w14:textId="77777777" w:rsidR="0017012C" w:rsidRPr="00241F40" w:rsidRDefault="0017012C" w:rsidP="00FD54D0">
      <w:pPr>
        <w:pStyle w:val="ExhibitText"/>
        <w:jc w:val="center"/>
        <w:rPr>
          <w:lang w:eastAsia="ja-JP"/>
        </w:rPr>
      </w:pPr>
      <w:r w:rsidRPr="00241F40">
        <w:rPr>
          <w:noProof/>
          <w:lang w:val="en-US"/>
        </w:rPr>
        <w:drawing>
          <wp:inline distT="0" distB="0" distL="0" distR="0" wp14:anchorId="21FE04F2" wp14:editId="29108CBC">
            <wp:extent cx="494639" cy="837146"/>
            <wp:effectExtent l="0" t="0" r="1270" b="1270"/>
            <wp:docPr id="3" name="Imagen 30" descr="C:\Users\User\AppData\Local\Microsoft\Windows\INetCache\Content.Word\10 d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10 don.jpg"/>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l="33226" t="30867" r="32903" b="30867"/>
                    <a:stretch>
                      <a:fillRect/>
                    </a:stretch>
                  </pic:blipFill>
                  <pic:spPr bwMode="auto">
                    <a:xfrm>
                      <a:off x="0" y="0"/>
                      <a:ext cx="501322" cy="848457"/>
                    </a:xfrm>
                    <a:prstGeom prst="rect">
                      <a:avLst/>
                    </a:prstGeom>
                    <a:noFill/>
                    <a:ln>
                      <a:noFill/>
                    </a:ln>
                  </pic:spPr>
                </pic:pic>
              </a:graphicData>
            </a:graphic>
          </wp:inline>
        </w:drawing>
      </w:r>
      <w:r w:rsidRPr="00241F40">
        <w:rPr>
          <w:noProof/>
          <w:lang w:val="en-US"/>
        </w:rPr>
        <w:drawing>
          <wp:inline distT="0" distB="0" distL="0" distR="0" wp14:anchorId="7AF3D372" wp14:editId="7703C3BB">
            <wp:extent cx="1095106" cy="1498600"/>
            <wp:effectExtent l="0" t="0" r="0" b="6350"/>
            <wp:docPr id="4" name="Imagen 34" descr="C:\Users\User\AppData\Local\Microsoft\Windows\INetCache\Content.Word\50 d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User\AppData\Local\Microsoft\Windows\INetCache\Content.Word\50 don.jpg"/>
                    <pic:cNvPicPr>
                      <a:picLocks noChangeAspect="1" noChangeArrowheads="1"/>
                    </pic:cNvPicPr>
                  </pic:nvPicPr>
                  <pic:blipFill>
                    <a:blip r:embed="rId10">
                      <a:grayscl/>
                      <a:extLst>
                        <a:ext uri="{28A0092B-C50C-407E-A947-70E740481C1C}">
                          <a14:useLocalDpi xmlns:a14="http://schemas.microsoft.com/office/drawing/2010/main" val="0"/>
                        </a:ext>
                      </a:extLst>
                    </a:blip>
                    <a:srcRect l="20152" t="23518" r="21744" b="23509"/>
                    <a:stretch>
                      <a:fillRect/>
                    </a:stretch>
                  </pic:blipFill>
                  <pic:spPr bwMode="auto">
                    <a:xfrm>
                      <a:off x="0" y="0"/>
                      <a:ext cx="1104903" cy="1512007"/>
                    </a:xfrm>
                    <a:prstGeom prst="rect">
                      <a:avLst/>
                    </a:prstGeom>
                    <a:noFill/>
                    <a:ln>
                      <a:noFill/>
                    </a:ln>
                  </pic:spPr>
                </pic:pic>
              </a:graphicData>
            </a:graphic>
          </wp:inline>
        </w:drawing>
      </w:r>
      <w:r w:rsidRPr="00241F40">
        <w:rPr>
          <w:noProof/>
          <w:lang w:val="en-US"/>
        </w:rPr>
        <w:drawing>
          <wp:inline distT="0" distB="0" distL="0" distR="0" wp14:anchorId="6678DEEF" wp14:editId="460D565C">
            <wp:extent cx="641350" cy="1085850"/>
            <wp:effectExtent l="0" t="0" r="6350" b="0"/>
            <wp:docPr id="8" name="Picture 8"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25"/>
                    <pic:cNvPicPr>
                      <a:picLocks noChangeAspect="1" noChangeArrowheads="1"/>
                    </pic:cNvPicPr>
                  </pic:nvPicPr>
                  <pic:blipFill>
                    <a:blip r:embed="rId11" cstate="print">
                      <a:grayscl/>
                      <a:extLst>
                        <a:ext uri="{28A0092B-C50C-407E-A947-70E740481C1C}">
                          <a14:useLocalDpi xmlns:a14="http://schemas.microsoft.com/office/drawing/2010/main" val="0"/>
                        </a:ext>
                      </a:extLst>
                    </a:blip>
                    <a:srcRect l="26646" t="23360" r="25673" b="23480"/>
                    <a:stretch>
                      <a:fillRect/>
                    </a:stretch>
                  </pic:blipFill>
                  <pic:spPr bwMode="auto">
                    <a:xfrm>
                      <a:off x="0" y="0"/>
                      <a:ext cx="641350" cy="1085850"/>
                    </a:xfrm>
                    <a:prstGeom prst="rect">
                      <a:avLst/>
                    </a:prstGeom>
                    <a:noFill/>
                    <a:ln>
                      <a:noFill/>
                    </a:ln>
                  </pic:spPr>
                </pic:pic>
              </a:graphicData>
            </a:graphic>
          </wp:inline>
        </w:drawing>
      </w:r>
      <w:r w:rsidRPr="00241F40">
        <w:rPr>
          <w:noProof/>
          <w:lang w:val="en-US"/>
        </w:rPr>
        <w:drawing>
          <wp:inline distT="0" distB="0" distL="0" distR="0" wp14:anchorId="08B6D19B" wp14:editId="6893D40A">
            <wp:extent cx="992817" cy="1504944"/>
            <wp:effectExtent l="0" t="0" r="0" b="635"/>
            <wp:docPr id="5" name="Imagen 37" descr="C:\Users\User\AppData\Local\Microsoft\Windows\INetCache\Content.Word\50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User\AppData\Local\Microsoft\Windows\INetCache\Content.Word\50z.jpg"/>
                    <pic:cNvPicPr>
                      <a:picLocks noChangeAspect="1" noChangeArrowheads="1"/>
                    </pic:cNvPicPr>
                  </pic:nvPicPr>
                  <pic:blipFill>
                    <a:blip r:embed="rId12">
                      <a:grayscl/>
                      <a:extLst>
                        <a:ext uri="{28A0092B-C50C-407E-A947-70E740481C1C}">
                          <a14:useLocalDpi xmlns:a14="http://schemas.microsoft.com/office/drawing/2010/main" val="0"/>
                        </a:ext>
                      </a:extLst>
                    </a:blip>
                    <a:srcRect l="22746" t="22586" r="22046" b="22192"/>
                    <a:stretch>
                      <a:fillRect/>
                    </a:stretch>
                  </pic:blipFill>
                  <pic:spPr bwMode="auto">
                    <a:xfrm>
                      <a:off x="0" y="0"/>
                      <a:ext cx="1007485" cy="1527178"/>
                    </a:xfrm>
                    <a:prstGeom prst="rect">
                      <a:avLst/>
                    </a:prstGeom>
                    <a:noFill/>
                    <a:ln>
                      <a:noFill/>
                    </a:ln>
                  </pic:spPr>
                </pic:pic>
              </a:graphicData>
            </a:graphic>
          </wp:inline>
        </w:drawing>
      </w:r>
    </w:p>
    <w:p w14:paraId="54E03409" w14:textId="77777777" w:rsidR="0017012C" w:rsidRPr="00241F40" w:rsidRDefault="0017012C" w:rsidP="00FD54D0">
      <w:pPr>
        <w:pStyle w:val="ExhibitText"/>
        <w:rPr>
          <w:lang w:eastAsia="ja-JP"/>
        </w:rPr>
      </w:pPr>
    </w:p>
    <w:p w14:paraId="3839239F" w14:textId="3159BEE5" w:rsidR="0017012C" w:rsidRPr="00241F40" w:rsidRDefault="00ED108B" w:rsidP="005831FD">
      <w:pPr>
        <w:pStyle w:val="Footnote"/>
        <w:outlineLvl w:val="0"/>
        <w:rPr>
          <w:lang w:eastAsia="ja-JP"/>
        </w:rPr>
      </w:pPr>
      <w:r w:rsidRPr="00241F40">
        <w:rPr>
          <w:lang w:eastAsia="ja-JP"/>
        </w:rPr>
        <w:t xml:space="preserve">Source: Company </w:t>
      </w:r>
      <w:r w:rsidR="008F0A08" w:rsidRPr="00241F40">
        <w:rPr>
          <w:lang w:eastAsia="ja-JP"/>
        </w:rPr>
        <w:t>d</w:t>
      </w:r>
      <w:r w:rsidRPr="00241F40">
        <w:rPr>
          <w:lang w:eastAsia="ja-JP"/>
        </w:rPr>
        <w:t>ocuments</w:t>
      </w:r>
      <w:r w:rsidR="0017012C" w:rsidRPr="00241F40">
        <w:rPr>
          <w:lang w:eastAsia="ja-JP"/>
        </w:rPr>
        <w:t>.</w:t>
      </w:r>
    </w:p>
    <w:p w14:paraId="5A8A7199" w14:textId="77777777" w:rsidR="0017012C" w:rsidRPr="00241F40" w:rsidRDefault="0017012C">
      <w:pPr>
        <w:spacing w:after="200" w:line="276" w:lineRule="auto"/>
        <w:rPr>
          <w:b/>
          <w:sz w:val="24"/>
          <w:szCs w:val="24"/>
          <w:lang w:eastAsia="ja-JP"/>
        </w:rPr>
      </w:pPr>
      <w:r w:rsidRPr="00241F40">
        <w:rPr>
          <w:b/>
          <w:sz w:val="24"/>
          <w:szCs w:val="24"/>
          <w:lang w:eastAsia="ja-JP"/>
        </w:rPr>
        <w:br w:type="page"/>
      </w:r>
    </w:p>
    <w:p w14:paraId="0C34E104" w14:textId="552EA2F5" w:rsidR="0017012C" w:rsidRPr="00241F40" w:rsidRDefault="0017012C" w:rsidP="005831FD">
      <w:pPr>
        <w:pStyle w:val="ExhibitHeading"/>
        <w:outlineLvl w:val="0"/>
        <w:rPr>
          <w:lang w:eastAsia="ja-JP"/>
        </w:rPr>
      </w:pPr>
      <w:r w:rsidRPr="00241F40">
        <w:rPr>
          <w:lang w:eastAsia="ja-JP"/>
        </w:rPr>
        <w:lastRenderedPageBreak/>
        <w:t xml:space="preserve">Exhibit 3: SICA’S AND </w:t>
      </w:r>
      <w:r w:rsidR="003D733F">
        <w:rPr>
          <w:lang w:eastAsia="ja-JP"/>
        </w:rPr>
        <w:t xml:space="preserve">its </w:t>
      </w:r>
      <w:r w:rsidRPr="00241F40">
        <w:rPr>
          <w:lang w:eastAsia="ja-JP"/>
        </w:rPr>
        <w:t>MAIN COMPETITOR</w:t>
      </w:r>
      <w:r w:rsidR="009B6858" w:rsidRPr="00241F40">
        <w:rPr>
          <w:lang w:eastAsia="ja-JP"/>
        </w:rPr>
        <w:t>s’</w:t>
      </w:r>
      <w:r w:rsidRPr="00241F40">
        <w:rPr>
          <w:lang w:eastAsia="ja-JP"/>
        </w:rPr>
        <w:t xml:space="preserve"> PRICES</w:t>
      </w:r>
      <w:r w:rsidR="00A27C1C" w:rsidRPr="00241F40">
        <w:rPr>
          <w:lang w:eastAsia="ja-JP"/>
        </w:rPr>
        <w:t xml:space="preserve"> (US$)</w:t>
      </w:r>
    </w:p>
    <w:p w14:paraId="63A9062E" w14:textId="77777777" w:rsidR="0017012C" w:rsidRPr="00241F40" w:rsidRDefault="0017012C" w:rsidP="00FD54D0">
      <w:pPr>
        <w:pStyle w:val="ExhibitText"/>
        <w:rPr>
          <w:lang w:eastAsia="ja-JP"/>
        </w:rPr>
      </w:pPr>
    </w:p>
    <w:tbl>
      <w:tblPr>
        <w:tblW w:w="4832" w:type="pct"/>
        <w:jc w:val="center"/>
        <w:tblLayout w:type="fixed"/>
        <w:tblCellMar>
          <w:left w:w="70" w:type="dxa"/>
          <w:right w:w="70" w:type="dxa"/>
        </w:tblCellMar>
        <w:tblLook w:val="04A0" w:firstRow="1" w:lastRow="0" w:firstColumn="1" w:lastColumn="0" w:noHBand="0" w:noVBand="1"/>
      </w:tblPr>
      <w:tblGrid>
        <w:gridCol w:w="347"/>
        <w:gridCol w:w="1110"/>
        <w:gridCol w:w="1323"/>
        <w:gridCol w:w="1323"/>
        <w:gridCol w:w="1323"/>
        <w:gridCol w:w="1323"/>
        <w:gridCol w:w="1323"/>
        <w:gridCol w:w="1109"/>
      </w:tblGrid>
      <w:tr w:rsidR="00A27C1C" w:rsidRPr="00241F40" w14:paraId="05FED8C5" w14:textId="77777777" w:rsidTr="004A2F3D">
        <w:trPr>
          <w:trHeight w:val="288"/>
          <w:jc w:val="center"/>
        </w:trPr>
        <w:tc>
          <w:tcPr>
            <w:tcW w:w="346" w:type="dxa"/>
            <w:shd w:val="clear" w:color="auto" w:fill="auto"/>
            <w:noWrap/>
            <w:vAlign w:val="center"/>
            <w:hideMark/>
          </w:tcPr>
          <w:p w14:paraId="665F0799" w14:textId="77777777" w:rsidR="008F0A08" w:rsidRPr="00241F40" w:rsidRDefault="008F0A08" w:rsidP="000834EC">
            <w:pPr>
              <w:pStyle w:val="ExhibitText"/>
            </w:pPr>
          </w:p>
        </w:tc>
        <w:tc>
          <w:tcPr>
            <w:tcW w:w="1110" w:type="dxa"/>
            <w:tcBorders>
              <w:right w:val="single" w:sz="4" w:space="0" w:color="auto"/>
            </w:tcBorders>
            <w:shd w:val="clear" w:color="auto" w:fill="auto"/>
            <w:noWrap/>
            <w:vAlign w:val="center"/>
            <w:hideMark/>
          </w:tcPr>
          <w:p w14:paraId="66B36035" w14:textId="77777777" w:rsidR="008F0A08" w:rsidRPr="00241F40" w:rsidRDefault="008F0A08" w:rsidP="000834EC">
            <w:pPr>
              <w:pStyle w:val="ExhibitText"/>
            </w:pPr>
          </w:p>
        </w:tc>
        <w:tc>
          <w:tcPr>
            <w:tcW w:w="2646" w:type="dxa"/>
            <w:gridSpan w:val="2"/>
            <w:tcBorders>
              <w:top w:val="single" w:sz="4" w:space="0" w:color="auto"/>
              <w:bottom w:val="single" w:sz="4" w:space="0" w:color="auto"/>
              <w:right w:val="single" w:sz="4" w:space="0" w:color="auto"/>
            </w:tcBorders>
            <w:vAlign w:val="center"/>
          </w:tcPr>
          <w:p w14:paraId="2942CFBF" w14:textId="3E8CA636" w:rsidR="008F0A08" w:rsidRPr="00241F40" w:rsidRDefault="008F0A08" w:rsidP="00A27C1C">
            <w:pPr>
              <w:pStyle w:val="ExhibitText"/>
              <w:jc w:val="center"/>
              <w:rPr>
                <w:b/>
                <w:bCs/>
              </w:rPr>
            </w:pPr>
            <w:r w:rsidRPr="00241F40">
              <w:rPr>
                <w:b/>
                <w:bCs/>
              </w:rPr>
              <w:t>SICA</w:t>
            </w:r>
          </w:p>
        </w:tc>
        <w:tc>
          <w:tcPr>
            <w:tcW w:w="26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EB31D" w14:textId="3F03E96E" w:rsidR="008F0A08" w:rsidRPr="00241F40" w:rsidRDefault="008F0A08" w:rsidP="00A27C1C">
            <w:pPr>
              <w:pStyle w:val="ExhibitText"/>
              <w:jc w:val="center"/>
              <w:rPr>
                <w:b/>
                <w:bCs/>
              </w:rPr>
            </w:pPr>
            <w:r w:rsidRPr="00241F40">
              <w:rPr>
                <w:b/>
                <w:bCs/>
              </w:rPr>
              <w:t>E</w:t>
            </w:r>
            <w:r w:rsidR="00A27C1C" w:rsidRPr="00241F40">
              <w:rPr>
                <w:b/>
                <w:bCs/>
              </w:rPr>
              <w:t>l</w:t>
            </w:r>
            <w:r w:rsidRPr="00241F40">
              <w:rPr>
                <w:b/>
                <w:bCs/>
              </w:rPr>
              <w:t xml:space="preserve"> </w:t>
            </w:r>
            <w:r w:rsidR="00A27C1C" w:rsidRPr="00241F40">
              <w:rPr>
                <w:b/>
                <w:bCs/>
              </w:rPr>
              <w:t>Café</w:t>
            </w:r>
          </w:p>
        </w:tc>
        <w:tc>
          <w:tcPr>
            <w:tcW w:w="24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EFDD05" w14:textId="77777777" w:rsidR="008F0A08" w:rsidRPr="00241F40" w:rsidRDefault="008F0A08" w:rsidP="00A27C1C">
            <w:pPr>
              <w:pStyle w:val="ExhibitText"/>
              <w:jc w:val="center"/>
              <w:rPr>
                <w:b/>
                <w:bCs/>
              </w:rPr>
            </w:pPr>
            <w:r w:rsidRPr="00241F40">
              <w:rPr>
                <w:b/>
                <w:bCs/>
              </w:rPr>
              <w:t>Nestlé</w:t>
            </w:r>
          </w:p>
        </w:tc>
      </w:tr>
      <w:tr w:rsidR="00A27C1C" w:rsidRPr="00241F40" w14:paraId="064FBBD9" w14:textId="77777777" w:rsidTr="004A2F3D">
        <w:trPr>
          <w:trHeight w:val="288"/>
          <w:jc w:val="center"/>
        </w:trPr>
        <w:tc>
          <w:tcPr>
            <w:tcW w:w="346" w:type="dxa"/>
            <w:tcBorders>
              <w:bottom w:val="single" w:sz="8" w:space="0" w:color="auto"/>
            </w:tcBorders>
            <w:shd w:val="clear" w:color="auto" w:fill="auto"/>
            <w:noWrap/>
            <w:vAlign w:val="center"/>
            <w:hideMark/>
          </w:tcPr>
          <w:p w14:paraId="1CCEA9C7" w14:textId="77777777" w:rsidR="008F0A08" w:rsidRPr="00241F40" w:rsidRDefault="008F0A08" w:rsidP="000834EC">
            <w:pPr>
              <w:pStyle w:val="ExhibitText"/>
            </w:pPr>
          </w:p>
        </w:tc>
        <w:tc>
          <w:tcPr>
            <w:tcW w:w="1110" w:type="dxa"/>
            <w:tcBorders>
              <w:bottom w:val="single" w:sz="8" w:space="0" w:color="auto"/>
              <w:right w:val="single" w:sz="4" w:space="0" w:color="auto"/>
            </w:tcBorders>
            <w:shd w:val="clear" w:color="auto" w:fill="auto"/>
            <w:noWrap/>
            <w:vAlign w:val="center"/>
            <w:hideMark/>
          </w:tcPr>
          <w:p w14:paraId="3F53F137" w14:textId="77777777" w:rsidR="008F0A08" w:rsidRPr="00241F40" w:rsidRDefault="008F0A08" w:rsidP="000834EC">
            <w:pPr>
              <w:pStyle w:val="ExhibitText"/>
            </w:pPr>
          </w:p>
        </w:tc>
        <w:tc>
          <w:tcPr>
            <w:tcW w:w="1323" w:type="dxa"/>
            <w:tcBorders>
              <w:top w:val="single" w:sz="4" w:space="0" w:color="auto"/>
              <w:bottom w:val="single" w:sz="8" w:space="0" w:color="auto"/>
              <w:right w:val="single" w:sz="4" w:space="0" w:color="auto"/>
            </w:tcBorders>
            <w:vAlign w:val="center"/>
          </w:tcPr>
          <w:p w14:paraId="489AF34E" w14:textId="29A31299" w:rsidR="008F0A08" w:rsidRPr="00241F40" w:rsidRDefault="008F0A08" w:rsidP="00A27C1C">
            <w:pPr>
              <w:pStyle w:val="ExhibitText"/>
              <w:jc w:val="center"/>
              <w:rPr>
                <w:b/>
                <w:bCs/>
              </w:rPr>
            </w:pPr>
            <w:r w:rsidRPr="00241F40">
              <w:rPr>
                <w:b/>
                <w:bCs/>
              </w:rPr>
              <w:t>Don Café</w:t>
            </w:r>
          </w:p>
        </w:tc>
        <w:tc>
          <w:tcPr>
            <w:tcW w:w="1323" w:type="dxa"/>
            <w:tcBorders>
              <w:top w:val="single" w:sz="4" w:space="0" w:color="auto"/>
              <w:left w:val="single" w:sz="4" w:space="0" w:color="auto"/>
              <w:bottom w:val="single" w:sz="8" w:space="0" w:color="auto"/>
              <w:right w:val="single" w:sz="4" w:space="0" w:color="auto"/>
            </w:tcBorders>
            <w:vAlign w:val="center"/>
          </w:tcPr>
          <w:p w14:paraId="7B74D3CC" w14:textId="700D3FCF" w:rsidR="008F0A08" w:rsidRPr="00241F40" w:rsidRDefault="008F0A08" w:rsidP="00A27C1C">
            <w:pPr>
              <w:pStyle w:val="ExhibitText"/>
              <w:jc w:val="center"/>
              <w:rPr>
                <w:b/>
                <w:bCs/>
              </w:rPr>
            </w:pPr>
            <w:r w:rsidRPr="00241F40">
              <w:rPr>
                <w:b/>
                <w:bCs/>
              </w:rPr>
              <w:t>Café Oro</w:t>
            </w:r>
          </w:p>
        </w:tc>
        <w:tc>
          <w:tcPr>
            <w:tcW w:w="1323"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12598E1F" w14:textId="6F160F89" w:rsidR="008F0A08" w:rsidRPr="00241F40" w:rsidRDefault="008F0A08" w:rsidP="00A27C1C">
            <w:pPr>
              <w:pStyle w:val="ExhibitText"/>
              <w:jc w:val="center"/>
              <w:rPr>
                <w:b/>
                <w:bCs/>
              </w:rPr>
            </w:pPr>
            <w:r w:rsidRPr="00241F40">
              <w:rPr>
                <w:b/>
                <w:bCs/>
              </w:rPr>
              <w:t>Café Pres 2</w:t>
            </w:r>
          </w:p>
        </w:tc>
        <w:tc>
          <w:tcPr>
            <w:tcW w:w="1323"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10ADE526" w14:textId="77777777" w:rsidR="008F0A08" w:rsidRPr="00241F40" w:rsidRDefault="008F0A08" w:rsidP="00A27C1C">
            <w:pPr>
              <w:pStyle w:val="ExhibitText"/>
              <w:jc w:val="center"/>
              <w:rPr>
                <w:b/>
                <w:bCs/>
              </w:rPr>
            </w:pPr>
            <w:r w:rsidRPr="00241F40">
              <w:rPr>
                <w:b/>
                <w:bCs/>
              </w:rPr>
              <w:t>SÍ Café</w:t>
            </w:r>
          </w:p>
        </w:tc>
        <w:tc>
          <w:tcPr>
            <w:tcW w:w="1323" w:type="dxa"/>
            <w:tcBorders>
              <w:top w:val="single" w:sz="4" w:space="0" w:color="auto"/>
              <w:left w:val="single" w:sz="4" w:space="0" w:color="auto"/>
              <w:bottom w:val="single" w:sz="8" w:space="0" w:color="auto"/>
              <w:right w:val="single" w:sz="4" w:space="0" w:color="auto"/>
            </w:tcBorders>
            <w:shd w:val="clear" w:color="auto" w:fill="auto"/>
            <w:vAlign w:val="center"/>
          </w:tcPr>
          <w:p w14:paraId="07B5736B" w14:textId="77777777" w:rsidR="008F0A08" w:rsidRPr="00241F40" w:rsidRDefault="008F0A08" w:rsidP="00A27C1C">
            <w:pPr>
              <w:pStyle w:val="ExhibitText"/>
              <w:jc w:val="center"/>
              <w:rPr>
                <w:b/>
                <w:bCs/>
              </w:rPr>
            </w:pPr>
            <w:r w:rsidRPr="00241F40">
              <w:rPr>
                <w:b/>
                <w:bCs/>
              </w:rPr>
              <w:t>Nescafé</w:t>
            </w:r>
          </w:p>
        </w:tc>
        <w:tc>
          <w:tcPr>
            <w:tcW w:w="1109" w:type="dxa"/>
            <w:tcBorders>
              <w:top w:val="single" w:sz="4" w:space="0" w:color="auto"/>
              <w:left w:val="single" w:sz="4" w:space="0" w:color="auto"/>
              <w:bottom w:val="single" w:sz="8" w:space="0" w:color="auto"/>
              <w:right w:val="single" w:sz="4" w:space="0" w:color="auto"/>
            </w:tcBorders>
            <w:shd w:val="clear" w:color="auto" w:fill="auto"/>
            <w:vAlign w:val="center"/>
          </w:tcPr>
          <w:p w14:paraId="571972A3" w14:textId="77777777" w:rsidR="008F0A08" w:rsidRPr="00241F40" w:rsidRDefault="008F0A08" w:rsidP="00A27C1C">
            <w:pPr>
              <w:pStyle w:val="ExhibitText"/>
              <w:jc w:val="center"/>
              <w:rPr>
                <w:b/>
                <w:bCs/>
              </w:rPr>
            </w:pPr>
            <w:r w:rsidRPr="00241F40">
              <w:rPr>
                <w:b/>
                <w:bCs/>
              </w:rPr>
              <w:t>Nescafé Gold</w:t>
            </w:r>
          </w:p>
        </w:tc>
      </w:tr>
      <w:tr w:rsidR="00A27C1C" w:rsidRPr="00241F40" w14:paraId="43E51D0C" w14:textId="77777777" w:rsidTr="004A2F3D">
        <w:trPr>
          <w:trHeight w:val="288"/>
          <w:jc w:val="center"/>
        </w:trPr>
        <w:tc>
          <w:tcPr>
            <w:tcW w:w="346" w:type="dxa"/>
            <w:vMerge w:val="restart"/>
            <w:tcBorders>
              <w:top w:val="single" w:sz="8" w:space="0" w:color="auto"/>
              <w:left w:val="single" w:sz="4" w:space="0" w:color="auto"/>
              <w:bottom w:val="single" w:sz="4" w:space="0" w:color="auto"/>
            </w:tcBorders>
            <w:shd w:val="clear" w:color="auto" w:fill="auto"/>
            <w:textDirection w:val="btLr"/>
            <w:vAlign w:val="center"/>
            <w:hideMark/>
          </w:tcPr>
          <w:p w14:paraId="3BE62523" w14:textId="77777777" w:rsidR="008F0A08" w:rsidRPr="00241F40" w:rsidRDefault="008F0A08" w:rsidP="00A27C1C">
            <w:pPr>
              <w:pStyle w:val="ExhibitText"/>
              <w:jc w:val="center"/>
            </w:pPr>
            <w:r w:rsidRPr="00241F40">
              <w:t>SACHET</w:t>
            </w:r>
          </w:p>
        </w:tc>
        <w:tc>
          <w:tcPr>
            <w:tcW w:w="1110" w:type="dxa"/>
            <w:tcBorders>
              <w:top w:val="single" w:sz="8" w:space="0" w:color="auto"/>
              <w:right w:val="single" w:sz="4" w:space="0" w:color="auto"/>
            </w:tcBorders>
            <w:shd w:val="clear" w:color="auto" w:fill="auto"/>
            <w:noWrap/>
            <w:vAlign w:val="center"/>
            <w:hideMark/>
          </w:tcPr>
          <w:p w14:paraId="072B7720" w14:textId="77777777" w:rsidR="008F0A08" w:rsidRPr="00241F40" w:rsidRDefault="008F0A08" w:rsidP="00A27C1C">
            <w:pPr>
              <w:pStyle w:val="ExhibitText"/>
              <w:jc w:val="left"/>
            </w:pPr>
            <w:r w:rsidRPr="00241F40">
              <w:t>25 g</w:t>
            </w:r>
          </w:p>
        </w:tc>
        <w:tc>
          <w:tcPr>
            <w:tcW w:w="1323" w:type="dxa"/>
            <w:tcBorders>
              <w:top w:val="single" w:sz="8" w:space="0" w:color="auto"/>
              <w:bottom w:val="single" w:sz="4" w:space="0" w:color="auto"/>
              <w:right w:val="single" w:sz="4" w:space="0" w:color="auto"/>
            </w:tcBorders>
            <w:vAlign w:val="center"/>
          </w:tcPr>
          <w:p w14:paraId="0BA0F4AE" w14:textId="4755EC4C" w:rsidR="008F0A08" w:rsidRPr="00241F40" w:rsidRDefault="008F0A08" w:rsidP="00A27C1C">
            <w:pPr>
              <w:pStyle w:val="ExhibitText"/>
              <w:jc w:val="right"/>
            </w:pPr>
            <w:r w:rsidRPr="00241F40">
              <w:t>-</w:t>
            </w:r>
          </w:p>
        </w:tc>
        <w:tc>
          <w:tcPr>
            <w:tcW w:w="1323" w:type="dxa"/>
            <w:tcBorders>
              <w:top w:val="single" w:sz="8" w:space="0" w:color="auto"/>
              <w:left w:val="single" w:sz="4" w:space="0" w:color="auto"/>
              <w:bottom w:val="single" w:sz="4" w:space="0" w:color="auto"/>
              <w:right w:val="single" w:sz="4" w:space="0" w:color="auto"/>
            </w:tcBorders>
            <w:vAlign w:val="center"/>
          </w:tcPr>
          <w:p w14:paraId="38D76D03" w14:textId="46570271" w:rsidR="008F0A08" w:rsidRPr="00241F40" w:rsidRDefault="008F0A08" w:rsidP="00A27C1C">
            <w:pPr>
              <w:pStyle w:val="ExhibitText"/>
              <w:jc w:val="right"/>
            </w:pPr>
            <w:r w:rsidRPr="00241F40">
              <w:t>0.91</w:t>
            </w:r>
          </w:p>
        </w:tc>
        <w:tc>
          <w:tcPr>
            <w:tcW w:w="1323"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2985BE13" w14:textId="238CABAC" w:rsidR="008F0A08" w:rsidRPr="00241F40" w:rsidRDefault="008F0A08" w:rsidP="00A27C1C">
            <w:pPr>
              <w:pStyle w:val="ExhibitText"/>
              <w:jc w:val="right"/>
            </w:pPr>
            <w:r w:rsidRPr="00241F40">
              <w:t>-</w:t>
            </w:r>
          </w:p>
        </w:tc>
        <w:tc>
          <w:tcPr>
            <w:tcW w:w="1323"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0AD9A244" w14:textId="77777777" w:rsidR="008F0A08" w:rsidRPr="00241F40" w:rsidRDefault="008F0A08" w:rsidP="00A27C1C">
            <w:pPr>
              <w:pStyle w:val="ExhibitText"/>
              <w:jc w:val="right"/>
            </w:pPr>
            <w:r w:rsidRPr="00241F40">
              <w:t>-</w:t>
            </w:r>
          </w:p>
        </w:tc>
        <w:tc>
          <w:tcPr>
            <w:tcW w:w="1323" w:type="dxa"/>
            <w:tcBorders>
              <w:top w:val="single" w:sz="8" w:space="0" w:color="auto"/>
              <w:left w:val="single" w:sz="4" w:space="0" w:color="auto"/>
              <w:bottom w:val="single" w:sz="4" w:space="0" w:color="auto"/>
              <w:right w:val="single" w:sz="4" w:space="0" w:color="auto"/>
            </w:tcBorders>
            <w:shd w:val="clear" w:color="auto" w:fill="auto"/>
            <w:vAlign w:val="center"/>
          </w:tcPr>
          <w:p w14:paraId="73EE4A7A" w14:textId="77777777" w:rsidR="008F0A08" w:rsidRPr="00241F40" w:rsidRDefault="008F0A08" w:rsidP="00A27C1C">
            <w:pPr>
              <w:pStyle w:val="ExhibitText"/>
              <w:jc w:val="right"/>
            </w:pPr>
            <w:r w:rsidRPr="00241F40">
              <w:t>-</w:t>
            </w:r>
          </w:p>
        </w:tc>
        <w:tc>
          <w:tcPr>
            <w:tcW w:w="1109" w:type="dxa"/>
            <w:tcBorders>
              <w:top w:val="single" w:sz="8" w:space="0" w:color="auto"/>
              <w:left w:val="single" w:sz="4" w:space="0" w:color="auto"/>
              <w:bottom w:val="single" w:sz="4" w:space="0" w:color="auto"/>
              <w:right w:val="single" w:sz="4" w:space="0" w:color="auto"/>
            </w:tcBorders>
            <w:shd w:val="clear" w:color="auto" w:fill="auto"/>
            <w:vAlign w:val="center"/>
          </w:tcPr>
          <w:p w14:paraId="17AC311E" w14:textId="77777777" w:rsidR="008F0A08" w:rsidRPr="00241F40" w:rsidRDefault="008F0A08" w:rsidP="00A27C1C">
            <w:pPr>
              <w:pStyle w:val="ExhibitText"/>
              <w:jc w:val="right"/>
            </w:pPr>
            <w:r w:rsidRPr="00241F40">
              <w:t>-</w:t>
            </w:r>
          </w:p>
        </w:tc>
      </w:tr>
      <w:tr w:rsidR="00A27C1C" w:rsidRPr="00241F40" w14:paraId="25B052D1" w14:textId="77777777" w:rsidTr="004A2F3D">
        <w:trPr>
          <w:trHeight w:val="288"/>
          <w:jc w:val="center"/>
        </w:trPr>
        <w:tc>
          <w:tcPr>
            <w:tcW w:w="346" w:type="dxa"/>
            <w:vMerge/>
            <w:tcBorders>
              <w:left w:val="single" w:sz="4" w:space="0" w:color="auto"/>
              <w:bottom w:val="single" w:sz="4" w:space="0" w:color="auto"/>
            </w:tcBorders>
            <w:shd w:val="clear" w:color="auto" w:fill="auto"/>
            <w:vAlign w:val="center"/>
            <w:hideMark/>
          </w:tcPr>
          <w:p w14:paraId="47982455" w14:textId="77777777" w:rsidR="008F0A08" w:rsidRPr="00241F40" w:rsidRDefault="008F0A08" w:rsidP="00A27C1C">
            <w:pPr>
              <w:pStyle w:val="ExhibitText"/>
              <w:jc w:val="center"/>
            </w:pPr>
          </w:p>
        </w:tc>
        <w:tc>
          <w:tcPr>
            <w:tcW w:w="1110" w:type="dxa"/>
            <w:tcBorders>
              <w:right w:val="single" w:sz="4" w:space="0" w:color="auto"/>
            </w:tcBorders>
            <w:shd w:val="clear" w:color="auto" w:fill="auto"/>
            <w:noWrap/>
            <w:vAlign w:val="center"/>
            <w:hideMark/>
          </w:tcPr>
          <w:p w14:paraId="32B6BBF4" w14:textId="77777777" w:rsidR="008F0A08" w:rsidRPr="00241F40" w:rsidRDefault="008F0A08" w:rsidP="00A27C1C">
            <w:pPr>
              <w:pStyle w:val="ExhibitText"/>
              <w:jc w:val="left"/>
            </w:pPr>
            <w:r w:rsidRPr="00241F40">
              <w:t>50 g</w:t>
            </w:r>
          </w:p>
        </w:tc>
        <w:tc>
          <w:tcPr>
            <w:tcW w:w="1323" w:type="dxa"/>
            <w:tcBorders>
              <w:top w:val="single" w:sz="4" w:space="0" w:color="auto"/>
              <w:bottom w:val="single" w:sz="4" w:space="0" w:color="auto"/>
              <w:right w:val="single" w:sz="4" w:space="0" w:color="auto"/>
            </w:tcBorders>
            <w:vAlign w:val="center"/>
          </w:tcPr>
          <w:p w14:paraId="649213AC" w14:textId="130572EF" w:rsidR="008F0A08" w:rsidRPr="00241F40" w:rsidRDefault="008F0A08" w:rsidP="00A27C1C">
            <w:pPr>
              <w:pStyle w:val="ExhibitText"/>
              <w:jc w:val="right"/>
            </w:pPr>
            <w:r w:rsidRPr="00241F40">
              <w:t>1.43</w:t>
            </w:r>
          </w:p>
        </w:tc>
        <w:tc>
          <w:tcPr>
            <w:tcW w:w="1323" w:type="dxa"/>
            <w:tcBorders>
              <w:top w:val="single" w:sz="4" w:space="0" w:color="auto"/>
              <w:left w:val="single" w:sz="4" w:space="0" w:color="auto"/>
              <w:bottom w:val="single" w:sz="4" w:space="0" w:color="auto"/>
              <w:right w:val="single" w:sz="4" w:space="0" w:color="auto"/>
            </w:tcBorders>
            <w:vAlign w:val="center"/>
          </w:tcPr>
          <w:p w14:paraId="53098753" w14:textId="5316F20C" w:rsidR="008F0A08" w:rsidRPr="00241F40" w:rsidRDefault="008F0A08" w:rsidP="00A27C1C">
            <w:pPr>
              <w:pStyle w:val="ExhibitText"/>
              <w:jc w:val="right"/>
            </w:pPr>
            <w:r w:rsidRPr="00241F40">
              <w:t>1.75</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5548C6" w14:textId="0748C1BE" w:rsidR="008F0A08" w:rsidRPr="00241F40" w:rsidRDefault="008F0A08" w:rsidP="00A27C1C">
            <w:pPr>
              <w:pStyle w:val="ExhibitText"/>
              <w:jc w:val="right"/>
            </w:pPr>
            <w:r w:rsidRPr="00241F40">
              <w:t>1.37</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D59233" w14:textId="77777777" w:rsidR="008F0A08" w:rsidRPr="00241F40" w:rsidRDefault="008F0A08" w:rsidP="00A27C1C">
            <w:pPr>
              <w:pStyle w:val="ExhibitText"/>
              <w:jc w:val="right"/>
            </w:pPr>
            <w:r w:rsidRPr="00241F40">
              <w:t>1.37</w:t>
            </w:r>
          </w:p>
        </w:tc>
        <w:tc>
          <w:tcPr>
            <w:tcW w:w="1323" w:type="dxa"/>
            <w:tcBorders>
              <w:top w:val="single" w:sz="4" w:space="0" w:color="auto"/>
              <w:left w:val="single" w:sz="4" w:space="0" w:color="auto"/>
              <w:bottom w:val="single" w:sz="4" w:space="0" w:color="auto"/>
              <w:right w:val="single" w:sz="4" w:space="0" w:color="auto"/>
            </w:tcBorders>
            <w:shd w:val="clear" w:color="auto" w:fill="auto"/>
            <w:vAlign w:val="center"/>
          </w:tcPr>
          <w:p w14:paraId="42C73DD4" w14:textId="77777777" w:rsidR="008F0A08" w:rsidRPr="00241F40" w:rsidRDefault="008F0A08" w:rsidP="00A27C1C">
            <w:pPr>
              <w:pStyle w:val="ExhibitText"/>
              <w:jc w:val="right"/>
            </w:pPr>
            <w:r w:rsidRPr="00241F40">
              <w:t>1.98</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709BD7BD" w14:textId="77777777" w:rsidR="008F0A08" w:rsidRPr="00241F40" w:rsidRDefault="008F0A08" w:rsidP="00A27C1C">
            <w:pPr>
              <w:pStyle w:val="ExhibitText"/>
              <w:jc w:val="right"/>
            </w:pPr>
            <w:r w:rsidRPr="00241F40">
              <w:t>-</w:t>
            </w:r>
          </w:p>
        </w:tc>
      </w:tr>
      <w:tr w:rsidR="00A27C1C" w:rsidRPr="00241F40" w14:paraId="7CF37311" w14:textId="77777777" w:rsidTr="004A2F3D">
        <w:trPr>
          <w:trHeight w:val="288"/>
          <w:jc w:val="center"/>
        </w:trPr>
        <w:tc>
          <w:tcPr>
            <w:tcW w:w="346" w:type="dxa"/>
            <w:vMerge/>
            <w:tcBorders>
              <w:left w:val="single" w:sz="4" w:space="0" w:color="auto"/>
              <w:bottom w:val="single" w:sz="4" w:space="0" w:color="auto"/>
            </w:tcBorders>
            <w:shd w:val="clear" w:color="auto" w:fill="auto"/>
            <w:vAlign w:val="center"/>
          </w:tcPr>
          <w:p w14:paraId="7865D7CA" w14:textId="77777777" w:rsidR="008F0A08" w:rsidRPr="00241F40" w:rsidRDefault="008F0A08" w:rsidP="00A27C1C">
            <w:pPr>
              <w:pStyle w:val="ExhibitText"/>
              <w:jc w:val="center"/>
            </w:pPr>
          </w:p>
        </w:tc>
        <w:tc>
          <w:tcPr>
            <w:tcW w:w="1110" w:type="dxa"/>
            <w:tcBorders>
              <w:right w:val="single" w:sz="4" w:space="0" w:color="auto"/>
            </w:tcBorders>
            <w:shd w:val="clear" w:color="auto" w:fill="auto"/>
            <w:noWrap/>
            <w:vAlign w:val="center"/>
          </w:tcPr>
          <w:p w14:paraId="7614659A" w14:textId="43872FEA" w:rsidR="008F0A08" w:rsidRPr="00241F40" w:rsidRDefault="008F0A08" w:rsidP="00A27C1C">
            <w:pPr>
              <w:pStyle w:val="ExhibitText"/>
              <w:jc w:val="left"/>
            </w:pPr>
            <w:r w:rsidRPr="00241F40">
              <w:t>170</w:t>
            </w:r>
            <w:r w:rsidR="00A27C1C" w:rsidRPr="00241F40">
              <w:t xml:space="preserve"> </w:t>
            </w:r>
            <w:r w:rsidRPr="00241F40">
              <w:t>g</w:t>
            </w:r>
          </w:p>
        </w:tc>
        <w:tc>
          <w:tcPr>
            <w:tcW w:w="1323" w:type="dxa"/>
            <w:tcBorders>
              <w:top w:val="single" w:sz="4" w:space="0" w:color="auto"/>
              <w:bottom w:val="single" w:sz="4" w:space="0" w:color="auto"/>
              <w:right w:val="single" w:sz="4" w:space="0" w:color="auto"/>
            </w:tcBorders>
            <w:vAlign w:val="center"/>
          </w:tcPr>
          <w:p w14:paraId="2725140B" w14:textId="32508B2E" w:rsidR="008F0A08" w:rsidRPr="00241F40" w:rsidRDefault="008F0A08" w:rsidP="00A27C1C">
            <w:pPr>
              <w:pStyle w:val="ExhibitText"/>
              <w:jc w:val="right"/>
            </w:pPr>
            <w:r w:rsidRPr="00241F40">
              <w:t>-</w:t>
            </w:r>
          </w:p>
        </w:tc>
        <w:tc>
          <w:tcPr>
            <w:tcW w:w="1323" w:type="dxa"/>
            <w:tcBorders>
              <w:top w:val="single" w:sz="4" w:space="0" w:color="auto"/>
              <w:left w:val="single" w:sz="4" w:space="0" w:color="auto"/>
              <w:bottom w:val="single" w:sz="4" w:space="0" w:color="auto"/>
              <w:right w:val="single" w:sz="4" w:space="0" w:color="auto"/>
            </w:tcBorders>
            <w:vAlign w:val="center"/>
          </w:tcPr>
          <w:p w14:paraId="547EB838" w14:textId="56F82EDD" w:rsidR="008F0A08" w:rsidRPr="00241F40" w:rsidRDefault="008F0A08" w:rsidP="00A27C1C">
            <w:pPr>
              <w:pStyle w:val="ExhibitText"/>
              <w:jc w:val="right"/>
            </w:pPr>
            <w:r w:rsidRPr="00241F40">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8AC3A7" w14:textId="00D540B9" w:rsidR="008F0A08" w:rsidRPr="00241F40" w:rsidRDefault="008F0A08" w:rsidP="00A27C1C">
            <w:pPr>
              <w:pStyle w:val="ExhibitText"/>
              <w:jc w:val="right"/>
            </w:pPr>
            <w:r w:rsidRPr="00241F40">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09723" w14:textId="77777777" w:rsidR="008F0A08" w:rsidRPr="00241F40" w:rsidRDefault="008F0A08" w:rsidP="00A27C1C">
            <w:pPr>
              <w:pStyle w:val="ExhibitText"/>
              <w:jc w:val="right"/>
            </w:pPr>
            <w:r w:rsidRPr="00241F40">
              <w:t>-</w:t>
            </w:r>
          </w:p>
        </w:tc>
        <w:tc>
          <w:tcPr>
            <w:tcW w:w="1323" w:type="dxa"/>
            <w:tcBorders>
              <w:top w:val="single" w:sz="4" w:space="0" w:color="auto"/>
              <w:left w:val="single" w:sz="4" w:space="0" w:color="auto"/>
              <w:bottom w:val="single" w:sz="4" w:space="0" w:color="auto"/>
              <w:right w:val="single" w:sz="4" w:space="0" w:color="auto"/>
            </w:tcBorders>
            <w:shd w:val="clear" w:color="auto" w:fill="auto"/>
            <w:vAlign w:val="center"/>
          </w:tcPr>
          <w:p w14:paraId="6472C95C" w14:textId="77777777" w:rsidR="008F0A08" w:rsidRPr="00241F40" w:rsidRDefault="008F0A08" w:rsidP="00A27C1C">
            <w:pPr>
              <w:pStyle w:val="ExhibitText"/>
              <w:jc w:val="right"/>
            </w:pPr>
            <w:r w:rsidRPr="00241F40">
              <w:t>6.71</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22A3B214" w14:textId="77777777" w:rsidR="008F0A08" w:rsidRPr="00241F40" w:rsidRDefault="008F0A08" w:rsidP="00A27C1C">
            <w:pPr>
              <w:pStyle w:val="ExhibitText"/>
              <w:jc w:val="right"/>
            </w:pPr>
            <w:r w:rsidRPr="00241F40">
              <w:t>-</w:t>
            </w:r>
          </w:p>
        </w:tc>
      </w:tr>
      <w:tr w:rsidR="00A27C1C" w:rsidRPr="00241F40" w14:paraId="468F32DD" w14:textId="77777777" w:rsidTr="004A2F3D">
        <w:trPr>
          <w:trHeight w:val="288"/>
          <w:jc w:val="center"/>
        </w:trPr>
        <w:tc>
          <w:tcPr>
            <w:tcW w:w="346" w:type="dxa"/>
            <w:vMerge/>
            <w:tcBorders>
              <w:left w:val="single" w:sz="4" w:space="0" w:color="auto"/>
              <w:bottom w:val="single" w:sz="4" w:space="0" w:color="auto"/>
            </w:tcBorders>
            <w:shd w:val="clear" w:color="auto" w:fill="auto"/>
            <w:vAlign w:val="center"/>
          </w:tcPr>
          <w:p w14:paraId="22925029" w14:textId="77777777" w:rsidR="008F0A08" w:rsidRPr="00241F40" w:rsidRDefault="008F0A08" w:rsidP="00A27C1C">
            <w:pPr>
              <w:pStyle w:val="ExhibitText"/>
              <w:jc w:val="center"/>
            </w:pPr>
          </w:p>
        </w:tc>
        <w:tc>
          <w:tcPr>
            <w:tcW w:w="1110" w:type="dxa"/>
            <w:tcBorders>
              <w:bottom w:val="single" w:sz="4" w:space="0" w:color="auto"/>
              <w:right w:val="single" w:sz="4" w:space="0" w:color="auto"/>
            </w:tcBorders>
            <w:shd w:val="clear" w:color="auto" w:fill="auto"/>
            <w:noWrap/>
            <w:vAlign w:val="center"/>
          </w:tcPr>
          <w:p w14:paraId="6219E778" w14:textId="3445FCE0" w:rsidR="008F0A08" w:rsidRPr="00241F40" w:rsidRDefault="008F0A08" w:rsidP="00A27C1C">
            <w:pPr>
              <w:pStyle w:val="ExhibitText"/>
              <w:jc w:val="left"/>
            </w:pPr>
            <w:r w:rsidRPr="00241F40">
              <w:t>80 x 10</w:t>
            </w:r>
            <w:r w:rsidR="00A27C1C" w:rsidRPr="00241F40">
              <w:t xml:space="preserve"> </w:t>
            </w:r>
            <w:r w:rsidRPr="00241F40">
              <w:t>g</w:t>
            </w:r>
          </w:p>
        </w:tc>
        <w:tc>
          <w:tcPr>
            <w:tcW w:w="1323" w:type="dxa"/>
            <w:tcBorders>
              <w:top w:val="single" w:sz="4" w:space="0" w:color="auto"/>
              <w:bottom w:val="single" w:sz="4" w:space="0" w:color="auto"/>
              <w:right w:val="single" w:sz="4" w:space="0" w:color="auto"/>
            </w:tcBorders>
            <w:vAlign w:val="center"/>
          </w:tcPr>
          <w:p w14:paraId="49F930D8" w14:textId="0A2AB53F" w:rsidR="008F0A08" w:rsidRPr="00241F40" w:rsidRDefault="008F0A08" w:rsidP="00A27C1C">
            <w:pPr>
              <w:pStyle w:val="ExhibitText"/>
              <w:jc w:val="right"/>
            </w:pPr>
            <w:r w:rsidRPr="00241F40">
              <w:t>18.86</w:t>
            </w:r>
          </w:p>
        </w:tc>
        <w:tc>
          <w:tcPr>
            <w:tcW w:w="1323" w:type="dxa"/>
            <w:tcBorders>
              <w:top w:val="single" w:sz="4" w:space="0" w:color="auto"/>
              <w:left w:val="single" w:sz="4" w:space="0" w:color="auto"/>
              <w:bottom w:val="single" w:sz="4" w:space="0" w:color="auto"/>
              <w:right w:val="single" w:sz="4" w:space="0" w:color="auto"/>
            </w:tcBorders>
            <w:vAlign w:val="center"/>
          </w:tcPr>
          <w:p w14:paraId="77D3AF59" w14:textId="2377E703" w:rsidR="008F0A08" w:rsidRPr="00241F40" w:rsidRDefault="008F0A08" w:rsidP="00A27C1C">
            <w:pPr>
              <w:pStyle w:val="ExhibitText"/>
              <w:jc w:val="right"/>
            </w:pPr>
            <w:r w:rsidRPr="00241F40">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1D7BD" w14:textId="4FCCEFE9" w:rsidR="008F0A08" w:rsidRPr="00241F40" w:rsidRDefault="008F0A08" w:rsidP="00A27C1C">
            <w:pPr>
              <w:pStyle w:val="ExhibitText"/>
              <w:jc w:val="right"/>
            </w:pPr>
            <w:r w:rsidRPr="00241F40">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4E2BC7" w14:textId="77777777" w:rsidR="008F0A08" w:rsidRPr="00241F40" w:rsidRDefault="008F0A08" w:rsidP="00A27C1C">
            <w:pPr>
              <w:pStyle w:val="ExhibitText"/>
              <w:jc w:val="right"/>
            </w:pPr>
            <w:r w:rsidRPr="00241F40">
              <w:t>-</w:t>
            </w:r>
          </w:p>
        </w:tc>
        <w:tc>
          <w:tcPr>
            <w:tcW w:w="1323" w:type="dxa"/>
            <w:tcBorders>
              <w:top w:val="single" w:sz="4" w:space="0" w:color="auto"/>
              <w:left w:val="single" w:sz="4" w:space="0" w:color="auto"/>
              <w:bottom w:val="single" w:sz="4" w:space="0" w:color="auto"/>
              <w:right w:val="single" w:sz="4" w:space="0" w:color="auto"/>
            </w:tcBorders>
            <w:shd w:val="clear" w:color="auto" w:fill="auto"/>
            <w:vAlign w:val="center"/>
          </w:tcPr>
          <w:p w14:paraId="60C4B613" w14:textId="77777777" w:rsidR="008F0A08" w:rsidRPr="00241F40" w:rsidRDefault="008F0A08" w:rsidP="00A27C1C">
            <w:pPr>
              <w:pStyle w:val="ExhibitText"/>
              <w:jc w:val="right"/>
            </w:pPr>
            <w:r w:rsidRPr="00241F40">
              <w:t>-</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7589E7D1" w14:textId="77777777" w:rsidR="008F0A08" w:rsidRPr="00241F40" w:rsidRDefault="008F0A08" w:rsidP="00A27C1C">
            <w:pPr>
              <w:pStyle w:val="ExhibitText"/>
              <w:jc w:val="right"/>
            </w:pPr>
            <w:r w:rsidRPr="00241F40">
              <w:t>-</w:t>
            </w:r>
          </w:p>
        </w:tc>
      </w:tr>
      <w:tr w:rsidR="00A27C1C" w:rsidRPr="00241F40" w14:paraId="76C8A48F" w14:textId="77777777" w:rsidTr="004A2F3D">
        <w:trPr>
          <w:trHeight w:val="288"/>
          <w:jc w:val="center"/>
        </w:trPr>
        <w:tc>
          <w:tcPr>
            <w:tcW w:w="346" w:type="dxa"/>
            <w:vMerge w:val="restart"/>
            <w:tcBorders>
              <w:top w:val="single" w:sz="4" w:space="0" w:color="auto"/>
              <w:left w:val="single" w:sz="4" w:space="0" w:color="auto"/>
            </w:tcBorders>
            <w:shd w:val="clear" w:color="auto" w:fill="auto"/>
            <w:noWrap/>
            <w:textDirection w:val="btLr"/>
            <w:vAlign w:val="center"/>
            <w:hideMark/>
          </w:tcPr>
          <w:p w14:paraId="7E9F1E86" w14:textId="77777777" w:rsidR="008F0A08" w:rsidRPr="00241F40" w:rsidRDefault="008F0A08" w:rsidP="00A27C1C">
            <w:pPr>
              <w:pStyle w:val="ExhibitText"/>
              <w:jc w:val="center"/>
            </w:pPr>
            <w:r w:rsidRPr="00241F40">
              <w:t>JAR</w:t>
            </w:r>
          </w:p>
        </w:tc>
        <w:tc>
          <w:tcPr>
            <w:tcW w:w="1110" w:type="dxa"/>
            <w:tcBorders>
              <w:top w:val="single" w:sz="4" w:space="0" w:color="auto"/>
              <w:right w:val="single" w:sz="4" w:space="0" w:color="auto"/>
            </w:tcBorders>
            <w:shd w:val="clear" w:color="auto" w:fill="auto"/>
            <w:noWrap/>
            <w:vAlign w:val="center"/>
            <w:hideMark/>
          </w:tcPr>
          <w:p w14:paraId="3962FD81" w14:textId="77777777" w:rsidR="008F0A08" w:rsidRPr="00241F40" w:rsidRDefault="008F0A08" w:rsidP="00A27C1C">
            <w:pPr>
              <w:pStyle w:val="ExhibitText"/>
              <w:jc w:val="left"/>
            </w:pPr>
            <w:r w:rsidRPr="00241F40">
              <w:t>50 g</w:t>
            </w:r>
          </w:p>
        </w:tc>
        <w:tc>
          <w:tcPr>
            <w:tcW w:w="1323" w:type="dxa"/>
            <w:tcBorders>
              <w:top w:val="single" w:sz="4" w:space="0" w:color="auto"/>
              <w:bottom w:val="single" w:sz="4" w:space="0" w:color="auto"/>
              <w:right w:val="single" w:sz="4" w:space="0" w:color="auto"/>
            </w:tcBorders>
            <w:vAlign w:val="center"/>
          </w:tcPr>
          <w:p w14:paraId="4A11E7A0" w14:textId="49E62F9D" w:rsidR="008F0A08" w:rsidRPr="00241F40" w:rsidRDefault="008F0A08" w:rsidP="00A27C1C">
            <w:pPr>
              <w:pStyle w:val="ExhibitText"/>
              <w:jc w:val="right"/>
            </w:pPr>
            <w:r w:rsidRPr="00241F40">
              <w:t>-</w:t>
            </w:r>
          </w:p>
        </w:tc>
        <w:tc>
          <w:tcPr>
            <w:tcW w:w="1323" w:type="dxa"/>
            <w:tcBorders>
              <w:top w:val="single" w:sz="4" w:space="0" w:color="auto"/>
              <w:left w:val="single" w:sz="4" w:space="0" w:color="auto"/>
              <w:bottom w:val="single" w:sz="4" w:space="0" w:color="auto"/>
              <w:right w:val="single" w:sz="4" w:space="0" w:color="auto"/>
            </w:tcBorders>
            <w:vAlign w:val="center"/>
          </w:tcPr>
          <w:p w14:paraId="2BEFB034" w14:textId="1EBD657E" w:rsidR="008F0A08" w:rsidRPr="00241F40" w:rsidRDefault="008F0A08" w:rsidP="00A27C1C">
            <w:pPr>
              <w:pStyle w:val="ExhibitText"/>
              <w:jc w:val="right"/>
            </w:pPr>
            <w:r w:rsidRPr="00241F40">
              <w:t>2.08</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41D66" w14:textId="5AB6918B" w:rsidR="008F0A08" w:rsidRPr="00241F40" w:rsidRDefault="008F0A08" w:rsidP="00A27C1C">
            <w:pPr>
              <w:pStyle w:val="ExhibitText"/>
              <w:jc w:val="right"/>
            </w:pPr>
            <w:r w:rsidRPr="00241F40">
              <w:t>2.03</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89C3C" w14:textId="77777777" w:rsidR="008F0A08" w:rsidRPr="00241F40" w:rsidRDefault="008F0A08" w:rsidP="00A27C1C">
            <w:pPr>
              <w:pStyle w:val="ExhibitText"/>
              <w:jc w:val="right"/>
            </w:pPr>
            <w:r w:rsidRPr="00241F40">
              <w:t>2.03</w:t>
            </w:r>
          </w:p>
        </w:tc>
        <w:tc>
          <w:tcPr>
            <w:tcW w:w="1323" w:type="dxa"/>
            <w:tcBorders>
              <w:top w:val="single" w:sz="4" w:space="0" w:color="auto"/>
              <w:left w:val="single" w:sz="4" w:space="0" w:color="auto"/>
              <w:bottom w:val="single" w:sz="4" w:space="0" w:color="auto"/>
              <w:right w:val="single" w:sz="4" w:space="0" w:color="auto"/>
            </w:tcBorders>
            <w:shd w:val="clear" w:color="auto" w:fill="auto"/>
            <w:vAlign w:val="center"/>
          </w:tcPr>
          <w:p w14:paraId="091504B3" w14:textId="77777777" w:rsidR="008F0A08" w:rsidRPr="00241F40" w:rsidRDefault="008F0A08" w:rsidP="00A27C1C">
            <w:pPr>
              <w:pStyle w:val="ExhibitText"/>
              <w:jc w:val="right"/>
            </w:pPr>
            <w:r w:rsidRPr="00241F40">
              <w:t>2.23</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0661F38A" w14:textId="77777777" w:rsidR="008F0A08" w:rsidRPr="00241F40" w:rsidRDefault="008F0A08" w:rsidP="00A27C1C">
            <w:pPr>
              <w:pStyle w:val="ExhibitText"/>
              <w:jc w:val="right"/>
            </w:pPr>
            <w:r w:rsidRPr="00241F40">
              <w:t>3.43</w:t>
            </w:r>
          </w:p>
        </w:tc>
      </w:tr>
      <w:tr w:rsidR="00A27C1C" w:rsidRPr="00241F40" w14:paraId="295CA5B4" w14:textId="77777777" w:rsidTr="004A2F3D">
        <w:trPr>
          <w:trHeight w:val="288"/>
          <w:jc w:val="center"/>
        </w:trPr>
        <w:tc>
          <w:tcPr>
            <w:tcW w:w="346" w:type="dxa"/>
            <w:vMerge/>
            <w:tcBorders>
              <w:left w:val="single" w:sz="4" w:space="0" w:color="auto"/>
            </w:tcBorders>
            <w:shd w:val="clear" w:color="auto" w:fill="auto"/>
            <w:vAlign w:val="center"/>
            <w:hideMark/>
          </w:tcPr>
          <w:p w14:paraId="0A5E0155" w14:textId="77777777" w:rsidR="008F0A08" w:rsidRPr="00241F40" w:rsidRDefault="008F0A08" w:rsidP="000834EC">
            <w:pPr>
              <w:pStyle w:val="ExhibitText"/>
            </w:pPr>
          </w:p>
        </w:tc>
        <w:tc>
          <w:tcPr>
            <w:tcW w:w="1110" w:type="dxa"/>
            <w:tcBorders>
              <w:right w:val="single" w:sz="4" w:space="0" w:color="auto"/>
            </w:tcBorders>
            <w:shd w:val="clear" w:color="auto" w:fill="auto"/>
            <w:noWrap/>
            <w:vAlign w:val="center"/>
            <w:hideMark/>
          </w:tcPr>
          <w:p w14:paraId="5365C543" w14:textId="77777777" w:rsidR="008F0A08" w:rsidRPr="00241F40" w:rsidRDefault="008F0A08" w:rsidP="00A27C1C">
            <w:pPr>
              <w:pStyle w:val="ExhibitText"/>
              <w:jc w:val="left"/>
            </w:pPr>
            <w:r w:rsidRPr="00241F40">
              <w:t>85 g</w:t>
            </w:r>
          </w:p>
        </w:tc>
        <w:tc>
          <w:tcPr>
            <w:tcW w:w="1323" w:type="dxa"/>
            <w:tcBorders>
              <w:top w:val="single" w:sz="4" w:space="0" w:color="auto"/>
              <w:bottom w:val="single" w:sz="4" w:space="0" w:color="auto"/>
              <w:right w:val="single" w:sz="4" w:space="0" w:color="auto"/>
            </w:tcBorders>
            <w:vAlign w:val="center"/>
          </w:tcPr>
          <w:p w14:paraId="46275B59" w14:textId="62EB42E0" w:rsidR="008F0A08" w:rsidRPr="00241F40" w:rsidRDefault="008F0A08" w:rsidP="00A27C1C">
            <w:pPr>
              <w:pStyle w:val="ExhibitText"/>
              <w:jc w:val="right"/>
            </w:pPr>
            <w:r w:rsidRPr="00241F40">
              <w:t>-</w:t>
            </w:r>
          </w:p>
        </w:tc>
        <w:tc>
          <w:tcPr>
            <w:tcW w:w="1323" w:type="dxa"/>
            <w:tcBorders>
              <w:top w:val="single" w:sz="4" w:space="0" w:color="auto"/>
              <w:left w:val="single" w:sz="4" w:space="0" w:color="auto"/>
              <w:bottom w:val="single" w:sz="4" w:space="0" w:color="auto"/>
              <w:right w:val="single" w:sz="4" w:space="0" w:color="auto"/>
            </w:tcBorders>
            <w:vAlign w:val="center"/>
          </w:tcPr>
          <w:p w14:paraId="6EE8367A" w14:textId="76717CBD" w:rsidR="008F0A08" w:rsidRPr="00241F40" w:rsidRDefault="008F0A08" w:rsidP="00A27C1C">
            <w:pPr>
              <w:pStyle w:val="ExhibitText"/>
              <w:jc w:val="right"/>
            </w:pPr>
            <w:r w:rsidRPr="00241F40">
              <w:t>3.26</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D7BB4" w14:textId="28B9B677" w:rsidR="008F0A08" w:rsidRPr="00241F40" w:rsidRDefault="008F0A08" w:rsidP="00A27C1C">
            <w:pPr>
              <w:pStyle w:val="ExhibitText"/>
              <w:jc w:val="right"/>
            </w:pPr>
            <w:r w:rsidRPr="00241F40">
              <w:t>3.53</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F4C21" w14:textId="77777777" w:rsidR="008F0A08" w:rsidRPr="00241F40" w:rsidRDefault="008F0A08" w:rsidP="00A27C1C">
            <w:pPr>
              <w:pStyle w:val="ExhibitText"/>
              <w:jc w:val="right"/>
            </w:pPr>
            <w:r w:rsidRPr="00241F40">
              <w:t>3.53</w:t>
            </w:r>
          </w:p>
        </w:tc>
        <w:tc>
          <w:tcPr>
            <w:tcW w:w="1323" w:type="dxa"/>
            <w:tcBorders>
              <w:top w:val="single" w:sz="4" w:space="0" w:color="auto"/>
              <w:left w:val="single" w:sz="4" w:space="0" w:color="auto"/>
              <w:bottom w:val="single" w:sz="4" w:space="0" w:color="auto"/>
              <w:right w:val="single" w:sz="4" w:space="0" w:color="auto"/>
            </w:tcBorders>
            <w:shd w:val="clear" w:color="auto" w:fill="auto"/>
            <w:vAlign w:val="center"/>
          </w:tcPr>
          <w:p w14:paraId="7C950485" w14:textId="77777777" w:rsidR="008F0A08" w:rsidRPr="00241F40" w:rsidRDefault="008F0A08" w:rsidP="00A27C1C">
            <w:pPr>
              <w:pStyle w:val="ExhibitText"/>
              <w:jc w:val="right"/>
            </w:pPr>
            <w:r w:rsidRPr="00241F40">
              <w:t>-</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7BDB5BC6" w14:textId="77777777" w:rsidR="008F0A08" w:rsidRPr="00241F40" w:rsidRDefault="008F0A08" w:rsidP="00A27C1C">
            <w:pPr>
              <w:pStyle w:val="ExhibitText"/>
              <w:jc w:val="right"/>
            </w:pPr>
            <w:r w:rsidRPr="00241F40">
              <w:t>-</w:t>
            </w:r>
          </w:p>
        </w:tc>
      </w:tr>
      <w:tr w:rsidR="00A27C1C" w:rsidRPr="00241F40" w14:paraId="7192AA62" w14:textId="77777777" w:rsidTr="004A2F3D">
        <w:trPr>
          <w:trHeight w:val="288"/>
          <w:jc w:val="center"/>
        </w:trPr>
        <w:tc>
          <w:tcPr>
            <w:tcW w:w="346" w:type="dxa"/>
            <w:vMerge/>
            <w:tcBorders>
              <w:left w:val="single" w:sz="4" w:space="0" w:color="auto"/>
            </w:tcBorders>
            <w:shd w:val="clear" w:color="auto" w:fill="auto"/>
            <w:vAlign w:val="center"/>
            <w:hideMark/>
          </w:tcPr>
          <w:p w14:paraId="624DBE15" w14:textId="77777777" w:rsidR="008F0A08" w:rsidRPr="00241F40" w:rsidRDefault="008F0A08" w:rsidP="000834EC">
            <w:pPr>
              <w:pStyle w:val="ExhibitText"/>
            </w:pPr>
          </w:p>
        </w:tc>
        <w:tc>
          <w:tcPr>
            <w:tcW w:w="1110" w:type="dxa"/>
            <w:tcBorders>
              <w:right w:val="single" w:sz="4" w:space="0" w:color="auto"/>
            </w:tcBorders>
            <w:shd w:val="clear" w:color="auto" w:fill="auto"/>
            <w:noWrap/>
            <w:vAlign w:val="center"/>
            <w:hideMark/>
          </w:tcPr>
          <w:p w14:paraId="5B8227B5" w14:textId="77777777" w:rsidR="008F0A08" w:rsidRPr="00241F40" w:rsidRDefault="008F0A08" w:rsidP="00A27C1C">
            <w:pPr>
              <w:pStyle w:val="ExhibitText"/>
              <w:jc w:val="left"/>
            </w:pPr>
            <w:r w:rsidRPr="00241F40">
              <w:t>100 g</w:t>
            </w:r>
          </w:p>
        </w:tc>
        <w:tc>
          <w:tcPr>
            <w:tcW w:w="1323" w:type="dxa"/>
            <w:tcBorders>
              <w:top w:val="single" w:sz="4" w:space="0" w:color="auto"/>
              <w:bottom w:val="single" w:sz="4" w:space="0" w:color="auto"/>
              <w:right w:val="single" w:sz="4" w:space="0" w:color="auto"/>
            </w:tcBorders>
            <w:vAlign w:val="center"/>
          </w:tcPr>
          <w:p w14:paraId="66BDA740" w14:textId="7ACB580A" w:rsidR="008F0A08" w:rsidRPr="00241F40" w:rsidRDefault="008F0A08" w:rsidP="00A27C1C">
            <w:pPr>
              <w:pStyle w:val="ExhibitText"/>
              <w:jc w:val="right"/>
            </w:pPr>
            <w:r w:rsidRPr="00241F40">
              <w:t>-</w:t>
            </w:r>
          </w:p>
        </w:tc>
        <w:tc>
          <w:tcPr>
            <w:tcW w:w="1323" w:type="dxa"/>
            <w:tcBorders>
              <w:top w:val="single" w:sz="4" w:space="0" w:color="auto"/>
              <w:left w:val="single" w:sz="4" w:space="0" w:color="auto"/>
              <w:bottom w:val="single" w:sz="4" w:space="0" w:color="auto"/>
              <w:right w:val="single" w:sz="4" w:space="0" w:color="auto"/>
            </w:tcBorders>
            <w:vAlign w:val="center"/>
          </w:tcPr>
          <w:p w14:paraId="14C63FAF" w14:textId="65FD81B9" w:rsidR="008F0A08" w:rsidRPr="00241F40" w:rsidRDefault="008F0A08" w:rsidP="00A27C1C">
            <w:pPr>
              <w:pStyle w:val="ExhibitText"/>
              <w:jc w:val="right"/>
            </w:pPr>
            <w:r w:rsidRPr="00241F40">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3A432A" w14:textId="614EC95E" w:rsidR="008F0A08" w:rsidRPr="00241F40" w:rsidRDefault="008F0A08" w:rsidP="00A27C1C">
            <w:pPr>
              <w:pStyle w:val="ExhibitText"/>
              <w:jc w:val="right"/>
            </w:pPr>
            <w:r w:rsidRPr="00241F40">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F781F" w14:textId="77777777" w:rsidR="008F0A08" w:rsidRPr="00241F40" w:rsidRDefault="008F0A08" w:rsidP="00A27C1C">
            <w:pPr>
              <w:pStyle w:val="ExhibitText"/>
              <w:jc w:val="right"/>
            </w:pPr>
            <w:r w:rsidRPr="00241F40">
              <w:t>-</w:t>
            </w:r>
          </w:p>
        </w:tc>
        <w:tc>
          <w:tcPr>
            <w:tcW w:w="1323" w:type="dxa"/>
            <w:tcBorders>
              <w:top w:val="single" w:sz="4" w:space="0" w:color="auto"/>
              <w:left w:val="single" w:sz="4" w:space="0" w:color="auto"/>
              <w:bottom w:val="single" w:sz="4" w:space="0" w:color="auto"/>
              <w:right w:val="single" w:sz="4" w:space="0" w:color="auto"/>
            </w:tcBorders>
            <w:shd w:val="clear" w:color="auto" w:fill="auto"/>
            <w:vAlign w:val="center"/>
          </w:tcPr>
          <w:p w14:paraId="7EDF7535" w14:textId="77777777" w:rsidR="008F0A08" w:rsidRPr="00241F40" w:rsidRDefault="008F0A08" w:rsidP="00A27C1C">
            <w:pPr>
              <w:pStyle w:val="ExhibitText"/>
              <w:jc w:val="right"/>
            </w:pPr>
            <w:r w:rsidRPr="00241F40">
              <w:t>4.28</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5DA08171" w14:textId="77777777" w:rsidR="008F0A08" w:rsidRPr="00241F40" w:rsidRDefault="008F0A08" w:rsidP="00A27C1C">
            <w:pPr>
              <w:pStyle w:val="ExhibitText"/>
              <w:jc w:val="right"/>
            </w:pPr>
            <w:r w:rsidRPr="00241F40">
              <w:t>6.34</w:t>
            </w:r>
          </w:p>
        </w:tc>
      </w:tr>
      <w:tr w:rsidR="00A27C1C" w:rsidRPr="00241F40" w14:paraId="02A7FB61" w14:textId="77777777" w:rsidTr="004A2F3D">
        <w:trPr>
          <w:trHeight w:val="288"/>
          <w:jc w:val="center"/>
        </w:trPr>
        <w:tc>
          <w:tcPr>
            <w:tcW w:w="346" w:type="dxa"/>
            <w:vMerge/>
            <w:tcBorders>
              <w:left w:val="single" w:sz="4" w:space="0" w:color="auto"/>
            </w:tcBorders>
            <w:shd w:val="clear" w:color="auto" w:fill="auto"/>
            <w:vAlign w:val="center"/>
            <w:hideMark/>
          </w:tcPr>
          <w:p w14:paraId="229F65BE" w14:textId="77777777" w:rsidR="008F0A08" w:rsidRPr="00241F40" w:rsidRDefault="008F0A08" w:rsidP="000834EC">
            <w:pPr>
              <w:pStyle w:val="ExhibitText"/>
            </w:pPr>
          </w:p>
        </w:tc>
        <w:tc>
          <w:tcPr>
            <w:tcW w:w="1110" w:type="dxa"/>
            <w:tcBorders>
              <w:right w:val="single" w:sz="4" w:space="0" w:color="auto"/>
            </w:tcBorders>
            <w:shd w:val="clear" w:color="auto" w:fill="auto"/>
            <w:noWrap/>
            <w:vAlign w:val="center"/>
            <w:hideMark/>
          </w:tcPr>
          <w:p w14:paraId="580EF27A" w14:textId="77777777" w:rsidR="008F0A08" w:rsidRPr="00241F40" w:rsidRDefault="008F0A08" w:rsidP="00A27C1C">
            <w:pPr>
              <w:pStyle w:val="ExhibitText"/>
              <w:jc w:val="left"/>
            </w:pPr>
            <w:r w:rsidRPr="00241F40">
              <w:t>150 g</w:t>
            </w:r>
          </w:p>
        </w:tc>
        <w:tc>
          <w:tcPr>
            <w:tcW w:w="1323" w:type="dxa"/>
            <w:tcBorders>
              <w:top w:val="single" w:sz="4" w:space="0" w:color="auto"/>
              <w:bottom w:val="single" w:sz="4" w:space="0" w:color="auto"/>
              <w:right w:val="single" w:sz="4" w:space="0" w:color="auto"/>
            </w:tcBorders>
            <w:vAlign w:val="center"/>
          </w:tcPr>
          <w:p w14:paraId="6CED0FFF" w14:textId="49668D6B" w:rsidR="008F0A08" w:rsidRPr="00241F40" w:rsidRDefault="008F0A08" w:rsidP="00A27C1C">
            <w:pPr>
              <w:pStyle w:val="ExhibitText"/>
              <w:jc w:val="right"/>
            </w:pPr>
            <w:r w:rsidRPr="00241F40">
              <w:t>-</w:t>
            </w:r>
          </w:p>
        </w:tc>
        <w:tc>
          <w:tcPr>
            <w:tcW w:w="1323" w:type="dxa"/>
            <w:tcBorders>
              <w:top w:val="single" w:sz="4" w:space="0" w:color="auto"/>
              <w:left w:val="single" w:sz="4" w:space="0" w:color="auto"/>
              <w:bottom w:val="single" w:sz="4" w:space="0" w:color="auto"/>
              <w:right w:val="single" w:sz="4" w:space="0" w:color="auto"/>
            </w:tcBorders>
            <w:vAlign w:val="center"/>
          </w:tcPr>
          <w:p w14:paraId="5D8B905D" w14:textId="7E4C1B55" w:rsidR="008F0A08" w:rsidRPr="00241F40" w:rsidRDefault="008F0A08" w:rsidP="00A27C1C">
            <w:pPr>
              <w:pStyle w:val="ExhibitText"/>
              <w:jc w:val="right"/>
            </w:pPr>
            <w:r w:rsidRPr="00241F40">
              <w:t>5.59</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7924F6" w14:textId="7C34D9E3" w:rsidR="008F0A08" w:rsidRPr="00241F40" w:rsidRDefault="008F0A08" w:rsidP="00A27C1C">
            <w:pPr>
              <w:pStyle w:val="ExhibitText"/>
              <w:jc w:val="right"/>
            </w:pPr>
            <w:r w:rsidRPr="00241F40">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BC7C2" w14:textId="77777777" w:rsidR="008F0A08" w:rsidRPr="00241F40" w:rsidRDefault="008F0A08" w:rsidP="00A27C1C">
            <w:pPr>
              <w:pStyle w:val="ExhibitText"/>
              <w:jc w:val="right"/>
            </w:pPr>
            <w:r w:rsidRPr="00241F40">
              <w:t>-</w:t>
            </w:r>
          </w:p>
        </w:tc>
        <w:tc>
          <w:tcPr>
            <w:tcW w:w="1323" w:type="dxa"/>
            <w:tcBorders>
              <w:top w:val="single" w:sz="4" w:space="0" w:color="auto"/>
              <w:left w:val="single" w:sz="4" w:space="0" w:color="auto"/>
              <w:bottom w:val="single" w:sz="4" w:space="0" w:color="auto"/>
              <w:right w:val="single" w:sz="4" w:space="0" w:color="auto"/>
            </w:tcBorders>
            <w:shd w:val="clear" w:color="auto" w:fill="auto"/>
            <w:vAlign w:val="center"/>
          </w:tcPr>
          <w:p w14:paraId="0AA23250" w14:textId="77777777" w:rsidR="008F0A08" w:rsidRPr="00241F40" w:rsidRDefault="008F0A08" w:rsidP="00A27C1C">
            <w:pPr>
              <w:pStyle w:val="ExhibitText"/>
              <w:jc w:val="right"/>
            </w:pPr>
            <w:r w:rsidRPr="00241F40">
              <w:t>-</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0B70D4FF" w14:textId="77777777" w:rsidR="008F0A08" w:rsidRPr="00241F40" w:rsidRDefault="008F0A08" w:rsidP="00A27C1C">
            <w:pPr>
              <w:pStyle w:val="ExhibitText"/>
              <w:jc w:val="right"/>
            </w:pPr>
            <w:r w:rsidRPr="00241F40">
              <w:t>-</w:t>
            </w:r>
          </w:p>
        </w:tc>
      </w:tr>
      <w:tr w:rsidR="00A27C1C" w:rsidRPr="00241F40" w14:paraId="73427B5D" w14:textId="77777777" w:rsidTr="004A2F3D">
        <w:trPr>
          <w:trHeight w:val="288"/>
          <w:jc w:val="center"/>
        </w:trPr>
        <w:tc>
          <w:tcPr>
            <w:tcW w:w="346" w:type="dxa"/>
            <w:vMerge/>
            <w:tcBorders>
              <w:left w:val="single" w:sz="4" w:space="0" w:color="auto"/>
              <w:bottom w:val="single" w:sz="4" w:space="0" w:color="auto"/>
            </w:tcBorders>
            <w:shd w:val="clear" w:color="auto" w:fill="auto"/>
            <w:vAlign w:val="center"/>
          </w:tcPr>
          <w:p w14:paraId="01636952" w14:textId="77777777" w:rsidR="008F0A08" w:rsidRPr="00241F40" w:rsidRDefault="008F0A08" w:rsidP="000834EC">
            <w:pPr>
              <w:pStyle w:val="ExhibitText"/>
            </w:pPr>
          </w:p>
        </w:tc>
        <w:tc>
          <w:tcPr>
            <w:tcW w:w="1110" w:type="dxa"/>
            <w:tcBorders>
              <w:bottom w:val="single" w:sz="4" w:space="0" w:color="auto"/>
              <w:right w:val="single" w:sz="4" w:space="0" w:color="auto"/>
            </w:tcBorders>
            <w:shd w:val="clear" w:color="auto" w:fill="auto"/>
            <w:noWrap/>
            <w:vAlign w:val="center"/>
          </w:tcPr>
          <w:p w14:paraId="5DCC214B" w14:textId="77777777" w:rsidR="008F0A08" w:rsidRPr="00241F40" w:rsidRDefault="008F0A08" w:rsidP="00A27C1C">
            <w:pPr>
              <w:pStyle w:val="ExhibitText"/>
              <w:jc w:val="left"/>
            </w:pPr>
            <w:r w:rsidRPr="00241F40">
              <w:t>200 g</w:t>
            </w:r>
          </w:p>
        </w:tc>
        <w:tc>
          <w:tcPr>
            <w:tcW w:w="1323" w:type="dxa"/>
            <w:tcBorders>
              <w:top w:val="single" w:sz="4" w:space="0" w:color="auto"/>
              <w:bottom w:val="single" w:sz="4" w:space="0" w:color="auto"/>
              <w:right w:val="single" w:sz="4" w:space="0" w:color="auto"/>
            </w:tcBorders>
            <w:vAlign w:val="center"/>
          </w:tcPr>
          <w:p w14:paraId="59C7DEBA" w14:textId="48C1876F" w:rsidR="008F0A08" w:rsidRPr="00241F40" w:rsidRDefault="008F0A08" w:rsidP="00A27C1C">
            <w:pPr>
              <w:pStyle w:val="ExhibitText"/>
              <w:jc w:val="right"/>
            </w:pPr>
            <w:r w:rsidRPr="00241F40">
              <w:t>-</w:t>
            </w:r>
          </w:p>
        </w:tc>
        <w:tc>
          <w:tcPr>
            <w:tcW w:w="1323" w:type="dxa"/>
            <w:tcBorders>
              <w:top w:val="single" w:sz="4" w:space="0" w:color="auto"/>
              <w:left w:val="single" w:sz="4" w:space="0" w:color="auto"/>
              <w:bottom w:val="single" w:sz="4" w:space="0" w:color="auto"/>
              <w:right w:val="single" w:sz="4" w:space="0" w:color="auto"/>
            </w:tcBorders>
            <w:vAlign w:val="center"/>
          </w:tcPr>
          <w:p w14:paraId="63B869BF" w14:textId="43759B65" w:rsidR="008F0A08" w:rsidRPr="00241F40" w:rsidRDefault="008F0A08" w:rsidP="00A27C1C">
            <w:pPr>
              <w:pStyle w:val="ExhibitText"/>
              <w:jc w:val="right"/>
            </w:pPr>
            <w:r w:rsidRPr="00241F40">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26150D" w14:textId="68077589" w:rsidR="008F0A08" w:rsidRPr="00241F40" w:rsidRDefault="008F0A08" w:rsidP="00A27C1C">
            <w:pPr>
              <w:pStyle w:val="ExhibitText"/>
              <w:jc w:val="right"/>
            </w:pPr>
            <w:r w:rsidRPr="00241F40">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028682" w14:textId="77777777" w:rsidR="008F0A08" w:rsidRPr="00241F40" w:rsidRDefault="008F0A08" w:rsidP="00A27C1C">
            <w:pPr>
              <w:pStyle w:val="ExhibitText"/>
              <w:jc w:val="right"/>
            </w:pPr>
            <w:r w:rsidRPr="00241F40">
              <w:t>-</w:t>
            </w:r>
          </w:p>
        </w:tc>
        <w:tc>
          <w:tcPr>
            <w:tcW w:w="1323" w:type="dxa"/>
            <w:tcBorders>
              <w:top w:val="single" w:sz="4" w:space="0" w:color="auto"/>
              <w:left w:val="single" w:sz="4" w:space="0" w:color="auto"/>
              <w:bottom w:val="single" w:sz="4" w:space="0" w:color="auto"/>
              <w:right w:val="single" w:sz="4" w:space="0" w:color="auto"/>
            </w:tcBorders>
            <w:shd w:val="clear" w:color="auto" w:fill="auto"/>
            <w:vAlign w:val="center"/>
          </w:tcPr>
          <w:p w14:paraId="0EC912CF" w14:textId="77777777" w:rsidR="008F0A08" w:rsidRPr="00241F40" w:rsidRDefault="008F0A08" w:rsidP="00A27C1C">
            <w:pPr>
              <w:pStyle w:val="ExhibitText"/>
              <w:jc w:val="right"/>
            </w:pPr>
            <w:r w:rsidRPr="00241F40">
              <w:t>8.06</w:t>
            </w:r>
          </w:p>
        </w:tc>
        <w:tc>
          <w:tcPr>
            <w:tcW w:w="1109" w:type="dxa"/>
            <w:tcBorders>
              <w:top w:val="single" w:sz="4" w:space="0" w:color="auto"/>
              <w:left w:val="single" w:sz="4" w:space="0" w:color="auto"/>
              <w:bottom w:val="single" w:sz="4" w:space="0" w:color="auto"/>
              <w:right w:val="single" w:sz="4" w:space="0" w:color="auto"/>
            </w:tcBorders>
            <w:shd w:val="clear" w:color="auto" w:fill="auto"/>
            <w:vAlign w:val="center"/>
          </w:tcPr>
          <w:p w14:paraId="52E34107" w14:textId="77777777" w:rsidR="008F0A08" w:rsidRPr="00241F40" w:rsidRDefault="008F0A08" w:rsidP="00A27C1C">
            <w:pPr>
              <w:pStyle w:val="ExhibitText"/>
              <w:jc w:val="right"/>
            </w:pPr>
            <w:r w:rsidRPr="00241F40">
              <w:t>-</w:t>
            </w:r>
          </w:p>
        </w:tc>
      </w:tr>
    </w:tbl>
    <w:p w14:paraId="5883861C" w14:textId="77777777" w:rsidR="0017012C" w:rsidRPr="00241F40" w:rsidRDefault="0017012C" w:rsidP="00FD54D0">
      <w:pPr>
        <w:pStyle w:val="ExhibitText"/>
        <w:rPr>
          <w:lang w:eastAsia="ja-JP"/>
        </w:rPr>
      </w:pPr>
    </w:p>
    <w:p w14:paraId="792E80A5" w14:textId="080A2C83" w:rsidR="003D733F" w:rsidRDefault="003D733F" w:rsidP="000834EC">
      <w:pPr>
        <w:pStyle w:val="Footnote"/>
        <w:rPr>
          <w:lang w:eastAsia="ja-JP"/>
        </w:rPr>
      </w:pPr>
      <w:r>
        <w:rPr>
          <w:lang w:eastAsia="ja-JP"/>
        </w:rPr>
        <w:t>Note: g = grams</w:t>
      </w:r>
    </w:p>
    <w:p w14:paraId="48BCCC98" w14:textId="6A83AED0" w:rsidR="0017012C" w:rsidRPr="00241F40" w:rsidRDefault="00A27C1C" w:rsidP="000834EC">
      <w:pPr>
        <w:pStyle w:val="Footnote"/>
        <w:rPr>
          <w:lang w:eastAsia="ja-JP"/>
        </w:rPr>
      </w:pPr>
      <w:r w:rsidRPr="00241F40">
        <w:rPr>
          <w:lang w:eastAsia="ja-JP"/>
        </w:rPr>
        <w:t>Source</w:t>
      </w:r>
      <w:r w:rsidR="003D733F">
        <w:rPr>
          <w:lang w:eastAsia="ja-JP"/>
        </w:rPr>
        <w:t>:</w:t>
      </w:r>
      <w:r w:rsidRPr="004A2F3D">
        <w:rPr>
          <w:lang w:eastAsia="ja-JP"/>
        </w:rPr>
        <w:t xml:space="preserve"> </w:t>
      </w:r>
      <w:r w:rsidR="003D733F">
        <w:rPr>
          <w:lang w:eastAsia="ja-JP"/>
        </w:rPr>
        <w:t>Created by the c</w:t>
      </w:r>
      <w:r w:rsidRPr="004A2F3D">
        <w:rPr>
          <w:lang w:eastAsia="ja-JP"/>
        </w:rPr>
        <w:t>ase authors based on p</w:t>
      </w:r>
      <w:r w:rsidR="0017012C" w:rsidRPr="004A2F3D">
        <w:rPr>
          <w:lang w:eastAsia="ja-JP"/>
        </w:rPr>
        <w:t>rices observed at Mi Comisariato</w:t>
      </w:r>
      <w:r w:rsidRPr="004A2F3D">
        <w:rPr>
          <w:lang w:eastAsia="ja-JP"/>
        </w:rPr>
        <w:t xml:space="preserve"> (supermarket)</w:t>
      </w:r>
      <w:r w:rsidR="0017012C" w:rsidRPr="004A2F3D">
        <w:rPr>
          <w:lang w:eastAsia="ja-JP"/>
        </w:rPr>
        <w:t>, Alborada, Ing R Baquerizo Nazur Street, Guayaquil 090509, Ecuador</w:t>
      </w:r>
      <w:r w:rsidRPr="004A2F3D">
        <w:rPr>
          <w:lang w:eastAsia="ja-JP"/>
        </w:rPr>
        <w:t>, August 12, 2017.</w:t>
      </w:r>
    </w:p>
    <w:p w14:paraId="23CF138E" w14:textId="5E92AD4A" w:rsidR="000834EC" w:rsidRDefault="000834EC" w:rsidP="004A2F3D">
      <w:pPr>
        <w:pStyle w:val="ExhibitText"/>
        <w:rPr>
          <w:lang w:eastAsia="ja-JP"/>
        </w:rPr>
      </w:pPr>
    </w:p>
    <w:p w14:paraId="3C0EE49F" w14:textId="77777777" w:rsidR="004A2F3D" w:rsidRPr="00241F40" w:rsidRDefault="004A2F3D" w:rsidP="004A2F3D">
      <w:pPr>
        <w:pStyle w:val="ExhibitText"/>
        <w:rPr>
          <w:lang w:eastAsia="ja-JP"/>
        </w:rPr>
      </w:pPr>
    </w:p>
    <w:p w14:paraId="5A2DE296" w14:textId="58D64B96" w:rsidR="0017012C" w:rsidRPr="00241F40" w:rsidRDefault="00210BCC" w:rsidP="005831FD">
      <w:pPr>
        <w:pStyle w:val="ExhibitHeading"/>
        <w:outlineLvl w:val="0"/>
        <w:rPr>
          <w:lang w:eastAsia="ja-JP"/>
        </w:rPr>
      </w:pPr>
      <w:r>
        <w:rPr>
          <w:lang w:eastAsia="ja-JP"/>
        </w:rPr>
        <w:t>Exhibit 4</w:t>
      </w:r>
      <w:r w:rsidR="000834EC" w:rsidRPr="00241F40">
        <w:rPr>
          <w:lang w:eastAsia="ja-JP"/>
        </w:rPr>
        <w:t xml:space="preserve">: </w:t>
      </w:r>
      <w:r w:rsidR="0017012C" w:rsidRPr="00241F40">
        <w:rPr>
          <w:lang w:eastAsia="ja-JP"/>
        </w:rPr>
        <w:t>NATIONAL</w:t>
      </w:r>
      <w:r w:rsidR="00EE7D76" w:rsidRPr="00241F40">
        <w:rPr>
          <w:lang w:eastAsia="ja-JP"/>
        </w:rPr>
        <w:t xml:space="preserve"> BRAND OWNER SHARES OF COFFEE</w:t>
      </w:r>
      <w:r w:rsidR="00A27C1C" w:rsidRPr="00241F40">
        <w:rPr>
          <w:lang w:eastAsia="ja-JP"/>
        </w:rPr>
        <w:t xml:space="preserve">—Percentage of </w:t>
      </w:r>
      <w:r w:rsidR="0017012C" w:rsidRPr="00241F40">
        <w:rPr>
          <w:lang w:eastAsia="ja-JP"/>
        </w:rPr>
        <w:t>RETAIL VALUE</w:t>
      </w:r>
      <w:r w:rsidR="00A27C1C" w:rsidRPr="00241F40">
        <w:rPr>
          <w:lang w:eastAsia="ja-JP"/>
        </w:rPr>
        <w:t xml:space="preserve">, </w:t>
      </w:r>
      <w:r w:rsidR="0017012C" w:rsidRPr="00241F40">
        <w:rPr>
          <w:lang w:eastAsia="ja-JP"/>
        </w:rPr>
        <w:t>2013</w:t>
      </w:r>
      <w:r w:rsidR="00A27C1C" w:rsidRPr="00241F40">
        <w:rPr>
          <w:lang w:eastAsia="ja-JP"/>
        </w:rPr>
        <w:t>–20</w:t>
      </w:r>
      <w:r w:rsidR="0017012C" w:rsidRPr="00241F40">
        <w:rPr>
          <w:lang w:eastAsia="ja-JP"/>
        </w:rPr>
        <w:t>16</w:t>
      </w:r>
    </w:p>
    <w:p w14:paraId="2D5A7095" w14:textId="77777777" w:rsidR="0017012C" w:rsidRPr="00241F40" w:rsidRDefault="0017012C" w:rsidP="00FD54D0">
      <w:pPr>
        <w:pStyle w:val="ExhibitText"/>
        <w:rPr>
          <w:lang w:eastAsia="ja-JP"/>
        </w:rPr>
      </w:pPr>
    </w:p>
    <w:tbl>
      <w:tblPr>
        <w:tblStyle w:val="TableGrid"/>
        <w:tblW w:w="3500" w:type="pct"/>
        <w:jc w:val="center"/>
        <w:tblLook w:val="04A0" w:firstRow="1" w:lastRow="0" w:firstColumn="1" w:lastColumn="0" w:noHBand="0" w:noVBand="1"/>
      </w:tblPr>
      <w:tblGrid>
        <w:gridCol w:w="3160"/>
        <w:gridCol w:w="885"/>
        <w:gridCol w:w="886"/>
        <w:gridCol w:w="886"/>
        <w:gridCol w:w="886"/>
      </w:tblGrid>
      <w:tr w:rsidR="0017012C" w:rsidRPr="00241F40" w14:paraId="2D1CE15C" w14:textId="77777777" w:rsidTr="00DC3297">
        <w:trPr>
          <w:trHeight w:val="288"/>
          <w:jc w:val="center"/>
        </w:trPr>
        <w:tc>
          <w:tcPr>
            <w:tcW w:w="3086" w:type="dxa"/>
            <w:tcBorders>
              <w:bottom w:val="single" w:sz="8" w:space="0" w:color="auto"/>
            </w:tcBorders>
            <w:vAlign w:val="center"/>
            <w:hideMark/>
          </w:tcPr>
          <w:p w14:paraId="019DC0AD" w14:textId="77777777" w:rsidR="0017012C" w:rsidRPr="00241F40" w:rsidRDefault="0017012C" w:rsidP="00DC3297">
            <w:pPr>
              <w:pStyle w:val="ExhibitText"/>
              <w:jc w:val="left"/>
              <w:rPr>
                <w:lang w:eastAsia="ja-JP"/>
              </w:rPr>
            </w:pPr>
          </w:p>
        </w:tc>
        <w:tc>
          <w:tcPr>
            <w:tcW w:w="864" w:type="dxa"/>
            <w:tcBorders>
              <w:bottom w:val="single" w:sz="8" w:space="0" w:color="auto"/>
            </w:tcBorders>
            <w:vAlign w:val="center"/>
            <w:hideMark/>
          </w:tcPr>
          <w:p w14:paraId="1BF55756" w14:textId="77777777" w:rsidR="0017012C" w:rsidRPr="00241F40" w:rsidRDefault="0017012C" w:rsidP="00DC3297">
            <w:pPr>
              <w:pStyle w:val="ExhibitText"/>
              <w:jc w:val="center"/>
              <w:rPr>
                <w:b/>
                <w:lang w:eastAsia="ja-JP"/>
              </w:rPr>
            </w:pPr>
            <w:r w:rsidRPr="00241F40">
              <w:rPr>
                <w:b/>
                <w:lang w:eastAsia="ja-JP"/>
              </w:rPr>
              <w:t>2013</w:t>
            </w:r>
          </w:p>
        </w:tc>
        <w:tc>
          <w:tcPr>
            <w:tcW w:w="865" w:type="dxa"/>
            <w:tcBorders>
              <w:bottom w:val="single" w:sz="8" w:space="0" w:color="auto"/>
            </w:tcBorders>
            <w:vAlign w:val="center"/>
            <w:hideMark/>
          </w:tcPr>
          <w:p w14:paraId="2E243159" w14:textId="77777777" w:rsidR="0017012C" w:rsidRPr="00241F40" w:rsidRDefault="0017012C" w:rsidP="00DC3297">
            <w:pPr>
              <w:pStyle w:val="ExhibitText"/>
              <w:jc w:val="center"/>
              <w:rPr>
                <w:b/>
                <w:lang w:eastAsia="ja-JP"/>
              </w:rPr>
            </w:pPr>
            <w:r w:rsidRPr="00241F40">
              <w:rPr>
                <w:b/>
                <w:lang w:eastAsia="ja-JP"/>
              </w:rPr>
              <w:t>2014</w:t>
            </w:r>
          </w:p>
        </w:tc>
        <w:tc>
          <w:tcPr>
            <w:tcW w:w="865" w:type="dxa"/>
            <w:tcBorders>
              <w:bottom w:val="single" w:sz="8" w:space="0" w:color="auto"/>
            </w:tcBorders>
            <w:vAlign w:val="center"/>
            <w:hideMark/>
          </w:tcPr>
          <w:p w14:paraId="3D85DDAA" w14:textId="77777777" w:rsidR="0017012C" w:rsidRPr="00241F40" w:rsidRDefault="0017012C" w:rsidP="00DC3297">
            <w:pPr>
              <w:pStyle w:val="ExhibitText"/>
              <w:jc w:val="center"/>
              <w:rPr>
                <w:b/>
                <w:lang w:eastAsia="ja-JP"/>
              </w:rPr>
            </w:pPr>
            <w:r w:rsidRPr="00241F40">
              <w:rPr>
                <w:b/>
                <w:lang w:eastAsia="ja-JP"/>
              </w:rPr>
              <w:t>2015</w:t>
            </w:r>
          </w:p>
        </w:tc>
        <w:tc>
          <w:tcPr>
            <w:tcW w:w="865" w:type="dxa"/>
            <w:tcBorders>
              <w:bottom w:val="single" w:sz="8" w:space="0" w:color="auto"/>
            </w:tcBorders>
            <w:vAlign w:val="center"/>
            <w:hideMark/>
          </w:tcPr>
          <w:p w14:paraId="53959909" w14:textId="77777777" w:rsidR="0017012C" w:rsidRPr="00241F40" w:rsidRDefault="0017012C" w:rsidP="00DC3297">
            <w:pPr>
              <w:pStyle w:val="ExhibitText"/>
              <w:jc w:val="center"/>
              <w:rPr>
                <w:b/>
                <w:lang w:eastAsia="ja-JP"/>
              </w:rPr>
            </w:pPr>
            <w:r w:rsidRPr="00241F40">
              <w:rPr>
                <w:b/>
                <w:lang w:eastAsia="ja-JP"/>
              </w:rPr>
              <w:t>2016</w:t>
            </w:r>
          </w:p>
        </w:tc>
      </w:tr>
      <w:tr w:rsidR="0017012C" w:rsidRPr="00241F40" w14:paraId="4316471B" w14:textId="77777777" w:rsidTr="00DC3297">
        <w:trPr>
          <w:trHeight w:val="288"/>
          <w:jc w:val="center"/>
        </w:trPr>
        <w:tc>
          <w:tcPr>
            <w:tcW w:w="3086" w:type="dxa"/>
            <w:tcBorders>
              <w:top w:val="single" w:sz="8" w:space="0" w:color="auto"/>
            </w:tcBorders>
            <w:vAlign w:val="center"/>
            <w:hideMark/>
          </w:tcPr>
          <w:p w14:paraId="47FE6043" w14:textId="0B266B3A" w:rsidR="0017012C" w:rsidRPr="00CB1631" w:rsidRDefault="0017012C" w:rsidP="00DC3297">
            <w:pPr>
              <w:pStyle w:val="ExhibitText"/>
              <w:jc w:val="left"/>
              <w:rPr>
                <w:lang w:eastAsia="ja-JP"/>
              </w:rPr>
            </w:pPr>
            <w:r w:rsidRPr="00CB1631">
              <w:rPr>
                <w:lang w:eastAsia="ja-JP"/>
              </w:rPr>
              <w:t>Nestlé Ecuador SA</w:t>
            </w:r>
            <w:r w:rsidR="005831FD" w:rsidRPr="00CB1631">
              <w:rPr>
                <w:lang w:eastAsia="ja-JP"/>
              </w:rPr>
              <w:t xml:space="preserve"> </w:t>
            </w:r>
          </w:p>
        </w:tc>
        <w:tc>
          <w:tcPr>
            <w:tcW w:w="864" w:type="dxa"/>
            <w:tcBorders>
              <w:top w:val="single" w:sz="8" w:space="0" w:color="auto"/>
            </w:tcBorders>
            <w:vAlign w:val="center"/>
            <w:hideMark/>
          </w:tcPr>
          <w:p w14:paraId="04BFBC04" w14:textId="77777777" w:rsidR="0017012C" w:rsidRPr="00CB1631" w:rsidRDefault="0017012C" w:rsidP="00DC3297">
            <w:pPr>
              <w:pStyle w:val="ExhibitText"/>
              <w:jc w:val="right"/>
              <w:rPr>
                <w:lang w:eastAsia="ja-JP"/>
              </w:rPr>
            </w:pPr>
            <w:r w:rsidRPr="00CB1631">
              <w:rPr>
                <w:lang w:eastAsia="ja-JP"/>
              </w:rPr>
              <w:t>25.1</w:t>
            </w:r>
          </w:p>
        </w:tc>
        <w:tc>
          <w:tcPr>
            <w:tcW w:w="865" w:type="dxa"/>
            <w:tcBorders>
              <w:top w:val="single" w:sz="8" w:space="0" w:color="auto"/>
            </w:tcBorders>
            <w:vAlign w:val="center"/>
            <w:hideMark/>
          </w:tcPr>
          <w:p w14:paraId="4A9C987B" w14:textId="77777777" w:rsidR="0017012C" w:rsidRPr="00CB1631" w:rsidRDefault="0017012C" w:rsidP="00DC3297">
            <w:pPr>
              <w:pStyle w:val="ExhibitText"/>
              <w:jc w:val="right"/>
              <w:rPr>
                <w:lang w:eastAsia="ja-JP"/>
              </w:rPr>
            </w:pPr>
            <w:r w:rsidRPr="00CB1631">
              <w:rPr>
                <w:lang w:eastAsia="ja-JP"/>
              </w:rPr>
              <w:t>25.6</w:t>
            </w:r>
          </w:p>
        </w:tc>
        <w:tc>
          <w:tcPr>
            <w:tcW w:w="865" w:type="dxa"/>
            <w:tcBorders>
              <w:top w:val="single" w:sz="8" w:space="0" w:color="auto"/>
            </w:tcBorders>
            <w:vAlign w:val="center"/>
            <w:hideMark/>
          </w:tcPr>
          <w:p w14:paraId="749274E8" w14:textId="77777777" w:rsidR="0017012C" w:rsidRPr="00CB1631" w:rsidRDefault="0017012C" w:rsidP="00DC3297">
            <w:pPr>
              <w:pStyle w:val="ExhibitText"/>
              <w:jc w:val="right"/>
              <w:rPr>
                <w:lang w:eastAsia="ja-JP"/>
              </w:rPr>
            </w:pPr>
            <w:r w:rsidRPr="00CB1631">
              <w:rPr>
                <w:lang w:eastAsia="ja-JP"/>
              </w:rPr>
              <w:t>26.2</w:t>
            </w:r>
          </w:p>
        </w:tc>
        <w:tc>
          <w:tcPr>
            <w:tcW w:w="865" w:type="dxa"/>
            <w:tcBorders>
              <w:top w:val="single" w:sz="8" w:space="0" w:color="auto"/>
            </w:tcBorders>
            <w:vAlign w:val="center"/>
            <w:hideMark/>
          </w:tcPr>
          <w:p w14:paraId="319BDA66" w14:textId="77777777" w:rsidR="0017012C" w:rsidRPr="00CB1631" w:rsidRDefault="0017012C" w:rsidP="00DC3297">
            <w:pPr>
              <w:pStyle w:val="ExhibitText"/>
              <w:jc w:val="right"/>
              <w:rPr>
                <w:lang w:eastAsia="ja-JP"/>
              </w:rPr>
            </w:pPr>
            <w:r w:rsidRPr="00CB1631">
              <w:rPr>
                <w:lang w:eastAsia="ja-JP"/>
              </w:rPr>
              <w:t>26.0</w:t>
            </w:r>
          </w:p>
        </w:tc>
      </w:tr>
      <w:tr w:rsidR="0017012C" w:rsidRPr="00241F40" w14:paraId="7E0D260E" w14:textId="77777777" w:rsidTr="00DC3297">
        <w:trPr>
          <w:trHeight w:val="288"/>
          <w:jc w:val="center"/>
        </w:trPr>
        <w:tc>
          <w:tcPr>
            <w:tcW w:w="3086" w:type="dxa"/>
            <w:vAlign w:val="center"/>
            <w:hideMark/>
          </w:tcPr>
          <w:p w14:paraId="48B2BEA9" w14:textId="301E9428" w:rsidR="0017012C" w:rsidRPr="00CB1631" w:rsidRDefault="0017012C" w:rsidP="00BC4E16">
            <w:pPr>
              <w:pStyle w:val="ExhibitText"/>
              <w:jc w:val="left"/>
              <w:rPr>
                <w:lang w:eastAsia="ja-JP"/>
              </w:rPr>
            </w:pPr>
            <w:r w:rsidRPr="00CB1631">
              <w:rPr>
                <w:lang w:eastAsia="ja-JP"/>
              </w:rPr>
              <w:t xml:space="preserve">Solubles </w:t>
            </w:r>
            <w:r w:rsidR="00241F40" w:rsidRPr="00CB1631">
              <w:rPr>
                <w:lang w:eastAsia="ja-JP"/>
              </w:rPr>
              <w:t>Instantaneos</w:t>
            </w:r>
            <w:r w:rsidRPr="00CB1631">
              <w:rPr>
                <w:lang w:eastAsia="ja-JP"/>
              </w:rPr>
              <w:t xml:space="preserve"> CA</w:t>
            </w:r>
            <w:r w:rsidR="005831FD" w:rsidRPr="00CB1631">
              <w:rPr>
                <w:lang w:eastAsia="ja-JP"/>
              </w:rPr>
              <w:t xml:space="preserve"> </w:t>
            </w:r>
          </w:p>
        </w:tc>
        <w:tc>
          <w:tcPr>
            <w:tcW w:w="864" w:type="dxa"/>
            <w:vAlign w:val="center"/>
            <w:hideMark/>
          </w:tcPr>
          <w:p w14:paraId="0C4929CC" w14:textId="77777777" w:rsidR="0017012C" w:rsidRPr="00CB1631" w:rsidRDefault="0017012C" w:rsidP="00DC3297">
            <w:pPr>
              <w:pStyle w:val="ExhibitText"/>
              <w:jc w:val="right"/>
              <w:rPr>
                <w:lang w:eastAsia="ja-JP"/>
              </w:rPr>
            </w:pPr>
            <w:r w:rsidRPr="00CB1631">
              <w:rPr>
                <w:lang w:eastAsia="ja-JP"/>
              </w:rPr>
              <w:t>22.1</w:t>
            </w:r>
          </w:p>
        </w:tc>
        <w:tc>
          <w:tcPr>
            <w:tcW w:w="865" w:type="dxa"/>
            <w:vAlign w:val="center"/>
            <w:hideMark/>
          </w:tcPr>
          <w:p w14:paraId="6DD526C3" w14:textId="77777777" w:rsidR="0017012C" w:rsidRPr="00CB1631" w:rsidRDefault="0017012C" w:rsidP="00DC3297">
            <w:pPr>
              <w:pStyle w:val="ExhibitText"/>
              <w:jc w:val="right"/>
              <w:rPr>
                <w:lang w:eastAsia="ja-JP"/>
              </w:rPr>
            </w:pPr>
            <w:r w:rsidRPr="00CB1631">
              <w:rPr>
                <w:lang w:eastAsia="ja-JP"/>
              </w:rPr>
              <w:t>21.9</w:t>
            </w:r>
          </w:p>
        </w:tc>
        <w:tc>
          <w:tcPr>
            <w:tcW w:w="865" w:type="dxa"/>
            <w:vAlign w:val="center"/>
            <w:hideMark/>
          </w:tcPr>
          <w:p w14:paraId="253CF4C3" w14:textId="77777777" w:rsidR="0017012C" w:rsidRPr="00CB1631" w:rsidRDefault="0017012C" w:rsidP="00DC3297">
            <w:pPr>
              <w:pStyle w:val="ExhibitText"/>
              <w:jc w:val="right"/>
              <w:rPr>
                <w:lang w:eastAsia="ja-JP"/>
              </w:rPr>
            </w:pPr>
            <w:r w:rsidRPr="00CB1631">
              <w:rPr>
                <w:lang w:eastAsia="ja-JP"/>
              </w:rPr>
              <w:t>22.0</w:t>
            </w:r>
          </w:p>
        </w:tc>
        <w:tc>
          <w:tcPr>
            <w:tcW w:w="865" w:type="dxa"/>
            <w:vAlign w:val="center"/>
            <w:hideMark/>
          </w:tcPr>
          <w:p w14:paraId="2E86A24D" w14:textId="77777777" w:rsidR="0017012C" w:rsidRPr="00CB1631" w:rsidRDefault="0017012C" w:rsidP="00DC3297">
            <w:pPr>
              <w:pStyle w:val="ExhibitText"/>
              <w:jc w:val="right"/>
              <w:rPr>
                <w:lang w:eastAsia="ja-JP"/>
              </w:rPr>
            </w:pPr>
            <w:r w:rsidRPr="00CB1631">
              <w:rPr>
                <w:lang w:eastAsia="ja-JP"/>
              </w:rPr>
              <w:t>22.1</w:t>
            </w:r>
          </w:p>
        </w:tc>
      </w:tr>
      <w:tr w:rsidR="0017012C" w:rsidRPr="00241F40" w14:paraId="3855F7F7" w14:textId="77777777" w:rsidTr="00DC3297">
        <w:trPr>
          <w:trHeight w:val="288"/>
          <w:jc w:val="center"/>
        </w:trPr>
        <w:tc>
          <w:tcPr>
            <w:tcW w:w="3086" w:type="dxa"/>
            <w:vAlign w:val="center"/>
            <w:hideMark/>
          </w:tcPr>
          <w:p w14:paraId="5979EF3B" w14:textId="5C7DF3D2" w:rsidR="0017012C" w:rsidRPr="00CB1631" w:rsidRDefault="0017012C" w:rsidP="00DC3297">
            <w:pPr>
              <w:pStyle w:val="ExhibitText"/>
              <w:jc w:val="left"/>
              <w:rPr>
                <w:lang w:eastAsia="ja-JP"/>
              </w:rPr>
            </w:pPr>
            <w:r w:rsidRPr="00CB1631">
              <w:rPr>
                <w:lang w:eastAsia="ja-JP"/>
              </w:rPr>
              <w:t>El Café CA</w:t>
            </w:r>
            <w:r w:rsidR="005831FD" w:rsidRPr="00CB1631">
              <w:rPr>
                <w:lang w:eastAsia="ja-JP"/>
              </w:rPr>
              <w:t xml:space="preserve"> </w:t>
            </w:r>
          </w:p>
        </w:tc>
        <w:tc>
          <w:tcPr>
            <w:tcW w:w="864" w:type="dxa"/>
            <w:vAlign w:val="center"/>
            <w:hideMark/>
          </w:tcPr>
          <w:p w14:paraId="35DB85EC" w14:textId="77777777" w:rsidR="0017012C" w:rsidRPr="00CB1631" w:rsidRDefault="0017012C" w:rsidP="00DC3297">
            <w:pPr>
              <w:pStyle w:val="ExhibitText"/>
              <w:jc w:val="right"/>
              <w:rPr>
                <w:lang w:eastAsia="ja-JP"/>
              </w:rPr>
            </w:pPr>
            <w:r w:rsidRPr="00CB1631">
              <w:rPr>
                <w:lang w:eastAsia="ja-JP"/>
              </w:rPr>
              <w:t>20.0</w:t>
            </w:r>
          </w:p>
        </w:tc>
        <w:tc>
          <w:tcPr>
            <w:tcW w:w="865" w:type="dxa"/>
            <w:vAlign w:val="center"/>
            <w:hideMark/>
          </w:tcPr>
          <w:p w14:paraId="41AD8042" w14:textId="77777777" w:rsidR="0017012C" w:rsidRPr="00CB1631" w:rsidRDefault="0017012C" w:rsidP="00DC3297">
            <w:pPr>
              <w:pStyle w:val="ExhibitText"/>
              <w:jc w:val="right"/>
              <w:rPr>
                <w:lang w:eastAsia="ja-JP"/>
              </w:rPr>
            </w:pPr>
            <w:r w:rsidRPr="00CB1631">
              <w:rPr>
                <w:lang w:eastAsia="ja-JP"/>
              </w:rPr>
              <w:t>19.3</w:t>
            </w:r>
          </w:p>
        </w:tc>
        <w:tc>
          <w:tcPr>
            <w:tcW w:w="865" w:type="dxa"/>
            <w:vAlign w:val="center"/>
            <w:hideMark/>
          </w:tcPr>
          <w:p w14:paraId="381E2F6E" w14:textId="77777777" w:rsidR="0017012C" w:rsidRPr="00CB1631" w:rsidRDefault="0017012C" w:rsidP="00DC3297">
            <w:pPr>
              <w:pStyle w:val="ExhibitText"/>
              <w:jc w:val="right"/>
              <w:rPr>
                <w:lang w:eastAsia="ja-JP"/>
              </w:rPr>
            </w:pPr>
            <w:r w:rsidRPr="00CB1631">
              <w:rPr>
                <w:lang w:eastAsia="ja-JP"/>
              </w:rPr>
              <w:t>19.0</w:t>
            </w:r>
          </w:p>
        </w:tc>
        <w:tc>
          <w:tcPr>
            <w:tcW w:w="865" w:type="dxa"/>
            <w:vAlign w:val="center"/>
            <w:hideMark/>
          </w:tcPr>
          <w:p w14:paraId="790E656D" w14:textId="77777777" w:rsidR="0017012C" w:rsidRPr="00CB1631" w:rsidRDefault="0017012C" w:rsidP="00DC3297">
            <w:pPr>
              <w:pStyle w:val="ExhibitText"/>
              <w:jc w:val="right"/>
              <w:rPr>
                <w:lang w:eastAsia="ja-JP"/>
              </w:rPr>
            </w:pPr>
            <w:r w:rsidRPr="00CB1631">
              <w:rPr>
                <w:lang w:eastAsia="ja-JP"/>
              </w:rPr>
              <w:t>19.1</w:t>
            </w:r>
          </w:p>
        </w:tc>
      </w:tr>
      <w:tr w:rsidR="0017012C" w:rsidRPr="00241F40" w14:paraId="0C9AE698" w14:textId="77777777" w:rsidTr="00DC3297">
        <w:trPr>
          <w:trHeight w:val="288"/>
          <w:jc w:val="center"/>
        </w:trPr>
        <w:tc>
          <w:tcPr>
            <w:tcW w:w="3086" w:type="dxa"/>
            <w:vAlign w:val="center"/>
            <w:hideMark/>
          </w:tcPr>
          <w:p w14:paraId="551691D3" w14:textId="7AA1AA9E" w:rsidR="0017012C" w:rsidRPr="00CB1631" w:rsidRDefault="0017012C" w:rsidP="00DC3297">
            <w:pPr>
              <w:pStyle w:val="ExhibitText"/>
              <w:jc w:val="left"/>
              <w:rPr>
                <w:lang w:eastAsia="ja-JP"/>
              </w:rPr>
            </w:pPr>
            <w:r w:rsidRPr="00CB1631">
              <w:rPr>
                <w:lang w:eastAsia="ja-JP"/>
              </w:rPr>
              <w:t>Pydaco Cia Ltda</w:t>
            </w:r>
            <w:r w:rsidR="005831FD" w:rsidRPr="00CB1631">
              <w:rPr>
                <w:lang w:eastAsia="ja-JP"/>
              </w:rPr>
              <w:t xml:space="preserve"> </w:t>
            </w:r>
          </w:p>
        </w:tc>
        <w:tc>
          <w:tcPr>
            <w:tcW w:w="864" w:type="dxa"/>
            <w:vAlign w:val="center"/>
            <w:hideMark/>
          </w:tcPr>
          <w:p w14:paraId="5DE53659" w14:textId="77777777" w:rsidR="0017012C" w:rsidRPr="00CB1631" w:rsidRDefault="0017012C" w:rsidP="00DC3297">
            <w:pPr>
              <w:pStyle w:val="ExhibitText"/>
              <w:jc w:val="right"/>
              <w:rPr>
                <w:lang w:eastAsia="ja-JP"/>
              </w:rPr>
            </w:pPr>
            <w:r w:rsidRPr="00CB1631">
              <w:rPr>
                <w:lang w:eastAsia="ja-JP"/>
              </w:rPr>
              <w:t>6.8</w:t>
            </w:r>
          </w:p>
        </w:tc>
        <w:tc>
          <w:tcPr>
            <w:tcW w:w="865" w:type="dxa"/>
            <w:vAlign w:val="center"/>
            <w:hideMark/>
          </w:tcPr>
          <w:p w14:paraId="3D62E759" w14:textId="77777777" w:rsidR="0017012C" w:rsidRPr="00CB1631" w:rsidRDefault="0017012C" w:rsidP="00DC3297">
            <w:pPr>
              <w:pStyle w:val="ExhibitText"/>
              <w:jc w:val="right"/>
              <w:rPr>
                <w:lang w:eastAsia="ja-JP"/>
              </w:rPr>
            </w:pPr>
            <w:r w:rsidRPr="00CB1631">
              <w:rPr>
                <w:lang w:eastAsia="ja-JP"/>
              </w:rPr>
              <w:t>6.8</w:t>
            </w:r>
          </w:p>
        </w:tc>
        <w:tc>
          <w:tcPr>
            <w:tcW w:w="865" w:type="dxa"/>
            <w:vAlign w:val="center"/>
            <w:hideMark/>
          </w:tcPr>
          <w:p w14:paraId="16521435" w14:textId="77777777" w:rsidR="0017012C" w:rsidRPr="00CB1631" w:rsidRDefault="0017012C" w:rsidP="00DC3297">
            <w:pPr>
              <w:pStyle w:val="ExhibitText"/>
              <w:jc w:val="right"/>
              <w:rPr>
                <w:lang w:eastAsia="ja-JP"/>
              </w:rPr>
            </w:pPr>
            <w:r w:rsidRPr="00CB1631">
              <w:rPr>
                <w:lang w:eastAsia="ja-JP"/>
              </w:rPr>
              <w:t>6.7</w:t>
            </w:r>
          </w:p>
        </w:tc>
        <w:tc>
          <w:tcPr>
            <w:tcW w:w="865" w:type="dxa"/>
            <w:vAlign w:val="center"/>
            <w:hideMark/>
          </w:tcPr>
          <w:p w14:paraId="65DDE4AE" w14:textId="77777777" w:rsidR="0017012C" w:rsidRPr="00CB1631" w:rsidRDefault="0017012C" w:rsidP="00DC3297">
            <w:pPr>
              <w:pStyle w:val="ExhibitText"/>
              <w:jc w:val="right"/>
              <w:rPr>
                <w:lang w:eastAsia="ja-JP"/>
              </w:rPr>
            </w:pPr>
            <w:r w:rsidRPr="00CB1631">
              <w:rPr>
                <w:lang w:eastAsia="ja-JP"/>
              </w:rPr>
              <w:t>6.8</w:t>
            </w:r>
          </w:p>
        </w:tc>
      </w:tr>
      <w:tr w:rsidR="0017012C" w:rsidRPr="00241F40" w14:paraId="2B277FE6" w14:textId="77777777" w:rsidTr="00DC3297">
        <w:trPr>
          <w:trHeight w:val="288"/>
          <w:jc w:val="center"/>
        </w:trPr>
        <w:tc>
          <w:tcPr>
            <w:tcW w:w="3086" w:type="dxa"/>
            <w:vAlign w:val="center"/>
            <w:hideMark/>
          </w:tcPr>
          <w:p w14:paraId="2D8D009B" w14:textId="611F8981" w:rsidR="0017012C" w:rsidRPr="00CB1631" w:rsidRDefault="0017012C" w:rsidP="00DC3297">
            <w:pPr>
              <w:pStyle w:val="ExhibitText"/>
              <w:jc w:val="left"/>
              <w:rPr>
                <w:lang w:eastAsia="ja-JP"/>
              </w:rPr>
            </w:pPr>
            <w:r w:rsidRPr="00CB1631">
              <w:rPr>
                <w:lang w:eastAsia="ja-JP"/>
              </w:rPr>
              <w:t>Colcafé SA</w:t>
            </w:r>
            <w:r w:rsidR="005831FD" w:rsidRPr="00CB1631">
              <w:rPr>
                <w:lang w:eastAsia="ja-JP"/>
              </w:rPr>
              <w:t xml:space="preserve"> </w:t>
            </w:r>
          </w:p>
        </w:tc>
        <w:tc>
          <w:tcPr>
            <w:tcW w:w="864" w:type="dxa"/>
            <w:vAlign w:val="center"/>
            <w:hideMark/>
          </w:tcPr>
          <w:p w14:paraId="155CF44E" w14:textId="77777777" w:rsidR="0017012C" w:rsidRPr="00CB1631" w:rsidRDefault="0017012C" w:rsidP="00DC3297">
            <w:pPr>
              <w:pStyle w:val="ExhibitText"/>
              <w:jc w:val="right"/>
              <w:rPr>
                <w:lang w:eastAsia="ja-JP"/>
              </w:rPr>
            </w:pPr>
            <w:r w:rsidRPr="00CB1631">
              <w:rPr>
                <w:lang w:eastAsia="ja-JP"/>
              </w:rPr>
              <w:t>5.5</w:t>
            </w:r>
          </w:p>
        </w:tc>
        <w:tc>
          <w:tcPr>
            <w:tcW w:w="865" w:type="dxa"/>
            <w:vAlign w:val="center"/>
            <w:hideMark/>
          </w:tcPr>
          <w:p w14:paraId="2A151E71" w14:textId="77777777" w:rsidR="0017012C" w:rsidRPr="00CB1631" w:rsidRDefault="0017012C" w:rsidP="00DC3297">
            <w:pPr>
              <w:pStyle w:val="ExhibitText"/>
              <w:jc w:val="right"/>
              <w:rPr>
                <w:lang w:eastAsia="ja-JP"/>
              </w:rPr>
            </w:pPr>
            <w:r w:rsidRPr="00CB1631">
              <w:rPr>
                <w:lang w:eastAsia="ja-JP"/>
              </w:rPr>
              <w:t>5.5</w:t>
            </w:r>
          </w:p>
        </w:tc>
        <w:tc>
          <w:tcPr>
            <w:tcW w:w="865" w:type="dxa"/>
            <w:vAlign w:val="center"/>
            <w:hideMark/>
          </w:tcPr>
          <w:p w14:paraId="073DA12F" w14:textId="77777777" w:rsidR="0017012C" w:rsidRPr="00CB1631" w:rsidRDefault="0017012C" w:rsidP="00DC3297">
            <w:pPr>
              <w:pStyle w:val="ExhibitText"/>
              <w:jc w:val="right"/>
              <w:rPr>
                <w:lang w:eastAsia="ja-JP"/>
              </w:rPr>
            </w:pPr>
            <w:r w:rsidRPr="00CB1631">
              <w:rPr>
                <w:lang w:eastAsia="ja-JP"/>
              </w:rPr>
              <w:t>5.5</w:t>
            </w:r>
          </w:p>
        </w:tc>
        <w:tc>
          <w:tcPr>
            <w:tcW w:w="865" w:type="dxa"/>
            <w:vAlign w:val="center"/>
            <w:hideMark/>
          </w:tcPr>
          <w:p w14:paraId="625D2A2A" w14:textId="77777777" w:rsidR="0017012C" w:rsidRPr="00CB1631" w:rsidRDefault="0017012C" w:rsidP="00DC3297">
            <w:pPr>
              <w:pStyle w:val="ExhibitText"/>
              <w:jc w:val="right"/>
              <w:rPr>
                <w:lang w:eastAsia="ja-JP"/>
              </w:rPr>
            </w:pPr>
            <w:r w:rsidRPr="00CB1631">
              <w:rPr>
                <w:lang w:eastAsia="ja-JP"/>
              </w:rPr>
              <w:t>5.5</w:t>
            </w:r>
          </w:p>
        </w:tc>
      </w:tr>
      <w:tr w:rsidR="0017012C" w:rsidRPr="00241F40" w14:paraId="0641DCD1" w14:textId="77777777" w:rsidTr="00DC3297">
        <w:trPr>
          <w:trHeight w:val="288"/>
          <w:jc w:val="center"/>
        </w:trPr>
        <w:tc>
          <w:tcPr>
            <w:tcW w:w="3086" w:type="dxa"/>
            <w:vAlign w:val="center"/>
            <w:hideMark/>
          </w:tcPr>
          <w:p w14:paraId="256270F3" w14:textId="7E5A6923" w:rsidR="0017012C" w:rsidRPr="00CB1631" w:rsidRDefault="0017012C" w:rsidP="00DC3297">
            <w:pPr>
              <w:pStyle w:val="ExhibitText"/>
              <w:jc w:val="left"/>
              <w:rPr>
                <w:lang w:eastAsia="ja-JP"/>
              </w:rPr>
            </w:pPr>
            <w:r w:rsidRPr="00CB1631">
              <w:rPr>
                <w:lang w:eastAsia="ja-JP"/>
              </w:rPr>
              <w:t>Productos Minerva SA</w:t>
            </w:r>
            <w:r w:rsidR="005831FD" w:rsidRPr="00CB1631">
              <w:rPr>
                <w:lang w:eastAsia="ja-JP"/>
              </w:rPr>
              <w:t xml:space="preserve"> </w:t>
            </w:r>
          </w:p>
        </w:tc>
        <w:tc>
          <w:tcPr>
            <w:tcW w:w="864" w:type="dxa"/>
            <w:vAlign w:val="center"/>
            <w:hideMark/>
          </w:tcPr>
          <w:p w14:paraId="4C93DE50" w14:textId="77777777" w:rsidR="0017012C" w:rsidRPr="00CB1631" w:rsidRDefault="0017012C" w:rsidP="00DC3297">
            <w:pPr>
              <w:pStyle w:val="ExhibitText"/>
              <w:jc w:val="right"/>
              <w:rPr>
                <w:lang w:eastAsia="ja-JP"/>
              </w:rPr>
            </w:pPr>
            <w:r w:rsidRPr="00CB1631">
              <w:rPr>
                <w:lang w:eastAsia="ja-JP"/>
              </w:rPr>
              <w:t>1.3</w:t>
            </w:r>
          </w:p>
        </w:tc>
        <w:tc>
          <w:tcPr>
            <w:tcW w:w="865" w:type="dxa"/>
            <w:vAlign w:val="center"/>
            <w:hideMark/>
          </w:tcPr>
          <w:p w14:paraId="5FC47A34" w14:textId="77777777" w:rsidR="0017012C" w:rsidRPr="00CB1631" w:rsidRDefault="0017012C" w:rsidP="00DC3297">
            <w:pPr>
              <w:pStyle w:val="ExhibitText"/>
              <w:jc w:val="right"/>
              <w:rPr>
                <w:lang w:eastAsia="ja-JP"/>
              </w:rPr>
            </w:pPr>
            <w:r w:rsidRPr="00CB1631">
              <w:rPr>
                <w:lang w:eastAsia="ja-JP"/>
              </w:rPr>
              <w:t>1.3</w:t>
            </w:r>
          </w:p>
        </w:tc>
        <w:tc>
          <w:tcPr>
            <w:tcW w:w="865" w:type="dxa"/>
            <w:vAlign w:val="center"/>
            <w:hideMark/>
          </w:tcPr>
          <w:p w14:paraId="0F910040" w14:textId="77777777" w:rsidR="0017012C" w:rsidRPr="00CB1631" w:rsidRDefault="0017012C" w:rsidP="00DC3297">
            <w:pPr>
              <w:pStyle w:val="ExhibitText"/>
              <w:jc w:val="right"/>
              <w:rPr>
                <w:lang w:eastAsia="ja-JP"/>
              </w:rPr>
            </w:pPr>
            <w:r w:rsidRPr="00CB1631">
              <w:rPr>
                <w:lang w:eastAsia="ja-JP"/>
              </w:rPr>
              <w:t>1.2</w:t>
            </w:r>
          </w:p>
        </w:tc>
        <w:tc>
          <w:tcPr>
            <w:tcW w:w="865" w:type="dxa"/>
            <w:vAlign w:val="center"/>
            <w:hideMark/>
          </w:tcPr>
          <w:p w14:paraId="48C3452E" w14:textId="77777777" w:rsidR="0017012C" w:rsidRPr="00CB1631" w:rsidRDefault="0017012C" w:rsidP="00DC3297">
            <w:pPr>
              <w:pStyle w:val="ExhibitText"/>
              <w:jc w:val="right"/>
              <w:rPr>
                <w:lang w:eastAsia="ja-JP"/>
              </w:rPr>
            </w:pPr>
            <w:r w:rsidRPr="00CB1631">
              <w:rPr>
                <w:lang w:eastAsia="ja-JP"/>
              </w:rPr>
              <w:t>1.2</w:t>
            </w:r>
          </w:p>
        </w:tc>
      </w:tr>
      <w:tr w:rsidR="0017012C" w:rsidRPr="00241F40" w14:paraId="0A7CB85C" w14:textId="77777777" w:rsidTr="00DC3297">
        <w:trPr>
          <w:trHeight w:val="288"/>
          <w:jc w:val="center"/>
        </w:trPr>
        <w:tc>
          <w:tcPr>
            <w:tcW w:w="3086" w:type="dxa"/>
            <w:vAlign w:val="center"/>
            <w:hideMark/>
          </w:tcPr>
          <w:p w14:paraId="27C0EF01" w14:textId="6F163C41" w:rsidR="0017012C" w:rsidRPr="00CB1631" w:rsidRDefault="0017012C" w:rsidP="00DC3297">
            <w:pPr>
              <w:pStyle w:val="ExhibitText"/>
              <w:jc w:val="left"/>
              <w:rPr>
                <w:lang w:eastAsia="ja-JP"/>
              </w:rPr>
            </w:pPr>
            <w:r w:rsidRPr="00CB1631">
              <w:rPr>
                <w:lang w:eastAsia="ja-JP"/>
              </w:rPr>
              <w:t>Markecsa SA</w:t>
            </w:r>
            <w:r w:rsidR="005831FD" w:rsidRPr="00CB1631">
              <w:rPr>
                <w:lang w:eastAsia="ja-JP"/>
              </w:rPr>
              <w:t xml:space="preserve"> </w:t>
            </w:r>
          </w:p>
        </w:tc>
        <w:tc>
          <w:tcPr>
            <w:tcW w:w="864" w:type="dxa"/>
            <w:vAlign w:val="center"/>
            <w:hideMark/>
          </w:tcPr>
          <w:p w14:paraId="2F9DD23B" w14:textId="77777777" w:rsidR="0017012C" w:rsidRPr="00CB1631" w:rsidRDefault="0017012C" w:rsidP="00DC3297">
            <w:pPr>
              <w:pStyle w:val="ExhibitText"/>
              <w:jc w:val="right"/>
              <w:rPr>
                <w:lang w:eastAsia="ja-JP"/>
              </w:rPr>
            </w:pPr>
            <w:r w:rsidRPr="00CB1631">
              <w:rPr>
                <w:lang w:eastAsia="ja-JP"/>
              </w:rPr>
              <w:t>0.3</w:t>
            </w:r>
          </w:p>
        </w:tc>
        <w:tc>
          <w:tcPr>
            <w:tcW w:w="865" w:type="dxa"/>
            <w:vAlign w:val="center"/>
            <w:hideMark/>
          </w:tcPr>
          <w:p w14:paraId="5496E53E" w14:textId="77777777" w:rsidR="0017012C" w:rsidRPr="00CB1631" w:rsidRDefault="0017012C" w:rsidP="00DC3297">
            <w:pPr>
              <w:pStyle w:val="ExhibitText"/>
              <w:jc w:val="right"/>
              <w:rPr>
                <w:lang w:eastAsia="ja-JP"/>
              </w:rPr>
            </w:pPr>
            <w:r w:rsidRPr="00CB1631">
              <w:rPr>
                <w:lang w:eastAsia="ja-JP"/>
              </w:rPr>
              <w:t>0.3</w:t>
            </w:r>
          </w:p>
        </w:tc>
        <w:tc>
          <w:tcPr>
            <w:tcW w:w="865" w:type="dxa"/>
            <w:vAlign w:val="center"/>
            <w:hideMark/>
          </w:tcPr>
          <w:p w14:paraId="3BE56420" w14:textId="77777777" w:rsidR="0017012C" w:rsidRPr="00CB1631" w:rsidRDefault="0017012C" w:rsidP="00DC3297">
            <w:pPr>
              <w:pStyle w:val="ExhibitText"/>
              <w:jc w:val="right"/>
              <w:rPr>
                <w:lang w:eastAsia="ja-JP"/>
              </w:rPr>
            </w:pPr>
            <w:r w:rsidRPr="00CB1631">
              <w:rPr>
                <w:lang w:eastAsia="ja-JP"/>
              </w:rPr>
              <w:t>0.3</w:t>
            </w:r>
          </w:p>
        </w:tc>
        <w:tc>
          <w:tcPr>
            <w:tcW w:w="865" w:type="dxa"/>
            <w:vAlign w:val="center"/>
            <w:hideMark/>
          </w:tcPr>
          <w:p w14:paraId="6A3EE8FA" w14:textId="77777777" w:rsidR="0017012C" w:rsidRPr="00CB1631" w:rsidRDefault="0017012C" w:rsidP="00DC3297">
            <w:pPr>
              <w:pStyle w:val="ExhibitText"/>
              <w:jc w:val="right"/>
              <w:rPr>
                <w:lang w:eastAsia="ja-JP"/>
              </w:rPr>
            </w:pPr>
            <w:r w:rsidRPr="00CB1631">
              <w:rPr>
                <w:lang w:eastAsia="ja-JP"/>
              </w:rPr>
              <w:t>0.3</w:t>
            </w:r>
          </w:p>
        </w:tc>
      </w:tr>
      <w:tr w:rsidR="0017012C" w:rsidRPr="00241F40" w14:paraId="37642BFA" w14:textId="77777777" w:rsidTr="00DC3297">
        <w:trPr>
          <w:trHeight w:val="288"/>
          <w:jc w:val="center"/>
        </w:trPr>
        <w:tc>
          <w:tcPr>
            <w:tcW w:w="3086" w:type="dxa"/>
            <w:vAlign w:val="center"/>
            <w:hideMark/>
          </w:tcPr>
          <w:p w14:paraId="6DB9465C" w14:textId="374F7EEB" w:rsidR="0017012C" w:rsidRPr="00CB1631" w:rsidRDefault="0017012C" w:rsidP="00DC3297">
            <w:pPr>
              <w:pStyle w:val="ExhibitText"/>
              <w:jc w:val="left"/>
              <w:rPr>
                <w:lang w:eastAsia="ja-JP"/>
              </w:rPr>
            </w:pPr>
            <w:r w:rsidRPr="00CB1631">
              <w:rPr>
                <w:lang w:eastAsia="ja-JP"/>
              </w:rPr>
              <w:t>Others</w:t>
            </w:r>
            <w:r w:rsidR="005831FD" w:rsidRPr="00CB1631">
              <w:rPr>
                <w:lang w:eastAsia="ja-JP"/>
              </w:rPr>
              <w:t xml:space="preserve"> </w:t>
            </w:r>
          </w:p>
        </w:tc>
        <w:tc>
          <w:tcPr>
            <w:tcW w:w="864" w:type="dxa"/>
            <w:vAlign w:val="center"/>
            <w:hideMark/>
          </w:tcPr>
          <w:p w14:paraId="77CD2650" w14:textId="77777777" w:rsidR="0017012C" w:rsidRPr="00CB1631" w:rsidRDefault="0017012C" w:rsidP="00DC3297">
            <w:pPr>
              <w:pStyle w:val="ExhibitText"/>
              <w:jc w:val="right"/>
              <w:rPr>
                <w:lang w:eastAsia="ja-JP"/>
              </w:rPr>
            </w:pPr>
            <w:r w:rsidRPr="00CB1631">
              <w:rPr>
                <w:lang w:eastAsia="ja-JP"/>
              </w:rPr>
              <w:t>19.0</w:t>
            </w:r>
          </w:p>
        </w:tc>
        <w:tc>
          <w:tcPr>
            <w:tcW w:w="865" w:type="dxa"/>
            <w:vAlign w:val="center"/>
            <w:hideMark/>
          </w:tcPr>
          <w:p w14:paraId="1443C4AD" w14:textId="77777777" w:rsidR="0017012C" w:rsidRPr="00CB1631" w:rsidRDefault="0017012C" w:rsidP="00DC3297">
            <w:pPr>
              <w:pStyle w:val="ExhibitText"/>
              <w:jc w:val="right"/>
              <w:rPr>
                <w:lang w:eastAsia="ja-JP"/>
              </w:rPr>
            </w:pPr>
            <w:r w:rsidRPr="00CB1631">
              <w:rPr>
                <w:lang w:eastAsia="ja-JP"/>
              </w:rPr>
              <w:t>19.4</w:t>
            </w:r>
          </w:p>
        </w:tc>
        <w:tc>
          <w:tcPr>
            <w:tcW w:w="865" w:type="dxa"/>
            <w:vAlign w:val="center"/>
            <w:hideMark/>
          </w:tcPr>
          <w:p w14:paraId="06DCCCD6" w14:textId="77777777" w:rsidR="0017012C" w:rsidRPr="00CB1631" w:rsidRDefault="0017012C" w:rsidP="00DC3297">
            <w:pPr>
              <w:pStyle w:val="ExhibitText"/>
              <w:jc w:val="right"/>
              <w:rPr>
                <w:lang w:eastAsia="ja-JP"/>
              </w:rPr>
            </w:pPr>
            <w:r w:rsidRPr="00CB1631">
              <w:rPr>
                <w:lang w:eastAsia="ja-JP"/>
              </w:rPr>
              <w:t>19.1</w:t>
            </w:r>
          </w:p>
        </w:tc>
        <w:tc>
          <w:tcPr>
            <w:tcW w:w="865" w:type="dxa"/>
            <w:vAlign w:val="center"/>
            <w:hideMark/>
          </w:tcPr>
          <w:p w14:paraId="5FAAD2C1" w14:textId="77777777" w:rsidR="0017012C" w:rsidRPr="00CB1631" w:rsidRDefault="0017012C" w:rsidP="00DC3297">
            <w:pPr>
              <w:pStyle w:val="ExhibitText"/>
              <w:jc w:val="right"/>
              <w:rPr>
                <w:lang w:eastAsia="ja-JP"/>
              </w:rPr>
            </w:pPr>
            <w:r w:rsidRPr="00CB1631">
              <w:rPr>
                <w:lang w:eastAsia="ja-JP"/>
              </w:rPr>
              <w:t>19.0</w:t>
            </w:r>
          </w:p>
        </w:tc>
      </w:tr>
      <w:tr w:rsidR="0017012C" w:rsidRPr="00241F40" w14:paraId="4833447E" w14:textId="77777777" w:rsidTr="00DC3297">
        <w:trPr>
          <w:trHeight w:val="288"/>
          <w:jc w:val="center"/>
        </w:trPr>
        <w:tc>
          <w:tcPr>
            <w:tcW w:w="3086" w:type="dxa"/>
            <w:vAlign w:val="center"/>
            <w:hideMark/>
          </w:tcPr>
          <w:p w14:paraId="18F7E4F3" w14:textId="3B78BBB3" w:rsidR="0017012C" w:rsidRPr="00CB1631" w:rsidRDefault="0017012C" w:rsidP="00DC3297">
            <w:pPr>
              <w:pStyle w:val="ExhibitText"/>
              <w:jc w:val="left"/>
              <w:rPr>
                <w:b/>
                <w:lang w:eastAsia="ja-JP"/>
              </w:rPr>
            </w:pPr>
            <w:r w:rsidRPr="00CB1631">
              <w:rPr>
                <w:b/>
                <w:lang w:eastAsia="ja-JP"/>
              </w:rPr>
              <w:t>Total</w:t>
            </w:r>
            <w:r w:rsidR="005831FD" w:rsidRPr="00CB1631">
              <w:rPr>
                <w:b/>
                <w:lang w:eastAsia="ja-JP"/>
              </w:rPr>
              <w:t xml:space="preserve"> </w:t>
            </w:r>
          </w:p>
        </w:tc>
        <w:tc>
          <w:tcPr>
            <w:tcW w:w="864" w:type="dxa"/>
            <w:vAlign w:val="center"/>
            <w:hideMark/>
          </w:tcPr>
          <w:p w14:paraId="7916EA8F" w14:textId="77777777" w:rsidR="0017012C" w:rsidRPr="00CB1631" w:rsidRDefault="0017012C" w:rsidP="00DC3297">
            <w:pPr>
              <w:pStyle w:val="ExhibitText"/>
              <w:jc w:val="right"/>
              <w:rPr>
                <w:b/>
                <w:lang w:eastAsia="ja-JP"/>
              </w:rPr>
            </w:pPr>
            <w:r w:rsidRPr="00CB1631">
              <w:rPr>
                <w:b/>
                <w:lang w:eastAsia="ja-JP"/>
              </w:rPr>
              <w:t>100.0</w:t>
            </w:r>
          </w:p>
        </w:tc>
        <w:tc>
          <w:tcPr>
            <w:tcW w:w="865" w:type="dxa"/>
            <w:vAlign w:val="center"/>
            <w:hideMark/>
          </w:tcPr>
          <w:p w14:paraId="7F315732" w14:textId="77777777" w:rsidR="0017012C" w:rsidRPr="00CB1631" w:rsidRDefault="0017012C" w:rsidP="00DC3297">
            <w:pPr>
              <w:pStyle w:val="ExhibitText"/>
              <w:jc w:val="right"/>
              <w:rPr>
                <w:b/>
                <w:lang w:eastAsia="ja-JP"/>
              </w:rPr>
            </w:pPr>
            <w:r w:rsidRPr="00CB1631">
              <w:rPr>
                <w:b/>
                <w:lang w:eastAsia="ja-JP"/>
              </w:rPr>
              <w:t>100.0</w:t>
            </w:r>
          </w:p>
        </w:tc>
        <w:tc>
          <w:tcPr>
            <w:tcW w:w="865" w:type="dxa"/>
            <w:vAlign w:val="center"/>
            <w:hideMark/>
          </w:tcPr>
          <w:p w14:paraId="22EB250F" w14:textId="77777777" w:rsidR="0017012C" w:rsidRPr="00CB1631" w:rsidRDefault="0017012C" w:rsidP="00DC3297">
            <w:pPr>
              <w:pStyle w:val="ExhibitText"/>
              <w:jc w:val="right"/>
              <w:rPr>
                <w:b/>
                <w:lang w:eastAsia="ja-JP"/>
              </w:rPr>
            </w:pPr>
            <w:r w:rsidRPr="00CB1631">
              <w:rPr>
                <w:b/>
                <w:lang w:eastAsia="ja-JP"/>
              </w:rPr>
              <w:t>100.0</w:t>
            </w:r>
          </w:p>
        </w:tc>
        <w:tc>
          <w:tcPr>
            <w:tcW w:w="865" w:type="dxa"/>
            <w:vAlign w:val="center"/>
            <w:hideMark/>
          </w:tcPr>
          <w:p w14:paraId="31F968B9" w14:textId="77777777" w:rsidR="0017012C" w:rsidRPr="00CB1631" w:rsidRDefault="0017012C" w:rsidP="00DC3297">
            <w:pPr>
              <w:pStyle w:val="ExhibitText"/>
              <w:jc w:val="right"/>
              <w:rPr>
                <w:b/>
                <w:lang w:eastAsia="ja-JP"/>
              </w:rPr>
            </w:pPr>
            <w:r w:rsidRPr="00CB1631">
              <w:rPr>
                <w:b/>
                <w:lang w:eastAsia="ja-JP"/>
              </w:rPr>
              <w:t>100.0</w:t>
            </w:r>
          </w:p>
        </w:tc>
      </w:tr>
    </w:tbl>
    <w:p w14:paraId="71D773F5" w14:textId="77777777" w:rsidR="0017012C" w:rsidRPr="00241F40" w:rsidRDefault="0017012C" w:rsidP="00FD54D0">
      <w:pPr>
        <w:pStyle w:val="ExhibitText"/>
        <w:rPr>
          <w:lang w:eastAsia="ja-JP"/>
        </w:rPr>
      </w:pPr>
    </w:p>
    <w:p w14:paraId="71886434" w14:textId="69B8A826" w:rsidR="0017012C" w:rsidRPr="00241F40" w:rsidRDefault="0017012C" w:rsidP="005831FD">
      <w:pPr>
        <w:pStyle w:val="Footnote"/>
        <w:outlineLvl w:val="0"/>
        <w:rPr>
          <w:lang w:eastAsia="ja-JP"/>
        </w:rPr>
      </w:pPr>
      <w:r w:rsidRPr="00241F40">
        <w:rPr>
          <w:lang w:eastAsia="ja-JP"/>
        </w:rPr>
        <w:t xml:space="preserve">Source: </w:t>
      </w:r>
      <w:r w:rsidR="000E4DC0" w:rsidRPr="00241F40">
        <w:rPr>
          <w:lang w:eastAsia="ja-JP"/>
        </w:rPr>
        <w:t>“</w:t>
      </w:r>
      <w:r w:rsidR="00F638D2" w:rsidRPr="00241F40">
        <w:rPr>
          <w:lang w:eastAsia="ja-JP"/>
        </w:rPr>
        <w:t>Euromonitor Passport</w:t>
      </w:r>
      <w:r w:rsidR="000E4DC0" w:rsidRPr="00241F40">
        <w:rPr>
          <w:lang w:eastAsia="ja-JP"/>
        </w:rPr>
        <w:t xml:space="preserve">,” </w:t>
      </w:r>
      <w:r w:rsidRPr="00241F40">
        <w:rPr>
          <w:lang w:eastAsia="ja-JP"/>
        </w:rPr>
        <w:t>Euromonitor International</w:t>
      </w:r>
      <w:r w:rsidR="000E4DC0" w:rsidRPr="00241F40">
        <w:rPr>
          <w:lang w:eastAsia="ja-JP"/>
        </w:rPr>
        <w:t xml:space="preserve">, accessed </w:t>
      </w:r>
      <w:r w:rsidR="00F638D2" w:rsidRPr="00241F40">
        <w:rPr>
          <w:lang w:eastAsia="ja-JP"/>
        </w:rPr>
        <w:t>June 16</w:t>
      </w:r>
      <w:r w:rsidR="000E4DC0" w:rsidRPr="00241F40">
        <w:rPr>
          <w:lang w:eastAsia="ja-JP"/>
        </w:rPr>
        <w:t xml:space="preserve">, </w:t>
      </w:r>
      <w:r w:rsidRPr="00241F40">
        <w:rPr>
          <w:lang w:eastAsia="ja-JP"/>
        </w:rPr>
        <w:t>2017</w:t>
      </w:r>
      <w:r w:rsidR="005F2657">
        <w:rPr>
          <w:lang w:eastAsia="ja-JP"/>
        </w:rPr>
        <w:t>,</w:t>
      </w:r>
      <w:r w:rsidR="005F2657" w:rsidRPr="005F2657">
        <w:t xml:space="preserve"> </w:t>
      </w:r>
      <w:r w:rsidR="005F2657" w:rsidRPr="005F2657">
        <w:rPr>
          <w:lang w:eastAsia="ja-JP"/>
        </w:rPr>
        <w:t>https://www.portal.euromonitor.com</w:t>
      </w:r>
    </w:p>
    <w:p w14:paraId="187915CE" w14:textId="77777777" w:rsidR="0017012C" w:rsidRPr="00241F40" w:rsidRDefault="0017012C" w:rsidP="00FD54D0">
      <w:pPr>
        <w:pStyle w:val="ExhibitText"/>
        <w:rPr>
          <w:lang w:eastAsia="ja-JP"/>
        </w:rPr>
      </w:pPr>
    </w:p>
    <w:p w14:paraId="78463D80" w14:textId="77777777" w:rsidR="0017012C" w:rsidRPr="00241F40" w:rsidRDefault="0017012C" w:rsidP="00FD54D0">
      <w:pPr>
        <w:pStyle w:val="ExhibitText"/>
        <w:rPr>
          <w:lang w:eastAsia="ja-JP"/>
        </w:rPr>
      </w:pPr>
    </w:p>
    <w:p w14:paraId="39B24426" w14:textId="0C9B0B28" w:rsidR="0017012C" w:rsidRPr="00241F40" w:rsidRDefault="00210BCC" w:rsidP="004A2F3D">
      <w:pPr>
        <w:pStyle w:val="ExhibitHeading"/>
        <w:keepNext/>
        <w:outlineLvl w:val="0"/>
        <w:rPr>
          <w:lang w:eastAsia="ja-JP"/>
        </w:rPr>
      </w:pPr>
      <w:r>
        <w:rPr>
          <w:lang w:eastAsia="ja-JP"/>
        </w:rPr>
        <w:lastRenderedPageBreak/>
        <w:t>Exhibit 5</w:t>
      </w:r>
      <w:r w:rsidR="000834EC" w:rsidRPr="00241F40">
        <w:rPr>
          <w:lang w:eastAsia="ja-JP"/>
        </w:rPr>
        <w:t xml:space="preserve">: </w:t>
      </w:r>
      <w:r w:rsidR="00EE7D76" w:rsidRPr="00241F40">
        <w:rPr>
          <w:lang w:eastAsia="ja-JP"/>
        </w:rPr>
        <w:t>BRAND SHARES OF COFFEE</w:t>
      </w:r>
      <w:r w:rsidR="003D733F">
        <w:rPr>
          <w:lang w:eastAsia="ja-JP"/>
        </w:rPr>
        <w:t>—</w:t>
      </w:r>
      <w:r w:rsidR="0017012C" w:rsidRPr="00241F40">
        <w:rPr>
          <w:lang w:eastAsia="ja-JP"/>
        </w:rPr>
        <w:t>RETAIL VALUE 2013</w:t>
      </w:r>
      <w:r w:rsidR="003D733F">
        <w:rPr>
          <w:lang w:eastAsia="ja-JP"/>
        </w:rPr>
        <w:t>–</w:t>
      </w:r>
      <w:r w:rsidR="0017012C" w:rsidRPr="00241F40">
        <w:rPr>
          <w:lang w:eastAsia="ja-JP"/>
        </w:rPr>
        <w:t>16</w:t>
      </w:r>
      <w:r w:rsidR="003D733F">
        <w:rPr>
          <w:lang w:eastAsia="ja-JP"/>
        </w:rPr>
        <w:t xml:space="preserve"> (%)</w:t>
      </w:r>
    </w:p>
    <w:p w14:paraId="06ED27F8" w14:textId="77777777" w:rsidR="0017012C" w:rsidRPr="00241F40" w:rsidRDefault="0017012C" w:rsidP="004A2F3D">
      <w:pPr>
        <w:pStyle w:val="ExhibitText"/>
        <w:keepNext/>
        <w:rPr>
          <w:lang w:eastAsia="ja-JP"/>
        </w:rPr>
      </w:pPr>
    </w:p>
    <w:tbl>
      <w:tblPr>
        <w:tblStyle w:val="Tabladecuadrcula1clara1"/>
        <w:tblW w:w="48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0"/>
        <w:gridCol w:w="2884"/>
        <w:gridCol w:w="851"/>
        <w:gridCol w:w="851"/>
        <w:gridCol w:w="851"/>
        <w:gridCol w:w="852"/>
      </w:tblGrid>
      <w:tr w:rsidR="00DC3297" w:rsidRPr="00241F40" w14:paraId="28774722" w14:textId="77777777" w:rsidTr="00210BC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90" w:type="dxa"/>
            <w:tcBorders>
              <w:bottom w:val="single" w:sz="8" w:space="0" w:color="auto"/>
            </w:tcBorders>
            <w:vAlign w:val="center"/>
            <w:hideMark/>
          </w:tcPr>
          <w:p w14:paraId="5323177B" w14:textId="77777777" w:rsidR="0017012C" w:rsidRPr="00241F40" w:rsidRDefault="0017012C" w:rsidP="004A2F3D">
            <w:pPr>
              <w:pStyle w:val="ExhibitText"/>
              <w:keepNext/>
              <w:jc w:val="left"/>
              <w:rPr>
                <w:lang w:eastAsia="ja-JP"/>
              </w:rPr>
            </w:pPr>
          </w:p>
        </w:tc>
        <w:tc>
          <w:tcPr>
            <w:tcW w:w="2884" w:type="dxa"/>
            <w:tcBorders>
              <w:bottom w:val="single" w:sz="8" w:space="0" w:color="auto"/>
            </w:tcBorders>
            <w:vAlign w:val="center"/>
            <w:hideMark/>
          </w:tcPr>
          <w:p w14:paraId="0448A0FB" w14:textId="7F20D833" w:rsidR="0017012C" w:rsidRPr="00241F40" w:rsidRDefault="0017012C" w:rsidP="004A2F3D">
            <w:pPr>
              <w:pStyle w:val="ExhibitText"/>
              <w:keepNext/>
              <w:jc w:val="center"/>
              <w:cnfStyle w:val="100000000000" w:firstRow="1" w:lastRow="0" w:firstColumn="0" w:lastColumn="0" w:oddVBand="0" w:evenVBand="0" w:oddHBand="0" w:evenHBand="0" w:firstRowFirstColumn="0" w:firstRowLastColumn="0" w:lastRowFirstColumn="0" w:lastRowLastColumn="0"/>
              <w:rPr>
                <w:lang w:eastAsia="ja-JP"/>
              </w:rPr>
            </w:pPr>
            <w:r w:rsidRPr="00241F40">
              <w:rPr>
                <w:lang w:eastAsia="ja-JP"/>
              </w:rPr>
              <w:t>Company (NBO</w:t>
            </w:r>
            <w:r w:rsidR="00CB1631">
              <w:rPr>
                <w:lang w:eastAsia="ja-JP"/>
              </w:rPr>
              <w:t>*</w:t>
            </w:r>
            <w:r w:rsidRPr="00241F40">
              <w:rPr>
                <w:lang w:eastAsia="ja-JP"/>
              </w:rPr>
              <w:t>)</w:t>
            </w:r>
          </w:p>
        </w:tc>
        <w:tc>
          <w:tcPr>
            <w:tcW w:w="851" w:type="dxa"/>
            <w:tcBorders>
              <w:bottom w:val="single" w:sz="8" w:space="0" w:color="auto"/>
            </w:tcBorders>
            <w:vAlign w:val="center"/>
            <w:hideMark/>
          </w:tcPr>
          <w:p w14:paraId="715461BF" w14:textId="77777777" w:rsidR="0017012C" w:rsidRPr="00241F40" w:rsidRDefault="0017012C" w:rsidP="004A2F3D">
            <w:pPr>
              <w:pStyle w:val="ExhibitText"/>
              <w:keepNext/>
              <w:jc w:val="center"/>
              <w:cnfStyle w:val="100000000000" w:firstRow="1" w:lastRow="0" w:firstColumn="0" w:lastColumn="0" w:oddVBand="0" w:evenVBand="0" w:oddHBand="0" w:evenHBand="0" w:firstRowFirstColumn="0" w:firstRowLastColumn="0" w:lastRowFirstColumn="0" w:lastRowLastColumn="0"/>
              <w:rPr>
                <w:lang w:eastAsia="ja-JP"/>
              </w:rPr>
            </w:pPr>
            <w:r w:rsidRPr="00241F40">
              <w:rPr>
                <w:lang w:eastAsia="ja-JP"/>
              </w:rPr>
              <w:t>2013</w:t>
            </w:r>
          </w:p>
        </w:tc>
        <w:tc>
          <w:tcPr>
            <w:tcW w:w="851" w:type="dxa"/>
            <w:tcBorders>
              <w:bottom w:val="single" w:sz="8" w:space="0" w:color="auto"/>
            </w:tcBorders>
            <w:vAlign w:val="center"/>
            <w:hideMark/>
          </w:tcPr>
          <w:p w14:paraId="4D36CECD" w14:textId="77777777" w:rsidR="0017012C" w:rsidRPr="00241F40" w:rsidRDefault="0017012C" w:rsidP="004A2F3D">
            <w:pPr>
              <w:pStyle w:val="ExhibitText"/>
              <w:keepNext/>
              <w:jc w:val="center"/>
              <w:cnfStyle w:val="100000000000" w:firstRow="1" w:lastRow="0" w:firstColumn="0" w:lastColumn="0" w:oddVBand="0" w:evenVBand="0" w:oddHBand="0" w:evenHBand="0" w:firstRowFirstColumn="0" w:firstRowLastColumn="0" w:lastRowFirstColumn="0" w:lastRowLastColumn="0"/>
              <w:rPr>
                <w:lang w:eastAsia="ja-JP"/>
              </w:rPr>
            </w:pPr>
            <w:r w:rsidRPr="00241F40">
              <w:rPr>
                <w:lang w:eastAsia="ja-JP"/>
              </w:rPr>
              <w:t>2014</w:t>
            </w:r>
          </w:p>
        </w:tc>
        <w:tc>
          <w:tcPr>
            <w:tcW w:w="851" w:type="dxa"/>
            <w:tcBorders>
              <w:bottom w:val="single" w:sz="8" w:space="0" w:color="auto"/>
            </w:tcBorders>
            <w:vAlign w:val="center"/>
            <w:hideMark/>
          </w:tcPr>
          <w:p w14:paraId="4AA87666" w14:textId="77777777" w:rsidR="0017012C" w:rsidRPr="00241F40" w:rsidRDefault="0017012C" w:rsidP="004A2F3D">
            <w:pPr>
              <w:pStyle w:val="ExhibitText"/>
              <w:keepNext/>
              <w:jc w:val="center"/>
              <w:cnfStyle w:val="100000000000" w:firstRow="1" w:lastRow="0" w:firstColumn="0" w:lastColumn="0" w:oddVBand="0" w:evenVBand="0" w:oddHBand="0" w:evenHBand="0" w:firstRowFirstColumn="0" w:firstRowLastColumn="0" w:lastRowFirstColumn="0" w:lastRowLastColumn="0"/>
              <w:rPr>
                <w:lang w:eastAsia="ja-JP"/>
              </w:rPr>
            </w:pPr>
            <w:r w:rsidRPr="00241F40">
              <w:rPr>
                <w:lang w:eastAsia="ja-JP"/>
              </w:rPr>
              <w:t>2015</w:t>
            </w:r>
          </w:p>
        </w:tc>
        <w:tc>
          <w:tcPr>
            <w:tcW w:w="852" w:type="dxa"/>
            <w:tcBorders>
              <w:bottom w:val="single" w:sz="8" w:space="0" w:color="auto"/>
            </w:tcBorders>
            <w:vAlign w:val="center"/>
            <w:hideMark/>
          </w:tcPr>
          <w:p w14:paraId="3BD2FE6C" w14:textId="77777777" w:rsidR="0017012C" w:rsidRPr="00241F40" w:rsidRDefault="0017012C" w:rsidP="004A2F3D">
            <w:pPr>
              <w:pStyle w:val="ExhibitText"/>
              <w:keepNext/>
              <w:jc w:val="center"/>
              <w:cnfStyle w:val="100000000000" w:firstRow="1" w:lastRow="0" w:firstColumn="0" w:lastColumn="0" w:oddVBand="0" w:evenVBand="0" w:oddHBand="0" w:evenHBand="0" w:firstRowFirstColumn="0" w:firstRowLastColumn="0" w:lastRowFirstColumn="0" w:lastRowLastColumn="0"/>
              <w:rPr>
                <w:lang w:eastAsia="ja-JP"/>
              </w:rPr>
            </w:pPr>
            <w:r w:rsidRPr="00241F40">
              <w:rPr>
                <w:lang w:eastAsia="ja-JP"/>
              </w:rPr>
              <w:t>2016</w:t>
            </w:r>
          </w:p>
        </w:tc>
      </w:tr>
      <w:tr w:rsidR="00DC3297" w:rsidRPr="00241F40" w14:paraId="71A71B5D" w14:textId="77777777" w:rsidTr="00210BCC">
        <w:trPr>
          <w:trHeight w:val="288"/>
          <w:jc w:val="center"/>
        </w:trPr>
        <w:tc>
          <w:tcPr>
            <w:cnfStyle w:val="001000000000" w:firstRow="0" w:lastRow="0" w:firstColumn="1" w:lastColumn="0" w:oddVBand="0" w:evenVBand="0" w:oddHBand="0" w:evenHBand="0" w:firstRowFirstColumn="0" w:firstRowLastColumn="0" w:lastRowFirstColumn="0" w:lastRowLastColumn="0"/>
            <w:tcW w:w="2990" w:type="dxa"/>
            <w:tcBorders>
              <w:top w:val="single" w:sz="8" w:space="0" w:color="auto"/>
            </w:tcBorders>
            <w:vAlign w:val="center"/>
            <w:hideMark/>
          </w:tcPr>
          <w:p w14:paraId="02F0AB49" w14:textId="3307BDAC" w:rsidR="0017012C" w:rsidRPr="00241F40" w:rsidRDefault="0017012C" w:rsidP="003D733F">
            <w:pPr>
              <w:pStyle w:val="ExhibitText"/>
              <w:keepNext/>
              <w:jc w:val="left"/>
              <w:rPr>
                <w:lang w:eastAsia="ja-JP"/>
              </w:rPr>
            </w:pPr>
            <w:r w:rsidRPr="00241F40">
              <w:rPr>
                <w:lang w:eastAsia="ja-JP"/>
              </w:rPr>
              <w:t>Don</w:t>
            </w:r>
            <w:r w:rsidR="003D733F">
              <w:rPr>
                <w:lang w:eastAsia="ja-JP"/>
              </w:rPr>
              <w:t xml:space="preserve"> C</w:t>
            </w:r>
            <w:r w:rsidRPr="00241F40">
              <w:rPr>
                <w:lang w:eastAsia="ja-JP"/>
              </w:rPr>
              <w:t xml:space="preserve">afé </w:t>
            </w:r>
          </w:p>
        </w:tc>
        <w:tc>
          <w:tcPr>
            <w:tcW w:w="2884" w:type="dxa"/>
            <w:tcBorders>
              <w:top w:val="single" w:sz="8" w:space="0" w:color="auto"/>
            </w:tcBorders>
            <w:vAlign w:val="center"/>
            <w:hideMark/>
          </w:tcPr>
          <w:p w14:paraId="65E7D161" w14:textId="4B04358B" w:rsidR="0017012C" w:rsidRPr="00241F40" w:rsidRDefault="0017012C" w:rsidP="001A04AD">
            <w:pPr>
              <w:pStyle w:val="ExhibitText"/>
              <w:keepNext/>
              <w:jc w:val="left"/>
              <w:cnfStyle w:val="000000000000" w:firstRow="0" w:lastRow="0" w:firstColumn="0" w:lastColumn="0" w:oddVBand="0" w:evenVBand="0" w:oddHBand="0" w:evenHBand="0" w:firstRowFirstColumn="0" w:firstRowLastColumn="0" w:lastRowFirstColumn="0" w:lastRowLastColumn="0"/>
              <w:rPr>
                <w:b/>
                <w:lang w:eastAsia="ja-JP"/>
              </w:rPr>
            </w:pPr>
            <w:r w:rsidRPr="00241F40">
              <w:rPr>
                <w:b/>
                <w:lang w:eastAsia="ja-JP"/>
              </w:rPr>
              <w:t>Solubles Inst</w:t>
            </w:r>
            <w:r w:rsidR="003D733F">
              <w:rPr>
                <w:b/>
                <w:lang w:eastAsia="ja-JP"/>
              </w:rPr>
              <w:t>antaneos</w:t>
            </w:r>
            <w:r w:rsidRPr="00241F40">
              <w:rPr>
                <w:b/>
                <w:lang w:eastAsia="ja-JP"/>
              </w:rPr>
              <w:t xml:space="preserve"> CA</w:t>
            </w:r>
          </w:p>
        </w:tc>
        <w:tc>
          <w:tcPr>
            <w:tcW w:w="851" w:type="dxa"/>
            <w:tcBorders>
              <w:top w:val="single" w:sz="8" w:space="0" w:color="auto"/>
            </w:tcBorders>
            <w:vAlign w:val="center"/>
            <w:hideMark/>
          </w:tcPr>
          <w:p w14:paraId="0958697C"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20.0</w:t>
            </w:r>
          </w:p>
        </w:tc>
        <w:tc>
          <w:tcPr>
            <w:tcW w:w="851" w:type="dxa"/>
            <w:tcBorders>
              <w:top w:val="single" w:sz="8" w:space="0" w:color="auto"/>
            </w:tcBorders>
            <w:vAlign w:val="center"/>
            <w:hideMark/>
          </w:tcPr>
          <w:p w14:paraId="1FD36C1A"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19.8</w:t>
            </w:r>
          </w:p>
        </w:tc>
        <w:tc>
          <w:tcPr>
            <w:tcW w:w="851" w:type="dxa"/>
            <w:tcBorders>
              <w:top w:val="single" w:sz="8" w:space="0" w:color="auto"/>
            </w:tcBorders>
            <w:vAlign w:val="center"/>
            <w:hideMark/>
          </w:tcPr>
          <w:p w14:paraId="0CE6E1D0"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19.8</w:t>
            </w:r>
          </w:p>
        </w:tc>
        <w:tc>
          <w:tcPr>
            <w:tcW w:w="852" w:type="dxa"/>
            <w:tcBorders>
              <w:top w:val="single" w:sz="8" w:space="0" w:color="auto"/>
            </w:tcBorders>
            <w:vAlign w:val="center"/>
            <w:hideMark/>
          </w:tcPr>
          <w:p w14:paraId="10719D2A"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20.0</w:t>
            </w:r>
          </w:p>
        </w:tc>
      </w:tr>
      <w:tr w:rsidR="00DC3297" w:rsidRPr="00241F40" w14:paraId="0411CDAF" w14:textId="77777777" w:rsidTr="00210BCC">
        <w:trPr>
          <w:trHeight w:val="288"/>
          <w:jc w:val="center"/>
        </w:trPr>
        <w:tc>
          <w:tcPr>
            <w:cnfStyle w:val="001000000000" w:firstRow="0" w:lastRow="0" w:firstColumn="1" w:lastColumn="0" w:oddVBand="0" w:evenVBand="0" w:oddHBand="0" w:evenHBand="0" w:firstRowFirstColumn="0" w:firstRowLastColumn="0" w:lastRowFirstColumn="0" w:lastRowLastColumn="0"/>
            <w:tcW w:w="2990" w:type="dxa"/>
            <w:vAlign w:val="center"/>
            <w:hideMark/>
          </w:tcPr>
          <w:p w14:paraId="32D1A716" w14:textId="31B7CAD3" w:rsidR="0017012C" w:rsidRPr="00241F40" w:rsidRDefault="0017012C" w:rsidP="004A2F3D">
            <w:pPr>
              <w:pStyle w:val="ExhibitText"/>
              <w:keepNext/>
              <w:jc w:val="left"/>
              <w:rPr>
                <w:b w:val="0"/>
                <w:lang w:eastAsia="ja-JP"/>
              </w:rPr>
            </w:pPr>
            <w:r w:rsidRPr="00241F40">
              <w:rPr>
                <w:b w:val="0"/>
                <w:lang w:eastAsia="ja-JP"/>
              </w:rPr>
              <w:t>Nescafé (Nestlé SA)</w:t>
            </w:r>
            <w:r w:rsidR="005831FD" w:rsidRPr="00241F40">
              <w:rPr>
                <w:b w:val="0"/>
                <w:lang w:eastAsia="ja-JP"/>
              </w:rPr>
              <w:t xml:space="preserve"> </w:t>
            </w:r>
          </w:p>
        </w:tc>
        <w:tc>
          <w:tcPr>
            <w:tcW w:w="2884" w:type="dxa"/>
            <w:vAlign w:val="center"/>
            <w:hideMark/>
          </w:tcPr>
          <w:p w14:paraId="3003CAD7" w14:textId="77777777" w:rsidR="0017012C" w:rsidRPr="00241F40" w:rsidRDefault="0017012C" w:rsidP="004A2F3D">
            <w:pPr>
              <w:pStyle w:val="ExhibitText"/>
              <w:keepNext/>
              <w:jc w:val="lef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Nestlé Ecuador SA</w:t>
            </w:r>
          </w:p>
        </w:tc>
        <w:tc>
          <w:tcPr>
            <w:tcW w:w="851" w:type="dxa"/>
            <w:vAlign w:val="center"/>
            <w:hideMark/>
          </w:tcPr>
          <w:p w14:paraId="1C895766"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17.8</w:t>
            </w:r>
          </w:p>
        </w:tc>
        <w:tc>
          <w:tcPr>
            <w:tcW w:w="851" w:type="dxa"/>
            <w:vAlign w:val="center"/>
            <w:hideMark/>
          </w:tcPr>
          <w:p w14:paraId="5BEAADDC"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18.4</w:t>
            </w:r>
          </w:p>
        </w:tc>
        <w:tc>
          <w:tcPr>
            <w:tcW w:w="851" w:type="dxa"/>
            <w:vAlign w:val="center"/>
            <w:hideMark/>
          </w:tcPr>
          <w:p w14:paraId="551CA78A"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18.9</w:t>
            </w:r>
          </w:p>
        </w:tc>
        <w:tc>
          <w:tcPr>
            <w:tcW w:w="852" w:type="dxa"/>
            <w:vAlign w:val="center"/>
            <w:hideMark/>
          </w:tcPr>
          <w:p w14:paraId="47543213"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18.7</w:t>
            </w:r>
          </w:p>
        </w:tc>
      </w:tr>
      <w:tr w:rsidR="00DC3297" w:rsidRPr="00241F40" w14:paraId="10372574" w14:textId="77777777" w:rsidTr="00210BCC">
        <w:trPr>
          <w:trHeight w:val="288"/>
          <w:jc w:val="center"/>
        </w:trPr>
        <w:tc>
          <w:tcPr>
            <w:cnfStyle w:val="001000000000" w:firstRow="0" w:lastRow="0" w:firstColumn="1" w:lastColumn="0" w:oddVBand="0" w:evenVBand="0" w:oddHBand="0" w:evenHBand="0" w:firstRowFirstColumn="0" w:firstRowLastColumn="0" w:lastRowFirstColumn="0" w:lastRowLastColumn="0"/>
            <w:tcW w:w="2990" w:type="dxa"/>
            <w:vAlign w:val="center"/>
            <w:hideMark/>
          </w:tcPr>
          <w:p w14:paraId="3A0C70B1" w14:textId="0455DC23" w:rsidR="0017012C" w:rsidRPr="00241F40" w:rsidRDefault="0017012C" w:rsidP="004A2F3D">
            <w:pPr>
              <w:pStyle w:val="ExhibitText"/>
              <w:keepNext/>
              <w:jc w:val="left"/>
              <w:rPr>
                <w:b w:val="0"/>
                <w:lang w:eastAsia="ja-JP"/>
              </w:rPr>
            </w:pPr>
            <w:r w:rsidRPr="00241F40">
              <w:rPr>
                <w:b w:val="0"/>
                <w:lang w:eastAsia="ja-JP"/>
              </w:rPr>
              <w:t>Si Café</w:t>
            </w:r>
            <w:r w:rsidR="005831FD" w:rsidRPr="00241F40">
              <w:rPr>
                <w:b w:val="0"/>
                <w:lang w:eastAsia="ja-JP"/>
              </w:rPr>
              <w:t xml:space="preserve"> </w:t>
            </w:r>
          </w:p>
        </w:tc>
        <w:tc>
          <w:tcPr>
            <w:tcW w:w="2884" w:type="dxa"/>
            <w:vAlign w:val="center"/>
            <w:hideMark/>
          </w:tcPr>
          <w:p w14:paraId="0A4C0009" w14:textId="77777777" w:rsidR="0017012C" w:rsidRPr="00241F40" w:rsidRDefault="0017012C" w:rsidP="004A2F3D">
            <w:pPr>
              <w:pStyle w:val="ExhibitText"/>
              <w:keepNext/>
              <w:jc w:val="lef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El Café CA</w:t>
            </w:r>
          </w:p>
        </w:tc>
        <w:tc>
          <w:tcPr>
            <w:tcW w:w="851" w:type="dxa"/>
            <w:vAlign w:val="center"/>
            <w:hideMark/>
          </w:tcPr>
          <w:p w14:paraId="20AA028F"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9.8</w:t>
            </w:r>
          </w:p>
        </w:tc>
        <w:tc>
          <w:tcPr>
            <w:tcW w:w="851" w:type="dxa"/>
            <w:vAlign w:val="center"/>
            <w:hideMark/>
          </w:tcPr>
          <w:p w14:paraId="3530DEA6"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9.5</w:t>
            </w:r>
          </w:p>
        </w:tc>
        <w:tc>
          <w:tcPr>
            <w:tcW w:w="851" w:type="dxa"/>
            <w:vAlign w:val="center"/>
            <w:hideMark/>
          </w:tcPr>
          <w:p w14:paraId="2EDA50B6"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9.3</w:t>
            </w:r>
          </w:p>
        </w:tc>
        <w:tc>
          <w:tcPr>
            <w:tcW w:w="852" w:type="dxa"/>
            <w:vAlign w:val="center"/>
            <w:hideMark/>
          </w:tcPr>
          <w:p w14:paraId="085717C2"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9.4</w:t>
            </w:r>
          </w:p>
        </w:tc>
      </w:tr>
      <w:tr w:rsidR="00DC3297" w:rsidRPr="00241F40" w14:paraId="574DB4CE" w14:textId="77777777" w:rsidTr="00210BCC">
        <w:trPr>
          <w:trHeight w:val="288"/>
          <w:jc w:val="center"/>
        </w:trPr>
        <w:tc>
          <w:tcPr>
            <w:cnfStyle w:val="001000000000" w:firstRow="0" w:lastRow="0" w:firstColumn="1" w:lastColumn="0" w:oddVBand="0" w:evenVBand="0" w:oddHBand="0" w:evenHBand="0" w:firstRowFirstColumn="0" w:firstRowLastColumn="0" w:lastRowFirstColumn="0" w:lastRowLastColumn="0"/>
            <w:tcW w:w="2990" w:type="dxa"/>
            <w:vAlign w:val="center"/>
            <w:hideMark/>
          </w:tcPr>
          <w:p w14:paraId="2EA47A8E" w14:textId="0AD63E68" w:rsidR="0017012C" w:rsidRPr="00241F40" w:rsidRDefault="0017012C" w:rsidP="004A2F3D">
            <w:pPr>
              <w:pStyle w:val="ExhibitText"/>
              <w:keepNext/>
              <w:jc w:val="left"/>
              <w:rPr>
                <w:b w:val="0"/>
                <w:lang w:eastAsia="ja-JP"/>
              </w:rPr>
            </w:pPr>
            <w:r w:rsidRPr="00241F40">
              <w:rPr>
                <w:b w:val="0"/>
                <w:lang w:eastAsia="ja-JP"/>
              </w:rPr>
              <w:t>Pres 2</w:t>
            </w:r>
            <w:r w:rsidR="005831FD" w:rsidRPr="00241F40">
              <w:rPr>
                <w:b w:val="0"/>
                <w:lang w:eastAsia="ja-JP"/>
              </w:rPr>
              <w:t xml:space="preserve"> </w:t>
            </w:r>
          </w:p>
        </w:tc>
        <w:tc>
          <w:tcPr>
            <w:tcW w:w="2884" w:type="dxa"/>
            <w:vAlign w:val="center"/>
            <w:hideMark/>
          </w:tcPr>
          <w:p w14:paraId="76FE61E4" w14:textId="77777777" w:rsidR="0017012C" w:rsidRPr="00241F40" w:rsidRDefault="0017012C" w:rsidP="004A2F3D">
            <w:pPr>
              <w:pStyle w:val="ExhibitText"/>
              <w:keepNext/>
              <w:jc w:val="lef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El Café CA</w:t>
            </w:r>
          </w:p>
        </w:tc>
        <w:tc>
          <w:tcPr>
            <w:tcW w:w="851" w:type="dxa"/>
            <w:vAlign w:val="center"/>
            <w:hideMark/>
          </w:tcPr>
          <w:p w14:paraId="17FE4C89"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9.4</w:t>
            </w:r>
          </w:p>
        </w:tc>
        <w:tc>
          <w:tcPr>
            <w:tcW w:w="851" w:type="dxa"/>
            <w:vAlign w:val="center"/>
            <w:hideMark/>
          </w:tcPr>
          <w:p w14:paraId="11CADC0B"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9.0</w:t>
            </w:r>
          </w:p>
        </w:tc>
        <w:tc>
          <w:tcPr>
            <w:tcW w:w="851" w:type="dxa"/>
            <w:vAlign w:val="center"/>
            <w:hideMark/>
          </w:tcPr>
          <w:p w14:paraId="2E685548"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8.9</w:t>
            </w:r>
          </w:p>
        </w:tc>
        <w:tc>
          <w:tcPr>
            <w:tcW w:w="852" w:type="dxa"/>
            <w:vAlign w:val="center"/>
            <w:hideMark/>
          </w:tcPr>
          <w:p w14:paraId="739C8957"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9.0</w:t>
            </w:r>
          </w:p>
        </w:tc>
      </w:tr>
      <w:tr w:rsidR="00DC3297" w:rsidRPr="00241F40" w14:paraId="5664A112" w14:textId="77777777" w:rsidTr="00210BCC">
        <w:trPr>
          <w:trHeight w:val="288"/>
          <w:jc w:val="center"/>
        </w:trPr>
        <w:tc>
          <w:tcPr>
            <w:cnfStyle w:val="001000000000" w:firstRow="0" w:lastRow="0" w:firstColumn="1" w:lastColumn="0" w:oddVBand="0" w:evenVBand="0" w:oddHBand="0" w:evenHBand="0" w:firstRowFirstColumn="0" w:firstRowLastColumn="0" w:lastRowFirstColumn="0" w:lastRowLastColumn="0"/>
            <w:tcW w:w="2990" w:type="dxa"/>
            <w:vAlign w:val="center"/>
            <w:hideMark/>
          </w:tcPr>
          <w:p w14:paraId="5B1E39BF" w14:textId="161BF511" w:rsidR="0017012C" w:rsidRPr="00241F40" w:rsidRDefault="0017012C" w:rsidP="004A2F3D">
            <w:pPr>
              <w:pStyle w:val="ExhibitText"/>
              <w:keepNext/>
              <w:jc w:val="left"/>
              <w:rPr>
                <w:b w:val="0"/>
                <w:lang w:eastAsia="ja-JP"/>
              </w:rPr>
            </w:pPr>
            <w:r w:rsidRPr="00241F40">
              <w:rPr>
                <w:b w:val="0"/>
                <w:lang w:eastAsia="ja-JP"/>
              </w:rPr>
              <w:t>Dolca (Nestlé SA)</w:t>
            </w:r>
            <w:r w:rsidR="005831FD" w:rsidRPr="00241F40">
              <w:rPr>
                <w:b w:val="0"/>
                <w:lang w:eastAsia="ja-JP"/>
              </w:rPr>
              <w:t xml:space="preserve"> </w:t>
            </w:r>
          </w:p>
        </w:tc>
        <w:tc>
          <w:tcPr>
            <w:tcW w:w="2884" w:type="dxa"/>
            <w:vAlign w:val="center"/>
            <w:hideMark/>
          </w:tcPr>
          <w:p w14:paraId="319A3858" w14:textId="77777777" w:rsidR="0017012C" w:rsidRPr="00241F40" w:rsidRDefault="0017012C" w:rsidP="004A2F3D">
            <w:pPr>
              <w:pStyle w:val="ExhibitText"/>
              <w:keepNext/>
              <w:jc w:val="lef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Nestlé Ecuador SA</w:t>
            </w:r>
          </w:p>
        </w:tc>
        <w:tc>
          <w:tcPr>
            <w:tcW w:w="851" w:type="dxa"/>
            <w:vAlign w:val="center"/>
            <w:hideMark/>
          </w:tcPr>
          <w:p w14:paraId="0470474A"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7.2</w:t>
            </w:r>
          </w:p>
        </w:tc>
        <w:tc>
          <w:tcPr>
            <w:tcW w:w="851" w:type="dxa"/>
            <w:vAlign w:val="center"/>
            <w:hideMark/>
          </w:tcPr>
          <w:p w14:paraId="626B81A7"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7.2</w:t>
            </w:r>
          </w:p>
        </w:tc>
        <w:tc>
          <w:tcPr>
            <w:tcW w:w="851" w:type="dxa"/>
            <w:vAlign w:val="center"/>
            <w:hideMark/>
          </w:tcPr>
          <w:p w14:paraId="5159BE1B"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7.2</w:t>
            </w:r>
          </w:p>
        </w:tc>
        <w:tc>
          <w:tcPr>
            <w:tcW w:w="852" w:type="dxa"/>
            <w:vAlign w:val="center"/>
            <w:hideMark/>
          </w:tcPr>
          <w:p w14:paraId="7ADEF4DC"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7.2</w:t>
            </w:r>
          </w:p>
        </w:tc>
      </w:tr>
      <w:tr w:rsidR="00DC3297" w:rsidRPr="00241F40" w14:paraId="04D0410F" w14:textId="77777777" w:rsidTr="00210BCC">
        <w:trPr>
          <w:trHeight w:val="288"/>
          <w:jc w:val="center"/>
        </w:trPr>
        <w:tc>
          <w:tcPr>
            <w:cnfStyle w:val="001000000000" w:firstRow="0" w:lastRow="0" w:firstColumn="1" w:lastColumn="0" w:oddVBand="0" w:evenVBand="0" w:oddHBand="0" w:evenHBand="0" w:firstRowFirstColumn="0" w:firstRowLastColumn="0" w:lastRowFirstColumn="0" w:lastRowLastColumn="0"/>
            <w:tcW w:w="2990" w:type="dxa"/>
            <w:vAlign w:val="center"/>
            <w:hideMark/>
          </w:tcPr>
          <w:p w14:paraId="6D8400D5" w14:textId="7F98C46C" w:rsidR="0017012C" w:rsidRPr="00241F40" w:rsidRDefault="0017012C" w:rsidP="004A2F3D">
            <w:pPr>
              <w:pStyle w:val="ExhibitText"/>
              <w:keepNext/>
              <w:jc w:val="left"/>
              <w:rPr>
                <w:b w:val="0"/>
                <w:lang w:eastAsia="ja-JP"/>
              </w:rPr>
            </w:pPr>
            <w:r w:rsidRPr="00241F40">
              <w:rPr>
                <w:b w:val="0"/>
                <w:lang w:eastAsia="ja-JP"/>
              </w:rPr>
              <w:t>Café Buendía (Colombia)</w:t>
            </w:r>
            <w:r w:rsidR="005831FD" w:rsidRPr="00241F40">
              <w:rPr>
                <w:b w:val="0"/>
                <w:lang w:eastAsia="ja-JP"/>
              </w:rPr>
              <w:t xml:space="preserve"> </w:t>
            </w:r>
          </w:p>
        </w:tc>
        <w:tc>
          <w:tcPr>
            <w:tcW w:w="2884" w:type="dxa"/>
            <w:vAlign w:val="center"/>
            <w:hideMark/>
          </w:tcPr>
          <w:p w14:paraId="7C20EEA6" w14:textId="77777777" w:rsidR="0017012C" w:rsidRPr="00241F40" w:rsidRDefault="0017012C" w:rsidP="004A2F3D">
            <w:pPr>
              <w:pStyle w:val="ExhibitText"/>
              <w:keepNext/>
              <w:jc w:val="lef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Pydaco Cia Ltda</w:t>
            </w:r>
          </w:p>
        </w:tc>
        <w:tc>
          <w:tcPr>
            <w:tcW w:w="851" w:type="dxa"/>
            <w:vAlign w:val="center"/>
            <w:hideMark/>
          </w:tcPr>
          <w:p w14:paraId="16705F80"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6.8</w:t>
            </w:r>
          </w:p>
        </w:tc>
        <w:tc>
          <w:tcPr>
            <w:tcW w:w="851" w:type="dxa"/>
            <w:vAlign w:val="center"/>
            <w:hideMark/>
          </w:tcPr>
          <w:p w14:paraId="700C7B74"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6.8</w:t>
            </w:r>
          </w:p>
        </w:tc>
        <w:tc>
          <w:tcPr>
            <w:tcW w:w="851" w:type="dxa"/>
            <w:vAlign w:val="center"/>
            <w:hideMark/>
          </w:tcPr>
          <w:p w14:paraId="29E8F5B2"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6.7</w:t>
            </w:r>
          </w:p>
        </w:tc>
        <w:tc>
          <w:tcPr>
            <w:tcW w:w="852" w:type="dxa"/>
            <w:vAlign w:val="center"/>
            <w:hideMark/>
          </w:tcPr>
          <w:p w14:paraId="69267E82"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6.8</w:t>
            </w:r>
          </w:p>
        </w:tc>
      </w:tr>
      <w:tr w:rsidR="00DC3297" w:rsidRPr="00241F40" w14:paraId="60EAFCAF" w14:textId="77777777" w:rsidTr="00210BCC">
        <w:trPr>
          <w:trHeight w:val="288"/>
          <w:jc w:val="center"/>
        </w:trPr>
        <w:tc>
          <w:tcPr>
            <w:cnfStyle w:val="001000000000" w:firstRow="0" w:lastRow="0" w:firstColumn="1" w:lastColumn="0" w:oddVBand="0" w:evenVBand="0" w:oddHBand="0" w:evenHBand="0" w:firstRowFirstColumn="0" w:firstRowLastColumn="0" w:lastRowFirstColumn="0" w:lastRowLastColumn="0"/>
            <w:tcW w:w="2990" w:type="dxa"/>
            <w:vAlign w:val="center"/>
            <w:hideMark/>
          </w:tcPr>
          <w:p w14:paraId="445C8B48" w14:textId="7A273629" w:rsidR="0017012C" w:rsidRPr="00241F40" w:rsidRDefault="0017012C" w:rsidP="004A2F3D">
            <w:pPr>
              <w:pStyle w:val="ExhibitText"/>
              <w:keepNext/>
              <w:jc w:val="left"/>
              <w:rPr>
                <w:b w:val="0"/>
                <w:lang w:eastAsia="ja-JP"/>
              </w:rPr>
            </w:pPr>
            <w:r w:rsidRPr="00241F40">
              <w:rPr>
                <w:b w:val="0"/>
                <w:lang w:eastAsia="ja-JP"/>
              </w:rPr>
              <w:t>Colcafé (Grupo Nutresa SA)</w:t>
            </w:r>
            <w:r w:rsidR="005831FD" w:rsidRPr="00241F40">
              <w:rPr>
                <w:b w:val="0"/>
                <w:lang w:eastAsia="ja-JP"/>
              </w:rPr>
              <w:t xml:space="preserve"> </w:t>
            </w:r>
          </w:p>
        </w:tc>
        <w:tc>
          <w:tcPr>
            <w:tcW w:w="2884" w:type="dxa"/>
            <w:vAlign w:val="center"/>
            <w:hideMark/>
          </w:tcPr>
          <w:p w14:paraId="2D5810CA" w14:textId="77777777" w:rsidR="0017012C" w:rsidRPr="00241F40" w:rsidRDefault="0017012C" w:rsidP="004A2F3D">
            <w:pPr>
              <w:pStyle w:val="ExhibitText"/>
              <w:keepNext/>
              <w:jc w:val="lef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Colcafé SA</w:t>
            </w:r>
          </w:p>
        </w:tc>
        <w:tc>
          <w:tcPr>
            <w:tcW w:w="851" w:type="dxa"/>
            <w:vAlign w:val="center"/>
            <w:hideMark/>
          </w:tcPr>
          <w:p w14:paraId="2688E1BD"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5.5</w:t>
            </w:r>
          </w:p>
        </w:tc>
        <w:tc>
          <w:tcPr>
            <w:tcW w:w="851" w:type="dxa"/>
            <w:vAlign w:val="center"/>
            <w:hideMark/>
          </w:tcPr>
          <w:p w14:paraId="6C48C6A8"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5.5</w:t>
            </w:r>
          </w:p>
        </w:tc>
        <w:tc>
          <w:tcPr>
            <w:tcW w:w="851" w:type="dxa"/>
            <w:vAlign w:val="center"/>
            <w:hideMark/>
          </w:tcPr>
          <w:p w14:paraId="3EFA014F"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5.5</w:t>
            </w:r>
          </w:p>
        </w:tc>
        <w:tc>
          <w:tcPr>
            <w:tcW w:w="852" w:type="dxa"/>
            <w:vAlign w:val="center"/>
            <w:hideMark/>
          </w:tcPr>
          <w:p w14:paraId="18110B4B"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5.5</w:t>
            </w:r>
          </w:p>
        </w:tc>
      </w:tr>
      <w:tr w:rsidR="00DC3297" w:rsidRPr="00241F40" w14:paraId="044AAA3A" w14:textId="77777777" w:rsidTr="00210BCC">
        <w:trPr>
          <w:trHeight w:val="288"/>
          <w:jc w:val="center"/>
        </w:trPr>
        <w:tc>
          <w:tcPr>
            <w:cnfStyle w:val="001000000000" w:firstRow="0" w:lastRow="0" w:firstColumn="1" w:lastColumn="0" w:oddVBand="0" w:evenVBand="0" w:oddHBand="0" w:evenHBand="0" w:firstRowFirstColumn="0" w:firstRowLastColumn="0" w:lastRowFirstColumn="0" w:lastRowLastColumn="0"/>
            <w:tcW w:w="2990" w:type="dxa"/>
            <w:vAlign w:val="center"/>
            <w:hideMark/>
          </w:tcPr>
          <w:p w14:paraId="31ECA782" w14:textId="77777777" w:rsidR="0017012C" w:rsidRPr="00241F40" w:rsidRDefault="0017012C" w:rsidP="004A2F3D">
            <w:pPr>
              <w:pStyle w:val="ExhibitText"/>
              <w:keepNext/>
              <w:jc w:val="left"/>
              <w:rPr>
                <w:lang w:eastAsia="ja-JP"/>
              </w:rPr>
            </w:pPr>
            <w:r w:rsidRPr="00241F40">
              <w:rPr>
                <w:lang w:eastAsia="ja-JP"/>
              </w:rPr>
              <w:t xml:space="preserve">Café Oro </w:t>
            </w:r>
          </w:p>
        </w:tc>
        <w:tc>
          <w:tcPr>
            <w:tcW w:w="2884" w:type="dxa"/>
            <w:vAlign w:val="center"/>
            <w:hideMark/>
          </w:tcPr>
          <w:p w14:paraId="5EE2E936" w14:textId="7B86E8F7" w:rsidR="0017012C" w:rsidRPr="00241F40" w:rsidRDefault="0017012C" w:rsidP="001A04AD">
            <w:pPr>
              <w:pStyle w:val="ExhibitText"/>
              <w:keepNext/>
              <w:jc w:val="left"/>
              <w:cnfStyle w:val="000000000000" w:firstRow="0" w:lastRow="0" w:firstColumn="0" w:lastColumn="0" w:oddVBand="0" w:evenVBand="0" w:oddHBand="0" w:evenHBand="0" w:firstRowFirstColumn="0" w:firstRowLastColumn="0" w:lastRowFirstColumn="0" w:lastRowLastColumn="0"/>
              <w:rPr>
                <w:b/>
                <w:lang w:eastAsia="ja-JP"/>
              </w:rPr>
            </w:pPr>
            <w:r w:rsidRPr="00241F40">
              <w:rPr>
                <w:b/>
                <w:lang w:eastAsia="ja-JP"/>
              </w:rPr>
              <w:t>Solubles Inst</w:t>
            </w:r>
            <w:r w:rsidR="003D733F">
              <w:rPr>
                <w:b/>
                <w:lang w:eastAsia="ja-JP"/>
              </w:rPr>
              <w:t>antaneos</w:t>
            </w:r>
            <w:r w:rsidRPr="00241F40">
              <w:rPr>
                <w:b/>
                <w:lang w:eastAsia="ja-JP"/>
              </w:rPr>
              <w:t xml:space="preserve"> CA</w:t>
            </w:r>
          </w:p>
        </w:tc>
        <w:tc>
          <w:tcPr>
            <w:tcW w:w="851" w:type="dxa"/>
            <w:vAlign w:val="center"/>
            <w:hideMark/>
          </w:tcPr>
          <w:p w14:paraId="4219A54B"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2.0</w:t>
            </w:r>
          </w:p>
        </w:tc>
        <w:tc>
          <w:tcPr>
            <w:tcW w:w="851" w:type="dxa"/>
            <w:vAlign w:val="center"/>
            <w:hideMark/>
          </w:tcPr>
          <w:p w14:paraId="6CE6FE91"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2.1</w:t>
            </w:r>
          </w:p>
        </w:tc>
        <w:tc>
          <w:tcPr>
            <w:tcW w:w="851" w:type="dxa"/>
            <w:vAlign w:val="center"/>
            <w:hideMark/>
          </w:tcPr>
          <w:p w14:paraId="74C0F616"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2.2</w:t>
            </w:r>
          </w:p>
        </w:tc>
        <w:tc>
          <w:tcPr>
            <w:tcW w:w="852" w:type="dxa"/>
            <w:vAlign w:val="center"/>
            <w:hideMark/>
          </w:tcPr>
          <w:p w14:paraId="29AD9C1C"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2.1</w:t>
            </w:r>
          </w:p>
        </w:tc>
      </w:tr>
      <w:tr w:rsidR="00DC3297" w:rsidRPr="00241F40" w14:paraId="4C15E8CD" w14:textId="77777777" w:rsidTr="00210BCC">
        <w:trPr>
          <w:trHeight w:val="288"/>
          <w:jc w:val="center"/>
        </w:trPr>
        <w:tc>
          <w:tcPr>
            <w:cnfStyle w:val="001000000000" w:firstRow="0" w:lastRow="0" w:firstColumn="1" w:lastColumn="0" w:oddVBand="0" w:evenVBand="0" w:oddHBand="0" w:evenHBand="0" w:firstRowFirstColumn="0" w:firstRowLastColumn="0" w:lastRowFirstColumn="0" w:lastRowLastColumn="0"/>
            <w:tcW w:w="2990" w:type="dxa"/>
            <w:vAlign w:val="center"/>
            <w:hideMark/>
          </w:tcPr>
          <w:p w14:paraId="3F71348F" w14:textId="6C501D3D" w:rsidR="0017012C" w:rsidRPr="00241F40" w:rsidRDefault="0017012C" w:rsidP="004A2F3D">
            <w:pPr>
              <w:pStyle w:val="ExhibitText"/>
              <w:keepNext/>
              <w:jc w:val="left"/>
              <w:rPr>
                <w:b w:val="0"/>
                <w:lang w:eastAsia="ja-JP"/>
              </w:rPr>
            </w:pPr>
            <w:r w:rsidRPr="00241F40">
              <w:rPr>
                <w:b w:val="0"/>
                <w:lang w:eastAsia="ja-JP"/>
              </w:rPr>
              <w:t>Minerva</w:t>
            </w:r>
            <w:r w:rsidR="005831FD" w:rsidRPr="00241F40">
              <w:rPr>
                <w:b w:val="0"/>
                <w:lang w:eastAsia="ja-JP"/>
              </w:rPr>
              <w:t xml:space="preserve"> </w:t>
            </w:r>
          </w:p>
        </w:tc>
        <w:tc>
          <w:tcPr>
            <w:tcW w:w="2884" w:type="dxa"/>
            <w:vAlign w:val="center"/>
            <w:hideMark/>
          </w:tcPr>
          <w:p w14:paraId="74FA2258" w14:textId="77777777" w:rsidR="0017012C" w:rsidRPr="00241F40" w:rsidRDefault="0017012C" w:rsidP="004A2F3D">
            <w:pPr>
              <w:pStyle w:val="ExhibitText"/>
              <w:keepNext/>
              <w:jc w:val="lef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Productos Minerva SA</w:t>
            </w:r>
          </w:p>
        </w:tc>
        <w:tc>
          <w:tcPr>
            <w:tcW w:w="851" w:type="dxa"/>
            <w:vAlign w:val="center"/>
            <w:hideMark/>
          </w:tcPr>
          <w:p w14:paraId="3B04865A"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1.3</w:t>
            </w:r>
          </w:p>
        </w:tc>
        <w:tc>
          <w:tcPr>
            <w:tcW w:w="851" w:type="dxa"/>
            <w:vAlign w:val="center"/>
            <w:hideMark/>
          </w:tcPr>
          <w:p w14:paraId="37A2F241"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1.3</w:t>
            </w:r>
          </w:p>
        </w:tc>
        <w:tc>
          <w:tcPr>
            <w:tcW w:w="851" w:type="dxa"/>
            <w:vAlign w:val="center"/>
            <w:hideMark/>
          </w:tcPr>
          <w:p w14:paraId="01346D00"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1.2</w:t>
            </w:r>
          </w:p>
        </w:tc>
        <w:tc>
          <w:tcPr>
            <w:tcW w:w="852" w:type="dxa"/>
            <w:vAlign w:val="center"/>
            <w:hideMark/>
          </w:tcPr>
          <w:p w14:paraId="5346541E"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1.2</w:t>
            </w:r>
          </w:p>
        </w:tc>
      </w:tr>
      <w:tr w:rsidR="00DC3297" w:rsidRPr="00241F40" w14:paraId="48895BBC" w14:textId="77777777" w:rsidTr="00210BCC">
        <w:trPr>
          <w:trHeight w:val="288"/>
          <w:jc w:val="center"/>
        </w:trPr>
        <w:tc>
          <w:tcPr>
            <w:cnfStyle w:val="001000000000" w:firstRow="0" w:lastRow="0" w:firstColumn="1" w:lastColumn="0" w:oddVBand="0" w:evenVBand="0" w:oddHBand="0" w:evenHBand="0" w:firstRowFirstColumn="0" w:firstRowLastColumn="0" w:lastRowFirstColumn="0" w:lastRowLastColumn="0"/>
            <w:tcW w:w="2990" w:type="dxa"/>
            <w:vAlign w:val="center"/>
            <w:hideMark/>
          </w:tcPr>
          <w:p w14:paraId="7F90E6F9" w14:textId="0F3DB591" w:rsidR="0017012C" w:rsidRPr="00241F40" w:rsidRDefault="0017012C" w:rsidP="004A2F3D">
            <w:pPr>
              <w:pStyle w:val="ExhibitText"/>
              <w:keepNext/>
              <w:jc w:val="left"/>
              <w:rPr>
                <w:b w:val="0"/>
                <w:lang w:eastAsia="ja-JP"/>
              </w:rPr>
            </w:pPr>
            <w:r w:rsidRPr="00241F40">
              <w:rPr>
                <w:b w:val="0"/>
                <w:lang w:eastAsia="ja-JP"/>
              </w:rPr>
              <w:t>El Café</w:t>
            </w:r>
            <w:r w:rsidR="005831FD" w:rsidRPr="00241F40">
              <w:rPr>
                <w:b w:val="0"/>
                <w:lang w:eastAsia="ja-JP"/>
              </w:rPr>
              <w:t xml:space="preserve"> </w:t>
            </w:r>
          </w:p>
        </w:tc>
        <w:tc>
          <w:tcPr>
            <w:tcW w:w="2884" w:type="dxa"/>
            <w:vAlign w:val="center"/>
            <w:hideMark/>
          </w:tcPr>
          <w:p w14:paraId="74F9CAE0" w14:textId="77777777" w:rsidR="0017012C" w:rsidRPr="00241F40" w:rsidRDefault="0017012C" w:rsidP="004A2F3D">
            <w:pPr>
              <w:pStyle w:val="ExhibitText"/>
              <w:keepNext/>
              <w:jc w:val="lef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El Café CA</w:t>
            </w:r>
          </w:p>
        </w:tc>
        <w:tc>
          <w:tcPr>
            <w:tcW w:w="851" w:type="dxa"/>
            <w:vAlign w:val="center"/>
            <w:hideMark/>
          </w:tcPr>
          <w:p w14:paraId="2DE8ED49"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0.8</w:t>
            </w:r>
          </w:p>
        </w:tc>
        <w:tc>
          <w:tcPr>
            <w:tcW w:w="851" w:type="dxa"/>
            <w:vAlign w:val="center"/>
            <w:hideMark/>
          </w:tcPr>
          <w:p w14:paraId="5BE3D160"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0.8</w:t>
            </w:r>
          </w:p>
        </w:tc>
        <w:tc>
          <w:tcPr>
            <w:tcW w:w="851" w:type="dxa"/>
            <w:vAlign w:val="center"/>
            <w:hideMark/>
          </w:tcPr>
          <w:p w14:paraId="4DE43122"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0.8</w:t>
            </w:r>
          </w:p>
        </w:tc>
        <w:tc>
          <w:tcPr>
            <w:tcW w:w="852" w:type="dxa"/>
            <w:vAlign w:val="center"/>
            <w:hideMark/>
          </w:tcPr>
          <w:p w14:paraId="463DB659" w14:textId="77777777" w:rsidR="0017012C" w:rsidRPr="00241F40" w:rsidRDefault="0017012C" w:rsidP="004A2F3D">
            <w:pPr>
              <w:pStyle w:val="ExhibitText"/>
              <w:keepN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0.7</w:t>
            </w:r>
          </w:p>
        </w:tc>
      </w:tr>
      <w:tr w:rsidR="00DC3297" w:rsidRPr="00241F40" w14:paraId="60686E18" w14:textId="77777777" w:rsidTr="00210BCC">
        <w:trPr>
          <w:trHeight w:val="288"/>
          <w:jc w:val="center"/>
        </w:trPr>
        <w:tc>
          <w:tcPr>
            <w:cnfStyle w:val="001000000000" w:firstRow="0" w:lastRow="0" w:firstColumn="1" w:lastColumn="0" w:oddVBand="0" w:evenVBand="0" w:oddHBand="0" w:evenHBand="0" w:firstRowFirstColumn="0" w:firstRowLastColumn="0" w:lastRowFirstColumn="0" w:lastRowLastColumn="0"/>
            <w:tcW w:w="2990" w:type="dxa"/>
            <w:vAlign w:val="center"/>
            <w:hideMark/>
          </w:tcPr>
          <w:p w14:paraId="5891083F" w14:textId="24EB521C" w:rsidR="0017012C" w:rsidRPr="00241F40" w:rsidRDefault="0017012C" w:rsidP="00DC3297">
            <w:pPr>
              <w:pStyle w:val="ExhibitText"/>
              <w:jc w:val="left"/>
              <w:rPr>
                <w:b w:val="0"/>
                <w:lang w:eastAsia="ja-JP"/>
              </w:rPr>
            </w:pPr>
            <w:r w:rsidRPr="00241F40">
              <w:rPr>
                <w:b w:val="0"/>
                <w:lang w:eastAsia="ja-JP"/>
              </w:rPr>
              <w:t>Sweet &amp; Coffee</w:t>
            </w:r>
            <w:r w:rsidR="005831FD" w:rsidRPr="00241F40">
              <w:rPr>
                <w:b w:val="0"/>
                <w:lang w:eastAsia="ja-JP"/>
              </w:rPr>
              <w:t xml:space="preserve"> </w:t>
            </w:r>
          </w:p>
        </w:tc>
        <w:tc>
          <w:tcPr>
            <w:tcW w:w="2884" w:type="dxa"/>
            <w:vAlign w:val="center"/>
            <w:hideMark/>
          </w:tcPr>
          <w:p w14:paraId="4EF647A1" w14:textId="77777777" w:rsidR="0017012C" w:rsidRPr="00241F40" w:rsidRDefault="0017012C" w:rsidP="00DC3297">
            <w:pPr>
              <w:pStyle w:val="ExhibitText"/>
              <w:jc w:val="lef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Markecsa SA</w:t>
            </w:r>
          </w:p>
        </w:tc>
        <w:tc>
          <w:tcPr>
            <w:tcW w:w="851" w:type="dxa"/>
            <w:vAlign w:val="center"/>
            <w:hideMark/>
          </w:tcPr>
          <w:p w14:paraId="5926D729" w14:textId="77777777" w:rsidR="0017012C" w:rsidRPr="00241F40" w:rsidRDefault="0017012C" w:rsidP="00DC3297">
            <w:pPr>
              <w:pStyle w:val="ExhibitT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0.3</w:t>
            </w:r>
          </w:p>
        </w:tc>
        <w:tc>
          <w:tcPr>
            <w:tcW w:w="851" w:type="dxa"/>
            <w:vAlign w:val="center"/>
            <w:hideMark/>
          </w:tcPr>
          <w:p w14:paraId="42191A68" w14:textId="77777777" w:rsidR="0017012C" w:rsidRPr="00241F40" w:rsidRDefault="0017012C" w:rsidP="00DC3297">
            <w:pPr>
              <w:pStyle w:val="ExhibitT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0.3</w:t>
            </w:r>
          </w:p>
        </w:tc>
        <w:tc>
          <w:tcPr>
            <w:tcW w:w="851" w:type="dxa"/>
            <w:vAlign w:val="center"/>
            <w:hideMark/>
          </w:tcPr>
          <w:p w14:paraId="5816F1CE" w14:textId="77777777" w:rsidR="0017012C" w:rsidRPr="00241F40" w:rsidRDefault="0017012C" w:rsidP="00DC3297">
            <w:pPr>
              <w:pStyle w:val="ExhibitT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0.3</w:t>
            </w:r>
          </w:p>
        </w:tc>
        <w:tc>
          <w:tcPr>
            <w:tcW w:w="852" w:type="dxa"/>
            <w:vAlign w:val="center"/>
            <w:hideMark/>
          </w:tcPr>
          <w:p w14:paraId="03474681" w14:textId="77777777" w:rsidR="0017012C" w:rsidRPr="00241F40" w:rsidRDefault="0017012C" w:rsidP="00DC3297">
            <w:pPr>
              <w:pStyle w:val="ExhibitT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0.3</w:t>
            </w:r>
          </w:p>
        </w:tc>
      </w:tr>
      <w:tr w:rsidR="00DC3297" w:rsidRPr="00241F40" w14:paraId="2B6CAA48" w14:textId="77777777" w:rsidTr="00210BCC">
        <w:trPr>
          <w:trHeight w:val="288"/>
          <w:jc w:val="center"/>
        </w:trPr>
        <w:tc>
          <w:tcPr>
            <w:cnfStyle w:val="001000000000" w:firstRow="0" w:lastRow="0" w:firstColumn="1" w:lastColumn="0" w:oddVBand="0" w:evenVBand="0" w:oddHBand="0" w:evenHBand="0" w:firstRowFirstColumn="0" w:firstRowLastColumn="0" w:lastRowFirstColumn="0" w:lastRowLastColumn="0"/>
            <w:tcW w:w="2990" w:type="dxa"/>
            <w:vAlign w:val="center"/>
            <w:hideMark/>
          </w:tcPr>
          <w:p w14:paraId="21548782" w14:textId="58FEA031" w:rsidR="0017012C" w:rsidRPr="008E5EEF" w:rsidRDefault="0017012C" w:rsidP="00DC3297">
            <w:pPr>
              <w:pStyle w:val="ExhibitText"/>
              <w:jc w:val="left"/>
              <w:rPr>
                <w:b w:val="0"/>
                <w:lang w:val="es-EC" w:eastAsia="ja-JP"/>
              </w:rPr>
            </w:pPr>
            <w:r w:rsidRPr="008E5EEF">
              <w:rPr>
                <w:b w:val="0"/>
                <w:lang w:val="es-EC" w:eastAsia="ja-JP"/>
              </w:rPr>
              <w:t>Colcafé (Grupo Nacional de Chocolates SA)</w:t>
            </w:r>
            <w:r w:rsidR="005831FD" w:rsidRPr="008E5EEF">
              <w:rPr>
                <w:b w:val="0"/>
                <w:lang w:val="es-EC" w:eastAsia="ja-JP"/>
              </w:rPr>
              <w:t xml:space="preserve"> </w:t>
            </w:r>
          </w:p>
        </w:tc>
        <w:tc>
          <w:tcPr>
            <w:tcW w:w="2884" w:type="dxa"/>
            <w:vAlign w:val="center"/>
            <w:hideMark/>
          </w:tcPr>
          <w:p w14:paraId="42DF4936" w14:textId="77777777" w:rsidR="0017012C" w:rsidRPr="00241F40" w:rsidRDefault="0017012C" w:rsidP="00DC3297">
            <w:pPr>
              <w:pStyle w:val="ExhibitText"/>
              <w:jc w:val="lef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Colcafé SA</w:t>
            </w:r>
          </w:p>
        </w:tc>
        <w:tc>
          <w:tcPr>
            <w:tcW w:w="851" w:type="dxa"/>
            <w:vAlign w:val="center"/>
            <w:hideMark/>
          </w:tcPr>
          <w:p w14:paraId="0B08854C" w14:textId="77777777" w:rsidR="0017012C" w:rsidRPr="00241F40" w:rsidRDefault="0017012C" w:rsidP="00DC3297">
            <w:pPr>
              <w:pStyle w:val="ExhibitT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w:t>
            </w:r>
          </w:p>
        </w:tc>
        <w:tc>
          <w:tcPr>
            <w:tcW w:w="851" w:type="dxa"/>
            <w:vAlign w:val="center"/>
            <w:hideMark/>
          </w:tcPr>
          <w:p w14:paraId="60EE5E91" w14:textId="77777777" w:rsidR="0017012C" w:rsidRPr="00241F40" w:rsidRDefault="0017012C" w:rsidP="00DC3297">
            <w:pPr>
              <w:pStyle w:val="ExhibitT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w:t>
            </w:r>
          </w:p>
        </w:tc>
        <w:tc>
          <w:tcPr>
            <w:tcW w:w="851" w:type="dxa"/>
            <w:vAlign w:val="center"/>
            <w:hideMark/>
          </w:tcPr>
          <w:p w14:paraId="33AED617" w14:textId="77777777" w:rsidR="0017012C" w:rsidRPr="00241F40" w:rsidRDefault="0017012C" w:rsidP="00DC3297">
            <w:pPr>
              <w:pStyle w:val="ExhibitT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w:t>
            </w:r>
          </w:p>
        </w:tc>
        <w:tc>
          <w:tcPr>
            <w:tcW w:w="852" w:type="dxa"/>
            <w:vAlign w:val="center"/>
            <w:hideMark/>
          </w:tcPr>
          <w:p w14:paraId="5557FC08" w14:textId="77777777" w:rsidR="0017012C" w:rsidRPr="00241F40" w:rsidRDefault="0017012C" w:rsidP="00DC3297">
            <w:pPr>
              <w:pStyle w:val="ExhibitT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w:t>
            </w:r>
          </w:p>
        </w:tc>
      </w:tr>
      <w:tr w:rsidR="00DC3297" w:rsidRPr="00241F40" w14:paraId="7453E454" w14:textId="77777777" w:rsidTr="00210BCC">
        <w:trPr>
          <w:trHeight w:val="288"/>
          <w:jc w:val="center"/>
        </w:trPr>
        <w:tc>
          <w:tcPr>
            <w:cnfStyle w:val="001000000000" w:firstRow="0" w:lastRow="0" w:firstColumn="1" w:lastColumn="0" w:oddVBand="0" w:evenVBand="0" w:oddHBand="0" w:evenHBand="0" w:firstRowFirstColumn="0" w:firstRowLastColumn="0" w:lastRowFirstColumn="0" w:lastRowLastColumn="0"/>
            <w:tcW w:w="2990" w:type="dxa"/>
            <w:vAlign w:val="center"/>
            <w:hideMark/>
          </w:tcPr>
          <w:p w14:paraId="02CD4ACD" w14:textId="2CE3D138" w:rsidR="0017012C" w:rsidRPr="00241F40" w:rsidRDefault="0017012C" w:rsidP="00DC3297">
            <w:pPr>
              <w:pStyle w:val="ExhibitText"/>
              <w:jc w:val="left"/>
              <w:rPr>
                <w:b w:val="0"/>
                <w:lang w:eastAsia="ja-JP"/>
              </w:rPr>
            </w:pPr>
            <w:r w:rsidRPr="00241F40">
              <w:rPr>
                <w:b w:val="0"/>
                <w:lang w:eastAsia="ja-JP"/>
              </w:rPr>
              <w:t>Others</w:t>
            </w:r>
            <w:r w:rsidR="005831FD" w:rsidRPr="00241F40">
              <w:rPr>
                <w:b w:val="0"/>
                <w:lang w:eastAsia="ja-JP"/>
              </w:rPr>
              <w:t xml:space="preserve"> </w:t>
            </w:r>
          </w:p>
        </w:tc>
        <w:tc>
          <w:tcPr>
            <w:tcW w:w="2884" w:type="dxa"/>
            <w:vAlign w:val="center"/>
            <w:hideMark/>
          </w:tcPr>
          <w:p w14:paraId="18BB4842" w14:textId="77777777" w:rsidR="0017012C" w:rsidRPr="00241F40" w:rsidRDefault="0017012C" w:rsidP="00DC3297">
            <w:pPr>
              <w:pStyle w:val="ExhibitText"/>
              <w:jc w:val="lef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Others</w:t>
            </w:r>
          </w:p>
        </w:tc>
        <w:tc>
          <w:tcPr>
            <w:tcW w:w="851" w:type="dxa"/>
            <w:vAlign w:val="center"/>
            <w:hideMark/>
          </w:tcPr>
          <w:p w14:paraId="63CFBEC7" w14:textId="77777777" w:rsidR="0017012C" w:rsidRPr="00241F40" w:rsidRDefault="0017012C" w:rsidP="00DC3297">
            <w:pPr>
              <w:pStyle w:val="ExhibitT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19.0</w:t>
            </w:r>
          </w:p>
        </w:tc>
        <w:tc>
          <w:tcPr>
            <w:tcW w:w="851" w:type="dxa"/>
            <w:vAlign w:val="center"/>
            <w:hideMark/>
          </w:tcPr>
          <w:p w14:paraId="33D6CEFB" w14:textId="77777777" w:rsidR="0017012C" w:rsidRPr="00241F40" w:rsidRDefault="0017012C" w:rsidP="00DC3297">
            <w:pPr>
              <w:pStyle w:val="ExhibitT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19.4</w:t>
            </w:r>
          </w:p>
        </w:tc>
        <w:tc>
          <w:tcPr>
            <w:tcW w:w="851" w:type="dxa"/>
            <w:vAlign w:val="center"/>
            <w:hideMark/>
          </w:tcPr>
          <w:p w14:paraId="52CF423B" w14:textId="77777777" w:rsidR="0017012C" w:rsidRPr="00241F40" w:rsidRDefault="0017012C" w:rsidP="00DC3297">
            <w:pPr>
              <w:pStyle w:val="ExhibitT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19.1</w:t>
            </w:r>
          </w:p>
        </w:tc>
        <w:tc>
          <w:tcPr>
            <w:tcW w:w="852" w:type="dxa"/>
            <w:vAlign w:val="center"/>
            <w:hideMark/>
          </w:tcPr>
          <w:p w14:paraId="742CC379" w14:textId="77777777" w:rsidR="0017012C" w:rsidRPr="00241F40" w:rsidRDefault="0017012C" w:rsidP="00DC3297">
            <w:pPr>
              <w:pStyle w:val="ExhibitText"/>
              <w:jc w:val="right"/>
              <w:cnfStyle w:val="000000000000" w:firstRow="0" w:lastRow="0" w:firstColumn="0" w:lastColumn="0" w:oddVBand="0" w:evenVBand="0" w:oddHBand="0" w:evenHBand="0" w:firstRowFirstColumn="0" w:firstRowLastColumn="0" w:lastRowFirstColumn="0" w:lastRowLastColumn="0"/>
              <w:rPr>
                <w:lang w:eastAsia="ja-JP"/>
              </w:rPr>
            </w:pPr>
            <w:r w:rsidRPr="00241F40">
              <w:rPr>
                <w:lang w:eastAsia="ja-JP"/>
              </w:rPr>
              <w:t>19.0</w:t>
            </w:r>
          </w:p>
        </w:tc>
      </w:tr>
      <w:tr w:rsidR="00DC3297" w:rsidRPr="00241F40" w14:paraId="34AC7F35" w14:textId="77777777" w:rsidTr="00210BCC">
        <w:trPr>
          <w:trHeight w:val="288"/>
          <w:jc w:val="center"/>
        </w:trPr>
        <w:tc>
          <w:tcPr>
            <w:cnfStyle w:val="001000000000" w:firstRow="0" w:lastRow="0" w:firstColumn="1" w:lastColumn="0" w:oddVBand="0" w:evenVBand="0" w:oddHBand="0" w:evenHBand="0" w:firstRowFirstColumn="0" w:firstRowLastColumn="0" w:lastRowFirstColumn="0" w:lastRowLastColumn="0"/>
            <w:tcW w:w="2990" w:type="dxa"/>
            <w:vAlign w:val="center"/>
            <w:hideMark/>
          </w:tcPr>
          <w:p w14:paraId="516B4F98" w14:textId="7329756C" w:rsidR="0017012C" w:rsidRPr="00241F40" w:rsidRDefault="0017012C" w:rsidP="00DC3297">
            <w:pPr>
              <w:pStyle w:val="ExhibitText"/>
              <w:jc w:val="left"/>
              <w:rPr>
                <w:lang w:eastAsia="ja-JP"/>
              </w:rPr>
            </w:pPr>
            <w:r w:rsidRPr="00241F40">
              <w:rPr>
                <w:lang w:eastAsia="ja-JP"/>
              </w:rPr>
              <w:t>Total</w:t>
            </w:r>
            <w:r w:rsidR="005831FD" w:rsidRPr="00241F40">
              <w:rPr>
                <w:lang w:eastAsia="ja-JP"/>
              </w:rPr>
              <w:t xml:space="preserve"> </w:t>
            </w:r>
          </w:p>
        </w:tc>
        <w:tc>
          <w:tcPr>
            <w:tcW w:w="2884" w:type="dxa"/>
            <w:vAlign w:val="center"/>
            <w:hideMark/>
          </w:tcPr>
          <w:p w14:paraId="1CD95569" w14:textId="77777777" w:rsidR="0017012C" w:rsidRPr="00241F40" w:rsidRDefault="0017012C" w:rsidP="00DC3297">
            <w:pPr>
              <w:pStyle w:val="ExhibitText"/>
              <w:jc w:val="left"/>
              <w:cnfStyle w:val="000000000000" w:firstRow="0" w:lastRow="0" w:firstColumn="0" w:lastColumn="0" w:oddVBand="0" w:evenVBand="0" w:oddHBand="0" w:evenHBand="0" w:firstRowFirstColumn="0" w:firstRowLastColumn="0" w:lastRowFirstColumn="0" w:lastRowLastColumn="0"/>
              <w:rPr>
                <w:b/>
                <w:lang w:eastAsia="ja-JP"/>
              </w:rPr>
            </w:pPr>
            <w:r w:rsidRPr="00241F40">
              <w:rPr>
                <w:b/>
                <w:lang w:eastAsia="ja-JP"/>
              </w:rPr>
              <w:t>Total</w:t>
            </w:r>
          </w:p>
        </w:tc>
        <w:tc>
          <w:tcPr>
            <w:tcW w:w="851" w:type="dxa"/>
            <w:vAlign w:val="center"/>
            <w:hideMark/>
          </w:tcPr>
          <w:p w14:paraId="58AE52CB" w14:textId="77777777" w:rsidR="0017012C" w:rsidRPr="00241F40" w:rsidRDefault="0017012C" w:rsidP="00DC3297">
            <w:pPr>
              <w:pStyle w:val="ExhibitText"/>
              <w:jc w:val="right"/>
              <w:cnfStyle w:val="000000000000" w:firstRow="0" w:lastRow="0" w:firstColumn="0" w:lastColumn="0" w:oddVBand="0" w:evenVBand="0" w:oddHBand="0" w:evenHBand="0" w:firstRowFirstColumn="0" w:firstRowLastColumn="0" w:lastRowFirstColumn="0" w:lastRowLastColumn="0"/>
              <w:rPr>
                <w:b/>
                <w:lang w:eastAsia="ja-JP"/>
              </w:rPr>
            </w:pPr>
            <w:r w:rsidRPr="00241F40">
              <w:rPr>
                <w:b/>
                <w:lang w:eastAsia="ja-JP"/>
              </w:rPr>
              <w:t>100.0</w:t>
            </w:r>
          </w:p>
        </w:tc>
        <w:tc>
          <w:tcPr>
            <w:tcW w:w="851" w:type="dxa"/>
            <w:vAlign w:val="center"/>
            <w:hideMark/>
          </w:tcPr>
          <w:p w14:paraId="32AB11AF" w14:textId="77777777" w:rsidR="0017012C" w:rsidRPr="00241F40" w:rsidRDefault="0017012C" w:rsidP="00DC3297">
            <w:pPr>
              <w:pStyle w:val="ExhibitText"/>
              <w:jc w:val="right"/>
              <w:cnfStyle w:val="000000000000" w:firstRow="0" w:lastRow="0" w:firstColumn="0" w:lastColumn="0" w:oddVBand="0" w:evenVBand="0" w:oddHBand="0" w:evenHBand="0" w:firstRowFirstColumn="0" w:firstRowLastColumn="0" w:lastRowFirstColumn="0" w:lastRowLastColumn="0"/>
              <w:rPr>
                <w:b/>
                <w:lang w:eastAsia="ja-JP"/>
              </w:rPr>
            </w:pPr>
            <w:r w:rsidRPr="00241F40">
              <w:rPr>
                <w:b/>
                <w:lang w:eastAsia="ja-JP"/>
              </w:rPr>
              <w:t>100.0</w:t>
            </w:r>
          </w:p>
        </w:tc>
        <w:tc>
          <w:tcPr>
            <w:tcW w:w="851" w:type="dxa"/>
            <w:vAlign w:val="center"/>
            <w:hideMark/>
          </w:tcPr>
          <w:p w14:paraId="67D23B8A" w14:textId="77777777" w:rsidR="0017012C" w:rsidRPr="00241F40" w:rsidRDefault="0017012C" w:rsidP="00DC3297">
            <w:pPr>
              <w:pStyle w:val="ExhibitText"/>
              <w:jc w:val="right"/>
              <w:cnfStyle w:val="000000000000" w:firstRow="0" w:lastRow="0" w:firstColumn="0" w:lastColumn="0" w:oddVBand="0" w:evenVBand="0" w:oddHBand="0" w:evenHBand="0" w:firstRowFirstColumn="0" w:firstRowLastColumn="0" w:lastRowFirstColumn="0" w:lastRowLastColumn="0"/>
              <w:rPr>
                <w:b/>
                <w:lang w:eastAsia="ja-JP"/>
              </w:rPr>
            </w:pPr>
            <w:r w:rsidRPr="00241F40">
              <w:rPr>
                <w:b/>
                <w:lang w:eastAsia="ja-JP"/>
              </w:rPr>
              <w:t>100.0</w:t>
            </w:r>
          </w:p>
        </w:tc>
        <w:tc>
          <w:tcPr>
            <w:tcW w:w="852" w:type="dxa"/>
            <w:vAlign w:val="center"/>
            <w:hideMark/>
          </w:tcPr>
          <w:p w14:paraId="07431C97" w14:textId="77777777" w:rsidR="0017012C" w:rsidRPr="00241F40" w:rsidRDefault="0017012C" w:rsidP="00DC3297">
            <w:pPr>
              <w:pStyle w:val="ExhibitText"/>
              <w:jc w:val="right"/>
              <w:cnfStyle w:val="000000000000" w:firstRow="0" w:lastRow="0" w:firstColumn="0" w:lastColumn="0" w:oddVBand="0" w:evenVBand="0" w:oddHBand="0" w:evenHBand="0" w:firstRowFirstColumn="0" w:firstRowLastColumn="0" w:lastRowFirstColumn="0" w:lastRowLastColumn="0"/>
              <w:rPr>
                <w:b/>
                <w:lang w:eastAsia="ja-JP"/>
              </w:rPr>
            </w:pPr>
            <w:r w:rsidRPr="00241F40">
              <w:rPr>
                <w:b/>
                <w:lang w:eastAsia="ja-JP"/>
              </w:rPr>
              <w:t>100.0</w:t>
            </w:r>
          </w:p>
        </w:tc>
      </w:tr>
    </w:tbl>
    <w:p w14:paraId="5898F07D" w14:textId="77777777" w:rsidR="0017012C" w:rsidRDefault="0017012C" w:rsidP="00FD54D0">
      <w:pPr>
        <w:pStyle w:val="ExhibitText"/>
        <w:rPr>
          <w:lang w:eastAsia="ja-JP"/>
        </w:rPr>
      </w:pPr>
    </w:p>
    <w:p w14:paraId="2A132725" w14:textId="4DE84152" w:rsidR="00CB1631" w:rsidRPr="00E21706" w:rsidRDefault="00CB1631" w:rsidP="0014075E">
      <w:pPr>
        <w:pStyle w:val="Footnote"/>
        <w:rPr>
          <w:lang w:eastAsia="ja-JP"/>
        </w:rPr>
      </w:pPr>
      <w:r w:rsidRPr="00E21706">
        <w:rPr>
          <w:lang w:eastAsia="ja-JP"/>
        </w:rPr>
        <w:t>Note: *</w:t>
      </w:r>
      <w:r w:rsidR="005F2657" w:rsidRPr="00E21706">
        <w:rPr>
          <w:lang w:eastAsia="ja-JP"/>
        </w:rPr>
        <w:t>National Brand Owner</w:t>
      </w:r>
    </w:p>
    <w:p w14:paraId="7E4EDC40" w14:textId="605CA90B" w:rsidR="0017012C" w:rsidRPr="00E21706" w:rsidRDefault="0017012C" w:rsidP="0014075E">
      <w:pPr>
        <w:pStyle w:val="Footnote"/>
        <w:rPr>
          <w:lang w:eastAsia="ja-JP"/>
        </w:rPr>
      </w:pPr>
      <w:r w:rsidRPr="00E21706">
        <w:rPr>
          <w:lang w:eastAsia="ja-JP"/>
        </w:rPr>
        <w:t>Source:</w:t>
      </w:r>
      <w:r w:rsidR="003D733F" w:rsidRPr="00E21706">
        <w:rPr>
          <w:lang w:eastAsia="ja-JP"/>
        </w:rPr>
        <w:t xml:space="preserve"> “</w:t>
      </w:r>
      <w:r w:rsidR="00F638D2" w:rsidRPr="00E21706">
        <w:rPr>
          <w:lang w:eastAsia="ja-JP"/>
        </w:rPr>
        <w:t>Euromonitor Passport</w:t>
      </w:r>
      <w:r w:rsidR="000E4DC0" w:rsidRPr="00E21706">
        <w:rPr>
          <w:lang w:eastAsia="ja-JP"/>
        </w:rPr>
        <w:t xml:space="preserve">,” </w:t>
      </w:r>
      <w:r w:rsidRPr="00E21706">
        <w:rPr>
          <w:lang w:eastAsia="ja-JP"/>
        </w:rPr>
        <w:t>Euromonitor International</w:t>
      </w:r>
      <w:r w:rsidR="000E4DC0" w:rsidRPr="00E21706">
        <w:rPr>
          <w:lang w:eastAsia="ja-JP"/>
        </w:rPr>
        <w:t xml:space="preserve">, accessed </w:t>
      </w:r>
      <w:r w:rsidR="00F638D2" w:rsidRPr="00E21706">
        <w:rPr>
          <w:lang w:eastAsia="ja-JP"/>
        </w:rPr>
        <w:t>June 16</w:t>
      </w:r>
      <w:r w:rsidR="000E4DC0" w:rsidRPr="00E21706">
        <w:rPr>
          <w:lang w:eastAsia="ja-JP"/>
        </w:rPr>
        <w:t>,</w:t>
      </w:r>
      <w:r w:rsidRPr="00E21706">
        <w:rPr>
          <w:lang w:eastAsia="ja-JP"/>
        </w:rPr>
        <w:t xml:space="preserve"> 2017</w:t>
      </w:r>
      <w:r w:rsidR="007E106B" w:rsidRPr="00E21706">
        <w:rPr>
          <w:lang w:eastAsia="ja-JP"/>
        </w:rPr>
        <w:t>,</w:t>
      </w:r>
      <w:r w:rsidR="00A33BC9" w:rsidRPr="00E21706">
        <w:t xml:space="preserve"> </w:t>
      </w:r>
      <w:proofErr w:type="gramStart"/>
      <w:r w:rsidR="00A33BC9" w:rsidRPr="00E21706">
        <w:t>Retrieved</w:t>
      </w:r>
      <w:proofErr w:type="gramEnd"/>
      <w:r w:rsidR="00A33BC9" w:rsidRPr="00E21706">
        <w:t xml:space="preserve"> from Euromonitor Passport database,</w:t>
      </w:r>
      <w:r w:rsidR="007E106B" w:rsidRPr="00E21706">
        <w:rPr>
          <w:lang w:eastAsia="ja-JP"/>
        </w:rPr>
        <w:t xml:space="preserve"> https://www.portal.euromonitor.com</w:t>
      </w:r>
    </w:p>
    <w:p w14:paraId="4C921DBC" w14:textId="6F5664AF" w:rsidR="000834EC" w:rsidRDefault="000834EC" w:rsidP="004A2F3D">
      <w:pPr>
        <w:pStyle w:val="ExhibitText"/>
        <w:rPr>
          <w:lang w:eastAsia="ja-JP"/>
        </w:rPr>
      </w:pPr>
    </w:p>
    <w:p w14:paraId="606182C3" w14:textId="77777777" w:rsidR="004A2F3D" w:rsidRPr="00241F40" w:rsidRDefault="004A2F3D" w:rsidP="004A2F3D">
      <w:pPr>
        <w:pStyle w:val="ExhibitText"/>
        <w:rPr>
          <w:lang w:eastAsia="ja-JP"/>
        </w:rPr>
      </w:pPr>
    </w:p>
    <w:p w14:paraId="3177BDF5" w14:textId="061B400A" w:rsidR="0017012C" w:rsidRPr="00241F40" w:rsidRDefault="00210BCC" w:rsidP="00DC3297">
      <w:pPr>
        <w:pStyle w:val="ExhibitHeading"/>
        <w:outlineLvl w:val="0"/>
        <w:rPr>
          <w:lang w:eastAsia="ja-JP"/>
        </w:rPr>
      </w:pPr>
      <w:r>
        <w:rPr>
          <w:lang w:eastAsia="ja-JP"/>
        </w:rPr>
        <w:t>Exhibit 6</w:t>
      </w:r>
      <w:r w:rsidR="000834EC" w:rsidRPr="00241F40">
        <w:rPr>
          <w:lang w:eastAsia="ja-JP"/>
        </w:rPr>
        <w:t xml:space="preserve">: </w:t>
      </w:r>
      <w:r w:rsidR="0017012C" w:rsidRPr="00241F40">
        <w:rPr>
          <w:lang w:eastAsia="ja-JP"/>
        </w:rPr>
        <w:t xml:space="preserve">IMPORTS OF </w:t>
      </w:r>
      <w:r w:rsidR="007C6995" w:rsidRPr="00241F40">
        <w:rPr>
          <w:lang w:eastAsia="ja-JP"/>
        </w:rPr>
        <w:t xml:space="preserve">Coffee to </w:t>
      </w:r>
      <w:r w:rsidR="0017012C" w:rsidRPr="00241F40">
        <w:rPr>
          <w:lang w:eastAsia="ja-JP"/>
        </w:rPr>
        <w:t>ECUADO</w:t>
      </w:r>
      <w:r w:rsidR="007C6995" w:rsidRPr="00241F40">
        <w:rPr>
          <w:lang w:eastAsia="ja-JP"/>
        </w:rPr>
        <w:t>r</w:t>
      </w:r>
      <w:r w:rsidR="00405135">
        <w:rPr>
          <w:lang w:eastAsia="ja-JP"/>
        </w:rPr>
        <w:t>—</w:t>
      </w:r>
      <w:r w:rsidR="001A04AD">
        <w:rPr>
          <w:lang w:eastAsia="ja-JP"/>
        </w:rPr>
        <w:t xml:space="preserve">global and </w:t>
      </w:r>
      <w:r w:rsidR="007C6995" w:rsidRPr="00241F40">
        <w:rPr>
          <w:lang w:eastAsia="ja-JP"/>
        </w:rPr>
        <w:t>f</w:t>
      </w:r>
      <w:r w:rsidR="000662E8" w:rsidRPr="00241F40">
        <w:rPr>
          <w:lang w:eastAsia="ja-JP"/>
        </w:rPr>
        <w:t>ROM VIETN</w:t>
      </w:r>
      <w:r w:rsidR="00ED5348" w:rsidRPr="00241F40">
        <w:rPr>
          <w:lang w:eastAsia="ja-JP"/>
        </w:rPr>
        <w:t>AM</w:t>
      </w:r>
      <w:r w:rsidR="001A04AD">
        <w:rPr>
          <w:lang w:eastAsia="ja-JP"/>
        </w:rPr>
        <w:t xml:space="preserve"> </w:t>
      </w:r>
      <w:r w:rsidR="00ED5348" w:rsidRPr="00241F40">
        <w:rPr>
          <w:lang w:eastAsia="ja-JP"/>
        </w:rPr>
        <w:t>(us</w:t>
      </w:r>
      <w:r w:rsidR="00DC3297" w:rsidRPr="00241F40">
        <w:rPr>
          <w:lang w:eastAsia="ja-JP"/>
        </w:rPr>
        <w:t>$ thousands</w:t>
      </w:r>
      <w:r w:rsidR="0017012C" w:rsidRPr="00241F40">
        <w:rPr>
          <w:lang w:eastAsia="ja-JP"/>
        </w:rPr>
        <w:t>)</w:t>
      </w:r>
    </w:p>
    <w:p w14:paraId="59BF25C3" w14:textId="5AFB4F27" w:rsidR="0017012C" w:rsidRPr="00241F40" w:rsidRDefault="0017012C" w:rsidP="00FD54D0">
      <w:pPr>
        <w:pStyle w:val="ExhibitText"/>
        <w:rPr>
          <w:lang w:eastAsia="ja-JP"/>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01"/>
        <w:gridCol w:w="1899"/>
        <w:gridCol w:w="1900"/>
        <w:gridCol w:w="1900"/>
      </w:tblGrid>
      <w:tr w:rsidR="007206F6" w:rsidRPr="00241F40" w14:paraId="665B4096" w14:textId="7C9507FA" w:rsidTr="00DC3297">
        <w:trPr>
          <w:trHeight w:val="288"/>
          <w:jc w:val="center"/>
        </w:trPr>
        <w:tc>
          <w:tcPr>
            <w:tcW w:w="1871" w:type="dxa"/>
            <w:tcBorders>
              <w:bottom w:val="single" w:sz="8" w:space="0" w:color="auto"/>
            </w:tcBorders>
            <w:shd w:val="clear" w:color="auto" w:fill="auto"/>
            <w:noWrap/>
            <w:vAlign w:val="center"/>
            <w:hideMark/>
          </w:tcPr>
          <w:p w14:paraId="0B4A3C6B" w14:textId="77777777" w:rsidR="007206F6" w:rsidRPr="00241F40" w:rsidRDefault="007206F6" w:rsidP="00DC3297">
            <w:pPr>
              <w:pStyle w:val="ExhibitText"/>
              <w:jc w:val="center"/>
              <w:rPr>
                <w:b/>
                <w:lang w:eastAsia="ja-JP"/>
              </w:rPr>
            </w:pPr>
            <w:r w:rsidRPr="00241F40">
              <w:rPr>
                <w:b/>
                <w:lang w:eastAsia="ja-JP"/>
              </w:rPr>
              <w:t>Year</w:t>
            </w:r>
          </w:p>
        </w:tc>
        <w:tc>
          <w:tcPr>
            <w:tcW w:w="1869" w:type="dxa"/>
            <w:tcBorders>
              <w:bottom w:val="single" w:sz="8" w:space="0" w:color="auto"/>
            </w:tcBorders>
            <w:shd w:val="clear" w:color="auto" w:fill="auto"/>
            <w:vAlign w:val="center"/>
            <w:hideMark/>
          </w:tcPr>
          <w:p w14:paraId="39FC941C" w14:textId="2A25A71D" w:rsidR="007206F6" w:rsidRPr="00241F40" w:rsidRDefault="007206F6" w:rsidP="00DC3297">
            <w:pPr>
              <w:pStyle w:val="ExhibitText"/>
              <w:jc w:val="center"/>
              <w:rPr>
                <w:b/>
                <w:lang w:eastAsia="ja-JP"/>
              </w:rPr>
            </w:pPr>
            <w:r w:rsidRPr="00241F40">
              <w:rPr>
                <w:b/>
                <w:lang w:eastAsia="ja-JP"/>
              </w:rPr>
              <w:t>Total</w:t>
            </w:r>
            <w:r w:rsidR="001A04AD">
              <w:rPr>
                <w:b/>
                <w:lang w:eastAsia="ja-JP"/>
              </w:rPr>
              <w:t>, Worldwide</w:t>
            </w:r>
          </w:p>
        </w:tc>
        <w:tc>
          <w:tcPr>
            <w:tcW w:w="1870" w:type="dxa"/>
            <w:tcBorders>
              <w:bottom w:val="single" w:sz="8" w:space="0" w:color="auto"/>
            </w:tcBorders>
            <w:shd w:val="clear" w:color="auto" w:fill="auto"/>
            <w:vAlign w:val="center"/>
            <w:hideMark/>
          </w:tcPr>
          <w:p w14:paraId="29CADBB4" w14:textId="682F9A91" w:rsidR="007206F6" w:rsidRPr="00241F40" w:rsidRDefault="001A04AD" w:rsidP="00DC3297">
            <w:pPr>
              <w:pStyle w:val="ExhibitText"/>
              <w:jc w:val="center"/>
              <w:rPr>
                <w:b/>
                <w:lang w:eastAsia="ja-JP"/>
              </w:rPr>
            </w:pPr>
            <w:r>
              <w:rPr>
                <w:b/>
                <w:lang w:eastAsia="ja-JP"/>
              </w:rPr>
              <w:t xml:space="preserve">Total, </w:t>
            </w:r>
            <w:r w:rsidR="007206F6" w:rsidRPr="00241F40">
              <w:rPr>
                <w:b/>
                <w:lang w:eastAsia="ja-JP"/>
              </w:rPr>
              <w:t>Vietnam</w:t>
            </w:r>
          </w:p>
        </w:tc>
        <w:tc>
          <w:tcPr>
            <w:tcW w:w="1870" w:type="dxa"/>
            <w:tcBorders>
              <w:bottom w:val="single" w:sz="8" w:space="0" w:color="auto"/>
            </w:tcBorders>
            <w:vAlign w:val="center"/>
          </w:tcPr>
          <w:p w14:paraId="52DFC783" w14:textId="025C5B57" w:rsidR="007206F6" w:rsidRPr="00241F40" w:rsidRDefault="007206F6" w:rsidP="00DC3297">
            <w:pPr>
              <w:pStyle w:val="ExhibitText"/>
              <w:jc w:val="center"/>
              <w:rPr>
                <w:b/>
                <w:lang w:eastAsia="ja-JP"/>
              </w:rPr>
            </w:pPr>
            <w:r w:rsidRPr="00241F40">
              <w:rPr>
                <w:b/>
                <w:lang w:eastAsia="ja-JP"/>
              </w:rPr>
              <w:t xml:space="preserve">Vietnam </w:t>
            </w:r>
            <w:r w:rsidR="002A25B0" w:rsidRPr="00241F40">
              <w:rPr>
                <w:b/>
                <w:lang w:eastAsia="ja-JP"/>
              </w:rPr>
              <w:t>(in %)</w:t>
            </w:r>
          </w:p>
        </w:tc>
      </w:tr>
      <w:tr w:rsidR="002A25B0" w:rsidRPr="00241F40" w14:paraId="423B8130" w14:textId="4639C6F2" w:rsidTr="0014075E">
        <w:trPr>
          <w:trHeight w:val="288"/>
          <w:jc w:val="center"/>
        </w:trPr>
        <w:tc>
          <w:tcPr>
            <w:tcW w:w="1871" w:type="dxa"/>
            <w:tcBorders>
              <w:top w:val="single" w:sz="8" w:space="0" w:color="auto"/>
            </w:tcBorders>
            <w:shd w:val="clear" w:color="auto" w:fill="auto"/>
            <w:noWrap/>
            <w:vAlign w:val="center"/>
            <w:hideMark/>
          </w:tcPr>
          <w:p w14:paraId="55C99D2C" w14:textId="77777777" w:rsidR="002A25B0" w:rsidRPr="00241F40" w:rsidRDefault="002A25B0" w:rsidP="00DC3297">
            <w:pPr>
              <w:pStyle w:val="ExhibitText"/>
              <w:jc w:val="center"/>
              <w:rPr>
                <w:lang w:eastAsia="ja-JP"/>
              </w:rPr>
            </w:pPr>
            <w:r w:rsidRPr="00241F40">
              <w:rPr>
                <w:lang w:eastAsia="ja-JP"/>
              </w:rPr>
              <w:t>2012</w:t>
            </w:r>
          </w:p>
        </w:tc>
        <w:tc>
          <w:tcPr>
            <w:tcW w:w="1869" w:type="dxa"/>
            <w:tcBorders>
              <w:top w:val="single" w:sz="8" w:space="0" w:color="auto"/>
            </w:tcBorders>
            <w:shd w:val="clear" w:color="auto" w:fill="auto"/>
            <w:vAlign w:val="center"/>
            <w:hideMark/>
          </w:tcPr>
          <w:p w14:paraId="329F834B" w14:textId="5FD4F866" w:rsidR="002A25B0" w:rsidRPr="00241F40" w:rsidRDefault="002E31CB" w:rsidP="0014075E">
            <w:pPr>
              <w:pStyle w:val="ExhibitText"/>
              <w:ind w:right="432"/>
              <w:jc w:val="right"/>
              <w:rPr>
                <w:lang w:eastAsia="ja-JP"/>
              </w:rPr>
            </w:pPr>
            <w:r w:rsidRPr="00241F40">
              <w:rPr>
                <w:lang w:eastAsia="ja-JP"/>
              </w:rPr>
              <w:t>214,</w:t>
            </w:r>
            <w:r w:rsidR="002A25B0" w:rsidRPr="00241F40">
              <w:rPr>
                <w:lang w:eastAsia="ja-JP"/>
              </w:rPr>
              <w:t>640</w:t>
            </w:r>
          </w:p>
        </w:tc>
        <w:tc>
          <w:tcPr>
            <w:tcW w:w="1870" w:type="dxa"/>
            <w:tcBorders>
              <w:top w:val="single" w:sz="8" w:space="0" w:color="auto"/>
            </w:tcBorders>
            <w:shd w:val="clear" w:color="auto" w:fill="auto"/>
            <w:vAlign w:val="center"/>
            <w:hideMark/>
          </w:tcPr>
          <w:p w14:paraId="2C7C93B6" w14:textId="4A249593" w:rsidR="002A25B0" w:rsidRPr="00241F40" w:rsidRDefault="002E31CB" w:rsidP="0014075E">
            <w:pPr>
              <w:pStyle w:val="ExhibitText"/>
              <w:ind w:right="432"/>
              <w:jc w:val="right"/>
              <w:rPr>
                <w:lang w:eastAsia="ja-JP"/>
              </w:rPr>
            </w:pPr>
            <w:r w:rsidRPr="00241F40">
              <w:rPr>
                <w:lang w:eastAsia="ja-JP"/>
              </w:rPr>
              <w:t>123,</w:t>
            </w:r>
            <w:r w:rsidR="002A25B0" w:rsidRPr="00241F40">
              <w:rPr>
                <w:lang w:eastAsia="ja-JP"/>
              </w:rPr>
              <w:t>289</w:t>
            </w:r>
          </w:p>
        </w:tc>
        <w:tc>
          <w:tcPr>
            <w:tcW w:w="1870" w:type="dxa"/>
            <w:tcBorders>
              <w:top w:val="single" w:sz="8" w:space="0" w:color="auto"/>
            </w:tcBorders>
            <w:vAlign w:val="center"/>
          </w:tcPr>
          <w:p w14:paraId="0903B90D" w14:textId="57996196" w:rsidR="002A25B0" w:rsidRPr="00CB1631" w:rsidRDefault="002E31CB" w:rsidP="0014075E">
            <w:pPr>
              <w:pStyle w:val="ExhibitText"/>
              <w:ind w:right="576"/>
              <w:jc w:val="right"/>
              <w:rPr>
                <w:color w:val="000000"/>
              </w:rPr>
            </w:pPr>
            <w:r w:rsidRPr="00CB1631">
              <w:rPr>
                <w:color w:val="000000"/>
              </w:rPr>
              <w:t>57.</w:t>
            </w:r>
            <w:r w:rsidR="002A25B0" w:rsidRPr="00CB1631">
              <w:rPr>
                <w:color w:val="000000"/>
              </w:rPr>
              <w:t>4</w:t>
            </w:r>
          </w:p>
        </w:tc>
      </w:tr>
      <w:tr w:rsidR="002A25B0" w:rsidRPr="00241F40" w14:paraId="78F9484D" w14:textId="76CC32F4" w:rsidTr="0014075E">
        <w:trPr>
          <w:trHeight w:val="288"/>
          <w:jc w:val="center"/>
        </w:trPr>
        <w:tc>
          <w:tcPr>
            <w:tcW w:w="1871" w:type="dxa"/>
            <w:shd w:val="clear" w:color="auto" w:fill="auto"/>
            <w:noWrap/>
            <w:vAlign w:val="center"/>
            <w:hideMark/>
          </w:tcPr>
          <w:p w14:paraId="7FD7E0A1" w14:textId="77777777" w:rsidR="002A25B0" w:rsidRPr="00241F40" w:rsidRDefault="002A25B0" w:rsidP="00DC3297">
            <w:pPr>
              <w:pStyle w:val="ExhibitText"/>
              <w:jc w:val="center"/>
              <w:rPr>
                <w:lang w:eastAsia="ja-JP"/>
              </w:rPr>
            </w:pPr>
            <w:r w:rsidRPr="00241F40">
              <w:rPr>
                <w:lang w:eastAsia="ja-JP"/>
              </w:rPr>
              <w:t>2013</w:t>
            </w:r>
          </w:p>
        </w:tc>
        <w:tc>
          <w:tcPr>
            <w:tcW w:w="1869" w:type="dxa"/>
            <w:shd w:val="clear" w:color="auto" w:fill="auto"/>
            <w:vAlign w:val="center"/>
            <w:hideMark/>
          </w:tcPr>
          <w:p w14:paraId="17D18AA9" w14:textId="7117E01B" w:rsidR="002A25B0" w:rsidRPr="00241F40" w:rsidRDefault="002E31CB" w:rsidP="0014075E">
            <w:pPr>
              <w:pStyle w:val="ExhibitText"/>
              <w:ind w:right="432"/>
              <w:jc w:val="right"/>
              <w:rPr>
                <w:lang w:eastAsia="ja-JP"/>
              </w:rPr>
            </w:pPr>
            <w:r w:rsidRPr="00241F40">
              <w:rPr>
                <w:lang w:eastAsia="ja-JP"/>
              </w:rPr>
              <w:t>133,541</w:t>
            </w:r>
          </w:p>
        </w:tc>
        <w:tc>
          <w:tcPr>
            <w:tcW w:w="1870" w:type="dxa"/>
            <w:shd w:val="clear" w:color="auto" w:fill="auto"/>
            <w:vAlign w:val="center"/>
            <w:hideMark/>
          </w:tcPr>
          <w:p w14:paraId="5CC126C5" w14:textId="124CAC07" w:rsidR="002A25B0" w:rsidRPr="00241F40" w:rsidRDefault="002E31CB" w:rsidP="0014075E">
            <w:pPr>
              <w:pStyle w:val="ExhibitText"/>
              <w:ind w:right="432"/>
              <w:jc w:val="right"/>
              <w:rPr>
                <w:lang w:eastAsia="ja-JP"/>
              </w:rPr>
            </w:pPr>
            <w:r w:rsidRPr="00241F40">
              <w:rPr>
                <w:lang w:eastAsia="ja-JP"/>
              </w:rPr>
              <w:t>85,</w:t>
            </w:r>
            <w:r w:rsidR="002A25B0" w:rsidRPr="00241F40">
              <w:rPr>
                <w:lang w:eastAsia="ja-JP"/>
              </w:rPr>
              <w:t>785</w:t>
            </w:r>
          </w:p>
        </w:tc>
        <w:tc>
          <w:tcPr>
            <w:tcW w:w="1870" w:type="dxa"/>
            <w:vAlign w:val="center"/>
          </w:tcPr>
          <w:p w14:paraId="75A60F8B" w14:textId="5E0992CD" w:rsidR="002A25B0" w:rsidRPr="00CB1631" w:rsidRDefault="002E31CB" w:rsidP="0014075E">
            <w:pPr>
              <w:pStyle w:val="ExhibitText"/>
              <w:ind w:right="576"/>
              <w:jc w:val="right"/>
              <w:rPr>
                <w:color w:val="000000"/>
              </w:rPr>
            </w:pPr>
            <w:r w:rsidRPr="00CB1631">
              <w:rPr>
                <w:color w:val="000000"/>
              </w:rPr>
              <w:t>64.</w:t>
            </w:r>
            <w:r w:rsidR="002A25B0" w:rsidRPr="00CB1631">
              <w:rPr>
                <w:color w:val="000000"/>
              </w:rPr>
              <w:t>2</w:t>
            </w:r>
          </w:p>
        </w:tc>
      </w:tr>
      <w:tr w:rsidR="002A25B0" w:rsidRPr="00241F40" w14:paraId="7FDBA7F6" w14:textId="16642406" w:rsidTr="0014075E">
        <w:trPr>
          <w:trHeight w:val="288"/>
          <w:jc w:val="center"/>
        </w:trPr>
        <w:tc>
          <w:tcPr>
            <w:tcW w:w="1871" w:type="dxa"/>
            <w:shd w:val="clear" w:color="auto" w:fill="auto"/>
            <w:noWrap/>
            <w:vAlign w:val="center"/>
            <w:hideMark/>
          </w:tcPr>
          <w:p w14:paraId="0E57B207" w14:textId="77777777" w:rsidR="002A25B0" w:rsidRPr="00241F40" w:rsidRDefault="002A25B0" w:rsidP="00DC3297">
            <w:pPr>
              <w:pStyle w:val="ExhibitText"/>
              <w:jc w:val="center"/>
              <w:rPr>
                <w:lang w:eastAsia="ja-JP"/>
              </w:rPr>
            </w:pPr>
            <w:r w:rsidRPr="00241F40">
              <w:rPr>
                <w:lang w:eastAsia="ja-JP"/>
              </w:rPr>
              <w:t>2014</w:t>
            </w:r>
          </w:p>
        </w:tc>
        <w:tc>
          <w:tcPr>
            <w:tcW w:w="1869" w:type="dxa"/>
            <w:shd w:val="clear" w:color="auto" w:fill="auto"/>
            <w:vAlign w:val="center"/>
            <w:hideMark/>
          </w:tcPr>
          <w:p w14:paraId="55557A5A" w14:textId="61F2979F" w:rsidR="002A25B0" w:rsidRPr="00241F40" w:rsidRDefault="002E31CB" w:rsidP="0014075E">
            <w:pPr>
              <w:pStyle w:val="ExhibitText"/>
              <w:ind w:right="432"/>
              <w:jc w:val="right"/>
              <w:rPr>
                <w:lang w:eastAsia="ja-JP"/>
              </w:rPr>
            </w:pPr>
            <w:r w:rsidRPr="00241F40">
              <w:rPr>
                <w:lang w:eastAsia="ja-JP"/>
              </w:rPr>
              <w:t>102,</w:t>
            </w:r>
            <w:r w:rsidR="002A25B0" w:rsidRPr="00241F40">
              <w:rPr>
                <w:lang w:eastAsia="ja-JP"/>
              </w:rPr>
              <w:t>401</w:t>
            </w:r>
          </w:p>
        </w:tc>
        <w:tc>
          <w:tcPr>
            <w:tcW w:w="1870" w:type="dxa"/>
            <w:shd w:val="clear" w:color="auto" w:fill="auto"/>
            <w:vAlign w:val="center"/>
            <w:hideMark/>
          </w:tcPr>
          <w:p w14:paraId="4B43B74B" w14:textId="6112CDA7" w:rsidR="002A25B0" w:rsidRPr="00241F40" w:rsidRDefault="002E31CB" w:rsidP="0014075E">
            <w:pPr>
              <w:pStyle w:val="ExhibitText"/>
              <w:ind w:right="432"/>
              <w:jc w:val="right"/>
              <w:rPr>
                <w:lang w:eastAsia="ja-JP"/>
              </w:rPr>
            </w:pPr>
            <w:r w:rsidRPr="00241F40">
              <w:rPr>
                <w:lang w:eastAsia="ja-JP"/>
              </w:rPr>
              <w:t>65,</w:t>
            </w:r>
            <w:r w:rsidR="002A25B0" w:rsidRPr="00241F40">
              <w:rPr>
                <w:lang w:eastAsia="ja-JP"/>
              </w:rPr>
              <w:t>755</w:t>
            </w:r>
          </w:p>
        </w:tc>
        <w:tc>
          <w:tcPr>
            <w:tcW w:w="1870" w:type="dxa"/>
            <w:vAlign w:val="center"/>
          </w:tcPr>
          <w:p w14:paraId="22FD0B31" w14:textId="4E053A7B" w:rsidR="002A25B0" w:rsidRPr="00CB1631" w:rsidRDefault="002E31CB" w:rsidP="0014075E">
            <w:pPr>
              <w:pStyle w:val="ExhibitText"/>
              <w:ind w:right="576"/>
              <w:jc w:val="right"/>
              <w:rPr>
                <w:color w:val="000000"/>
              </w:rPr>
            </w:pPr>
            <w:r w:rsidRPr="00CB1631">
              <w:rPr>
                <w:color w:val="000000"/>
              </w:rPr>
              <w:t>64.</w:t>
            </w:r>
            <w:r w:rsidR="002A25B0" w:rsidRPr="00CB1631">
              <w:rPr>
                <w:color w:val="000000"/>
              </w:rPr>
              <w:t>2</w:t>
            </w:r>
          </w:p>
        </w:tc>
      </w:tr>
      <w:tr w:rsidR="002A25B0" w:rsidRPr="00241F40" w14:paraId="241FE830" w14:textId="56B85B2F" w:rsidTr="0014075E">
        <w:trPr>
          <w:trHeight w:val="288"/>
          <w:jc w:val="center"/>
        </w:trPr>
        <w:tc>
          <w:tcPr>
            <w:tcW w:w="1871" w:type="dxa"/>
            <w:shd w:val="clear" w:color="auto" w:fill="auto"/>
            <w:noWrap/>
            <w:vAlign w:val="center"/>
            <w:hideMark/>
          </w:tcPr>
          <w:p w14:paraId="28C781E7" w14:textId="77777777" w:rsidR="002A25B0" w:rsidRPr="00241F40" w:rsidRDefault="002A25B0" w:rsidP="00DC3297">
            <w:pPr>
              <w:pStyle w:val="ExhibitText"/>
              <w:jc w:val="center"/>
              <w:rPr>
                <w:lang w:eastAsia="ja-JP"/>
              </w:rPr>
            </w:pPr>
            <w:r w:rsidRPr="00241F40">
              <w:rPr>
                <w:lang w:eastAsia="ja-JP"/>
              </w:rPr>
              <w:t>2015</w:t>
            </w:r>
          </w:p>
        </w:tc>
        <w:tc>
          <w:tcPr>
            <w:tcW w:w="1869" w:type="dxa"/>
            <w:shd w:val="clear" w:color="auto" w:fill="auto"/>
            <w:vAlign w:val="center"/>
            <w:hideMark/>
          </w:tcPr>
          <w:p w14:paraId="08CF4660" w14:textId="3C921B01" w:rsidR="002A25B0" w:rsidRPr="00241F40" w:rsidRDefault="002E31CB" w:rsidP="0014075E">
            <w:pPr>
              <w:pStyle w:val="ExhibitText"/>
              <w:ind w:right="432"/>
              <w:jc w:val="right"/>
              <w:rPr>
                <w:lang w:eastAsia="ja-JP"/>
              </w:rPr>
            </w:pPr>
            <w:r w:rsidRPr="00241F40">
              <w:rPr>
                <w:lang w:eastAsia="ja-JP"/>
              </w:rPr>
              <w:t>63,</w:t>
            </w:r>
            <w:r w:rsidR="002A25B0" w:rsidRPr="00241F40">
              <w:rPr>
                <w:lang w:eastAsia="ja-JP"/>
              </w:rPr>
              <w:t>98</w:t>
            </w:r>
            <w:r w:rsidRPr="00241F40">
              <w:rPr>
                <w:lang w:eastAsia="ja-JP"/>
              </w:rPr>
              <w:t>9</w:t>
            </w:r>
          </w:p>
        </w:tc>
        <w:tc>
          <w:tcPr>
            <w:tcW w:w="1870" w:type="dxa"/>
            <w:shd w:val="clear" w:color="auto" w:fill="auto"/>
            <w:vAlign w:val="center"/>
            <w:hideMark/>
          </w:tcPr>
          <w:p w14:paraId="12CB80FB" w14:textId="2E8924C7" w:rsidR="002A25B0" w:rsidRPr="00241F40" w:rsidRDefault="002E31CB" w:rsidP="0014075E">
            <w:pPr>
              <w:pStyle w:val="ExhibitText"/>
              <w:ind w:right="432"/>
              <w:jc w:val="right"/>
              <w:rPr>
                <w:lang w:eastAsia="ja-JP"/>
              </w:rPr>
            </w:pPr>
            <w:r w:rsidRPr="00241F40">
              <w:rPr>
                <w:lang w:eastAsia="ja-JP"/>
              </w:rPr>
              <w:t>44,088</w:t>
            </w:r>
          </w:p>
        </w:tc>
        <w:tc>
          <w:tcPr>
            <w:tcW w:w="1870" w:type="dxa"/>
            <w:vAlign w:val="center"/>
          </w:tcPr>
          <w:p w14:paraId="6F3D58DE" w14:textId="105BE6EC" w:rsidR="002A25B0" w:rsidRPr="00CB1631" w:rsidRDefault="002E31CB" w:rsidP="0014075E">
            <w:pPr>
              <w:pStyle w:val="ExhibitText"/>
              <w:ind w:right="576"/>
              <w:jc w:val="right"/>
              <w:rPr>
                <w:color w:val="000000"/>
              </w:rPr>
            </w:pPr>
            <w:r w:rsidRPr="00CB1631">
              <w:rPr>
                <w:color w:val="000000"/>
              </w:rPr>
              <w:t>68.</w:t>
            </w:r>
            <w:r w:rsidR="002A25B0" w:rsidRPr="00CB1631">
              <w:rPr>
                <w:color w:val="000000"/>
              </w:rPr>
              <w:t>9</w:t>
            </w:r>
          </w:p>
        </w:tc>
      </w:tr>
      <w:tr w:rsidR="002A25B0" w:rsidRPr="00241F40" w14:paraId="4E2CB17B" w14:textId="6CA79FA8" w:rsidTr="0014075E">
        <w:trPr>
          <w:trHeight w:val="288"/>
          <w:jc w:val="center"/>
        </w:trPr>
        <w:tc>
          <w:tcPr>
            <w:tcW w:w="1871" w:type="dxa"/>
            <w:shd w:val="clear" w:color="auto" w:fill="auto"/>
            <w:noWrap/>
            <w:vAlign w:val="center"/>
            <w:hideMark/>
          </w:tcPr>
          <w:p w14:paraId="771B4C74" w14:textId="77777777" w:rsidR="002A25B0" w:rsidRPr="00241F40" w:rsidRDefault="002A25B0" w:rsidP="00DC3297">
            <w:pPr>
              <w:pStyle w:val="ExhibitText"/>
              <w:jc w:val="center"/>
              <w:rPr>
                <w:lang w:eastAsia="ja-JP"/>
              </w:rPr>
            </w:pPr>
            <w:r w:rsidRPr="00241F40">
              <w:rPr>
                <w:lang w:eastAsia="ja-JP"/>
              </w:rPr>
              <w:t>2016</w:t>
            </w:r>
          </w:p>
        </w:tc>
        <w:tc>
          <w:tcPr>
            <w:tcW w:w="1869" w:type="dxa"/>
            <w:shd w:val="clear" w:color="auto" w:fill="auto"/>
            <w:vAlign w:val="center"/>
            <w:hideMark/>
          </w:tcPr>
          <w:p w14:paraId="6D51083B" w14:textId="208C699B" w:rsidR="002A25B0" w:rsidRPr="00241F40" w:rsidRDefault="002E31CB" w:rsidP="0014075E">
            <w:pPr>
              <w:pStyle w:val="ExhibitText"/>
              <w:ind w:right="432"/>
              <w:jc w:val="right"/>
              <w:rPr>
                <w:lang w:eastAsia="ja-JP"/>
              </w:rPr>
            </w:pPr>
            <w:r w:rsidRPr="00241F40">
              <w:rPr>
                <w:lang w:eastAsia="ja-JP"/>
              </w:rPr>
              <w:t>75,</w:t>
            </w:r>
            <w:r w:rsidR="002A25B0" w:rsidRPr="00241F40">
              <w:rPr>
                <w:lang w:eastAsia="ja-JP"/>
              </w:rPr>
              <w:t>40</w:t>
            </w:r>
            <w:r w:rsidRPr="00241F40">
              <w:rPr>
                <w:lang w:eastAsia="ja-JP"/>
              </w:rPr>
              <w:t>5</w:t>
            </w:r>
          </w:p>
        </w:tc>
        <w:tc>
          <w:tcPr>
            <w:tcW w:w="1870" w:type="dxa"/>
            <w:shd w:val="clear" w:color="auto" w:fill="auto"/>
            <w:vAlign w:val="center"/>
            <w:hideMark/>
          </w:tcPr>
          <w:p w14:paraId="58B5B6A5" w14:textId="6117FC03" w:rsidR="002A25B0" w:rsidRPr="00241F40" w:rsidRDefault="002E31CB" w:rsidP="0014075E">
            <w:pPr>
              <w:pStyle w:val="ExhibitText"/>
              <w:ind w:right="432"/>
              <w:jc w:val="right"/>
              <w:rPr>
                <w:lang w:eastAsia="ja-JP"/>
              </w:rPr>
            </w:pPr>
            <w:r w:rsidRPr="00241F40">
              <w:rPr>
                <w:lang w:eastAsia="ja-JP"/>
              </w:rPr>
              <w:t>63,</w:t>
            </w:r>
            <w:r w:rsidR="002A25B0" w:rsidRPr="00241F40">
              <w:rPr>
                <w:lang w:eastAsia="ja-JP"/>
              </w:rPr>
              <w:t>625</w:t>
            </w:r>
          </w:p>
        </w:tc>
        <w:tc>
          <w:tcPr>
            <w:tcW w:w="1870" w:type="dxa"/>
            <w:vAlign w:val="center"/>
          </w:tcPr>
          <w:p w14:paraId="22308934" w14:textId="1F0EDA29" w:rsidR="002A25B0" w:rsidRPr="00CB1631" w:rsidRDefault="002E31CB" w:rsidP="0014075E">
            <w:pPr>
              <w:pStyle w:val="ExhibitText"/>
              <w:ind w:right="576"/>
              <w:jc w:val="right"/>
              <w:rPr>
                <w:color w:val="000000"/>
              </w:rPr>
            </w:pPr>
            <w:r w:rsidRPr="00CB1631">
              <w:rPr>
                <w:color w:val="000000"/>
              </w:rPr>
              <w:t>84.4</w:t>
            </w:r>
          </w:p>
        </w:tc>
      </w:tr>
      <w:tr w:rsidR="002A25B0" w:rsidRPr="00241F40" w14:paraId="30D58D81" w14:textId="614C2281" w:rsidTr="0014075E">
        <w:trPr>
          <w:trHeight w:val="288"/>
          <w:jc w:val="center"/>
        </w:trPr>
        <w:tc>
          <w:tcPr>
            <w:tcW w:w="1871" w:type="dxa"/>
            <w:shd w:val="clear" w:color="auto" w:fill="auto"/>
            <w:noWrap/>
            <w:vAlign w:val="center"/>
            <w:hideMark/>
          </w:tcPr>
          <w:p w14:paraId="23A197D9" w14:textId="5DCDE655" w:rsidR="002A25B0" w:rsidRPr="00241F40" w:rsidRDefault="003B6617" w:rsidP="003B6617">
            <w:pPr>
              <w:pStyle w:val="ExhibitText"/>
              <w:jc w:val="center"/>
              <w:rPr>
                <w:lang w:eastAsia="ja-JP"/>
              </w:rPr>
            </w:pPr>
            <w:r>
              <w:rPr>
                <w:lang w:eastAsia="ja-JP"/>
              </w:rPr>
              <w:t xml:space="preserve">June </w:t>
            </w:r>
            <w:r w:rsidR="002A25B0" w:rsidRPr="00241F40">
              <w:rPr>
                <w:lang w:eastAsia="ja-JP"/>
              </w:rPr>
              <w:t>2017</w:t>
            </w:r>
          </w:p>
        </w:tc>
        <w:tc>
          <w:tcPr>
            <w:tcW w:w="1869" w:type="dxa"/>
            <w:shd w:val="clear" w:color="auto" w:fill="auto"/>
            <w:vAlign w:val="center"/>
            <w:hideMark/>
          </w:tcPr>
          <w:p w14:paraId="094B2359" w14:textId="05997CB7" w:rsidR="002A25B0" w:rsidRPr="00241F40" w:rsidRDefault="007E106B" w:rsidP="0014075E">
            <w:pPr>
              <w:pStyle w:val="ExhibitText"/>
              <w:ind w:right="432"/>
              <w:jc w:val="right"/>
              <w:rPr>
                <w:lang w:eastAsia="ja-JP"/>
              </w:rPr>
            </w:pPr>
            <w:r>
              <w:rPr>
                <w:rFonts w:ascii="Calibri" w:eastAsiaTheme="minorHAnsi" w:hAnsi="Calibri" w:cs="Calibri"/>
                <w:color w:val="000000"/>
                <w:sz w:val="22"/>
                <w:szCs w:val="22"/>
                <w:lang w:val="es-EC"/>
              </w:rPr>
              <w:t>6.437.347</w:t>
            </w:r>
          </w:p>
        </w:tc>
        <w:tc>
          <w:tcPr>
            <w:tcW w:w="1870" w:type="dxa"/>
            <w:shd w:val="clear" w:color="auto" w:fill="auto"/>
            <w:vAlign w:val="center"/>
            <w:hideMark/>
          </w:tcPr>
          <w:p w14:paraId="2297B3B3" w14:textId="2A986D15" w:rsidR="002A25B0" w:rsidRPr="0014075E" w:rsidRDefault="007E106B" w:rsidP="0014075E">
            <w:pPr>
              <w:jc w:val="center"/>
              <w:rPr>
                <w:rFonts w:ascii="Calibri" w:hAnsi="Calibri"/>
                <w:color w:val="000000"/>
                <w:sz w:val="22"/>
                <w:szCs w:val="22"/>
                <w:lang w:val="es-EC"/>
              </w:rPr>
            </w:pPr>
            <w:r>
              <w:rPr>
                <w:rFonts w:ascii="Calibri" w:hAnsi="Calibri"/>
                <w:color w:val="000000"/>
                <w:sz w:val="22"/>
                <w:szCs w:val="22"/>
              </w:rPr>
              <w:t>6.334.262</w:t>
            </w:r>
          </w:p>
        </w:tc>
        <w:tc>
          <w:tcPr>
            <w:tcW w:w="1870" w:type="dxa"/>
            <w:vAlign w:val="center"/>
          </w:tcPr>
          <w:p w14:paraId="62B78557" w14:textId="70773153" w:rsidR="002A25B0" w:rsidRPr="00CB1631" w:rsidRDefault="002E31CB" w:rsidP="0014075E">
            <w:pPr>
              <w:pStyle w:val="ExhibitText"/>
              <w:ind w:right="576"/>
              <w:jc w:val="right"/>
              <w:rPr>
                <w:color w:val="000000"/>
              </w:rPr>
            </w:pPr>
            <w:r w:rsidRPr="00CB1631">
              <w:rPr>
                <w:color w:val="000000"/>
              </w:rPr>
              <w:t>9</w:t>
            </w:r>
            <w:r w:rsidR="007E106B">
              <w:rPr>
                <w:color w:val="000000"/>
              </w:rPr>
              <w:t>8</w:t>
            </w:r>
            <w:r w:rsidRPr="00CB1631">
              <w:rPr>
                <w:color w:val="000000"/>
              </w:rPr>
              <w:t>.3</w:t>
            </w:r>
            <w:r w:rsidR="007E106B">
              <w:rPr>
                <w:color w:val="000000"/>
              </w:rPr>
              <w:t>9</w:t>
            </w:r>
          </w:p>
        </w:tc>
      </w:tr>
    </w:tbl>
    <w:p w14:paraId="151887CE" w14:textId="77777777" w:rsidR="0017012C" w:rsidRPr="00241F40" w:rsidRDefault="0017012C" w:rsidP="00FD54D0">
      <w:pPr>
        <w:pStyle w:val="ExhibitText"/>
      </w:pPr>
    </w:p>
    <w:p w14:paraId="691E94C5" w14:textId="36AEC88D" w:rsidR="0017012C" w:rsidRPr="008E5EEF" w:rsidRDefault="0017012C" w:rsidP="000834EC">
      <w:pPr>
        <w:pStyle w:val="Footnote"/>
        <w:rPr>
          <w:lang w:val="es-EC"/>
        </w:rPr>
      </w:pPr>
      <w:r w:rsidRPr="008E5EEF">
        <w:rPr>
          <w:lang w:val="es-EC"/>
        </w:rPr>
        <w:t>Source</w:t>
      </w:r>
      <w:r w:rsidR="003D733F" w:rsidRPr="008E5EEF">
        <w:rPr>
          <w:lang w:val="es-EC"/>
        </w:rPr>
        <w:t>:</w:t>
      </w:r>
      <w:r w:rsidRPr="008E5EEF">
        <w:rPr>
          <w:lang w:val="es-EC"/>
        </w:rPr>
        <w:t xml:space="preserve"> Trade</w:t>
      </w:r>
      <w:r w:rsidR="000E4DC0" w:rsidRPr="008E5EEF">
        <w:rPr>
          <w:lang w:val="es-EC"/>
        </w:rPr>
        <w:t xml:space="preserve">, </w:t>
      </w:r>
      <w:r w:rsidR="003D733F" w:rsidRPr="008E5EEF">
        <w:rPr>
          <w:lang w:val="es-EC"/>
        </w:rPr>
        <w:t>“</w:t>
      </w:r>
      <w:r w:rsidR="00F638D2" w:rsidRPr="008E5EEF">
        <w:rPr>
          <w:lang w:val="es-EC"/>
        </w:rPr>
        <w:t>Informe Ecuador: Exportaciones e Importaciones</w:t>
      </w:r>
      <w:r w:rsidR="003D733F" w:rsidRPr="008E5EEF">
        <w:rPr>
          <w:lang w:val="es-EC"/>
        </w:rPr>
        <w:t>,”</w:t>
      </w:r>
      <w:r w:rsidR="00F638D2" w:rsidRPr="008E5EEF">
        <w:rPr>
          <w:lang w:val="es-EC"/>
        </w:rPr>
        <w:t xml:space="preserve"> </w:t>
      </w:r>
      <w:r w:rsidR="00F638D2" w:rsidRPr="008E5EEF">
        <w:rPr>
          <w:i/>
          <w:lang w:val="es-EC"/>
        </w:rPr>
        <w:t xml:space="preserve">Trade, </w:t>
      </w:r>
      <w:r w:rsidR="00F638D2" w:rsidRPr="008E5EEF">
        <w:rPr>
          <w:lang w:val="es-EC"/>
        </w:rPr>
        <w:t>June 16,</w:t>
      </w:r>
      <w:r w:rsidRPr="008E5EEF">
        <w:rPr>
          <w:lang w:val="es-EC"/>
        </w:rPr>
        <w:t xml:space="preserve"> 2017</w:t>
      </w:r>
      <w:r w:rsidR="00F638D2" w:rsidRPr="008E5EEF">
        <w:rPr>
          <w:lang w:val="es-EC"/>
        </w:rPr>
        <w:t xml:space="preserve">, </w:t>
      </w:r>
      <w:hyperlink r:id="rId13" w:history="1">
        <w:r w:rsidR="00F638D2" w:rsidRPr="008E5EEF">
          <w:rPr>
            <w:lang w:val="es-EC"/>
          </w:rPr>
          <w:t>http://trade.nosis.com/es/Comex/Importacion-Exportacion/Ecuador/cafe--cafe-incluso-tostado-o-descafeinado-cascara-y-cascarilla-de-cafe-sucedaneos-del-cafe-que-conte/EC/0901</w:t>
        </w:r>
      </w:hyperlink>
      <w:r w:rsidRPr="008E5EEF">
        <w:rPr>
          <w:lang w:val="es-EC"/>
        </w:rPr>
        <w:t>.</w:t>
      </w:r>
    </w:p>
    <w:p w14:paraId="553E267A" w14:textId="77777777" w:rsidR="0017012C" w:rsidRPr="008E5EEF" w:rsidRDefault="0017012C" w:rsidP="00FD54D0">
      <w:pPr>
        <w:pStyle w:val="ExhibitText"/>
        <w:rPr>
          <w:lang w:val="es-EC"/>
        </w:rPr>
      </w:pPr>
    </w:p>
    <w:sectPr w:rsidR="0017012C" w:rsidRPr="008E5EEF" w:rsidSect="00EB5410">
      <w:headerReference w:type="default" r:id="rId14"/>
      <w:endnotePr>
        <w:numFmt w:val="decimal"/>
      </w:endnotePr>
      <w:pgSz w:w="12240" w:h="15840"/>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ADA732" w16cid:durableId="1D98C400"/>
  <w16cid:commentId w16cid:paraId="7A0EA51C" w16cid:durableId="1D98C427"/>
  <w16cid:commentId w16cid:paraId="6398FEA4" w16cid:durableId="1D98C401"/>
  <w16cid:commentId w16cid:paraId="02A3DC0C" w16cid:durableId="1D98C45B"/>
  <w16cid:commentId w16cid:paraId="7BBC46B3" w16cid:durableId="1D98C402"/>
  <w16cid:commentId w16cid:paraId="7571E646" w16cid:durableId="1D98C403"/>
  <w16cid:commentId w16cid:paraId="4DF30839" w16cid:durableId="1D98C404"/>
  <w16cid:commentId w16cid:paraId="0D9D33B4" w16cid:durableId="1D98C7BC"/>
  <w16cid:commentId w16cid:paraId="51BBE012" w16cid:durableId="1D98C405"/>
  <w16cid:commentId w16cid:paraId="4B50DFDF" w16cid:durableId="1D98C77F"/>
  <w16cid:commentId w16cid:paraId="4800CDAB" w16cid:durableId="1D98C406"/>
  <w16cid:commentId w16cid:paraId="71A49E68" w16cid:durableId="1D98C407"/>
  <w16cid:commentId w16cid:paraId="7B4FF3C6" w16cid:durableId="1D98C50E"/>
  <w16cid:commentId w16cid:paraId="4B67986A" w16cid:durableId="1D98C408"/>
  <w16cid:commentId w16cid:paraId="2959C266" w16cid:durableId="1D98C409"/>
  <w16cid:commentId w16cid:paraId="5C47F8CC" w16cid:durableId="1D98C40A"/>
  <w16cid:commentId w16cid:paraId="6427BFAF" w16cid:durableId="1D98C40B"/>
  <w16cid:commentId w16cid:paraId="73AFA523" w16cid:durableId="1D98C40C"/>
  <w16cid:commentId w16cid:paraId="0F1FE8EA" w16cid:durableId="1D98C40D"/>
  <w16cid:commentId w16cid:paraId="1740FC5F" w16cid:durableId="1D98C40E"/>
  <w16cid:commentId w16cid:paraId="05A7C56A" w16cid:durableId="1D98C40F"/>
  <w16cid:commentId w16cid:paraId="51E28504" w16cid:durableId="1D98C58E"/>
  <w16cid:commentId w16cid:paraId="685103D0" w16cid:durableId="1D98C410"/>
  <w16cid:commentId w16cid:paraId="7A8212F7" w16cid:durableId="1D98C595"/>
  <w16cid:commentId w16cid:paraId="42CB60C9" w16cid:durableId="1D98C411"/>
  <w16cid:commentId w16cid:paraId="3EC34E96" w16cid:durableId="1D98C5B9"/>
  <w16cid:commentId w16cid:paraId="2BC9B27C" w16cid:durableId="1D98C412"/>
  <w16cid:commentId w16cid:paraId="1AA06833" w16cid:durableId="1D98C5F8"/>
  <w16cid:commentId w16cid:paraId="4F1CE2CA" w16cid:durableId="1D98C413"/>
  <w16cid:commentId w16cid:paraId="38F20D0C" w16cid:durableId="1D98C414"/>
  <w16cid:commentId w16cid:paraId="266CC204" w16cid:durableId="1D98C415"/>
  <w16cid:commentId w16cid:paraId="3DB581C6" w16cid:durableId="1D98C416"/>
  <w16cid:commentId w16cid:paraId="71B00151" w16cid:durableId="1D98C662"/>
  <w16cid:commentId w16cid:paraId="54DEC38B" w16cid:durableId="1D98C417"/>
  <w16cid:commentId w16cid:paraId="75A368A3" w16cid:durableId="1D98C66C"/>
  <w16cid:commentId w16cid:paraId="1A8E7655" w16cid:durableId="1D98C418"/>
  <w16cid:commentId w16cid:paraId="574B574D" w16cid:durableId="1D98C6FE"/>
  <w16cid:commentId w16cid:paraId="55BE4450" w16cid:durableId="1D98C419"/>
  <w16cid:commentId w16cid:paraId="3365F0A0" w16cid:durableId="1D98C41A"/>
  <w16cid:commentId w16cid:paraId="69BE0C8C" w16cid:durableId="1D98C41B"/>
  <w16cid:commentId w16cid:paraId="319548AE" w16cid:durableId="1D98C41C"/>
  <w16cid:commentId w16cid:paraId="7AA3C373" w16cid:durableId="1D98C41D"/>
  <w16cid:commentId w16cid:paraId="452AA621" w16cid:durableId="1D98C750"/>
  <w16cid:commentId w16cid:paraId="532C9BA9" w16cid:durableId="1D98C41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83C44" w14:textId="77777777" w:rsidR="00E8550E" w:rsidRDefault="00E8550E" w:rsidP="00D75295">
      <w:r>
        <w:separator/>
      </w:r>
    </w:p>
  </w:endnote>
  <w:endnote w:type="continuationSeparator" w:id="0">
    <w:p w14:paraId="563D04ED" w14:textId="77777777" w:rsidR="00E8550E" w:rsidRDefault="00E8550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A3B7A2" w14:textId="77777777" w:rsidR="00E8550E" w:rsidRDefault="00E8550E" w:rsidP="00D75295">
      <w:r>
        <w:separator/>
      </w:r>
    </w:p>
  </w:footnote>
  <w:footnote w:type="continuationSeparator" w:id="0">
    <w:p w14:paraId="52B5F3B4" w14:textId="77777777" w:rsidR="00E8550E" w:rsidRDefault="00E8550E" w:rsidP="00D75295">
      <w:r>
        <w:continuationSeparator/>
      </w:r>
    </w:p>
  </w:footnote>
  <w:footnote w:id="1">
    <w:p w14:paraId="62BD9596" w14:textId="0EF44276" w:rsidR="00E8550E" w:rsidRPr="00CB1631" w:rsidRDefault="00E8550E" w:rsidP="00CB1631">
      <w:pPr>
        <w:pStyle w:val="Footnote"/>
        <w:rPr>
          <w:lang w:val="en-CA"/>
        </w:rPr>
      </w:pPr>
      <w:r>
        <w:rPr>
          <w:rStyle w:val="FootnoteReference"/>
        </w:rPr>
        <w:footnoteRef/>
      </w:r>
      <w:r>
        <w:t xml:space="preserve"> </w:t>
      </w:r>
      <w:r>
        <w:rPr>
          <w:lang w:val="en-CA"/>
        </w:rPr>
        <w:t>The sucre was the currency of Ecuador between 1884 and 2000.</w:t>
      </w:r>
    </w:p>
  </w:footnote>
  <w:footnote w:id="2">
    <w:p w14:paraId="44A4AC0D" w14:textId="5A565986" w:rsidR="00E8550E" w:rsidRDefault="00E8550E" w:rsidP="000662E8">
      <w:pPr>
        <w:pStyle w:val="Footnote"/>
      </w:pPr>
      <w:r>
        <w:rPr>
          <w:rStyle w:val="FootnoteReference"/>
        </w:rPr>
        <w:footnoteRef/>
      </w:r>
      <w:r>
        <w:t xml:space="preserve"> All currency amounts are in U.S. dollars unless otherwise specified.</w:t>
      </w:r>
    </w:p>
  </w:footnote>
  <w:footnote w:id="3">
    <w:p w14:paraId="1BC7FC21" w14:textId="27AC241B" w:rsidR="00E8550E" w:rsidRPr="009825CC" w:rsidRDefault="00E8550E" w:rsidP="007C699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Arial" w:hAnsi="Arial" w:cs="Arial"/>
          <w:sz w:val="17"/>
          <w:szCs w:val="17"/>
          <w:lang w:val="es-EC"/>
        </w:rPr>
      </w:pPr>
      <w:r w:rsidRPr="009825CC">
        <w:rPr>
          <w:rStyle w:val="FootnoteReference"/>
          <w:rFonts w:ascii="Arial" w:hAnsi="Arial" w:cs="Arial"/>
          <w:sz w:val="17"/>
          <w:szCs w:val="17"/>
        </w:rPr>
        <w:footnoteRef/>
      </w:r>
      <w:r w:rsidRPr="009825CC">
        <w:rPr>
          <w:rFonts w:ascii="Arial" w:hAnsi="Arial" w:cs="Arial"/>
          <w:sz w:val="17"/>
          <w:szCs w:val="17"/>
          <w:lang w:val="es-EC"/>
        </w:rPr>
        <w:t xml:space="preserve"> Cotizaciones- Banco Central del Ecuador, </w:t>
      </w:r>
      <w:r w:rsidRPr="00E21706">
        <w:rPr>
          <w:rFonts w:ascii="Arial" w:eastAsiaTheme="minorHAnsi" w:hAnsi="Arial" w:cs="Arial"/>
          <w:sz w:val="17"/>
          <w:szCs w:val="17"/>
          <w:lang w:val="es-EC"/>
        </w:rPr>
        <w:t>“Tipo de cambio Sucre-Dólar Histórico,” Banco Central del Ecuador, accessed October 10, 2017, https://www.bce.fin.ec/index.php/cotizaciones</w:t>
      </w:r>
    </w:p>
  </w:footnote>
  <w:footnote w:id="4">
    <w:p w14:paraId="176617FE" w14:textId="345F7F36" w:rsidR="00E8550E" w:rsidRPr="007C6995" w:rsidRDefault="00E8550E">
      <w:pPr>
        <w:pStyle w:val="FootnoteText"/>
        <w:rPr>
          <w:lang w:val="en-US"/>
        </w:rPr>
      </w:pPr>
      <w:r w:rsidRPr="009825CC">
        <w:rPr>
          <w:rStyle w:val="FootnoteReference"/>
          <w:rFonts w:ascii="Arial" w:hAnsi="Arial" w:cs="Arial"/>
          <w:sz w:val="17"/>
          <w:szCs w:val="17"/>
        </w:rPr>
        <w:footnoteRef/>
      </w:r>
      <w:r w:rsidRPr="009825CC">
        <w:rPr>
          <w:rFonts w:ascii="Arial" w:hAnsi="Arial" w:cs="Arial"/>
          <w:sz w:val="17"/>
          <w:szCs w:val="17"/>
        </w:rPr>
        <w:t xml:space="preserve"> </w:t>
      </w:r>
      <w:r w:rsidRPr="00E21706">
        <w:rPr>
          <w:rFonts w:ascii="Arial" w:eastAsiaTheme="minorHAnsi" w:hAnsi="Arial" w:cs="Arial"/>
          <w:sz w:val="17"/>
          <w:szCs w:val="17"/>
          <w:lang w:val="en-US"/>
        </w:rPr>
        <w:t>Jorge Salcedo interview with Angélica Sánchez and Nathaniel Lupton, July 27, 2017.</w:t>
      </w:r>
    </w:p>
  </w:footnote>
  <w:footnote w:id="5">
    <w:p w14:paraId="7C69578B" w14:textId="6EFB55A3" w:rsidR="00E8550E" w:rsidRPr="00ED5348" w:rsidRDefault="00E8550E" w:rsidP="00ED5348">
      <w:pPr>
        <w:pStyle w:val="Footnote"/>
      </w:pPr>
      <w:r w:rsidRPr="00A069CE">
        <w:rPr>
          <w:rStyle w:val="FootnoteReference"/>
        </w:rPr>
        <w:footnoteRef/>
      </w:r>
      <w:r w:rsidRPr="00ED5348">
        <w:t xml:space="preserve"> </w:t>
      </w:r>
      <w:r>
        <w:t>“</w:t>
      </w:r>
      <w:r w:rsidRPr="00ED5348">
        <w:t>World Economic Outlook Database</w:t>
      </w:r>
      <w:r>
        <w:t xml:space="preserve">,” </w:t>
      </w:r>
      <w:r w:rsidRPr="00ED5348">
        <w:t>International Monetary Fund, accessed August 3, 2017</w:t>
      </w:r>
      <w:r>
        <w:t xml:space="preserve">, </w:t>
      </w:r>
      <w:r w:rsidRPr="00A069CE">
        <w:t>www.imf.org/external/pubs/ft/weo/2016/02/weodata/index.aspx</w:t>
      </w:r>
      <w:r>
        <w:t>.</w:t>
      </w:r>
    </w:p>
  </w:footnote>
  <w:footnote w:id="6">
    <w:p w14:paraId="7050741E" w14:textId="3B114A86" w:rsidR="00E8550E" w:rsidRPr="007D35DA" w:rsidRDefault="00E8550E" w:rsidP="007D35DA">
      <w:pPr>
        <w:pStyle w:val="Footnote"/>
      </w:pPr>
      <w:r w:rsidRPr="007D35DA">
        <w:rPr>
          <w:rStyle w:val="FootnoteReference"/>
        </w:rPr>
        <w:footnoteRef/>
      </w:r>
      <w:r w:rsidRPr="007D35DA">
        <w:rPr>
          <w:vertAlign w:val="superscript"/>
        </w:rPr>
        <w:t xml:space="preserve"> </w:t>
      </w:r>
      <w:r>
        <w:t>“Ecuador,”</w:t>
      </w:r>
      <w:r w:rsidRPr="007D35DA">
        <w:t xml:space="preserve"> ProMusa,</w:t>
      </w:r>
      <w:r>
        <w:t xml:space="preserve"> </w:t>
      </w:r>
      <w:r w:rsidRPr="007D35DA">
        <w:t>accessed August 1, 2017</w:t>
      </w:r>
      <w:r>
        <w:t xml:space="preserve">, </w:t>
      </w:r>
      <w:r w:rsidRPr="00A069CE">
        <w:t>www.promusa.org/Ecuador</w:t>
      </w:r>
      <w:r>
        <w:t>.</w:t>
      </w:r>
    </w:p>
  </w:footnote>
  <w:footnote w:id="7">
    <w:p w14:paraId="59839038" w14:textId="6BBE7B09" w:rsidR="00E8550E" w:rsidRPr="007D35DA" w:rsidRDefault="00E8550E" w:rsidP="007D35DA">
      <w:pPr>
        <w:pStyle w:val="Footnote"/>
      </w:pPr>
      <w:r w:rsidRPr="007D35DA">
        <w:rPr>
          <w:rStyle w:val="FootnoteReference"/>
        </w:rPr>
        <w:footnoteRef/>
      </w:r>
      <w:r w:rsidRPr="007D35DA">
        <w:t xml:space="preserve"> </w:t>
      </w:r>
      <w:r>
        <w:t xml:space="preserve">“Ecuador,” </w:t>
      </w:r>
      <w:r w:rsidRPr="007D35DA">
        <w:t>Food and Agriculture Organization of the United Nations, accessed August 1, 2017</w:t>
      </w:r>
      <w:r>
        <w:t xml:space="preserve">, </w:t>
      </w:r>
      <w:r w:rsidRPr="008A48EB">
        <w:t>www.fao.org/fileadmin/templates/olq/documents/Ecuador/ppp/TALLER%20REGIONAL%20FAO%20nov%202010/Miercoles/6ECUADORCacaoArriba.pdf</w:t>
      </w:r>
      <w:r>
        <w:t>.</w:t>
      </w:r>
    </w:p>
  </w:footnote>
  <w:footnote w:id="8">
    <w:p w14:paraId="27408EC9" w14:textId="4A00DB92" w:rsidR="00E8550E" w:rsidRPr="000C547B" w:rsidRDefault="00E8550E" w:rsidP="004A2F3D">
      <w:pPr>
        <w:pStyle w:val="Footnote"/>
        <w:rPr>
          <w:lang w:val="es-EC"/>
        </w:rPr>
      </w:pPr>
      <w:r w:rsidRPr="007D35DA">
        <w:rPr>
          <w:rStyle w:val="FootnoteReference"/>
        </w:rPr>
        <w:footnoteRef/>
      </w:r>
      <w:r w:rsidRPr="000C547B">
        <w:rPr>
          <w:lang w:val="es-EC"/>
        </w:rPr>
        <w:t xml:space="preserve"> </w:t>
      </w:r>
      <w:r>
        <w:rPr>
          <w:lang w:val="es-EC"/>
        </w:rPr>
        <w:t>“</w:t>
      </w:r>
      <w:r w:rsidRPr="000C547B">
        <w:rPr>
          <w:lang w:val="es-EC"/>
        </w:rPr>
        <w:t>Acuerdos Comerciales</w:t>
      </w:r>
      <w:r>
        <w:rPr>
          <w:lang w:val="es-EC"/>
        </w:rPr>
        <w:t>,”</w:t>
      </w:r>
      <w:r w:rsidRPr="000C547B">
        <w:rPr>
          <w:lang w:val="es-EC"/>
        </w:rPr>
        <w:t xml:space="preserve"> Ministerio de Comercio Exterior, accessed August 6, 2017</w:t>
      </w:r>
      <w:r>
        <w:rPr>
          <w:lang w:val="es-EC"/>
        </w:rPr>
        <w:t xml:space="preserve">, </w:t>
      </w:r>
      <w:r w:rsidRPr="00A069CE">
        <w:rPr>
          <w:lang w:val="es-EC"/>
        </w:rPr>
        <w:t>www.comercioexterior.gob.ec/ecuador-y-corea-del-sur-inician-en-quito-la-negociacion-de-un-acuerdo-comercial</w:t>
      </w:r>
      <w:r w:rsidRPr="000C547B">
        <w:rPr>
          <w:lang w:val="es-EC"/>
        </w:rPr>
        <w:t>.</w:t>
      </w:r>
    </w:p>
  </w:footnote>
  <w:footnote w:id="9">
    <w:p w14:paraId="72B271B5" w14:textId="3E7B5D27" w:rsidR="00E8550E" w:rsidRPr="000C547B" w:rsidRDefault="00E8550E" w:rsidP="004A2F3D">
      <w:pPr>
        <w:pStyle w:val="Footnote"/>
        <w:rPr>
          <w:lang w:val="es-EC"/>
        </w:rPr>
      </w:pPr>
      <w:r w:rsidRPr="007D35DA">
        <w:rPr>
          <w:rStyle w:val="FootnoteReference"/>
        </w:rPr>
        <w:footnoteRef/>
      </w:r>
      <w:r w:rsidRPr="000C547B">
        <w:rPr>
          <w:vertAlign w:val="superscript"/>
          <w:lang w:val="es-EC"/>
        </w:rPr>
        <w:t xml:space="preserve"> </w:t>
      </w:r>
      <w:r>
        <w:rPr>
          <w:lang w:val="es-EC"/>
        </w:rPr>
        <w:t>“</w:t>
      </w:r>
      <w:r w:rsidRPr="000C547B">
        <w:rPr>
          <w:lang w:val="es-EC"/>
        </w:rPr>
        <w:t>Encuesta de Superficie y Producción Agropecuaria Continua</w:t>
      </w:r>
      <w:r>
        <w:rPr>
          <w:lang w:val="es-EC"/>
        </w:rPr>
        <w:t>,”</w:t>
      </w:r>
      <w:r w:rsidRPr="000C547B">
        <w:rPr>
          <w:lang w:val="es-EC"/>
        </w:rPr>
        <w:t xml:space="preserve"> I</w:t>
      </w:r>
      <w:r>
        <w:rPr>
          <w:lang w:val="es-EC"/>
        </w:rPr>
        <w:t>nstituto Nacional de Estadística y Censos</w:t>
      </w:r>
      <w:r w:rsidRPr="000C547B">
        <w:rPr>
          <w:lang w:val="es-EC"/>
        </w:rPr>
        <w:t>, accessed June 15, 2017</w:t>
      </w:r>
      <w:r>
        <w:rPr>
          <w:lang w:val="es-EC"/>
        </w:rPr>
        <w:t xml:space="preserve">, </w:t>
      </w:r>
      <w:r w:rsidRPr="00F456CF">
        <w:rPr>
          <w:lang w:val="es-EC"/>
        </w:rPr>
        <w:t>www.ecuadorencifras.gob.ec/estadisticas-agropecuarias-2</w:t>
      </w:r>
      <w:r>
        <w:rPr>
          <w:lang w:val="es-EC"/>
        </w:rPr>
        <w:t>.</w:t>
      </w:r>
    </w:p>
  </w:footnote>
  <w:footnote w:id="10">
    <w:p w14:paraId="38F9B1EA" w14:textId="58EC07B7" w:rsidR="00E8550E" w:rsidRPr="008A48EB" w:rsidRDefault="00E8550E" w:rsidP="004A2F3D">
      <w:pPr>
        <w:pStyle w:val="Footnote"/>
      </w:pPr>
      <w:r>
        <w:rPr>
          <w:rStyle w:val="FootnoteReference"/>
        </w:rPr>
        <w:footnoteRef/>
      </w:r>
      <w:r>
        <w:t xml:space="preserve"> Ibid.</w:t>
      </w:r>
    </w:p>
  </w:footnote>
  <w:footnote w:id="11">
    <w:p w14:paraId="4B27DFDE" w14:textId="561E7E10" w:rsidR="00E8550E" w:rsidRPr="008A48EB" w:rsidRDefault="00E8550E" w:rsidP="004A2F3D">
      <w:pPr>
        <w:pStyle w:val="Footnote"/>
      </w:pPr>
      <w:r>
        <w:rPr>
          <w:rStyle w:val="FootnoteReference"/>
        </w:rPr>
        <w:footnoteRef/>
      </w:r>
      <w:r>
        <w:t xml:space="preserve"> Ibid.</w:t>
      </w:r>
    </w:p>
  </w:footnote>
  <w:footnote w:id="12">
    <w:p w14:paraId="42C131E7" w14:textId="38C9C3B7" w:rsidR="00E8550E" w:rsidRPr="007D35DA" w:rsidRDefault="00E8550E" w:rsidP="007D35DA">
      <w:pPr>
        <w:pStyle w:val="Footnote"/>
      </w:pPr>
      <w:r w:rsidRPr="007D35DA">
        <w:rPr>
          <w:rStyle w:val="FootnoteReference"/>
        </w:rPr>
        <w:footnoteRef/>
      </w:r>
      <w:r w:rsidRPr="007D35DA">
        <w:t xml:space="preserve"> </w:t>
      </w:r>
      <w:r>
        <w:t>“</w:t>
      </w:r>
      <w:r w:rsidRPr="007D35DA">
        <w:t xml:space="preserve">Branding in Instant Coffee: </w:t>
      </w:r>
      <w:r>
        <w:t>Nescafé</w:t>
      </w:r>
      <w:r w:rsidRPr="007D35DA">
        <w:t>’s Global Dominance</w:t>
      </w:r>
      <w:r>
        <w:t>,”</w:t>
      </w:r>
      <w:r w:rsidRPr="007D35DA">
        <w:t xml:space="preserve"> Euromonitor International, accessed June 16, 2017</w:t>
      </w:r>
      <w:r>
        <w:t>,</w:t>
      </w:r>
      <w:r w:rsidRPr="004C1C1A">
        <w:t xml:space="preserve"> </w:t>
      </w:r>
      <w:r>
        <w:t xml:space="preserve">Retrieved from </w:t>
      </w:r>
      <w:proofErr w:type="spellStart"/>
      <w:r>
        <w:t>Euromonitor</w:t>
      </w:r>
      <w:proofErr w:type="spellEnd"/>
      <w:r>
        <w:t xml:space="preserve"> Passport database, </w:t>
      </w:r>
      <w:r w:rsidRPr="00AF13C8">
        <w:t>https://www.portal.euromonitor.com</w:t>
      </w:r>
      <w:r>
        <w:t>, published on April 2014</w:t>
      </w:r>
    </w:p>
  </w:footnote>
  <w:footnote w:id="13">
    <w:p w14:paraId="08A43C38" w14:textId="77777777" w:rsidR="00E8550E" w:rsidRPr="007D35DA" w:rsidRDefault="00E8550E" w:rsidP="007D35DA">
      <w:pPr>
        <w:pStyle w:val="Footnote"/>
      </w:pPr>
      <w:r w:rsidRPr="007D35DA">
        <w:rPr>
          <w:rStyle w:val="FootnoteReference"/>
        </w:rPr>
        <w:footnoteRef/>
      </w:r>
      <w:r w:rsidRPr="007D35DA">
        <w:rPr>
          <w:vertAlign w:val="superscript"/>
        </w:rPr>
        <w:t xml:space="preserve"> </w:t>
      </w:r>
      <w:r w:rsidRPr="007D35DA">
        <w:t>Ibid.</w:t>
      </w:r>
    </w:p>
  </w:footnote>
  <w:footnote w:id="14">
    <w:p w14:paraId="1FA6E6E5" w14:textId="78BC8446" w:rsidR="00E8550E" w:rsidRPr="007D35DA" w:rsidRDefault="00E8550E" w:rsidP="007D35DA">
      <w:pPr>
        <w:pStyle w:val="Footnote"/>
      </w:pPr>
      <w:r w:rsidRPr="007D35DA">
        <w:rPr>
          <w:rStyle w:val="FootnoteReference"/>
        </w:rPr>
        <w:footnoteRef/>
      </w:r>
      <w:r w:rsidRPr="007D35DA">
        <w:rPr>
          <w:vertAlign w:val="superscript"/>
        </w:rPr>
        <w:t xml:space="preserve"> </w:t>
      </w:r>
      <w:r>
        <w:t>“Coffee in Ecuador,”</w:t>
      </w:r>
      <w:r w:rsidRPr="007D35DA">
        <w:t xml:space="preserve"> Euromonitor International, accessed June 16, 2017</w:t>
      </w:r>
      <w:r>
        <w:t xml:space="preserve">, Retrieved from </w:t>
      </w:r>
      <w:proofErr w:type="spellStart"/>
      <w:r>
        <w:t>Euromonitor</w:t>
      </w:r>
      <w:proofErr w:type="spellEnd"/>
      <w:r>
        <w:t xml:space="preserve"> Passport database, </w:t>
      </w:r>
      <w:r w:rsidRPr="00AF13C8">
        <w:t>https://www.portal.euromonitor.com</w:t>
      </w:r>
      <w:r>
        <w:t>, published on January 2017</w:t>
      </w:r>
    </w:p>
  </w:footnote>
  <w:footnote w:id="15">
    <w:p w14:paraId="60F49BA8" w14:textId="77777777" w:rsidR="00E8550E" w:rsidRPr="007D35DA" w:rsidRDefault="00E8550E" w:rsidP="007D35DA">
      <w:pPr>
        <w:pStyle w:val="Footnote"/>
      </w:pPr>
      <w:r w:rsidRPr="007D35DA">
        <w:rPr>
          <w:rStyle w:val="FootnoteReference"/>
        </w:rPr>
        <w:footnoteRef/>
      </w:r>
      <w:r w:rsidRPr="007D35DA">
        <w:rPr>
          <w:vertAlign w:val="superscript"/>
        </w:rPr>
        <w:t xml:space="preserve"> </w:t>
      </w:r>
      <w:r w:rsidRPr="007D35DA">
        <w:t>Ibid.</w:t>
      </w:r>
    </w:p>
  </w:footnote>
  <w:footnote w:id="16">
    <w:p w14:paraId="23046C47" w14:textId="77777777" w:rsidR="00E8550E" w:rsidRPr="007D35DA" w:rsidRDefault="00E8550E" w:rsidP="007D35DA">
      <w:pPr>
        <w:pStyle w:val="Footnote"/>
      </w:pPr>
      <w:r w:rsidRPr="007D35DA">
        <w:rPr>
          <w:rStyle w:val="FootnoteReference"/>
        </w:rPr>
        <w:footnoteRef/>
      </w:r>
      <w:r w:rsidRPr="007D35DA">
        <w:t xml:space="preserve"> Ibid. </w:t>
      </w:r>
    </w:p>
  </w:footnote>
  <w:footnote w:id="17">
    <w:p w14:paraId="7BBA9703" w14:textId="6154CC65" w:rsidR="00E8550E" w:rsidRPr="007D35DA" w:rsidRDefault="00E8550E" w:rsidP="007D35DA">
      <w:pPr>
        <w:pStyle w:val="Footnote"/>
      </w:pPr>
      <w:r w:rsidRPr="007D35DA">
        <w:rPr>
          <w:rStyle w:val="FootnoteReference"/>
        </w:rPr>
        <w:footnoteRef/>
      </w:r>
      <w:r w:rsidRPr="007D35DA">
        <w:rPr>
          <w:vertAlign w:val="superscript"/>
        </w:rPr>
        <w:t xml:space="preserve"> </w:t>
      </w:r>
      <w:r>
        <w:t>“</w:t>
      </w:r>
      <w:r w:rsidRPr="007D35DA">
        <w:t>Keeping Robust: Global Trends in Instant Coffee</w:t>
      </w:r>
      <w:r>
        <w:t>,”</w:t>
      </w:r>
      <w:r w:rsidRPr="007D35DA">
        <w:t xml:space="preserve"> Euromonitor International, accessed June 16, 2017</w:t>
      </w:r>
      <w:r>
        <w:t xml:space="preserve">, Retrieved from Euromonitor Passport database , </w:t>
      </w:r>
      <w:r w:rsidRPr="00AF13C8">
        <w:t>https://www.portal.euromonitor.com</w:t>
      </w:r>
      <w:r>
        <w:t>, published on October 2016</w:t>
      </w:r>
    </w:p>
  </w:footnote>
  <w:footnote w:id="18">
    <w:p w14:paraId="1887C3A5" w14:textId="40B18937" w:rsidR="00E8550E" w:rsidRPr="008E5EEF" w:rsidRDefault="00E8550E" w:rsidP="00CB1631">
      <w:pPr>
        <w:pStyle w:val="Footnote"/>
        <w:outlineLvl w:val="0"/>
        <w:rPr>
          <w:lang w:val="es-EC"/>
        </w:rPr>
      </w:pPr>
      <w:r>
        <w:rPr>
          <w:rStyle w:val="FootnoteReference"/>
        </w:rPr>
        <w:footnoteRef/>
      </w:r>
      <w:r w:rsidRPr="008E5EEF">
        <w:rPr>
          <w:lang w:val="es-EC"/>
        </w:rPr>
        <w:t xml:space="preserve"> “Coffee in Ecuador,” </w:t>
      </w:r>
      <w:r w:rsidRPr="008E5EEF">
        <w:rPr>
          <w:lang w:val="es-EC" w:eastAsia="ja-JP"/>
        </w:rPr>
        <w:t>op. cit.</w:t>
      </w:r>
    </w:p>
  </w:footnote>
  <w:footnote w:id="19">
    <w:p w14:paraId="5B0E177D" w14:textId="3BC36909" w:rsidR="00E8550E" w:rsidRPr="007C6995" w:rsidRDefault="00E8550E" w:rsidP="004A2F3D">
      <w:pPr>
        <w:pStyle w:val="Footnote"/>
        <w:rPr>
          <w:lang w:val="es-EC"/>
        </w:rPr>
      </w:pPr>
      <w:r>
        <w:rPr>
          <w:rStyle w:val="FootnoteReference"/>
        </w:rPr>
        <w:footnoteRef/>
      </w:r>
      <w:r w:rsidRPr="007C6995">
        <w:rPr>
          <w:lang w:val="es-EC"/>
        </w:rPr>
        <w:t xml:space="preserve"> </w:t>
      </w:r>
      <w:r w:rsidRPr="00803C31">
        <w:rPr>
          <w:lang w:val="es-EC"/>
        </w:rPr>
        <w:t xml:space="preserve">Trade, </w:t>
      </w:r>
      <w:r>
        <w:rPr>
          <w:lang w:val="es-EC"/>
        </w:rPr>
        <w:t>“</w:t>
      </w:r>
      <w:r w:rsidRPr="00803C31">
        <w:rPr>
          <w:lang w:val="es-EC"/>
        </w:rPr>
        <w:t>Informe Ecuador: Exportaciones e Importaciones</w:t>
      </w:r>
      <w:r>
        <w:rPr>
          <w:lang w:val="es-EC"/>
        </w:rPr>
        <w:t xml:space="preserve">,” </w:t>
      </w:r>
      <w:r w:rsidRPr="00803C31">
        <w:rPr>
          <w:i/>
          <w:lang w:val="es-EC"/>
        </w:rPr>
        <w:t>Trade</w:t>
      </w:r>
      <w:r>
        <w:rPr>
          <w:i/>
          <w:lang w:val="es-EC"/>
        </w:rPr>
        <w:t xml:space="preserve">, </w:t>
      </w:r>
      <w:r w:rsidRPr="00CB1631">
        <w:rPr>
          <w:lang w:val="es-EC"/>
        </w:rPr>
        <w:t>June 16,</w:t>
      </w:r>
      <w:r w:rsidRPr="00803C31">
        <w:rPr>
          <w:lang w:val="es-EC"/>
        </w:rPr>
        <w:t xml:space="preserve"> 2017</w:t>
      </w:r>
      <w:r>
        <w:rPr>
          <w:lang w:val="es-EC"/>
        </w:rPr>
        <w:t xml:space="preserve">, </w:t>
      </w:r>
      <w:hyperlink r:id="rId1" w:history="1">
        <w:r w:rsidRPr="00803C31">
          <w:rPr>
            <w:lang w:val="es-EC"/>
          </w:rPr>
          <w:t>http://trade.nosis.com/es/Comex/Importacion-Exportacion/Ecuador/cafe--cafe-incluso-tostado-o-descafeinado-cascara-y-cascarilla-de-cafe-sucedaneos-del-cafe-que-conte/EC/0901</w:t>
        </w:r>
      </w:hyperlink>
      <w:r w:rsidRPr="00803C31">
        <w:rPr>
          <w:lang w:val="es-EC"/>
        </w:rPr>
        <w:t>.</w:t>
      </w:r>
    </w:p>
  </w:footnote>
  <w:footnote w:id="20">
    <w:p w14:paraId="40404946" w14:textId="0F23455C" w:rsidR="00E8550E" w:rsidRPr="000C547B" w:rsidRDefault="00E8550E" w:rsidP="004A2F3D">
      <w:pPr>
        <w:pStyle w:val="Footnote"/>
        <w:rPr>
          <w:lang w:val="es-EC"/>
        </w:rPr>
      </w:pPr>
      <w:r w:rsidRPr="007D35DA">
        <w:rPr>
          <w:rStyle w:val="FootnoteReference"/>
        </w:rPr>
        <w:footnoteRef/>
      </w:r>
      <w:r w:rsidRPr="00FD54D0">
        <w:rPr>
          <w:lang w:val="es-EC"/>
        </w:rPr>
        <w:t xml:space="preserve"> </w:t>
      </w:r>
      <w:r w:rsidRPr="00CB1631">
        <w:rPr>
          <w:spacing w:val="-6"/>
          <w:lang w:val="es-EC"/>
        </w:rPr>
        <w:t>A. Monteros Guerrero, “Rendimiento de café grano seco en el Ecuador 2016. Estudio agroeconómicos,” SINAGAP, August 2016, accessed October 16, 2017, http://sinagap.agricultura.gob.ec/pdf/estudios_agroeconomicos/rendimiento_cafe_grano_seco2016.pdf.</w:t>
      </w:r>
    </w:p>
  </w:footnote>
  <w:footnote w:id="21">
    <w:p w14:paraId="7D47CD94" w14:textId="77777777" w:rsidR="00E8550E" w:rsidRPr="000C547B" w:rsidRDefault="00E8550E" w:rsidP="004A2F3D">
      <w:pPr>
        <w:pStyle w:val="Footnote"/>
        <w:rPr>
          <w:lang w:val="es-EC"/>
        </w:rPr>
      </w:pPr>
      <w:r w:rsidRPr="007D35DA">
        <w:rPr>
          <w:rStyle w:val="FootnoteReference"/>
        </w:rPr>
        <w:footnoteRef/>
      </w:r>
      <w:r w:rsidRPr="000C547B">
        <w:rPr>
          <w:vertAlign w:val="superscript"/>
          <w:lang w:val="es-EC"/>
        </w:rPr>
        <w:t xml:space="preserve"> </w:t>
      </w:r>
      <w:r w:rsidRPr="000C547B">
        <w:rPr>
          <w:lang w:val="es-EC"/>
        </w:rPr>
        <w:t>Ibid.</w:t>
      </w:r>
    </w:p>
  </w:footnote>
  <w:footnote w:id="22">
    <w:p w14:paraId="3562FC68" w14:textId="16B27167" w:rsidR="00E8550E" w:rsidRPr="006B4AA3" w:rsidRDefault="00E8550E" w:rsidP="004A2F3D">
      <w:pPr>
        <w:pStyle w:val="Footnote"/>
        <w:rPr>
          <w:lang w:val="es-EC"/>
        </w:rPr>
      </w:pPr>
      <w:r>
        <w:rPr>
          <w:rStyle w:val="FootnoteReference"/>
        </w:rPr>
        <w:footnoteRef/>
      </w:r>
      <w:r w:rsidRPr="007C6995">
        <w:rPr>
          <w:lang w:val="es-EC"/>
        </w:rPr>
        <w:t xml:space="preserve"> </w:t>
      </w:r>
      <w:r w:rsidRPr="00803C31">
        <w:rPr>
          <w:lang w:val="es-EC"/>
        </w:rPr>
        <w:t>Trade, ‘‘Informe Ecuador: Exportaciones e Importaciones’’,</w:t>
      </w:r>
      <w:r>
        <w:rPr>
          <w:lang w:val="es-EC"/>
        </w:rPr>
        <w:t xml:space="preserve"> op. cit.</w:t>
      </w:r>
      <w:hyperlink w:history="1"/>
      <w:r>
        <w:rPr>
          <w:i/>
          <w:lang w:val="es-EC"/>
        </w:rPr>
        <w:t xml:space="preserve"> </w:t>
      </w:r>
    </w:p>
  </w:footnote>
  <w:footnote w:id="23">
    <w:p w14:paraId="46A6AE16" w14:textId="76CF95BD" w:rsidR="00E8550E" w:rsidRPr="000C547B" w:rsidRDefault="00E8550E" w:rsidP="004A2F3D">
      <w:pPr>
        <w:pStyle w:val="Footnote"/>
        <w:rPr>
          <w:lang w:val="es-EC"/>
        </w:rPr>
      </w:pPr>
      <w:r w:rsidRPr="007D35DA">
        <w:rPr>
          <w:rStyle w:val="FootnoteReference"/>
        </w:rPr>
        <w:footnoteRef/>
      </w:r>
      <w:r w:rsidRPr="000C547B">
        <w:rPr>
          <w:lang w:val="es-EC"/>
        </w:rPr>
        <w:t xml:space="preserve"> </w:t>
      </w:r>
      <w:r>
        <w:rPr>
          <w:lang w:val="es-EC"/>
        </w:rPr>
        <w:t>Evelyn Tapia, “</w:t>
      </w:r>
      <w:r w:rsidRPr="000C547B">
        <w:rPr>
          <w:lang w:val="es-EC"/>
        </w:rPr>
        <w:t>Las exportaciones de café se han reducido un 50 per cent desde el 2012</w:t>
      </w:r>
      <w:r>
        <w:rPr>
          <w:lang w:val="es-EC"/>
        </w:rPr>
        <w:t>,”</w:t>
      </w:r>
      <w:r w:rsidRPr="000C547B">
        <w:rPr>
          <w:lang w:val="es-EC"/>
        </w:rPr>
        <w:t xml:space="preserve"> </w:t>
      </w:r>
      <w:r w:rsidRPr="00FD54D0">
        <w:rPr>
          <w:i/>
          <w:lang w:val="es-EC"/>
        </w:rPr>
        <w:t>El Comercio</w:t>
      </w:r>
      <w:r w:rsidRPr="000C547B">
        <w:rPr>
          <w:lang w:val="es-EC"/>
        </w:rPr>
        <w:t>, September 6, 2015</w:t>
      </w:r>
      <w:r>
        <w:rPr>
          <w:lang w:val="es-EC"/>
        </w:rPr>
        <w:t xml:space="preserve">, accessed October 16, 2017, </w:t>
      </w:r>
      <w:r w:rsidRPr="00F456CF">
        <w:rPr>
          <w:lang w:val="es-EC"/>
        </w:rPr>
        <w:t>www.elcomercio.com/actualidad/exportaciones-cafe-reduccion-ecuador-produccion.html</w:t>
      </w:r>
      <w:r w:rsidRPr="000C547B">
        <w:rPr>
          <w:lang w:val="es-EC"/>
        </w:rPr>
        <w:t>.</w:t>
      </w:r>
    </w:p>
  </w:footnote>
  <w:footnote w:id="24">
    <w:p w14:paraId="2D9C2F4E" w14:textId="1FFDCEA1" w:rsidR="00E8550E" w:rsidRPr="007C6995" w:rsidRDefault="00E8550E" w:rsidP="004A2F3D">
      <w:pPr>
        <w:pStyle w:val="Footnote"/>
        <w:rPr>
          <w:lang w:val="es-EC"/>
        </w:rPr>
      </w:pPr>
      <w:r>
        <w:rPr>
          <w:rStyle w:val="FootnoteReference"/>
        </w:rPr>
        <w:footnoteRef/>
      </w:r>
      <w:r w:rsidRPr="007C6995">
        <w:rPr>
          <w:lang w:val="es-EC"/>
        </w:rPr>
        <w:t xml:space="preserve"> </w:t>
      </w:r>
      <w:r w:rsidRPr="00FD54D0">
        <w:rPr>
          <w:lang w:val="es-EC"/>
        </w:rPr>
        <w:t xml:space="preserve">A. </w:t>
      </w:r>
      <w:r>
        <w:rPr>
          <w:lang w:val="es-EC"/>
        </w:rPr>
        <w:t>Monteros Guerrero, op. cit.</w:t>
      </w:r>
    </w:p>
  </w:footnote>
  <w:footnote w:id="25">
    <w:p w14:paraId="03715DA2" w14:textId="2C5AE841" w:rsidR="00E8550E" w:rsidRPr="007D35DA" w:rsidRDefault="00E8550E" w:rsidP="007D35DA">
      <w:pPr>
        <w:pStyle w:val="Footnote"/>
      </w:pPr>
      <w:r w:rsidRPr="007D35DA">
        <w:rPr>
          <w:rStyle w:val="FootnoteReference"/>
        </w:rPr>
        <w:footnoteRef/>
      </w:r>
      <w:r w:rsidRPr="007D35DA">
        <w:rPr>
          <w:vertAlign w:val="superscript"/>
        </w:rPr>
        <w:t xml:space="preserve"> </w:t>
      </w:r>
      <w:r>
        <w:t>“</w:t>
      </w:r>
      <w:r w:rsidRPr="007D35DA">
        <w:t>Keeping Robust: Global Trends in Instant Coffee</w:t>
      </w:r>
      <w:r>
        <w:t>,”</w:t>
      </w:r>
      <w:r w:rsidRPr="007D35DA">
        <w:t xml:space="preserve"> </w:t>
      </w:r>
      <w:r>
        <w:t>op. cit.</w:t>
      </w:r>
    </w:p>
  </w:footnote>
  <w:footnote w:id="26">
    <w:p w14:paraId="2F21C8F3" w14:textId="7831C1E2" w:rsidR="00E8550E" w:rsidRPr="007D35DA" w:rsidRDefault="00E8550E" w:rsidP="007D35DA">
      <w:pPr>
        <w:pStyle w:val="Footnote"/>
      </w:pPr>
      <w:r w:rsidRPr="007D35DA">
        <w:rPr>
          <w:rStyle w:val="FootnoteReference"/>
        </w:rPr>
        <w:footnoteRef/>
      </w:r>
      <w:r w:rsidRPr="007D35DA">
        <w:rPr>
          <w:vertAlign w:val="superscript"/>
        </w:rPr>
        <w:t xml:space="preserve"> </w:t>
      </w:r>
      <w:r>
        <w:t>“</w:t>
      </w:r>
      <w:r w:rsidRPr="007D35DA">
        <w:t>Branding in Instant Coffee: Nescaf</w:t>
      </w:r>
      <w:r>
        <w:t>é</w:t>
      </w:r>
      <w:r w:rsidRPr="007D35DA">
        <w:t>’s Global Dominance</w:t>
      </w:r>
      <w:r>
        <w:t>,”</w:t>
      </w:r>
      <w:r w:rsidRPr="007D35DA">
        <w:t xml:space="preserve"> </w:t>
      </w:r>
      <w:r>
        <w:t>op. cit.</w:t>
      </w:r>
    </w:p>
  </w:footnote>
  <w:footnote w:id="27">
    <w:p w14:paraId="3E26D57D" w14:textId="0B445E34" w:rsidR="00E8550E" w:rsidRPr="007D35DA" w:rsidRDefault="00E8550E" w:rsidP="007D35DA">
      <w:pPr>
        <w:pStyle w:val="Footnote"/>
      </w:pPr>
      <w:r w:rsidRPr="007D35DA">
        <w:rPr>
          <w:rStyle w:val="FootnoteReference"/>
        </w:rPr>
        <w:footnoteRef/>
      </w:r>
      <w:r w:rsidRPr="007D35DA">
        <w:t xml:space="preserve"> </w:t>
      </w:r>
      <w:r>
        <w:t>“</w:t>
      </w:r>
      <w:r w:rsidRPr="007D35DA">
        <w:t>Top 5 Best Instant Coffee Brands in 2017</w:t>
      </w:r>
      <w:r>
        <w:t>,”</w:t>
      </w:r>
      <w:r w:rsidRPr="007D35DA">
        <w:t xml:space="preserve"> All Over Top, January 1, 2017</w:t>
      </w:r>
      <w:r>
        <w:t xml:space="preserve">, accessed October 16, 2017, </w:t>
      </w:r>
      <w:r w:rsidRPr="00F456CF">
        <w:t>https://allovertop.com/best-instant-coffee-brands</w:t>
      </w:r>
      <w:r w:rsidRPr="007D35DA">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2AAC2" w14:textId="5DEFB6EA" w:rsidR="00E8550E" w:rsidRDefault="00E8550E"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322E7A">
      <w:rPr>
        <w:rFonts w:ascii="Arial" w:hAnsi="Arial"/>
        <w:b/>
        <w:noProof/>
      </w:rPr>
      <w:t>12</w:t>
    </w:r>
    <w:r>
      <w:rPr>
        <w:rFonts w:ascii="Arial" w:hAnsi="Arial"/>
        <w:b/>
      </w:rPr>
      <w:fldChar w:fldCharType="end"/>
    </w:r>
    <w:r>
      <w:rPr>
        <w:rFonts w:ascii="Arial" w:hAnsi="Arial"/>
        <w:b/>
      </w:rPr>
      <w:tab/>
      <w:t>9B17M176</w:t>
    </w:r>
  </w:p>
  <w:p w14:paraId="15CDB43D" w14:textId="77777777" w:rsidR="00E8550E" w:rsidRPr="00C92CC4" w:rsidRDefault="00E8550E">
    <w:pPr>
      <w:pStyle w:val="Header"/>
      <w:rPr>
        <w:sz w:val="18"/>
        <w:szCs w:val="18"/>
      </w:rPr>
    </w:pPr>
  </w:p>
  <w:p w14:paraId="0F8840E2" w14:textId="77777777" w:rsidR="00E8550E" w:rsidRPr="00C92CC4" w:rsidRDefault="00E8550E">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BBC41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FE2E7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6F8790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8C275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E1E016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262E22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CC45A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6DA7EF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E2C58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CE7EC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3940B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A877ED"/>
    <w:multiLevelType w:val="hybridMultilevel"/>
    <w:tmpl w:val="E65CE61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05C91C8B"/>
    <w:multiLevelType w:val="hybridMultilevel"/>
    <w:tmpl w:val="559CDB7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4E01D1"/>
    <w:multiLevelType w:val="hybridMultilevel"/>
    <w:tmpl w:val="9FC003A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8434B9"/>
    <w:multiLevelType w:val="hybridMultilevel"/>
    <w:tmpl w:val="BCF0DEF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4"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5C376EAB"/>
    <w:multiLevelType w:val="hybridMultilevel"/>
    <w:tmpl w:val="B132516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C8A73E2"/>
    <w:multiLevelType w:val="hybridMultilevel"/>
    <w:tmpl w:val="E200AE60"/>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9"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0" w15:restartNumberingAfterBreak="0">
    <w:nsid w:val="6C971E25"/>
    <w:multiLevelType w:val="hybridMultilevel"/>
    <w:tmpl w:val="F634C40E"/>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23"/>
  </w:num>
  <w:num w:numId="13">
    <w:abstractNumId w:val="15"/>
  </w:num>
  <w:num w:numId="14">
    <w:abstractNumId w:val="24"/>
  </w:num>
  <w:num w:numId="15">
    <w:abstractNumId w:val="25"/>
  </w:num>
  <w:num w:numId="16">
    <w:abstractNumId w:val="28"/>
  </w:num>
  <w:num w:numId="17">
    <w:abstractNumId w:val="19"/>
  </w:num>
  <w:num w:numId="18">
    <w:abstractNumId w:val="29"/>
  </w:num>
  <w:num w:numId="19">
    <w:abstractNumId w:val="14"/>
  </w:num>
  <w:num w:numId="20">
    <w:abstractNumId w:val="13"/>
  </w:num>
  <w:num w:numId="21">
    <w:abstractNumId w:val="31"/>
  </w:num>
  <w:num w:numId="22">
    <w:abstractNumId w:val="22"/>
  </w:num>
  <w:num w:numId="23">
    <w:abstractNumId w:val="32"/>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32"/>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32"/>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8"/>
  </w:num>
  <w:num w:numId="27">
    <w:abstractNumId w:val="21"/>
  </w:num>
  <w:num w:numId="28">
    <w:abstractNumId w:val="0"/>
  </w:num>
  <w:num w:numId="29">
    <w:abstractNumId w:val="17"/>
  </w:num>
  <w:num w:numId="30">
    <w:abstractNumId w:val="26"/>
  </w:num>
  <w:num w:numId="31">
    <w:abstractNumId w:val="30"/>
  </w:num>
  <w:num w:numId="32">
    <w:abstractNumId w:val="11"/>
  </w:num>
  <w:num w:numId="33">
    <w:abstractNumId w:val="20"/>
  </w:num>
  <w:num w:numId="34">
    <w:abstractNumId w:val="27"/>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0A8B"/>
    <w:rsid w:val="00013360"/>
    <w:rsid w:val="000216CE"/>
    <w:rsid w:val="00025DC7"/>
    <w:rsid w:val="00026486"/>
    <w:rsid w:val="0003068F"/>
    <w:rsid w:val="00033630"/>
    <w:rsid w:val="00042004"/>
    <w:rsid w:val="0004214C"/>
    <w:rsid w:val="00044ECC"/>
    <w:rsid w:val="000521D6"/>
    <w:rsid w:val="000531D3"/>
    <w:rsid w:val="0005646B"/>
    <w:rsid w:val="0006133F"/>
    <w:rsid w:val="000662E8"/>
    <w:rsid w:val="0007038F"/>
    <w:rsid w:val="00070E94"/>
    <w:rsid w:val="00074830"/>
    <w:rsid w:val="0008102D"/>
    <w:rsid w:val="000834EC"/>
    <w:rsid w:val="00084C37"/>
    <w:rsid w:val="00094C0E"/>
    <w:rsid w:val="00096B38"/>
    <w:rsid w:val="00096C40"/>
    <w:rsid w:val="000A55EB"/>
    <w:rsid w:val="000B41CA"/>
    <w:rsid w:val="000B484F"/>
    <w:rsid w:val="000B68AB"/>
    <w:rsid w:val="000C1D7F"/>
    <w:rsid w:val="000C547B"/>
    <w:rsid w:val="000E4DC0"/>
    <w:rsid w:val="000F0C22"/>
    <w:rsid w:val="000F6B09"/>
    <w:rsid w:val="000F6FDC"/>
    <w:rsid w:val="00102913"/>
    <w:rsid w:val="00104567"/>
    <w:rsid w:val="00110BE5"/>
    <w:rsid w:val="0012732D"/>
    <w:rsid w:val="0014075E"/>
    <w:rsid w:val="00153B59"/>
    <w:rsid w:val="00154FC9"/>
    <w:rsid w:val="001565D4"/>
    <w:rsid w:val="001573D4"/>
    <w:rsid w:val="0017012C"/>
    <w:rsid w:val="00170A8A"/>
    <w:rsid w:val="001902B9"/>
    <w:rsid w:val="0019241A"/>
    <w:rsid w:val="00195354"/>
    <w:rsid w:val="001A04AD"/>
    <w:rsid w:val="001A3E52"/>
    <w:rsid w:val="001A5335"/>
    <w:rsid w:val="001A752D"/>
    <w:rsid w:val="001A7E75"/>
    <w:rsid w:val="001C03B5"/>
    <w:rsid w:val="00202A42"/>
    <w:rsid w:val="00203AA1"/>
    <w:rsid w:val="00210BCC"/>
    <w:rsid w:val="00213E98"/>
    <w:rsid w:val="0022523A"/>
    <w:rsid w:val="00241F40"/>
    <w:rsid w:val="00252609"/>
    <w:rsid w:val="002650D5"/>
    <w:rsid w:val="002A25B0"/>
    <w:rsid w:val="002A3553"/>
    <w:rsid w:val="002E31CB"/>
    <w:rsid w:val="002E32F0"/>
    <w:rsid w:val="002F460C"/>
    <w:rsid w:val="002F48D6"/>
    <w:rsid w:val="00304859"/>
    <w:rsid w:val="00314092"/>
    <w:rsid w:val="00316577"/>
    <w:rsid w:val="00322E7A"/>
    <w:rsid w:val="00323F3F"/>
    <w:rsid w:val="003275E4"/>
    <w:rsid w:val="00327AA5"/>
    <w:rsid w:val="00333C78"/>
    <w:rsid w:val="00343565"/>
    <w:rsid w:val="00354899"/>
    <w:rsid w:val="00355FD6"/>
    <w:rsid w:val="003615E8"/>
    <w:rsid w:val="00361C8E"/>
    <w:rsid w:val="00364A5C"/>
    <w:rsid w:val="00373FB1"/>
    <w:rsid w:val="00374DF1"/>
    <w:rsid w:val="003B30D8"/>
    <w:rsid w:val="003B6617"/>
    <w:rsid w:val="003B7EF2"/>
    <w:rsid w:val="003C3218"/>
    <w:rsid w:val="003C3FA4"/>
    <w:rsid w:val="003D733F"/>
    <w:rsid w:val="003F2B0C"/>
    <w:rsid w:val="00404B4C"/>
    <w:rsid w:val="00405135"/>
    <w:rsid w:val="00416308"/>
    <w:rsid w:val="0042192C"/>
    <w:rsid w:val="004221E4"/>
    <w:rsid w:val="00443C25"/>
    <w:rsid w:val="00471088"/>
    <w:rsid w:val="00472757"/>
    <w:rsid w:val="00483AF9"/>
    <w:rsid w:val="00486D67"/>
    <w:rsid w:val="004A2F3D"/>
    <w:rsid w:val="004B1CCB"/>
    <w:rsid w:val="004B53A4"/>
    <w:rsid w:val="004C1C1A"/>
    <w:rsid w:val="004C2FF4"/>
    <w:rsid w:val="004D73A5"/>
    <w:rsid w:val="004E3A43"/>
    <w:rsid w:val="004F0C99"/>
    <w:rsid w:val="005056CE"/>
    <w:rsid w:val="00505A12"/>
    <w:rsid w:val="00513453"/>
    <w:rsid w:val="005157EF"/>
    <w:rsid w:val="00532CF5"/>
    <w:rsid w:val="00550148"/>
    <w:rsid w:val="005528CB"/>
    <w:rsid w:val="00563BEA"/>
    <w:rsid w:val="00566771"/>
    <w:rsid w:val="00581E2E"/>
    <w:rsid w:val="005831FD"/>
    <w:rsid w:val="00584F15"/>
    <w:rsid w:val="005862FC"/>
    <w:rsid w:val="005B1C24"/>
    <w:rsid w:val="005D3F27"/>
    <w:rsid w:val="005D5F87"/>
    <w:rsid w:val="005E641D"/>
    <w:rsid w:val="005F2657"/>
    <w:rsid w:val="006163F7"/>
    <w:rsid w:val="00626985"/>
    <w:rsid w:val="0064163B"/>
    <w:rsid w:val="00652606"/>
    <w:rsid w:val="006553B7"/>
    <w:rsid w:val="00682754"/>
    <w:rsid w:val="006A48F3"/>
    <w:rsid w:val="006A58A9"/>
    <w:rsid w:val="006A606D"/>
    <w:rsid w:val="006B4AA3"/>
    <w:rsid w:val="006B4B62"/>
    <w:rsid w:val="006B7F7A"/>
    <w:rsid w:val="006C0371"/>
    <w:rsid w:val="006C08B6"/>
    <w:rsid w:val="006C0B1A"/>
    <w:rsid w:val="006C2A9B"/>
    <w:rsid w:val="006C4384"/>
    <w:rsid w:val="006C6065"/>
    <w:rsid w:val="006C7F9F"/>
    <w:rsid w:val="006E2F6D"/>
    <w:rsid w:val="006E58F6"/>
    <w:rsid w:val="006E77E1"/>
    <w:rsid w:val="006F131D"/>
    <w:rsid w:val="0070402D"/>
    <w:rsid w:val="007206F6"/>
    <w:rsid w:val="00723587"/>
    <w:rsid w:val="007344E5"/>
    <w:rsid w:val="00752BCD"/>
    <w:rsid w:val="00766DA1"/>
    <w:rsid w:val="007852A7"/>
    <w:rsid w:val="007866A6"/>
    <w:rsid w:val="007A130D"/>
    <w:rsid w:val="007A7402"/>
    <w:rsid w:val="007B2727"/>
    <w:rsid w:val="007B697C"/>
    <w:rsid w:val="007C6995"/>
    <w:rsid w:val="007D2D99"/>
    <w:rsid w:val="007D35DA"/>
    <w:rsid w:val="007D4102"/>
    <w:rsid w:val="007D4567"/>
    <w:rsid w:val="007E106B"/>
    <w:rsid w:val="007E2BA0"/>
    <w:rsid w:val="007E47E8"/>
    <w:rsid w:val="007E5921"/>
    <w:rsid w:val="007F51FC"/>
    <w:rsid w:val="0081198A"/>
    <w:rsid w:val="00821FFC"/>
    <w:rsid w:val="008271CA"/>
    <w:rsid w:val="0083194C"/>
    <w:rsid w:val="008327CC"/>
    <w:rsid w:val="008467D5"/>
    <w:rsid w:val="00856D9F"/>
    <w:rsid w:val="008575B3"/>
    <w:rsid w:val="00866F6D"/>
    <w:rsid w:val="008A48EB"/>
    <w:rsid w:val="008A4DC4"/>
    <w:rsid w:val="008B018F"/>
    <w:rsid w:val="008C669C"/>
    <w:rsid w:val="008E2FC9"/>
    <w:rsid w:val="008E5EEF"/>
    <w:rsid w:val="008E76B0"/>
    <w:rsid w:val="008F0A08"/>
    <w:rsid w:val="0090013B"/>
    <w:rsid w:val="009067A4"/>
    <w:rsid w:val="0090722E"/>
    <w:rsid w:val="00926A3E"/>
    <w:rsid w:val="009340DB"/>
    <w:rsid w:val="0093473F"/>
    <w:rsid w:val="00951FDF"/>
    <w:rsid w:val="00962C09"/>
    <w:rsid w:val="009667CB"/>
    <w:rsid w:val="00967036"/>
    <w:rsid w:val="00972498"/>
    <w:rsid w:val="00974CC6"/>
    <w:rsid w:val="00976AD4"/>
    <w:rsid w:val="009825CC"/>
    <w:rsid w:val="009930D7"/>
    <w:rsid w:val="0099796A"/>
    <w:rsid w:val="009A312F"/>
    <w:rsid w:val="009A342C"/>
    <w:rsid w:val="009A5348"/>
    <w:rsid w:val="009A67BB"/>
    <w:rsid w:val="009A7C7D"/>
    <w:rsid w:val="009B6858"/>
    <w:rsid w:val="009C76D5"/>
    <w:rsid w:val="009E6519"/>
    <w:rsid w:val="009E72AB"/>
    <w:rsid w:val="009F7AA4"/>
    <w:rsid w:val="00A008BC"/>
    <w:rsid w:val="00A069CE"/>
    <w:rsid w:val="00A125F6"/>
    <w:rsid w:val="00A270DB"/>
    <w:rsid w:val="00A27C1C"/>
    <w:rsid w:val="00A30B26"/>
    <w:rsid w:val="00A33BC9"/>
    <w:rsid w:val="00A559DB"/>
    <w:rsid w:val="00A635C8"/>
    <w:rsid w:val="00A75387"/>
    <w:rsid w:val="00A86370"/>
    <w:rsid w:val="00AA1B79"/>
    <w:rsid w:val="00AF13C8"/>
    <w:rsid w:val="00AF35FC"/>
    <w:rsid w:val="00AF412E"/>
    <w:rsid w:val="00B03639"/>
    <w:rsid w:val="00B0652A"/>
    <w:rsid w:val="00B27DE9"/>
    <w:rsid w:val="00B35F14"/>
    <w:rsid w:val="00B3757D"/>
    <w:rsid w:val="00B40937"/>
    <w:rsid w:val="00B423EF"/>
    <w:rsid w:val="00B453DE"/>
    <w:rsid w:val="00B4742F"/>
    <w:rsid w:val="00B67E83"/>
    <w:rsid w:val="00B901F9"/>
    <w:rsid w:val="00B95CE9"/>
    <w:rsid w:val="00BA1B2F"/>
    <w:rsid w:val="00BA535F"/>
    <w:rsid w:val="00BC4E16"/>
    <w:rsid w:val="00BD56EF"/>
    <w:rsid w:val="00BD6EFB"/>
    <w:rsid w:val="00BD7644"/>
    <w:rsid w:val="00BE05DB"/>
    <w:rsid w:val="00BE5057"/>
    <w:rsid w:val="00C04EDA"/>
    <w:rsid w:val="00C06338"/>
    <w:rsid w:val="00C12740"/>
    <w:rsid w:val="00C15BE2"/>
    <w:rsid w:val="00C22219"/>
    <w:rsid w:val="00C3447F"/>
    <w:rsid w:val="00C35119"/>
    <w:rsid w:val="00C42D21"/>
    <w:rsid w:val="00C51994"/>
    <w:rsid w:val="00C60376"/>
    <w:rsid w:val="00C80C3E"/>
    <w:rsid w:val="00C81491"/>
    <w:rsid w:val="00C81676"/>
    <w:rsid w:val="00C92CC4"/>
    <w:rsid w:val="00CA0AFB"/>
    <w:rsid w:val="00CA2CE1"/>
    <w:rsid w:val="00CA3976"/>
    <w:rsid w:val="00CA4B9E"/>
    <w:rsid w:val="00CA757B"/>
    <w:rsid w:val="00CB1631"/>
    <w:rsid w:val="00CB3816"/>
    <w:rsid w:val="00CB7D06"/>
    <w:rsid w:val="00CC1787"/>
    <w:rsid w:val="00CC182C"/>
    <w:rsid w:val="00CD0824"/>
    <w:rsid w:val="00CD2908"/>
    <w:rsid w:val="00CE6EC8"/>
    <w:rsid w:val="00CF2BF2"/>
    <w:rsid w:val="00D03A82"/>
    <w:rsid w:val="00D07BFD"/>
    <w:rsid w:val="00D15344"/>
    <w:rsid w:val="00D16F06"/>
    <w:rsid w:val="00D209D1"/>
    <w:rsid w:val="00D31BEC"/>
    <w:rsid w:val="00D436FC"/>
    <w:rsid w:val="00D63150"/>
    <w:rsid w:val="00D64A32"/>
    <w:rsid w:val="00D64EFC"/>
    <w:rsid w:val="00D677FD"/>
    <w:rsid w:val="00D75295"/>
    <w:rsid w:val="00D7620D"/>
    <w:rsid w:val="00D76CE9"/>
    <w:rsid w:val="00D9031B"/>
    <w:rsid w:val="00D96065"/>
    <w:rsid w:val="00D97F12"/>
    <w:rsid w:val="00DB42E7"/>
    <w:rsid w:val="00DC3297"/>
    <w:rsid w:val="00DC7D41"/>
    <w:rsid w:val="00DE13A4"/>
    <w:rsid w:val="00DF28D9"/>
    <w:rsid w:val="00DF32C2"/>
    <w:rsid w:val="00DF4635"/>
    <w:rsid w:val="00E02CEC"/>
    <w:rsid w:val="00E21706"/>
    <w:rsid w:val="00E21DE6"/>
    <w:rsid w:val="00E25D5C"/>
    <w:rsid w:val="00E40D49"/>
    <w:rsid w:val="00E471A7"/>
    <w:rsid w:val="00E635CF"/>
    <w:rsid w:val="00E837C5"/>
    <w:rsid w:val="00E8550E"/>
    <w:rsid w:val="00E93771"/>
    <w:rsid w:val="00EB5410"/>
    <w:rsid w:val="00EC6E0A"/>
    <w:rsid w:val="00ED108B"/>
    <w:rsid w:val="00ED4E18"/>
    <w:rsid w:val="00ED5348"/>
    <w:rsid w:val="00EE1F37"/>
    <w:rsid w:val="00EE7D76"/>
    <w:rsid w:val="00F0159C"/>
    <w:rsid w:val="00F105B7"/>
    <w:rsid w:val="00F16EEC"/>
    <w:rsid w:val="00F17A21"/>
    <w:rsid w:val="00F43AFF"/>
    <w:rsid w:val="00F456CF"/>
    <w:rsid w:val="00F50E91"/>
    <w:rsid w:val="00F57D29"/>
    <w:rsid w:val="00F638D2"/>
    <w:rsid w:val="00F71CAC"/>
    <w:rsid w:val="00F92A99"/>
    <w:rsid w:val="00F9304A"/>
    <w:rsid w:val="00F939E1"/>
    <w:rsid w:val="00F96201"/>
    <w:rsid w:val="00FA7007"/>
    <w:rsid w:val="00FB1AE4"/>
    <w:rsid w:val="00FB7E64"/>
    <w:rsid w:val="00FC30E9"/>
    <w:rsid w:val="00FD0B18"/>
    <w:rsid w:val="00FD0F82"/>
    <w:rsid w:val="00FD54D0"/>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A81174F"/>
  <w15:docId w15:val="{B2C0B001-DDC2-4024-8EB9-97BA88EC5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831FD"/>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F456CF"/>
    <w:pPr>
      <w:keepNext/>
    </w:pPr>
    <w:rPr>
      <w:rFonts w:ascii="Arial" w:hAnsi="Arial" w:cs="Arial"/>
      <w:b/>
      <w:caps/>
      <w:sz w:val="20"/>
      <w:szCs w:val="20"/>
    </w:rPr>
  </w:style>
  <w:style w:type="character" w:customStyle="1" w:styleId="Casehead1Char">
    <w:name w:val="Casehead 1 Char"/>
    <w:basedOn w:val="BodyTextMainChar"/>
    <w:link w:val="Casehead1"/>
    <w:rsid w:val="00F456CF"/>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F456CF"/>
    <w:rPr>
      <w:b w:val="0"/>
      <w:color w:val="auto"/>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table" w:customStyle="1" w:styleId="Tabladecuadrcula1clara1">
    <w:name w:val="Tabla de cuadrícula 1 clara1"/>
    <w:basedOn w:val="TableNormal"/>
    <w:uiPriority w:val="46"/>
    <w:rsid w:val="00D436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8127">
      <w:bodyDiv w:val="1"/>
      <w:marLeft w:val="0"/>
      <w:marRight w:val="0"/>
      <w:marTop w:val="0"/>
      <w:marBottom w:val="0"/>
      <w:divBdr>
        <w:top w:val="none" w:sz="0" w:space="0" w:color="auto"/>
        <w:left w:val="none" w:sz="0" w:space="0" w:color="auto"/>
        <w:bottom w:val="none" w:sz="0" w:space="0" w:color="auto"/>
        <w:right w:val="none" w:sz="0" w:space="0" w:color="auto"/>
      </w:divBdr>
    </w:div>
    <w:div w:id="378674120">
      <w:bodyDiv w:val="1"/>
      <w:marLeft w:val="0"/>
      <w:marRight w:val="0"/>
      <w:marTop w:val="0"/>
      <w:marBottom w:val="0"/>
      <w:divBdr>
        <w:top w:val="none" w:sz="0" w:space="0" w:color="auto"/>
        <w:left w:val="none" w:sz="0" w:space="0" w:color="auto"/>
        <w:bottom w:val="none" w:sz="0" w:space="0" w:color="auto"/>
        <w:right w:val="none" w:sz="0" w:space="0" w:color="auto"/>
      </w:divBdr>
    </w:div>
    <w:div w:id="793139086">
      <w:bodyDiv w:val="1"/>
      <w:marLeft w:val="0"/>
      <w:marRight w:val="0"/>
      <w:marTop w:val="0"/>
      <w:marBottom w:val="0"/>
      <w:divBdr>
        <w:top w:val="none" w:sz="0" w:space="0" w:color="auto"/>
        <w:left w:val="none" w:sz="0" w:space="0" w:color="auto"/>
        <w:bottom w:val="none" w:sz="0" w:space="0" w:color="auto"/>
        <w:right w:val="none" w:sz="0" w:space="0" w:color="auto"/>
      </w:divBdr>
    </w:div>
    <w:div w:id="116138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rade.nosis.com/es/Comex/Importacion-Exportacion/Ecuador/cafe--cafe-incluso-tostado-o-descafeinado-cascara-y-cascarilla-de-cafe-sucedaneos-del-cafe-que-conte/EC/09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trade.nosis.com/es/Comex/Importacion-Exportacion/Ecuador/cafe--cafe-incluso-tostado-o-descafeinado-cascara-y-cascarilla-de-cafe-sucedaneos-del-cafe-que-conte/EC/09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2D7C7D-6157-4FB1-AA94-22F08D9D7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5034</Words>
  <Characters>28695</Characters>
  <Application>Microsoft Office Word</Application>
  <DocSecurity>0</DocSecurity>
  <Lines>239</Lines>
  <Paragraphs>67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Ivey Business School</Company>
  <LinksUpToDate>false</LinksUpToDate>
  <CharactersWithSpaces>33662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4</cp:revision>
  <cp:lastPrinted>2017-09-21T13:53:00Z</cp:lastPrinted>
  <dcterms:created xsi:type="dcterms:W3CDTF">2017-11-23T17:00:00Z</dcterms:created>
  <dcterms:modified xsi:type="dcterms:W3CDTF">2017-11-28T16:03:00Z</dcterms:modified>
</cp:coreProperties>
</file>