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5252B" w14:textId="77777777" w:rsidR="008467D5" w:rsidRPr="00936318" w:rsidRDefault="00B76B44" w:rsidP="00B76B44">
      <w:pPr>
        <w:pStyle w:val="IveyQuotes"/>
        <w:ind w:left="0"/>
      </w:pPr>
      <w:r w:rsidRPr="00936318">
        <w:rPr>
          <w:rFonts w:ascii="Arial" w:hAnsi="Arial"/>
          <w:b/>
          <w:noProof/>
          <w:sz w:val="24"/>
          <w:lang w:val="en-CA" w:eastAsia="en-CA"/>
        </w:rPr>
        <w:drawing>
          <wp:inline distT="0" distB="0" distL="0" distR="0" wp14:anchorId="62855D78" wp14:editId="315FBA2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52FB7E4" w14:textId="77777777" w:rsidR="00856D9F" w:rsidRPr="00936318"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2AE746F" w14:textId="65709CF5" w:rsidR="00D75295" w:rsidRPr="00936318" w:rsidRDefault="009B0443" w:rsidP="00F105B7">
      <w:pPr>
        <w:pStyle w:val="ProductNumber"/>
        <w:rPr>
          <w:lang w:val="en-GB"/>
        </w:rPr>
      </w:pPr>
      <w:r w:rsidRPr="00936318">
        <w:rPr>
          <w:lang w:val="en-GB"/>
        </w:rPr>
        <w:t>9B17M</w:t>
      </w:r>
      <w:r>
        <w:rPr>
          <w:lang w:val="en-GB"/>
        </w:rPr>
        <w:t>177</w:t>
      </w:r>
    </w:p>
    <w:p w14:paraId="79B56830" w14:textId="77777777" w:rsidR="00D75295" w:rsidRPr="00936318" w:rsidRDefault="00D75295" w:rsidP="00D75295">
      <w:pPr>
        <w:jc w:val="right"/>
        <w:rPr>
          <w:rFonts w:ascii="Arial" w:hAnsi="Arial"/>
          <w:b/>
          <w:sz w:val="28"/>
          <w:szCs w:val="28"/>
          <w:lang w:val="en-GB"/>
        </w:rPr>
      </w:pPr>
    </w:p>
    <w:p w14:paraId="3F6AFD8A" w14:textId="77777777" w:rsidR="00866F6D" w:rsidRPr="00936318" w:rsidRDefault="00866F6D" w:rsidP="00D75295">
      <w:pPr>
        <w:jc w:val="right"/>
        <w:rPr>
          <w:rFonts w:ascii="Arial" w:hAnsi="Arial"/>
          <w:b/>
          <w:sz w:val="28"/>
          <w:szCs w:val="28"/>
          <w:lang w:val="en-GB"/>
        </w:rPr>
      </w:pPr>
    </w:p>
    <w:p w14:paraId="068D6A88" w14:textId="77777777" w:rsidR="00013360" w:rsidRPr="00936318" w:rsidRDefault="00C92E99" w:rsidP="00013360">
      <w:pPr>
        <w:pStyle w:val="CaseTitle"/>
        <w:spacing w:after="0" w:line="240" w:lineRule="auto"/>
        <w:rPr>
          <w:lang w:val="en-GB"/>
        </w:rPr>
      </w:pPr>
      <w:r w:rsidRPr="00936318">
        <w:rPr>
          <w:lang w:val="en-GB"/>
        </w:rPr>
        <w:t>credit guarantee corporation: accom</w:t>
      </w:r>
      <w:r w:rsidR="00F02D8C" w:rsidRPr="00936318">
        <w:rPr>
          <w:lang w:val="en-GB"/>
        </w:rPr>
        <w:t>m</w:t>
      </w:r>
      <w:r w:rsidRPr="00936318">
        <w:rPr>
          <w:lang w:val="en-GB"/>
        </w:rPr>
        <w:t>odating an expansion strategy</w:t>
      </w:r>
    </w:p>
    <w:p w14:paraId="7A3C9D3F" w14:textId="77777777" w:rsidR="00013360" w:rsidRPr="00936318" w:rsidRDefault="00013360" w:rsidP="00013360">
      <w:pPr>
        <w:pStyle w:val="CaseTitle"/>
        <w:spacing w:after="0" w:line="240" w:lineRule="auto"/>
        <w:rPr>
          <w:sz w:val="20"/>
          <w:szCs w:val="20"/>
          <w:lang w:val="en-GB"/>
        </w:rPr>
      </w:pPr>
    </w:p>
    <w:p w14:paraId="026982C9" w14:textId="77777777" w:rsidR="00CA3976" w:rsidRPr="00936318" w:rsidRDefault="00CA3976" w:rsidP="00013360">
      <w:pPr>
        <w:pStyle w:val="CaseTitle"/>
        <w:spacing w:after="0" w:line="240" w:lineRule="auto"/>
        <w:rPr>
          <w:sz w:val="20"/>
          <w:szCs w:val="20"/>
          <w:lang w:val="en-GB"/>
        </w:rPr>
      </w:pPr>
    </w:p>
    <w:p w14:paraId="24CB071A" w14:textId="77777777" w:rsidR="00013360" w:rsidRPr="00936318" w:rsidRDefault="00013360" w:rsidP="00013360">
      <w:pPr>
        <w:pStyle w:val="CaseTitle"/>
        <w:spacing w:after="0" w:line="240" w:lineRule="auto"/>
        <w:rPr>
          <w:sz w:val="20"/>
          <w:szCs w:val="20"/>
          <w:lang w:val="en-GB"/>
        </w:rPr>
      </w:pPr>
    </w:p>
    <w:p w14:paraId="1BDC3F20" w14:textId="77777777" w:rsidR="00013360" w:rsidRPr="00936318" w:rsidRDefault="00B46C07" w:rsidP="00104567">
      <w:pPr>
        <w:pStyle w:val="StyleCopyrightStatementAfter0ptBottomSinglesolidline1"/>
        <w:rPr>
          <w:lang w:val="en-GB"/>
        </w:rPr>
      </w:pPr>
      <w:r w:rsidRPr="00936318">
        <w:rPr>
          <w:lang w:val="en-GB"/>
        </w:rPr>
        <w:t xml:space="preserve">Shrestha Pratik and </w:t>
      </w:r>
      <w:r w:rsidR="00C92E99" w:rsidRPr="00936318">
        <w:rPr>
          <w:lang w:val="en-GB"/>
        </w:rPr>
        <w:t xml:space="preserve">Tuhin Sengupta </w:t>
      </w:r>
      <w:r w:rsidR="007E5921" w:rsidRPr="00936318">
        <w:rPr>
          <w:lang w:val="en-GB"/>
        </w:rPr>
        <w:t>wrote this case sol</w:t>
      </w:r>
      <w:r w:rsidR="00D75295" w:rsidRPr="00936318">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B6E6E76" w14:textId="77777777" w:rsidR="00013360" w:rsidRPr="00936318" w:rsidRDefault="00013360" w:rsidP="00104567">
      <w:pPr>
        <w:pStyle w:val="StyleCopyrightStatementAfter0ptBottomSinglesolidline1"/>
        <w:rPr>
          <w:lang w:val="en-GB"/>
        </w:rPr>
      </w:pPr>
    </w:p>
    <w:p w14:paraId="06909BC8" w14:textId="77777777" w:rsidR="00B76B44" w:rsidRPr="00936318" w:rsidRDefault="00B76B44" w:rsidP="003C25FF">
      <w:pPr>
        <w:jc w:val="both"/>
        <w:rPr>
          <w:rFonts w:ascii="Arial" w:hAnsi="Arial" w:cs="Arial"/>
          <w:i/>
          <w:iCs/>
          <w:sz w:val="16"/>
          <w:szCs w:val="16"/>
          <w:lang w:val="en-GB"/>
        </w:rPr>
      </w:pPr>
      <w:r w:rsidRPr="00936318">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936318">
          <w:rPr>
            <w:rFonts w:ascii="Arial" w:hAnsi="Arial" w:cs="Arial"/>
            <w:i/>
            <w:iCs/>
            <w:sz w:val="16"/>
            <w:szCs w:val="16"/>
            <w:lang w:val="en-GB"/>
          </w:rPr>
          <w:t>cases@ivey.ca</w:t>
        </w:r>
      </w:hyperlink>
      <w:r w:rsidRPr="00936318">
        <w:rPr>
          <w:rFonts w:ascii="Arial" w:hAnsi="Arial" w:cs="Arial"/>
          <w:i/>
          <w:iCs/>
          <w:sz w:val="16"/>
          <w:szCs w:val="16"/>
          <w:lang w:val="en-GB"/>
        </w:rPr>
        <w:t xml:space="preserve">; </w:t>
      </w:r>
      <w:hyperlink r:id="rId10" w:history="1">
        <w:r w:rsidRPr="00936318">
          <w:rPr>
            <w:rFonts w:ascii="Arial" w:hAnsi="Arial" w:cs="Arial"/>
            <w:i/>
            <w:iCs/>
            <w:sz w:val="16"/>
            <w:szCs w:val="16"/>
            <w:lang w:val="en-GB"/>
          </w:rPr>
          <w:t>www.iveycases.com</w:t>
        </w:r>
      </w:hyperlink>
      <w:r w:rsidRPr="00936318">
        <w:rPr>
          <w:rFonts w:ascii="Arial" w:hAnsi="Arial" w:cs="Arial"/>
          <w:i/>
          <w:iCs/>
          <w:sz w:val="16"/>
          <w:szCs w:val="16"/>
          <w:lang w:val="en-GB"/>
        </w:rPr>
        <w:t>.</w:t>
      </w:r>
    </w:p>
    <w:p w14:paraId="74B50552" w14:textId="77777777" w:rsidR="00B76B44" w:rsidRPr="00936318" w:rsidRDefault="00B76B44" w:rsidP="003C25FF">
      <w:pPr>
        <w:pStyle w:val="StyleCopyrightStatementAfter0ptBottomSinglesolidline1"/>
        <w:pBdr>
          <w:top w:val="none" w:sz="0" w:space="0" w:color="auto"/>
        </w:pBdr>
        <w:rPr>
          <w:lang w:val="en-GB"/>
        </w:rPr>
      </w:pPr>
    </w:p>
    <w:p w14:paraId="5F9A076F" w14:textId="67C191C7" w:rsidR="003B7EF2" w:rsidRPr="00936318" w:rsidRDefault="00B76B44" w:rsidP="003B7EF2">
      <w:pPr>
        <w:pStyle w:val="StyleStyleCopyrightStatementAfter0ptBottomSinglesolid"/>
        <w:rPr>
          <w:lang w:val="en-GB"/>
        </w:rPr>
      </w:pPr>
      <w:r w:rsidRPr="00936318">
        <w:rPr>
          <w:lang w:val="en-GB"/>
        </w:rPr>
        <w:t>Copyright © 2017, Richard Ivey School of Business Foundation</w:t>
      </w:r>
      <w:r w:rsidR="003B7EF2" w:rsidRPr="00936318">
        <w:rPr>
          <w:lang w:val="en-GB"/>
        </w:rPr>
        <w:tab/>
        <w:t xml:space="preserve">Version: </w:t>
      </w:r>
      <w:r w:rsidR="00361C8E" w:rsidRPr="00936318">
        <w:rPr>
          <w:lang w:val="en-GB"/>
        </w:rPr>
        <w:t>201</w:t>
      </w:r>
      <w:r w:rsidR="00C92E99" w:rsidRPr="00936318">
        <w:rPr>
          <w:lang w:val="en-GB"/>
        </w:rPr>
        <w:t>7</w:t>
      </w:r>
      <w:r w:rsidR="00361C8E" w:rsidRPr="00936318">
        <w:rPr>
          <w:lang w:val="en-GB"/>
        </w:rPr>
        <w:t>-</w:t>
      </w:r>
      <w:r w:rsidR="004447E1">
        <w:rPr>
          <w:lang w:val="en-GB"/>
        </w:rPr>
        <w:t>12-15</w:t>
      </w:r>
    </w:p>
    <w:p w14:paraId="331C15DA" w14:textId="77777777" w:rsidR="003B7EF2" w:rsidRPr="00936318" w:rsidRDefault="003B7EF2" w:rsidP="00104567">
      <w:pPr>
        <w:pStyle w:val="StyleCopyrightStatementAfter0ptBottomSinglesolidline1"/>
        <w:rPr>
          <w:rFonts w:ascii="Times New Roman" w:hAnsi="Times New Roman"/>
          <w:sz w:val="20"/>
          <w:lang w:val="en-GB"/>
        </w:rPr>
      </w:pPr>
    </w:p>
    <w:p w14:paraId="577F0E95" w14:textId="77777777" w:rsidR="003B7EF2" w:rsidRPr="00936318" w:rsidRDefault="003B7EF2" w:rsidP="006F1D9E">
      <w:pPr>
        <w:pStyle w:val="Footnote"/>
        <w:rPr>
          <w:lang w:val="en-GB"/>
        </w:rPr>
      </w:pPr>
    </w:p>
    <w:p w14:paraId="405F416C" w14:textId="52B57EF1" w:rsidR="001E7DA7" w:rsidRPr="00936318" w:rsidRDefault="00C92E99" w:rsidP="00C92E99">
      <w:pPr>
        <w:pStyle w:val="BodyTextMain"/>
        <w:rPr>
          <w:lang w:val="en-GB"/>
        </w:rPr>
      </w:pPr>
      <w:r w:rsidRPr="00936318">
        <w:rPr>
          <w:lang w:val="en-GB"/>
        </w:rPr>
        <w:t xml:space="preserve">In September 2011, </w:t>
      </w:r>
      <w:r w:rsidR="00B60400" w:rsidRPr="00936318">
        <w:rPr>
          <w:bCs/>
          <w:lang w:val="en-GB"/>
        </w:rPr>
        <w:t>K.</w:t>
      </w:r>
      <w:r w:rsidR="006829F6" w:rsidRPr="00936318">
        <w:rPr>
          <w:bCs/>
          <w:lang w:val="en-GB"/>
        </w:rPr>
        <w:t xml:space="preserve"> </w:t>
      </w:r>
      <w:proofErr w:type="spellStart"/>
      <w:r w:rsidR="006829F6" w:rsidRPr="00936318">
        <w:rPr>
          <w:bCs/>
          <w:lang w:val="en-GB"/>
        </w:rPr>
        <w:t>Perbagaran</w:t>
      </w:r>
      <w:proofErr w:type="spellEnd"/>
      <w:r w:rsidRPr="00936318">
        <w:rPr>
          <w:bCs/>
          <w:lang w:val="en-GB"/>
        </w:rPr>
        <w:t xml:space="preserve">, </w:t>
      </w:r>
      <w:r w:rsidR="00B5157A" w:rsidRPr="00936318">
        <w:rPr>
          <w:bCs/>
          <w:lang w:val="en-GB"/>
        </w:rPr>
        <w:t xml:space="preserve">the </w:t>
      </w:r>
      <w:r w:rsidR="00065123" w:rsidRPr="00936318">
        <w:rPr>
          <w:bCs/>
          <w:lang w:val="en-GB"/>
        </w:rPr>
        <w:t>c</w:t>
      </w:r>
      <w:r w:rsidRPr="00936318">
        <w:rPr>
          <w:bCs/>
          <w:lang w:val="en-GB"/>
        </w:rPr>
        <w:t xml:space="preserve">hief </w:t>
      </w:r>
      <w:r w:rsidR="00065123" w:rsidRPr="00936318">
        <w:rPr>
          <w:bCs/>
          <w:lang w:val="en-GB"/>
        </w:rPr>
        <w:t>r</w:t>
      </w:r>
      <w:r w:rsidRPr="00936318">
        <w:rPr>
          <w:bCs/>
          <w:lang w:val="en-GB"/>
        </w:rPr>
        <w:t xml:space="preserve">isk </w:t>
      </w:r>
      <w:r w:rsidR="00065123" w:rsidRPr="00936318">
        <w:rPr>
          <w:bCs/>
          <w:lang w:val="en-GB"/>
        </w:rPr>
        <w:t>o</w:t>
      </w:r>
      <w:r w:rsidRPr="00936318">
        <w:rPr>
          <w:bCs/>
          <w:lang w:val="en-GB"/>
        </w:rPr>
        <w:t xml:space="preserve">fficer of </w:t>
      </w:r>
      <w:r w:rsidRPr="00936318">
        <w:rPr>
          <w:lang w:val="en-GB"/>
        </w:rPr>
        <w:t>Credit Guarantee Corporation</w:t>
      </w:r>
      <w:r w:rsidR="00B60400" w:rsidRPr="00936318">
        <w:rPr>
          <w:lang w:val="en-GB"/>
        </w:rPr>
        <w:t xml:space="preserve"> Mal</w:t>
      </w:r>
      <w:r w:rsidR="00A67FC2" w:rsidRPr="00936318">
        <w:rPr>
          <w:lang w:val="en-GB"/>
        </w:rPr>
        <w:t>a</w:t>
      </w:r>
      <w:r w:rsidR="00B60400" w:rsidRPr="00936318">
        <w:rPr>
          <w:lang w:val="en-GB"/>
        </w:rPr>
        <w:t xml:space="preserve">ysia </w:t>
      </w:r>
      <w:proofErr w:type="spellStart"/>
      <w:r w:rsidR="00B60400" w:rsidRPr="00936318">
        <w:rPr>
          <w:lang w:val="en-GB"/>
        </w:rPr>
        <w:t>Berhad</w:t>
      </w:r>
      <w:proofErr w:type="spellEnd"/>
      <w:r w:rsidRPr="00936318">
        <w:rPr>
          <w:lang w:val="en-GB"/>
        </w:rPr>
        <w:t xml:space="preserve"> (CGC)</w:t>
      </w:r>
      <w:r w:rsidR="00065123" w:rsidRPr="00936318">
        <w:rPr>
          <w:lang w:val="en-GB"/>
        </w:rPr>
        <w:t>,</w:t>
      </w:r>
      <w:r w:rsidRPr="00936318">
        <w:rPr>
          <w:lang w:val="en-GB"/>
        </w:rPr>
        <w:t xml:space="preserve"> was mulling over a </w:t>
      </w:r>
      <w:r w:rsidR="00277636" w:rsidRPr="00936318">
        <w:rPr>
          <w:lang w:val="en-GB"/>
        </w:rPr>
        <w:t>pressing</w:t>
      </w:r>
      <w:r w:rsidRPr="00936318">
        <w:rPr>
          <w:lang w:val="en-GB"/>
        </w:rPr>
        <w:t xml:space="preserve"> problem</w:t>
      </w:r>
      <w:r w:rsidR="00B5157A" w:rsidRPr="00936318">
        <w:rPr>
          <w:lang w:val="en-GB"/>
        </w:rPr>
        <w:t xml:space="preserve"> related to the revision of business rules</w:t>
      </w:r>
      <w:r w:rsidR="00D04935" w:rsidRPr="00936318">
        <w:rPr>
          <w:lang w:val="en-GB"/>
        </w:rPr>
        <w:t xml:space="preserve">. </w:t>
      </w:r>
      <w:r w:rsidR="00A13345" w:rsidRPr="00936318">
        <w:rPr>
          <w:lang w:val="en-GB"/>
        </w:rPr>
        <w:t xml:space="preserve">CGC was </w:t>
      </w:r>
      <w:r w:rsidR="00D849C6" w:rsidRPr="00936318">
        <w:rPr>
          <w:lang w:val="en-GB"/>
        </w:rPr>
        <w:t xml:space="preserve">aiming </w:t>
      </w:r>
      <w:r w:rsidR="00A13345" w:rsidRPr="00936318">
        <w:rPr>
          <w:lang w:val="en-GB"/>
        </w:rPr>
        <w:t xml:space="preserve">to expand its business </w:t>
      </w:r>
      <w:r w:rsidR="001E7DA7" w:rsidRPr="00936318">
        <w:rPr>
          <w:lang w:val="en-GB"/>
        </w:rPr>
        <w:t xml:space="preserve">in Malaysia </w:t>
      </w:r>
      <w:r w:rsidR="00A13345" w:rsidRPr="00936318">
        <w:rPr>
          <w:lang w:val="en-GB"/>
        </w:rPr>
        <w:t xml:space="preserve">from just providing guarantees to </w:t>
      </w:r>
      <w:r w:rsidR="00065123" w:rsidRPr="00936318">
        <w:rPr>
          <w:lang w:val="en-GB"/>
        </w:rPr>
        <w:t>small and medium enterprises (</w:t>
      </w:r>
      <w:r w:rsidR="00A13345" w:rsidRPr="00936318">
        <w:rPr>
          <w:lang w:val="en-GB"/>
        </w:rPr>
        <w:t>SMEs</w:t>
      </w:r>
      <w:r w:rsidR="00065123" w:rsidRPr="00936318">
        <w:rPr>
          <w:lang w:val="en-GB"/>
        </w:rPr>
        <w:t>)</w:t>
      </w:r>
      <w:r w:rsidR="00A13345" w:rsidRPr="00936318">
        <w:rPr>
          <w:lang w:val="en-GB"/>
        </w:rPr>
        <w:t xml:space="preserve"> to granting direct loans (</w:t>
      </w:r>
      <w:r w:rsidR="00A222A1" w:rsidRPr="00936318">
        <w:rPr>
          <w:lang w:val="en-GB"/>
        </w:rPr>
        <w:t>direct-</w:t>
      </w:r>
      <w:r w:rsidR="00974BFD" w:rsidRPr="00936318">
        <w:rPr>
          <w:lang w:val="en-GB"/>
        </w:rPr>
        <w:t>l</w:t>
      </w:r>
      <w:r w:rsidR="00A13345" w:rsidRPr="00936318">
        <w:rPr>
          <w:lang w:val="en-GB"/>
        </w:rPr>
        <w:t xml:space="preserve">ending </w:t>
      </w:r>
      <w:r w:rsidR="00974BFD" w:rsidRPr="00936318">
        <w:rPr>
          <w:lang w:val="en-GB"/>
        </w:rPr>
        <w:t>p</w:t>
      </w:r>
      <w:r w:rsidR="00A13345" w:rsidRPr="00936318">
        <w:rPr>
          <w:lang w:val="en-GB"/>
        </w:rPr>
        <w:t>roduct</w:t>
      </w:r>
      <w:r w:rsidR="001E7DA7" w:rsidRPr="00936318">
        <w:rPr>
          <w:lang w:val="en-GB"/>
        </w:rPr>
        <w:t>s</w:t>
      </w:r>
      <w:r w:rsidR="00A13345" w:rsidRPr="00936318">
        <w:rPr>
          <w:lang w:val="en-GB"/>
        </w:rPr>
        <w:t>)</w:t>
      </w:r>
      <w:r w:rsidRPr="00936318">
        <w:rPr>
          <w:lang w:val="en-GB"/>
        </w:rPr>
        <w:t xml:space="preserve">. </w:t>
      </w:r>
      <w:r w:rsidR="00D849C6" w:rsidRPr="00936318">
        <w:rPr>
          <w:lang w:val="en-GB"/>
        </w:rPr>
        <w:t>T</w:t>
      </w:r>
      <w:r w:rsidR="00065123" w:rsidRPr="00936318">
        <w:rPr>
          <w:lang w:val="en-GB"/>
        </w:rPr>
        <w:t>o</w:t>
      </w:r>
      <w:r w:rsidR="00D849C6" w:rsidRPr="00936318">
        <w:rPr>
          <w:lang w:val="en-GB"/>
        </w:rPr>
        <w:t xml:space="preserve"> date, </w:t>
      </w:r>
      <w:r w:rsidRPr="00936318">
        <w:rPr>
          <w:lang w:val="en-GB"/>
        </w:rPr>
        <w:t xml:space="preserve">CGC </w:t>
      </w:r>
      <w:r w:rsidR="00065123" w:rsidRPr="00936318">
        <w:rPr>
          <w:lang w:val="en-GB"/>
        </w:rPr>
        <w:t xml:space="preserve">had </w:t>
      </w:r>
      <w:r w:rsidRPr="00936318">
        <w:rPr>
          <w:lang w:val="en-GB"/>
        </w:rPr>
        <w:t xml:space="preserve">guaranteed </w:t>
      </w:r>
      <w:r w:rsidR="00AC7F0B" w:rsidRPr="00936318">
        <w:rPr>
          <w:lang w:val="en-GB"/>
        </w:rPr>
        <w:t xml:space="preserve">financing to </w:t>
      </w:r>
      <w:r w:rsidRPr="00936318">
        <w:rPr>
          <w:lang w:val="en-GB"/>
        </w:rPr>
        <w:t xml:space="preserve">over </w:t>
      </w:r>
      <w:r w:rsidR="00821A7B" w:rsidRPr="00936318">
        <w:rPr>
          <w:lang w:val="en-GB"/>
        </w:rPr>
        <w:t>445,217</w:t>
      </w:r>
      <w:r w:rsidRPr="00936318">
        <w:rPr>
          <w:lang w:val="en-GB"/>
        </w:rPr>
        <w:t xml:space="preserve"> financing SMEs valued </w:t>
      </w:r>
      <w:r w:rsidR="00974BFD" w:rsidRPr="00936318">
        <w:rPr>
          <w:lang w:val="en-GB"/>
        </w:rPr>
        <w:t xml:space="preserve">at </w:t>
      </w:r>
      <w:r w:rsidRPr="00936318">
        <w:rPr>
          <w:lang w:val="en-GB"/>
        </w:rPr>
        <w:t>over RM</w:t>
      </w:r>
      <w:r w:rsidR="00974BFD" w:rsidRPr="00936318">
        <w:rPr>
          <w:lang w:val="en-GB"/>
        </w:rPr>
        <w:t>63.7 billion.</w:t>
      </w:r>
      <w:r w:rsidRPr="00936318">
        <w:rPr>
          <w:rStyle w:val="FootnoteReference"/>
          <w:lang w:val="en-GB"/>
        </w:rPr>
        <w:footnoteReference w:id="1"/>
      </w:r>
      <w:r w:rsidRPr="00936318">
        <w:rPr>
          <w:lang w:val="en-GB"/>
        </w:rPr>
        <w:t xml:space="preserve"> The total revenue and net profit for</w:t>
      </w:r>
      <w:r w:rsidR="00974BFD" w:rsidRPr="00936318">
        <w:rPr>
          <w:lang w:val="en-GB"/>
        </w:rPr>
        <w:t xml:space="preserve"> fiscal year </w:t>
      </w:r>
      <w:r w:rsidRPr="00936318">
        <w:rPr>
          <w:lang w:val="en-GB"/>
        </w:rPr>
        <w:t>2015 w</w:t>
      </w:r>
      <w:r w:rsidR="002932A4" w:rsidRPr="00936318">
        <w:rPr>
          <w:lang w:val="en-GB"/>
        </w:rPr>
        <w:t>ere</w:t>
      </w:r>
      <w:r w:rsidRPr="00936318">
        <w:rPr>
          <w:lang w:val="en-GB"/>
        </w:rPr>
        <w:t xml:space="preserve"> RM116.276 million and RM190.699 million</w:t>
      </w:r>
      <w:r w:rsidR="0036029C" w:rsidRPr="00936318">
        <w:rPr>
          <w:lang w:val="en-GB"/>
        </w:rPr>
        <w:t>,</w:t>
      </w:r>
      <w:r w:rsidRPr="00936318">
        <w:rPr>
          <w:lang w:val="en-GB"/>
        </w:rPr>
        <w:t xml:space="preserve"> respectively</w:t>
      </w:r>
      <w:r w:rsidR="00065123" w:rsidRPr="00936318">
        <w:rPr>
          <w:lang w:val="en-GB"/>
        </w:rPr>
        <w:t>.</w:t>
      </w:r>
      <w:r w:rsidRPr="00936318">
        <w:rPr>
          <w:rStyle w:val="FootnoteReference"/>
          <w:lang w:val="en-GB"/>
        </w:rPr>
        <w:footnoteReference w:id="2"/>
      </w:r>
      <w:r w:rsidRPr="00936318">
        <w:rPr>
          <w:lang w:val="en-GB"/>
        </w:rPr>
        <w:t xml:space="preserve"> </w:t>
      </w:r>
      <w:r w:rsidR="00D849C6" w:rsidRPr="00936318">
        <w:rPr>
          <w:lang w:val="en-GB"/>
        </w:rPr>
        <w:t xml:space="preserve">However, </w:t>
      </w:r>
      <w:r w:rsidR="00D04935" w:rsidRPr="00936318">
        <w:rPr>
          <w:lang w:val="en-GB"/>
        </w:rPr>
        <w:t xml:space="preserve">to </w:t>
      </w:r>
      <w:r w:rsidR="00D849C6" w:rsidRPr="00936318">
        <w:rPr>
          <w:lang w:val="en-GB"/>
        </w:rPr>
        <w:t>fulfil</w:t>
      </w:r>
      <w:r w:rsidR="00D04935" w:rsidRPr="00936318">
        <w:rPr>
          <w:lang w:val="en-GB"/>
        </w:rPr>
        <w:t xml:space="preserve"> </w:t>
      </w:r>
      <w:r w:rsidR="00D849C6" w:rsidRPr="00936318">
        <w:rPr>
          <w:lang w:val="en-GB"/>
        </w:rPr>
        <w:t>its new objective, CGC</w:t>
      </w:r>
      <w:r w:rsidRPr="00936318">
        <w:rPr>
          <w:lang w:val="en-GB"/>
        </w:rPr>
        <w:t xml:space="preserve"> required a major </w:t>
      </w:r>
      <w:r w:rsidR="00D849C6" w:rsidRPr="00936318">
        <w:rPr>
          <w:lang w:val="en-GB"/>
        </w:rPr>
        <w:t>over</w:t>
      </w:r>
      <w:r w:rsidRPr="00936318">
        <w:rPr>
          <w:lang w:val="en-GB"/>
        </w:rPr>
        <w:t xml:space="preserve">haul in business strategy </w:t>
      </w:r>
      <w:r w:rsidR="00BC09D0" w:rsidRPr="00936318">
        <w:rPr>
          <w:lang w:val="en-GB"/>
        </w:rPr>
        <w:t xml:space="preserve">and </w:t>
      </w:r>
      <w:r w:rsidRPr="00936318">
        <w:rPr>
          <w:lang w:val="en-GB"/>
        </w:rPr>
        <w:t>expan</w:t>
      </w:r>
      <w:r w:rsidR="001E7DA7" w:rsidRPr="00936318">
        <w:rPr>
          <w:lang w:val="en-GB"/>
        </w:rPr>
        <w:t xml:space="preserve">ded </w:t>
      </w:r>
      <w:r w:rsidRPr="00936318">
        <w:rPr>
          <w:lang w:val="en-GB"/>
        </w:rPr>
        <w:t>business rules.</w:t>
      </w:r>
      <w:r w:rsidR="00D04935" w:rsidRPr="00936318">
        <w:rPr>
          <w:lang w:val="en-GB"/>
        </w:rPr>
        <w:t xml:space="preserve"> </w:t>
      </w:r>
    </w:p>
    <w:p w14:paraId="215D972A" w14:textId="77777777" w:rsidR="001E7DA7" w:rsidRPr="00936318" w:rsidRDefault="001E7DA7" w:rsidP="00C92E99">
      <w:pPr>
        <w:pStyle w:val="BodyTextMain"/>
        <w:rPr>
          <w:lang w:val="en-GB"/>
        </w:rPr>
      </w:pPr>
    </w:p>
    <w:p w14:paraId="1E7CF250" w14:textId="714EA08F" w:rsidR="00C92E99" w:rsidRPr="00936318" w:rsidRDefault="00C92E99" w:rsidP="00C92E99">
      <w:pPr>
        <w:pStyle w:val="BodyTextMain"/>
        <w:rPr>
          <w:lang w:val="en-GB"/>
        </w:rPr>
      </w:pPr>
      <w:r w:rsidRPr="00936318">
        <w:rPr>
          <w:lang w:val="en-GB"/>
        </w:rPr>
        <w:t xml:space="preserve">CGC itself would be giving loans, </w:t>
      </w:r>
      <w:r w:rsidR="00D849C6" w:rsidRPr="00936318">
        <w:rPr>
          <w:lang w:val="en-GB"/>
        </w:rPr>
        <w:t xml:space="preserve">so </w:t>
      </w:r>
      <w:r w:rsidRPr="00936318">
        <w:rPr>
          <w:lang w:val="en-GB"/>
        </w:rPr>
        <w:t xml:space="preserve">it would need to check </w:t>
      </w:r>
      <w:r w:rsidR="00434B36" w:rsidRPr="00936318">
        <w:rPr>
          <w:lang w:val="en-GB"/>
        </w:rPr>
        <w:t xml:space="preserve">all </w:t>
      </w:r>
      <w:r w:rsidRPr="00936318">
        <w:rPr>
          <w:lang w:val="en-GB"/>
        </w:rPr>
        <w:t>clients</w:t>
      </w:r>
      <w:r w:rsidR="00434B36" w:rsidRPr="00936318">
        <w:rPr>
          <w:lang w:val="en-GB"/>
        </w:rPr>
        <w:t>’</w:t>
      </w:r>
      <w:r w:rsidRPr="00936318">
        <w:rPr>
          <w:lang w:val="en-GB"/>
        </w:rPr>
        <w:t xml:space="preserve"> demographic and bureau data </w:t>
      </w:r>
      <w:r w:rsidR="00BC09D0" w:rsidRPr="00936318">
        <w:rPr>
          <w:lang w:val="en-GB"/>
        </w:rPr>
        <w:t xml:space="preserve">to </w:t>
      </w:r>
      <w:r w:rsidRPr="00936318">
        <w:rPr>
          <w:lang w:val="en-GB"/>
        </w:rPr>
        <w:t xml:space="preserve">assess </w:t>
      </w:r>
      <w:r w:rsidR="00434B36" w:rsidRPr="00936318">
        <w:rPr>
          <w:lang w:val="en-GB"/>
        </w:rPr>
        <w:t xml:space="preserve">whether </w:t>
      </w:r>
      <w:r w:rsidRPr="00936318">
        <w:rPr>
          <w:lang w:val="en-GB"/>
        </w:rPr>
        <w:t xml:space="preserve">they </w:t>
      </w:r>
      <w:r w:rsidR="00BC09D0" w:rsidRPr="00936318">
        <w:rPr>
          <w:lang w:val="en-GB"/>
        </w:rPr>
        <w:t>we</w:t>
      </w:r>
      <w:r w:rsidRPr="00936318">
        <w:rPr>
          <w:lang w:val="en-GB"/>
        </w:rPr>
        <w:t>re creditworthy. Previously</w:t>
      </w:r>
      <w:r w:rsidR="0036029C" w:rsidRPr="00936318">
        <w:rPr>
          <w:lang w:val="en-GB"/>
        </w:rPr>
        <w:t>,</w:t>
      </w:r>
      <w:r w:rsidRPr="00936318">
        <w:rPr>
          <w:lang w:val="en-GB"/>
        </w:rPr>
        <w:t xml:space="preserve"> most business rules (eligibility criteria) were checked manually by CGC for each client</w:t>
      </w:r>
      <w:r w:rsidR="00D04935" w:rsidRPr="00936318">
        <w:rPr>
          <w:lang w:val="en-GB"/>
        </w:rPr>
        <w:t xml:space="preserve">—a </w:t>
      </w:r>
      <w:r w:rsidRPr="00936318">
        <w:rPr>
          <w:lang w:val="en-GB"/>
        </w:rPr>
        <w:t>slow and unreliable</w:t>
      </w:r>
      <w:r w:rsidR="00D04935" w:rsidRPr="00936318">
        <w:rPr>
          <w:lang w:val="en-GB"/>
        </w:rPr>
        <w:t xml:space="preserve"> process</w:t>
      </w:r>
      <w:r w:rsidRPr="00936318">
        <w:rPr>
          <w:lang w:val="en-GB"/>
        </w:rPr>
        <w:t xml:space="preserve">. With the addition of new </w:t>
      </w:r>
      <w:r w:rsidR="00A222A1" w:rsidRPr="00936318">
        <w:rPr>
          <w:lang w:val="en-GB"/>
        </w:rPr>
        <w:t>direct-</w:t>
      </w:r>
      <w:r w:rsidR="00BC09D0" w:rsidRPr="00936318">
        <w:rPr>
          <w:lang w:val="en-GB"/>
        </w:rPr>
        <w:t>l</w:t>
      </w:r>
      <w:r w:rsidRPr="00936318">
        <w:rPr>
          <w:lang w:val="en-GB"/>
        </w:rPr>
        <w:t xml:space="preserve">ending products, business rules and business strategy had to be altered </w:t>
      </w:r>
      <w:r w:rsidR="00AC79C4" w:rsidRPr="00936318">
        <w:rPr>
          <w:lang w:val="en-GB"/>
        </w:rPr>
        <w:t xml:space="preserve">in a </w:t>
      </w:r>
      <w:r w:rsidRPr="00936318">
        <w:rPr>
          <w:lang w:val="en-GB"/>
        </w:rPr>
        <w:t>rapid</w:t>
      </w:r>
      <w:r w:rsidR="00AC79C4" w:rsidRPr="00936318">
        <w:rPr>
          <w:lang w:val="en-GB"/>
        </w:rPr>
        <w:t xml:space="preserve"> yet</w:t>
      </w:r>
      <w:r w:rsidR="00D04935" w:rsidRPr="00936318">
        <w:rPr>
          <w:lang w:val="en-GB"/>
        </w:rPr>
        <w:t xml:space="preserve"> </w:t>
      </w:r>
      <w:r w:rsidRPr="00936318">
        <w:rPr>
          <w:lang w:val="en-GB"/>
        </w:rPr>
        <w:t>reliab</w:t>
      </w:r>
      <w:r w:rsidR="009435E7" w:rsidRPr="00936318">
        <w:rPr>
          <w:lang w:val="en-GB"/>
        </w:rPr>
        <w:t>le</w:t>
      </w:r>
      <w:r w:rsidR="00AC79C4" w:rsidRPr="00936318">
        <w:rPr>
          <w:lang w:val="en-GB"/>
        </w:rPr>
        <w:t xml:space="preserve"> manner</w:t>
      </w:r>
      <w:r w:rsidR="009435E7" w:rsidRPr="00936318">
        <w:rPr>
          <w:lang w:val="en-GB"/>
        </w:rPr>
        <w:t>.</w:t>
      </w:r>
      <w:r w:rsidRPr="00936318">
        <w:rPr>
          <w:lang w:val="en-GB"/>
        </w:rPr>
        <w:t xml:space="preserve"> </w:t>
      </w:r>
      <w:r w:rsidR="002932A4" w:rsidRPr="00936318">
        <w:rPr>
          <w:lang w:val="en-GB"/>
        </w:rPr>
        <w:t xml:space="preserve">Furthermore, </w:t>
      </w:r>
      <w:r w:rsidRPr="00936318">
        <w:rPr>
          <w:lang w:val="en-GB"/>
        </w:rPr>
        <w:t xml:space="preserve">CGC </w:t>
      </w:r>
      <w:r w:rsidR="00BC09D0" w:rsidRPr="00936318">
        <w:rPr>
          <w:lang w:val="en-GB"/>
        </w:rPr>
        <w:t xml:space="preserve">had </w:t>
      </w:r>
      <w:r w:rsidR="00FA04DF" w:rsidRPr="00936318">
        <w:rPr>
          <w:lang w:val="en-GB"/>
        </w:rPr>
        <w:t>earlier</w:t>
      </w:r>
      <w:r w:rsidR="001E7DA7" w:rsidRPr="00936318">
        <w:rPr>
          <w:lang w:val="en-GB"/>
        </w:rPr>
        <w:t xml:space="preserve"> used</w:t>
      </w:r>
      <w:r w:rsidRPr="00936318">
        <w:rPr>
          <w:lang w:val="en-GB"/>
        </w:rPr>
        <w:t xml:space="preserve"> a qualitative model to assess the creditworthiness of SMEs for all guarantee schemes. </w:t>
      </w:r>
      <w:r w:rsidR="00FA04DF" w:rsidRPr="00936318">
        <w:rPr>
          <w:lang w:val="en-GB"/>
        </w:rPr>
        <w:t>The</w:t>
      </w:r>
      <w:r w:rsidRPr="00936318">
        <w:rPr>
          <w:lang w:val="en-GB"/>
        </w:rPr>
        <w:t xml:space="preserve"> assum</w:t>
      </w:r>
      <w:r w:rsidR="00FA04DF" w:rsidRPr="00936318">
        <w:rPr>
          <w:lang w:val="en-GB"/>
        </w:rPr>
        <w:t xml:space="preserve">ption behind </w:t>
      </w:r>
      <w:r w:rsidR="00D04935" w:rsidRPr="00936318">
        <w:rPr>
          <w:lang w:val="en-GB"/>
        </w:rPr>
        <w:t>the model</w:t>
      </w:r>
      <w:r w:rsidR="00FA04DF" w:rsidRPr="00936318">
        <w:rPr>
          <w:lang w:val="en-GB"/>
        </w:rPr>
        <w:t xml:space="preserve"> was</w:t>
      </w:r>
      <w:r w:rsidRPr="00936318">
        <w:rPr>
          <w:lang w:val="en-GB"/>
        </w:rPr>
        <w:t xml:space="preserve"> that all products were the same</w:t>
      </w:r>
      <w:r w:rsidR="004D386F" w:rsidRPr="00936318">
        <w:rPr>
          <w:lang w:val="en-GB"/>
        </w:rPr>
        <w:t>;</w:t>
      </w:r>
      <w:r w:rsidR="00D04935" w:rsidRPr="00936318">
        <w:rPr>
          <w:lang w:val="en-GB"/>
        </w:rPr>
        <w:t xml:space="preserve"> </w:t>
      </w:r>
      <w:r w:rsidRPr="00936318">
        <w:rPr>
          <w:lang w:val="en-GB"/>
        </w:rPr>
        <w:t>if the client was not creditworthy for one type of guarantee, it was not worthy of any type of guarantee.</w:t>
      </w:r>
      <w:r w:rsidR="002932A4" w:rsidRPr="00936318">
        <w:rPr>
          <w:lang w:val="en-GB"/>
        </w:rPr>
        <w:t xml:space="preserve"> T</w:t>
      </w:r>
      <w:r w:rsidR="004D386F" w:rsidRPr="00936318">
        <w:rPr>
          <w:lang w:val="en-GB"/>
        </w:rPr>
        <w:t>he assumption</w:t>
      </w:r>
      <w:r w:rsidR="00D04935" w:rsidRPr="00936318">
        <w:rPr>
          <w:lang w:val="en-GB"/>
        </w:rPr>
        <w:t xml:space="preserve"> needed</w:t>
      </w:r>
      <w:r w:rsidR="000F726E" w:rsidRPr="00936318">
        <w:rPr>
          <w:lang w:val="en-GB"/>
        </w:rPr>
        <w:t xml:space="preserve"> </w:t>
      </w:r>
      <w:r w:rsidR="00225F43" w:rsidRPr="00936318">
        <w:rPr>
          <w:lang w:val="en-GB"/>
        </w:rPr>
        <w:t xml:space="preserve">to </w:t>
      </w:r>
      <w:r w:rsidR="000F726E" w:rsidRPr="00936318">
        <w:rPr>
          <w:lang w:val="en-GB"/>
        </w:rPr>
        <w:t>be revi</w:t>
      </w:r>
      <w:r w:rsidR="00CC7082" w:rsidRPr="00936318">
        <w:rPr>
          <w:lang w:val="en-GB"/>
        </w:rPr>
        <w:t>s</w:t>
      </w:r>
      <w:r w:rsidR="004D386F" w:rsidRPr="00936318">
        <w:rPr>
          <w:lang w:val="en-GB"/>
        </w:rPr>
        <w:t xml:space="preserve">ed, as </w:t>
      </w:r>
      <w:r w:rsidRPr="00936318">
        <w:rPr>
          <w:lang w:val="en-GB"/>
        </w:rPr>
        <w:t>t</w:t>
      </w:r>
      <w:r w:rsidR="001E7DA7" w:rsidRPr="00936318">
        <w:rPr>
          <w:lang w:val="en-GB"/>
        </w:rPr>
        <w:t>he</w:t>
      </w:r>
      <w:r w:rsidRPr="00936318">
        <w:rPr>
          <w:lang w:val="en-GB"/>
        </w:rPr>
        <w:t xml:space="preserve"> new </w:t>
      </w:r>
      <w:r w:rsidR="00A222A1" w:rsidRPr="00936318">
        <w:rPr>
          <w:lang w:val="en-GB"/>
        </w:rPr>
        <w:t>direct-</w:t>
      </w:r>
      <w:r w:rsidR="00BC09D0" w:rsidRPr="00936318">
        <w:rPr>
          <w:lang w:val="en-GB"/>
        </w:rPr>
        <w:t>l</w:t>
      </w:r>
      <w:r w:rsidRPr="00936318">
        <w:rPr>
          <w:lang w:val="en-GB"/>
        </w:rPr>
        <w:t>ending products</w:t>
      </w:r>
      <w:r w:rsidR="00BC09D0" w:rsidRPr="00936318">
        <w:rPr>
          <w:lang w:val="en-GB"/>
        </w:rPr>
        <w:t xml:space="preserve"> </w:t>
      </w:r>
      <w:r w:rsidRPr="00936318">
        <w:rPr>
          <w:lang w:val="en-GB"/>
        </w:rPr>
        <w:t>differ</w:t>
      </w:r>
      <w:r w:rsidR="00BC09D0" w:rsidRPr="00936318">
        <w:rPr>
          <w:lang w:val="en-GB"/>
        </w:rPr>
        <w:t>ed</w:t>
      </w:r>
      <w:r w:rsidRPr="00936318">
        <w:rPr>
          <w:lang w:val="en-GB"/>
        </w:rPr>
        <w:t xml:space="preserve"> from guarantee products. Given these recent developments, how could CGC revise its business rules </w:t>
      </w:r>
      <w:r w:rsidR="001E7DA7" w:rsidRPr="00936318">
        <w:rPr>
          <w:lang w:val="en-GB"/>
        </w:rPr>
        <w:t xml:space="preserve">to </w:t>
      </w:r>
      <w:r w:rsidRPr="00936318">
        <w:rPr>
          <w:lang w:val="en-GB"/>
        </w:rPr>
        <w:t>accommodat</w:t>
      </w:r>
      <w:r w:rsidR="001E7DA7" w:rsidRPr="00936318">
        <w:rPr>
          <w:lang w:val="en-GB"/>
        </w:rPr>
        <w:t>e</w:t>
      </w:r>
      <w:r w:rsidRPr="00936318">
        <w:rPr>
          <w:lang w:val="en-GB"/>
        </w:rPr>
        <w:t xml:space="preserve"> the new expansion strategy? </w:t>
      </w:r>
    </w:p>
    <w:p w14:paraId="3A68A88D" w14:textId="77777777" w:rsidR="00C92E99" w:rsidRPr="00936318" w:rsidRDefault="00C92E99" w:rsidP="00C92E99">
      <w:pPr>
        <w:pStyle w:val="BodyTextMain"/>
        <w:rPr>
          <w:lang w:val="en-GB"/>
        </w:rPr>
      </w:pPr>
    </w:p>
    <w:p w14:paraId="5C16F99F" w14:textId="77777777" w:rsidR="00833E36" w:rsidRPr="00936318" w:rsidRDefault="00833E36" w:rsidP="00C92E99">
      <w:pPr>
        <w:pStyle w:val="BodyTextMain"/>
        <w:rPr>
          <w:lang w:val="en-GB"/>
        </w:rPr>
      </w:pPr>
    </w:p>
    <w:p w14:paraId="7370A636" w14:textId="71E76C66" w:rsidR="00C92E99" w:rsidRPr="00936318" w:rsidRDefault="00C84E9C" w:rsidP="00C84E9C">
      <w:pPr>
        <w:pStyle w:val="Casehead1"/>
        <w:rPr>
          <w:lang w:val="en-GB"/>
        </w:rPr>
      </w:pPr>
      <w:r w:rsidRPr="00936318">
        <w:rPr>
          <w:lang w:val="en-GB"/>
        </w:rPr>
        <w:t>SME</w:t>
      </w:r>
      <w:r w:rsidR="00B743C3" w:rsidRPr="00936318">
        <w:rPr>
          <w:lang w:val="en-GB"/>
        </w:rPr>
        <w:t xml:space="preserve"> access to</w:t>
      </w:r>
      <w:r w:rsidRPr="00936318">
        <w:rPr>
          <w:lang w:val="en-GB"/>
        </w:rPr>
        <w:t xml:space="preserve"> Finance</w:t>
      </w:r>
    </w:p>
    <w:p w14:paraId="43A55170" w14:textId="77777777" w:rsidR="00887600" w:rsidRPr="00936318" w:rsidRDefault="00887600" w:rsidP="00C92E99">
      <w:pPr>
        <w:pStyle w:val="BodyTextMain"/>
        <w:rPr>
          <w:lang w:val="en-GB"/>
        </w:rPr>
      </w:pPr>
    </w:p>
    <w:p w14:paraId="38321E37" w14:textId="4C19DCC2" w:rsidR="00DF428C" w:rsidRPr="00936318" w:rsidRDefault="002A5BBE" w:rsidP="00C92E99">
      <w:pPr>
        <w:pStyle w:val="BodyTextMain"/>
        <w:rPr>
          <w:lang w:val="en-GB"/>
        </w:rPr>
      </w:pPr>
      <w:r w:rsidRPr="00936318">
        <w:rPr>
          <w:lang w:val="en-GB"/>
        </w:rPr>
        <w:t xml:space="preserve">SMEs played a </w:t>
      </w:r>
      <w:r w:rsidR="000F726E" w:rsidRPr="00936318">
        <w:rPr>
          <w:lang w:val="en-GB"/>
        </w:rPr>
        <w:t>crucial</w:t>
      </w:r>
      <w:r w:rsidRPr="00936318">
        <w:rPr>
          <w:lang w:val="en-GB"/>
        </w:rPr>
        <w:t xml:space="preserve"> role in shaping the overall economy of </w:t>
      </w:r>
      <w:r w:rsidR="00B6048B" w:rsidRPr="00936318">
        <w:rPr>
          <w:lang w:val="en-GB"/>
        </w:rPr>
        <w:t xml:space="preserve">a </w:t>
      </w:r>
      <w:r w:rsidRPr="00936318">
        <w:rPr>
          <w:lang w:val="en-GB"/>
        </w:rPr>
        <w:t>region</w:t>
      </w:r>
      <w:r w:rsidR="00B6048B" w:rsidRPr="00936318">
        <w:rPr>
          <w:lang w:val="en-GB"/>
        </w:rPr>
        <w:t>,</w:t>
      </w:r>
      <w:r w:rsidR="00AC7F0B" w:rsidRPr="00936318">
        <w:rPr>
          <w:lang w:val="en-GB"/>
        </w:rPr>
        <w:t xml:space="preserve"> especially in </w:t>
      </w:r>
      <w:r w:rsidR="00B6048B" w:rsidRPr="00936318">
        <w:rPr>
          <w:lang w:val="en-GB"/>
        </w:rPr>
        <w:t xml:space="preserve">an </w:t>
      </w:r>
      <w:r w:rsidR="00AC7F0B" w:rsidRPr="00936318">
        <w:rPr>
          <w:lang w:val="en-GB"/>
        </w:rPr>
        <w:t>emerging market context</w:t>
      </w:r>
      <w:r w:rsidRPr="00936318">
        <w:rPr>
          <w:lang w:val="en-GB"/>
        </w:rPr>
        <w:t>. Organi</w:t>
      </w:r>
      <w:r w:rsidR="00746FFE" w:rsidRPr="00936318">
        <w:rPr>
          <w:lang w:val="en-GB"/>
        </w:rPr>
        <w:t>z</w:t>
      </w:r>
      <w:r w:rsidR="0018652E" w:rsidRPr="00936318">
        <w:rPr>
          <w:lang w:val="en-GB"/>
        </w:rPr>
        <w:t>ed</w:t>
      </w:r>
      <w:r w:rsidRPr="00936318">
        <w:rPr>
          <w:lang w:val="en-GB"/>
        </w:rPr>
        <w:t xml:space="preserve"> SMEs contributed up</w:t>
      </w:r>
      <w:r w:rsidR="00746FFE" w:rsidRPr="00936318">
        <w:rPr>
          <w:lang w:val="en-GB"/>
        </w:rPr>
        <w:t xml:space="preserve"> </w:t>
      </w:r>
      <w:r w:rsidRPr="00936318">
        <w:rPr>
          <w:lang w:val="en-GB"/>
        </w:rPr>
        <w:t>to 60</w:t>
      </w:r>
      <w:r w:rsidR="00C66F18" w:rsidRPr="00936318">
        <w:rPr>
          <w:lang w:val="en-GB"/>
        </w:rPr>
        <w:t xml:space="preserve"> per cent</w:t>
      </w:r>
      <w:r w:rsidRPr="00936318">
        <w:rPr>
          <w:lang w:val="en-GB"/>
        </w:rPr>
        <w:t xml:space="preserve"> of the total employment and directly influenced up</w:t>
      </w:r>
      <w:r w:rsidR="00976A80" w:rsidRPr="00936318">
        <w:rPr>
          <w:lang w:val="en-GB"/>
        </w:rPr>
        <w:t xml:space="preserve"> </w:t>
      </w:r>
      <w:r w:rsidRPr="00936318">
        <w:rPr>
          <w:lang w:val="en-GB"/>
        </w:rPr>
        <w:t>to 40</w:t>
      </w:r>
      <w:r w:rsidR="00C66F18" w:rsidRPr="00936318">
        <w:rPr>
          <w:lang w:val="en-GB"/>
        </w:rPr>
        <w:t xml:space="preserve"> per cent</w:t>
      </w:r>
      <w:r w:rsidRPr="00936318">
        <w:rPr>
          <w:lang w:val="en-GB"/>
        </w:rPr>
        <w:t xml:space="preserve"> of </w:t>
      </w:r>
      <w:r w:rsidR="00225F43" w:rsidRPr="00936318">
        <w:rPr>
          <w:lang w:val="en-GB"/>
        </w:rPr>
        <w:t xml:space="preserve">the </w:t>
      </w:r>
      <w:r w:rsidR="00746FFE" w:rsidRPr="00936318">
        <w:rPr>
          <w:lang w:val="en-GB"/>
        </w:rPr>
        <w:t>gross domestic product</w:t>
      </w:r>
      <w:r w:rsidR="00987F84" w:rsidRPr="00936318">
        <w:rPr>
          <w:lang w:val="en-GB"/>
        </w:rPr>
        <w:t xml:space="preserve"> in emerging economies</w:t>
      </w:r>
      <w:r w:rsidRPr="00936318">
        <w:rPr>
          <w:lang w:val="en-GB"/>
        </w:rPr>
        <w:t xml:space="preserve">. It was logical </w:t>
      </w:r>
      <w:r w:rsidR="00B743C3" w:rsidRPr="00936318">
        <w:rPr>
          <w:lang w:val="en-GB"/>
        </w:rPr>
        <w:t xml:space="preserve">for policy makers </w:t>
      </w:r>
      <w:r w:rsidR="00987F84" w:rsidRPr="00936318">
        <w:rPr>
          <w:lang w:val="en-GB"/>
        </w:rPr>
        <w:t xml:space="preserve">to deduce that these growth trajectory figures were meant to rise, considering the contribution of the informal or unorganized SMEs. According to World Bank estimates, SMEs generated four out of every five formal </w:t>
      </w:r>
      <w:r w:rsidR="00987F84" w:rsidRPr="00936318">
        <w:rPr>
          <w:lang w:val="en-GB"/>
        </w:rPr>
        <w:lastRenderedPageBreak/>
        <w:t>job positions. However, SMEs struggled to grow organically because of a lack of capital. Access to finance from lending institutions posed an enormous challenge for the future of SMEs. In fact, it was estimated that approximately 70 per cent of SMEs in emerging markets</w:t>
      </w:r>
      <w:r w:rsidR="001D5AF5" w:rsidRPr="00936318">
        <w:rPr>
          <w:lang w:val="en-GB"/>
        </w:rPr>
        <w:t xml:space="preserve"> were not able to access credit to finance their</w:t>
      </w:r>
      <w:r w:rsidR="00987F84" w:rsidRPr="00936318">
        <w:rPr>
          <w:lang w:val="en-GB"/>
        </w:rPr>
        <w:t xml:space="preserve"> operations. The current credit gap for both formal and informal SMEs was estimated to be more than US$2.6 trillion. This gap was more prominent in Africa and</w:t>
      </w:r>
      <w:r w:rsidR="001D5AF5" w:rsidRPr="00936318">
        <w:rPr>
          <w:lang w:val="en-GB"/>
        </w:rPr>
        <w:t xml:space="preserve"> Asia. </w:t>
      </w:r>
      <w:r w:rsidR="00FD0238" w:rsidRPr="00936318">
        <w:rPr>
          <w:lang w:val="en-GB"/>
        </w:rPr>
        <w:t xml:space="preserve">Therefore, </w:t>
      </w:r>
      <w:r w:rsidR="004B1064" w:rsidRPr="00936318">
        <w:rPr>
          <w:lang w:val="en-GB"/>
        </w:rPr>
        <w:t xml:space="preserve">according to a World Bank brief, </w:t>
      </w:r>
      <w:r w:rsidR="00FD0238" w:rsidRPr="00936318">
        <w:rPr>
          <w:lang w:val="en-GB"/>
        </w:rPr>
        <w:t>the growth</w:t>
      </w:r>
      <w:r w:rsidR="001D5AF5" w:rsidRPr="00936318">
        <w:rPr>
          <w:lang w:val="en-GB"/>
        </w:rPr>
        <w:t xml:space="preserve"> of SME</w:t>
      </w:r>
      <w:r w:rsidR="00FD0238" w:rsidRPr="00936318">
        <w:rPr>
          <w:lang w:val="en-GB"/>
        </w:rPr>
        <w:t>s</w:t>
      </w:r>
      <w:r w:rsidR="001D5AF5" w:rsidRPr="00936318">
        <w:rPr>
          <w:lang w:val="en-GB"/>
        </w:rPr>
        <w:t xml:space="preserve"> was of utmost priority to policy analysts. </w:t>
      </w:r>
    </w:p>
    <w:p w14:paraId="75BDE65D" w14:textId="77777777" w:rsidR="00DF428C" w:rsidRPr="00936318" w:rsidRDefault="00DF428C" w:rsidP="00C92E99">
      <w:pPr>
        <w:pStyle w:val="BodyTextMain"/>
        <w:rPr>
          <w:lang w:val="en-GB"/>
        </w:rPr>
      </w:pPr>
    </w:p>
    <w:p w14:paraId="113B7B71" w14:textId="77777777" w:rsidR="00C84E9C" w:rsidRPr="00936318" w:rsidRDefault="00DF428C" w:rsidP="00DF428C">
      <w:pPr>
        <w:pStyle w:val="BodyTextMain"/>
        <w:ind w:left="567"/>
        <w:rPr>
          <w:lang w:val="en-GB"/>
        </w:rPr>
      </w:pPr>
      <w:r w:rsidRPr="00936318">
        <w:rPr>
          <w:lang w:val="en-GB"/>
        </w:rPr>
        <w:t xml:space="preserve">A World Bank Group study suggests there are </w:t>
      </w:r>
      <w:proofErr w:type="gramStart"/>
      <w:r w:rsidRPr="00936318">
        <w:rPr>
          <w:lang w:val="en-GB"/>
        </w:rPr>
        <w:t>between</w:t>
      </w:r>
      <w:r w:rsidR="00976A80" w:rsidRPr="00936318">
        <w:rPr>
          <w:lang w:val="en-GB"/>
        </w:rPr>
        <w:t xml:space="preserve"> </w:t>
      </w:r>
      <w:r w:rsidRPr="00936318">
        <w:rPr>
          <w:lang w:val="en-GB"/>
        </w:rPr>
        <w:t>365</w:t>
      </w:r>
      <w:r w:rsidR="008A5198" w:rsidRPr="00936318">
        <w:rPr>
          <w:lang w:val="en-GB"/>
        </w:rPr>
        <w:t>–</w:t>
      </w:r>
      <w:r w:rsidRPr="00936318">
        <w:rPr>
          <w:lang w:val="en-GB"/>
        </w:rPr>
        <w:t>445 million MSMEs in emerging markets</w:t>
      </w:r>
      <w:proofErr w:type="gramEnd"/>
      <w:r w:rsidRPr="00936318">
        <w:rPr>
          <w:lang w:val="en-GB"/>
        </w:rPr>
        <w:t>: 25</w:t>
      </w:r>
      <w:r w:rsidR="00746FFE" w:rsidRPr="00936318">
        <w:rPr>
          <w:lang w:val="en-GB"/>
        </w:rPr>
        <w:t>–</w:t>
      </w:r>
      <w:r w:rsidRPr="00936318">
        <w:rPr>
          <w:lang w:val="en-GB"/>
        </w:rPr>
        <w:t>30 million are formal SMEs; 55</w:t>
      </w:r>
      <w:r w:rsidR="00225F43" w:rsidRPr="00936318">
        <w:rPr>
          <w:lang w:val="en-GB"/>
        </w:rPr>
        <w:t>–</w:t>
      </w:r>
      <w:r w:rsidRPr="00936318">
        <w:rPr>
          <w:lang w:val="en-GB"/>
        </w:rPr>
        <w:t>70 million are formal micro enterprises; and 285</w:t>
      </w:r>
      <w:r w:rsidR="00225F43" w:rsidRPr="00936318">
        <w:rPr>
          <w:lang w:val="en-GB"/>
        </w:rPr>
        <w:t>–</w:t>
      </w:r>
      <w:r w:rsidRPr="00936318">
        <w:rPr>
          <w:lang w:val="en-GB"/>
        </w:rPr>
        <w:t>345 million are informal enterprises. Moving informal SMEs into the formal sector can have considerable advantages for the SME (for example, better access to credit and government services) and to the overall economy (for example, higher tax revenues, better regulation). Also, improving SMEs’ access to finance and finding solutions to unlock sources of capital is crucial to enable this potentially dynamic sector to grow and provide jobs</w:t>
      </w:r>
      <w:r w:rsidR="007A3ADA" w:rsidRPr="00936318">
        <w:rPr>
          <w:lang w:val="en-GB"/>
        </w:rPr>
        <w:t>.</w:t>
      </w:r>
      <w:r w:rsidR="00B6048B" w:rsidRPr="00936318">
        <w:rPr>
          <w:rStyle w:val="FootnoteReference"/>
          <w:lang w:val="en-GB"/>
        </w:rPr>
        <w:footnoteReference w:id="3"/>
      </w:r>
    </w:p>
    <w:p w14:paraId="31FB690E" w14:textId="77777777" w:rsidR="003D3869" w:rsidRPr="00936318" w:rsidRDefault="003D3869" w:rsidP="003D3869">
      <w:pPr>
        <w:pStyle w:val="BodyTextMain"/>
        <w:rPr>
          <w:lang w:val="en-GB"/>
        </w:rPr>
      </w:pPr>
    </w:p>
    <w:p w14:paraId="14FA111C" w14:textId="2CBF5C7D" w:rsidR="003D3869" w:rsidRPr="00936318" w:rsidRDefault="003D3869" w:rsidP="003D3869">
      <w:pPr>
        <w:pStyle w:val="BodyTextMain"/>
        <w:rPr>
          <w:lang w:val="en-GB"/>
        </w:rPr>
      </w:pPr>
      <w:r w:rsidRPr="00936318">
        <w:rPr>
          <w:lang w:val="en-GB"/>
        </w:rPr>
        <w:t>Given the argument that SME</w:t>
      </w:r>
      <w:r w:rsidR="0009148A" w:rsidRPr="00936318">
        <w:rPr>
          <w:lang w:val="en-GB"/>
        </w:rPr>
        <w:t>s</w:t>
      </w:r>
      <w:r w:rsidRPr="00936318">
        <w:rPr>
          <w:lang w:val="en-GB"/>
        </w:rPr>
        <w:t xml:space="preserve"> </w:t>
      </w:r>
      <w:r w:rsidR="008A5198" w:rsidRPr="00936318">
        <w:rPr>
          <w:lang w:val="en-GB"/>
        </w:rPr>
        <w:t>needed</w:t>
      </w:r>
      <w:r w:rsidRPr="00936318">
        <w:rPr>
          <w:lang w:val="en-GB"/>
        </w:rPr>
        <w:t xml:space="preserve"> capital to finance their operations, it was </w:t>
      </w:r>
      <w:r w:rsidR="00E25BC9" w:rsidRPr="00936318">
        <w:rPr>
          <w:lang w:val="en-GB"/>
        </w:rPr>
        <w:t>vital</w:t>
      </w:r>
      <w:r w:rsidRPr="00936318">
        <w:rPr>
          <w:lang w:val="en-GB"/>
        </w:rPr>
        <w:t xml:space="preserve"> that emerging market banks and lending institutions</w:t>
      </w:r>
      <w:r w:rsidR="006A70AE" w:rsidRPr="00936318">
        <w:rPr>
          <w:lang w:val="en-GB"/>
        </w:rPr>
        <w:t xml:space="preserve"> always</w:t>
      </w:r>
      <w:r w:rsidRPr="00936318">
        <w:rPr>
          <w:lang w:val="en-GB"/>
        </w:rPr>
        <w:t xml:space="preserve"> had lower loan</w:t>
      </w:r>
      <w:r w:rsidR="00725D9C" w:rsidRPr="00936318">
        <w:rPr>
          <w:lang w:val="en-GB"/>
        </w:rPr>
        <w:t>-</w:t>
      </w:r>
      <w:r w:rsidRPr="00936318">
        <w:rPr>
          <w:lang w:val="en-GB"/>
        </w:rPr>
        <w:t>to</w:t>
      </w:r>
      <w:r w:rsidR="00725D9C" w:rsidRPr="00936318">
        <w:rPr>
          <w:lang w:val="en-GB"/>
        </w:rPr>
        <w:t>-</w:t>
      </w:r>
      <w:r w:rsidRPr="00936318">
        <w:rPr>
          <w:lang w:val="en-GB"/>
        </w:rPr>
        <w:t xml:space="preserve">deposit ratios. However, in the presence of </w:t>
      </w:r>
      <w:r w:rsidR="00E25BC9" w:rsidRPr="00936318">
        <w:rPr>
          <w:lang w:val="en-GB"/>
        </w:rPr>
        <w:t xml:space="preserve">the </w:t>
      </w:r>
      <w:r w:rsidRPr="00936318">
        <w:rPr>
          <w:lang w:val="en-GB"/>
        </w:rPr>
        <w:t>tight monetary policy o</w:t>
      </w:r>
      <w:r w:rsidR="008A5198" w:rsidRPr="00936318">
        <w:rPr>
          <w:lang w:val="en-GB"/>
        </w:rPr>
        <w:t>f</w:t>
      </w:r>
      <w:r w:rsidRPr="00936318">
        <w:rPr>
          <w:lang w:val="en-GB"/>
        </w:rPr>
        <w:t xml:space="preserve"> developed countries and </w:t>
      </w:r>
      <w:r w:rsidR="00D47112" w:rsidRPr="00936318">
        <w:rPr>
          <w:lang w:val="en-GB"/>
        </w:rPr>
        <w:t>alterations in</w:t>
      </w:r>
      <w:r w:rsidRPr="00936318">
        <w:rPr>
          <w:lang w:val="en-GB"/>
        </w:rPr>
        <w:t xml:space="preserve"> the regulatory landscape over the years,</w:t>
      </w:r>
      <w:r w:rsidR="00D47112" w:rsidRPr="00936318">
        <w:rPr>
          <w:lang w:val="en-GB"/>
        </w:rPr>
        <w:t xml:space="preserve"> </w:t>
      </w:r>
      <w:r w:rsidRPr="00936318">
        <w:rPr>
          <w:lang w:val="en-GB"/>
        </w:rPr>
        <w:t xml:space="preserve">emerging market banks were facing more pressure to keep themselves profitable amid </w:t>
      </w:r>
      <w:r w:rsidR="00C03B29" w:rsidRPr="00936318">
        <w:rPr>
          <w:lang w:val="en-GB"/>
        </w:rPr>
        <w:t xml:space="preserve">increased risk costs and </w:t>
      </w:r>
      <w:r w:rsidRPr="00936318">
        <w:rPr>
          <w:lang w:val="en-GB"/>
        </w:rPr>
        <w:t xml:space="preserve">competition in the retail market. </w:t>
      </w:r>
      <w:r w:rsidR="00C03B29" w:rsidRPr="00936318">
        <w:rPr>
          <w:lang w:val="en-GB"/>
        </w:rPr>
        <w:t>As a result, risk mitigation had moved up to the top</w:t>
      </w:r>
      <w:r w:rsidR="00FC48E5" w:rsidRPr="00936318">
        <w:rPr>
          <w:lang w:val="en-GB"/>
        </w:rPr>
        <w:t xml:space="preserve"> of</w:t>
      </w:r>
      <w:r w:rsidR="00BB3E4E" w:rsidRPr="00936318">
        <w:rPr>
          <w:lang w:val="en-GB"/>
        </w:rPr>
        <w:t xml:space="preserve"> the </w:t>
      </w:r>
      <w:r w:rsidR="00C03B29" w:rsidRPr="00936318">
        <w:rPr>
          <w:lang w:val="en-GB"/>
        </w:rPr>
        <w:t>priority list for these institutions. Risk teams and departments were considering</w:t>
      </w:r>
      <w:r w:rsidR="0080766F" w:rsidRPr="00936318">
        <w:rPr>
          <w:lang w:val="en-GB"/>
        </w:rPr>
        <w:t xml:space="preserve"> different</w:t>
      </w:r>
      <w:r w:rsidR="00C03B29" w:rsidRPr="00936318">
        <w:rPr>
          <w:lang w:val="en-GB"/>
        </w:rPr>
        <w:t xml:space="preserve"> ways to support effective decision making in their </w:t>
      </w:r>
      <w:r w:rsidR="0080766F" w:rsidRPr="00936318">
        <w:rPr>
          <w:lang w:val="en-GB"/>
        </w:rPr>
        <w:t>day-to-day</w:t>
      </w:r>
      <w:r w:rsidR="00C03B29" w:rsidRPr="00936318">
        <w:rPr>
          <w:lang w:val="en-GB"/>
        </w:rPr>
        <w:t xml:space="preserve"> operations.</w:t>
      </w:r>
      <w:r w:rsidR="00725D9C" w:rsidRPr="00936318">
        <w:rPr>
          <w:lang w:val="en-GB"/>
        </w:rPr>
        <w:t xml:space="preserve"> The </w:t>
      </w:r>
      <w:r w:rsidR="00FC48E5" w:rsidRPr="00936318">
        <w:rPr>
          <w:lang w:val="en-GB"/>
        </w:rPr>
        <w:t>i</w:t>
      </w:r>
      <w:r w:rsidR="00C03B29" w:rsidRPr="00936318">
        <w:rPr>
          <w:lang w:val="en-GB"/>
        </w:rPr>
        <w:t>nstitutions focused on devising customized analytical tools to aid their decision</w:t>
      </w:r>
      <w:r w:rsidR="00FC48E5" w:rsidRPr="00936318">
        <w:rPr>
          <w:lang w:val="en-GB"/>
        </w:rPr>
        <w:t>-</w:t>
      </w:r>
      <w:r w:rsidR="00C03B29" w:rsidRPr="00936318">
        <w:rPr>
          <w:lang w:val="en-GB"/>
        </w:rPr>
        <w:t>making process</w:t>
      </w:r>
      <w:r w:rsidR="00AB236A" w:rsidRPr="00936318">
        <w:rPr>
          <w:lang w:val="en-GB"/>
        </w:rPr>
        <w:t>es</w:t>
      </w:r>
      <w:r w:rsidR="00C03B29" w:rsidRPr="00936318">
        <w:rPr>
          <w:lang w:val="en-GB"/>
        </w:rPr>
        <w:t>.</w:t>
      </w:r>
      <w:r w:rsidR="004B1064" w:rsidRPr="00936318">
        <w:rPr>
          <w:rStyle w:val="FootnoteReference"/>
          <w:lang w:val="en-GB"/>
        </w:rPr>
        <w:footnoteReference w:id="4"/>
      </w:r>
      <w:r w:rsidR="00C03B29" w:rsidRPr="00936318">
        <w:rPr>
          <w:lang w:val="en-GB"/>
        </w:rPr>
        <w:t xml:space="preserve"> </w:t>
      </w:r>
    </w:p>
    <w:p w14:paraId="586F1C89" w14:textId="77777777" w:rsidR="00821A7B" w:rsidRPr="00936318" w:rsidRDefault="00821A7B" w:rsidP="003D3869">
      <w:pPr>
        <w:pStyle w:val="BodyTextMain"/>
        <w:rPr>
          <w:lang w:val="en-GB"/>
        </w:rPr>
      </w:pPr>
    </w:p>
    <w:p w14:paraId="39A6AAE8" w14:textId="444BF87C" w:rsidR="00821A7B" w:rsidRPr="00936318" w:rsidRDefault="007E4476" w:rsidP="000A7B39">
      <w:pPr>
        <w:pStyle w:val="BodyTextMain"/>
        <w:rPr>
          <w:lang w:val="en-GB"/>
        </w:rPr>
      </w:pPr>
      <w:r w:rsidRPr="00936318">
        <w:rPr>
          <w:lang w:val="en-GB"/>
        </w:rPr>
        <w:t xml:space="preserve">The biggest challenge </w:t>
      </w:r>
      <w:r w:rsidR="00133DED" w:rsidRPr="00936318">
        <w:rPr>
          <w:lang w:val="en-GB"/>
        </w:rPr>
        <w:t xml:space="preserve">of </w:t>
      </w:r>
      <w:r w:rsidRPr="00936318">
        <w:rPr>
          <w:lang w:val="en-GB"/>
        </w:rPr>
        <w:t xml:space="preserve">SME lending </w:t>
      </w:r>
      <w:r w:rsidR="00133DED" w:rsidRPr="00936318">
        <w:rPr>
          <w:lang w:val="en-GB"/>
        </w:rPr>
        <w:t>was</w:t>
      </w:r>
      <w:r w:rsidRPr="00936318">
        <w:rPr>
          <w:lang w:val="en-GB"/>
        </w:rPr>
        <w:t xml:space="preserve"> the lack of information about the borrower. </w:t>
      </w:r>
      <w:r w:rsidR="002F52F3" w:rsidRPr="00936318">
        <w:rPr>
          <w:lang w:val="en-GB"/>
        </w:rPr>
        <w:t>Hence</w:t>
      </w:r>
      <w:r w:rsidRPr="00936318">
        <w:rPr>
          <w:lang w:val="en-GB"/>
        </w:rPr>
        <w:t xml:space="preserve">, </w:t>
      </w:r>
      <w:r w:rsidR="002F52F3" w:rsidRPr="00936318">
        <w:rPr>
          <w:lang w:val="en-GB"/>
        </w:rPr>
        <w:t xml:space="preserve">the </w:t>
      </w:r>
      <w:r w:rsidRPr="00936318">
        <w:rPr>
          <w:lang w:val="en-GB"/>
        </w:rPr>
        <w:t>lending institutions in emerging markets went beyond the standard risk model to assess credit risk. A</w:t>
      </w:r>
      <w:r w:rsidR="00AB236A" w:rsidRPr="00936318">
        <w:rPr>
          <w:lang w:val="en-GB"/>
        </w:rPr>
        <w:t xml:space="preserve">ccording to a </w:t>
      </w:r>
      <w:r w:rsidRPr="00936318">
        <w:rPr>
          <w:lang w:val="en-GB"/>
        </w:rPr>
        <w:t>Mc</w:t>
      </w:r>
      <w:r w:rsidR="004B1064" w:rsidRPr="00936318">
        <w:rPr>
          <w:lang w:val="en-GB"/>
        </w:rPr>
        <w:t>K</w:t>
      </w:r>
      <w:r w:rsidRPr="00936318">
        <w:rPr>
          <w:lang w:val="en-GB"/>
        </w:rPr>
        <w:t>insey report</w:t>
      </w:r>
      <w:r w:rsidR="008A5198" w:rsidRPr="00936318">
        <w:rPr>
          <w:lang w:val="en-GB"/>
        </w:rPr>
        <w:t>,</w:t>
      </w:r>
      <w:r w:rsidR="000A7B39" w:rsidRPr="00936318">
        <w:rPr>
          <w:rStyle w:val="FootnoteReference"/>
          <w:lang w:val="en-GB"/>
        </w:rPr>
        <w:footnoteReference w:id="5"/>
      </w:r>
      <w:r w:rsidRPr="00936318">
        <w:rPr>
          <w:lang w:val="en-GB"/>
        </w:rPr>
        <w:t xml:space="preserve"> 72</w:t>
      </w:r>
      <w:r w:rsidR="00C66F18" w:rsidRPr="00936318">
        <w:rPr>
          <w:lang w:val="en-GB"/>
        </w:rPr>
        <w:t xml:space="preserve"> per cent</w:t>
      </w:r>
      <w:r w:rsidRPr="00936318">
        <w:rPr>
          <w:lang w:val="en-GB"/>
        </w:rPr>
        <w:t xml:space="preserve"> of the banks in emerging markets used a standardized credit</w:t>
      </w:r>
      <w:r w:rsidR="00725D9C" w:rsidRPr="00936318">
        <w:rPr>
          <w:lang w:val="en-GB"/>
        </w:rPr>
        <w:t>-</w:t>
      </w:r>
      <w:r w:rsidRPr="00936318">
        <w:rPr>
          <w:lang w:val="en-GB"/>
        </w:rPr>
        <w:t>scoring model</w:t>
      </w:r>
      <w:r w:rsidR="00AB236A" w:rsidRPr="00936318">
        <w:rPr>
          <w:lang w:val="en-GB"/>
        </w:rPr>
        <w:t xml:space="preserve">. This model </w:t>
      </w:r>
      <w:r w:rsidRPr="00936318">
        <w:rPr>
          <w:lang w:val="en-GB"/>
        </w:rPr>
        <w:t>incorporated traditional information sources such as evidence of cash flows, collateral</w:t>
      </w:r>
      <w:r w:rsidR="002F52F3" w:rsidRPr="00936318">
        <w:rPr>
          <w:lang w:val="en-GB"/>
        </w:rPr>
        <w:t>,</w:t>
      </w:r>
      <w:r w:rsidRPr="00936318">
        <w:rPr>
          <w:lang w:val="en-GB"/>
        </w:rPr>
        <w:t xml:space="preserve"> and credit bureau score. </w:t>
      </w:r>
      <w:r w:rsidR="000A7B39" w:rsidRPr="00936318">
        <w:rPr>
          <w:lang w:val="en-GB"/>
        </w:rPr>
        <w:t xml:space="preserve">The report suggested that few banks </w:t>
      </w:r>
      <w:r w:rsidR="00F16788" w:rsidRPr="00936318">
        <w:rPr>
          <w:lang w:val="en-GB"/>
        </w:rPr>
        <w:t>were</w:t>
      </w:r>
      <w:r w:rsidR="000A7B39" w:rsidRPr="00936318">
        <w:rPr>
          <w:lang w:val="en-GB"/>
        </w:rPr>
        <w:t xml:space="preserve"> using psychometric testing</w:t>
      </w:r>
      <w:r w:rsidR="00F16788" w:rsidRPr="00936318">
        <w:rPr>
          <w:lang w:val="en-GB"/>
        </w:rPr>
        <w:t xml:space="preserve"> for</w:t>
      </w:r>
      <w:r w:rsidR="000A7B39" w:rsidRPr="00936318">
        <w:rPr>
          <w:lang w:val="en-GB"/>
        </w:rPr>
        <w:t xml:space="preserve"> measur</w:t>
      </w:r>
      <w:r w:rsidR="00F16788" w:rsidRPr="00936318">
        <w:rPr>
          <w:lang w:val="en-GB"/>
        </w:rPr>
        <w:t>ing</w:t>
      </w:r>
      <w:r w:rsidR="000A7B39" w:rsidRPr="00936318">
        <w:rPr>
          <w:lang w:val="en-GB"/>
        </w:rPr>
        <w:t xml:space="preserve"> </w:t>
      </w:r>
      <w:r w:rsidR="00AB236A" w:rsidRPr="00936318">
        <w:rPr>
          <w:lang w:val="en-GB"/>
        </w:rPr>
        <w:t xml:space="preserve">an </w:t>
      </w:r>
      <w:r w:rsidR="000A7B39" w:rsidRPr="00936318">
        <w:rPr>
          <w:lang w:val="en-GB"/>
        </w:rPr>
        <w:t>entrepreneur’s psychological profile, ethics and integrity, intelligence</w:t>
      </w:r>
      <w:r w:rsidR="00AB236A" w:rsidRPr="00936318">
        <w:rPr>
          <w:lang w:val="en-GB"/>
        </w:rPr>
        <w:t>,</w:t>
      </w:r>
      <w:r w:rsidR="000A7B39" w:rsidRPr="00936318">
        <w:rPr>
          <w:lang w:val="en-GB"/>
        </w:rPr>
        <w:t xml:space="preserve"> and business skills. </w:t>
      </w:r>
      <w:r w:rsidR="00F16788" w:rsidRPr="00936318">
        <w:rPr>
          <w:lang w:val="en-GB"/>
        </w:rPr>
        <w:t>However, o</w:t>
      </w:r>
      <w:r w:rsidR="000A7B39" w:rsidRPr="00936318">
        <w:rPr>
          <w:lang w:val="en-GB"/>
        </w:rPr>
        <w:t xml:space="preserve">ther banks </w:t>
      </w:r>
      <w:r w:rsidR="00F16788" w:rsidRPr="00936318">
        <w:rPr>
          <w:lang w:val="en-GB"/>
        </w:rPr>
        <w:t>employed</w:t>
      </w:r>
      <w:r w:rsidR="000A7B39" w:rsidRPr="00936318">
        <w:rPr>
          <w:lang w:val="en-GB"/>
        </w:rPr>
        <w:t xml:space="preserve"> </w:t>
      </w:r>
      <w:r w:rsidR="00AB236A" w:rsidRPr="00936318">
        <w:rPr>
          <w:lang w:val="en-GB"/>
        </w:rPr>
        <w:t>q</w:t>
      </w:r>
      <w:r w:rsidR="000A7B39" w:rsidRPr="00936318">
        <w:rPr>
          <w:lang w:val="en-GB"/>
        </w:rPr>
        <w:t xml:space="preserve">ualitative </w:t>
      </w:r>
      <w:r w:rsidR="00AB236A" w:rsidRPr="00936318">
        <w:rPr>
          <w:lang w:val="en-GB"/>
        </w:rPr>
        <w:t>c</w:t>
      </w:r>
      <w:r w:rsidR="000A7B39" w:rsidRPr="00936318">
        <w:rPr>
          <w:lang w:val="en-GB"/>
        </w:rPr>
        <w:t xml:space="preserve">redit </w:t>
      </w:r>
      <w:r w:rsidR="00AB236A" w:rsidRPr="00936318">
        <w:rPr>
          <w:lang w:val="en-GB"/>
        </w:rPr>
        <w:t>a</w:t>
      </w:r>
      <w:r w:rsidR="000A7B39" w:rsidRPr="00936318">
        <w:rPr>
          <w:lang w:val="en-GB"/>
        </w:rPr>
        <w:t xml:space="preserve">ssessment (QCA) </w:t>
      </w:r>
      <w:r w:rsidR="00F16788" w:rsidRPr="00936318">
        <w:rPr>
          <w:lang w:val="en-GB"/>
        </w:rPr>
        <w:t>for</w:t>
      </w:r>
      <w:r w:rsidR="000A7B39" w:rsidRPr="00936318">
        <w:rPr>
          <w:lang w:val="en-GB"/>
        </w:rPr>
        <w:t xml:space="preserve"> the following areas: SME management (identifying the strength and integrity of the entrepreneur); MSME features (such as ownership structure or relationship with the bank); SME competitiveness; and SME company operation (including relationships with suppliers and customers). Therefore</w:t>
      </w:r>
      <w:r w:rsidR="00F16788" w:rsidRPr="00936318">
        <w:rPr>
          <w:lang w:val="en-GB"/>
        </w:rPr>
        <w:t>,</w:t>
      </w:r>
      <w:r w:rsidR="000A7B39" w:rsidRPr="00936318">
        <w:rPr>
          <w:lang w:val="en-GB"/>
        </w:rPr>
        <w:t xml:space="preserve"> it </w:t>
      </w:r>
      <w:r w:rsidR="00AB236A" w:rsidRPr="00936318">
        <w:rPr>
          <w:lang w:val="en-GB"/>
        </w:rPr>
        <w:t>was</w:t>
      </w:r>
      <w:r w:rsidR="000A7B39" w:rsidRPr="00936318">
        <w:rPr>
          <w:lang w:val="en-GB"/>
        </w:rPr>
        <w:t xml:space="preserve"> evident that emerging market lending institutions </w:t>
      </w:r>
      <w:r w:rsidR="00AB236A" w:rsidRPr="00936318">
        <w:rPr>
          <w:lang w:val="en-GB"/>
        </w:rPr>
        <w:t>we</w:t>
      </w:r>
      <w:r w:rsidR="000A7B39" w:rsidRPr="00936318">
        <w:rPr>
          <w:lang w:val="en-GB"/>
        </w:rPr>
        <w:t xml:space="preserve">re employing complex analytical tools </w:t>
      </w:r>
      <w:r w:rsidR="00F16788" w:rsidRPr="00936318">
        <w:rPr>
          <w:lang w:val="en-GB"/>
        </w:rPr>
        <w:t>for</w:t>
      </w:r>
      <w:r w:rsidR="000A7B39" w:rsidRPr="00936318">
        <w:rPr>
          <w:lang w:val="en-GB"/>
        </w:rPr>
        <w:t xml:space="preserve"> assess</w:t>
      </w:r>
      <w:r w:rsidR="00F16788" w:rsidRPr="00936318">
        <w:rPr>
          <w:lang w:val="en-GB"/>
        </w:rPr>
        <w:t>ing</w:t>
      </w:r>
      <w:r w:rsidR="000A7B39" w:rsidRPr="00936318">
        <w:rPr>
          <w:lang w:val="en-GB"/>
        </w:rPr>
        <w:t xml:space="preserve"> SME creditworthiness. </w:t>
      </w:r>
    </w:p>
    <w:p w14:paraId="49F758C7" w14:textId="77777777" w:rsidR="00B76B44" w:rsidRPr="00936318" w:rsidRDefault="00B76B44" w:rsidP="000A7B39">
      <w:pPr>
        <w:pStyle w:val="BodyTextMain"/>
        <w:rPr>
          <w:lang w:val="en-GB"/>
        </w:rPr>
      </w:pPr>
    </w:p>
    <w:p w14:paraId="3115A39C" w14:textId="66899E09" w:rsidR="00741F24" w:rsidRDefault="00741F24">
      <w:pPr>
        <w:spacing w:after="200" w:line="276" w:lineRule="auto"/>
        <w:rPr>
          <w:sz w:val="22"/>
          <w:szCs w:val="22"/>
          <w:lang w:val="en-GB"/>
        </w:rPr>
      </w:pPr>
      <w:r>
        <w:rPr>
          <w:lang w:val="en-GB"/>
        </w:rPr>
        <w:br w:type="page"/>
      </w:r>
    </w:p>
    <w:p w14:paraId="26325EEE" w14:textId="740E252C" w:rsidR="00C92E99" w:rsidRPr="00936318" w:rsidRDefault="00C92E99" w:rsidP="00C92E99">
      <w:pPr>
        <w:pStyle w:val="Casehead1"/>
        <w:rPr>
          <w:lang w:val="en-GB"/>
        </w:rPr>
      </w:pPr>
      <w:r w:rsidRPr="00936318">
        <w:rPr>
          <w:lang w:val="en-GB"/>
        </w:rPr>
        <w:lastRenderedPageBreak/>
        <w:t>About CGC</w:t>
      </w:r>
    </w:p>
    <w:p w14:paraId="7570A055" w14:textId="77777777" w:rsidR="00286836" w:rsidRPr="00936318" w:rsidRDefault="00286836" w:rsidP="00C92E99">
      <w:pPr>
        <w:pStyle w:val="Casehead1"/>
        <w:rPr>
          <w:lang w:val="en-GB"/>
        </w:rPr>
      </w:pPr>
    </w:p>
    <w:p w14:paraId="7CC3CED7" w14:textId="3434C8BD" w:rsidR="00C92E99" w:rsidRPr="00936318" w:rsidRDefault="00286836" w:rsidP="00C92E99">
      <w:pPr>
        <w:pStyle w:val="BodyTextMain"/>
        <w:rPr>
          <w:lang w:val="en-GB"/>
        </w:rPr>
      </w:pPr>
      <w:r w:rsidRPr="00936318">
        <w:rPr>
          <w:lang w:val="en-GB"/>
        </w:rPr>
        <w:t xml:space="preserve">Founded in 1972, CGC operations commenced with the intention of playing a pivotal role in developing and supporting Malaysia’s potentially viable </w:t>
      </w:r>
      <w:r w:rsidR="004C68EE" w:rsidRPr="00936318">
        <w:rPr>
          <w:lang w:val="en-GB"/>
        </w:rPr>
        <w:t>SMEs.</w:t>
      </w:r>
      <w:r w:rsidR="000434CF" w:rsidRPr="00936318">
        <w:rPr>
          <w:lang w:val="en-GB"/>
        </w:rPr>
        <w:t xml:space="preserve"> CGC’s </w:t>
      </w:r>
      <w:r w:rsidR="00350DA9" w:rsidRPr="00936318">
        <w:rPr>
          <w:lang w:val="en-GB"/>
        </w:rPr>
        <w:t xml:space="preserve">primary focus was </w:t>
      </w:r>
      <w:r w:rsidRPr="00936318">
        <w:rPr>
          <w:lang w:val="en-GB"/>
        </w:rPr>
        <w:t xml:space="preserve">on </w:t>
      </w:r>
      <w:r w:rsidR="00350DA9" w:rsidRPr="00936318">
        <w:rPr>
          <w:lang w:val="en-GB"/>
        </w:rPr>
        <w:t>SMEs</w:t>
      </w:r>
      <w:r w:rsidR="000434CF" w:rsidRPr="00936318">
        <w:rPr>
          <w:lang w:val="en-GB"/>
        </w:rPr>
        <w:t xml:space="preserve"> that</w:t>
      </w:r>
      <w:r w:rsidRPr="00936318">
        <w:rPr>
          <w:lang w:val="en-GB"/>
        </w:rPr>
        <w:t xml:space="preserve"> had no collateral or inadequate collateral to obtain funding from financial institutions. Through its guarantee schemes, CGC aimed to facilitate SM</w:t>
      </w:r>
      <w:r w:rsidR="000434CF" w:rsidRPr="00936318">
        <w:rPr>
          <w:lang w:val="en-GB"/>
        </w:rPr>
        <w:t>E</w:t>
      </w:r>
      <w:r w:rsidRPr="00936318">
        <w:rPr>
          <w:lang w:val="en-GB"/>
        </w:rPr>
        <w:t xml:space="preserve"> access to funds. In its early years, CGC aimed to assist small enterprises</w:t>
      </w:r>
      <w:r w:rsidR="00A9613D" w:rsidRPr="00936318">
        <w:rPr>
          <w:lang w:val="en-GB"/>
        </w:rPr>
        <w:t>,</w:t>
      </w:r>
      <w:r w:rsidRPr="00936318">
        <w:rPr>
          <w:lang w:val="en-GB"/>
        </w:rPr>
        <w:t xml:space="preserve"> especially in agricultural and industrial sectors. With the growth of </w:t>
      </w:r>
      <w:r w:rsidR="000434CF" w:rsidRPr="00936318">
        <w:rPr>
          <w:lang w:val="en-GB"/>
        </w:rPr>
        <w:t xml:space="preserve">the </w:t>
      </w:r>
      <w:r w:rsidRPr="00936318">
        <w:rPr>
          <w:lang w:val="en-GB"/>
        </w:rPr>
        <w:t>Malaysian economy over the years, CGC had to expand its range of products and services to cater to increasing demand fro</w:t>
      </w:r>
      <w:r w:rsidR="000434CF" w:rsidRPr="00936318">
        <w:rPr>
          <w:lang w:val="en-GB"/>
        </w:rPr>
        <w:t xml:space="preserve">m </w:t>
      </w:r>
      <w:r w:rsidRPr="00936318">
        <w:rPr>
          <w:lang w:val="en-GB"/>
        </w:rPr>
        <w:t>medium-sized</w:t>
      </w:r>
      <w:r w:rsidR="000434CF" w:rsidRPr="00936318">
        <w:rPr>
          <w:lang w:val="en-GB"/>
        </w:rPr>
        <w:t xml:space="preserve"> enterprises</w:t>
      </w:r>
      <w:r w:rsidR="000B5558" w:rsidRPr="00936318">
        <w:rPr>
          <w:lang w:val="en-GB"/>
        </w:rPr>
        <w:t>.</w:t>
      </w:r>
      <w:r w:rsidRPr="00936318">
        <w:rPr>
          <w:lang w:val="en-GB"/>
        </w:rPr>
        <w:t xml:space="preserve"> </w:t>
      </w:r>
      <w:r w:rsidR="000434CF" w:rsidRPr="00936318">
        <w:rPr>
          <w:lang w:val="en-GB"/>
        </w:rPr>
        <w:t>T</w:t>
      </w:r>
      <w:r w:rsidR="00344B1D" w:rsidRPr="00936318">
        <w:rPr>
          <w:lang w:val="en-GB"/>
        </w:rPr>
        <w:t xml:space="preserve">he support </w:t>
      </w:r>
      <w:r w:rsidR="000434CF" w:rsidRPr="00936318">
        <w:rPr>
          <w:lang w:val="en-GB"/>
        </w:rPr>
        <w:t xml:space="preserve">CGC </w:t>
      </w:r>
      <w:r w:rsidR="00344B1D" w:rsidRPr="00936318">
        <w:rPr>
          <w:lang w:val="en-GB"/>
        </w:rPr>
        <w:t>provided</w:t>
      </w:r>
      <w:r w:rsidR="000434CF" w:rsidRPr="00936318">
        <w:rPr>
          <w:lang w:val="en-GB"/>
        </w:rPr>
        <w:t xml:space="preserve"> </w:t>
      </w:r>
      <w:r w:rsidR="00AF6A93" w:rsidRPr="00936318">
        <w:rPr>
          <w:lang w:val="en-GB"/>
        </w:rPr>
        <w:t xml:space="preserve">was not only </w:t>
      </w:r>
      <w:r w:rsidR="00344B1D" w:rsidRPr="00936318">
        <w:rPr>
          <w:lang w:val="en-GB"/>
        </w:rPr>
        <w:t>to guarantee</w:t>
      </w:r>
      <w:r w:rsidR="004C7958" w:rsidRPr="00936318">
        <w:rPr>
          <w:lang w:val="en-GB"/>
        </w:rPr>
        <w:t xml:space="preserve"> </w:t>
      </w:r>
      <w:r w:rsidR="00AF6A93" w:rsidRPr="00936318">
        <w:rPr>
          <w:lang w:val="en-GB"/>
        </w:rPr>
        <w:t>loan</w:t>
      </w:r>
      <w:r w:rsidR="004C7958" w:rsidRPr="00936318">
        <w:rPr>
          <w:lang w:val="en-GB"/>
        </w:rPr>
        <w:t>s</w:t>
      </w:r>
      <w:r w:rsidR="00AF6A93" w:rsidRPr="00936318">
        <w:rPr>
          <w:lang w:val="en-GB"/>
        </w:rPr>
        <w:t xml:space="preserve"> but also </w:t>
      </w:r>
      <w:r w:rsidR="00344B1D" w:rsidRPr="00936318">
        <w:rPr>
          <w:lang w:val="en-GB"/>
        </w:rPr>
        <w:t xml:space="preserve">to provide </w:t>
      </w:r>
      <w:r w:rsidR="00AF6A93" w:rsidRPr="00936318">
        <w:rPr>
          <w:lang w:val="en-GB"/>
        </w:rPr>
        <w:t>advisory services such as business development, credit information</w:t>
      </w:r>
      <w:r w:rsidR="00174195" w:rsidRPr="00936318">
        <w:rPr>
          <w:lang w:val="en-GB"/>
        </w:rPr>
        <w:t>,</w:t>
      </w:r>
      <w:r w:rsidR="00AF6A93" w:rsidRPr="00936318">
        <w:rPr>
          <w:lang w:val="en-GB"/>
        </w:rPr>
        <w:t xml:space="preserve"> and credit</w:t>
      </w:r>
      <w:r w:rsidR="000434CF" w:rsidRPr="00936318">
        <w:rPr>
          <w:lang w:val="en-GB"/>
        </w:rPr>
        <w:t>-</w:t>
      </w:r>
      <w:r w:rsidR="00AF6A93" w:rsidRPr="00936318">
        <w:rPr>
          <w:lang w:val="en-GB"/>
        </w:rPr>
        <w:t>rating services in collaboration with SME Corp</w:t>
      </w:r>
      <w:r w:rsidR="00C66F18" w:rsidRPr="00936318">
        <w:rPr>
          <w:lang w:val="en-GB"/>
        </w:rPr>
        <w:t>oration Malaysia</w:t>
      </w:r>
      <w:r w:rsidR="00AF6A93" w:rsidRPr="00936318">
        <w:rPr>
          <w:lang w:val="en-GB"/>
        </w:rPr>
        <w:t xml:space="preserve"> and Credit Bureau Malaysia. With the help of the </w:t>
      </w:r>
      <w:r w:rsidR="004C7958" w:rsidRPr="00936318">
        <w:rPr>
          <w:lang w:val="en-GB"/>
        </w:rPr>
        <w:t>b</w:t>
      </w:r>
      <w:r w:rsidR="00AF6A93" w:rsidRPr="00936318">
        <w:rPr>
          <w:lang w:val="en-GB"/>
        </w:rPr>
        <w:t>ureau, CGC assisted SME</w:t>
      </w:r>
      <w:r w:rsidR="00344B1D" w:rsidRPr="00936318">
        <w:rPr>
          <w:lang w:val="en-GB"/>
        </w:rPr>
        <w:t>s</w:t>
      </w:r>
      <w:r w:rsidR="00AF6A93" w:rsidRPr="00936318">
        <w:rPr>
          <w:lang w:val="en-GB"/>
        </w:rPr>
        <w:t xml:space="preserve"> to improve their creditworthiness and enabled them to secure favourable credit terms from banks and other credit grantors on their own merit.</w:t>
      </w:r>
      <w:r w:rsidR="004447E1" w:rsidRPr="00936318">
        <w:rPr>
          <w:rStyle w:val="FootnoteReference"/>
          <w:lang w:val="en-GB"/>
        </w:rPr>
        <w:footnoteReference w:id="6"/>
      </w:r>
    </w:p>
    <w:p w14:paraId="7EE318F2" w14:textId="77777777" w:rsidR="008500A1" w:rsidRPr="00936318" w:rsidRDefault="008500A1" w:rsidP="00C92E99">
      <w:pPr>
        <w:pStyle w:val="BodyTextMain"/>
        <w:rPr>
          <w:lang w:val="en-GB"/>
        </w:rPr>
      </w:pPr>
    </w:p>
    <w:p w14:paraId="6940EC14" w14:textId="38FF1043" w:rsidR="008500A1" w:rsidRPr="00936318" w:rsidRDefault="00C66F18" w:rsidP="00C92E99">
      <w:pPr>
        <w:pStyle w:val="BodyTextMain"/>
        <w:rPr>
          <w:lang w:val="en-GB"/>
        </w:rPr>
      </w:pPr>
      <w:r w:rsidRPr="00936318">
        <w:rPr>
          <w:lang w:val="en-GB"/>
        </w:rPr>
        <w:t>T</w:t>
      </w:r>
      <w:r w:rsidR="008500A1" w:rsidRPr="00936318">
        <w:rPr>
          <w:lang w:val="en-GB"/>
        </w:rPr>
        <w:t>o provide new and innovative financing options, CGC forged alliances with banking partners</w:t>
      </w:r>
      <w:r w:rsidRPr="00936318">
        <w:rPr>
          <w:lang w:val="en-GB"/>
        </w:rPr>
        <w:t>. The alliances</w:t>
      </w:r>
      <w:r w:rsidR="008500A1" w:rsidRPr="00936318">
        <w:rPr>
          <w:lang w:val="en-GB"/>
        </w:rPr>
        <w:t xml:space="preserve"> allowed </w:t>
      </w:r>
      <w:r w:rsidR="00040069" w:rsidRPr="00936318">
        <w:rPr>
          <w:lang w:val="en-GB"/>
        </w:rPr>
        <w:t xml:space="preserve">it </w:t>
      </w:r>
      <w:r w:rsidR="008500A1" w:rsidRPr="00936318">
        <w:rPr>
          <w:lang w:val="en-GB"/>
        </w:rPr>
        <w:t>to enhance SME</w:t>
      </w:r>
      <w:r w:rsidR="00A236AE" w:rsidRPr="00936318">
        <w:rPr>
          <w:lang w:val="en-GB"/>
        </w:rPr>
        <w:t xml:space="preserve"> access to </w:t>
      </w:r>
      <w:r w:rsidR="008500A1" w:rsidRPr="00936318">
        <w:rPr>
          <w:lang w:val="en-GB"/>
        </w:rPr>
        <w:t xml:space="preserve">financing </w:t>
      </w:r>
      <w:r w:rsidR="004C7958" w:rsidRPr="00936318">
        <w:rPr>
          <w:lang w:val="en-GB"/>
        </w:rPr>
        <w:t xml:space="preserve">and </w:t>
      </w:r>
      <w:r w:rsidR="00EE3F7F" w:rsidRPr="00936318">
        <w:rPr>
          <w:lang w:val="en-GB"/>
        </w:rPr>
        <w:t>provide a cost</w:t>
      </w:r>
      <w:r w:rsidRPr="00936318">
        <w:rPr>
          <w:lang w:val="en-GB"/>
        </w:rPr>
        <w:t>-</w:t>
      </w:r>
      <w:r w:rsidR="00EE3F7F" w:rsidRPr="00936318">
        <w:rPr>
          <w:lang w:val="en-GB"/>
        </w:rPr>
        <w:t>effective delivery channel (</w:t>
      </w:r>
      <w:r w:rsidR="00BC09D0" w:rsidRPr="00936318">
        <w:rPr>
          <w:lang w:val="en-GB"/>
        </w:rPr>
        <w:t xml:space="preserve">see </w:t>
      </w:r>
      <w:r w:rsidR="00EE3F7F" w:rsidRPr="00936318">
        <w:rPr>
          <w:lang w:val="en-GB"/>
        </w:rPr>
        <w:t xml:space="preserve">Exhibit 1). </w:t>
      </w:r>
      <w:r w:rsidR="00683506" w:rsidRPr="00936318">
        <w:rPr>
          <w:lang w:val="en-GB"/>
        </w:rPr>
        <w:t xml:space="preserve">Since its inception, </w:t>
      </w:r>
      <w:r w:rsidR="00EE3F7F" w:rsidRPr="00936318">
        <w:rPr>
          <w:lang w:val="en-GB"/>
        </w:rPr>
        <w:t xml:space="preserve">CGC </w:t>
      </w:r>
      <w:r w:rsidR="00AB236A" w:rsidRPr="00936318">
        <w:rPr>
          <w:lang w:val="en-GB"/>
        </w:rPr>
        <w:t xml:space="preserve">had </w:t>
      </w:r>
      <w:r w:rsidR="00EE3F7F" w:rsidRPr="00936318">
        <w:rPr>
          <w:lang w:val="en-GB"/>
        </w:rPr>
        <w:t xml:space="preserve">assisted </w:t>
      </w:r>
      <w:r w:rsidR="00040069" w:rsidRPr="00936318">
        <w:rPr>
          <w:lang w:val="en-GB"/>
        </w:rPr>
        <w:t xml:space="preserve">in financing </w:t>
      </w:r>
      <w:r w:rsidR="00EE3F7F" w:rsidRPr="00936318">
        <w:rPr>
          <w:lang w:val="en-GB"/>
        </w:rPr>
        <w:t>over 445,217 SME</w:t>
      </w:r>
      <w:r w:rsidR="004524C7" w:rsidRPr="00936318">
        <w:rPr>
          <w:lang w:val="en-GB"/>
        </w:rPr>
        <w:t>s</w:t>
      </w:r>
      <w:r w:rsidR="00EE3F7F" w:rsidRPr="00936318">
        <w:rPr>
          <w:lang w:val="en-GB"/>
        </w:rPr>
        <w:t xml:space="preserve"> </w:t>
      </w:r>
      <w:r w:rsidR="00AC7F0B" w:rsidRPr="00936318">
        <w:rPr>
          <w:lang w:val="en-GB"/>
        </w:rPr>
        <w:t xml:space="preserve">by providing financing valued at </w:t>
      </w:r>
      <w:r w:rsidR="00EE3F7F" w:rsidRPr="00936318">
        <w:rPr>
          <w:lang w:val="en-GB"/>
        </w:rPr>
        <w:t xml:space="preserve">more than RM63.7 billion. </w:t>
      </w:r>
      <w:r w:rsidR="00AE5B1B" w:rsidRPr="00936318">
        <w:rPr>
          <w:lang w:val="en-GB"/>
        </w:rPr>
        <w:t xml:space="preserve">CGC’s </w:t>
      </w:r>
      <w:r w:rsidR="00EE3F7F" w:rsidRPr="00936318">
        <w:rPr>
          <w:lang w:val="en-GB"/>
        </w:rPr>
        <w:t xml:space="preserve">current shareholders were </w:t>
      </w:r>
      <w:r w:rsidR="00AE5B1B" w:rsidRPr="00936318">
        <w:rPr>
          <w:lang w:val="en-GB"/>
        </w:rPr>
        <w:t xml:space="preserve">the </w:t>
      </w:r>
      <w:r w:rsidR="00EE3F7F" w:rsidRPr="00936318">
        <w:rPr>
          <w:lang w:val="en-GB"/>
        </w:rPr>
        <w:t>Central Bank of Malaysia (Bank Negara Malaysia) and other commercial banks</w:t>
      </w:r>
      <w:r w:rsidR="00B616F2" w:rsidRPr="00936318">
        <w:rPr>
          <w:lang w:val="en-GB"/>
        </w:rPr>
        <w:t xml:space="preserve"> </w:t>
      </w:r>
      <w:r w:rsidRPr="00936318">
        <w:rPr>
          <w:lang w:val="en-GB"/>
        </w:rPr>
        <w:t xml:space="preserve">with a </w:t>
      </w:r>
      <w:r w:rsidR="00B616F2" w:rsidRPr="00936318">
        <w:rPr>
          <w:lang w:val="en-GB"/>
        </w:rPr>
        <w:t>Malaysian</w:t>
      </w:r>
      <w:r w:rsidR="00EE3F7F" w:rsidRPr="00936318">
        <w:rPr>
          <w:lang w:val="en-GB"/>
        </w:rPr>
        <w:t xml:space="preserve"> licen</w:t>
      </w:r>
      <w:r w:rsidRPr="00936318">
        <w:rPr>
          <w:lang w:val="en-GB"/>
        </w:rPr>
        <w:t>c</w:t>
      </w:r>
      <w:r w:rsidR="00EE3F7F" w:rsidRPr="00936318">
        <w:rPr>
          <w:lang w:val="en-GB"/>
        </w:rPr>
        <w:t>e, with 78.65</w:t>
      </w:r>
      <w:r w:rsidRPr="00936318">
        <w:rPr>
          <w:lang w:val="en-GB"/>
        </w:rPr>
        <w:t xml:space="preserve"> per cent</w:t>
      </w:r>
      <w:r w:rsidR="00EE3F7F" w:rsidRPr="00936318">
        <w:rPr>
          <w:lang w:val="en-GB"/>
        </w:rPr>
        <w:t xml:space="preserve"> of shareholding attributed to Bank Negara Malaysia.</w:t>
      </w:r>
      <w:r w:rsidR="004447E1">
        <w:rPr>
          <w:rStyle w:val="FootnoteReference"/>
          <w:lang w:val="en-GB"/>
        </w:rPr>
        <w:footnoteReference w:id="7"/>
      </w:r>
    </w:p>
    <w:p w14:paraId="7AADB851" w14:textId="77777777" w:rsidR="00C92E99" w:rsidRPr="00936318" w:rsidRDefault="00C92E99" w:rsidP="00C92E99">
      <w:pPr>
        <w:pStyle w:val="BodyTextMain"/>
        <w:rPr>
          <w:lang w:val="en-GB"/>
        </w:rPr>
      </w:pPr>
    </w:p>
    <w:p w14:paraId="758501B2" w14:textId="77777777" w:rsidR="00A15423" w:rsidRPr="00936318" w:rsidRDefault="00A15423" w:rsidP="00C92E99">
      <w:pPr>
        <w:pStyle w:val="Casehead1"/>
        <w:rPr>
          <w:lang w:val="en-GB"/>
        </w:rPr>
      </w:pPr>
    </w:p>
    <w:p w14:paraId="0A9EF6B0" w14:textId="77777777" w:rsidR="00C92E99" w:rsidRPr="00936318" w:rsidRDefault="00C92E99" w:rsidP="00C92E99">
      <w:pPr>
        <w:pStyle w:val="Casehead1"/>
        <w:rPr>
          <w:lang w:val="en-GB"/>
        </w:rPr>
      </w:pPr>
      <w:r w:rsidRPr="00936318">
        <w:rPr>
          <w:lang w:val="en-GB"/>
        </w:rPr>
        <w:t>Products and Services</w:t>
      </w:r>
    </w:p>
    <w:p w14:paraId="0F6A7C82" w14:textId="77777777" w:rsidR="00C92E99" w:rsidRPr="00936318" w:rsidRDefault="00C92E99" w:rsidP="00C92E99">
      <w:pPr>
        <w:pStyle w:val="BodyTextMain"/>
        <w:rPr>
          <w:lang w:val="en-GB"/>
        </w:rPr>
      </w:pPr>
    </w:p>
    <w:p w14:paraId="03372E0B" w14:textId="77777777" w:rsidR="00C92E99" w:rsidRPr="00936318" w:rsidRDefault="00C92E99" w:rsidP="00C92E99">
      <w:pPr>
        <w:pStyle w:val="BodyTextMain"/>
        <w:rPr>
          <w:lang w:val="en-GB"/>
        </w:rPr>
      </w:pPr>
      <w:r w:rsidRPr="00936318">
        <w:rPr>
          <w:lang w:val="en-GB"/>
        </w:rPr>
        <w:t xml:space="preserve">CGC products </w:t>
      </w:r>
      <w:r w:rsidR="00286836" w:rsidRPr="00936318">
        <w:rPr>
          <w:lang w:val="en-GB"/>
        </w:rPr>
        <w:t>were</w:t>
      </w:r>
      <w:r w:rsidRPr="00936318">
        <w:rPr>
          <w:lang w:val="en-GB"/>
        </w:rPr>
        <w:t xml:space="preserve"> primarily divided into four categories</w:t>
      </w:r>
      <w:r w:rsidR="00C66F18" w:rsidRPr="00936318">
        <w:rPr>
          <w:lang w:val="en-GB"/>
        </w:rPr>
        <w:t>: c</w:t>
      </w:r>
      <w:r w:rsidRPr="00936318">
        <w:rPr>
          <w:lang w:val="en-GB"/>
        </w:rPr>
        <w:t xml:space="preserve">onventional schemes, Islamic schemes, </w:t>
      </w:r>
      <w:r w:rsidR="00C66F18" w:rsidRPr="00936318">
        <w:rPr>
          <w:lang w:val="en-GB"/>
        </w:rPr>
        <w:t>g</w:t>
      </w:r>
      <w:r w:rsidRPr="00936318">
        <w:rPr>
          <w:lang w:val="en-GB"/>
        </w:rPr>
        <w:t>overnment</w:t>
      </w:r>
      <w:r w:rsidR="00C66F18" w:rsidRPr="00936318">
        <w:rPr>
          <w:lang w:val="en-GB"/>
        </w:rPr>
        <w:t>-f</w:t>
      </w:r>
      <w:r w:rsidRPr="00936318">
        <w:rPr>
          <w:lang w:val="en-GB"/>
        </w:rPr>
        <w:t xml:space="preserve">unded </w:t>
      </w:r>
      <w:r w:rsidR="00F33872" w:rsidRPr="00936318">
        <w:rPr>
          <w:lang w:val="en-GB"/>
        </w:rPr>
        <w:t>s</w:t>
      </w:r>
      <w:r w:rsidRPr="00936318">
        <w:rPr>
          <w:lang w:val="en-GB"/>
        </w:rPr>
        <w:t>chemes</w:t>
      </w:r>
      <w:r w:rsidR="00B616F2" w:rsidRPr="00936318">
        <w:rPr>
          <w:lang w:val="en-GB"/>
        </w:rPr>
        <w:t>,</w:t>
      </w:r>
      <w:r w:rsidRPr="00936318">
        <w:rPr>
          <w:lang w:val="en-GB"/>
        </w:rPr>
        <w:t xml:space="preserve"> and </w:t>
      </w:r>
      <w:r w:rsidR="00C66F18" w:rsidRPr="00936318">
        <w:rPr>
          <w:lang w:val="en-GB"/>
        </w:rPr>
        <w:t>d</w:t>
      </w:r>
      <w:r w:rsidRPr="00936318">
        <w:rPr>
          <w:lang w:val="en-GB"/>
        </w:rPr>
        <w:t xml:space="preserve">irect </w:t>
      </w:r>
      <w:r w:rsidR="00C66F18" w:rsidRPr="00936318">
        <w:rPr>
          <w:lang w:val="en-GB"/>
        </w:rPr>
        <w:t>f</w:t>
      </w:r>
      <w:r w:rsidRPr="00936318">
        <w:rPr>
          <w:lang w:val="en-GB"/>
        </w:rPr>
        <w:t>inancing.</w:t>
      </w:r>
    </w:p>
    <w:p w14:paraId="76EE12EA" w14:textId="77777777" w:rsidR="00C92E99" w:rsidRPr="00936318" w:rsidRDefault="00C92E99" w:rsidP="00C92E99">
      <w:pPr>
        <w:pStyle w:val="BodyTextMain"/>
        <w:rPr>
          <w:lang w:val="en-GB"/>
        </w:rPr>
      </w:pPr>
    </w:p>
    <w:p w14:paraId="2658A0AF" w14:textId="7F2E0866" w:rsidR="00C92E99" w:rsidRPr="00936318" w:rsidRDefault="00C92E99" w:rsidP="00C92E99">
      <w:pPr>
        <w:pStyle w:val="BodyTextMain"/>
        <w:rPr>
          <w:lang w:val="en-GB"/>
        </w:rPr>
      </w:pPr>
      <w:r w:rsidRPr="00936318">
        <w:rPr>
          <w:lang w:val="en-GB"/>
        </w:rPr>
        <w:t>Conventional schemes include</w:t>
      </w:r>
      <w:r w:rsidR="00AE5B1B" w:rsidRPr="00936318">
        <w:rPr>
          <w:lang w:val="en-GB"/>
        </w:rPr>
        <w:t>d</w:t>
      </w:r>
      <w:r w:rsidRPr="00936318">
        <w:rPr>
          <w:lang w:val="en-GB"/>
        </w:rPr>
        <w:t xml:space="preserve"> </w:t>
      </w:r>
      <w:r w:rsidR="00C66F18" w:rsidRPr="00936318">
        <w:rPr>
          <w:lang w:val="en-GB"/>
        </w:rPr>
        <w:t xml:space="preserve">the </w:t>
      </w:r>
      <w:proofErr w:type="spellStart"/>
      <w:r w:rsidRPr="00936318">
        <w:rPr>
          <w:lang w:val="en-GB"/>
        </w:rPr>
        <w:t>BizMaju</w:t>
      </w:r>
      <w:proofErr w:type="spellEnd"/>
      <w:r w:rsidRPr="00936318">
        <w:rPr>
          <w:lang w:val="en-GB"/>
        </w:rPr>
        <w:t xml:space="preserve"> Scheme, </w:t>
      </w:r>
      <w:proofErr w:type="spellStart"/>
      <w:r w:rsidR="00040069" w:rsidRPr="00936318">
        <w:rPr>
          <w:lang w:val="en-GB"/>
        </w:rPr>
        <w:t>BizJamin</w:t>
      </w:r>
      <w:proofErr w:type="spellEnd"/>
      <w:r w:rsidR="00040069" w:rsidRPr="00936318">
        <w:rPr>
          <w:lang w:val="en-GB"/>
        </w:rPr>
        <w:t xml:space="preserve"> </w:t>
      </w:r>
      <w:r w:rsidRPr="00936318">
        <w:rPr>
          <w:lang w:val="en-GB"/>
        </w:rPr>
        <w:t xml:space="preserve">Scheme, Direct Access Guarantee Scheme Start-up, </w:t>
      </w:r>
      <w:proofErr w:type="spellStart"/>
      <w:r w:rsidR="00040069" w:rsidRPr="00936318">
        <w:rPr>
          <w:lang w:val="en-GB"/>
        </w:rPr>
        <w:t>BizJamin</w:t>
      </w:r>
      <w:proofErr w:type="spellEnd"/>
      <w:r w:rsidR="00040069" w:rsidRPr="00936318">
        <w:rPr>
          <w:lang w:val="en-GB"/>
        </w:rPr>
        <w:t xml:space="preserve"> </w:t>
      </w:r>
      <w:proofErr w:type="spellStart"/>
      <w:r w:rsidRPr="00936318">
        <w:rPr>
          <w:lang w:val="en-GB"/>
        </w:rPr>
        <w:t>Bumi</w:t>
      </w:r>
      <w:proofErr w:type="spellEnd"/>
      <w:r w:rsidRPr="00936318">
        <w:rPr>
          <w:lang w:val="en-GB"/>
        </w:rPr>
        <w:t xml:space="preserve"> Scheme</w:t>
      </w:r>
      <w:r w:rsidR="00C66F18" w:rsidRPr="00936318">
        <w:rPr>
          <w:lang w:val="en-GB"/>
        </w:rPr>
        <w:t>,</w:t>
      </w:r>
      <w:r w:rsidRPr="00936318">
        <w:rPr>
          <w:lang w:val="en-GB"/>
        </w:rPr>
        <w:t xml:space="preserve"> and </w:t>
      </w:r>
      <w:proofErr w:type="spellStart"/>
      <w:r w:rsidR="00B46C07" w:rsidRPr="00936318">
        <w:rPr>
          <w:lang w:val="en-GB"/>
        </w:rPr>
        <w:t>BizSME</w:t>
      </w:r>
      <w:proofErr w:type="spellEnd"/>
      <w:r w:rsidR="00B46C07" w:rsidRPr="00936318">
        <w:rPr>
          <w:lang w:val="en-GB"/>
        </w:rPr>
        <w:t xml:space="preserve">. </w:t>
      </w:r>
      <w:r w:rsidR="00C66F18" w:rsidRPr="00936318">
        <w:rPr>
          <w:lang w:val="en-GB"/>
        </w:rPr>
        <w:t xml:space="preserve">The </w:t>
      </w:r>
      <w:proofErr w:type="spellStart"/>
      <w:r w:rsidR="00040069" w:rsidRPr="00936318">
        <w:rPr>
          <w:lang w:val="en-GB"/>
        </w:rPr>
        <w:t>BizJamin</w:t>
      </w:r>
      <w:proofErr w:type="spellEnd"/>
      <w:r w:rsidR="00040069" w:rsidRPr="00936318">
        <w:rPr>
          <w:lang w:val="en-GB"/>
        </w:rPr>
        <w:t xml:space="preserve"> </w:t>
      </w:r>
      <w:r w:rsidR="00B46C07" w:rsidRPr="00936318">
        <w:rPr>
          <w:lang w:val="en-GB"/>
        </w:rPr>
        <w:t>Scheme involved</w:t>
      </w:r>
      <w:r w:rsidRPr="00936318">
        <w:rPr>
          <w:lang w:val="en-GB"/>
        </w:rPr>
        <w:t xml:space="preserve"> loan amount</w:t>
      </w:r>
      <w:r w:rsidR="00C66F18" w:rsidRPr="00936318">
        <w:rPr>
          <w:lang w:val="en-GB"/>
        </w:rPr>
        <w:t>s</w:t>
      </w:r>
      <w:r w:rsidRPr="00936318">
        <w:rPr>
          <w:lang w:val="en-GB"/>
        </w:rPr>
        <w:t xml:space="preserve"> up</w:t>
      </w:r>
      <w:r w:rsidR="00C66F18" w:rsidRPr="00936318">
        <w:rPr>
          <w:lang w:val="en-GB"/>
        </w:rPr>
        <w:t xml:space="preserve"> </w:t>
      </w:r>
      <w:r w:rsidR="009F3795" w:rsidRPr="00936318">
        <w:rPr>
          <w:lang w:val="en-GB"/>
        </w:rPr>
        <w:t>to</w:t>
      </w:r>
      <w:r w:rsidRPr="00936318">
        <w:rPr>
          <w:lang w:val="en-GB"/>
        </w:rPr>
        <w:t xml:space="preserve"> </w:t>
      </w:r>
      <w:r w:rsidR="00967DDC">
        <w:rPr>
          <w:lang w:val="en-GB"/>
        </w:rPr>
        <w:t xml:space="preserve">RM10 </w:t>
      </w:r>
      <w:r w:rsidRPr="00936318">
        <w:rPr>
          <w:lang w:val="en-GB"/>
        </w:rPr>
        <w:t>million. The annual lending rate was up</w:t>
      </w:r>
      <w:r w:rsidR="00C66F18" w:rsidRPr="00936318">
        <w:rPr>
          <w:lang w:val="en-GB"/>
        </w:rPr>
        <w:t xml:space="preserve"> </w:t>
      </w:r>
      <w:r w:rsidR="009F3795" w:rsidRPr="00936318">
        <w:rPr>
          <w:lang w:val="en-GB"/>
        </w:rPr>
        <w:t>to</w:t>
      </w:r>
      <w:r w:rsidRPr="00936318">
        <w:rPr>
          <w:lang w:val="en-GB"/>
        </w:rPr>
        <w:t xml:space="preserve"> 2</w:t>
      </w:r>
      <w:r w:rsidR="00C66F18" w:rsidRPr="00936318">
        <w:rPr>
          <w:lang w:val="en-GB"/>
        </w:rPr>
        <w:t xml:space="preserve"> per cent</w:t>
      </w:r>
      <w:r w:rsidRPr="00936318">
        <w:rPr>
          <w:lang w:val="en-GB"/>
        </w:rPr>
        <w:t xml:space="preserve"> above the </w:t>
      </w:r>
      <w:r w:rsidR="00C66F18" w:rsidRPr="00936318">
        <w:rPr>
          <w:lang w:val="en-GB"/>
        </w:rPr>
        <w:t>b</w:t>
      </w:r>
      <w:r w:rsidRPr="00936318">
        <w:rPr>
          <w:lang w:val="en-GB"/>
        </w:rPr>
        <w:t xml:space="preserve">ase </w:t>
      </w:r>
      <w:r w:rsidR="00C66F18" w:rsidRPr="00936318">
        <w:rPr>
          <w:lang w:val="en-GB"/>
        </w:rPr>
        <w:t>l</w:t>
      </w:r>
      <w:r w:rsidRPr="00936318">
        <w:rPr>
          <w:lang w:val="en-GB"/>
        </w:rPr>
        <w:t xml:space="preserve">ending </w:t>
      </w:r>
      <w:r w:rsidR="00C66F18" w:rsidRPr="00936318">
        <w:rPr>
          <w:lang w:val="en-GB"/>
        </w:rPr>
        <w:t>r</w:t>
      </w:r>
      <w:r w:rsidRPr="00936318">
        <w:rPr>
          <w:lang w:val="en-GB"/>
        </w:rPr>
        <w:t>ate of financial institutions. The CGC guarantee coverage ranged from 30</w:t>
      </w:r>
      <w:r w:rsidR="00C66F18" w:rsidRPr="00936318">
        <w:rPr>
          <w:lang w:val="en-GB"/>
        </w:rPr>
        <w:t xml:space="preserve"> </w:t>
      </w:r>
      <w:r w:rsidRPr="00936318">
        <w:rPr>
          <w:lang w:val="en-GB"/>
        </w:rPr>
        <w:t>to 90</w:t>
      </w:r>
      <w:r w:rsidR="00C66F18" w:rsidRPr="00936318">
        <w:rPr>
          <w:lang w:val="en-GB"/>
        </w:rPr>
        <w:t xml:space="preserve"> per cent</w:t>
      </w:r>
      <w:r w:rsidR="008E09CB" w:rsidRPr="00936318">
        <w:rPr>
          <w:lang w:val="en-GB"/>
        </w:rPr>
        <w:t xml:space="preserve"> under</w:t>
      </w:r>
      <w:r w:rsidRPr="00936318">
        <w:rPr>
          <w:lang w:val="en-GB"/>
        </w:rPr>
        <w:t xml:space="preserve"> </w:t>
      </w:r>
      <w:r w:rsidR="00B46C07" w:rsidRPr="00936318">
        <w:rPr>
          <w:lang w:val="en-GB"/>
        </w:rPr>
        <w:t xml:space="preserve">certain conditions. </w:t>
      </w:r>
    </w:p>
    <w:p w14:paraId="311925ED" w14:textId="77777777" w:rsidR="00C92E99" w:rsidRPr="00936318" w:rsidRDefault="00C92E99" w:rsidP="00C92E99">
      <w:pPr>
        <w:pStyle w:val="BodyTextMain"/>
        <w:rPr>
          <w:lang w:val="en-GB"/>
        </w:rPr>
      </w:pPr>
    </w:p>
    <w:p w14:paraId="2CD0D276" w14:textId="4AE5CF82" w:rsidR="00C92E99" w:rsidRPr="00936318" w:rsidRDefault="00B46C07" w:rsidP="00C92E99">
      <w:pPr>
        <w:pStyle w:val="BodyTextMain"/>
        <w:rPr>
          <w:lang w:val="en-GB"/>
        </w:rPr>
      </w:pPr>
      <w:r w:rsidRPr="00936318">
        <w:rPr>
          <w:lang w:val="en-GB"/>
        </w:rPr>
        <w:t xml:space="preserve">Similarly, </w:t>
      </w:r>
      <w:r w:rsidR="00C92E99" w:rsidRPr="00936318">
        <w:rPr>
          <w:lang w:val="en-GB"/>
        </w:rPr>
        <w:t xml:space="preserve">Islamic </w:t>
      </w:r>
      <w:r w:rsidR="00F33872" w:rsidRPr="00936318">
        <w:rPr>
          <w:lang w:val="en-GB"/>
        </w:rPr>
        <w:t>s</w:t>
      </w:r>
      <w:r w:rsidR="00C92E99" w:rsidRPr="00936318">
        <w:rPr>
          <w:lang w:val="en-GB"/>
        </w:rPr>
        <w:t xml:space="preserve">chemes included </w:t>
      </w:r>
      <w:r w:rsidR="00F33872" w:rsidRPr="00936318">
        <w:rPr>
          <w:lang w:val="en-GB"/>
        </w:rPr>
        <w:t xml:space="preserve">the </w:t>
      </w:r>
      <w:proofErr w:type="spellStart"/>
      <w:r w:rsidR="00040069" w:rsidRPr="00936318">
        <w:rPr>
          <w:lang w:val="en-GB"/>
        </w:rPr>
        <w:t>BizJamin</w:t>
      </w:r>
      <w:r w:rsidR="00C92E99" w:rsidRPr="00936318">
        <w:rPr>
          <w:lang w:val="en-GB"/>
        </w:rPr>
        <w:t>-</w:t>
      </w:r>
      <w:r w:rsidR="00040069" w:rsidRPr="00936318">
        <w:rPr>
          <w:lang w:val="en-GB"/>
        </w:rPr>
        <w:t>i</w:t>
      </w:r>
      <w:proofErr w:type="spellEnd"/>
      <w:r w:rsidR="00040069" w:rsidRPr="00936318">
        <w:rPr>
          <w:lang w:val="en-GB"/>
        </w:rPr>
        <w:t xml:space="preserve"> </w:t>
      </w:r>
      <w:r w:rsidR="00C92E99" w:rsidRPr="00936318">
        <w:rPr>
          <w:lang w:val="en-GB"/>
        </w:rPr>
        <w:t xml:space="preserve">Scheme and </w:t>
      </w:r>
      <w:proofErr w:type="spellStart"/>
      <w:r w:rsidR="00040069" w:rsidRPr="00936318">
        <w:rPr>
          <w:lang w:val="en-GB"/>
        </w:rPr>
        <w:t>BizJamin</w:t>
      </w:r>
      <w:proofErr w:type="spellEnd"/>
      <w:r w:rsidR="00040069" w:rsidRPr="00936318">
        <w:rPr>
          <w:lang w:val="en-GB"/>
        </w:rPr>
        <w:t xml:space="preserve"> </w:t>
      </w:r>
      <w:proofErr w:type="spellStart"/>
      <w:r w:rsidR="00C92E99" w:rsidRPr="00936318">
        <w:rPr>
          <w:lang w:val="en-GB"/>
        </w:rPr>
        <w:t>Bumi-i</w:t>
      </w:r>
      <w:proofErr w:type="spellEnd"/>
      <w:r w:rsidR="00C92E99" w:rsidRPr="00936318">
        <w:rPr>
          <w:lang w:val="en-GB"/>
        </w:rPr>
        <w:t xml:space="preserve"> Scheme. </w:t>
      </w:r>
      <w:r w:rsidR="00F33872" w:rsidRPr="00936318">
        <w:rPr>
          <w:lang w:val="en-GB"/>
        </w:rPr>
        <w:t xml:space="preserve">The </w:t>
      </w:r>
      <w:proofErr w:type="spellStart"/>
      <w:r w:rsidR="00040069" w:rsidRPr="00936318">
        <w:rPr>
          <w:lang w:val="en-GB"/>
        </w:rPr>
        <w:t>BizJamin</w:t>
      </w:r>
      <w:proofErr w:type="spellEnd"/>
      <w:r w:rsidR="00040069" w:rsidRPr="00936318">
        <w:rPr>
          <w:lang w:val="en-GB"/>
        </w:rPr>
        <w:t xml:space="preserve"> </w:t>
      </w:r>
      <w:proofErr w:type="spellStart"/>
      <w:r w:rsidR="00C92E99" w:rsidRPr="00936318">
        <w:rPr>
          <w:lang w:val="en-GB"/>
        </w:rPr>
        <w:t>Bumi-i</w:t>
      </w:r>
      <w:proofErr w:type="spellEnd"/>
      <w:r w:rsidR="00C92E99" w:rsidRPr="00936318">
        <w:rPr>
          <w:lang w:val="en-GB"/>
        </w:rPr>
        <w:t xml:space="preserve"> Scheme involved </w:t>
      </w:r>
      <w:r w:rsidR="00665553" w:rsidRPr="00936318">
        <w:rPr>
          <w:lang w:val="en-GB"/>
        </w:rPr>
        <w:t xml:space="preserve">providing </w:t>
      </w:r>
      <w:r w:rsidR="00C92E99" w:rsidRPr="00936318">
        <w:rPr>
          <w:lang w:val="en-GB"/>
        </w:rPr>
        <w:t>financ</w:t>
      </w:r>
      <w:r w:rsidR="00665553" w:rsidRPr="00936318">
        <w:rPr>
          <w:lang w:val="en-GB"/>
        </w:rPr>
        <w:t>e</w:t>
      </w:r>
      <w:r w:rsidR="00C92E99" w:rsidRPr="00936318">
        <w:rPr>
          <w:lang w:val="en-GB"/>
        </w:rPr>
        <w:t xml:space="preserve"> up</w:t>
      </w:r>
      <w:r w:rsidR="004C7958" w:rsidRPr="00936318">
        <w:rPr>
          <w:lang w:val="en-GB"/>
        </w:rPr>
        <w:t xml:space="preserve"> </w:t>
      </w:r>
      <w:r w:rsidR="00665553" w:rsidRPr="00936318">
        <w:rPr>
          <w:lang w:val="en-GB"/>
        </w:rPr>
        <w:t>to</w:t>
      </w:r>
      <w:r w:rsidR="00C92E99" w:rsidRPr="00936318">
        <w:rPr>
          <w:lang w:val="en-GB"/>
        </w:rPr>
        <w:t xml:space="preserve"> RM10 million. The annual financing rate was </w:t>
      </w:r>
      <w:r w:rsidR="00F33872" w:rsidRPr="00936318">
        <w:rPr>
          <w:lang w:val="en-GB"/>
        </w:rPr>
        <w:t>the b</w:t>
      </w:r>
      <w:r w:rsidR="00C92E99" w:rsidRPr="00936318">
        <w:rPr>
          <w:lang w:val="en-GB"/>
        </w:rPr>
        <w:t xml:space="preserve">ase </w:t>
      </w:r>
      <w:r w:rsidR="00F33872" w:rsidRPr="00936318">
        <w:rPr>
          <w:lang w:val="en-GB"/>
        </w:rPr>
        <w:t>f</w:t>
      </w:r>
      <w:r w:rsidR="00C92E99" w:rsidRPr="00936318">
        <w:rPr>
          <w:lang w:val="en-GB"/>
        </w:rPr>
        <w:t xml:space="preserve">inancing </w:t>
      </w:r>
      <w:r w:rsidR="00F33872" w:rsidRPr="00936318">
        <w:rPr>
          <w:lang w:val="en-GB"/>
        </w:rPr>
        <w:t>r</w:t>
      </w:r>
      <w:r w:rsidR="00C92E99" w:rsidRPr="00936318">
        <w:rPr>
          <w:lang w:val="en-GB"/>
        </w:rPr>
        <w:t xml:space="preserve">ate </w:t>
      </w:r>
      <w:r w:rsidR="00F33872" w:rsidRPr="00936318">
        <w:rPr>
          <w:lang w:val="en-GB"/>
        </w:rPr>
        <w:t>plus</w:t>
      </w:r>
      <w:r w:rsidR="00C92E99" w:rsidRPr="00936318">
        <w:rPr>
          <w:lang w:val="en-GB"/>
        </w:rPr>
        <w:t xml:space="preserve"> 2</w:t>
      </w:r>
      <w:r w:rsidR="00C66F18" w:rsidRPr="00936318">
        <w:rPr>
          <w:lang w:val="en-GB"/>
        </w:rPr>
        <w:t xml:space="preserve"> per cent</w:t>
      </w:r>
      <w:r w:rsidR="00C92E99" w:rsidRPr="00936318">
        <w:rPr>
          <w:lang w:val="en-GB"/>
        </w:rPr>
        <w:t xml:space="preserve">, </w:t>
      </w:r>
      <w:r w:rsidR="00665553" w:rsidRPr="00936318">
        <w:rPr>
          <w:lang w:val="en-GB"/>
        </w:rPr>
        <w:t xml:space="preserve">which was </w:t>
      </w:r>
      <w:r w:rsidR="00C92E99" w:rsidRPr="00936318">
        <w:rPr>
          <w:lang w:val="en-GB"/>
        </w:rPr>
        <w:t xml:space="preserve">the maximum </w:t>
      </w:r>
      <w:r w:rsidR="00665553" w:rsidRPr="00936318">
        <w:rPr>
          <w:lang w:val="en-GB"/>
        </w:rPr>
        <w:t>amount provided to</w:t>
      </w:r>
      <w:r w:rsidR="00C92E99" w:rsidRPr="00936318">
        <w:rPr>
          <w:lang w:val="en-GB"/>
        </w:rPr>
        <w:t xml:space="preserve"> </w:t>
      </w:r>
      <w:r w:rsidR="00C05C2F" w:rsidRPr="00936318">
        <w:rPr>
          <w:lang w:val="en-GB"/>
        </w:rPr>
        <w:t>financ</w:t>
      </w:r>
      <w:r w:rsidR="00C05C2F">
        <w:rPr>
          <w:lang w:val="en-GB"/>
        </w:rPr>
        <w:t>ial</w:t>
      </w:r>
      <w:r w:rsidR="00C05C2F" w:rsidRPr="00936318">
        <w:rPr>
          <w:lang w:val="en-GB"/>
        </w:rPr>
        <w:t xml:space="preserve"> </w:t>
      </w:r>
      <w:r w:rsidR="00C92E99" w:rsidRPr="00936318">
        <w:rPr>
          <w:lang w:val="en-GB"/>
        </w:rPr>
        <w:t xml:space="preserve">institutions. </w:t>
      </w:r>
      <w:r w:rsidR="00F31ACD" w:rsidRPr="00936318">
        <w:rPr>
          <w:lang w:val="en-GB"/>
        </w:rPr>
        <w:t>I</w:t>
      </w:r>
      <w:r w:rsidR="00C92E99" w:rsidRPr="00936318">
        <w:rPr>
          <w:lang w:val="en-GB"/>
        </w:rPr>
        <w:t>nstitutions were free to quote the financing rate if the guarantee cover</w:t>
      </w:r>
      <w:r w:rsidR="00F33872" w:rsidRPr="00936318">
        <w:rPr>
          <w:lang w:val="en-GB"/>
        </w:rPr>
        <w:t>age</w:t>
      </w:r>
      <w:r w:rsidR="00C92E99" w:rsidRPr="00936318">
        <w:rPr>
          <w:lang w:val="en-GB"/>
        </w:rPr>
        <w:t xml:space="preserve"> </w:t>
      </w:r>
      <w:r w:rsidR="00F33872" w:rsidRPr="00936318">
        <w:rPr>
          <w:lang w:val="en-GB"/>
        </w:rPr>
        <w:t>was</w:t>
      </w:r>
      <w:r w:rsidR="00C92E99" w:rsidRPr="00936318">
        <w:rPr>
          <w:lang w:val="en-GB"/>
        </w:rPr>
        <w:t xml:space="preserve"> 50</w:t>
      </w:r>
      <w:r w:rsidR="00C66F18" w:rsidRPr="00936318">
        <w:rPr>
          <w:lang w:val="en-GB"/>
        </w:rPr>
        <w:t xml:space="preserve"> per cent</w:t>
      </w:r>
      <w:r w:rsidR="00C92E99" w:rsidRPr="00936318">
        <w:rPr>
          <w:lang w:val="en-GB"/>
        </w:rPr>
        <w:t xml:space="preserve"> or less. The CGC guarantee coverage range</w:t>
      </w:r>
      <w:r w:rsidR="00F31ACD" w:rsidRPr="00936318">
        <w:rPr>
          <w:lang w:val="en-GB"/>
        </w:rPr>
        <w:t>d</w:t>
      </w:r>
      <w:r w:rsidR="00C92E99" w:rsidRPr="00936318">
        <w:rPr>
          <w:lang w:val="en-GB"/>
        </w:rPr>
        <w:t xml:space="preserve"> </w:t>
      </w:r>
      <w:r w:rsidR="004C7958" w:rsidRPr="00936318">
        <w:rPr>
          <w:lang w:val="en-GB"/>
        </w:rPr>
        <w:t xml:space="preserve">from </w:t>
      </w:r>
      <w:r w:rsidR="00C92E99" w:rsidRPr="00936318">
        <w:rPr>
          <w:lang w:val="en-GB"/>
        </w:rPr>
        <w:t>30</w:t>
      </w:r>
      <w:r w:rsidR="004C7958" w:rsidRPr="00936318">
        <w:rPr>
          <w:lang w:val="en-GB"/>
        </w:rPr>
        <w:t xml:space="preserve"> </w:t>
      </w:r>
      <w:r w:rsidR="00C92E99" w:rsidRPr="00936318">
        <w:rPr>
          <w:lang w:val="en-GB"/>
        </w:rPr>
        <w:t>to 90</w:t>
      </w:r>
      <w:r w:rsidR="00C66F18" w:rsidRPr="00936318">
        <w:rPr>
          <w:lang w:val="en-GB"/>
        </w:rPr>
        <w:t xml:space="preserve"> per cent</w:t>
      </w:r>
      <w:r w:rsidR="00F31ACD" w:rsidRPr="00936318">
        <w:rPr>
          <w:lang w:val="en-GB"/>
        </w:rPr>
        <w:t xml:space="preserve"> under</w:t>
      </w:r>
      <w:r w:rsidR="00C92E99" w:rsidRPr="00936318">
        <w:rPr>
          <w:lang w:val="en-GB"/>
        </w:rPr>
        <w:t xml:space="preserve"> </w:t>
      </w:r>
      <w:r w:rsidRPr="00936318">
        <w:rPr>
          <w:lang w:val="en-GB"/>
        </w:rPr>
        <w:t>certain</w:t>
      </w:r>
      <w:r w:rsidR="00C92E99" w:rsidRPr="00936318">
        <w:rPr>
          <w:lang w:val="en-GB"/>
        </w:rPr>
        <w:t xml:space="preserve"> conditions</w:t>
      </w:r>
      <w:r w:rsidRPr="00936318">
        <w:rPr>
          <w:lang w:val="en-GB"/>
        </w:rPr>
        <w:t>.</w:t>
      </w:r>
    </w:p>
    <w:p w14:paraId="6226B8C7" w14:textId="77777777" w:rsidR="00065123" w:rsidRPr="00936318" w:rsidRDefault="00065123" w:rsidP="00C92E99">
      <w:pPr>
        <w:pStyle w:val="BodyTextMain"/>
        <w:rPr>
          <w:lang w:val="en-GB"/>
        </w:rPr>
      </w:pPr>
    </w:p>
    <w:p w14:paraId="028BA82D" w14:textId="48A90D1B" w:rsidR="00C92E99" w:rsidRPr="00967DDC" w:rsidRDefault="00C92E99" w:rsidP="00C92E99">
      <w:pPr>
        <w:pStyle w:val="BodyTextMain"/>
        <w:rPr>
          <w:spacing w:val="-4"/>
          <w:kern w:val="22"/>
          <w:lang w:val="en-GB"/>
        </w:rPr>
      </w:pPr>
      <w:r w:rsidRPr="00967DDC">
        <w:rPr>
          <w:spacing w:val="-4"/>
          <w:kern w:val="22"/>
          <w:lang w:val="en-GB"/>
        </w:rPr>
        <w:t>Government</w:t>
      </w:r>
      <w:r w:rsidR="00F33872" w:rsidRPr="00967DDC">
        <w:rPr>
          <w:spacing w:val="-4"/>
          <w:kern w:val="22"/>
          <w:lang w:val="en-GB"/>
        </w:rPr>
        <w:t>-f</w:t>
      </w:r>
      <w:r w:rsidRPr="00967DDC">
        <w:rPr>
          <w:spacing w:val="-4"/>
          <w:kern w:val="22"/>
          <w:lang w:val="en-GB"/>
        </w:rPr>
        <w:t xml:space="preserve">unded </w:t>
      </w:r>
      <w:r w:rsidR="00F33872" w:rsidRPr="00967DDC">
        <w:rPr>
          <w:spacing w:val="-4"/>
          <w:kern w:val="22"/>
          <w:lang w:val="en-GB"/>
        </w:rPr>
        <w:t>s</w:t>
      </w:r>
      <w:r w:rsidRPr="00967DDC">
        <w:rPr>
          <w:spacing w:val="-4"/>
          <w:kern w:val="22"/>
          <w:lang w:val="en-GB"/>
        </w:rPr>
        <w:t xml:space="preserve">chemes included </w:t>
      </w:r>
      <w:r w:rsidR="00F33872" w:rsidRPr="00967DDC">
        <w:rPr>
          <w:spacing w:val="-4"/>
          <w:kern w:val="22"/>
          <w:lang w:val="en-GB"/>
        </w:rPr>
        <w:t xml:space="preserve">the </w:t>
      </w:r>
      <w:r w:rsidRPr="00967DDC">
        <w:rPr>
          <w:spacing w:val="-4"/>
          <w:kern w:val="22"/>
          <w:lang w:val="en-GB"/>
        </w:rPr>
        <w:t>Flexi Guarantee Scheme, Green Technology Financing Scheme</w:t>
      </w:r>
      <w:r w:rsidR="00A4610E" w:rsidRPr="00967DDC">
        <w:rPr>
          <w:spacing w:val="-4"/>
          <w:kern w:val="22"/>
          <w:lang w:val="en-GB"/>
        </w:rPr>
        <w:t>s</w:t>
      </w:r>
      <w:r w:rsidRPr="00967DDC">
        <w:rPr>
          <w:spacing w:val="-4"/>
          <w:kern w:val="22"/>
          <w:lang w:val="en-GB"/>
        </w:rPr>
        <w:t xml:space="preserve"> for Producers and Users</w:t>
      </w:r>
      <w:r w:rsidR="000D685A" w:rsidRPr="00967DDC">
        <w:rPr>
          <w:spacing w:val="-4"/>
          <w:kern w:val="22"/>
          <w:lang w:val="en-GB"/>
        </w:rPr>
        <w:t>,</w:t>
      </w:r>
      <w:r w:rsidRPr="00967DDC">
        <w:rPr>
          <w:spacing w:val="-4"/>
          <w:kern w:val="22"/>
          <w:lang w:val="en-GB"/>
        </w:rPr>
        <w:t xml:space="preserve"> and Franchise Financing Scheme. </w:t>
      </w:r>
      <w:r w:rsidR="00C60CF9" w:rsidRPr="00967DDC">
        <w:rPr>
          <w:spacing w:val="-4"/>
          <w:kern w:val="22"/>
          <w:lang w:val="en-GB"/>
        </w:rPr>
        <w:t xml:space="preserve">The </w:t>
      </w:r>
      <w:r w:rsidRPr="00967DDC">
        <w:rPr>
          <w:spacing w:val="-4"/>
          <w:kern w:val="22"/>
          <w:lang w:val="en-GB"/>
        </w:rPr>
        <w:t xml:space="preserve">Franchise Financing Scheme </w:t>
      </w:r>
      <w:r w:rsidR="00C60CF9" w:rsidRPr="00967DDC">
        <w:rPr>
          <w:spacing w:val="-4"/>
          <w:kern w:val="22"/>
          <w:lang w:val="en-GB"/>
        </w:rPr>
        <w:t>was characterized as</w:t>
      </w:r>
      <w:r w:rsidR="00F33872" w:rsidRPr="00967DDC">
        <w:rPr>
          <w:spacing w:val="-4"/>
          <w:kern w:val="22"/>
          <w:lang w:val="en-GB"/>
        </w:rPr>
        <w:t xml:space="preserve"> follows</w:t>
      </w:r>
      <w:r w:rsidRPr="00967DDC">
        <w:rPr>
          <w:spacing w:val="-4"/>
          <w:kern w:val="22"/>
          <w:lang w:val="en-GB"/>
        </w:rPr>
        <w:t>: “The existing total credit facilities of the borrower should not exceed RM7.</w:t>
      </w:r>
      <w:r w:rsidR="00967DDC" w:rsidRPr="00967DDC">
        <w:rPr>
          <w:spacing w:val="-4"/>
          <w:kern w:val="22"/>
          <w:lang w:val="en-GB"/>
        </w:rPr>
        <w:t xml:space="preserve">5 </w:t>
      </w:r>
      <w:r w:rsidRPr="00967DDC">
        <w:rPr>
          <w:spacing w:val="-4"/>
          <w:kern w:val="22"/>
          <w:lang w:val="en-GB"/>
        </w:rPr>
        <w:t>million</w:t>
      </w:r>
      <w:r w:rsidR="00F33872" w:rsidRPr="00967DDC">
        <w:rPr>
          <w:spacing w:val="-4"/>
          <w:kern w:val="22"/>
          <w:lang w:val="en-GB"/>
        </w:rPr>
        <w:t>.</w:t>
      </w:r>
      <w:r w:rsidRPr="00967DDC">
        <w:rPr>
          <w:spacing w:val="-4"/>
          <w:kern w:val="22"/>
          <w:lang w:val="en-GB"/>
        </w:rPr>
        <w:t>”</w:t>
      </w:r>
    </w:p>
    <w:p w14:paraId="42BF7FD1" w14:textId="77777777" w:rsidR="00C92E99" w:rsidRPr="00936318" w:rsidRDefault="00C92E99" w:rsidP="00C92E99">
      <w:pPr>
        <w:pStyle w:val="BodyTextMain"/>
        <w:rPr>
          <w:lang w:val="en-GB"/>
        </w:rPr>
      </w:pPr>
    </w:p>
    <w:p w14:paraId="47975AFB" w14:textId="75C7B6A8" w:rsidR="00C92E99" w:rsidRPr="00936318" w:rsidRDefault="00C92E99" w:rsidP="00C92E99">
      <w:pPr>
        <w:pStyle w:val="BodyTextMain"/>
        <w:rPr>
          <w:lang w:val="en-GB"/>
        </w:rPr>
      </w:pPr>
      <w:r w:rsidRPr="00936318">
        <w:rPr>
          <w:lang w:val="en-GB"/>
        </w:rPr>
        <w:t xml:space="preserve">Direct </w:t>
      </w:r>
      <w:r w:rsidR="00F33872" w:rsidRPr="00936318">
        <w:rPr>
          <w:lang w:val="en-GB"/>
        </w:rPr>
        <w:t>f</w:t>
      </w:r>
      <w:r w:rsidRPr="00936318">
        <w:rPr>
          <w:lang w:val="en-GB"/>
        </w:rPr>
        <w:t xml:space="preserve">inancing </w:t>
      </w:r>
      <w:r w:rsidR="00A4610E" w:rsidRPr="00936318">
        <w:rPr>
          <w:lang w:val="en-GB"/>
        </w:rPr>
        <w:t>s</w:t>
      </w:r>
      <w:r w:rsidRPr="00936318">
        <w:rPr>
          <w:lang w:val="en-GB"/>
        </w:rPr>
        <w:t xml:space="preserve">chemes included </w:t>
      </w:r>
      <w:r w:rsidR="00F33872" w:rsidRPr="00936318">
        <w:rPr>
          <w:lang w:val="en-GB"/>
        </w:rPr>
        <w:t xml:space="preserve">the </w:t>
      </w:r>
      <w:proofErr w:type="spellStart"/>
      <w:r w:rsidRPr="00936318">
        <w:rPr>
          <w:lang w:val="en-GB"/>
        </w:rPr>
        <w:t>Bumiputera</w:t>
      </w:r>
      <w:proofErr w:type="spellEnd"/>
      <w:r w:rsidRPr="00936318">
        <w:rPr>
          <w:lang w:val="en-GB"/>
        </w:rPr>
        <w:t xml:space="preserve"> Entrepreneur Project Fund-</w:t>
      </w:r>
      <w:proofErr w:type="spellStart"/>
      <w:r w:rsidR="00A4610E" w:rsidRPr="00936318">
        <w:rPr>
          <w:lang w:val="en-GB"/>
        </w:rPr>
        <w:t>i</w:t>
      </w:r>
      <w:proofErr w:type="spellEnd"/>
      <w:r w:rsidRPr="00936318">
        <w:rPr>
          <w:lang w:val="en-GB"/>
        </w:rPr>
        <w:t xml:space="preserve">, </w:t>
      </w:r>
      <w:proofErr w:type="spellStart"/>
      <w:r w:rsidRPr="00936318">
        <w:rPr>
          <w:lang w:val="en-GB"/>
        </w:rPr>
        <w:t>BizMula-</w:t>
      </w:r>
      <w:r w:rsidR="00A4610E" w:rsidRPr="00936318">
        <w:rPr>
          <w:lang w:val="en-GB"/>
        </w:rPr>
        <w:t>i</w:t>
      </w:r>
      <w:proofErr w:type="spellEnd"/>
      <w:r w:rsidRPr="00936318">
        <w:rPr>
          <w:lang w:val="en-GB"/>
        </w:rPr>
        <w:t xml:space="preserve">, </w:t>
      </w:r>
      <w:proofErr w:type="spellStart"/>
      <w:r w:rsidRPr="00936318">
        <w:rPr>
          <w:lang w:val="en-GB"/>
        </w:rPr>
        <w:t>BizWanita-i</w:t>
      </w:r>
      <w:proofErr w:type="spellEnd"/>
      <w:r w:rsidR="00840090" w:rsidRPr="00936318">
        <w:rPr>
          <w:lang w:val="en-GB"/>
        </w:rPr>
        <w:t>,</w:t>
      </w:r>
      <w:r w:rsidRPr="00936318">
        <w:rPr>
          <w:lang w:val="en-GB"/>
        </w:rPr>
        <w:t xml:space="preserve"> and </w:t>
      </w:r>
      <w:proofErr w:type="spellStart"/>
      <w:r w:rsidRPr="00936318">
        <w:rPr>
          <w:lang w:val="en-GB"/>
        </w:rPr>
        <w:t>BizBina-i</w:t>
      </w:r>
      <w:proofErr w:type="spellEnd"/>
      <w:r w:rsidRPr="00936318">
        <w:rPr>
          <w:lang w:val="en-GB"/>
        </w:rPr>
        <w:t xml:space="preserve">. These four schemes </w:t>
      </w:r>
      <w:r w:rsidR="00A4610E" w:rsidRPr="00936318">
        <w:rPr>
          <w:lang w:val="en-GB"/>
        </w:rPr>
        <w:t xml:space="preserve">each </w:t>
      </w:r>
      <w:r w:rsidRPr="00936318">
        <w:rPr>
          <w:lang w:val="en-GB"/>
        </w:rPr>
        <w:t xml:space="preserve">had </w:t>
      </w:r>
      <w:r w:rsidR="00F33872" w:rsidRPr="00936318">
        <w:rPr>
          <w:lang w:val="en-GB"/>
        </w:rPr>
        <w:t xml:space="preserve">a </w:t>
      </w:r>
      <w:r w:rsidRPr="00936318">
        <w:rPr>
          <w:lang w:val="en-GB"/>
        </w:rPr>
        <w:t xml:space="preserve">specific focus. For example, </w:t>
      </w:r>
      <w:proofErr w:type="spellStart"/>
      <w:r w:rsidRPr="00936318">
        <w:rPr>
          <w:lang w:val="en-GB"/>
        </w:rPr>
        <w:t>BizBina-i</w:t>
      </w:r>
      <w:proofErr w:type="spellEnd"/>
      <w:r w:rsidRPr="00936318">
        <w:rPr>
          <w:lang w:val="en-GB"/>
        </w:rPr>
        <w:t xml:space="preserve"> was open</w:t>
      </w:r>
      <w:r w:rsidR="0077795B" w:rsidRPr="00936318">
        <w:rPr>
          <w:lang w:val="en-GB"/>
        </w:rPr>
        <w:t>ed</w:t>
      </w:r>
      <w:r w:rsidRPr="00936318">
        <w:rPr>
          <w:lang w:val="en-GB"/>
        </w:rPr>
        <w:t xml:space="preserve"> </w:t>
      </w:r>
      <w:r w:rsidR="0077795B" w:rsidRPr="00936318">
        <w:rPr>
          <w:lang w:val="en-GB"/>
        </w:rPr>
        <w:t>for</w:t>
      </w:r>
      <w:r w:rsidRPr="00936318">
        <w:rPr>
          <w:lang w:val="en-GB"/>
        </w:rPr>
        <w:t xml:space="preserve"> CGC’s existing customers</w:t>
      </w:r>
      <w:r w:rsidR="00F33872" w:rsidRPr="00936318">
        <w:rPr>
          <w:lang w:val="en-GB"/>
        </w:rPr>
        <w:t xml:space="preserve"> </w:t>
      </w:r>
      <w:r w:rsidRPr="00936318">
        <w:rPr>
          <w:lang w:val="en-GB"/>
        </w:rPr>
        <w:t>who were affected by flood</w:t>
      </w:r>
      <w:r w:rsidR="00F33872" w:rsidRPr="00936318">
        <w:rPr>
          <w:lang w:val="en-GB"/>
        </w:rPr>
        <w:t>s</w:t>
      </w:r>
      <w:r w:rsidRPr="00936318">
        <w:rPr>
          <w:lang w:val="en-GB"/>
        </w:rPr>
        <w:t xml:space="preserve"> and w</w:t>
      </w:r>
      <w:r w:rsidR="00F33872" w:rsidRPr="00936318">
        <w:rPr>
          <w:lang w:val="en-GB"/>
        </w:rPr>
        <w:t>as</w:t>
      </w:r>
      <w:r w:rsidRPr="00936318">
        <w:rPr>
          <w:lang w:val="en-GB"/>
        </w:rPr>
        <w:t xml:space="preserve"> available from January 16, 2017</w:t>
      </w:r>
      <w:r w:rsidR="00A4610E" w:rsidRPr="00936318">
        <w:rPr>
          <w:lang w:val="en-GB"/>
        </w:rPr>
        <w:t>,</w:t>
      </w:r>
      <w:r w:rsidRPr="00936318">
        <w:rPr>
          <w:lang w:val="en-GB"/>
        </w:rPr>
        <w:t xml:space="preserve"> to July </w:t>
      </w:r>
      <w:r w:rsidRPr="00936318">
        <w:rPr>
          <w:lang w:val="en-GB"/>
        </w:rPr>
        <w:lastRenderedPageBreak/>
        <w:t>15, 2017</w:t>
      </w:r>
      <w:r w:rsidR="004C7958" w:rsidRPr="00936318">
        <w:rPr>
          <w:lang w:val="en-GB"/>
        </w:rPr>
        <w:t>,</w:t>
      </w:r>
      <w:r w:rsidRPr="00936318">
        <w:rPr>
          <w:lang w:val="en-GB"/>
        </w:rPr>
        <w:t xml:space="preserve"> or </w:t>
      </w:r>
      <w:r w:rsidR="00F33872" w:rsidRPr="00936318">
        <w:rPr>
          <w:lang w:val="en-GB"/>
        </w:rPr>
        <w:t>until</w:t>
      </w:r>
      <w:r w:rsidR="0077795B" w:rsidRPr="00936318">
        <w:rPr>
          <w:lang w:val="en-GB"/>
        </w:rPr>
        <w:t xml:space="preserve"> the</w:t>
      </w:r>
      <w:r w:rsidRPr="00936318">
        <w:rPr>
          <w:lang w:val="en-GB"/>
        </w:rPr>
        <w:t xml:space="preserve"> exhaustion of fund allocation </w:t>
      </w:r>
      <w:r w:rsidR="0077795B" w:rsidRPr="00936318">
        <w:rPr>
          <w:lang w:val="en-GB"/>
        </w:rPr>
        <w:t>(</w:t>
      </w:r>
      <w:r w:rsidRPr="00936318">
        <w:rPr>
          <w:lang w:val="en-GB"/>
        </w:rPr>
        <w:t>whichever was earlier</w:t>
      </w:r>
      <w:r w:rsidR="0077795B" w:rsidRPr="00936318">
        <w:rPr>
          <w:lang w:val="en-GB"/>
        </w:rPr>
        <w:t>)</w:t>
      </w:r>
      <w:r w:rsidRPr="00936318">
        <w:rPr>
          <w:lang w:val="en-GB"/>
        </w:rPr>
        <w:t xml:space="preserve">. </w:t>
      </w:r>
      <w:proofErr w:type="spellStart"/>
      <w:r w:rsidRPr="00936318">
        <w:rPr>
          <w:lang w:val="en-GB"/>
        </w:rPr>
        <w:t>BizWanita-i</w:t>
      </w:r>
      <w:proofErr w:type="spellEnd"/>
      <w:r w:rsidRPr="00936318">
        <w:rPr>
          <w:lang w:val="en-GB"/>
        </w:rPr>
        <w:t xml:space="preserve"> </w:t>
      </w:r>
      <w:r w:rsidR="00AE40B4" w:rsidRPr="00936318">
        <w:rPr>
          <w:lang w:val="en-GB"/>
        </w:rPr>
        <w:t>aimed</w:t>
      </w:r>
      <w:r w:rsidR="0077795B" w:rsidRPr="00936318">
        <w:rPr>
          <w:lang w:val="en-GB"/>
        </w:rPr>
        <w:t xml:space="preserve"> to provid</w:t>
      </w:r>
      <w:r w:rsidR="00F33872" w:rsidRPr="00936318">
        <w:rPr>
          <w:lang w:val="en-GB"/>
        </w:rPr>
        <w:t>e</w:t>
      </w:r>
      <w:r w:rsidR="0077795B" w:rsidRPr="00936318">
        <w:rPr>
          <w:lang w:val="en-GB"/>
        </w:rPr>
        <w:t xml:space="preserve"> </w:t>
      </w:r>
      <w:r w:rsidRPr="00936318">
        <w:rPr>
          <w:lang w:val="en-GB"/>
        </w:rPr>
        <w:t>financ</w:t>
      </w:r>
      <w:r w:rsidR="00F33872" w:rsidRPr="00936318">
        <w:rPr>
          <w:lang w:val="en-GB"/>
        </w:rPr>
        <w:t>ing</w:t>
      </w:r>
      <w:r w:rsidR="0077795B" w:rsidRPr="00936318">
        <w:rPr>
          <w:lang w:val="en-GB"/>
        </w:rPr>
        <w:t xml:space="preserve"> to</w:t>
      </w:r>
      <w:r w:rsidRPr="00936318">
        <w:rPr>
          <w:lang w:val="en-GB"/>
        </w:rPr>
        <w:t xml:space="preserve"> women entrepreneurs</w:t>
      </w:r>
      <w:r w:rsidR="00AE40B4" w:rsidRPr="00936318">
        <w:rPr>
          <w:lang w:val="en-GB"/>
        </w:rPr>
        <w:t>,</w:t>
      </w:r>
      <w:r w:rsidRPr="00936318">
        <w:rPr>
          <w:lang w:val="en-GB"/>
        </w:rPr>
        <w:t xml:space="preserve"> and </w:t>
      </w:r>
      <w:proofErr w:type="spellStart"/>
      <w:r w:rsidRPr="00936318">
        <w:rPr>
          <w:lang w:val="en-GB"/>
        </w:rPr>
        <w:t>BizMula-</w:t>
      </w:r>
      <w:r w:rsidR="00A4610E" w:rsidRPr="00936318">
        <w:rPr>
          <w:lang w:val="en-GB"/>
        </w:rPr>
        <w:t>i</w:t>
      </w:r>
      <w:proofErr w:type="spellEnd"/>
      <w:r w:rsidR="00A4610E" w:rsidRPr="00936318">
        <w:rPr>
          <w:lang w:val="en-GB"/>
        </w:rPr>
        <w:t xml:space="preserve"> </w:t>
      </w:r>
      <w:r w:rsidRPr="00936318">
        <w:rPr>
          <w:lang w:val="en-GB"/>
        </w:rPr>
        <w:t xml:space="preserve">primarily focused on financing new businesses. </w:t>
      </w:r>
    </w:p>
    <w:p w14:paraId="134BFD3E" w14:textId="77777777" w:rsidR="00B46C07" w:rsidRPr="00936318" w:rsidRDefault="00B46C07" w:rsidP="00C92E99">
      <w:pPr>
        <w:pStyle w:val="BodyTextMain"/>
        <w:rPr>
          <w:lang w:val="en-GB"/>
        </w:rPr>
      </w:pPr>
      <w:r w:rsidRPr="00936318">
        <w:rPr>
          <w:lang w:val="en-GB"/>
        </w:rPr>
        <w:t xml:space="preserve">The guarantee range mentioned in </w:t>
      </w:r>
      <w:r w:rsidR="00F55950" w:rsidRPr="00936318">
        <w:rPr>
          <w:lang w:val="en-GB"/>
        </w:rPr>
        <w:t>the</w:t>
      </w:r>
      <w:r w:rsidR="00F33872" w:rsidRPr="00936318">
        <w:rPr>
          <w:lang w:val="en-GB"/>
        </w:rPr>
        <w:t>se</w:t>
      </w:r>
      <w:r w:rsidR="00F55950" w:rsidRPr="00936318">
        <w:rPr>
          <w:lang w:val="en-GB"/>
        </w:rPr>
        <w:t xml:space="preserve"> </w:t>
      </w:r>
      <w:r w:rsidRPr="00936318">
        <w:rPr>
          <w:lang w:val="en-GB"/>
        </w:rPr>
        <w:t>different schemes aimed to link the credibility of the borrower in terms of risk rating</w:t>
      </w:r>
      <w:r w:rsidR="00F55950" w:rsidRPr="00936318">
        <w:rPr>
          <w:lang w:val="en-GB"/>
        </w:rPr>
        <w:t xml:space="preserve"> </w:t>
      </w:r>
      <w:r w:rsidRPr="00936318">
        <w:rPr>
          <w:lang w:val="en-GB"/>
        </w:rPr>
        <w:t>with the pricing of the guarantee.</w:t>
      </w:r>
    </w:p>
    <w:p w14:paraId="653EF2E9" w14:textId="77777777" w:rsidR="003D4489" w:rsidRPr="00936318" w:rsidRDefault="003D4489" w:rsidP="009B4CA2">
      <w:pPr>
        <w:pStyle w:val="Casehead1"/>
        <w:rPr>
          <w:lang w:val="en-GB"/>
        </w:rPr>
      </w:pPr>
    </w:p>
    <w:p w14:paraId="3AF9C81C" w14:textId="77777777" w:rsidR="003D4489" w:rsidRPr="00936318" w:rsidRDefault="003D4489" w:rsidP="009B4CA2">
      <w:pPr>
        <w:pStyle w:val="Casehead1"/>
        <w:rPr>
          <w:lang w:val="en-GB"/>
        </w:rPr>
      </w:pPr>
    </w:p>
    <w:p w14:paraId="1B7EB07E" w14:textId="77777777" w:rsidR="009B4CA2" w:rsidRPr="00936318" w:rsidRDefault="009B4CA2" w:rsidP="009B4CA2">
      <w:pPr>
        <w:pStyle w:val="Casehead1"/>
        <w:rPr>
          <w:lang w:val="en-GB"/>
        </w:rPr>
      </w:pPr>
      <w:r w:rsidRPr="00936318">
        <w:rPr>
          <w:lang w:val="en-GB"/>
        </w:rPr>
        <w:t xml:space="preserve">CGC’s </w:t>
      </w:r>
      <w:r w:rsidR="0004471A" w:rsidRPr="00936318">
        <w:rPr>
          <w:lang w:val="en-GB"/>
        </w:rPr>
        <w:t>Operation</w:t>
      </w:r>
      <w:r w:rsidR="00EA5BD7" w:rsidRPr="00936318">
        <w:rPr>
          <w:lang w:val="en-GB"/>
        </w:rPr>
        <w:t>al</w:t>
      </w:r>
      <w:r w:rsidR="0004471A" w:rsidRPr="00936318">
        <w:rPr>
          <w:lang w:val="en-GB"/>
        </w:rPr>
        <w:t xml:space="preserve"> </w:t>
      </w:r>
      <w:r w:rsidRPr="00936318">
        <w:rPr>
          <w:lang w:val="en-GB"/>
        </w:rPr>
        <w:t xml:space="preserve">Structure </w:t>
      </w:r>
    </w:p>
    <w:p w14:paraId="66458ED7" w14:textId="77777777" w:rsidR="009B4CA2" w:rsidRPr="00936318" w:rsidRDefault="009B4CA2" w:rsidP="009B4CA2">
      <w:pPr>
        <w:pStyle w:val="Casehead1"/>
        <w:rPr>
          <w:lang w:val="en-GB"/>
        </w:rPr>
      </w:pPr>
    </w:p>
    <w:p w14:paraId="1585A95F" w14:textId="2671BDAF" w:rsidR="003D4489" w:rsidRPr="00936318" w:rsidRDefault="009B4CA2" w:rsidP="009B4CA2">
      <w:pPr>
        <w:pStyle w:val="BodyTextMain"/>
        <w:rPr>
          <w:lang w:val="en-GB"/>
        </w:rPr>
      </w:pPr>
      <w:r w:rsidRPr="00936318">
        <w:rPr>
          <w:lang w:val="en-GB"/>
        </w:rPr>
        <w:t>CGC’s unique position of being a guarantor for Bank Negara</w:t>
      </w:r>
      <w:r w:rsidR="005A2EC1" w:rsidRPr="00936318">
        <w:rPr>
          <w:lang w:val="en-GB"/>
        </w:rPr>
        <w:t xml:space="preserve"> </w:t>
      </w:r>
      <w:r w:rsidRPr="00936318">
        <w:rPr>
          <w:lang w:val="en-GB"/>
        </w:rPr>
        <w:t>Malaysia</w:t>
      </w:r>
      <w:r w:rsidR="00136871" w:rsidRPr="00936318">
        <w:rPr>
          <w:lang w:val="en-GB"/>
        </w:rPr>
        <w:t xml:space="preserve"> meant that it had to</w:t>
      </w:r>
      <w:r w:rsidRPr="00936318">
        <w:rPr>
          <w:lang w:val="en-GB"/>
        </w:rPr>
        <w:t xml:space="preserve"> cater to as many SMEs as possible </w:t>
      </w:r>
      <w:r w:rsidR="00136871" w:rsidRPr="00936318">
        <w:rPr>
          <w:lang w:val="en-GB"/>
        </w:rPr>
        <w:t>with the objective of minimizing total risk. I</w:t>
      </w:r>
      <w:r w:rsidRPr="00936318">
        <w:rPr>
          <w:lang w:val="en-GB"/>
        </w:rPr>
        <w:t xml:space="preserve">t had two major departments </w:t>
      </w:r>
      <w:r w:rsidR="00EA5BD7" w:rsidRPr="00936318">
        <w:rPr>
          <w:lang w:val="en-GB"/>
        </w:rPr>
        <w:t xml:space="preserve">that </w:t>
      </w:r>
      <w:r w:rsidR="00136871" w:rsidRPr="00936318">
        <w:rPr>
          <w:lang w:val="en-GB"/>
        </w:rPr>
        <w:t>focus</w:t>
      </w:r>
      <w:r w:rsidR="00EA5BD7" w:rsidRPr="00936318">
        <w:rPr>
          <w:lang w:val="en-GB"/>
        </w:rPr>
        <w:t>ed</w:t>
      </w:r>
      <w:r w:rsidR="00136871" w:rsidRPr="00936318">
        <w:rPr>
          <w:lang w:val="en-GB"/>
        </w:rPr>
        <w:t xml:space="preserve"> on credit and risk management</w:t>
      </w:r>
      <w:r w:rsidRPr="00936318">
        <w:rPr>
          <w:lang w:val="en-GB"/>
        </w:rPr>
        <w:t xml:space="preserve"> (</w:t>
      </w:r>
      <w:r w:rsidR="00AE5B1B" w:rsidRPr="00936318">
        <w:rPr>
          <w:lang w:val="en-GB"/>
        </w:rPr>
        <w:t xml:space="preserve">see </w:t>
      </w:r>
      <w:r w:rsidRPr="00936318">
        <w:rPr>
          <w:lang w:val="en-GB"/>
        </w:rPr>
        <w:t>Exhibit 2)</w:t>
      </w:r>
      <w:r w:rsidR="00EA5BD7" w:rsidRPr="00936318">
        <w:rPr>
          <w:lang w:val="en-GB"/>
        </w:rPr>
        <w:t xml:space="preserve">: </w:t>
      </w:r>
      <w:r w:rsidRPr="00936318">
        <w:rPr>
          <w:lang w:val="en-GB"/>
        </w:rPr>
        <w:t xml:space="preserve">the </w:t>
      </w:r>
      <w:r w:rsidR="003C2AC6" w:rsidRPr="00936318">
        <w:rPr>
          <w:lang w:val="en-GB"/>
        </w:rPr>
        <w:t>c</w:t>
      </w:r>
      <w:r w:rsidRPr="00936318">
        <w:rPr>
          <w:lang w:val="en-GB"/>
        </w:rPr>
        <w:t xml:space="preserve">redit </w:t>
      </w:r>
      <w:r w:rsidR="003C2AC6" w:rsidRPr="00936318">
        <w:rPr>
          <w:lang w:val="en-GB"/>
        </w:rPr>
        <w:t>d</w:t>
      </w:r>
      <w:r w:rsidRPr="00936318">
        <w:rPr>
          <w:lang w:val="en-GB"/>
        </w:rPr>
        <w:t>epartment</w:t>
      </w:r>
      <w:r w:rsidR="00EA5BD7" w:rsidRPr="00936318">
        <w:rPr>
          <w:lang w:val="en-GB"/>
        </w:rPr>
        <w:t xml:space="preserve"> </w:t>
      </w:r>
      <w:r w:rsidR="00136871" w:rsidRPr="00936318">
        <w:rPr>
          <w:lang w:val="en-GB"/>
        </w:rPr>
        <w:t>and the</w:t>
      </w:r>
      <w:r w:rsidRPr="00936318">
        <w:rPr>
          <w:lang w:val="en-GB"/>
        </w:rPr>
        <w:t xml:space="preserve"> </w:t>
      </w:r>
      <w:r w:rsidR="003C2AC6" w:rsidRPr="00936318">
        <w:rPr>
          <w:lang w:val="en-GB"/>
        </w:rPr>
        <w:t>r</w:t>
      </w:r>
      <w:r w:rsidRPr="00936318">
        <w:rPr>
          <w:lang w:val="en-GB"/>
        </w:rPr>
        <w:t xml:space="preserve">isk </w:t>
      </w:r>
      <w:r w:rsidR="003C2AC6" w:rsidRPr="00936318">
        <w:rPr>
          <w:lang w:val="en-GB"/>
        </w:rPr>
        <w:t>d</w:t>
      </w:r>
      <w:r w:rsidRPr="00936318">
        <w:rPr>
          <w:lang w:val="en-GB"/>
        </w:rPr>
        <w:t xml:space="preserve">epartment. The </w:t>
      </w:r>
      <w:r w:rsidR="003C2AC6" w:rsidRPr="00936318">
        <w:rPr>
          <w:lang w:val="en-GB"/>
        </w:rPr>
        <w:t>c</w:t>
      </w:r>
      <w:r w:rsidRPr="00936318">
        <w:rPr>
          <w:lang w:val="en-GB"/>
        </w:rPr>
        <w:t xml:space="preserve">redit </w:t>
      </w:r>
      <w:r w:rsidR="003C2AC6" w:rsidRPr="00936318">
        <w:rPr>
          <w:lang w:val="en-GB"/>
        </w:rPr>
        <w:t>d</w:t>
      </w:r>
      <w:r w:rsidRPr="00936318">
        <w:rPr>
          <w:lang w:val="en-GB"/>
        </w:rPr>
        <w:t xml:space="preserve">epartment was headed by </w:t>
      </w:r>
      <w:r w:rsidR="005A2EC1" w:rsidRPr="00936318">
        <w:rPr>
          <w:lang w:val="en-GB"/>
        </w:rPr>
        <w:t xml:space="preserve">Abdul </w:t>
      </w:r>
      <w:proofErr w:type="spellStart"/>
      <w:r w:rsidR="005A2EC1" w:rsidRPr="00936318">
        <w:rPr>
          <w:lang w:val="en-GB"/>
        </w:rPr>
        <w:t>Talib</w:t>
      </w:r>
      <w:proofErr w:type="spellEnd"/>
      <w:r w:rsidR="005A2EC1" w:rsidRPr="00936318">
        <w:rPr>
          <w:lang w:val="en-GB"/>
        </w:rPr>
        <w:t xml:space="preserve"> Dewa, the </w:t>
      </w:r>
      <w:r w:rsidR="00EA5BD7" w:rsidRPr="00936318">
        <w:rPr>
          <w:lang w:val="en-GB"/>
        </w:rPr>
        <w:t>c</w:t>
      </w:r>
      <w:r w:rsidRPr="00936318">
        <w:rPr>
          <w:lang w:val="en-GB"/>
        </w:rPr>
        <w:t xml:space="preserve">hief </w:t>
      </w:r>
      <w:r w:rsidR="00EA5BD7" w:rsidRPr="00936318">
        <w:rPr>
          <w:lang w:val="en-GB"/>
        </w:rPr>
        <w:t>c</w:t>
      </w:r>
      <w:r w:rsidRPr="00936318">
        <w:rPr>
          <w:lang w:val="en-GB"/>
        </w:rPr>
        <w:t xml:space="preserve">redit </w:t>
      </w:r>
      <w:r w:rsidR="00EA5BD7" w:rsidRPr="00936318">
        <w:rPr>
          <w:lang w:val="en-GB"/>
        </w:rPr>
        <w:t>o</w:t>
      </w:r>
      <w:r w:rsidRPr="00936318">
        <w:rPr>
          <w:lang w:val="en-GB"/>
        </w:rPr>
        <w:t>fficer</w:t>
      </w:r>
      <w:r w:rsidR="00B07EF7" w:rsidRPr="00936318">
        <w:rPr>
          <w:lang w:val="en-GB"/>
        </w:rPr>
        <w:t>, while</w:t>
      </w:r>
      <w:r w:rsidRPr="00936318">
        <w:rPr>
          <w:lang w:val="en-GB"/>
        </w:rPr>
        <w:t xml:space="preserve"> the </w:t>
      </w:r>
      <w:r w:rsidR="003C2AC6" w:rsidRPr="00936318">
        <w:rPr>
          <w:lang w:val="en-GB"/>
        </w:rPr>
        <w:t>r</w:t>
      </w:r>
      <w:r w:rsidRPr="00936318">
        <w:rPr>
          <w:lang w:val="en-GB"/>
        </w:rPr>
        <w:t xml:space="preserve">isk </w:t>
      </w:r>
      <w:r w:rsidR="003C2AC6" w:rsidRPr="00936318">
        <w:rPr>
          <w:lang w:val="en-GB"/>
        </w:rPr>
        <w:t>d</w:t>
      </w:r>
      <w:r w:rsidRPr="00936318">
        <w:rPr>
          <w:lang w:val="en-GB"/>
        </w:rPr>
        <w:t xml:space="preserve">epartment was headed by </w:t>
      </w:r>
      <w:r w:rsidR="006829F6" w:rsidRPr="00936318">
        <w:rPr>
          <w:lang w:val="en-GB"/>
        </w:rPr>
        <w:t xml:space="preserve">K. </w:t>
      </w:r>
      <w:proofErr w:type="spellStart"/>
      <w:r w:rsidR="006829F6" w:rsidRPr="00936318">
        <w:rPr>
          <w:lang w:val="en-GB"/>
        </w:rPr>
        <w:t>Perbagaran</w:t>
      </w:r>
      <w:proofErr w:type="spellEnd"/>
      <w:r w:rsidRPr="00936318">
        <w:rPr>
          <w:lang w:val="en-GB"/>
        </w:rPr>
        <w:t xml:space="preserve">, the </w:t>
      </w:r>
      <w:r w:rsidR="00EA5BD7" w:rsidRPr="00936318">
        <w:rPr>
          <w:lang w:val="en-GB"/>
        </w:rPr>
        <w:t>c</w:t>
      </w:r>
      <w:r w:rsidRPr="00936318">
        <w:rPr>
          <w:lang w:val="en-GB"/>
        </w:rPr>
        <w:t xml:space="preserve">hief </w:t>
      </w:r>
      <w:r w:rsidR="00EA5BD7" w:rsidRPr="00936318">
        <w:rPr>
          <w:lang w:val="en-GB"/>
        </w:rPr>
        <w:t>r</w:t>
      </w:r>
      <w:r w:rsidRPr="00936318">
        <w:rPr>
          <w:lang w:val="en-GB"/>
        </w:rPr>
        <w:t xml:space="preserve">isk </w:t>
      </w:r>
      <w:r w:rsidR="00EA5BD7" w:rsidRPr="00936318">
        <w:rPr>
          <w:lang w:val="en-GB"/>
        </w:rPr>
        <w:t>o</w:t>
      </w:r>
      <w:r w:rsidRPr="00936318">
        <w:rPr>
          <w:lang w:val="en-GB"/>
        </w:rPr>
        <w:t>fficer</w:t>
      </w:r>
      <w:r w:rsidR="00EA5BD7" w:rsidRPr="00936318">
        <w:rPr>
          <w:lang w:val="en-GB"/>
        </w:rPr>
        <w:t>.</w:t>
      </w:r>
      <w:r w:rsidR="00136871" w:rsidRPr="00936318">
        <w:rPr>
          <w:lang w:val="en-GB"/>
        </w:rPr>
        <w:t xml:space="preserve"> </w:t>
      </w:r>
      <w:r w:rsidRPr="00936318">
        <w:rPr>
          <w:lang w:val="en-GB"/>
        </w:rPr>
        <w:t xml:space="preserve">The </w:t>
      </w:r>
      <w:r w:rsidR="003C2AC6" w:rsidRPr="00936318">
        <w:rPr>
          <w:lang w:val="en-GB"/>
        </w:rPr>
        <w:t>c</w:t>
      </w:r>
      <w:r w:rsidRPr="00936318">
        <w:rPr>
          <w:lang w:val="en-GB"/>
        </w:rPr>
        <w:t xml:space="preserve">redit </w:t>
      </w:r>
      <w:r w:rsidR="003C2AC6" w:rsidRPr="00936318">
        <w:rPr>
          <w:lang w:val="en-GB"/>
        </w:rPr>
        <w:t>d</w:t>
      </w:r>
      <w:r w:rsidRPr="00936318">
        <w:rPr>
          <w:lang w:val="en-GB"/>
        </w:rPr>
        <w:t xml:space="preserve">epartment’s job was to provide as much credit to CGC’s customers as possible. </w:t>
      </w:r>
      <w:r w:rsidR="00EA5BD7" w:rsidRPr="00936318">
        <w:rPr>
          <w:lang w:val="en-GB"/>
        </w:rPr>
        <w:t xml:space="preserve">The </w:t>
      </w:r>
      <w:r w:rsidRPr="00936318">
        <w:rPr>
          <w:lang w:val="en-GB"/>
        </w:rPr>
        <w:t>department launch</w:t>
      </w:r>
      <w:r w:rsidR="00B76976" w:rsidRPr="00936318">
        <w:rPr>
          <w:lang w:val="en-GB"/>
        </w:rPr>
        <w:t>ed</w:t>
      </w:r>
      <w:r w:rsidRPr="00936318">
        <w:rPr>
          <w:lang w:val="en-GB"/>
        </w:rPr>
        <w:t xml:space="preserve"> better schemes that targeted specific customer segments</w:t>
      </w:r>
      <w:r w:rsidR="00F14939" w:rsidRPr="00936318">
        <w:rPr>
          <w:lang w:val="en-GB"/>
        </w:rPr>
        <w:t>, which</w:t>
      </w:r>
      <w:r w:rsidRPr="00936318">
        <w:rPr>
          <w:lang w:val="en-GB"/>
        </w:rPr>
        <w:t xml:space="preserve"> in turn ensured focused marketing of these schemes backed by easy and fast loan disbursement to CGC’s potential client</w:t>
      </w:r>
      <w:r w:rsidR="00EA5BD7" w:rsidRPr="00936318">
        <w:rPr>
          <w:lang w:val="en-GB"/>
        </w:rPr>
        <w:t>s. T</w:t>
      </w:r>
      <w:r w:rsidRPr="00936318">
        <w:rPr>
          <w:lang w:val="en-GB"/>
        </w:rPr>
        <w:t xml:space="preserve">he </w:t>
      </w:r>
      <w:r w:rsidR="003C2AC6" w:rsidRPr="00936318">
        <w:rPr>
          <w:lang w:val="en-GB"/>
        </w:rPr>
        <w:t>r</w:t>
      </w:r>
      <w:r w:rsidRPr="00936318">
        <w:rPr>
          <w:lang w:val="en-GB"/>
        </w:rPr>
        <w:t xml:space="preserve">isk </w:t>
      </w:r>
      <w:r w:rsidR="003C2AC6" w:rsidRPr="00936318">
        <w:rPr>
          <w:lang w:val="en-GB"/>
        </w:rPr>
        <w:t>d</w:t>
      </w:r>
      <w:r w:rsidRPr="00936318">
        <w:rPr>
          <w:lang w:val="en-GB"/>
        </w:rPr>
        <w:t>epartment’</w:t>
      </w:r>
      <w:r w:rsidR="00136871" w:rsidRPr="00936318">
        <w:rPr>
          <w:lang w:val="en-GB"/>
        </w:rPr>
        <w:t>s job was</w:t>
      </w:r>
      <w:r w:rsidRPr="00936318">
        <w:rPr>
          <w:lang w:val="en-GB"/>
        </w:rPr>
        <w:t xml:space="preserve"> to assess the risk</w:t>
      </w:r>
      <w:r w:rsidR="004C7958" w:rsidRPr="00936318">
        <w:rPr>
          <w:lang w:val="en-GB"/>
        </w:rPr>
        <w:t xml:space="preserve"> </w:t>
      </w:r>
      <w:r w:rsidRPr="00936318">
        <w:rPr>
          <w:lang w:val="en-GB"/>
        </w:rPr>
        <w:t xml:space="preserve">worthiness of the loans </w:t>
      </w:r>
      <w:r w:rsidR="00F14939" w:rsidRPr="00936318">
        <w:rPr>
          <w:lang w:val="en-GB"/>
        </w:rPr>
        <w:t xml:space="preserve">given by </w:t>
      </w:r>
      <w:r w:rsidRPr="00936318">
        <w:rPr>
          <w:lang w:val="en-GB"/>
        </w:rPr>
        <w:t xml:space="preserve">the </w:t>
      </w:r>
      <w:r w:rsidR="003C2AC6" w:rsidRPr="00936318">
        <w:rPr>
          <w:lang w:val="en-GB"/>
        </w:rPr>
        <w:t>c</w:t>
      </w:r>
      <w:r w:rsidRPr="00936318">
        <w:rPr>
          <w:lang w:val="en-GB"/>
        </w:rPr>
        <w:t xml:space="preserve">redit </w:t>
      </w:r>
      <w:r w:rsidR="003C2AC6" w:rsidRPr="00936318">
        <w:rPr>
          <w:lang w:val="en-GB"/>
        </w:rPr>
        <w:t>d</w:t>
      </w:r>
      <w:r w:rsidRPr="00936318">
        <w:rPr>
          <w:lang w:val="en-GB"/>
        </w:rPr>
        <w:t>epartment</w:t>
      </w:r>
      <w:r w:rsidR="00F14939" w:rsidRPr="00936318">
        <w:rPr>
          <w:lang w:val="en-GB"/>
        </w:rPr>
        <w:t>.</w:t>
      </w:r>
      <w:r w:rsidRPr="00936318">
        <w:rPr>
          <w:lang w:val="en-GB"/>
        </w:rPr>
        <w:t xml:space="preserve"> </w:t>
      </w:r>
      <w:r w:rsidR="00F14939" w:rsidRPr="00936318">
        <w:rPr>
          <w:lang w:val="en-GB"/>
        </w:rPr>
        <w:t>Hence, t</w:t>
      </w:r>
      <w:r w:rsidRPr="00936318">
        <w:rPr>
          <w:lang w:val="en-GB"/>
        </w:rPr>
        <w:t xml:space="preserve">he </w:t>
      </w:r>
      <w:r w:rsidR="003C2AC6" w:rsidRPr="00936318">
        <w:rPr>
          <w:lang w:val="en-GB"/>
        </w:rPr>
        <w:t>r</w:t>
      </w:r>
      <w:r w:rsidRPr="00936318">
        <w:rPr>
          <w:lang w:val="en-GB"/>
        </w:rPr>
        <w:t xml:space="preserve">isk </w:t>
      </w:r>
      <w:r w:rsidR="003C2AC6" w:rsidRPr="00936318">
        <w:rPr>
          <w:lang w:val="en-GB"/>
        </w:rPr>
        <w:t>d</w:t>
      </w:r>
      <w:r w:rsidRPr="00936318">
        <w:rPr>
          <w:lang w:val="en-GB"/>
        </w:rPr>
        <w:t>epartment</w:t>
      </w:r>
      <w:r w:rsidR="00EA5BD7" w:rsidRPr="00936318">
        <w:rPr>
          <w:lang w:val="en-GB"/>
        </w:rPr>
        <w:t>,</w:t>
      </w:r>
      <w:r w:rsidRPr="00936318">
        <w:rPr>
          <w:lang w:val="en-GB"/>
        </w:rPr>
        <w:t xml:space="preserve"> </w:t>
      </w:r>
      <w:r w:rsidR="00F14939" w:rsidRPr="00936318">
        <w:rPr>
          <w:lang w:val="en-GB"/>
        </w:rPr>
        <w:t xml:space="preserve">along </w:t>
      </w:r>
      <w:r w:rsidRPr="00936318">
        <w:rPr>
          <w:lang w:val="en-GB"/>
        </w:rPr>
        <w:t xml:space="preserve">with the </w:t>
      </w:r>
      <w:r w:rsidR="003C2AC6" w:rsidRPr="00936318">
        <w:rPr>
          <w:lang w:val="en-GB"/>
        </w:rPr>
        <w:t>c</w:t>
      </w:r>
      <w:r w:rsidRPr="00936318">
        <w:rPr>
          <w:lang w:val="en-GB"/>
        </w:rPr>
        <w:t xml:space="preserve">redit </w:t>
      </w:r>
      <w:r w:rsidR="003C2AC6" w:rsidRPr="00936318">
        <w:rPr>
          <w:lang w:val="en-GB"/>
        </w:rPr>
        <w:t>d</w:t>
      </w:r>
      <w:r w:rsidRPr="00936318">
        <w:rPr>
          <w:lang w:val="en-GB"/>
        </w:rPr>
        <w:t>epartment</w:t>
      </w:r>
      <w:r w:rsidR="00EA5BD7" w:rsidRPr="00936318">
        <w:rPr>
          <w:lang w:val="en-GB"/>
        </w:rPr>
        <w:t>,</w:t>
      </w:r>
      <w:r w:rsidRPr="00936318">
        <w:rPr>
          <w:lang w:val="en-GB"/>
        </w:rPr>
        <w:t xml:space="preserve"> </w:t>
      </w:r>
      <w:r w:rsidR="00136871" w:rsidRPr="00936318">
        <w:rPr>
          <w:lang w:val="en-GB"/>
        </w:rPr>
        <w:t>came</w:t>
      </w:r>
      <w:r w:rsidRPr="00936318">
        <w:rPr>
          <w:lang w:val="en-GB"/>
        </w:rPr>
        <w:t xml:space="preserve"> up with policies and business rules for new schemes and revise</w:t>
      </w:r>
      <w:r w:rsidR="00136871" w:rsidRPr="00936318">
        <w:rPr>
          <w:lang w:val="en-GB"/>
        </w:rPr>
        <w:t>d</w:t>
      </w:r>
      <w:r w:rsidRPr="00936318">
        <w:rPr>
          <w:lang w:val="en-GB"/>
        </w:rPr>
        <w:t xml:space="preserve"> old schemes. </w:t>
      </w:r>
      <w:r w:rsidR="004C7958" w:rsidRPr="00936318">
        <w:rPr>
          <w:lang w:val="en-GB"/>
        </w:rPr>
        <w:t xml:space="preserve">The </w:t>
      </w:r>
      <w:r w:rsidR="003C2AC6" w:rsidRPr="00936318">
        <w:rPr>
          <w:lang w:val="en-GB"/>
        </w:rPr>
        <w:t>r</w:t>
      </w:r>
      <w:r w:rsidR="004C7958" w:rsidRPr="00936318">
        <w:rPr>
          <w:lang w:val="en-GB"/>
        </w:rPr>
        <w:t xml:space="preserve">isk </w:t>
      </w:r>
      <w:r w:rsidR="003C2AC6" w:rsidRPr="00936318">
        <w:rPr>
          <w:lang w:val="en-GB"/>
        </w:rPr>
        <w:t>d</w:t>
      </w:r>
      <w:r w:rsidR="004C7958" w:rsidRPr="00936318">
        <w:rPr>
          <w:lang w:val="en-GB"/>
        </w:rPr>
        <w:t xml:space="preserve">epartment </w:t>
      </w:r>
      <w:r w:rsidR="00F14939" w:rsidRPr="00936318">
        <w:rPr>
          <w:lang w:val="en-GB"/>
        </w:rPr>
        <w:t>further</w:t>
      </w:r>
      <w:r w:rsidR="00136871" w:rsidRPr="00936318">
        <w:rPr>
          <w:lang w:val="en-GB"/>
        </w:rPr>
        <w:t xml:space="preserve"> ensured that necessary compliance standards </w:t>
      </w:r>
      <w:r w:rsidR="00F14939" w:rsidRPr="00936318">
        <w:rPr>
          <w:lang w:val="en-GB"/>
        </w:rPr>
        <w:t>were fulfilled</w:t>
      </w:r>
      <w:r w:rsidR="00136871" w:rsidRPr="00936318">
        <w:rPr>
          <w:lang w:val="en-GB"/>
        </w:rPr>
        <w:t xml:space="preserve"> with each application. </w:t>
      </w:r>
    </w:p>
    <w:p w14:paraId="43BF5E21" w14:textId="77777777" w:rsidR="003D4489" w:rsidRPr="00936318" w:rsidRDefault="003D4489" w:rsidP="009B4CA2">
      <w:pPr>
        <w:pStyle w:val="BodyTextMain"/>
        <w:rPr>
          <w:lang w:val="en-GB"/>
        </w:rPr>
      </w:pPr>
    </w:p>
    <w:p w14:paraId="1F8AEFCE" w14:textId="77777777" w:rsidR="00C92E99" w:rsidRPr="00936318" w:rsidRDefault="00C92E99" w:rsidP="009B4CA2">
      <w:pPr>
        <w:pStyle w:val="BodyTextMain"/>
        <w:rPr>
          <w:lang w:val="en-GB"/>
        </w:rPr>
      </w:pPr>
    </w:p>
    <w:p w14:paraId="301E872E" w14:textId="77777777" w:rsidR="00C92E99" w:rsidRPr="00936318" w:rsidRDefault="00976A80" w:rsidP="00C92E99">
      <w:pPr>
        <w:pStyle w:val="Casehead1"/>
        <w:rPr>
          <w:lang w:val="en-GB"/>
        </w:rPr>
      </w:pPr>
      <w:r w:rsidRPr="00936318">
        <w:rPr>
          <w:lang w:val="en-GB"/>
        </w:rPr>
        <w:t>challenges</w:t>
      </w:r>
    </w:p>
    <w:p w14:paraId="1E34C548" w14:textId="77777777" w:rsidR="00C92E99" w:rsidRPr="00936318" w:rsidRDefault="00C92E99" w:rsidP="00C92E99">
      <w:pPr>
        <w:jc w:val="both"/>
        <w:rPr>
          <w:sz w:val="22"/>
          <w:szCs w:val="22"/>
          <w:lang w:val="en-GB"/>
        </w:rPr>
      </w:pPr>
    </w:p>
    <w:p w14:paraId="69811F44" w14:textId="6EAF4EEC" w:rsidR="00C92E99" w:rsidRPr="00936318" w:rsidRDefault="00C92E99" w:rsidP="00C92E99">
      <w:pPr>
        <w:pStyle w:val="BodyTextMain"/>
        <w:rPr>
          <w:lang w:val="en-GB"/>
        </w:rPr>
      </w:pPr>
      <w:r w:rsidRPr="00936318">
        <w:rPr>
          <w:lang w:val="en-GB"/>
        </w:rPr>
        <w:t xml:space="preserve">The challenges that arose </w:t>
      </w:r>
      <w:r w:rsidR="00976A80" w:rsidRPr="00936318">
        <w:rPr>
          <w:lang w:val="en-GB"/>
        </w:rPr>
        <w:t xml:space="preserve">from </w:t>
      </w:r>
      <w:r w:rsidRPr="00936318">
        <w:rPr>
          <w:lang w:val="en-GB"/>
        </w:rPr>
        <w:t xml:space="preserve">the launch of new </w:t>
      </w:r>
      <w:r w:rsidR="00A222A1" w:rsidRPr="00936318">
        <w:rPr>
          <w:lang w:val="en-GB"/>
        </w:rPr>
        <w:t>direct-</w:t>
      </w:r>
      <w:r w:rsidR="00976A80" w:rsidRPr="00936318">
        <w:rPr>
          <w:lang w:val="en-GB"/>
        </w:rPr>
        <w:t>l</w:t>
      </w:r>
      <w:r w:rsidRPr="00936318">
        <w:rPr>
          <w:lang w:val="en-GB"/>
        </w:rPr>
        <w:t xml:space="preserve">ending </w:t>
      </w:r>
      <w:r w:rsidR="00976A80" w:rsidRPr="00936318">
        <w:rPr>
          <w:lang w:val="en-GB"/>
        </w:rPr>
        <w:t>p</w:t>
      </w:r>
      <w:r w:rsidRPr="00936318">
        <w:rPr>
          <w:lang w:val="en-GB"/>
        </w:rPr>
        <w:t xml:space="preserve">roducts could be broadly divided into three </w:t>
      </w:r>
      <w:r w:rsidR="00976A80" w:rsidRPr="00936318">
        <w:rPr>
          <w:lang w:val="en-GB"/>
        </w:rPr>
        <w:t xml:space="preserve">areas: </w:t>
      </w:r>
      <w:r w:rsidRPr="00936318">
        <w:rPr>
          <w:lang w:val="en-GB"/>
        </w:rPr>
        <w:t xml:space="preserve">frequent changes in business rules, lack of </w:t>
      </w:r>
      <w:r w:rsidR="00504FA7" w:rsidRPr="00936318">
        <w:rPr>
          <w:lang w:val="en-GB"/>
        </w:rPr>
        <w:t>a</w:t>
      </w:r>
      <w:r w:rsidRPr="00936318">
        <w:rPr>
          <w:lang w:val="en-GB"/>
        </w:rPr>
        <w:t>utomation</w:t>
      </w:r>
      <w:r w:rsidR="00504FA7" w:rsidRPr="00936318">
        <w:rPr>
          <w:lang w:val="en-GB"/>
        </w:rPr>
        <w:t>,</w:t>
      </w:r>
      <w:r w:rsidRPr="00936318">
        <w:rPr>
          <w:lang w:val="en-GB"/>
        </w:rPr>
        <w:t xml:space="preserve"> and expan</w:t>
      </w:r>
      <w:r w:rsidR="004C7958" w:rsidRPr="00936318">
        <w:rPr>
          <w:lang w:val="en-GB"/>
        </w:rPr>
        <w:t>ding</w:t>
      </w:r>
      <w:r w:rsidRPr="00936318">
        <w:rPr>
          <w:lang w:val="en-GB"/>
        </w:rPr>
        <w:t xml:space="preserve"> predictive models. </w:t>
      </w:r>
    </w:p>
    <w:p w14:paraId="199951D1" w14:textId="77777777" w:rsidR="00C92E99" w:rsidRPr="00936318" w:rsidRDefault="00C92E99" w:rsidP="00C92E99">
      <w:pPr>
        <w:pStyle w:val="ListParagraph"/>
        <w:rPr>
          <w:lang w:val="en-GB"/>
        </w:rPr>
      </w:pPr>
    </w:p>
    <w:p w14:paraId="29E477CC" w14:textId="77777777" w:rsidR="00C92E99" w:rsidRPr="00936318" w:rsidRDefault="00C92E99" w:rsidP="00C92E99">
      <w:pPr>
        <w:pStyle w:val="ListParagraph"/>
        <w:rPr>
          <w:lang w:val="en-GB"/>
        </w:rPr>
      </w:pPr>
    </w:p>
    <w:p w14:paraId="3CD4A1C7" w14:textId="56739690" w:rsidR="00C92E99" w:rsidRPr="00936318" w:rsidRDefault="00C92E99" w:rsidP="00C92E99">
      <w:pPr>
        <w:pStyle w:val="Casehead1"/>
        <w:rPr>
          <w:caps w:val="0"/>
          <w:lang w:val="en-GB"/>
        </w:rPr>
      </w:pPr>
      <w:r w:rsidRPr="00936318">
        <w:rPr>
          <w:caps w:val="0"/>
          <w:lang w:val="en-GB"/>
        </w:rPr>
        <w:t xml:space="preserve">Frequent </w:t>
      </w:r>
      <w:r w:rsidR="00A15423" w:rsidRPr="00936318">
        <w:rPr>
          <w:caps w:val="0"/>
          <w:lang w:val="en-GB"/>
        </w:rPr>
        <w:t>C</w:t>
      </w:r>
      <w:r w:rsidRPr="00936318">
        <w:rPr>
          <w:caps w:val="0"/>
          <w:lang w:val="en-GB"/>
        </w:rPr>
        <w:t xml:space="preserve">hanges in </w:t>
      </w:r>
      <w:r w:rsidR="00A15423" w:rsidRPr="00936318">
        <w:rPr>
          <w:caps w:val="0"/>
          <w:lang w:val="en-GB"/>
        </w:rPr>
        <w:t>B</w:t>
      </w:r>
      <w:r w:rsidRPr="00936318">
        <w:rPr>
          <w:caps w:val="0"/>
          <w:lang w:val="en-GB"/>
        </w:rPr>
        <w:t xml:space="preserve">usiness </w:t>
      </w:r>
      <w:r w:rsidR="00A15423" w:rsidRPr="00936318">
        <w:rPr>
          <w:caps w:val="0"/>
          <w:lang w:val="en-GB"/>
        </w:rPr>
        <w:t>R</w:t>
      </w:r>
      <w:r w:rsidRPr="00936318">
        <w:rPr>
          <w:caps w:val="0"/>
          <w:lang w:val="en-GB"/>
        </w:rPr>
        <w:t>ules</w:t>
      </w:r>
    </w:p>
    <w:p w14:paraId="444F32DF" w14:textId="77777777" w:rsidR="00C92E99" w:rsidRPr="00936318" w:rsidRDefault="00C92E99" w:rsidP="00C92E99">
      <w:pPr>
        <w:pStyle w:val="BodyTextMain"/>
        <w:rPr>
          <w:lang w:val="en-GB"/>
        </w:rPr>
      </w:pPr>
    </w:p>
    <w:p w14:paraId="2D5F7E36" w14:textId="07E13A8A" w:rsidR="009106AB" w:rsidRPr="00936318" w:rsidRDefault="0094564E" w:rsidP="00C92E99">
      <w:pPr>
        <w:pStyle w:val="BodyTextMain"/>
        <w:rPr>
          <w:lang w:val="en-GB"/>
        </w:rPr>
      </w:pPr>
      <w:r w:rsidRPr="00936318">
        <w:rPr>
          <w:lang w:val="en-GB"/>
        </w:rPr>
        <w:t>B</w:t>
      </w:r>
      <w:r w:rsidR="00C92E99" w:rsidRPr="00936318">
        <w:rPr>
          <w:lang w:val="en-GB"/>
        </w:rPr>
        <w:t>usiness rule</w:t>
      </w:r>
      <w:r w:rsidRPr="00936318">
        <w:rPr>
          <w:lang w:val="en-GB"/>
        </w:rPr>
        <w:t>s</w:t>
      </w:r>
      <w:r w:rsidR="00C92E99" w:rsidRPr="00936318">
        <w:rPr>
          <w:lang w:val="en-GB"/>
        </w:rPr>
        <w:t xml:space="preserve"> defined a business. The</w:t>
      </w:r>
      <w:r w:rsidRPr="00936318">
        <w:rPr>
          <w:lang w:val="en-GB"/>
        </w:rPr>
        <w:t>y</w:t>
      </w:r>
      <w:r w:rsidR="00C92E99" w:rsidRPr="00936318">
        <w:rPr>
          <w:lang w:val="en-GB"/>
        </w:rPr>
        <w:t xml:space="preserve"> were</w:t>
      </w:r>
      <w:r w:rsidR="009D1F18" w:rsidRPr="00936318">
        <w:rPr>
          <w:lang w:val="en-GB"/>
        </w:rPr>
        <w:t xml:space="preserve"> the</w:t>
      </w:r>
      <w:r w:rsidR="00C92E99" w:rsidRPr="00936318">
        <w:rPr>
          <w:lang w:val="en-GB"/>
        </w:rPr>
        <w:t xml:space="preserve"> guiding ideas</w:t>
      </w:r>
      <w:r w:rsidRPr="00936318">
        <w:rPr>
          <w:lang w:val="en-GB"/>
        </w:rPr>
        <w:t xml:space="preserve"> </w:t>
      </w:r>
      <w:r w:rsidR="00C92E99" w:rsidRPr="00936318">
        <w:rPr>
          <w:lang w:val="en-GB"/>
        </w:rPr>
        <w:t>that aimed to bring structure and control</w:t>
      </w:r>
      <w:r w:rsidRPr="00936318">
        <w:rPr>
          <w:lang w:val="en-GB"/>
        </w:rPr>
        <w:t xml:space="preserve"> to </w:t>
      </w:r>
      <w:r w:rsidR="00C92E99" w:rsidRPr="00936318">
        <w:rPr>
          <w:lang w:val="en-GB"/>
        </w:rPr>
        <w:t>the</w:t>
      </w:r>
      <w:r w:rsidRPr="00936318">
        <w:rPr>
          <w:lang w:val="en-GB"/>
        </w:rPr>
        <w:t xml:space="preserve"> business’s </w:t>
      </w:r>
      <w:r w:rsidR="00C92E99" w:rsidRPr="00936318">
        <w:rPr>
          <w:lang w:val="en-GB"/>
        </w:rPr>
        <w:t xml:space="preserve">behaviour. </w:t>
      </w:r>
      <w:r w:rsidR="00AC7F0B" w:rsidRPr="00936318">
        <w:rPr>
          <w:lang w:val="en-GB"/>
        </w:rPr>
        <w:t>A business rule was</w:t>
      </w:r>
      <w:r w:rsidR="00C92E99" w:rsidRPr="00936318">
        <w:rPr>
          <w:lang w:val="en-GB"/>
        </w:rPr>
        <w:t xml:space="preserve"> an if-then statement</w:t>
      </w:r>
      <w:r w:rsidR="006B4BFC" w:rsidRPr="00936318">
        <w:rPr>
          <w:lang w:val="en-GB"/>
        </w:rPr>
        <w:t xml:space="preserve"> followed by</w:t>
      </w:r>
      <w:r w:rsidR="00C92E99" w:rsidRPr="00936318">
        <w:rPr>
          <w:lang w:val="en-GB"/>
        </w:rPr>
        <w:t xml:space="preserve"> a business as its core principle. The rules </w:t>
      </w:r>
      <w:r w:rsidR="009106AB" w:rsidRPr="00936318">
        <w:rPr>
          <w:lang w:val="en-GB"/>
        </w:rPr>
        <w:t xml:space="preserve">had </w:t>
      </w:r>
      <w:r w:rsidR="00C92E99" w:rsidRPr="00936318">
        <w:rPr>
          <w:lang w:val="en-GB"/>
        </w:rPr>
        <w:t>true or false</w:t>
      </w:r>
      <w:r w:rsidR="009106AB" w:rsidRPr="00936318">
        <w:rPr>
          <w:lang w:val="en-GB"/>
        </w:rPr>
        <w:t xml:space="preserve"> conditions that </w:t>
      </w:r>
      <w:r w:rsidR="00C92E99" w:rsidRPr="00936318">
        <w:rPr>
          <w:lang w:val="en-GB"/>
        </w:rPr>
        <w:t>result</w:t>
      </w:r>
      <w:r w:rsidR="009106AB" w:rsidRPr="00936318">
        <w:rPr>
          <w:lang w:val="en-GB"/>
        </w:rPr>
        <w:t>ed</w:t>
      </w:r>
      <w:r w:rsidR="00C92E99" w:rsidRPr="00936318">
        <w:rPr>
          <w:lang w:val="en-GB"/>
        </w:rPr>
        <w:t xml:space="preserve"> in further actions. In CGC’s case</w:t>
      </w:r>
      <w:r w:rsidR="00A54740" w:rsidRPr="00936318">
        <w:rPr>
          <w:lang w:val="en-GB"/>
        </w:rPr>
        <w:t>,</w:t>
      </w:r>
      <w:r w:rsidR="00C92E99" w:rsidRPr="00936318">
        <w:rPr>
          <w:lang w:val="en-GB"/>
        </w:rPr>
        <w:t xml:space="preserve"> </w:t>
      </w:r>
      <w:r w:rsidR="009106AB" w:rsidRPr="00936318">
        <w:rPr>
          <w:lang w:val="en-GB"/>
        </w:rPr>
        <w:t>business</w:t>
      </w:r>
      <w:r w:rsidR="00C92E99" w:rsidRPr="00936318">
        <w:rPr>
          <w:lang w:val="en-GB"/>
        </w:rPr>
        <w:t xml:space="preserve"> rules defined </w:t>
      </w:r>
      <w:r w:rsidR="00A54740" w:rsidRPr="00936318">
        <w:rPr>
          <w:lang w:val="en-GB"/>
        </w:rPr>
        <w:t>the eligibility of</w:t>
      </w:r>
      <w:r w:rsidR="00C92E99" w:rsidRPr="00936318">
        <w:rPr>
          <w:lang w:val="en-GB"/>
        </w:rPr>
        <w:t xml:space="preserve"> an applicant (SME) for a loan</w:t>
      </w:r>
      <w:r w:rsidR="002C02DF" w:rsidRPr="00936318">
        <w:rPr>
          <w:lang w:val="en-GB"/>
        </w:rPr>
        <w:t xml:space="preserve"> and</w:t>
      </w:r>
      <w:r w:rsidR="00C92E99" w:rsidRPr="00936318">
        <w:rPr>
          <w:lang w:val="en-GB"/>
        </w:rPr>
        <w:t xml:space="preserve"> </w:t>
      </w:r>
      <w:r w:rsidR="00A54740" w:rsidRPr="00936318">
        <w:rPr>
          <w:lang w:val="en-GB"/>
        </w:rPr>
        <w:t>ultimately</w:t>
      </w:r>
      <w:r w:rsidR="00C92E99" w:rsidRPr="00936318">
        <w:rPr>
          <w:lang w:val="en-GB"/>
        </w:rPr>
        <w:t xml:space="preserve"> result</w:t>
      </w:r>
      <w:r w:rsidR="00A54740" w:rsidRPr="00936318">
        <w:rPr>
          <w:lang w:val="en-GB"/>
        </w:rPr>
        <w:t>ed</w:t>
      </w:r>
      <w:r w:rsidR="00C92E99" w:rsidRPr="00936318">
        <w:rPr>
          <w:lang w:val="en-GB"/>
        </w:rPr>
        <w:t xml:space="preserve"> in </w:t>
      </w:r>
      <w:r w:rsidR="002C02DF" w:rsidRPr="00936318">
        <w:rPr>
          <w:lang w:val="en-GB"/>
        </w:rPr>
        <w:t xml:space="preserve">acceptance </w:t>
      </w:r>
      <w:r w:rsidR="00C92E99" w:rsidRPr="00936318">
        <w:rPr>
          <w:lang w:val="en-GB"/>
        </w:rPr>
        <w:t xml:space="preserve">or </w:t>
      </w:r>
      <w:r w:rsidR="002C02DF" w:rsidRPr="00936318">
        <w:rPr>
          <w:lang w:val="en-GB"/>
        </w:rPr>
        <w:t xml:space="preserve">rejection of </w:t>
      </w:r>
      <w:r w:rsidR="00C92E99" w:rsidRPr="00936318">
        <w:rPr>
          <w:lang w:val="en-GB"/>
        </w:rPr>
        <w:t>an application (action). For example, one rule could be</w:t>
      </w:r>
      <w:r w:rsidR="00A222A1" w:rsidRPr="00936318">
        <w:rPr>
          <w:lang w:val="en-GB"/>
        </w:rPr>
        <w:t xml:space="preserve"> as follows</w:t>
      </w:r>
      <w:r w:rsidR="00C92E99" w:rsidRPr="00936318">
        <w:rPr>
          <w:lang w:val="en-GB"/>
        </w:rPr>
        <w:t xml:space="preserve">: If a new </w:t>
      </w:r>
      <w:r w:rsidR="009106AB" w:rsidRPr="00936318">
        <w:rPr>
          <w:lang w:val="en-GB"/>
        </w:rPr>
        <w:t>b</w:t>
      </w:r>
      <w:r w:rsidR="00C92E99" w:rsidRPr="00936318">
        <w:rPr>
          <w:lang w:val="en-GB"/>
        </w:rPr>
        <w:t xml:space="preserve">orrower’s </w:t>
      </w:r>
      <w:r w:rsidR="009106AB" w:rsidRPr="00936318">
        <w:rPr>
          <w:lang w:val="en-GB"/>
        </w:rPr>
        <w:t>t</w:t>
      </w:r>
      <w:r w:rsidR="00C92E99" w:rsidRPr="00936318">
        <w:rPr>
          <w:lang w:val="en-GB"/>
        </w:rPr>
        <w:t xml:space="preserve">urnover for </w:t>
      </w:r>
      <w:r w:rsidR="009106AB" w:rsidRPr="00936318">
        <w:rPr>
          <w:lang w:val="en-GB"/>
        </w:rPr>
        <w:t xml:space="preserve">the </w:t>
      </w:r>
      <w:r w:rsidR="00C92E99" w:rsidRPr="00936318">
        <w:rPr>
          <w:lang w:val="en-GB"/>
        </w:rPr>
        <w:t xml:space="preserve">current </w:t>
      </w:r>
      <w:r w:rsidRPr="00936318">
        <w:rPr>
          <w:lang w:val="en-GB"/>
        </w:rPr>
        <w:t>f</w:t>
      </w:r>
      <w:r w:rsidR="00C92E99" w:rsidRPr="00936318">
        <w:rPr>
          <w:lang w:val="en-GB"/>
        </w:rPr>
        <w:t xml:space="preserve">iscal </w:t>
      </w:r>
      <w:r w:rsidR="009106AB" w:rsidRPr="00936318">
        <w:rPr>
          <w:lang w:val="en-GB"/>
        </w:rPr>
        <w:t xml:space="preserve">year </w:t>
      </w:r>
      <w:r w:rsidR="00C92E99" w:rsidRPr="00936318">
        <w:rPr>
          <w:lang w:val="en-GB"/>
        </w:rPr>
        <w:t>was less than RM10</w:t>
      </w:r>
      <w:proofErr w:type="gramStart"/>
      <w:r w:rsidR="00B74F56" w:rsidRPr="00936318">
        <w:rPr>
          <w:lang w:val="en-GB"/>
        </w:rPr>
        <w:t>,</w:t>
      </w:r>
      <w:r w:rsidR="00C92E99" w:rsidRPr="00936318">
        <w:rPr>
          <w:lang w:val="en-GB"/>
        </w:rPr>
        <w:t>000</w:t>
      </w:r>
      <w:proofErr w:type="gramEnd"/>
      <w:r w:rsidR="00A54740" w:rsidRPr="00936318">
        <w:rPr>
          <w:lang w:val="en-GB"/>
        </w:rPr>
        <w:t>,</w:t>
      </w:r>
      <w:r w:rsidR="00C92E99" w:rsidRPr="00936318">
        <w:rPr>
          <w:lang w:val="en-GB"/>
        </w:rPr>
        <w:t xml:space="preserve"> then reject the </w:t>
      </w:r>
      <w:r w:rsidR="00167E47" w:rsidRPr="00936318">
        <w:rPr>
          <w:lang w:val="en-GB"/>
        </w:rPr>
        <w:t>a</w:t>
      </w:r>
      <w:r w:rsidR="00C92E99" w:rsidRPr="00936318">
        <w:rPr>
          <w:lang w:val="en-GB"/>
        </w:rPr>
        <w:t>pplication.</w:t>
      </w:r>
      <w:r w:rsidR="009106AB" w:rsidRPr="00936318">
        <w:rPr>
          <w:lang w:val="en-GB"/>
        </w:rPr>
        <w:t xml:space="preserve"> </w:t>
      </w:r>
      <w:r w:rsidR="00C92E99" w:rsidRPr="00936318">
        <w:rPr>
          <w:lang w:val="en-GB"/>
        </w:rPr>
        <w:t>In this example</w:t>
      </w:r>
      <w:r w:rsidR="007D2DD5" w:rsidRPr="00936318">
        <w:rPr>
          <w:lang w:val="en-GB"/>
        </w:rPr>
        <w:t>,</w:t>
      </w:r>
      <w:r w:rsidR="00C92E99" w:rsidRPr="00936318">
        <w:rPr>
          <w:lang w:val="en-GB"/>
        </w:rPr>
        <w:t xml:space="preserve"> the rule sa</w:t>
      </w:r>
      <w:r w:rsidR="00B74F56" w:rsidRPr="00936318">
        <w:rPr>
          <w:lang w:val="en-GB"/>
        </w:rPr>
        <w:t>ys</w:t>
      </w:r>
      <w:r w:rsidR="00C92E99" w:rsidRPr="00936318">
        <w:rPr>
          <w:lang w:val="en-GB"/>
        </w:rPr>
        <w:t xml:space="preserve"> that </w:t>
      </w:r>
      <w:r w:rsidR="009106AB" w:rsidRPr="00936318">
        <w:rPr>
          <w:lang w:val="en-GB"/>
        </w:rPr>
        <w:t xml:space="preserve">the </w:t>
      </w:r>
      <w:r w:rsidR="00BF788A" w:rsidRPr="00936318">
        <w:rPr>
          <w:lang w:val="en-GB"/>
        </w:rPr>
        <w:t>b</w:t>
      </w:r>
      <w:r w:rsidR="00C92E99" w:rsidRPr="00936318">
        <w:rPr>
          <w:lang w:val="en-GB"/>
        </w:rPr>
        <w:t>orrower’s turnover for the current year should be greater than RM10</w:t>
      </w:r>
      <w:proofErr w:type="gramStart"/>
      <w:r w:rsidR="009106AB" w:rsidRPr="00936318">
        <w:rPr>
          <w:lang w:val="en-GB"/>
        </w:rPr>
        <w:t>,</w:t>
      </w:r>
      <w:r w:rsidR="00C92E99" w:rsidRPr="00936318">
        <w:rPr>
          <w:lang w:val="en-GB"/>
        </w:rPr>
        <w:t>000</w:t>
      </w:r>
      <w:proofErr w:type="gramEnd"/>
      <w:r w:rsidR="00C92E99" w:rsidRPr="00936318">
        <w:rPr>
          <w:lang w:val="en-GB"/>
        </w:rPr>
        <w:t xml:space="preserve"> (condition for true and false); </w:t>
      </w:r>
      <w:r w:rsidR="009106AB" w:rsidRPr="00936318">
        <w:rPr>
          <w:lang w:val="en-GB"/>
        </w:rPr>
        <w:t>otherwise,</w:t>
      </w:r>
      <w:r w:rsidR="00C92E99" w:rsidRPr="00936318">
        <w:rPr>
          <w:lang w:val="en-GB"/>
        </w:rPr>
        <w:t xml:space="preserve"> the application should be rejected (action). </w:t>
      </w:r>
    </w:p>
    <w:p w14:paraId="4379B85B" w14:textId="77777777" w:rsidR="009106AB" w:rsidRPr="00936318" w:rsidRDefault="009106AB" w:rsidP="00C92E99">
      <w:pPr>
        <w:pStyle w:val="BodyTextMain"/>
        <w:rPr>
          <w:lang w:val="en-GB"/>
        </w:rPr>
      </w:pPr>
    </w:p>
    <w:p w14:paraId="2FA253A0" w14:textId="668F7C4C" w:rsidR="0091294B" w:rsidRPr="00936318" w:rsidRDefault="00C92E99" w:rsidP="00C92E99">
      <w:pPr>
        <w:pStyle w:val="BodyTextMain"/>
        <w:rPr>
          <w:lang w:val="en-GB"/>
        </w:rPr>
      </w:pPr>
      <w:r w:rsidRPr="00936318">
        <w:rPr>
          <w:lang w:val="en-GB"/>
        </w:rPr>
        <w:t>CGC handled guarantees under many schemes</w:t>
      </w:r>
      <w:r w:rsidR="009106AB" w:rsidRPr="00936318">
        <w:rPr>
          <w:lang w:val="en-GB"/>
        </w:rPr>
        <w:t>,</w:t>
      </w:r>
      <w:r w:rsidR="00AA59B7" w:rsidRPr="00936318">
        <w:rPr>
          <w:lang w:val="en-GB"/>
        </w:rPr>
        <w:t xml:space="preserve"> with each scheme having more than 50 such business rules</w:t>
      </w:r>
      <w:r w:rsidRPr="00936318">
        <w:rPr>
          <w:lang w:val="en-GB"/>
        </w:rPr>
        <w:t>. Some of the schemes</w:t>
      </w:r>
      <w:r w:rsidR="009106AB" w:rsidRPr="00936318">
        <w:rPr>
          <w:lang w:val="en-GB"/>
        </w:rPr>
        <w:t>,</w:t>
      </w:r>
      <w:r w:rsidRPr="00936318">
        <w:rPr>
          <w:lang w:val="en-GB"/>
        </w:rPr>
        <w:t xml:space="preserve"> like TPUB-</w:t>
      </w:r>
      <w:proofErr w:type="spellStart"/>
      <w:r w:rsidR="00A222A1" w:rsidRPr="00936318">
        <w:rPr>
          <w:lang w:val="en-GB"/>
        </w:rPr>
        <w:t>i</w:t>
      </w:r>
      <w:proofErr w:type="spellEnd"/>
      <w:r w:rsidR="009106AB" w:rsidRPr="00936318">
        <w:rPr>
          <w:lang w:val="en-GB"/>
        </w:rPr>
        <w:t>,</w:t>
      </w:r>
      <w:r w:rsidRPr="00936318">
        <w:rPr>
          <w:lang w:val="en-GB"/>
        </w:rPr>
        <w:t xml:space="preserve"> were targeted for contractors</w:t>
      </w:r>
      <w:r w:rsidR="003D5F5E" w:rsidRPr="00936318">
        <w:rPr>
          <w:lang w:val="en-GB"/>
        </w:rPr>
        <w:t xml:space="preserve"> employed </w:t>
      </w:r>
      <w:r w:rsidR="009106AB" w:rsidRPr="00936318">
        <w:rPr>
          <w:lang w:val="en-GB"/>
        </w:rPr>
        <w:t xml:space="preserve">in </w:t>
      </w:r>
      <w:r w:rsidRPr="00936318">
        <w:rPr>
          <w:lang w:val="en-GB"/>
        </w:rPr>
        <w:t>Malaysian government companies and other reputed companies. Other schemes were targeted for women</w:t>
      </w:r>
      <w:r w:rsidR="003D5F5E" w:rsidRPr="00936318">
        <w:rPr>
          <w:lang w:val="en-GB"/>
        </w:rPr>
        <w:t>,</w:t>
      </w:r>
      <w:r w:rsidRPr="00936318">
        <w:rPr>
          <w:lang w:val="en-GB"/>
        </w:rPr>
        <w:t xml:space="preserve"> who </w:t>
      </w:r>
      <w:r w:rsidR="003D5F5E" w:rsidRPr="00936318">
        <w:rPr>
          <w:lang w:val="en-GB"/>
        </w:rPr>
        <w:t xml:space="preserve">became entrepreneurs </w:t>
      </w:r>
      <w:r w:rsidR="009106AB" w:rsidRPr="00936318">
        <w:rPr>
          <w:lang w:val="en-GB"/>
        </w:rPr>
        <w:t>with t</w:t>
      </w:r>
      <w:r w:rsidRPr="00936318">
        <w:rPr>
          <w:lang w:val="en-GB"/>
        </w:rPr>
        <w:t>heir own business start-up</w:t>
      </w:r>
      <w:r w:rsidR="00A222A1" w:rsidRPr="00936318">
        <w:rPr>
          <w:lang w:val="en-GB"/>
        </w:rPr>
        <w:t>s</w:t>
      </w:r>
      <w:r w:rsidR="009106AB" w:rsidRPr="00936318">
        <w:rPr>
          <w:lang w:val="en-GB"/>
        </w:rPr>
        <w:t>. Yet o</w:t>
      </w:r>
      <w:r w:rsidRPr="00936318">
        <w:rPr>
          <w:lang w:val="en-GB"/>
        </w:rPr>
        <w:t>ther</w:t>
      </w:r>
      <w:r w:rsidR="009106AB" w:rsidRPr="00936318">
        <w:rPr>
          <w:lang w:val="en-GB"/>
        </w:rPr>
        <w:t>s</w:t>
      </w:r>
      <w:r w:rsidRPr="00936318">
        <w:rPr>
          <w:lang w:val="en-GB"/>
        </w:rPr>
        <w:t xml:space="preserve"> were for companies</w:t>
      </w:r>
      <w:r w:rsidR="009106AB" w:rsidRPr="00936318">
        <w:rPr>
          <w:lang w:val="en-GB"/>
        </w:rPr>
        <w:t xml:space="preserve"> that</w:t>
      </w:r>
      <w:r w:rsidRPr="00936318">
        <w:rPr>
          <w:lang w:val="en-GB"/>
        </w:rPr>
        <w:t xml:space="preserve"> </w:t>
      </w:r>
      <w:r w:rsidR="00E74FA2" w:rsidRPr="00936318">
        <w:rPr>
          <w:lang w:val="en-GB"/>
        </w:rPr>
        <w:t>operated</w:t>
      </w:r>
      <w:r w:rsidRPr="00936318">
        <w:rPr>
          <w:lang w:val="en-GB"/>
        </w:rPr>
        <w:t xml:space="preserve"> in disaster relief scenarios. Each scheme had its own set of rules or eligibility criteria </w:t>
      </w:r>
      <w:r w:rsidR="00E74FA2" w:rsidRPr="00936318">
        <w:rPr>
          <w:lang w:val="en-GB"/>
        </w:rPr>
        <w:t>that</w:t>
      </w:r>
      <w:r w:rsidRPr="00936318">
        <w:rPr>
          <w:lang w:val="en-GB"/>
        </w:rPr>
        <w:t xml:space="preserve"> an applicant </w:t>
      </w:r>
      <w:r w:rsidR="009106AB" w:rsidRPr="00936318">
        <w:rPr>
          <w:lang w:val="en-GB"/>
        </w:rPr>
        <w:t xml:space="preserve">had to </w:t>
      </w:r>
      <w:r w:rsidRPr="00936318">
        <w:rPr>
          <w:lang w:val="en-GB"/>
        </w:rPr>
        <w:t xml:space="preserve">meet to get the guarantee. </w:t>
      </w:r>
    </w:p>
    <w:p w14:paraId="016EEF6E" w14:textId="77777777" w:rsidR="0091294B" w:rsidRPr="00936318" w:rsidRDefault="0091294B" w:rsidP="00C92E99">
      <w:pPr>
        <w:pStyle w:val="BodyTextMain"/>
        <w:rPr>
          <w:lang w:val="en-GB"/>
        </w:rPr>
      </w:pPr>
    </w:p>
    <w:p w14:paraId="17E3FB52" w14:textId="29A06A58" w:rsidR="00B74F56" w:rsidRPr="00936318" w:rsidRDefault="009106AB" w:rsidP="00C92E99">
      <w:pPr>
        <w:pStyle w:val="BodyTextMain"/>
        <w:rPr>
          <w:lang w:val="en-GB"/>
        </w:rPr>
      </w:pPr>
      <w:r w:rsidRPr="00936318">
        <w:rPr>
          <w:lang w:val="en-GB"/>
        </w:rPr>
        <w:t xml:space="preserve">New </w:t>
      </w:r>
      <w:r w:rsidR="00C92E99" w:rsidRPr="00936318">
        <w:rPr>
          <w:lang w:val="en-GB"/>
        </w:rPr>
        <w:t xml:space="preserve">schemes </w:t>
      </w:r>
      <w:r w:rsidR="00237531" w:rsidRPr="00936318">
        <w:rPr>
          <w:lang w:val="en-GB"/>
        </w:rPr>
        <w:t>were developed</w:t>
      </w:r>
      <w:r w:rsidR="00C92E99" w:rsidRPr="00936318">
        <w:rPr>
          <w:lang w:val="en-GB"/>
        </w:rPr>
        <w:t xml:space="preserve"> frequently and old schemes were closed. For this purpose</w:t>
      </w:r>
      <w:r w:rsidR="00237531" w:rsidRPr="00936318">
        <w:rPr>
          <w:lang w:val="en-GB"/>
        </w:rPr>
        <w:t>,</w:t>
      </w:r>
      <w:r w:rsidR="00C92E99" w:rsidRPr="00936318">
        <w:rPr>
          <w:lang w:val="en-GB"/>
        </w:rPr>
        <w:t xml:space="preserve"> CGC had eligibility rules for each scheme in </w:t>
      </w:r>
      <w:r w:rsidR="003E3DF9" w:rsidRPr="00936318">
        <w:rPr>
          <w:lang w:val="en-GB"/>
        </w:rPr>
        <w:t xml:space="preserve">a </w:t>
      </w:r>
      <w:r w:rsidR="00C92E99" w:rsidRPr="00936318">
        <w:rPr>
          <w:lang w:val="en-GB"/>
        </w:rPr>
        <w:t xml:space="preserve">printed </w:t>
      </w:r>
      <w:r w:rsidR="003E3DF9" w:rsidRPr="00936318">
        <w:rPr>
          <w:lang w:val="en-GB"/>
        </w:rPr>
        <w:t xml:space="preserve">checklist </w:t>
      </w:r>
      <w:r w:rsidR="00C92E99" w:rsidRPr="00936318">
        <w:rPr>
          <w:lang w:val="en-GB"/>
        </w:rPr>
        <w:t xml:space="preserve">format. </w:t>
      </w:r>
      <w:r w:rsidR="003E3DF9" w:rsidRPr="00936318">
        <w:rPr>
          <w:lang w:val="en-GB"/>
        </w:rPr>
        <w:t>To i</w:t>
      </w:r>
      <w:r w:rsidR="003F2325" w:rsidRPr="00936318">
        <w:rPr>
          <w:lang w:val="en-GB"/>
        </w:rPr>
        <w:t>mplement</w:t>
      </w:r>
      <w:r w:rsidR="003E3DF9" w:rsidRPr="00936318">
        <w:rPr>
          <w:lang w:val="en-GB"/>
        </w:rPr>
        <w:t xml:space="preserve"> </w:t>
      </w:r>
      <w:r w:rsidR="00C92E99" w:rsidRPr="00936318">
        <w:rPr>
          <w:lang w:val="en-GB"/>
        </w:rPr>
        <w:t>a new scheme in the market</w:t>
      </w:r>
      <w:r w:rsidR="003E3DF9" w:rsidRPr="00936318">
        <w:rPr>
          <w:lang w:val="en-GB"/>
        </w:rPr>
        <w:t xml:space="preserve">, CGC </w:t>
      </w:r>
      <w:r w:rsidR="00C92E99" w:rsidRPr="00936318">
        <w:rPr>
          <w:lang w:val="en-GB"/>
        </w:rPr>
        <w:t>would creat</w:t>
      </w:r>
      <w:r w:rsidR="003E3DF9" w:rsidRPr="00936318">
        <w:rPr>
          <w:lang w:val="en-GB"/>
        </w:rPr>
        <w:t>e a new checklist</w:t>
      </w:r>
      <w:r w:rsidR="00C92E99" w:rsidRPr="00936318">
        <w:rPr>
          <w:lang w:val="en-GB"/>
        </w:rPr>
        <w:t xml:space="preserve">. </w:t>
      </w:r>
      <w:r w:rsidR="003F2325" w:rsidRPr="00936318">
        <w:rPr>
          <w:lang w:val="en-GB"/>
        </w:rPr>
        <w:t>Similarly, wh</w:t>
      </w:r>
      <w:r w:rsidR="003E3DF9" w:rsidRPr="00936318">
        <w:rPr>
          <w:lang w:val="en-GB"/>
        </w:rPr>
        <w:t xml:space="preserve">en </w:t>
      </w:r>
      <w:r w:rsidR="003F2325" w:rsidRPr="00936318">
        <w:rPr>
          <w:lang w:val="en-GB"/>
        </w:rPr>
        <w:t>discontinuing</w:t>
      </w:r>
      <w:r w:rsidR="00C92E99" w:rsidRPr="00936318">
        <w:rPr>
          <w:lang w:val="en-GB"/>
        </w:rPr>
        <w:t xml:space="preserve"> an old scheme</w:t>
      </w:r>
      <w:r w:rsidR="003F2325" w:rsidRPr="00936318">
        <w:rPr>
          <w:lang w:val="en-GB"/>
        </w:rPr>
        <w:t>,</w:t>
      </w:r>
      <w:r w:rsidR="00C92E99" w:rsidRPr="00936318">
        <w:rPr>
          <w:lang w:val="en-GB"/>
        </w:rPr>
        <w:t xml:space="preserve"> the</w:t>
      </w:r>
      <w:r w:rsidR="00B74F56" w:rsidRPr="00936318">
        <w:rPr>
          <w:lang w:val="en-GB"/>
        </w:rPr>
        <w:t xml:space="preserve"> customer relationship management</w:t>
      </w:r>
      <w:r w:rsidR="00C92E99" w:rsidRPr="00936318">
        <w:rPr>
          <w:lang w:val="en-GB"/>
        </w:rPr>
        <w:t xml:space="preserve"> vendor would be asked to disallow th</w:t>
      </w:r>
      <w:r w:rsidR="003F2325" w:rsidRPr="00936318">
        <w:rPr>
          <w:lang w:val="en-GB"/>
        </w:rPr>
        <w:t>e options related to that</w:t>
      </w:r>
      <w:r w:rsidR="00C92E99" w:rsidRPr="00936318">
        <w:rPr>
          <w:lang w:val="en-GB"/>
        </w:rPr>
        <w:t xml:space="preserve"> scheme</w:t>
      </w:r>
      <w:r w:rsidR="003F2325" w:rsidRPr="00936318">
        <w:rPr>
          <w:lang w:val="en-GB"/>
        </w:rPr>
        <w:t>.</w:t>
      </w:r>
      <w:r w:rsidR="00C92E99" w:rsidRPr="00936318">
        <w:rPr>
          <w:lang w:val="en-GB"/>
        </w:rPr>
        <w:t xml:space="preserve"> For updat</w:t>
      </w:r>
      <w:r w:rsidR="00434C78" w:rsidRPr="00936318">
        <w:rPr>
          <w:lang w:val="en-GB"/>
        </w:rPr>
        <w:t>ing</w:t>
      </w:r>
      <w:r w:rsidR="00C92E99" w:rsidRPr="00936318">
        <w:rPr>
          <w:lang w:val="en-GB"/>
        </w:rPr>
        <w:t xml:space="preserve"> an existing scheme, the checklist was just updated and handed to all the team members. </w:t>
      </w:r>
    </w:p>
    <w:p w14:paraId="0315E6B4" w14:textId="13034E39" w:rsidR="00C92E99" w:rsidRPr="00936318" w:rsidRDefault="00C92E99" w:rsidP="00C92E99">
      <w:pPr>
        <w:pStyle w:val="BodyTextMain"/>
        <w:rPr>
          <w:lang w:val="en-GB"/>
        </w:rPr>
      </w:pPr>
      <w:r w:rsidRPr="00936318">
        <w:rPr>
          <w:lang w:val="en-GB"/>
        </w:rPr>
        <w:lastRenderedPageBreak/>
        <w:t xml:space="preserve">This system </w:t>
      </w:r>
      <w:r w:rsidR="003E3DF9" w:rsidRPr="00936318">
        <w:rPr>
          <w:lang w:val="en-GB"/>
        </w:rPr>
        <w:t xml:space="preserve">had </w:t>
      </w:r>
      <w:r w:rsidRPr="00936318">
        <w:rPr>
          <w:lang w:val="en-GB"/>
        </w:rPr>
        <w:t xml:space="preserve">worked fine in the </w:t>
      </w:r>
      <w:r w:rsidR="00A21FAB" w:rsidRPr="00936318">
        <w:rPr>
          <w:lang w:val="en-GB"/>
        </w:rPr>
        <w:t>past;</w:t>
      </w:r>
      <w:r w:rsidR="00063379" w:rsidRPr="00936318">
        <w:rPr>
          <w:lang w:val="en-GB"/>
        </w:rPr>
        <w:t xml:space="preserve"> however, with the inclusion of the</w:t>
      </w:r>
      <w:r w:rsidRPr="00936318">
        <w:rPr>
          <w:lang w:val="en-GB"/>
        </w:rPr>
        <w:t xml:space="preserve"> new </w:t>
      </w:r>
      <w:r w:rsidR="00A222A1" w:rsidRPr="00936318">
        <w:rPr>
          <w:lang w:val="en-GB"/>
        </w:rPr>
        <w:t>direct-</w:t>
      </w:r>
      <w:r w:rsidR="003E3DF9" w:rsidRPr="00936318">
        <w:rPr>
          <w:lang w:val="en-GB"/>
        </w:rPr>
        <w:t>l</w:t>
      </w:r>
      <w:r w:rsidRPr="00936318">
        <w:rPr>
          <w:lang w:val="en-GB"/>
        </w:rPr>
        <w:t xml:space="preserve">ending </w:t>
      </w:r>
      <w:r w:rsidR="003E3DF9" w:rsidRPr="00936318">
        <w:rPr>
          <w:lang w:val="en-GB"/>
        </w:rPr>
        <w:t>p</w:t>
      </w:r>
      <w:r w:rsidRPr="00936318">
        <w:rPr>
          <w:lang w:val="en-GB"/>
        </w:rPr>
        <w:t>roducts</w:t>
      </w:r>
      <w:r w:rsidR="00063379" w:rsidRPr="00936318">
        <w:rPr>
          <w:lang w:val="en-GB"/>
        </w:rPr>
        <w:t xml:space="preserve">, many problems </w:t>
      </w:r>
      <w:r w:rsidR="003E3DF9" w:rsidRPr="00936318">
        <w:rPr>
          <w:lang w:val="en-GB"/>
        </w:rPr>
        <w:t>had cropped up</w:t>
      </w:r>
      <w:r w:rsidRPr="00936318">
        <w:rPr>
          <w:lang w:val="en-GB"/>
        </w:rPr>
        <w:t>. CGC was looking for a computer</w:t>
      </w:r>
      <w:r w:rsidR="00063379" w:rsidRPr="00936318">
        <w:rPr>
          <w:lang w:val="en-GB"/>
        </w:rPr>
        <w:t>-</w:t>
      </w:r>
      <w:r w:rsidRPr="00936318">
        <w:rPr>
          <w:lang w:val="en-GB"/>
        </w:rPr>
        <w:t xml:space="preserve">based tool to help manage </w:t>
      </w:r>
      <w:r w:rsidR="003E3DF9" w:rsidRPr="00936318">
        <w:rPr>
          <w:lang w:val="en-GB"/>
        </w:rPr>
        <w:t>its</w:t>
      </w:r>
      <w:r w:rsidRPr="00936318">
        <w:rPr>
          <w:lang w:val="en-GB"/>
        </w:rPr>
        <w:t xml:space="preserve"> business rules </w:t>
      </w:r>
      <w:r w:rsidR="00B74F56" w:rsidRPr="00936318">
        <w:rPr>
          <w:lang w:val="en-GB"/>
        </w:rPr>
        <w:t xml:space="preserve">in </w:t>
      </w:r>
      <w:r w:rsidRPr="00936318">
        <w:rPr>
          <w:lang w:val="en-GB"/>
        </w:rPr>
        <w:t xml:space="preserve">a single place. CGC’s </w:t>
      </w:r>
      <w:r w:rsidR="00A222A1" w:rsidRPr="00936318">
        <w:rPr>
          <w:lang w:val="en-GB"/>
        </w:rPr>
        <w:t>information technology (</w:t>
      </w:r>
      <w:r w:rsidRPr="00936318">
        <w:rPr>
          <w:lang w:val="en-GB"/>
        </w:rPr>
        <w:t>IT</w:t>
      </w:r>
      <w:r w:rsidR="00A222A1" w:rsidRPr="00936318">
        <w:rPr>
          <w:lang w:val="en-GB"/>
        </w:rPr>
        <w:t>)</w:t>
      </w:r>
      <w:r w:rsidRPr="00936318">
        <w:rPr>
          <w:lang w:val="en-GB"/>
        </w:rPr>
        <w:t xml:space="preserve"> personnel </w:t>
      </w:r>
      <w:r w:rsidR="00A21FAB" w:rsidRPr="00936318">
        <w:rPr>
          <w:lang w:val="en-GB"/>
        </w:rPr>
        <w:t>were</w:t>
      </w:r>
      <w:r w:rsidRPr="00936318">
        <w:rPr>
          <w:lang w:val="en-GB"/>
        </w:rPr>
        <w:t xml:space="preserve"> </w:t>
      </w:r>
      <w:r w:rsidR="00D41C08" w:rsidRPr="00936318">
        <w:rPr>
          <w:lang w:val="en-GB"/>
        </w:rPr>
        <w:t xml:space="preserve">the </w:t>
      </w:r>
      <w:r w:rsidRPr="00936318">
        <w:rPr>
          <w:lang w:val="en-GB"/>
        </w:rPr>
        <w:t xml:space="preserve">only support staff, </w:t>
      </w:r>
      <w:r w:rsidR="00D41C08" w:rsidRPr="00936318">
        <w:rPr>
          <w:lang w:val="en-GB"/>
        </w:rPr>
        <w:t xml:space="preserve">so </w:t>
      </w:r>
      <w:r w:rsidRPr="00936318">
        <w:rPr>
          <w:lang w:val="en-GB"/>
        </w:rPr>
        <w:t>they did not have much technical knowledge</w:t>
      </w:r>
      <w:r w:rsidR="00D41C08" w:rsidRPr="00936318">
        <w:rPr>
          <w:lang w:val="en-GB"/>
        </w:rPr>
        <w:t xml:space="preserve"> or </w:t>
      </w:r>
      <w:r w:rsidRPr="00936318">
        <w:rPr>
          <w:lang w:val="en-GB"/>
        </w:rPr>
        <w:t xml:space="preserve">skill to perform </w:t>
      </w:r>
      <w:r w:rsidR="00D41C08" w:rsidRPr="00936318">
        <w:rPr>
          <w:lang w:val="en-GB"/>
        </w:rPr>
        <w:t xml:space="preserve">the required changes in the </w:t>
      </w:r>
      <w:r w:rsidRPr="00936318">
        <w:rPr>
          <w:lang w:val="en-GB"/>
        </w:rPr>
        <w:t>system</w:t>
      </w:r>
      <w:r w:rsidR="00D41C08" w:rsidRPr="00936318">
        <w:rPr>
          <w:lang w:val="en-GB"/>
        </w:rPr>
        <w:t>.</w:t>
      </w:r>
      <w:r w:rsidRPr="00936318">
        <w:rPr>
          <w:lang w:val="en-GB"/>
        </w:rPr>
        <w:t xml:space="preserve"> </w:t>
      </w:r>
      <w:r w:rsidR="003E3DF9" w:rsidRPr="00936318">
        <w:rPr>
          <w:lang w:val="en-GB"/>
        </w:rPr>
        <w:t>Previously,</w:t>
      </w:r>
      <w:r w:rsidR="00A56B5D" w:rsidRPr="00936318">
        <w:rPr>
          <w:lang w:val="en-GB"/>
        </w:rPr>
        <w:t xml:space="preserve"> in most cases, </w:t>
      </w:r>
      <w:r w:rsidR="003E3DF9" w:rsidRPr="00936318">
        <w:rPr>
          <w:lang w:val="en-GB"/>
        </w:rPr>
        <w:t>CGC</w:t>
      </w:r>
      <w:r w:rsidRPr="00936318">
        <w:rPr>
          <w:lang w:val="en-GB"/>
        </w:rPr>
        <w:t xml:space="preserve"> </w:t>
      </w:r>
      <w:r w:rsidR="003E3DF9" w:rsidRPr="00936318">
        <w:rPr>
          <w:lang w:val="en-GB"/>
        </w:rPr>
        <w:t xml:space="preserve">had </w:t>
      </w:r>
      <w:r w:rsidRPr="00936318">
        <w:rPr>
          <w:lang w:val="en-GB"/>
        </w:rPr>
        <w:t>hire</w:t>
      </w:r>
      <w:r w:rsidR="00A56B5D" w:rsidRPr="00936318">
        <w:rPr>
          <w:lang w:val="en-GB"/>
        </w:rPr>
        <w:t>d</w:t>
      </w:r>
      <w:r w:rsidRPr="00936318">
        <w:rPr>
          <w:lang w:val="en-GB"/>
        </w:rPr>
        <w:t xml:space="preserve"> vendors for any IT</w:t>
      </w:r>
      <w:r w:rsidR="003E3DF9" w:rsidRPr="00936318">
        <w:rPr>
          <w:lang w:val="en-GB"/>
        </w:rPr>
        <w:t>-</w:t>
      </w:r>
      <w:r w:rsidRPr="00936318">
        <w:rPr>
          <w:lang w:val="en-GB"/>
        </w:rPr>
        <w:t>related task</w:t>
      </w:r>
      <w:r w:rsidR="00A222A1" w:rsidRPr="00936318">
        <w:rPr>
          <w:lang w:val="en-GB"/>
        </w:rPr>
        <w:t>s</w:t>
      </w:r>
      <w:r w:rsidRPr="00936318">
        <w:rPr>
          <w:lang w:val="en-GB"/>
        </w:rPr>
        <w:t xml:space="preserve">, but </w:t>
      </w:r>
      <w:r w:rsidR="003E3DF9" w:rsidRPr="00936318">
        <w:rPr>
          <w:lang w:val="en-GB"/>
        </w:rPr>
        <w:t>with</w:t>
      </w:r>
      <w:r w:rsidR="00A56B5D" w:rsidRPr="00936318">
        <w:rPr>
          <w:lang w:val="en-GB"/>
        </w:rPr>
        <w:t xml:space="preserve"> this business initiative,</w:t>
      </w:r>
      <w:r w:rsidR="003E3DF9" w:rsidRPr="00936318">
        <w:rPr>
          <w:lang w:val="en-GB"/>
        </w:rPr>
        <w:t xml:space="preserve"> it </w:t>
      </w:r>
      <w:r w:rsidRPr="00936318">
        <w:rPr>
          <w:lang w:val="en-GB"/>
        </w:rPr>
        <w:t>wanted to handle all its business rules and strategies in</w:t>
      </w:r>
      <w:r w:rsidR="00A222A1" w:rsidRPr="00936318">
        <w:rPr>
          <w:lang w:val="en-GB"/>
        </w:rPr>
        <w:t xml:space="preserve"> </w:t>
      </w:r>
      <w:r w:rsidRPr="00936318">
        <w:rPr>
          <w:lang w:val="en-GB"/>
        </w:rPr>
        <w:t xml:space="preserve">house. </w:t>
      </w:r>
      <w:r w:rsidR="00A56B5D" w:rsidRPr="00936318">
        <w:rPr>
          <w:lang w:val="en-GB"/>
        </w:rPr>
        <w:t>Therefore,</w:t>
      </w:r>
      <w:r w:rsidRPr="00936318">
        <w:rPr>
          <w:lang w:val="en-GB"/>
        </w:rPr>
        <w:t xml:space="preserve"> the tool </w:t>
      </w:r>
      <w:r w:rsidR="003E3DF9" w:rsidRPr="00936318">
        <w:rPr>
          <w:lang w:val="en-GB"/>
        </w:rPr>
        <w:t>had to</w:t>
      </w:r>
      <w:r w:rsidRPr="00936318">
        <w:rPr>
          <w:lang w:val="en-GB"/>
        </w:rPr>
        <w:t xml:space="preserve"> </w:t>
      </w:r>
      <w:r w:rsidR="003E3DF9" w:rsidRPr="00936318">
        <w:rPr>
          <w:lang w:val="en-GB"/>
        </w:rPr>
        <w:t xml:space="preserve">be </w:t>
      </w:r>
      <w:r w:rsidR="00A222A1" w:rsidRPr="00936318">
        <w:rPr>
          <w:lang w:val="en-GB"/>
        </w:rPr>
        <w:t xml:space="preserve">not only </w:t>
      </w:r>
      <w:r w:rsidR="003E3DF9" w:rsidRPr="00936318">
        <w:rPr>
          <w:lang w:val="en-GB"/>
        </w:rPr>
        <w:t xml:space="preserve">capable of </w:t>
      </w:r>
      <w:r w:rsidRPr="00936318">
        <w:rPr>
          <w:lang w:val="en-GB"/>
        </w:rPr>
        <w:t>modify</w:t>
      </w:r>
      <w:r w:rsidR="00A56B5D" w:rsidRPr="00936318">
        <w:rPr>
          <w:lang w:val="en-GB"/>
        </w:rPr>
        <w:t>ing</w:t>
      </w:r>
      <w:r w:rsidRPr="00936318">
        <w:rPr>
          <w:lang w:val="en-GB"/>
        </w:rPr>
        <w:t xml:space="preserve"> business rules </w:t>
      </w:r>
      <w:r w:rsidR="003E3DF9" w:rsidRPr="00936318">
        <w:rPr>
          <w:lang w:val="en-GB"/>
        </w:rPr>
        <w:t xml:space="preserve">quickly </w:t>
      </w:r>
      <w:r w:rsidRPr="00936318">
        <w:rPr>
          <w:lang w:val="en-GB"/>
        </w:rPr>
        <w:t xml:space="preserve">but also easy enough to be used directly by business users with little or no IT support. </w:t>
      </w:r>
    </w:p>
    <w:p w14:paraId="7A4040AC" w14:textId="77777777" w:rsidR="00C92E99" w:rsidRPr="00936318" w:rsidRDefault="00C92E99" w:rsidP="00C92E99">
      <w:pPr>
        <w:pStyle w:val="BodyTextMain"/>
        <w:rPr>
          <w:lang w:val="en-GB"/>
        </w:rPr>
      </w:pPr>
    </w:p>
    <w:p w14:paraId="0DFDEE4E" w14:textId="77777777" w:rsidR="00C92E99" w:rsidRPr="00936318" w:rsidRDefault="00C92E99" w:rsidP="00C92E99">
      <w:pPr>
        <w:pStyle w:val="BodyTextMain"/>
        <w:rPr>
          <w:lang w:val="en-GB"/>
        </w:rPr>
      </w:pPr>
    </w:p>
    <w:p w14:paraId="61ABD0D2" w14:textId="77777777" w:rsidR="00C92E99" w:rsidRPr="00936318" w:rsidRDefault="00C92E99" w:rsidP="00C92E99">
      <w:pPr>
        <w:pStyle w:val="Casehead1"/>
        <w:rPr>
          <w:caps w:val="0"/>
          <w:lang w:val="en-GB"/>
        </w:rPr>
      </w:pPr>
      <w:r w:rsidRPr="00936318">
        <w:rPr>
          <w:caps w:val="0"/>
          <w:lang w:val="en-GB"/>
        </w:rPr>
        <w:t xml:space="preserve">Lack of Automation </w:t>
      </w:r>
    </w:p>
    <w:p w14:paraId="1776E1C2" w14:textId="77777777" w:rsidR="00C92E99" w:rsidRPr="00936318" w:rsidRDefault="00C92E99" w:rsidP="00C92E99">
      <w:pPr>
        <w:pStyle w:val="BodyTextMain"/>
        <w:rPr>
          <w:lang w:val="en-GB"/>
        </w:rPr>
      </w:pPr>
    </w:p>
    <w:p w14:paraId="46BF7E4F" w14:textId="2FAE6BCB" w:rsidR="007924D1" w:rsidRPr="00936318" w:rsidRDefault="007924D1" w:rsidP="00C92E99">
      <w:pPr>
        <w:pStyle w:val="BodyTextMain"/>
        <w:rPr>
          <w:lang w:val="en-GB"/>
        </w:rPr>
      </w:pPr>
      <w:r w:rsidRPr="00936318">
        <w:rPr>
          <w:lang w:val="en-GB"/>
        </w:rPr>
        <w:t xml:space="preserve">Since CGC </w:t>
      </w:r>
      <w:r w:rsidR="00C55E2F" w:rsidRPr="00936318">
        <w:rPr>
          <w:lang w:val="en-GB"/>
        </w:rPr>
        <w:t xml:space="preserve">did </w:t>
      </w:r>
      <w:r w:rsidRPr="00936318">
        <w:rPr>
          <w:lang w:val="en-GB"/>
        </w:rPr>
        <w:t xml:space="preserve">business in different parts of the country, the end user interface was automated. </w:t>
      </w:r>
      <w:r w:rsidR="00C55E2F" w:rsidRPr="00936318">
        <w:rPr>
          <w:lang w:val="en-GB"/>
        </w:rPr>
        <w:t>A</w:t>
      </w:r>
      <w:r w:rsidRPr="00936318">
        <w:rPr>
          <w:lang w:val="en-GB"/>
        </w:rPr>
        <w:t>ll the data from the customer level were captured in computer</w:t>
      </w:r>
      <w:r w:rsidR="00B42817" w:rsidRPr="00936318">
        <w:rPr>
          <w:lang w:val="en-GB"/>
        </w:rPr>
        <w:t>-</w:t>
      </w:r>
      <w:r w:rsidRPr="00936318">
        <w:rPr>
          <w:lang w:val="en-GB"/>
        </w:rPr>
        <w:t xml:space="preserve">based online forms </w:t>
      </w:r>
      <w:r w:rsidR="00B42817" w:rsidRPr="00936318">
        <w:rPr>
          <w:lang w:val="en-GB"/>
        </w:rPr>
        <w:t>at</w:t>
      </w:r>
      <w:r w:rsidRPr="00936318">
        <w:rPr>
          <w:lang w:val="en-GB"/>
        </w:rPr>
        <w:t xml:space="preserve"> different branches. </w:t>
      </w:r>
      <w:r w:rsidR="00C55E2F" w:rsidRPr="00936318">
        <w:rPr>
          <w:lang w:val="en-GB"/>
        </w:rPr>
        <w:t>T</w:t>
      </w:r>
      <w:r w:rsidRPr="00936318">
        <w:rPr>
          <w:lang w:val="en-GB"/>
        </w:rPr>
        <w:t xml:space="preserve">he </w:t>
      </w:r>
      <w:r w:rsidR="003C2AC6" w:rsidRPr="00936318">
        <w:rPr>
          <w:lang w:val="en-GB"/>
        </w:rPr>
        <w:t>c</w:t>
      </w:r>
      <w:r w:rsidRPr="00936318">
        <w:rPr>
          <w:lang w:val="en-GB"/>
        </w:rPr>
        <w:t xml:space="preserve">redit </w:t>
      </w:r>
      <w:r w:rsidR="003C2AC6" w:rsidRPr="00936318">
        <w:rPr>
          <w:lang w:val="en-GB"/>
        </w:rPr>
        <w:t>d</w:t>
      </w:r>
      <w:r w:rsidRPr="00936318">
        <w:rPr>
          <w:lang w:val="en-GB"/>
        </w:rPr>
        <w:t>epartment</w:t>
      </w:r>
      <w:r w:rsidR="00C55E2F" w:rsidRPr="00936318">
        <w:rPr>
          <w:lang w:val="en-GB"/>
        </w:rPr>
        <w:t xml:space="preserve"> was responsible for</w:t>
      </w:r>
      <w:r w:rsidRPr="00936318">
        <w:rPr>
          <w:lang w:val="en-GB"/>
        </w:rPr>
        <w:t xml:space="preserve"> collat</w:t>
      </w:r>
      <w:r w:rsidR="00C55E2F" w:rsidRPr="00936318">
        <w:rPr>
          <w:lang w:val="en-GB"/>
        </w:rPr>
        <w:t>ing</w:t>
      </w:r>
      <w:r w:rsidRPr="00936318">
        <w:rPr>
          <w:lang w:val="en-GB"/>
        </w:rPr>
        <w:t xml:space="preserve"> and hand</w:t>
      </w:r>
      <w:r w:rsidR="00C55E2F" w:rsidRPr="00936318">
        <w:rPr>
          <w:lang w:val="en-GB"/>
        </w:rPr>
        <w:t xml:space="preserve">ing </w:t>
      </w:r>
      <w:r w:rsidRPr="00936318">
        <w:rPr>
          <w:lang w:val="en-GB"/>
        </w:rPr>
        <w:t xml:space="preserve">over </w:t>
      </w:r>
      <w:r w:rsidR="00C55E2F" w:rsidRPr="00936318">
        <w:rPr>
          <w:lang w:val="en-GB"/>
        </w:rPr>
        <w:t xml:space="preserve">data </w:t>
      </w:r>
      <w:r w:rsidRPr="00936318">
        <w:rPr>
          <w:lang w:val="en-GB"/>
        </w:rPr>
        <w:t xml:space="preserve">to the </w:t>
      </w:r>
      <w:r w:rsidR="003C2AC6" w:rsidRPr="00936318">
        <w:rPr>
          <w:lang w:val="en-GB"/>
        </w:rPr>
        <w:t>r</w:t>
      </w:r>
      <w:r w:rsidRPr="00936318">
        <w:rPr>
          <w:lang w:val="en-GB"/>
        </w:rPr>
        <w:t xml:space="preserve">isk </w:t>
      </w:r>
      <w:r w:rsidR="003C2AC6" w:rsidRPr="00936318">
        <w:rPr>
          <w:lang w:val="en-GB"/>
        </w:rPr>
        <w:t>d</w:t>
      </w:r>
      <w:r w:rsidRPr="00936318">
        <w:rPr>
          <w:lang w:val="en-GB"/>
        </w:rPr>
        <w:t xml:space="preserve">epartment for onward processing of application forms. </w:t>
      </w:r>
      <w:r w:rsidR="00DB1AC6" w:rsidRPr="00936318">
        <w:rPr>
          <w:lang w:val="en-GB"/>
        </w:rPr>
        <w:t>Here</w:t>
      </w:r>
      <w:r w:rsidR="00C55E2F" w:rsidRPr="00936318">
        <w:rPr>
          <w:lang w:val="en-GB"/>
        </w:rPr>
        <w:t>,</w:t>
      </w:r>
      <w:r w:rsidR="00DB1AC6" w:rsidRPr="00936318">
        <w:rPr>
          <w:lang w:val="en-GB"/>
        </w:rPr>
        <w:t xml:space="preserve"> all the data on the client w</w:t>
      </w:r>
      <w:r w:rsidR="00725D9C" w:rsidRPr="00936318">
        <w:rPr>
          <w:lang w:val="en-GB"/>
        </w:rPr>
        <w:t>ere</w:t>
      </w:r>
      <w:r w:rsidR="00DB1AC6" w:rsidRPr="00936318">
        <w:rPr>
          <w:lang w:val="en-GB"/>
        </w:rPr>
        <w:t xml:space="preserve"> keyed in and later sent to CGC’s </w:t>
      </w:r>
      <w:r w:rsidR="006717AA" w:rsidRPr="00936318">
        <w:rPr>
          <w:lang w:val="en-GB"/>
        </w:rPr>
        <w:t>r</w:t>
      </w:r>
      <w:r w:rsidR="00DB1AC6" w:rsidRPr="00936318">
        <w:rPr>
          <w:lang w:val="en-GB"/>
        </w:rPr>
        <w:t>isk team for analysis. Th</w:t>
      </w:r>
      <w:r w:rsidR="00B74F56" w:rsidRPr="00936318">
        <w:rPr>
          <w:lang w:val="en-GB"/>
        </w:rPr>
        <w:t xml:space="preserve">e </w:t>
      </w:r>
      <w:r w:rsidR="00DB1AC6" w:rsidRPr="00936318">
        <w:rPr>
          <w:lang w:val="en-GB"/>
        </w:rPr>
        <w:t>data w</w:t>
      </w:r>
      <w:r w:rsidR="00B74F56" w:rsidRPr="00936318">
        <w:rPr>
          <w:lang w:val="en-GB"/>
        </w:rPr>
        <w:t>ere</w:t>
      </w:r>
      <w:r w:rsidR="00DB1AC6" w:rsidRPr="00936318">
        <w:rPr>
          <w:lang w:val="en-GB"/>
        </w:rPr>
        <w:t xml:space="preserve"> then printed on paper</w:t>
      </w:r>
      <w:r w:rsidR="00C55E2F" w:rsidRPr="00936318">
        <w:rPr>
          <w:lang w:val="en-GB"/>
        </w:rPr>
        <w:t>,</w:t>
      </w:r>
      <w:r w:rsidR="00DB1AC6" w:rsidRPr="00936318">
        <w:rPr>
          <w:lang w:val="en-GB"/>
        </w:rPr>
        <w:t xml:space="preserve"> and </w:t>
      </w:r>
      <w:r w:rsidR="00635095" w:rsidRPr="00936318">
        <w:rPr>
          <w:lang w:val="en-GB"/>
        </w:rPr>
        <w:t>the</w:t>
      </w:r>
      <w:r w:rsidR="00DB1AC6" w:rsidRPr="00936318">
        <w:rPr>
          <w:lang w:val="en-GB"/>
        </w:rPr>
        <w:t xml:space="preserve"> individual </w:t>
      </w:r>
      <w:r w:rsidR="006717AA" w:rsidRPr="00936318">
        <w:rPr>
          <w:lang w:val="en-GB"/>
        </w:rPr>
        <w:t>r</w:t>
      </w:r>
      <w:r w:rsidR="00DB1AC6" w:rsidRPr="00936318">
        <w:rPr>
          <w:lang w:val="en-GB"/>
        </w:rPr>
        <w:t xml:space="preserve">isk </w:t>
      </w:r>
      <w:r w:rsidR="006717AA" w:rsidRPr="00936318">
        <w:rPr>
          <w:lang w:val="en-GB"/>
        </w:rPr>
        <w:t>t</w:t>
      </w:r>
      <w:r w:rsidR="00DB1AC6" w:rsidRPr="00936318">
        <w:rPr>
          <w:lang w:val="en-GB"/>
        </w:rPr>
        <w:t>eam members</w:t>
      </w:r>
      <w:r w:rsidR="00635095" w:rsidRPr="00936318">
        <w:rPr>
          <w:lang w:val="en-GB"/>
        </w:rPr>
        <w:t xml:space="preserve"> examined</w:t>
      </w:r>
      <w:r w:rsidR="00DB1AC6" w:rsidRPr="00936318">
        <w:rPr>
          <w:lang w:val="en-GB"/>
        </w:rPr>
        <w:t xml:space="preserve"> </w:t>
      </w:r>
      <w:r w:rsidR="00C55E2F" w:rsidRPr="00936318">
        <w:rPr>
          <w:lang w:val="en-GB"/>
        </w:rPr>
        <w:t xml:space="preserve">and </w:t>
      </w:r>
      <w:r w:rsidR="00DB1AC6" w:rsidRPr="00936318">
        <w:rPr>
          <w:lang w:val="en-GB"/>
        </w:rPr>
        <w:t>match</w:t>
      </w:r>
      <w:r w:rsidR="00C55E2F" w:rsidRPr="00936318">
        <w:rPr>
          <w:lang w:val="en-GB"/>
        </w:rPr>
        <w:t>ed</w:t>
      </w:r>
      <w:r w:rsidR="00635095" w:rsidRPr="00936318">
        <w:rPr>
          <w:lang w:val="en-GB"/>
        </w:rPr>
        <w:t xml:space="preserve"> </w:t>
      </w:r>
      <w:r w:rsidR="00B74F56" w:rsidRPr="00936318">
        <w:rPr>
          <w:lang w:val="en-GB"/>
        </w:rPr>
        <w:t>the data</w:t>
      </w:r>
      <w:r w:rsidR="00635095" w:rsidRPr="00936318">
        <w:rPr>
          <w:lang w:val="en-GB"/>
        </w:rPr>
        <w:t xml:space="preserve"> with</w:t>
      </w:r>
      <w:r w:rsidR="00DB1AC6" w:rsidRPr="00936318">
        <w:rPr>
          <w:lang w:val="en-GB"/>
        </w:rPr>
        <w:t xml:space="preserve"> the eligibility criteria </w:t>
      </w:r>
      <w:r w:rsidR="00635095" w:rsidRPr="00936318">
        <w:rPr>
          <w:lang w:val="en-GB"/>
        </w:rPr>
        <w:t>of</w:t>
      </w:r>
      <w:r w:rsidR="00DB1AC6" w:rsidRPr="00936318">
        <w:rPr>
          <w:lang w:val="en-GB"/>
        </w:rPr>
        <w:t xml:space="preserve"> the scheme </w:t>
      </w:r>
      <w:r w:rsidR="00635095" w:rsidRPr="00936318">
        <w:rPr>
          <w:lang w:val="en-GB"/>
        </w:rPr>
        <w:t xml:space="preserve">to be </w:t>
      </w:r>
      <w:r w:rsidR="00DB1AC6" w:rsidRPr="00936318">
        <w:rPr>
          <w:lang w:val="en-GB"/>
        </w:rPr>
        <w:t>applied</w:t>
      </w:r>
      <w:r w:rsidR="00635095" w:rsidRPr="00936318">
        <w:rPr>
          <w:lang w:val="en-GB"/>
        </w:rPr>
        <w:t>.</w:t>
      </w:r>
      <w:r w:rsidR="00DB1AC6" w:rsidRPr="00936318">
        <w:rPr>
          <w:lang w:val="en-GB"/>
        </w:rPr>
        <w:t xml:space="preserve"> </w:t>
      </w:r>
      <w:r w:rsidRPr="00936318">
        <w:rPr>
          <w:lang w:val="en-GB"/>
        </w:rPr>
        <w:t xml:space="preserve">The </w:t>
      </w:r>
      <w:r w:rsidR="003C2AC6" w:rsidRPr="00936318">
        <w:rPr>
          <w:lang w:val="en-GB"/>
        </w:rPr>
        <w:t>r</w:t>
      </w:r>
      <w:r w:rsidRPr="00936318">
        <w:rPr>
          <w:lang w:val="en-GB"/>
        </w:rPr>
        <w:t xml:space="preserve">isk </w:t>
      </w:r>
      <w:r w:rsidR="003C2AC6" w:rsidRPr="00936318">
        <w:rPr>
          <w:lang w:val="en-GB"/>
        </w:rPr>
        <w:t>d</w:t>
      </w:r>
      <w:r w:rsidRPr="00936318">
        <w:rPr>
          <w:lang w:val="en-GB"/>
        </w:rPr>
        <w:t xml:space="preserve">epartment </w:t>
      </w:r>
      <w:proofErr w:type="spellStart"/>
      <w:r w:rsidRPr="00936318">
        <w:rPr>
          <w:lang w:val="en-GB"/>
        </w:rPr>
        <w:t>analyze</w:t>
      </w:r>
      <w:r w:rsidR="00C55E2F" w:rsidRPr="00936318">
        <w:rPr>
          <w:lang w:val="en-GB"/>
        </w:rPr>
        <w:t>d</w:t>
      </w:r>
      <w:proofErr w:type="spellEnd"/>
      <w:r w:rsidRPr="00936318">
        <w:rPr>
          <w:lang w:val="en-GB"/>
        </w:rPr>
        <w:t xml:space="preserve"> th</w:t>
      </w:r>
      <w:r w:rsidR="00C55E2F" w:rsidRPr="00936318">
        <w:rPr>
          <w:lang w:val="en-GB"/>
        </w:rPr>
        <w:t>e</w:t>
      </w:r>
      <w:r w:rsidRPr="00936318">
        <w:rPr>
          <w:lang w:val="en-GB"/>
        </w:rPr>
        <w:t xml:space="preserve"> data </w:t>
      </w:r>
      <w:r w:rsidR="00C55E2F" w:rsidRPr="00936318">
        <w:rPr>
          <w:lang w:val="en-GB"/>
        </w:rPr>
        <w:t xml:space="preserve">in accordance with </w:t>
      </w:r>
      <w:r w:rsidRPr="00936318">
        <w:rPr>
          <w:lang w:val="en-GB"/>
        </w:rPr>
        <w:t>policy and check</w:t>
      </w:r>
      <w:r w:rsidR="00C55E2F" w:rsidRPr="00936318">
        <w:rPr>
          <w:lang w:val="en-GB"/>
        </w:rPr>
        <w:t>ed</w:t>
      </w:r>
      <w:r w:rsidRPr="00936318">
        <w:rPr>
          <w:lang w:val="en-GB"/>
        </w:rPr>
        <w:t xml:space="preserve"> if the loan w</w:t>
      </w:r>
      <w:r w:rsidR="00C55E2F" w:rsidRPr="00936318">
        <w:rPr>
          <w:lang w:val="en-GB"/>
        </w:rPr>
        <w:t>as</w:t>
      </w:r>
      <w:r w:rsidRPr="00936318">
        <w:rPr>
          <w:lang w:val="en-GB"/>
        </w:rPr>
        <w:t xml:space="preserve"> to be authori</w:t>
      </w:r>
      <w:r w:rsidR="00C55E2F" w:rsidRPr="00936318">
        <w:rPr>
          <w:lang w:val="en-GB"/>
        </w:rPr>
        <w:t>z</w:t>
      </w:r>
      <w:r w:rsidRPr="00936318">
        <w:rPr>
          <w:lang w:val="en-GB"/>
        </w:rPr>
        <w:t>ed to the concerned individual</w:t>
      </w:r>
      <w:r w:rsidR="000B69BC" w:rsidRPr="00936318">
        <w:rPr>
          <w:lang w:val="en-GB"/>
        </w:rPr>
        <w:t xml:space="preserve"> or </w:t>
      </w:r>
      <w:r w:rsidRPr="00936318">
        <w:rPr>
          <w:lang w:val="en-GB"/>
        </w:rPr>
        <w:t xml:space="preserve">institution. </w:t>
      </w:r>
    </w:p>
    <w:p w14:paraId="3B5D6455" w14:textId="77777777" w:rsidR="007924D1" w:rsidRPr="00936318" w:rsidRDefault="007924D1" w:rsidP="00C92E99">
      <w:pPr>
        <w:pStyle w:val="BodyTextMain"/>
        <w:rPr>
          <w:lang w:val="en-GB"/>
        </w:rPr>
      </w:pPr>
    </w:p>
    <w:p w14:paraId="08DEDD3C" w14:textId="516A2496" w:rsidR="00C92E99" w:rsidRPr="00936318" w:rsidRDefault="00C92E99" w:rsidP="00C92E99">
      <w:pPr>
        <w:pStyle w:val="BodyTextMain"/>
        <w:rPr>
          <w:lang w:val="en-GB"/>
        </w:rPr>
      </w:pPr>
      <w:r w:rsidRPr="00936318">
        <w:rPr>
          <w:lang w:val="en-GB"/>
        </w:rPr>
        <w:t xml:space="preserve">This </w:t>
      </w:r>
      <w:r w:rsidR="00C55E2F" w:rsidRPr="00936318">
        <w:rPr>
          <w:lang w:val="en-GB"/>
        </w:rPr>
        <w:t xml:space="preserve">process was </w:t>
      </w:r>
      <w:r w:rsidRPr="00936318">
        <w:rPr>
          <w:lang w:val="en-GB"/>
        </w:rPr>
        <w:t>tedious and time</w:t>
      </w:r>
      <w:r w:rsidR="005C01D7" w:rsidRPr="00936318">
        <w:rPr>
          <w:lang w:val="en-GB"/>
        </w:rPr>
        <w:t xml:space="preserve"> </w:t>
      </w:r>
      <w:r w:rsidRPr="00936318">
        <w:rPr>
          <w:lang w:val="en-GB"/>
        </w:rPr>
        <w:t>consuming</w:t>
      </w:r>
      <w:r w:rsidR="00C55E2F" w:rsidRPr="00936318">
        <w:rPr>
          <w:lang w:val="en-GB"/>
        </w:rPr>
        <w:t>,</w:t>
      </w:r>
      <w:r w:rsidRPr="00936318">
        <w:rPr>
          <w:lang w:val="en-GB"/>
        </w:rPr>
        <w:t xml:space="preserve"> as there were many tasks involved </w:t>
      </w:r>
      <w:r w:rsidR="000B69BC" w:rsidRPr="00936318">
        <w:rPr>
          <w:lang w:val="en-GB"/>
        </w:rPr>
        <w:t>in</w:t>
      </w:r>
      <w:r w:rsidRPr="00936318">
        <w:rPr>
          <w:lang w:val="en-GB"/>
        </w:rPr>
        <w:t xml:space="preserve"> evaluat</w:t>
      </w:r>
      <w:r w:rsidR="000B69BC" w:rsidRPr="00936318">
        <w:rPr>
          <w:lang w:val="en-GB"/>
        </w:rPr>
        <w:t>ing</w:t>
      </w:r>
      <w:r w:rsidRPr="00936318">
        <w:rPr>
          <w:lang w:val="en-GB"/>
        </w:rPr>
        <w:t xml:space="preserve"> all the data. Some of the</w:t>
      </w:r>
      <w:r w:rsidR="00C55E2F" w:rsidRPr="00936318">
        <w:rPr>
          <w:lang w:val="en-GB"/>
        </w:rPr>
        <w:t xml:space="preserve"> </w:t>
      </w:r>
      <w:r w:rsidRPr="00936318">
        <w:rPr>
          <w:lang w:val="en-GB"/>
        </w:rPr>
        <w:t>important tasks were</w:t>
      </w:r>
      <w:r w:rsidR="000B69BC" w:rsidRPr="00936318">
        <w:rPr>
          <w:lang w:val="en-GB"/>
        </w:rPr>
        <w:t xml:space="preserve"> associated with</w:t>
      </w:r>
      <w:r w:rsidRPr="00936318">
        <w:rPr>
          <w:lang w:val="en-GB"/>
        </w:rPr>
        <w:t xml:space="preserve"> requesting and assessing bureau data, assessing demographic data</w:t>
      </w:r>
      <w:r w:rsidR="000B69BC" w:rsidRPr="00936318">
        <w:rPr>
          <w:lang w:val="en-GB"/>
        </w:rPr>
        <w:t>,</w:t>
      </w:r>
      <w:r w:rsidRPr="00936318">
        <w:rPr>
          <w:lang w:val="en-GB"/>
        </w:rPr>
        <w:t xml:space="preserve"> and approving authority.</w:t>
      </w:r>
    </w:p>
    <w:p w14:paraId="68D9FDCB" w14:textId="77777777" w:rsidR="00C92E99" w:rsidRPr="00936318" w:rsidRDefault="00C92E99" w:rsidP="00C92E99">
      <w:pPr>
        <w:pStyle w:val="BodyTextMain"/>
        <w:rPr>
          <w:lang w:val="en-GB"/>
        </w:rPr>
      </w:pPr>
    </w:p>
    <w:p w14:paraId="0DEA3B07" w14:textId="700A6029" w:rsidR="00C92E99" w:rsidRPr="00936318" w:rsidRDefault="00C92E99" w:rsidP="00C92E99">
      <w:pPr>
        <w:pStyle w:val="BodyTextMain"/>
        <w:rPr>
          <w:lang w:val="en-GB"/>
        </w:rPr>
      </w:pPr>
      <w:r w:rsidRPr="00936318">
        <w:rPr>
          <w:b/>
          <w:lang w:val="en-GB"/>
        </w:rPr>
        <w:t xml:space="preserve">Requesting and </w:t>
      </w:r>
      <w:r w:rsidR="00C55E2F" w:rsidRPr="00936318">
        <w:rPr>
          <w:b/>
          <w:lang w:val="en-GB"/>
        </w:rPr>
        <w:t>A</w:t>
      </w:r>
      <w:r w:rsidRPr="00936318">
        <w:rPr>
          <w:b/>
          <w:lang w:val="en-GB"/>
        </w:rPr>
        <w:t xml:space="preserve">ssessing </w:t>
      </w:r>
      <w:r w:rsidR="00C55E2F" w:rsidRPr="00936318">
        <w:rPr>
          <w:b/>
          <w:lang w:val="en-GB"/>
        </w:rPr>
        <w:t>B</w:t>
      </w:r>
      <w:r w:rsidRPr="00936318">
        <w:rPr>
          <w:b/>
          <w:lang w:val="en-GB"/>
        </w:rPr>
        <w:t xml:space="preserve">ureau </w:t>
      </w:r>
      <w:r w:rsidR="00C55E2F" w:rsidRPr="00936318">
        <w:rPr>
          <w:b/>
          <w:lang w:val="en-GB"/>
        </w:rPr>
        <w:t>D</w:t>
      </w:r>
      <w:r w:rsidRPr="00936318">
        <w:rPr>
          <w:b/>
          <w:lang w:val="en-GB"/>
        </w:rPr>
        <w:t>ata</w:t>
      </w:r>
      <w:r w:rsidRPr="00936318">
        <w:rPr>
          <w:lang w:val="en-GB"/>
        </w:rPr>
        <w:t xml:space="preserve">: </w:t>
      </w:r>
      <w:r w:rsidR="007A05C0" w:rsidRPr="00936318">
        <w:rPr>
          <w:lang w:val="en-GB"/>
        </w:rPr>
        <w:t>The</w:t>
      </w:r>
      <w:r w:rsidRPr="00936318">
        <w:rPr>
          <w:lang w:val="en-GB"/>
        </w:rPr>
        <w:t xml:space="preserve"> bureau data needed to be requested in </w:t>
      </w:r>
      <w:r w:rsidR="00C55E2F" w:rsidRPr="00936318">
        <w:rPr>
          <w:lang w:val="en-GB"/>
        </w:rPr>
        <w:t xml:space="preserve">a </w:t>
      </w:r>
      <w:r w:rsidRPr="00936318">
        <w:rPr>
          <w:lang w:val="en-GB"/>
        </w:rPr>
        <w:t>physical format</w:t>
      </w:r>
      <w:r w:rsidR="00F82632" w:rsidRPr="00936318">
        <w:rPr>
          <w:lang w:val="en-GB"/>
        </w:rPr>
        <w:t xml:space="preserve">; </w:t>
      </w:r>
      <w:r w:rsidR="007A05C0" w:rsidRPr="00936318">
        <w:rPr>
          <w:lang w:val="en-GB"/>
        </w:rPr>
        <w:t>hence,</w:t>
      </w:r>
      <w:r w:rsidR="00A67FC2" w:rsidRPr="00936318">
        <w:rPr>
          <w:lang w:val="en-GB"/>
        </w:rPr>
        <w:t xml:space="preserve"> </w:t>
      </w:r>
      <w:r w:rsidRPr="00936318">
        <w:rPr>
          <w:lang w:val="en-GB"/>
        </w:rPr>
        <w:t xml:space="preserve">time </w:t>
      </w:r>
      <w:r w:rsidR="00F82632" w:rsidRPr="00936318">
        <w:rPr>
          <w:lang w:val="en-GB"/>
        </w:rPr>
        <w:t xml:space="preserve">was needed </w:t>
      </w:r>
      <w:r w:rsidRPr="00936318">
        <w:rPr>
          <w:lang w:val="en-GB"/>
        </w:rPr>
        <w:t>to get the data to CGC’s premises</w:t>
      </w:r>
      <w:r w:rsidR="00D72C61" w:rsidRPr="00936318">
        <w:rPr>
          <w:lang w:val="en-GB"/>
        </w:rPr>
        <w:t>,</w:t>
      </w:r>
      <w:r w:rsidRPr="00936318">
        <w:rPr>
          <w:lang w:val="en-GB"/>
        </w:rPr>
        <w:t xml:space="preserve"> which </w:t>
      </w:r>
      <w:r w:rsidR="00D72C61" w:rsidRPr="00936318">
        <w:rPr>
          <w:lang w:val="en-GB"/>
        </w:rPr>
        <w:t xml:space="preserve">resulted in </w:t>
      </w:r>
      <w:r w:rsidR="00F82632" w:rsidRPr="00936318">
        <w:rPr>
          <w:lang w:val="en-GB"/>
        </w:rPr>
        <w:t xml:space="preserve">a process </w:t>
      </w:r>
      <w:r w:rsidRPr="00936318">
        <w:rPr>
          <w:lang w:val="en-GB"/>
        </w:rPr>
        <w:t>delay. Another time</w:t>
      </w:r>
      <w:r w:rsidR="00F82632" w:rsidRPr="00936318">
        <w:rPr>
          <w:lang w:val="en-GB"/>
        </w:rPr>
        <w:t>-</w:t>
      </w:r>
      <w:r w:rsidRPr="00936318">
        <w:rPr>
          <w:lang w:val="en-GB"/>
        </w:rPr>
        <w:t xml:space="preserve"> consuming challenge that CGC team members faced was </w:t>
      </w:r>
      <w:r w:rsidR="005C01D7" w:rsidRPr="00936318">
        <w:rPr>
          <w:lang w:val="en-GB"/>
        </w:rPr>
        <w:t xml:space="preserve">compiling </w:t>
      </w:r>
      <w:r w:rsidRPr="00936318">
        <w:rPr>
          <w:lang w:val="en-GB"/>
        </w:rPr>
        <w:t xml:space="preserve">all </w:t>
      </w:r>
      <w:r w:rsidR="00F82632" w:rsidRPr="00936318">
        <w:rPr>
          <w:lang w:val="en-GB"/>
        </w:rPr>
        <w:t xml:space="preserve">the requested </w:t>
      </w:r>
      <w:r w:rsidRPr="00936318">
        <w:rPr>
          <w:lang w:val="en-GB"/>
        </w:rPr>
        <w:t>bureau data. Th</w:t>
      </w:r>
      <w:r w:rsidR="00D0160F" w:rsidRPr="00936318">
        <w:rPr>
          <w:lang w:val="en-GB"/>
        </w:rPr>
        <w:t>e</w:t>
      </w:r>
      <w:r w:rsidRPr="00936318">
        <w:rPr>
          <w:lang w:val="en-GB"/>
        </w:rPr>
        <w:t xml:space="preserve"> data </w:t>
      </w:r>
      <w:r w:rsidR="00D0160F" w:rsidRPr="00936318">
        <w:rPr>
          <w:lang w:val="en-GB"/>
        </w:rPr>
        <w:t>were</w:t>
      </w:r>
      <w:r w:rsidR="00F82632" w:rsidRPr="00936318">
        <w:rPr>
          <w:lang w:val="en-GB"/>
        </w:rPr>
        <w:t xml:space="preserve"> </w:t>
      </w:r>
      <w:r w:rsidR="005A6980" w:rsidRPr="00936318">
        <w:rPr>
          <w:lang w:val="en-GB"/>
        </w:rPr>
        <w:t>huge in size,</w:t>
      </w:r>
      <w:r w:rsidRPr="00936318">
        <w:rPr>
          <w:lang w:val="en-GB"/>
        </w:rPr>
        <w:t xml:space="preserve"> contain</w:t>
      </w:r>
      <w:r w:rsidR="00D0160F" w:rsidRPr="00936318">
        <w:rPr>
          <w:lang w:val="en-GB"/>
        </w:rPr>
        <w:t>ing</w:t>
      </w:r>
      <w:r w:rsidRPr="00936318">
        <w:rPr>
          <w:lang w:val="en-GB"/>
        </w:rPr>
        <w:t xml:space="preserve"> not only all the financial historical data for the SME but also </w:t>
      </w:r>
      <w:r w:rsidR="005A6980" w:rsidRPr="00936318">
        <w:rPr>
          <w:lang w:val="en-GB"/>
        </w:rPr>
        <w:t xml:space="preserve">the </w:t>
      </w:r>
      <w:r w:rsidRPr="00936318">
        <w:rPr>
          <w:lang w:val="en-GB"/>
        </w:rPr>
        <w:t xml:space="preserve">details of all the key board members and directors. </w:t>
      </w:r>
      <w:r w:rsidR="005A6980" w:rsidRPr="00936318">
        <w:rPr>
          <w:lang w:val="en-GB"/>
        </w:rPr>
        <w:t>After</w:t>
      </w:r>
      <w:r w:rsidRPr="00936318">
        <w:rPr>
          <w:lang w:val="en-GB"/>
        </w:rPr>
        <w:t xml:space="preserve"> </w:t>
      </w:r>
      <w:r w:rsidR="00D0160F" w:rsidRPr="00936318">
        <w:rPr>
          <w:lang w:val="en-GB"/>
        </w:rPr>
        <w:t>the data were</w:t>
      </w:r>
      <w:r w:rsidR="00F82632" w:rsidRPr="00936318">
        <w:rPr>
          <w:lang w:val="en-GB"/>
        </w:rPr>
        <w:t xml:space="preserve"> </w:t>
      </w:r>
      <w:r w:rsidRPr="00936318">
        <w:rPr>
          <w:lang w:val="en-GB"/>
        </w:rPr>
        <w:t>aggregat</w:t>
      </w:r>
      <w:r w:rsidR="00F82632" w:rsidRPr="00936318">
        <w:rPr>
          <w:lang w:val="en-GB"/>
        </w:rPr>
        <w:t>ed,</w:t>
      </w:r>
      <w:r w:rsidR="005A6980" w:rsidRPr="00936318">
        <w:rPr>
          <w:lang w:val="en-GB"/>
        </w:rPr>
        <w:t xml:space="preserve"> </w:t>
      </w:r>
      <w:r w:rsidR="00D0160F" w:rsidRPr="00936318">
        <w:rPr>
          <w:lang w:val="en-GB"/>
        </w:rPr>
        <w:t>they</w:t>
      </w:r>
      <w:r w:rsidRPr="00936318">
        <w:rPr>
          <w:lang w:val="en-GB"/>
        </w:rPr>
        <w:t xml:space="preserve"> needed to be assessed for bureau rules to check the client’s eligibility for </w:t>
      </w:r>
      <w:r w:rsidR="005A6980" w:rsidRPr="00936318">
        <w:rPr>
          <w:lang w:val="en-GB"/>
        </w:rPr>
        <w:t xml:space="preserve">getting the </w:t>
      </w:r>
      <w:r w:rsidRPr="00936318">
        <w:rPr>
          <w:lang w:val="en-GB"/>
        </w:rPr>
        <w:t>guarantee. Going through this process and assessing the data manually required time.</w:t>
      </w:r>
    </w:p>
    <w:p w14:paraId="6DE72CB2" w14:textId="77777777" w:rsidR="00C92E99" w:rsidRPr="00936318" w:rsidRDefault="00C92E99" w:rsidP="00C92E99">
      <w:pPr>
        <w:pStyle w:val="BodyTextMain"/>
        <w:rPr>
          <w:lang w:val="en-GB"/>
        </w:rPr>
      </w:pPr>
    </w:p>
    <w:p w14:paraId="58AA887F" w14:textId="591804A5" w:rsidR="00C92E99" w:rsidRPr="00936318" w:rsidRDefault="00C92E99" w:rsidP="00C92E99">
      <w:pPr>
        <w:pStyle w:val="BodyTextMain"/>
        <w:rPr>
          <w:lang w:val="en-GB"/>
        </w:rPr>
      </w:pPr>
      <w:r w:rsidRPr="00936318">
        <w:rPr>
          <w:b/>
          <w:lang w:val="en-GB"/>
        </w:rPr>
        <w:t>Assessing Demographic Data</w:t>
      </w:r>
      <w:r w:rsidRPr="00936318">
        <w:rPr>
          <w:lang w:val="en-GB"/>
        </w:rPr>
        <w:t>: Similar to assessing all the bureau data for bureau rules,</w:t>
      </w:r>
      <w:r w:rsidR="005A6980" w:rsidRPr="00936318">
        <w:rPr>
          <w:lang w:val="en-GB"/>
        </w:rPr>
        <w:t xml:space="preserve"> the</w:t>
      </w:r>
      <w:r w:rsidRPr="00936318">
        <w:rPr>
          <w:lang w:val="en-GB"/>
        </w:rPr>
        <w:t xml:space="preserve"> demographic data</w:t>
      </w:r>
      <w:r w:rsidR="005A6980" w:rsidRPr="00936318">
        <w:rPr>
          <w:lang w:val="en-GB"/>
        </w:rPr>
        <w:t>,</w:t>
      </w:r>
      <w:r w:rsidRPr="00936318">
        <w:rPr>
          <w:lang w:val="en-GB"/>
        </w:rPr>
        <w:t xml:space="preserve"> which came directly from CGC’s </w:t>
      </w:r>
      <w:r w:rsidR="005C01D7" w:rsidRPr="00936318">
        <w:rPr>
          <w:lang w:val="en-GB"/>
        </w:rPr>
        <w:t>form-</w:t>
      </w:r>
      <w:r w:rsidRPr="00936318">
        <w:rPr>
          <w:lang w:val="en-GB"/>
        </w:rPr>
        <w:t>based system</w:t>
      </w:r>
      <w:r w:rsidR="005A6980" w:rsidRPr="00936318">
        <w:rPr>
          <w:lang w:val="en-GB"/>
        </w:rPr>
        <w:t>,</w:t>
      </w:r>
      <w:r w:rsidRPr="00936318">
        <w:rPr>
          <w:lang w:val="en-GB"/>
        </w:rPr>
        <w:t xml:space="preserve"> needed to be assessed. This</w:t>
      </w:r>
      <w:r w:rsidR="00F82632" w:rsidRPr="00936318">
        <w:rPr>
          <w:lang w:val="en-GB"/>
        </w:rPr>
        <w:t xml:space="preserve"> process </w:t>
      </w:r>
      <w:r w:rsidRPr="00936318">
        <w:rPr>
          <w:lang w:val="en-GB"/>
        </w:rPr>
        <w:t>require</w:t>
      </w:r>
      <w:r w:rsidR="00F82632" w:rsidRPr="00936318">
        <w:rPr>
          <w:lang w:val="en-GB"/>
        </w:rPr>
        <w:t>d</w:t>
      </w:r>
      <w:r w:rsidRPr="00936318">
        <w:rPr>
          <w:lang w:val="en-GB"/>
        </w:rPr>
        <w:t xml:space="preserve"> getting physical copies of all </w:t>
      </w:r>
      <w:r w:rsidR="00F54570" w:rsidRPr="00936318">
        <w:rPr>
          <w:lang w:val="en-GB"/>
        </w:rPr>
        <w:t>the</w:t>
      </w:r>
      <w:r w:rsidRPr="00936318">
        <w:rPr>
          <w:lang w:val="en-GB"/>
        </w:rPr>
        <w:t xml:space="preserve"> data and manually assess</w:t>
      </w:r>
      <w:r w:rsidR="00F82632" w:rsidRPr="00936318">
        <w:rPr>
          <w:lang w:val="en-GB"/>
        </w:rPr>
        <w:t>ing</w:t>
      </w:r>
      <w:r w:rsidRPr="00936318">
        <w:rPr>
          <w:lang w:val="en-GB"/>
        </w:rPr>
        <w:t xml:space="preserve"> them </w:t>
      </w:r>
      <w:r w:rsidR="00F82632" w:rsidRPr="00936318">
        <w:rPr>
          <w:lang w:val="en-GB"/>
        </w:rPr>
        <w:t>against</w:t>
      </w:r>
      <w:r w:rsidRPr="00936318">
        <w:rPr>
          <w:lang w:val="en-GB"/>
        </w:rPr>
        <w:t xml:space="preserve"> the demographic rules. </w:t>
      </w:r>
      <w:r w:rsidR="00F82632" w:rsidRPr="00936318">
        <w:rPr>
          <w:lang w:val="en-GB"/>
        </w:rPr>
        <w:t xml:space="preserve">As it was </w:t>
      </w:r>
      <w:r w:rsidRPr="00936318">
        <w:rPr>
          <w:lang w:val="en-GB"/>
        </w:rPr>
        <w:t xml:space="preserve">a manual process, </w:t>
      </w:r>
      <w:r w:rsidR="00F82632" w:rsidRPr="00936318">
        <w:rPr>
          <w:lang w:val="en-GB"/>
        </w:rPr>
        <w:t xml:space="preserve">the data </w:t>
      </w:r>
      <w:r w:rsidRPr="00936318">
        <w:rPr>
          <w:lang w:val="en-GB"/>
        </w:rPr>
        <w:t>assess</w:t>
      </w:r>
      <w:r w:rsidR="00F82632" w:rsidRPr="00936318">
        <w:rPr>
          <w:lang w:val="en-GB"/>
        </w:rPr>
        <w:t>ment had to be done carefully</w:t>
      </w:r>
      <w:r w:rsidRPr="00936318">
        <w:rPr>
          <w:lang w:val="en-GB"/>
        </w:rPr>
        <w:t>; otherwise</w:t>
      </w:r>
      <w:r w:rsidR="005C01D7" w:rsidRPr="00936318">
        <w:rPr>
          <w:lang w:val="en-GB"/>
        </w:rPr>
        <w:t>,</w:t>
      </w:r>
      <w:r w:rsidRPr="00936318">
        <w:rPr>
          <w:lang w:val="en-GB"/>
        </w:rPr>
        <w:t xml:space="preserve"> there could be errors causing legal issues.</w:t>
      </w:r>
    </w:p>
    <w:p w14:paraId="21435644" w14:textId="77777777" w:rsidR="00C92E99" w:rsidRPr="00936318" w:rsidRDefault="00C92E99" w:rsidP="00C92E99">
      <w:pPr>
        <w:pStyle w:val="BodyTextMain"/>
        <w:rPr>
          <w:lang w:val="en-GB"/>
        </w:rPr>
      </w:pPr>
    </w:p>
    <w:p w14:paraId="2F513849" w14:textId="6FBA2F33" w:rsidR="00C92E99" w:rsidRDefault="00C92E99" w:rsidP="00C92E99">
      <w:pPr>
        <w:pStyle w:val="BodyTextMain"/>
        <w:rPr>
          <w:lang w:val="en-GB"/>
        </w:rPr>
      </w:pPr>
      <w:r w:rsidRPr="00936318">
        <w:rPr>
          <w:b/>
          <w:lang w:val="en-GB"/>
        </w:rPr>
        <w:t>Approving Authority, Computing Pricing and Type of Business</w:t>
      </w:r>
      <w:r w:rsidRPr="00936318">
        <w:rPr>
          <w:lang w:val="en-GB"/>
        </w:rPr>
        <w:t>: After the assessment of demographic and bureau data</w:t>
      </w:r>
      <w:r w:rsidR="00F54509" w:rsidRPr="00936318">
        <w:rPr>
          <w:lang w:val="en-GB"/>
        </w:rPr>
        <w:t>,</w:t>
      </w:r>
      <w:r w:rsidRPr="00936318">
        <w:rPr>
          <w:lang w:val="en-GB"/>
        </w:rPr>
        <w:t xml:space="preserve"> an initial approving authority was decided</w:t>
      </w:r>
      <w:r w:rsidR="00F54509" w:rsidRPr="00936318">
        <w:rPr>
          <w:lang w:val="en-GB"/>
        </w:rPr>
        <w:t xml:space="preserve">, </w:t>
      </w:r>
      <w:r w:rsidRPr="00936318">
        <w:rPr>
          <w:lang w:val="en-GB"/>
        </w:rPr>
        <w:t xml:space="preserve">based on all the available data </w:t>
      </w:r>
      <w:r w:rsidR="00D0160F" w:rsidRPr="00936318">
        <w:rPr>
          <w:lang w:val="en-GB"/>
        </w:rPr>
        <w:t>and</w:t>
      </w:r>
      <w:r w:rsidRPr="00936318">
        <w:rPr>
          <w:lang w:val="en-GB"/>
        </w:rPr>
        <w:t xml:space="preserve"> the business rules applicable for th</w:t>
      </w:r>
      <w:r w:rsidR="00F82632" w:rsidRPr="00936318">
        <w:rPr>
          <w:lang w:val="en-GB"/>
        </w:rPr>
        <w:t xml:space="preserve">e </w:t>
      </w:r>
      <w:r w:rsidRPr="00936318">
        <w:rPr>
          <w:lang w:val="en-GB"/>
        </w:rPr>
        <w:t xml:space="preserve">particular application. </w:t>
      </w:r>
      <w:r w:rsidR="00F82632" w:rsidRPr="00936318">
        <w:rPr>
          <w:lang w:val="en-GB"/>
        </w:rPr>
        <w:t>T</w:t>
      </w:r>
      <w:r w:rsidR="00F54509" w:rsidRPr="00936318">
        <w:rPr>
          <w:lang w:val="en-GB"/>
        </w:rPr>
        <w:t xml:space="preserve">he </w:t>
      </w:r>
      <w:r w:rsidRPr="00936318">
        <w:rPr>
          <w:lang w:val="en-GB"/>
        </w:rPr>
        <w:t xml:space="preserve">pricing of </w:t>
      </w:r>
      <w:r w:rsidR="00F82632" w:rsidRPr="00936318">
        <w:rPr>
          <w:lang w:val="en-GB"/>
        </w:rPr>
        <w:t xml:space="preserve">the </w:t>
      </w:r>
      <w:r w:rsidRPr="00936318">
        <w:rPr>
          <w:lang w:val="en-GB"/>
        </w:rPr>
        <w:t xml:space="preserve">guarantee </w:t>
      </w:r>
      <w:r w:rsidR="00F54509" w:rsidRPr="00936318">
        <w:rPr>
          <w:lang w:val="en-GB"/>
        </w:rPr>
        <w:t>and</w:t>
      </w:r>
      <w:r w:rsidRPr="00936318">
        <w:rPr>
          <w:lang w:val="en-GB"/>
        </w:rPr>
        <w:t xml:space="preserve"> nature of business </w:t>
      </w:r>
      <w:r w:rsidR="00F82632" w:rsidRPr="00936318">
        <w:rPr>
          <w:lang w:val="en-GB"/>
        </w:rPr>
        <w:t xml:space="preserve">also had to be </w:t>
      </w:r>
      <w:r w:rsidR="008D39A7" w:rsidRPr="00936318">
        <w:rPr>
          <w:lang w:val="en-GB"/>
        </w:rPr>
        <w:t>calculat</w:t>
      </w:r>
      <w:r w:rsidR="00F82632" w:rsidRPr="00936318">
        <w:rPr>
          <w:lang w:val="en-GB"/>
        </w:rPr>
        <w:t>ed</w:t>
      </w:r>
      <w:r w:rsidRPr="00936318">
        <w:rPr>
          <w:lang w:val="en-GB"/>
        </w:rPr>
        <w:t xml:space="preserve"> using the data and rules. </w:t>
      </w:r>
    </w:p>
    <w:p w14:paraId="54B1AFF0" w14:textId="77777777" w:rsidR="004447E1" w:rsidRPr="00936318" w:rsidRDefault="004447E1" w:rsidP="00C92E99">
      <w:pPr>
        <w:pStyle w:val="BodyTextMain"/>
        <w:rPr>
          <w:lang w:val="en-GB"/>
        </w:rPr>
      </w:pPr>
    </w:p>
    <w:p w14:paraId="5C3A5EBC" w14:textId="77777777" w:rsidR="00C92E99" w:rsidRPr="00936318" w:rsidRDefault="008109E7" w:rsidP="00C92E99">
      <w:pPr>
        <w:pStyle w:val="BodyTextMain"/>
        <w:rPr>
          <w:lang w:val="en-GB"/>
        </w:rPr>
      </w:pPr>
      <w:r w:rsidRPr="00936318">
        <w:rPr>
          <w:lang w:val="en-GB"/>
        </w:rPr>
        <w:t xml:space="preserve">When </w:t>
      </w:r>
      <w:r w:rsidR="001A5673" w:rsidRPr="00936318">
        <w:rPr>
          <w:lang w:val="en-GB"/>
        </w:rPr>
        <w:t>the whole process</w:t>
      </w:r>
      <w:r w:rsidRPr="00936318">
        <w:rPr>
          <w:lang w:val="en-GB"/>
        </w:rPr>
        <w:t xml:space="preserve"> was complete</w:t>
      </w:r>
      <w:r w:rsidR="001A5673" w:rsidRPr="00936318">
        <w:rPr>
          <w:lang w:val="en-GB"/>
        </w:rPr>
        <w:t>,</w:t>
      </w:r>
      <w:r w:rsidR="00C92E99" w:rsidRPr="00936318">
        <w:rPr>
          <w:lang w:val="en-GB"/>
        </w:rPr>
        <w:t xml:space="preserve"> the application was signed off and </w:t>
      </w:r>
      <w:r w:rsidRPr="00936318">
        <w:rPr>
          <w:lang w:val="en-GB"/>
        </w:rPr>
        <w:t xml:space="preserve">the </w:t>
      </w:r>
      <w:r w:rsidR="00C92E99" w:rsidRPr="00936318">
        <w:rPr>
          <w:lang w:val="en-GB"/>
        </w:rPr>
        <w:t xml:space="preserve">guarantee </w:t>
      </w:r>
      <w:r w:rsidR="001A5673" w:rsidRPr="00936318">
        <w:rPr>
          <w:lang w:val="en-GB"/>
        </w:rPr>
        <w:t xml:space="preserve">was </w:t>
      </w:r>
      <w:r w:rsidR="00C92E99" w:rsidRPr="00936318">
        <w:rPr>
          <w:lang w:val="en-GB"/>
        </w:rPr>
        <w:t xml:space="preserve">provided to the client. </w:t>
      </w:r>
      <w:r w:rsidR="001A5673" w:rsidRPr="00936318">
        <w:rPr>
          <w:lang w:val="en-GB"/>
        </w:rPr>
        <w:t>E</w:t>
      </w:r>
      <w:r w:rsidR="00C92E99" w:rsidRPr="00936318">
        <w:rPr>
          <w:lang w:val="en-GB"/>
        </w:rPr>
        <w:t>ach step took significant time</w:t>
      </w:r>
      <w:r w:rsidR="001A5673" w:rsidRPr="00936318">
        <w:rPr>
          <w:lang w:val="en-GB"/>
        </w:rPr>
        <w:t>, which</w:t>
      </w:r>
      <w:r w:rsidR="00C92E99" w:rsidRPr="00936318">
        <w:rPr>
          <w:lang w:val="en-GB"/>
        </w:rPr>
        <w:t xml:space="preserve"> hamper</w:t>
      </w:r>
      <w:r w:rsidR="001A5673" w:rsidRPr="00936318">
        <w:rPr>
          <w:lang w:val="en-GB"/>
        </w:rPr>
        <w:t>ed</w:t>
      </w:r>
      <w:r w:rsidR="00C92E99" w:rsidRPr="00936318">
        <w:rPr>
          <w:lang w:val="en-GB"/>
        </w:rPr>
        <w:t xml:space="preserve"> the overall turnaround time for the application. Even with a digital system </w:t>
      </w:r>
      <w:r w:rsidR="001A5673" w:rsidRPr="00936318">
        <w:rPr>
          <w:lang w:val="en-GB"/>
        </w:rPr>
        <w:t>for the</w:t>
      </w:r>
      <w:r w:rsidR="00C92E99" w:rsidRPr="00936318">
        <w:rPr>
          <w:lang w:val="en-GB"/>
        </w:rPr>
        <w:t xml:space="preserve"> collect</w:t>
      </w:r>
      <w:r w:rsidR="001A5673" w:rsidRPr="00936318">
        <w:rPr>
          <w:lang w:val="en-GB"/>
        </w:rPr>
        <w:t>ion of</w:t>
      </w:r>
      <w:r w:rsidR="00C92E99" w:rsidRPr="00936318">
        <w:rPr>
          <w:lang w:val="en-GB"/>
        </w:rPr>
        <w:t xml:space="preserve"> data, CGC was unable to harness the power of automation during the decision</w:t>
      </w:r>
      <w:r w:rsidRPr="00936318">
        <w:rPr>
          <w:lang w:val="en-GB"/>
        </w:rPr>
        <w:t>-</w:t>
      </w:r>
      <w:r w:rsidR="00C92E99" w:rsidRPr="00936318">
        <w:rPr>
          <w:lang w:val="en-GB"/>
        </w:rPr>
        <w:t xml:space="preserve">making process. </w:t>
      </w:r>
    </w:p>
    <w:p w14:paraId="46514251" w14:textId="77777777" w:rsidR="00E94234" w:rsidRPr="00936318" w:rsidRDefault="00E94234" w:rsidP="00C92E99">
      <w:pPr>
        <w:pStyle w:val="Casehead1"/>
        <w:rPr>
          <w:caps w:val="0"/>
          <w:lang w:val="en-GB"/>
        </w:rPr>
      </w:pPr>
    </w:p>
    <w:p w14:paraId="3669E61B" w14:textId="098FAC90" w:rsidR="00741F24" w:rsidRDefault="00741F24">
      <w:pPr>
        <w:spacing w:after="200" w:line="276" w:lineRule="auto"/>
        <w:rPr>
          <w:rFonts w:ascii="Arial" w:hAnsi="Arial" w:cs="Arial"/>
          <w:b/>
          <w:lang w:val="en-GB"/>
        </w:rPr>
      </w:pPr>
      <w:r>
        <w:rPr>
          <w:caps/>
          <w:lang w:val="en-GB"/>
        </w:rPr>
        <w:br w:type="page"/>
      </w:r>
    </w:p>
    <w:p w14:paraId="17AD7AFE" w14:textId="77777777" w:rsidR="00C92E99" w:rsidRPr="00936318" w:rsidRDefault="00C92E99" w:rsidP="00C92E99">
      <w:pPr>
        <w:pStyle w:val="Casehead1"/>
        <w:rPr>
          <w:caps w:val="0"/>
          <w:lang w:val="en-GB"/>
        </w:rPr>
      </w:pPr>
      <w:r w:rsidRPr="00936318">
        <w:rPr>
          <w:caps w:val="0"/>
          <w:lang w:val="en-GB"/>
        </w:rPr>
        <w:lastRenderedPageBreak/>
        <w:t>Expanding Predictive Models</w:t>
      </w:r>
    </w:p>
    <w:p w14:paraId="75542C4D" w14:textId="77777777" w:rsidR="00C92E99" w:rsidRPr="00936318" w:rsidRDefault="00C92E99" w:rsidP="00C92E99">
      <w:pPr>
        <w:pStyle w:val="BodyTextMain"/>
        <w:rPr>
          <w:lang w:val="en-GB"/>
        </w:rPr>
      </w:pPr>
    </w:p>
    <w:p w14:paraId="3934717F" w14:textId="4B695AFB" w:rsidR="00F82632" w:rsidRPr="00936318" w:rsidRDefault="0004471A" w:rsidP="00C92E99">
      <w:pPr>
        <w:pStyle w:val="BodyTextMain"/>
        <w:rPr>
          <w:lang w:val="en-GB"/>
        </w:rPr>
      </w:pPr>
      <w:r w:rsidRPr="00936318">
        <w:rPr>
          <w:lang w:val="en-GB"/>
        </w:rPr>
        <w:t xml:space="preserve">Credit risk management had evolved drastically over the past two decades. This </w:t>
      </w:r>
      <w:r w:rsidR="00F82632" w:rsidRPr="00936318">
        <w:rPr>
          <w:lang w:val="en-GB"/>
        </w:rPr>
        <w:t xml:space="preserve">evolution </w:t>
      </w:r>
      <w:r w:rsidRPr="00936318">
        <w:rPr>
          <w:lang w:val="en-GB"/>
        </w:rPr>
        <w:t xml:space="preserve">was in response to </w:t>
      </w:r>
      <w:r w:rsidR="00F82632" w:rsidRPr="00936318">
        <w:rPr>
          <w:lang w:val="en-GB"/>
        </w:rPr>
        <w:t>a</w:t>
      </w:r>
      <w:r w:rsidRPr="00936318">
        <w:rPr>
          <w:lang w:val="en-GB"/>
        </w:rPr>
        <w:t xml:space="preserve"> number of environmental forces</w:t>
      </w:r>
      <w:r w:rsidR="00F82632" w:rsidRPr="00936318">
        <w:rPr>
          <w:lang w:val="en-GB"/>
        </w:rPr>
        <w:t xml:space="preserve"> that caused </w:t>
      </w:r>
      <w:r w:rsidR="00EC48ED" w:rsidRPr="00936318">
        <w:rPr>
          <w:lang w:val="en-GB"/>
        </w:rPr>
        <w:t xml:space="preserve">banks to consider risk management as an important business vertical. Among </w:t>
      </w:r>
      <w:r w:rsidR="006D0485" w:rsidRPr="00936318">
        <w:rPr>
          <w:lang w:val="en-GB"/>
        </w:rPr>
        <w:t>the</w:t>
      </w:r>
      <w:r w:rsidR="00EC48ED" w:rsidRPr="00936318">
        <w:rPr>
          <w:lang w:val="en-GB"/>
        </w:rPr>
        <w:t xml:space="preserve"> </w:t>
      </w:r>
      <w:r w:rsidR="00F82632" w:rsidRPr="00936318">
        <w:rPr>
          <w:lang w:val="en-GB"/>
        </w:rPr>
        <w:t xml:space="preserve">major </w:t>
      </w:r>
      <w:r w:rsidR="00EC48ED" w:rsidRPr="00936318">
        <w:rPr>
          <w:lang w:val="en-GB"/>
        </w:rPr>
        <w:t>environmental forces</w:t>
      </w:r>
      <w:r w:rsidR="00EC48ED" w:rsidRPr="00936318">
        <w:rPr>
          <w:rStyle w:val="FootnoteReference"/>
          <w:lang w:val="en-GB"/>
        </w:rPr>
        <w:footnoteReference w:id="8"/>
      </w:r>
      <w:r w:rsidR="00EC48ED" w:rsidRPr="00936318">
        <w:rPr>
          <w:lang w:val="en-GB"/>
        </w:rPr>
        <w:t xml:space="preserve"> that contributed to the shift in business strategy</w:t>
      </w:r>
      <w:r w:rsidR="00F82632" w:rsidRPr="00936318">
        <w:rPr>
          <w:lang w:val="en-GB"/>
        </w:rPr>
        <w:t xml:space="preserve"> </w:t>
      </w:r>
      <w:r w:rsidR="00EC48ED" w:rsidRPr="00936318">
        <w:rPr>
          <w:lang w:val="en-GB"/>
        </w:rPr>
        <w:t>were</w:t>
      </w:r>
      <w:r w:rsidR="006D0485" w:rsidRPr="00936318">
        <w:rPr>
          <w:lang w:val="en-GB"/>
        </w:rPr>
        <w:t>:</w:t>
      </w:r>
      <w:r w:rsidR="00EC48ED" w:rsidRPr="00936318">
        <w:rPr>
          <w:lang w:val="en-GB"/>
        </w:rPr>
        <w:t xml:space="preserve"> </w:t>
      </w:r>
      <w:r w:rsidR="00C347F7" w:rsidRPr="00936318">
        <w:rPr>
          <w:lang w:val="en-GB"/>
        </w:rPr>
        <w:t>(</w:t>
      </w:r>
      <w:r w:rsidR="00EC48ED" w:rsidRPr="00936318">
        <w:rPr>
          <w:lang w:val="en-GB"/>
        </w:rPr>
        <w:t xml:space="preserve">1) </w:t>
      </w:r>
      <w:r w:rsidR="00F82632" w:rsidRPr="00936318">
        <w:rPr>
          <w:lang w:val="en-GB"/>
        </w:rPr>
        <w:t xml:space="preserve">an </w:t>
      </w:r>
      <w:r w:rsidR="00EC48ED" w:rsidRPr="00936318">
        <w:rPr>
          <w:lang w:val="en-GB"/>
        </w:rPr>
        <w:t xml:space="preserve">overall increase in </w:t>
      </w:r>
      <w:r w:rsidR="006D0485" w:rsidRPr="00936318">
        <w:rPr>
          <w:lang w:val="en-GB"/>
        </w:rPr>
        <w:t xml:space="preserve">the </w:t>
      </w:r>
      <w:r w:rsidR="00EC48ED" w:rsidRPr="00936318">
        <w:rPr>
          <w:lang w:val="en-GB"/>
        </w:rPr>
        <w:t>number of bankruptcies</w:t>
      </w:r>
      <w:r w:rsidR="006D0485" w:rsidRPr="00936318">
        <w:rPr>
          <w:lang w:val="en-GB"/>
        </w:rPr>
        <w:t>;</w:t>
      </w:r>
      <w:r w:rsidR="00EC48ED" w:rsidRPr="00936318">
        <w:rPr>
          <w:lang w:val="en-GB"/>
        </w:rPr>
        <w:t xml:space="preserve"> </w:t>
      </w:r>
      <w:r w:rsidR="00C347F7" w:rsidRPr="00936318">
        <w:rPr>
          <w:lang w:val="en-GB"/>
        </w:rPr>
        <w:t>(</w:t>
      </w:r>
      <w:r w:rsidR="00EC48ED" w:rsidRPr="00936318">
        <w:rPr>
          <w:lang w:val="en-GB"/>
        </w:rPr>
        <w:t>2) competitive margins on loans</w:t>
      </w:r>
      <w:r w:rsidR="006D0485" w:rsidRPr="00936318">
        <w:rPr>
          <w:lang w:val="en-GB"/>
        </w:rPr>
        <w:t>; and</w:t>
      </w:r>
      <w:r w:rsidR="00EC48ED" w:rsidRPr="00936318">
        <w:rPr>
          <w:lang w:val="en-GB"/>
        </w:rPr>
        <w:t xml:space="preserve"> </w:t>
      </w:r>
      <w:r w:rsidR="00C347F7" w:rsidRPr="00936318">
        <w:rPr>
          <w:lang w:val="en-GB"/>
        </w:rPr>
        <w:t>(</w:t>
      </w:r>
      <w:r w:rsidR="00EC48ED" w:rsidRPr="00936318">
        <w:rPr>
          <w:lang w:val="en-GB"/>
        </w:rPr>
        <w:t>3)</w:t>
      </w:r>
      <w:r w:rsidR="00F82632" w:rsidRPr="00936318">
        <w:rPr>
          <w:lang w:val="en-GB"/>
        </w:rPr>
        <w:t> </w:t>
      </w:r>
      <w:r w:rsidR="00EC48ED" w:rsidRPr="00936318">
        <w:rPr>
          <w:lang w:val="en-GB"/>
        </w:rPr>
        <w:t>declining value on real assets</w:t>
      </w:r>
      <w:r w:rsidR="003108AC" w:rsidRPr="00936318">
        <w:rPr>
          <w:lang w:val="en-GB"/>
        </w:rPr>
        <w:t>,</w:t>
      </w:r>
      <w:r w:rsidR="00EC48ED" w:rsidRPr="00936318">
        <w:rPr>
          <w:lang w:val="en-GB"/>
        </w:rPr>
        <w:t xml:space="preserve"> </w:t>
      </w:r>
      <w:r w:rsidR="006D0485" w:rsidRPr="00936318">
        <w:rPr>
          <w:lang w:val="en-GB"/>
        </w:rPr>
        <w:t xml:space="preserve">which led to </w:t>
      </w:r>
      <w:r w:rsidR="00F82632" w:rsidRPr="00936318">
        <w:rPr>
          <w:lang w:val="en-GB"/>
        </w:rPr>
        <w:t xml:space="preserve">a </w:t>
      </w:r>
      <w:r w:rsidR="006D0485" w:rsidRPr="00936318">
        <w:rPr>
          <w:lang w:val="en-GB"/>
        </w:rPr>
        <w:t>decline in the</w:t>
      </w:r>
      <w:r w:rsidR="00EC48ED" w:rsidRPr="00936318">
        <w:rPr>
          <w:lang w:val="en-GB"/>
        </w:rPr>
        <w:t xml:space="preserve"> value of overall collateral. As a result, banks and lending institutions developed numerous credit</w:t>
      </w:r>
      <w:r w:rsidR="00F82632" w:rsidRPr="00936318">
        <w:rPr>
          <w:lang w:val="en-GB"/>
        </w:rPr>
        <w:t>-</w:t>
      </w:r>
      <w:r w:rsidR="00EC48ED" w:rsidRPr="00936318">
        <w:rPr>
          <w:lang w:val="en-GB"/>
        </w:rPr>
        <w:t>scoring systems</w:t>
      </w:r>
      <w:r w:rsidR="003108AC" w:rsidRPr="00936318">
        <w:rPr>
          <w:lang w:val="en-GB"/>
        </w:rPr>
        <w:t xml:space="preserve"> and</w:t>
      </w:r>
      <w:r w:rsidR="00EC48ED" w:rsidRPr="00936318">
        <w:rPr>
          <w:lang w:val="en-GB"/>
        </w:rPr>
        <w:t xml:space="preserve"> tested various models </w:t>
      </w:r>
      <w:r w:rsidR="003108AC" w:rsidRPr="00936318">
        <w:rPr>
          <w:lang w:val="en-GB"/>
        </w:rPr>
        <w:t xml:space="preserve">related </w:t>
      </w:r>
      <w:r w:rsidR="00EC48ED" w:rsidRPr="00936318">
        <w:rPr>
          <w:lang w:val="en-GB"/>
        </w:rPr>
        <w:t>to price credit risk.</w:t>
      </w:r>
      <w:r w:rsidR="00B82308" w:rsidRPr="00936318">
        <w:rPr>
          <w:lang w:val="en-GB"/>
        </w:rPr>
        <w:t xml:space="preserve"> </w:t>
      </w:r>
    </w:p>
    <w:p w14:paraId="2BF2E1CA" w14:textId="77777777" w:rsidR="00F82632" w:rsidRPr="00936318" w:rsidRDefault="00F82632" w:rsidP="00C92E99">
      <w:pPr>
        <w:pStyle w:val="BodyTextMain"/>
        <w:rPr>
          <w:lang w:val="en-GB"/>
        </w:rPr>
      </w:pPr>
    </w:p>
    <w:p w14:paraId="1FCCD541" w14:textId="11B865C4" w:rsidR="0004471A" w:rsidRPr="00936318" w:rsidRDefault="00B82308" w:rsidP="00C92E99">
      <w:pPr>
        <w:pStyle w:val="BodyTextMain"/>
        <w:rPr>
          <w:lang w:val="en-GB"/>
        </w:rPr>
      </w:pPr>
      <w:r w:rsidRPr="00936318">
        <w:rPr>
          <w:lang w:val="en-GB"/>
        </w:rPr>
        <w:t xml:space="preserve">The Basel Committee on Banking Supervision ensured that banks made </w:t>
      </w:r>
      <w:r w:rsidR="00913528" w:rsidRPr="00936318">
        <w:rPr>
          <w:lang w:val="en-GB"/>
        </w:rPr>
        <w:t>ex</w:t>
      </w:r>
      <w:r w:rsidRPr="00936318">
        <w:rPr>
          <w:lang w:val="en-GB"/>
        </w:rPr>
        <w:t>tensive use of internal and external credit rating for credit</w:t>
      </w:r>
      <w:r w:rsidR="00F82632" w:rsidRPr="00936318">
        <w:rPr>
          <w:lang w:val="en-GB"/>
        </w:rPr>
        <w:t>-</w:t>
      </w:r>
      <w:r w:rsidRPr="00936318">
        <w:rPr>
          <w:lang w:val="en-GB"/>
        </w:rPr>
        <w:t>risk forecasting. This process of credit scoring was important for banks</w:t>
      </w:r>
      <w:r w:rsidR="009A516D" w:rsidRPr="00936318">
        <w:rPr>
          <w:lang w:val="en-GB"/>
        </w:rPr>
        <w:t>,</w:t>
      </w:r>
      <w:r w:rsidRPr="00936318">
        <w:rPr>
          <w:lang w:val="en-GB"/>
        </w:rPr>
        <w:t xml:space="preserve"> which had to discriminate “genuine SMEs” from “bad SMEs” in terms of their creditworthiness</w:t>
      </w:r>
      <w:r w:rsidR="00F82632" w:rsidRPr="00936318">
        <w:rPr>
          <w:lang w:val="en-GB"/>
        </w:rPr>
        <w:t>.</w:t>
      </w:r>
      <w:r w:rsidRPr="00936318">
        <w:rPr>
          <w:rStyle w:val="FootnoteReference"/>
          <w:lang w:val="en-GB"/>
        </w:rPr>
        <w:footnoteReference w:id="9"/>
      </w:r>
      <w:r w:rsidRPr="00936318">
        <w:rPr>
          <w:lang w:val="en-GB"/>
        </w:rPr>
        <w:t xml:space="preserve"> </w:t>
      </w:r>
      <w:r w:rsidR="00621C96" w:rsidRPr="00936318">
        <w:rPr>
          <w:lang w:val="en-GB"/>
        </w:rPr>
        <w:t>For the purpose of credit</w:t>
      </w:r>
      <w:r w:rsidR="00F82632" w:rsidRPr="00936318">
        <w:rPr>
          <w:lang w:val="en-GB"/>
        </w:rPr>
        <w:t>-</w:t>
      </w:r>
      <w:r w:rsidR="00621C96" w:rsidRPr="00936318">
        <w:rPr>
          <w:lang w:val="en-GB"/>
        </w:rPr>
        <w:t>risk forecasting, institutions and researchers used complex predictive models such as decision</w:t>
      </w:r>
      <w:r w:rsidR="00F82632" w:rsidRPr="00936318">
        <w:rPr>
          <w:lang w:val="en-GB"/>
        </w:rPr>
        <w:t>-</w:t>
      </w:r>
      <w:r w:rsidR="00621C96" w:rsidRPr="00936318">
        <w:rPr>
          <w:lang w:val="en-GB"/>
        </w:rPr>
        <w:t>tree models, score models, neural networks</w:t>
      </w:r>
      <w:r w:rsidR="009A516D" w:rsidRPr="00936318">
        <w:rPr>
          <w:lang w:val="en-GB"/>
        </w:rPr>
        <w:t>,</w:t>
      </w:r>
      <w:r w:rsidR="00621C96" w:rsidRPr="00936318">
        <w:rPr>
          <w:lang w:val="en-GB"/>
        </w:rPr>
        <w:t xml:space="preserve"> and </w:t>
      </w:r>
      <w:r w:rsidR="00913528" w:rsidRPr="00936318">
        <w:rPr>
          <w:lang w:val="en-GB"/>
        </w:rPr>
        <w:t xml:space="preserve">the </w:t>
      </w:r>
      <w:r w:rsidR="005C01D7" w:rsidRPr="00936318">
        <w:rPr>
          <w:lang w:val="en-GB"/>
        </w:rPr>
        <w:t>k</w:t>
      </w:r>
      <w:r w:rsidR="00621C96" w:rsidRPr="00936318">
        <w:rPr>
          <w:lang w:val="en-GB"/>
        </w:rPr>
        <w:t>-</w:t>
      </w:r>
      <w:r w:rsidR="005C01D7" w:rsidRPr="00936318">
        <w:rPr>
          <w:lang w:val="en-GB"/>
        </w:rPr>
        <w:t>n</w:t>
      </w:r>
      <w:r w:rsidR="00621C96" w:rsidRPr="00936318">
        <w:rPr>
          <w:lang w:val="en-GB"/>
        </w:rPr>
        <w:t>earest neighbour algorithm</w:t>
      </w:r>
      <w:r w:rsidR="00F82632" w:rsidRPr="00936318">
        <w:rPr>
          <w:lang w:val="en-GB"/>
        </w:rPr>
        <w:t>.</w:t>
      </w:r>
      <w:r w:rsidR="00142410" w:rsidRPr="00936318">
        <w:rPr>
          <w:rStyle w:val="FootnoteReference"/>
          <w:lang w:val="en-GB"/>
        </w:rPr>
        <w:footnoteReference w:id="10"/>
      </w:r>
      <w:r w:rsidR="00621C96" w:rsidRPr="00936318">
        <w:rPr>
          <w:lang w:val="en-GB"/>
        </w:rPr>
        <w:t xml:space="preserve"> In certain instances, </w:t>
      </w:r>
      <w:r w:rsidR="00F82632" w:rsidRPr="00936318">
        <w:rPr>
          <w:lang w:val="en-GB"/>
        </w:rPr>
        <w:t xml:space="preserve">the </w:t>
      </w:r>
      <w:proofErr w:type="spellStart"/>
      <w:r w:rsidR="00621C96" w:rsidRPr="00936318">
        <w:rPr>
          <w:lang w:val="en-GB"/>
        </w:rPr>
        <w:t>probit</w:t>
      </w:r>
      <w:proofErr w:type="spellEnd"/>
      <w:r w:rsidR="00621C96" w:rsidRPr="00936318">
        <w:rPr>
          <w:lang w:val="en-GB"/>
        </w:rPr>
        <w:t xml:space="preserve"> algorithm </w:t>
      </w:r>
      <w:r w:rsidR="00913528" w:rsidRPr="00936318">
        <w:rPr>
          <w:lang w:val="en-GB"/>
        </w:rPr>
        <w:t>was</w:t>
      </w:r>
      <w:r w:rsidR="00621C96" w:rsidRPr="00936318">
        <w:rPr>
          <w:lang w:val="en-GB"/>
        </w:rPr>
        <w:t xml:space="preserve"> used to mitigate credit risks. These techniques </w:t>
      </w:r>
      <w:r w:rsidR="009A516D" w:rsidRPr="00936318">
        <w:rPr>
          <w:lang w:val="en-GB"/>
        </w:rPr>
        <w:t>were</w:t>
      </w:r>
      <w:r w:rsidR="00621C96" w:rsidRPr="00936318">
        <w:rPr>
          <w:lang w:val="en-GB"/>
        </w:rPr>
        <w:t xml:space="preserve"> primarily </w:t>
      </w:r>
      <w:r w:rsidR="00F82632" w:rsidRPr="00936318">
        <w:rPr>
          <w:lang w:val="en-GB"/>
        </w:rPr>
        <w:t>us</w:t>
      </w:r>
      <w:r w:rsidR="007E4476" w:rsidRPr="00936318">
        <w:rPr>
          <w:lang w:val="en-GB"/>
        </w:rPr>
        <w:t>ed</w:t>
      </w:r>
      <w:r w:rsidR="00621C96" w:rsidRPr="00936318">
        <w:rPr>
          <w:lang w:val="en-GB"/>
        </w:rPr>
        <w:t xml:space="preserve"> to </w:t>
      </w:r>
      <w:proofErr w:type="spellStart"/>
      <w:r w:rsidR="00621C96" w:rsidRPr="00936318">
        <w:rPr>
          <w:lang w:val="en-GB"/>
        </w:rPr>
        <w:t>analyze</w:t>
      </w:r>
      <w:proofErr w:type="spellEnd"/>
      <w:r w:rsidR="00621C96" w:rsidRPr="00936318">
        <w:rPr>
          <w:lang w:val="en-GB"/>
        </w:rPr>
        <w:t xml:space="preserve"> current and historical data </w:t>
      </w:r>
      <w:r w:rsidR="00D0160F" w:rsidRPr="00936318">
        <w:rPr>
          <w:lang w:val="en-GB"/>
        </w:rPr>
        <w:t>in order to</w:t>
      </w:r>
      <w:r w:rsidR="00621C96" w:rsidRPr="00936318">
        <w:rPr>
          <w:lang w:val="en-GB"/>
        </w:rPr>
        <w:t xml:space="preserve"> mak</w:t>
      </w:r>
      <w:r w:rsidR="00D0160F" w:rsidRPr="00936318">
        <w:rPr>
          <w:lang w:val="en-GB"/>
        </w:rPr>
        <w:t>e</w:t>
      </w:r>
      <w:r w:rsidR="00621C96" w:rsidRPr="00936318">
        <w:rPr>
          <w:lang w:val="en-GB"/>
        </w:rPr>
        <w:t xml:space="preserve"> predictions about the future.</w:t>
      </w:r>
    </w:p>
    <w:p w14:paraId="101DF469" w14:textId="77777777" w:rsidR="00065123" w:rsidRPr="00936318" w:rsidRDefault="00065123" w:rsidP="00C92E99">
      <w:pPr>
        <w:pStyle w:val="BodyTextMain"/>
        <w:rPr>
          <w:lang w:val="en-GB"/>
        </w:rPr>
      </w:pPr>
    </w:p>
    <w:p w14:paraId="683612CB" w14:textId="40065B49" w:rsidR="00C92E99" w:rsidRPr="00936318" w:rsidRDefault="00C92E99" w:rsidP="00C92E99">
      <w:pPr>
        <w:pStyle w:val="BodyTextMain"/>
        <w:rPr>
          <w:lang w:val="en-GB"/>
        </w:rPr>
      </w:pPr>
      <w:r w:rsidRPr="00936318">
        <w:rPr>
          <w:lang w:val="en-GB"/>
        </w:rPr>
        <w:t xml:space="preserve">Since CGC was adding new </w:t>
      </w:r>
      <w:r w:rsidR="00A222A1" w:rsidRPr="00936318">
        <w:rPr>
          <w:lang w:val="en-GB"/>
        </w:rPr>
        <w:t>direct-</w:t>
      </w:r>
      <w:r w:rsidR="00F82632" w:rsidRPr="00936318">
        <w:rPr>
          <w:lang w:val="en-GB"/>
        </w:rPr>
        <w:t>l</w:t>
      </w:r>
      <w:r w:rsidRPr="00936318">
        <w:rPr>
          <w:lang w:val="en-GB"/>
        </w:rPr>
        <w:t xml:space="preserve">ending </w:t>
      </w:r>
      <w:r w:rsidR="00F82632" w:rsidRPr="00936318">
        <w:rPr>
          <w:lang w:val="en-GB"/>
        </w:rPr>
        <w:t>p</w:t>
      </w:r>
      <w:r w:rsidRPr="00936318">
        <w:rPr>
          <w:lang w:val="en-GB"/>
        </w:rPr>
        <w:t xml:space="preserve">roducts and wanted to bring in automation, </w:t>
      </w:r>
      <w:r w:rsidR="00913528" w:rsidRPr="00936318">
        <w:rPr>
          <w:lang w:val="en-GB"/>
        </w:rPr>
        <w:t xml:space="preserve">it </w:t>
      </w:r>
      <w:r w:rsidRPr="00936318">
        <w:rPr>
          <w:lang w:val="en-GB"/>
        </w:rPr>
        <w:t>w</w:t>
      </w:r>
      <w:r w:rsidR="00913528" w:rsidRPr="00936318">
        <w:rPr>
          <w:lang w:val="en-GB"/>
        </w:rPr>
        <w:t>as</w:t>
      </w:r>
      <w:r w:rsidRPr="00936318">
        <w:rPr>
          <w:lang w:val="en-GB"/>
        </w:rPr>
        <w:t xml:space="preserve"> looking for different models for different products. </w:t>
      </w:r>
      <w:r w:rsidR="00FD72F1" w:rsidRPr="00936318">
        <w:rPr>
          <w:lang w:val="en-GB"/>
        </w:rPr>
        <w:t>The</w:t>
      </w:r>
      <w:r w:rsidRPr="00936318">
        <w:rPr>
          <w:lang w:val="en-GB"/>
        </w:rPr>
        <w:t xml:space="preserve"> </w:t>
      </w:r>
      <w:r w:rsidR="00A222A1" w:rsidRPr="00936318">
        <w:rPr>
          <w:lang w:val="en-GB"/>
        </w:rPr>
        <w:t>direct-</w:t>
      </w:r>
      <w:r w:rsidR="00F82632" w:rsidRPr="00936318">
        <w:rPr>
          <w:lang w:val="en-GB"/>
        </w:rPr>
        <w:t>l</w:t>
      </w:r>
      <w:r w:rsidRPr="00936318">
        <w:rPr>
          <w:lang w:val="en-GB"/>
        </w:rPr>
        <w:t xml:space="preserve">ending products could not be treated the same way as </w:t>
      </w:r>
      <w:r w:rsidR="00F82632" w:rsidRPr="00936318">
        <w:rPr>
          <w:lang w:val="en-GB"/>
        </w:rPr>
        <w:t>g</w:t>
      </w:r>
      <w:r w:rsidRPr="00936318">
        <w:rPr>
          <w:lang w:val="en-GB"/>
        </w:rPr>
        <w:t xml:space="preserve">uarantee </w:t>
      </w:r>
      <w:r w:rsidR="00F82632" w:rsidRPr="00936318">
        <w:rPr>
          <w:lang w:val="en-GB"/>
        </w:rPr>
        <w:t>p</w:t>
      </w:r>
      <w:r w:rsidRPr="00936318">
        <w:rPr>
          <w:lang w:val="en-GB"/>
        </w:rPr>
        <w:t xml:space="preserve">roducts, </w:t>
      </w:r>
      <w:r w:rsidR="00FD72F1" w:rsidRPr="00936318">
        <w:rPr>
          <w:lang w:val="en-GB"/>
        </w:rPr>
        <w:t xml:space="preserve">as </w:t>
      </w:r>
      <w:r w:rsidRPr="00936318">
        <w:rPr>
          <w:lang w:val="en-GB"/>
        </w:rPr>
        <w:t>they require</w:t>
      </w:r>
      <w:r w:rsidR="00FD72F1" w:rsidRPr="00936318">
        <w:rPr>
          <w:lang w:val="en-GB"/>
        </w:rPr>
        <w:t>d</w:t>
      </w:r>
      <w:r w:rsidRPr="00936318">
        <w:rPr>
          <w:lang w:val="en-GB"/>
        </w:rPr>
        <w:t xml:space="preserve"> different score models and business </w:t>
      </w:r>
      <w:r w:rsidR="005C01D7" w:rsidRPr="00936318">
        <w:rPr>
          <w:lang w:val="en-GB"/>
        </w:rPr>
        <w:t>strategies</w:t>
      </w:r>
      <w:r w:rsidRPr="00936318">
        <w:rPr>
          <w:lang w:val="en-GB"/>
        </w:rPr>
        <w:t>.</w:t>
      </w:r>
    </w:p>
    <w:p w14:paraId="7D7BEDDA" w14:textId="77777777" w:rsidR="00065123" w:rsidRPr="00936318" w:rsidRDefault="00065123" w:rsidP="00C92E99">
      <w:pPr>
        <w:pStyle w:val="BodyTextMain"/>
        <w:rPr>
          <w:lang w:val="en-GB"/>
        </w:rPr>
      </w:pPr>
    </w:p>
    <w:p w14:paraId="1660CAEB" w14:textId="276F22AE" w:rsidR="00E94234" w:rsidRPr="00936318" w:rsidRDefault="00C92E99" w:rsidP="00C92E99">
      <w:pPr>
        <w:pStyle w:val="BodyTextMain"/>
        <w:rPr>
          <w:lang w:val="en-GB"/>
        </w:rPr>
      </w:pPr>
      <w:r w:rsidRPr="00936318">
        <w:rPr>
          <w:lang w:val="en-GB"/>
        </w:rPr>
        <w:t xml:space="preserve">CGC </w:t>
      </w:r>
      <w:r w:rsidR="00913528" w:rsidRPr="00936318">
        <w:rPr>
          <w:lang w:val="en-GB"/>
        </w:rPr>
        <w:t xml:space="preserve">had previously </w:t>
      </w:r>
      <w:r w:rsidRPr="00936318">
        <w:rPr>
          <w:lang w:val="en-GB"/>
        </w:rPr>
        <w:t xml:space="preserve">used only one model to calculate </w:t>
      </w:r>
      <w:r w:rsidR="00913528" w:rsidRPr="00936318">
        <w:rPr>
          <w:lang w:val="en-GB"/>
        </w:rPr>
        <w:t xml:space="preserve">the </w:t>
      </w:r>
      <w:r w:rsidRPr="00936318">
        <w:rPr>
          <w:lang w:val="en-GB"/>
        </w:rPr>
        <w:t xml:space="preserve">risk </w:t>
      </w:r>
      <w:r w:rsidR="004B5D60" w:rsidRPr="00936318">
        <w:rPr>
          <w:lang w:val="en-GB"/>
        </w:rPr>
        <w:t>associated with</w:t>
      </w:r>
      <w:r w:rsidRPr="00936318">
        <w:rPr>
          <w:lang w:val="en-GB"/>
        </w:rPr>
        <w:t xml:space="preserve"> each applicant </w:t>
      </w:r>
      <w:r w:rsidR="004B5D60" w:rsidRPr="00936318">
        <w:rPr>
          <w:lang w:val="en-GB"/>
        </w:rPr>
        <w:t xml:space="preserve">receiving the </w:t>
      </w:r>
      <w:r w:rsidRPr="00936318">
        <w:rPr>
          <w:lang w:val="en-GB"/>
        </w:rPr>
        <w:t>guarantee</w:t>
      </w:r>
      <w:r w:rsidR="004B5D60" w:rsidRPr="00936318">
        <w:rPr>
          <w:lang w:val="en-GB"/>
        </w:rPr>
        <w:t xml:space="preserve"> related to a scheme</w:t>
      </w:r>
      <w:r w:rsidRPr="00936318">
        <w:rPr>
          <w:lang w:val="en-GB"/>
        </w:rPr>
        <w:t>. Th</w:t>
      </w:r>
      <w:r w:rsidR="00913528" w:rsidRPr="00936318">
        <w:rPr>
          <w:lang w:val="en-GB"/>
        </w:rPr>
        <w:t>is</w:t>
      </w:r>
      <w:r w:rsidRPr="00936318">
        <w:rPr>
          <w:lang w:val="en-GB"/>
        </w:rPr>
        <w:t xml:space="preserve"> model would classify an applicant as </w:t>
      </w:r>
      <w:r w:rsidR="005C01D7" w:rsidRPr="00936318">
        <w:rPr>
          <w:lang w:val="en-GB"/>
        </w:rPr>
        <w:t xml:space="preserve">a </w:t>
      </w:r>
      <w:r w:rsidRPr="00936318">
        <w:rPr>
          <w:lang w:val="en-GB"/>
        </w:rPr>
        <w:t>green, yellow</w:t>
      </w:r>
      <w:r w:rsidR="004B5D60" w:rsidRPr="00936318">
        <w:rPr>
          <w:lang w:val="en-GB"/>
        </w:rPr>
        <w:t>,</w:t>
      </w:r>
      <w:r w:rsidRPr="00936318">
        <w:rPr>
          <w:lang w:val="en-GB"/>
        </w:rPr>
        <w:t xml:space="preserve"> or red business, according to some of the business rules based on</w:t>
      </w:r>
      <w:r w:rsidR="004B5D60" w:rsidRPr="00936318">
        <w:rPr>
          <w:lang w:val="en-GB"/>
        </w:rPr>
        <w:t xml:space="preserve"> </w:t>
      </w:r>
      <w:r w:rsidRPr="00936318">
        <w:rPr>
          <w:lang w:val="en-GB"/>
        </w:rPr>
        <w:t xml:space="preserve">pre-calculated demographic </w:t>
      </w:r>
      <w:r w:rsidR="00D0160F" w:rsidRPr="00936318">
        <w:rPr>
          <w:lang w:val="en-GB"/>
        </w:rPr>
        <w:t xml:space="preserve">and </w:t>
      </w:r>
      <w:r w:rsidRPr="00936318">
        <w:rPr>
          <w:lang w:val="en-GB"/>
        </w:rPr>
        <w:t>bureau data. Th</w:t>
      </w:r>
      <w:r w:rsidR="00552A4A" w:rsidRPr="00936318">
        <w:rPr>
          <w:lang w:val="en-GB"/>
        </w:rPr>
        <w:t>e</w:t>
      </w:r>
      <w:r w:rsidRPr="00936318">
        <w:rPr>
          <w:lang w:val="en-GB"/>
        </w:rPr>
        <w:t xml:space="preserve"> </w:t>
      </w:r>
      <w:r w:rsidR="00C25044" w:rsidRPr="00936318">
        <w:rPr>
          <w:lang w:val="en-GB"/>
        </w:rPr>
        <w:t xml:space="preserve">model </w:t>
      </w:r>
      <w:r w:rsidR="00913528" w:rsidRPr="00936318">
        <w:rPr>
          <w:lang w:val="en-GB"/>
        </w:rPr>
        <w:t xml:space="preserve">had </w:t>
      </w:r>
      <w:r w:rsidRPr="00936318">
        <w:rPr>
          <w:lang w:val="en-GB"/>
        </w:rPr>
        <w:t xml:space="preserve">worked </w:t>
      </w:r>
      <w:r w:rsidR="00C25044" w:rsidRPr="00936318">
        <w:rPr>
          <w:lang w:val="en-GB"/>
        </w:rPr>
        <w:t>well</w:t>
      </w:r>
      <w:r w:rsidRPr="00936318">
        <w:rPr>
          <w:lang w:val="en-GB"/>
        </w:rPr>
        <w:t xml:space="preserve"> earlier, b</w:t>
      </w:r>
      <w:r w:rsidR="00913528" w:rsidRPr="00936318">
        <w:rPr>
          <w:lang w:val="en-GB"/>
        </w:rPr>
        <w:t xml:space="preserve">ut with the </w:t>
      </w:r>
      <w:r w:rsidRPr="00936318">
        <w:rPr>
          <w:lang w:val="en-GB"/>
        </w:rPr>
        <w:t xml:space="preserve">addition of new </w:t>
      </w:r>
      <w:r w:rsidR="00A222A1" w:rsidRPr="00936318">
        <w:rPr>
          <w:lang w:val="en-GB"/>
        </w:rPr>
        <w:t>direct-</w:t>
      </w:r>
      <w:r w:rsidR="00E94234" w:rsidRPr="00936318">
        <w:rPr>
          <w:lang w:val="en-GB"/>
        </w:rPr>
        <w:t>l</w:t>
      </w:r>
      <w:r w:rsidRPr="00936318">
        <w:rPr>
          <w:lang w:val="en-GB"/>
        </w:rPr>
        <w:t xml:space="preserve">ending </w:t>
      </w:r>
      <w:r w:rsidR="00E94234" w:rsidRPr="00936318">
        <w:rPr>
          <w:lang w:val="en-GB"/>
        </w:rPr>
        <w:t>p</w:t>
      </w:r>
      <w:r w:rsidRPr="00936318">
        <w:rPr>
          <w:lang w:val="en-GB"/>
        </w:rPr>
        <w:t>roducts</w:t>
      </w:r>
      <w:r w:rsidR="005C01D7" w:rsidRPr="00936318">
        <w:rPr>
          <w:lang w:val="en-GB"/>
        </w:rPr>
        <w:t>,</w:t>
      </w:r>
      <w:r w:rsidR="00913528" w:rsidRPr="00936318">
        <w:rPr>
          <w:lang w:val="en-GB"/>
        </w:rPr>
        <w:t xml:space="preserve"> it</w:t>
      </w:r>
      <w:r w:rsidR="00C25044" w:rsidRPr="00936318">
        <w:rPr>
          <w:lang w:val="en-GB"/>
        </w:rPr>
        <w:t xml:space="preserve"> needed</w:t>
      </w:r>
      <w:r w:rsidRPr="00936318">
        <w:rPr>
          <w:lang w:val="en-GB"/>
        </w:rPr>
        <w:t xml:space="preserve"> to</w:t>
      </w:r>
      <w:r w:rsidR="00C25044" w:rsidRPr="00936318">
        <w:rPr>
          <w:lang w:val="en-GB"/>
        </w:rPr>
        <w:t xml:space="preserve"> be</w:t>
      </w:r>
      <w:r w:rsidRPr="00936318">
        <w:rPr>
          <w:lang w:val="en-GB"/>
        </w:rPr>
        <w:t xml:space="preserve"> change</w:t>
      </w:r>
      <w:r w:rsidR="00C25044" w:rsidRPr="00936318">
        <w:rPr>
          <w:lang w:val="en-GB"/>
        </w:rPr>
        <w:t>d</w:t>
      </w:r>
      <w:r w:rsidRPr="00936318">
        <w:rPr>
          <w:lang w:val="en-GB"/>
        </w:rPr>
        <w:t>. Another problem was that all the bureau data w</w:t>
      </w:r>
      <w:r w:rsidR="00D0160F" w:rsidRPr="00936318">
        <w:rPr>
          <w:lang w:val="en-GB"/>
        </w:rPr>
        <w:t xml:space="preserve">ere </w:t>
      </w:r>
      <w:r w:rsidRPr="00936318">
        <w:rPr>
          <w:lang w:val="en-GB"/>
        </w:rPr>
        <w:t>in print format and not available electronically. This made it impossible to create new models for bureau data</w:t>
      </w:r>
      <w:r w:rsidR="00C25044" w:rsidRPr="00936318">
        <w:rPr>
          <w:lang w:val="en-GB"/>
        </w:rPr>
        <w:t>,</w:t>
      </w:r>
      <w:r w:rsidRPr="00936318">
        <w:rPr>
          <w:lang w:val="en-GB"/>
        </w:rPr>
        <w:t xml:space="preserve"> which was a vital part of assessing a new or existing applicant. </w:t>
      </w:r>
      <w:r w:rsidR="00E94234" w:rsidRPr="00936318">
        <w:rPr>
          <w:lang w:val="en-GB"/>
        </w:rPr>
        <w:t xml:space="preserve">CGC’s </w:t>
      </w:r>
      <w:r w:rsidRPr="00936318">
        <w:rPr>
          <w:lang w:val="en-GB"/>
        </w:rPr>
        <w:t>objective</w:t>
      </w:r>
      <w:r w:rsidR="00E94234" w:rsidRPr="00936318">
        <w:rPr>
          <w:lang w:val="en-GB"/>
        </w:rPr>
        <w:t xml:space="preserve"> </w:t>
      </w:r>
      <w:r w:rsidRPr="00936318">
        <w:rPr>
          <w:lang w:val="en-GB"/>
        </w:rPr>
        <w:t xml:space="preserve">was to come up with a standard model </w:t>
      </w:r>
      <w:r w:rsidR="00C25044" w:rsidRPr="00936318">
        <w:rPr>
          <w:lang w:val="en-GB"/>
        </w:rPr>
        <w:t>for</w:t>
      </w:r>
      <w:r w:rsidRPr="00936318">
        <w:rPr>
          <w:lang w:val="en-GB"/>
        </w:rPr>
        <w:t xml:space="preserve"> </w:t>
      </w:r>
      <w:r w:rsidR="00552A4A" w:rsidRPr="00936318">
        <w:rPr>
          <w:lang w:val="en-GB"/>
        </w:rPr>
        <w:t xml:space="preserve">estimating </w:t>
      </w:r>
      <w:r w:rsidR="00C25044" w:rsidRPr="00936318">
        <w:rPr>
          <w:lang w:val="en-GB"/>
        </w:rPr>
        <w:t>the</w:t>
      </w:r>
      <w:r w:rsidRPr="00936318">
        <w:rPr>
          <w:lang w:val="en-GB"/>
        </w:rPr>
        <w:t xml:space="preserve"> expected losses from each application. This</w:t>
      </w:r>
      <w:r w:rsidR="00D0160F" w:rsidRPr="00936318">
        <w:rPr>
          <w:lang w:val="en-GB"/>
        </w:rPr>
        <w:t xml:space="preserve"> model</w:t>
      </w:r>
      <w:r w:rsidRPr="00936318">
        <w:rPr>
          <w:lang w:val="en-GB"/>
        </w:rPr>
        <w:t xml:space="preserve"> was part of the regulatory guidelines</w:t>
      </w:r>
      <w:r w:rsidR="00C25044" w:rsidRPr="00936318">
        <w:rPr>
          <w:lang w:val="en-GB"/>
        </w:rPr>
        <w:t xml:space="preserve"> for </w:t>
      </w:r>
      <w:r w:rsidRPr="00936318">
        <w:rPr>
          <w:lang w:val="en-GB"/>
        </w:rPr>
        <w:t xml:space="preserve">Bank Negara </w:t>
      </w:r>
      <w:r w:rsidR="00552A4A" w:rsidRPr="00936318">
        <w:rPr>
          <w:lang w:val="en-GB"/>
        </w:rPr>
        <w:t xml:space="preserve">Malaysia </w:t>
      </w:r>
      <w:r w:rsidR="00B24801" w:rsidRPr="00936318">
        <w:rPr>
          <w:lang w:val="en-GB"/>
        </w:rPr>
        <w:t xml:space="preserve">and </w:t>
      </w:r>
      <w:r w:rsidRPr="00936318">
        <w:rPr>
          <w:lang w:val="en-GB"/>
        </w:rPr>
        <w:t>all financial institutions</w:t>
      </w:r>
      <w:r w:rsidR="00D0160F" w:rsidRPr="00936318">
        <w:rPr>
          <w:lang w:val="en-GB"/>
        </w:rPr>
        <w:t>—</w:t>
      </w:r>
      <w:r w:rsidRPr="00936318">
        <w:rPr>
          <w:lang w:val="en-GB"/>
        </w:rPr>
        <w:t xml:space="preserve">to avoid </w:t>
      </w:r>
      <w:r w:rsidR="00552A4A" w:rsidRPr="00936318">
        <w:rPr>
          <w:lang w:val="en-GB"/>
        </w:rPr>
        <w:t xml:space="preserve">a </w:t>
      </w:r>
      <w:r w:rsidRPr="00936318">
        <w:rPr>
          <w:lang w:val="en-GB"/>
        </w:rPr>
        <w:t>liquidity crisis or</w:t>
      </w:r>
      <w:r w:rsidR="00B24801" w:rsidRPr="00936318">
        <w:rPr>
          <w:lang w:val="en-GB"/>
        </w:rPr>
        <w:t>,</w:t>
      </w:r>
      <w:r w:rsidRPr="00936318">
        <w:rPr>
          <w:lang w:val="en-GB"/>
        </w:rPr>
        <w:t xml:space="preserve"> in the worst case, a bank run. </w:t>
      </w:r>
    </w:p>
    <w:p w14:paraId="1A5563A1" w14:textId="77777777" w:rsidR="00E94234" w:rsidRPr="00936318" w:rsidRDefault="00E94234" w:rsidP="00C92E99">
      <w:pPr>
        <w:pStyle w:val="BodyTextMain"/>
        <w:rPr>
          <w:lang w:val="en-GB"/>
        </w:rPr>
      </w:pPr>
    </w:p>
    <w:p w14:paraId="58DBCB30" w14:textId="0852330B" w:rsidR="00E94234" w:rsidRPr="00936318" w:rsidRDefault="00C92E99" w:rsidP="000D62AB">
      <w:pPr>
        <w:pStyle w:val="BodyTextMain"/>
        <w:rPr>
          <w:lang w:val="en-GB"/>
        </w:rPr>
      </w:pPr>
      <w:r w:rsidRPr="00936318">
        <w:rPr>
          <w:lang w:val="en-GB"/>
        </w:rPr>
        <w:t xml:space="preserve">CGC </w:t>
      </w:r>
      <w:r w:rsidR="00552A4A" w:rsidRPr="00936318">
        <w:rPr>
          <w:lang w:val="en-GB"/>
        </w:rPr>
        <w:t xml:space="preserve">also </w:t>
      </w:r>
      <w:r w:rsidRPr="00936318">
        <w:rPr>
          <w:lang w:val="en-GB"/>
        </w:rPr>
        <w:t>wanted to use its own accounts to judge a pre-existing customer</w:t>
      </w:r>
      <w:r w:rsidR="00C25044" w:rsidRPr="00936318">
        <w:rPr>
          <w:lang w:val="en-GB"/>
        </w:rPr>
        <w:t xml:space="preserve">, </w:t>
      </w:r>
      <w:r w:rsidRPr="00936318">
        <w:rPr>
          <w:lang w:val="en-GB"/>
        </w:rPr>
        <w:t xml:space="preserve">where </w:t>
      </w:r>
      <w:r w:rsidR="00C25044" w:rsidRPr="00936318">
        <w:rPr>
          <w:lang w:val="en-GB"/>
        </w:rPr>
        <w:t xml:space="preserve">the </w:t>
      </w:r>
      <w:r w:rsidRPr="00936318">
        <w:rPr>
          <w:lang w:val="en-GB"/>
        </w:rPr>
        <w:t>pre-existing client’s behaviour pattern toward CGC was taken into account</w:t>
      </w:r>
      <w:r w:rsidR="00552A4A" w:rsidRPr="00936318">
        <w:rPr>
          <w:lang w:val="en-GB"/>
        </w:rPr>
        <w:t xml:space="preserve"> as part of behaviour</w:t>
      </w:r>
      <w:r w:rsidR="00D0160F" w:rsidRPr="00936318">
        <w:rPr>
          <w:lang w:val="en-GB"/>
        </w:rPr>
        <w:t>al</w:t>
      </w:r>
      <w:r w:rsidR="00552A4A" w:rsidRPr="00936318">
        <w:rPr>
          <w:lang w:val="en-GB"/>
        </w:rPr>
        <w:t xml:space="preserve"> data analysis</w:t>
      </w:r>
      <w:r w:rsidRPr="00936318">
        <w:rPr>
          <w:lang w:val="en-GB"/>
        </w:rPr>
        <w:t xml:space="preserve">. </w:t>
      </w:r>
      <w:r w:rsidR="007C7034" w:rsidRPr="00936318">
        <w:rPr>
          <w:lang w:val="en-GB"/>
        </w:rPr>
        <w:t>T</w:t>
      </w:r>
      <w:r w:rsidR="00C25044" w:rsidRPr="00936318">
        <w:rPr>
          <w:lang w:val="en-GB"/>
        </w:rPr>
        <w:t xml:space="preserve">he </w:t>
      </w:r>
      <w:r w:rsidRPr="00936318">
        <w:rPr>
          <w:lang w:val="en-GB"/>
        </w:rPr>
        <w:t xml:space="preserve">behaviour </w:t>
      </w:r>
      <w:r w:rsidR="007C7034" w:rsidRPr="00936318">
        <w:rPr>
          <w:lang w:val="en-GB"/>
        </w:rPr>
        <w:t>of</w:t>
      </w:r>
      <w:r w:rsidRPr="00936318">
        <w:rPr>
          <w:lang w:val="en-GB"/>
        </w:rPr>
        <w:t xml:space="preserve"> a client could be </w:t>
      </w:r>
      <w:r w:rsidR="007C7034" w:rsidRPr="00936318">
        <w:rPr>
          <w:lang w:val="en-GB"/>
        </w:rPr>
        <w:t xml:space="preserve">determined by factors such as payment of previous loans from CGC by </w:t>
      </w:r>
      <w:r w:rsidRPr="00936318">
        <w:rPr>
          <w:lang w:val="en-GB"/>
        </w:rPr>
        <w:t xml:space="preserve">the client </w:t>
      </w:r>
      <w:r w:rsidR="00436C3D" w:rsidRPr="00936318">
        <w:rPr>
          <w:lang w:val="en-GB"/>
        </w:rPr>
        <w:t xml:space="preserve">and </w:t>
      </w:r>
      <w:r w:rsidRPr="00936318">
        <w:rPr>
          <w:lang w:val="en-GB"/>
        </w:rPr>
        <w:t>how long the client had been with CGC. Th</w:t>
      </w:r>
      <w:r w:rsidR="00D0160F" w:rsidRPr="00936318">
        <w:rPr>
          <w:lang w:val="en-GB"/>
        </w:rPr>
        <w:t>ese</w:t>
      </w:r>
      <w:r w:rsidRPr="00936318">
        <w:rPr>
          <w:lang w:val="en-GB"/>
        </w:rPr>
        <w:t xml:space="preserve"> data could be useful for </w:t>
      </w:r>
      <w:r w:rsidR="00B24801" w:rsidRPr="00936318">
        <w:rPr>
          <w:lang w:val="en-GB"/>
        </w:rPr>
        <w:t>cross-</w:t>
      </w:r>
      <w:r w:rsidRPr="00936318">
        <w:rPr>
          <w:lang w:val="en-GB"/>
        </w:rPr>
        <w:t>selling</w:t>
      </w:r>
      <w:r w:rsidR="00552A4A" w:rsidRPr="00936318">
        <w:rPr>
          <w:lang w:val="en-GB"/>
        </w:rPr>
        <w:t xml:space="preserve"> </w:t>
      </w:r>
      <w:r w:rsidRPr="00936318">
        <w:rPr>
          <w:lang w:val="en-GB"/>
        </w:rPr>
        <w:t>new products (guarantees) a</w:t>
      </w:r>
      <w:r w:rsidR="00552A4A" w:rsidRPr="00936318">
        <w:rPr>
          <w:lang w:val="en-GB"/>
        </w:rPr>
        <w:t xml:space="preserve">nd </w:t>
      </w:r>
      <w:r w:rsidRPr="00936318">
        <w:rPr>
          <w:lang w:val="en-GB"/>
        </w:rPr>
        <w:t xml:space="preserve">for repricing old ones. </w:t>
      </w:r>
      <w:r w:rsidR="00436C3D" w:rsidRPr="00936318">
        <w:rPr>
          <w:lang w:val="en-GB"/>
        </w:rPr>
        <w:t xml:space="preserve">Since </w:t>
      </w:r>
      <w:r w:rsidRPr="00936318">
        <w:rPr>
          <w:lang w:val="en-GB"/>
        </w:rPr>
        <w:t xml:space="preserve">CGC had only used business rules as models to identify potential bad clients, </w:t>
      </w:r>
      <w:r w:rsidR="00C347F7" w:rsidRPr="00936318">
        <w:rPr>
          <w:lang w:val="en-GB"/>
        </w:rPr>
        <w:t xml:space="preserve">it required </w:t>
      </w:r>
      <w:r w:rsidRPr="00936318">
        <w:rPr>
          <w:lang w:val="en-GB"/>
        </w:rPr>
        <w:t>more accurate models</w:t>
      </w:r>
      <w:r w:rsidR="00297CF8" w:rsidRPr="00936318">
        <w:rPr>
          <w:lang w:val="en-GB"/>
        </w:rPr>
        <w:t xml:space="preserve"> </w:t>
      </w:r>
      <w:r w:rsidR="00C347F7" w:rsidRPr="00936318">
        <w:rPr>
          <w:lang w:val="en-GB"/>
        </w:rPr>
        <w:t>that</w:t>
      </w:r>
      <w:r w:rsidRPr="00936318">
        <w:rPr>
          <w:lang w:val="en-GB"/>
        </w:rPr>
        <w:t xml:space="preserve"> would be easy to interpret </w:t>
      </w:r>
      <w:r w:rsidR="00AC7F0B" w:rsidRPr="00936318">
        <w:rPr>
          <w:lang w:val="en-GB"/>
        </w:rPr>
        <w:t>and to use to create more new models in the future</w:t>
      </w:r>
      <w:r w:rsidRPr="00936318">
        <w:rPr>
          <w:lang w:val="en-GB"/>
        </w:rPr>
        <w:t xml:space="preserve">. </w:t>
      </w:r>
      <w:r w:rsidR="00E50120" w:rsidRPr="00936318">
        <w:rPr>
          <w:lang w:val="en-GB"/>
        </w:rPr>
        <w:t xml:space="preserve">Furthermore, </w:t>
      </w:r>
      <w:r w:rsidR="000359A6" w:rsidRPr="00936318">
        <w:rPr>
          <w:spacing w:val="-4"/>
          <w:kern w:val="22"/>
          <w:lang w:val="en-GB"/>
        </w:rPr>
        <w:t>CGC</w:t>
      </w:r>
      <w:r w:rsidR="00436C3D" w:rsidRPr="00936318">
        <w:rPr>
          <w:spacing w:val="-4"/>
          <w:kern w:val="22"/>
          <w:lang w:val="en-GB"/>
        </w:rPr>
        <w:t xml:space="preserve"> wanted to</w:t>
      </w:r>
      <w:r w:rsidRPr="00936318">
        <w:rPr>
          <w:spacing w:val="-4"/>
          <w:kern w:val="22"/>
          <w:lang w:val="en-GB"/>
        </w:rPr>
        <w:t xml:space="preserve"> </w:t>
      </w:r>
      <w:r w:rsidR="00297CF8" w:rsidRPr="00936318">
        <w:rPr>
          <w:spacing w:val="-4"/>
          <w:kern w:val="22"/>
          <w:lang w:val="en-GB"/>
        </w:rPr>
        <w:t>develop</w:t>
      </w:r>
      <w:r w:rsidRPr="00936318">
        <w:rPr>
          <w:spacing w:val="-4"/>
          <w:kern w:val="22"/>
          <w:lang w:val="en-GB"/>
        </w:rPr>
        <w:t xml:space="preserve"> a strategy </w:t>
      </w:r>
      <w:r w:rsidR="000359A6" w:rsidRPr="00936318">
        <w:rPr>
          <w:spacing w:val="-4"/>
          <w:kern w:val="22"/>
          <w:lang w:val="en-GB"/>
        </w:rPr>
        <w:t>for</w:t>
      </w:r>
      <w:r w:rsidRPr="00936318">
        <w:rPr>
          <w:spacing w:val="-4"/>
          <w:kern w:val="22"/>
          <w:lang w:val="en-GB"/>
        </w:rPr>
        <w:t xml:space="preserve"> </w:t>
      </w:r>
      <w:r w:rsidR="009D6C28" w:rsidRPr="00936318">
        <w:rPr>
          <w:spacing w:val="-4"/>
          <w:kern w:val="22"/>
          <w:lang w:val="en-GB"/>
        </w:rPr>
        <w:t>the us</w:t>
      </w:r>
      <w:r w:rsidR="00552A4A" w:rsidRPr="00936318">
        <w:rPr>
          <w:spacing w:val="-4"/>
          <w:kern w:val="22"/>
          <w:lang w:val="en-GB"/>
        </w:rPr>
        <w:t>e</w:t>
      </w:r>
      <w:r w:rsidR="009D6C28" w:rsidRPr="00936318">
        <w:rPr>
          <w:spacing w:val="-4"/>
          <w:kern w:val="22"/>
          <w:lang w:val="en-GB"/>
        </w:rPr>
        <w:t xml:space="preserve"> of </w:t>
      </w:r>
      <w:r w:rsidRPr="00936318">
        <w:rPr>
          <w:spacing w:val="-4"/>
          <w:kern w:val="22"/>
          <w:lang w:val="en-GB"/>
        </w:rPr>
        <w:t>all the models</w:t>
      </w:r>
      <w:r w:rsidRPr="00936318">
        <w:rPr>
          <w:lang w:val="en-GB"/>
        </w:rPr>
        <w:t xml:space="preserve"> (standard</w:t>
      </w:r>
      <w:r w:rsidR="00C347F7" w:rsidRPr="00936318">
        <w:rPr>
          <w:lang w:val="en-GB"/>
        </w:rPr>
        <w:t xml:space="preserve">, </w:t>
      </w:r>
      <w:r w:rsidRPr="00936318">
        <w:rPr>
          <w:lang w:val="en-GB"/>
        </w:rPr>
        <w:t>demographic</w:t>
      </w:r>
      <w:r w:rsidR="00C347F7" w:rsidRPr="00936318">
        <w:rPr>
          <w:lang w:val="en-GB"/>
        </w:rPr>
        <w:t xml:space="preserve">, </w:t>
      </w:r>
      <w:r w:rsidRPr="00936318">
        <w:rPr>
          <w:lang w:val="en-GB"/>
        </w:rPr>
        <w:t>bureau</w:t>
      </w:r>
      <w:r w:rsidR="00C347F7" w:rsidRPr="00936318">
        <w:rPr>
          <w:lang w:val="en-GB"/>
        </w:rPr>
        <w:t xml:space="preserve">, and </w:t>
      </w:r>
      <w:r w:rsidRPr="00936318">
        <w:rPr>
          <w:lang w:val="en-GB"/>
        </w:rPr>
        <w:t>behaviour</w:t>
      </w:r>
      <w:r w:rsidR="000359A6" w:rsidRPr="00936318">
        <w:rPr>
          <w:lang w:val="en-GB"/>
        </w:rPr>
        <w:t>al</w:t>
      </w:r>
      <w:r w:rsidRPr="00936318">
        <w:rPr>
          <w:lang w:val="en-GB"/>
        </w:rPr>
        <w:t xml:space="preserve"> model</w:t>
      </w:r>
      <w:r w:rsidR="00C347F7" w:rsidRPr="00936318">
        <w:rPr>
          <w:lang w:val="en-GB"/>
        </w:rPr>
        <w:t>s</w:t>
      </w:r>
      <w:r w:rsidRPr="00936318">
        <w:rPr>
          <w:lang w:val="en-GB"/>
        </w:rPr>
        <w:t xml:space="preserve">) and not abandon </w:t>
      </w:r>
      <w:r w:rsidR="00C347F7" w:rsidRPr="00936318">
        <w:rPr>
          <w:lang w:val="en-GB"/>
        </w:rPr>
        <w:t xml:space="preserve">any </w:t>
      </w:r>
      <w:r w:rsidRPr="00936318">
        <w:rPr>
          <w:lang w:val="en-GB"/>
        </w:rPr>
        <w:t>one model.</w:t>
      </w:r>
    </w:p>
    <w:p w14:paraId="030ED705" w14:textId="77777777" w:rsidR="00D0160F" w:rsidRPr="00936318" w:rsidRDefault="00D0160F" w:rsidP="00C92E99">
      <w:pPr>
        <w:pStyle w:val="Casehead1"/>
        <w:rPr>
          <w:lang w:val="en-GB"/>
        </w:rPr>
      </w:pPr>
    </w:p>
    <w:p w14:paraId="6B5B817A" w14:textId="73B3DC68" w:rsidR="00741F24" w:rsidRDefault="00741F24">
      <w:pPr>
        <w:spacing w:after="200" w:line="276" w:lineRule="auto"/>
        <w:rPr>
          <w:rFonts w:ascii="Arial" w:hAnsi="Arial" w:cs="Arial"/>
          <w:b/>
          <w:caps/>
          <w:lang w:val="en-GB"/>
        </w:rPr>
      </w:pPr>
      <w:r>
        <w:rPr>
          <w:lang w:val="en-GB"/>
        </w:rPr>
        <w:br w:type="page"/>
      </w:r>
    </w:p>
    <w:p w14:paraId="30831B09" w14:textId="77777777" w:rsidR="00C92E99" w:rsidRPr="00936318" w:rsidRDefault="00C92E99" w:rsidP="00C92E99">
      <w:pPr>
        <w:pStyle w:val="Casehead1"/>
        <w:rPr>
          <w:lang w:val="en-GB"/>
        </w:rPr>
      </w:pPr>
      <w:r w:rsidRPr="00936318">
        <w:rPr>
          <w:lang w:val="en-GB"/>
        </w:rPr>
        <w:lastRenderedPageBreak/>
        <w:t>Decision Point</w:t>
      </w:r>
    </w:p>
    <w:p w14:paraId="30B10076" w14:textId="77777777" w:rsidR="00E50120" w:rsidRPr="00936318" w:rsidRDefault="00E50120" w:rsidP="00C92E99">
      <w:pPr>
        <w:jc w:val="both"/>
        <w:rPr>
          <w:b/>
          <w:sz w:val="22"/>
          <w:szCs w:val="22"/>
          <w:lang w:val="en-GB"/>
        </w:rPr>
      </w:pPr>
    </w:p>
    <w:p w14:paraId="116B80B1" w14:textId="77777777" w:rsidR="00665AE4" w:rsidRPr="00936318" w:rsidRDefault="006829F6" w:rsidP="000D62AB">
      <w:pPr>
        <w:pStyle w:val="BodyTextMain"/>
        <w:rPr>
          <w:lang w:val="en-GB"/>
        </w:rPr>
      </w:pPr>
      <w:proofErr w:type="spellStart"/>
      <w:r w:rsidRPr="00936318">
        <w:rPr>
          <w:lang w:val="en-GB"/>
        </w:rPr>
        <w:t>Perbagaran</w:t>
      </w:r>
      <w:proofErr w:type="spellEnd"/>
      <w:r w:rsidR="00C92E99" w:rsidRPr="00936318">
        <w:rPr>
          <w:lang w:val="en-GB"/>
        </w:rPr>
        <w:t xml:space="preserve"> had to overcome </w:t>
      </w:r>
      <w:r w:rsidR="003862D9" w:rsidRPr="00936318">
        <w:rPr>
          <w:lang w:val="en-GB"/>
        </w:rPr>
        <w:t xml:space="preserve">all of </w:t>
      </w:r>
      <w:r w:rsidR="00C92E99" w:rsidRPr="00936318">
        <w:rPr>
          <w:lang w:val="en-GB"/>
        </w:rPr>
        <w:t>th</w:t>
      </w:r>
      <w:r w:rsidR="00E50120" w:rsidRPr="00936318">
        <w:rPr>
          <w:lang w:val="en-GB"/>
        </w:rPr>
        <w:t>ese challenges related to changing business rules</w:t>
      </w:r>
      <w:r w:rsidR="00C92E99" w:rsidRPr="00936318">
        <w:rPr>
          <w:lang w:val="en-GB"/>
        </w:rPr>
        <w:t xml:space="preserve">, keeping in mind two things: </w:t>
      </w:r>
      <w:r w:rsidR="003862D9" w:rsidRPr="00936318">
        <w:rPr>
          <w:lang w:val="en-GB"/>
        </w:rPr>
        <w:t xml:space="preserve">(1) </w:t>
      </w:r>
      <w:r w:rsidR="00C92E99" w:rsidRPr="00936318">
        <w:rPr>
          <w:lang w:val="en-GB"/>
        </w:rPr>
        <w:t xml:space="preserve">compliance with </w:t>
      </w:r>
      <w:r w:rsidR="003862D9" w:rsidRPr="00936318">
        <w:rPr>
          <w:lang w:val="en-GB"/>
        </w:rPr>
        <w:t xml:space="preserve">global </w:t>
      </w:r>
      <w:r w:rsidR="00C92E99" w:rsidRPr="00936318">
        <w:rPr>
          <w:lang w:val="en-GB"/>
        </w:rPr>
        <w:t>regulatory standards</w:t>
      </w:r>
      <w:r w:rsidR="003862D9" w:rsidRPr="00936318">
        <w:rPr>
          <w:lang w:val="en-GB"/>
        </w:rPr>
        <w:t>,</w:t>
      </w:r>
      <w:r w:rsidR="00C92E99" w:rsidRPr="00936318">
        <w:rPr>
          <w:lang w:val="en-GB"/>
        </w:rPr>
        <w:t xml:space="preserve"> and</w:t>
      </w:r>
      <w:r w:rsidR="003862D9" w:rsidRPr="00936318">
        <w:rPr>
          <w:lang w:val="en-GB"/>
        </w:rPr>
        <w:t xml:space="preserve"> (2)</w:t>
      </w:r>
      <w:r w:rsidR="00C92E99" w:rsidRPr="00936318">
        <w:rPr>
          <w:lang w:val="en-GB"/>
        </w:rPr>
        <w:t xml:space="preserve"> efficient business rules with the objective of disbursing loans only to creditworthy customers a</w:t>
      </w:r>
      <w:r w:rsidR="00BE33DD" w:rsidRPr="00936318">
        <w:rPr>
          <w:lang w:val="en-GB"/>
        </w:rPr>
        <w:t xml:space="preserve">ccording to </w:t>
      </w:r>
      <w:r w:rsidR="00C92E99" w:rsidRPr="00936318">
        <w:rPr>
          <w:lang w:val="en-GB"/>
        </w:rPr>
        <w:t xml:space="preserve">the </w:t>
      </w:r>
      <w:r w:rsidR="00BE33DD" w:rsidRPr="00936318">
        <w:rPr>
          <w:lang w:val="en-GB"/>
        </w:rPr>
        <w:t xml:space="preserve">firm’s </w:t>
      </w:r>
      <w:r w:rsidR="00C92E99" w:rsidRPr="00936318">
        <w:rPr>
          <w:lang w:val="en-GB"/>
        </w:rPr>
        <w:t>policy.</w:t>
      </w:r>
      <w:r w:rsidR="00665AE4" w:rsidRPr="00936318">
        <w:rPr>
          <w:lang w:val="en-GB"/>
        </w:rPr>
        <w:br w:type="page"/>
      </w:r>
    </w:p>
    <w:p w14:paraId="6434C743" w14:textId="77777777" w:rsidR="00C92E99" w:rsidRPr="00936318" w:rsidRDefault="00665AE4" w:rsidP="00824AB3">
      <w:pPr>
        <w:pStyle w:val="BodyTextMain"/>
        <w:jc w:val="center"/>
        <w:rPr>
          <w:rFonts w:ascii="Arial Bold" w:hAnsi="Arial Bold" w:cs="Arial"/>
          <w:b/>
          <w:caps/>
          <w:sz w:val="20"/>
          <w:szCs w:val="20"/>
          <w:lang w:val="en-GB"/>
        </w:rPr>
      </w:pPr>
      <w:r w:rsidRPr="00936318">
        <w:rPr>
          <w:rFonts w:ascii="Arial Bold" w:hAnsi="Arial Bold" w:cs="Arial"/>
          <w:b/>
          <w:caps/>
          <w:sz w:val="20"/>
          <w:szCs w:val="20"/>
          <w:lang w:val="en-GB"/>
        </w:rPr>
        <w:lastRenderedPageBreak/>
        <w:t xml:space="preserve">Exhibit 1: </w:t>
      </w:r>
      <w:r w:rsidR="00225F43" w:rsidRPr="00936318">
        <w:rPr>
          <w:rFonts w:ascii="Arial Bold" w:hAnsi="Arial Bold" w:cs="Arial"/>
          <w:b/>
          <w:caps/>
          <w:sz w:val="20"/>
          <w:szCs w:val="20"/>
          <w:lang w:val="en-GB"/>
        </w:rPr>
        <w:t xml:space="preserve">CGC </w:t>
      </w:r>
      <w:r w:rsidRPr="00936318">
        <w:rPr>
          <w:rFonts w:ascii="Arial Bold" w:hAnsi="Arial Bold" w:cs="Arial"/>
          <w:b/>
          <w:caps/>
          <w:sz w:val="20"/>
          <w:szCs w:val="20"/>
          <w:lang w:val="en-GB"/>
        </w:rPr>
        <w:t>Delivery Channel</w:t>
      </w:r>
    </w:p>
    <w:bookmarkStart w:id="0" w:name="_GoBack"/>
    <w:bookmarkEnd w:id="0"/>
    <w:p w14:paraId="4105B8FC" w14:textId="77777777" w:rsidR="00E7479E" w:rsidRPr="00936318" w:rsidRDefault="00B76B44" w:rsidP="00E7479E">
      <w:pPr>
        <w:rPr>
          <w:lang w:val="en-GB"/>
        </w:rPr>
      </w:pPr>
      <w:r w:rsidRPr="00936318">
        <w:rPr>
          <w:noProof/>
          <w:lang w:val="en-CA" w:eastAsia="en-CA"/>
        </w:rPr>
        <mc:AlternateContent>
          <mc:Choice Requires="wpg">
            <w:drawing>
              <wp:anchor distT="0" distB="0" distL="114300" distR="114300" simplePos="0" relativeHeight="251684864" behindDoc="0" locked="0" layoutInCell="1" allowOverlap="1" wp14:anchorId="40756A25" wp14:editId="7375F092">
                <wp:simplePos x="0" y="0"/>
                <wp:positionH relativeFrom="column">
                  <wp:posOffset>-199390</wp:posOffset>
                </wp:positionH>
                <wp:positionV relativeFrom="paragraph">
                  <wp:posOffset>102870</wp:posOffset>
                </wp:positionV>
                <wp:extent cx="6336030" cy="3103463"/>
                <wp:effectExtent l="0" t="0" r="26670" b="1905"/>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6030" cy="3103463"/>
                          <a:chOff x="861" y="2687"/>
                          <a:chExt cx="10490" cy="4647"/>
                        </a:xfrm>
                      </wpg:grpSpPr>
                      <wps:wsp>
                        <wps:cNvPr id="2" name="AutoShape 16"/>
                        <wps:cNvCnPr>
                          <a:cxnSpLocks noChangeShapeType="1"/>
                        </wps:cNvCnPr>
                        <wps:spPr bwMode="auto">
                          <a:xfrm>
                            <a:off x="2788" y="3452"/>
                            <a:ext cx="0" cy="275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5" name="AutoShape 17"/>
                        <wps:cNvCnPr>
                          <a:cxnSpLocks noChangeShapeType="1"/>
                        </wps:cNvCnPr>
                        <wps:spPr bwMode="auto">
                          <a:xfrm flipV="1">
                            <a:off x="1889" y="3450"/>
                            <a:ext cx="0" cy="2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8"/>
                        <wps:cNvCnPr>
                          <a:cxnSpLocks noChangeShapeType="1"/>
                        </wps:cNvCnPr>
                        <wps:spPr bwMode="auto">
                          <a:xfrm>
                            <a:off x="4236" y="3155"/>
                            <a:ext cx="403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9"/>
                        <wps:cNvCnPr>
                          <a:cxnSpLocks noChangeShapeType="1"/>
                        </wps:cNvCnPr>
                        <wps:spPr bwMode="auto">
                          <a:xfrm flipH="1">
                            <a:off x="4236" y="3366"/>
                            <a:ext cx="4036"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 name="AutoShape 20"/>
                        <wps:cNvCnPr>
                          <a:cxnSpLocks noChangeShapeType="1"/>
                        </wps:cNvCnPr>
                        <wps:spPr bwMode="auto">
                          <a:xfrm flipV="1">
                            <a:off x="10300" y="3522"/>
                            <a:ext cx="0" cy="2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1"/>
                        <wps:cNvCnPr>
                          <a:cxnSpLocks noChangeShapeType="1"/>
                        </wps:cNvCnPr>
                        <wps:spPr bwMode="auto">
                          <a:xfrm flipH="1">
                            <a:off x="3825" y="6589"/>
                            <a:ext cx="50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22"/>
                        <wps:cNvCnPr>
                          <a:cxnSpLocks noChangeShapeType="1"/>
                        </wps:cNvCnPr>
                        <wps:spPr bwMode="auto">
                          <a:xfrm>
                            <a:off x="3825" y="6384"/>
                            <a:ext cx="5097"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 name="AutoShape 23"/>
                        <wps:cNvCnPr>
                          <a:cxnSpLocks noChangeShapeType="1"/>
                        </wps:cNvCnPr>
                        <wps:spPr bwMode="auto">
                          <a:xfrm flipV="1">
                            <a:off x="3934" y="3461"/>
                            <a:ext cx="4438" cy="2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24"/>
                        <wps:cNvCnPr>
                          <a:cxnSpLocks noChangeShapeType="1"/>
                        </wps:cNvCnPr>
                        <wps:spPr bwMode="auto">
                          <a:xfrm flipH="1">
                            <a:off x="3825" y="3450"/>
                            <a:ext cx="4375" cy="275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g:grpSp>
                        <wpg:cNvPr id="13" name="Group 35"/>
                        <wpg:cNvGrpSpPr>
                          <a:grpSpLocks/>
                        </wpg:cNvGrpSpPr>
                        <wpg:grpSpPr bwMode="auto">
                          <a:xfrm>
                            <a:off x="861" y="2687"/>
                            <a:ext cx="10490" cy="4647"/>
                            <a:chOff x="861" y="2687"/>
                            <a:chExt cx="10490" cy="4647"/>
                          </a:xfrm>
                        </wpg:grpSpPr>
                        <wpg:grpSp>
                          <wpg:cNvPr id="14" name="Group 34"/>
                          <wpg:cNvGrpSpPr>
                            <a:grpSpLocks/>
                          </wpg:cNvGrpSpPr>
                          <wpg:grpSpPr bwMode="auto">
                            <a:xfrm>
                              <a:off x="1088" y="3061"/>
                              <a:ext cx="10263" cy="3590"/>
                              <a:chOff x="1088" y="3061"/>
                              <a:chExt cx="10263" cy="3590"/>
                            </a:xfrm>
                          </wpg:grpSpPr>
                          <wps:wsp>
                            <wps:cNvPr id="15" name="Text Box 12"/>
                            <wps:cNvSpPr txBox="1">
                              <a:spLocks noChangeArrowheads="1"/>
                            </wps:cNvSpPr>
                            <wps:spPr bwMode="auto">
                              <a:xfrm>
                                <a:off x="1216" y="3061"/>
                                <a:ext cx="3020" cy="370"/>
                              </a:xfrm>
                              <a:prstGeom prst="rect">
                                <a:avLst/>
                              </a:prstGeom>
                              <a:solidFill>
                                <a:srgbClr val="FFFFFF"/>
                              </a:solidFill>
                              <a:ln w="9525">
                                <a:solidFill>
                                  <a:srgbClr val="000000"/>
                                </a:solidFill>
                                <a:miter lim="800000"/>
                                <a:headEnd/>
                                <a:tailEnd/>
                              </a:ln>
                            </wps:spPr>
                            <wps:txbx>
                              <w:txbxContent>
                                <w:p w14:paraId="147AD1D2" w14:textId="77777777" w:rsidR="009106AB" w:rsidRPr="000D62AB" w:rsidRDefault="009106AB" w:rsidP="00524300">
                                  <w:pPr>
                                    <w:jc w:val="center"/>
                                    <w:rPr>
                                      <w:rFonts w:ascii="Arial" w:hAnsi="Arial" w:cs="Arial"/>
                                    </w:rPr>
                                  </w:pPr>
                                  <w:r w:rsidRPr="000D62AB">
                                    <w:rPr>
                                      <w:rFonts w:ascii="Arial" w:hAnsi="Arial" w:cs="Arial"/>
                                    </w:rPr>
                                    <w:t>Central Bank of Malaysia</w:t>
                                  </w:r>
                                </w:p>
                              </w:txbxContent>
                            </wps:txbx>
                            <wps:bodyPr rot="0" vert="horz" wrap="square" lIns="91440" tIns="45720" rIns="91440" bIns="45720" anchor="t" anchorCtr="0" upright="1">
                              <a:spAutoFit/>
                            </wps:bodyPr>
                          </wps:wsp>
                          <wps:wsp>
                            <wps:cNvPr id="16" name="Text Box 13"/>
                            <wps:cNvSpPr txBox="1">
                              <a:spLocks noChangeArrowheads="1"/>
                            </wps:cNvSpPr>
                            <wps:spPr bwMode="auto">
                              <a:xfrm>
                                <a:off x="8272" y="3063"/>
                                <a:ext cx="3079" cy="589"/>
                              </a:xfrm>
                              <a:prstGeom prst="rect">
                                <a:avLst/>
                              </a:prstGeom>
                              <a:solidFill>
                                <a:srgbClr val="FFFFFF"/>
                              </a:solidFill>
                              <a:ln w="9525">
                                <a:solidFill>
                                  <a:srgbClr val="000000"/>
                                </a:solidFill>
                                <a:miter lim="800000"/>
                                <a:headEnd/>
                                <a:tailEnd/>
                              </a:ln>
                            </wps:spPr>
                            <wps:txbx>
                              <w:txbxContent>
                                <w:p w14:paraId="3889866B" w14:textId="77777777" w:rsidR="009106AB" w:rsidRPr="000D62AB" w:rsidRDefault="009106AB" w:rsidP="000D62AB">
                                  <w:pPr>
                                    <w:rPr>
                                      <w:rFonts w:ascii="Arial" w:hAnsi="Arial" w:cs="Arial"/>
                                      <w:lang w:val="en-IN"/>
                                    </w:rPr>
                                  </w:pPr>
                                  <w:r w:rsidRPr="000D62AB">
                                    <w:rPr>
                                      <w:rFonts w:ascii="Arial" w:hAnsi="Arial" w:cs="Arial"/>
                                      <w:lang w:val="en-IN"/>
                                    </w:rPr>
                                    <w:t>Credit Guarantee Corporation</w:t>
                                  </w:r>
                                </w:p>
                              </w:txbxContent>
                            </wps:txbx>
                            <wps:bodyPr rot="0" vert="horz" wrap="square" lIns="91440" tIns="45720" rIns="91440" bIns="45720" anchor="t" anchorCtr="0" upright="1">
                              <a:spAutoFit/>
                            </wps:bodyPr>
                          </wps:wsp>
                          <wps:wsp>
                            <wps:cNvPr id="17" name="Text Box 14"/>
                            <wps:cNvSpPr txBox="1">
                              <a:spLocks noChangeArrowheads="1"/>
                            </wps:cNvSpPr>
                            <wps:spPr bwMode="auto">
                              <a:xfrm>
                                <a:off x="8922" y="6272"/>
                                <a:ext cx="2110" cy="370"/>
                              </a:xfrm>
                              <a:prstGeom prst="rect">
                                <a:avLst/>
                              </a:prstGeom>
                              <a:solidFill>
                                <a:srgbClr val="FFFFFF"/>
                              </a:solidFill>
                              <a:ln w="9525">
                                <a:solidFill>
                                  <a:srgbClr val="000000"/>
                                </a:solidFill>
                                <a:miter lim="800000"/>
                                <a:headEnd/>
                                <a:tailEnd/>
                              </a:ln>
                            </wps:spPr>
                            <wps:txbx>
                              <w:txbxContent>
                                <w:p w14:paraId="23CCCB48" w14:textId="77777777" w:rsidR="009106AB" w:rsidRPr="000D62AB" w:rsidRDefault="009106AB">
                                  <w:pPr>
                                    <w:jc w:val="center"/>
                                    <w:rPr>
                                      <w:rFonts w:ascii="Arial" w:hAnsi="Arial" w:cs="Arial"/>
                                    </w:rPr>
                                  </w:pPr>
                                  <w:r w:rsidRPr="000D62AB">
                                    <w:rPr>
                                      <w:rFonts w:ascii="Arial" w:hAnsi="Arial" w:cs="Arial"/>
                                    </w:rPr>
                                    <w:t>Borrower</w:t>
                                  </w:r>
                                </w:p>
                              </w:txbxContent>
                            </wps:txbx>
                            <wps:bodyPr rot="0" vert="horz" wrap="square" lIns="91440" tIns="45720" rIns="91440" bIns="45720" anchor="t" anchorCtr="0" upright="1">
                              <a:spAutoFit/>
                            </wps:bodyPr>
                          </wps:wsp>
                          <wps:wsp>
                            <wps:cNvPr id="18" name="Text Box 15"/>
                            <wps:cNvSpPr txBox="1">
                              <a:spLocks noChangeArrowheads="1"/>
                            </wps:cNvSpPr>
                            <wps:spPr bwMode="auto">
                              <a:xfrm>
                                <a:off x="1088" y="6281"/>
                                <a:ext cx="2746" cy="370"/>
                              </a:xfrm>
                              <a:prstGeom prst="rect">
                                <a:avLst/>
                              </a:prstGeom>
                              <a:solidFill>
                                <a:srgbClr val="FFFFFF"/>
                              </a:solidFill>
                              <a:ln w="9525">
                                <a:solidFill>
                                  <a:srgbClr val="000000"/>
                                </a:solidFill>
                                <a:miter lim="800000"/>
                                <a:headEnd/>
                                <a:tailEnd/>
                              </a:ln>
                            </wps:spPr>
                            <wps:txbx>
                              <w:txbxContent>
                                <w:p w14:paraId="3701C9AE" w14:textId="77777777" w:rsidR="009106AB" w:rsidRPr="000D62AB" w:rsidRDefault="009106AB" w:rsidP="00524300">
                                  <w:pPr>
                                    <w:jc w:val="center"/>
                                    <w:rPr>
                                      <w:rFonts w:ascii="Arial" w:hAnsi="Arial" w:cs="Arial"/>
                                    </w:rPr>
                                  </w:pPr>
                                  <w:r w:rsidRPr="000D62AB">
                                    <w:rPr>
                                      <w:rFonts w:ascii="Arial" w:hAnsi="Arial" w:cs="Arial"/>
                                    </w:rPr>
                                    <w:t>Lending Institutions</w:t>
                                  </w:r>
                                </w:p>
                              </w:txbxContent>
                            </wps:txbx>
                            <wps:bodyPr rot="0" vert="horz" wrap="square" lIns="91440" tIns="45720" rIns="91440" bIns="45720" anchor="t" anchorCtr="0" upright="1">
                              <a:spAutoFit/>
                            </wps:bodyPr>
                          </wps:wsp>
                        </wpg:grpSp>
                        <wps:wsp>
                          <wps:cNvPr id="19" name="Text Box 25"/>
                          <wps:cNvSpPr txBox="1">
                            <a:spLocks noChangeArrowheads="1"/>
                          </wps:cNvSpPr>
                          <wps:spPr bwMode="auto">
                            <a:xfrm>
                              <a:off x="9293" y="4714"/>
                              <a:ext cx="2000" cy="5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09E07" w14:textId="77777777" w:rsidR="009106AB" w:rsidRPr="000D62AB" w:rsidRDefault="009106AB">
                                <w:pPr>
                                  <w:rPr>
                                    <w:rFonts w:ascii="Arial" w:hAnsi="Arial" w:cs="Arial"/>
                                  </w:rPr>
                                </w:pPr>
                                <w:r w:rsidRPr="000D62AB">
                                  <w:rPr>
                                    <w:rFonts w:ascii="Arial" w:hAnsi="Arial" w:cs="Arial"/>
                                  </w:rPr>
                                  <w:t>1. Loan Application</w:t>
                                </w:r>
                              </w:p>
                            </w:txbxContent>
                          </wps:txbx>
                          <wps:bodyPr rot="0" vert="horz" wrap="square" lIns="91440" tIns="45720" rIns="91440" bIns="45720" anchor="t" anchorCtr="0" upright="1">
                            <a:spAutoFit/>
                          </wps:bodyPr>
                        </wps:wsp>
                        <wps:wsp>
                          <wps:cNvPr id="20" name="Text Box 26"/>
                          <wps:cNvSpPr txBox="1">
                            <a:spLocks noChangeArrowheads="1"/>
                          </wps:cNvSpPr>
                          <wps:spPr bwMode="auto">
                            <a:xfrm>
                              <a:off x="5285" y="6760"/>
                              <a:ext cx="2000" cy="5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BF5D7" w14:textId="77777777" w:rsidR="009106AB" w:rsidRPr="000D62AB" w:rsidRDefault="009106AB" w:rsidP="000D62AB">
                                <w:pPr>
                                  <w:jc w:val="center"/>
                                  <w:rPr>
                                    <w:rFonts w:ascii="Arial" w:hAnsi="Arial" w:cs="Arial"/>
                                  </w:rPr>
                                </w:pPr>
                                <w:r w:rsidRPr="000D62AB">
                                  <w:rPr>
                                    <w:rFonts w:ascii="Arial" w:hAnsi="Arial" w:cs="Arial"/>
                                  </w:rPr>
                                  <w:t>1. Loan Application</w:t>
                                </w:r>
                              </w:p>
                            </w:txbxContent>
                          </wps:txbx>
                          <wps:bodyPr rot="0" vert="horz" wrap="square" lIns="91440" tIns="45720" rIns="91440" bIns="45720" anchor="t" anchorCtr="0" upright="1">
                            <a:spAutoFit/>
                          </wps:bodyPr>
                        </wps:wsp>
                        <wps:wsp>
                          <wps:cNvPr id="21" name="Text Box 27"/>
                          <wps:cNvSpPr txBox="1">
                            <a:spLocks noChangeArrowheads="1"/>
                          </wps:cNvSpPr>
                          <wps:spPr bwMode="auto">
                            <a:xfrm>
                              <a:off x="5045" y="5845"/>
                              <a:ext cx="2793"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74C310" w14:textId="77777777" w:rsidR="009106AB" w:rsidRPr="000D62AB" w:rsidRDefault="009106AB" w:rsidP="000D62AB">
                                <w:pPr>
                                  <w:jc w:val="center"/>
                                  <w:rPr>
                                    <w:rFonts w:ascii="Arial" w:hAnsi="Arial" w:cs="Arial"/>
                                  </w:rPr>
                                </w:pPr>
                                <w:r w:rsidRPr="000D62AB">
                                  <w:rPr>
                                    <w:rFonts w:ascii="Arial" w:hAnsi="Arial" w:cs="Arial"/>
                                  </w:rPr>
                                  <w:t>4. Loan Disbursement</w:t>
                                </w:r>
                              </w:p>
                            </w:txbxContent>
                          </wps:txbx>
                          <wps:bodyPr rot="0" vert="horz" wrap="square" lIns="91440" tIns="45720" rIns="91440" bIns="45720" anchor="t" anchorCtr="0" upright="1">
                            <a:spAutoFit/>
                          </wps:bodyPr>
                        </wps:wsp>
                        <wps:wsp>
                          <wps:cNvPr id="22" name="Text Box 28"/>
                          <wps:cNvSpPr txBox="1">
                            <a:spLocks noChangeArrowheads="1"/>
                          </wps:cNvSpPr>
                          <wps:spPr bwMode="auto">
                            <a:xfrm>
                              <a:off x="6475" y="4714"/>
                              <a:ext cx="2682"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66565" w14:textId="77777777" w:rsidR="009106AB" w:rsidRPr="000D62AB" w:rsidRDefault="009106AB" w:rsidP="00E7479E">
                                <w:pPr>
                                  <w:rPr>
                                    <w:rFonts w:ascii="Arial" w:hAnsi="Arial" w:cs="Arial"/>
                                  </w:rPr>
                                </w:pPr>
                                <w:r w:rsidRPr="000D62AB">
                                  <w:rPr>
                                    <w:rFonts w:ascii="Arial" w:hAnsi="Arial" w:cs="Arial"/>
                                  </w:rPr>
                                  <w:t>2. Guarantee Application</w:t>
                                </w:r>
                              </w:p>
                            </w:txbxContent>
                          </wps:txbx>
                          <wps:bodyPr rot="0" vert="horz" wrap="square" lIns="91440" tIns="45720" rIns="91440" bIns="45720" anchor="t" anchorCtr="0" upright="1">
                            <a:spAutoFit/>
                          </wps:bodyPr>
                        </wps:wsp>
                        <wps:wsp>
                          <wps:cNvPr id="23" name="Text Box 29"/>
                          <wps:cNvSpPr txBox="1">
                            <a:spLocks noChangeArrowheads="1"/>
                          </wps:cNvSpPr>
                          <wps:spPr bwMode="auto">
                            <a:xfrm>
                              <a:off x="4236" y="4127"/>
                              <a:ext cx="2363" cy="5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E2F6D" w14:textId="77777777" w:rsidR="009106AB" w:rsidRPr="000D62AB" w:rsidRDefault="009106AB" w:rsidP="00E7479E">
                                <w:pPr>
                                  <w:rPr>
                                    <w:rFonts w:ascii="Arial" w:hAnsi="Arial" w:cs="Arial"/>
                                  </w:rPr>
                                </w:pPr>
                                <w:r w:rsidRPr="000D62AB">
                                  <w:rPr>
                                    <w:rFonts w:ascii="Arial" w:hAnsi="Arial" w:cs="Arial"/>
                                  </w:rPr>
                                  <w:t>3.</w:t>
                                </w:r>
                                <w:r>
                                  <w:t xml:space="preserve"> </w:t>
                                </w:r>
                                <w:r w:rsidRPr="000D62AB">
                                  <w:rPr>
                                    <w:rFonts w:ascii="Arial" w:hAnsi="Arial" w:cs="Arial"/>
                                  </w:rPr>
                                  <w:t>Guarantee Issuance</w:t>
                                </w:r>
                              </w:p>
                            </w:txbxContent>
                          </wps:txbx>
                          <wps:bodyPr rot="0" vert="horz" wrap="square" lIns="91440" tIns="45720" rIns="91440" bIns="45720" anchor="t" anchorCtr="0" upright="1">
                            <a:spAutoFit/>
                          </wps:bodyPr>
                        </wps:wsp>
                        <wps:wsp>
                          <wps:cNvPr id="24" name="Text Box 30"/>
                          <wps:cNvSpPr txBox="1">
                            <a:spLocks noChangeArrowheads="1"/>
                          </wps:cNvSpPr>
                          <wps:spPr bwMode="auto">
                            <a:xfrm>
                              <a:off x="5626" y="3450"/>
                              <a:ext cx="1070"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5CE5B" w14:textId="77777777" w:rsidR="009106AB" w:rsidRPr="000D62AB" w:rsidRDefault="009106AB" w:rsidP="00E7479E">
                                <w:pPr>
                                  <w:rPr>
                                    <w:rFonts w:ascii="Arial" w:hAnsi="Arial" w:cs="Arial"/>
                                    <w:lang w:val="en-IN"/>
                                  </w:rPr>
                                </w:pPr>
                                <w:r w:rsidRPr="000D62AB">
                                  <w:rPr>
                                    <w:rFonts w:ascii="Arial" w:hAnsi="Arial" w:cs="Arial"/>
                                    <w:lang w:val="en-IN"/>
                                  </w:rPr>
                                  <w:t>Report</w:t>
                                </w:r>
                              </w:p>
                            </w:txbxContent>
                          </wps:txbx>
                          <wps:bodyPr rot="0" vert="horz" wrap="square" lIns="91440" tIns="45720" rIns="91440" bIns="45720" anchor="t" anchorCtr="0" upright="1">
                            <a:spAutoFit/>
                          </wps:bodyPr>
                        </wps:wsp>
                        <wps:wsp>
                          <wps:cNvPr id="25" name="Text Box 31"/>
                          <wps:cNvSpPr txBox="1">
                            <a:spLocks noChangeArrowheads="1"/>
                          </wps:cNvSpPr>
                          <wps:spPr bwMode="auto">
                            <a:xfrm>
                              <a:off x="2885" y="4907"/>
                              <a:ext cx="1408"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10F09" w14:textId="77777777" w:rsidR="009106AB" w:rsidRPr="000D62AB" w:rsidRDefault="009106AB" w:rsidP="00E7479E">
                                <w:pPr>
                                  <w:rPr>
                                    <w:rFonts w:ascii="Arial" w:hAnsi="Arial" w:cs="Arial"/>
                                    <w:lang w:val="en-IN"/>
                                  </w:rPr>
                                </w:pPr>
                                <w:r w:rsidRPr="000D62AB">
                                  <w:rPr>
                                    <w:rFonts w:ascii="Arial" w:hAnsi="Arial" w:cs="Arial"/>
                                    <w:lang w:val="en-IN"/>
                                  </w:rPr>
                                  <w:t>Monitoring</w:t>
                                </w:r>
                              </w:p>
                            </w:txbxContent>
                          </wps:txbx>
                          <wps:bodyPr rot="0" vert="horz" wrap="square" lIns="91440" tIns="45720" rIns="91440" bIns="45720" anchor="t" anchorCtr="0" upright="1">
                            <a:spAutoFit/>
                          </wps:bodyPr>
                        </wps:wsp>
                        <wps:wsp>
                          <wps:cNvPr id="26" name="Text Box 32"/>
                          <wps:cNvSpPr txBox="1">
                            <a:spLocks noChangeArrowheads="1"/>
                          </wps:cNvSpPr>
                          <wps:spPr bwMode="auto">
                            <a:xfrm>
                              <a:off x="861" y="4714"/>
                              <a:ext cx="956"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3F2E7F" w14:textId="77777777" w:rsidR="009106AB" w:rsidRPr="000D62AB" w:rsidRDefault="009106AB" w:rsidP="00E7479E">
                                <w:pPr>
                                  <w:rPr>
                                    <w:rFonts w:ascii="Arial" w:hAnsi="Arial" w:cs="Arial"/>
                                    <w:lang w:val="en-IN"/>
                                  </w:rPr>
                                </w:pPr>
                                <w:r w:rsidRPr="000D62AB">
                                  <w:rPr>
                                    <w:rFonts w:ascii="Arial" w:hAnsi="Arial" w:cs="Arial"/>
                                    <w:lang w:val="en-IN"/>
                                  </w:rPr>
                                  <w:t>Report</w:t>
                                </w:r>
                              </w:p>
                            </w:txbxContent>
                          </wps:txbx>
                          <wps:bodyPr rot="0" vert="horz" wrap="square" lIns="91440" tIns="45720" rIns="91440" bIns="45720" anchor="t" anchorCtr="0" upright="1">
                            <a:spAutoFit/>
                          </wps:bodyPr>
                        </wps:wsp>
                        <wps:wsp>
                          <wps:cNvPr id="27" name="Text Box 33"/>
                          <wps:cNvSpPr txBox="1">
                            <a:spLocks noChangeArrowheads="1"/>
                          </wps:cNvSpPr>
                          <wps:spPr bwMode="auto">
                            <a:xfrm>
                              <a:off x="5045" y="2687"/>
                              <a:ext cx="2239" cy="3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D6B0E" w14:textId="77777777" w:rsidR="009106AB" w:rsidRPr="000D62AB" w:rsidRDefault="009106AB" w:rsidP="00E7479E">
                                <w:pPr>
                                  <w:rPr>
                                    <w:rFonts w:ascii="Arial" w:hAnsi="Arial" w:cs="Arial"/>
                                    <w:lang w:val="en-IN"/>
                                  </w:rPr>
                                </w:pPr>
                                <w:r w:rsidRPr="000D62AB">
                                  <w:rPr>
                                    <w:rFonts w:ascii="Arial" w:hAnsi="Arial" w:cs="Arial"/>
                                    <w:lang w:val="en-IN"/>
                                  </w:rPr>
                                  <w:t xml:space="preserve">Fund </w:t>
                                </w:r>
                                <w:r>
                                  <w:rPr>
                                    <w:rFonts w:ascii="Arial" w:hAnsi="Arial" w:cs="Arial"/>
                                    <w:lang w:val="en-IN"/>
                                  </w:rPr>
                                  <w:t>and</w:t>
                                </w:r>
                                <w:r w:rsidRPr="000D62AB">
                                  <w:rPr>
                                    <w:rFonts w:ascii="Arial" w:hAnsi="Arial" w:cs="Arial"/>
                                    <w:lang w:val="en-IN"/>
                                  </w:rPr>
                                  <w:t xml:space="preserve"> Monitoring</w:t>
                                </w:r>
                              </w:p>
                            </w:txbxContent>
                          </wps:txbx>
                          <wps:bodyPr rot="0" vert="horz" wrap="square" lIns="91440" tIns="45720" rIns="91440" bIns="45720" anchor="t" anchorCtr="0" upright="1">
                            <a:spAutoFit/>
                          </wps:bodyPr>
                        </wps:wsp>
                      </wpg:grpSp>
                    </wpg:wgp>
                  </a:graphicData>
                </a:graphic>
                <wp14:sizeRelH relativeFrom="page">
                  <wp14:pctWidth>0</wp14:pctWidth>
                </wp14:sizeRelH>
                <wp14:sizeRelV relativeFrom="page">
                  <wp14:pctHeight>0</wp14:pctHeight>
                </wp14:sizeRelV>
              </wp:anchor>
            </w:drawing>
          </mc:Choice>
          <mc:Fallback>
            <w:pict>
              <v:group w14:anchorId="40756A25" id="Group 36" o:spid="_x0000_s1026" style="position:absolute;margin-left:-15.7pt;margin-top:8.1pt;width:498.9pt;height:244.35pt;z-index:251684864" coordorigin="861,2687" coordsize="10490,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">
                <v:shapetype id="_x0000_t32" coordsize="21600,21600" o:spt="32" o:oned="t" path="m,l21600,21600e" filled="f">
                  <v:path arrowok="t" fillok="f" o:connecttype="none"/>
                  <o:lock v:ext="edit" shapetype="t"/>
                </v:shapetype>
                <v:shape id="AutoShape 16" o:spid="_x0000_s1027" type="#_x0000_t32" style="position:absolute;left:2788;top:3452;width:0;height:2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qhMEAAADaAAAADwAAAGRycy9kb3ducmV2LnhtbESPS4vCMBSF9wP+h3AFd2Nq0UGqUVRQ&#10;XInjiLi8Ntc+bG5KE7X+ezMwMMvDeXyc6bw1lXhQ4wrLCgb9CARxanXBmYLjz/pzDMJ5ZI2VZVLw&#10;IgfzWedjiom2T/6mx8FnIoywS1BB7n2dSOnSnAy6vq2Jg3e1jUEfZJNJ3eAzjJtKxlH0JQ0WHAg5&#10;1rTKKb0d7kZBWY3icseb/eWUnS/DZSCVg7NSvW67mIDw1Pr/8F97qxXE8Hsl3AA5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amqEwQAAANoAAAAPAAAAAAAAAAAAAAAA&#10;AKECAABkcnMvZG93bnJldi54bWxQSwUGAAAAAAQABAD5AAAAjwMAAAAA&#10;">
                  <v:stroke dashstyle="dash" endarrow="block"/>
                </v:shape>
                <v:shape id="AutoShape 17" o:spid="_x0000_s1028" type="#_x0000_t32" style="position:absolute;left:1889;top:3450;width:0;height:2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18" o:spid="_x0000_s1029" type="#_x0000_t32" style="position:absolute;left:4236;top:3155;width:40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AutoShape 19" o:spid="_x0000_s1030" type="#_x0000_t32" style="position:absolute;left:4236;top:3366;width:40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N28AAAADaAAAADwAAAGRycy9kb3ducmV2LnhtbESPzYrCQBCE7wu+w9CCt3Wirn/RUURY&#10;0KPGB2gybRLM9IT0GOPb7yws7LGoqq+o7b53teqolcqzgck4AUWce1txYeCWfX+uQElAtlh7JgNv&#10;EtjvBh9bTK1/8YW6ayhUhLCkaKAMoUm1lrwkhzL2DXH07r51GKJsC21bfEW4q/U0SRbaYcVxocSG&#10;jiXlj+vTGehkef6aTfq3rNZZmMllnp3WjTGjYX/YgArUh//wX/tkDSzh90q8AXr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TdvAAAAA2gAAAA8AAAAAAAAAAAAAAAAA&#10;oQIAAGRycy9kb3ducmV2LnhtbFBLBQYAAAAABAAEAPkAAACOAwAAAAA=&#10;">
                  <v:stroke dashstyle="dash" endarrow="block"/>
                </v:shape>
                <v:shape id="AutoShape 20" o:spid="_x0000_s1031" type="#_x0000_t32" style="position:absolute;left:10300;top:3522;width:0;height:27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IRYL0AAADaAAAADwAAAGRycy9kb3ducmV2LnhtbERPTYvCMBC9L/gfwgjetqmCslSjqCDI&#10;XkRX0OPQjG2wmZQm29R/bw4Le3y879VmsI3oqfPGsYJploMgLp02XCm4/hw+v0D4gKyxcUwKXuRh&#10;sx59rLDQLvKZ+kuoRAphX6CCOoS2kNKXNVn0mWuJE/dwncWQYFdJ3WFM4baRszxfSIuGU0ONLe1r&#10;Kp+XX6vAxJPp2+M+7r5vd68jmdfcGaUm42G7BBFoCP/iP/dRK0hb05V0A+T6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jiEWC9AAAA2gAAAA8AAAAAAAAAAAAAAAAAoQIA&#10;AGRycy9kb3ducmV2LnhtbFBLBQYAAAAABAAEAPkAAACLAwAAAAA=&#10;">
                  <v:stroke endarrow="block"/>
                </v:shape>
                <v:shape id="AutoShape 21" o:spid="_x0000_s1032" type="#_x0000_t32" style="position:absolute;left:3825;top:6589;width:50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22" o:spid="_x0000_s1033" type="#_x0000_t32" style="position:absolute;left:3825;top:6384;width:5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xUcMAAADbAAAADwAAAGRycy9kb3ducmV2LnhtbESPQW/CMAyF70j7D5En7QYpIE2oEBDa&#10;xLTLDkB/gNuYptA4VZNB++/nA9Jutt7ze583u8G36k59bAIbmM8yUMRVsA3XBorzYboCFROyxTYw&#10;GRgpwm77MtlgbsODj3Q/pVpJCMccDbiUulzrWDnyGGehIxbtEnqPSda+1rbHh4T7Vi+y7F17bFga&#10;HHb04ai6nX69gS8uyp/PZTlfnsv9Nbtdx+BWozFvr8N+DSrRkP7Nz+tvK/hCL7/IAHr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8VHDAAAA2wAAAA8AAAAAAAAAAAAA&#10;AAAAoQIAAGRycy9kb3ducmV2LnhtbFBLBQYAAAAABAAEAPkAAACRAwAAAAA=&#10;">
                  <v:stroke dashstyle="dashDot" endarrow="block"/>
                </v:shape>
                <v:shape id="AutoShape 23" o:spid="_x0000_s1034" type="#_x0000_t32" style="position:absolute;left:3934;top:3461;width:4438;height:28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wL8AAADbAAAADwAAAGRycy9kb3ducmV2LnhtbERPTYvCMBC9L/gfwgje1tQFZalGUUEQ&#10;L6Ir6HFoxjbYTEqTbeq/N8LC3ubxPmex6m0tOmq9caxgMs5AEBdOGy4VXH52n98gfEDWWDsmBU/y&#10;sFoOPhaYaxf5RN05lCKFsM9RQRVCk0vpi4os+rFriBN3d63FkGBbSt1iTOG2ll9ZNpMWDaeGChva&#10;VlQ8zr9WgYlH0zX7bdwcrjevI5nn1BmlRsN+PQcRqA//4j/3Xqf5E3j/kg6Qy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Da1wL8AAADbAAAADwAAAAAAAAAAAAAAAACh&#10;AgAAZHJzL2Rvd25yZXYueG1sUEsFBgAAAAAEAAQA+QAAAI0DAAAAAA==&#10;">
                  <v:stroke endarrow="block"/>
                </v:shape>
                <v:shape id="AutoShape 24" o:spid="_x0000_s1035" type="#_x0000_t32" style="position:absolute;left:3825;top:3450;width:4375;height:2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8FLsQAAADbAAAADwAAAGRycy9kb3ducmV2LnhtbESP3YrCMBCF7xd8hzCCd2tqL0SrUVRQ&#10;RHHFnwcYmrEtNpPSpLW+/WZB2LsZzpnznZkvO1OKlmpXWFYwGkYgiFOrC84U3G/b7wkI55E1lpZJ&#10;wZscLBe9rzkm2r74Qu3VZyKEsEtQQe59lUjp0pwMuqGtiIP2sLVBH9Y6k7rGVwg3pYyjaCwNFhwI&#10;OVa0ySl9XhsTIHGT7S67w2lybH/Wz9v03BynrVKDfreagfDU+X/z53qvQ/0Y/n4JA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vwUuxAAAANsAAAAPAAAAAAAAAAAA&#10;AAAAAKECAABkcnMvZG93bnJldi54bWxQSwUGAAAAAAQABAD5AAAAkgMAAAAA&#10;">
                  <v:stroke dashstyle="1 1" endarrow="block" endcap="round"/>
                </v:shape>
                <v:group id="Group 35" o:spid="_x0000_s1036" style="position:absolute;left:861;top:2687;width:10490;height:4647" coordorigin="861,2687" coordsize="10490,4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34" o:spid="_x0000_s1037" style="position:absolute;left:1088;top:3061;width:10263;height:3590" coordorigin="1088,3061" coordsize="10263,3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2" o:spid="_x0000_s1038" type="#_x0000_t202" style="position:absolute;left:1216;top:3061;width:302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LwMEA&#10;AADbAAAADwAAAGRycy9kb3ducmV2LnhtbERPTWsCMRC9F/wPYYTealbBUlajiCJ401pBvI3JuFnc&#10;TNZNXNf++qZQ6G0e73Om885VoqUmlJ4VDAcZCGLtTcmFgsPX+u0DRIjIBivPpOBJAeaz3ssUc+Mf&#10;/EntPhYihXDIUYGNsc6lDNqSwzDwNXHiLr5xGBNsCmkafKRwV8lRlr1LhyWnBos1LS3p6/7uFITV&#10;7lbry+58teb5vV21Y31cn5R67XeLCYhIXfwX/7k3Js0fw+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S8DBAAAA2wAAAA8AAAAAAAAAAAAAAAAAmAIAAGRycy9kb3du&#10;cmV2LnhtbFBLBQYAAAAABAAEAPUAAACGAwAAAAA=&#10;">
                      <v:textbox style="mso-fit-shape-to-text:t">
                        <w:txbxContent>
                          <w:p w14:paraId="147AD1D2" w14:textId="77777777" w:rsidR="009106AB" w:rsidRPr="000D62AB" w:rsidRDefault="009106AB" w:rsidP="00524300">
                            <w:pPr>
                              <w:jc w:val="center"/>
                              <w:rPr>
                                <w:rFonts w:ascii="Arial" w:hAnsi="Arial" w:cs="Arial"/>
                              </w:rPr>
                            </w:pPr>
                            <w:r w:rsidRPr="000D62AB">
                              <w:rPr>
                                <w:rFonts w:ascii="Arial" w:hAnsi="Arial" w:cs="Arial"/>
                              </w:rPr>
                              <w:t>Central Bank of Malaysia</w:t>
                            </w:r>
                          </w:p>
                        </w:txbxContent>
                      </v:textbox>
                    </v:shape>
                    <v:shape id="Text Box 13" o:spid="_x0000_s1039" type="#_x0000_t202" style="position:absolute;left:8272;top:3063;width:3079;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Vt8EA&#10;AADbAAAADwAAAGRycy9kb3ducmV2LnhtbERPTWsCMRC9F/wPYYTeatZCpaxGEUXoTauCeBuTcbO4&#10;maybuK799U1B6G0e73Mms85VoqUmlJ4VDAcZCGLtTcmFgv1u9fYJIkRkg5VnUvCgALNp72WCufF3&#10;/qZ2GwuRQjjkqMDGWOdSBm3JYRj4mjhxZ984jAk2hTQN3lO4q+R7lo2kw5JTg8WaFpb0ZXtzCsJy&#10;c631eXO6WPP4WS/bD31YHZV67XfzMYhIXfwXP91fJs0fwd8v6QA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1bfBAAAA2wAAAA8AAAAAAAAAAAAAAAAAmAIAAGRycy9kb3du&#10;cmV2LnhtbFBLBQYAAAAABAAEAPUAAACGAwAAAAA=&#10;">
                      <v:textbox style="mso-fit-shape-to-text:t">
                        <w:txbxContent>
                          <w:p w14:paraId="3889866B" w14:textId="77777777" w:rsidR="009106AB" w:rsidRPr="000D62AB" w:rsidRDefault="009106AB" w:rsidP="000D62AB">
                            <w:pPr>
                              <w:rPr>
                                <w:rFonts w:ascii="Arial" w:hAnsi="Arial" w:cs="Arial"/>
                                <w:lang w:val="en-IN"/>
                              </w:rPr>
                            </w:pPr>
                            <w:r w:rsidRPr="000D62AB">
                              <w:rPr>
                                <w:rFonts w:ascii="Arial" w:hAnsi="Arial" w:cs="Arial"/>
                                <w:lang w:val="en-IN"/>
                              </w:rPr>
                              <w:t>Credit Guarantee Corporation</w:t>
                            </w:r>
                          </w:p>
                        </w:txbxContent>
                      </v:textbox>
                    </v:shape>
                    <v:shape id="Text Box 14" o:spid="_x0000_s1040" type="#_x0000_t202" style="position:absolute;left:8922;top:6272;width:2110;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14:paraId="23CCCB48" w14:textId="77777777" w:rsidR="009106AB" w:rsidRPr="000D62AB" w:rsidRDefault="009106AB">
                            <w:pPr>
                              <w:jc w:val="center"/>
                              <w:rPr>
                                <w:rFonts w:ascii="Arial" w:hAnsi="Arial" w:cs="Arial"/>
                              </w:rPr>
                            </w:pPr>
                            <w:r w:rsidRPr="000D62AB">
                              <w:rPr>
                                <w:rFonts w:ascii="Arial" w:hAnsi="Arial" w:cs="Arial"/>
                              </w:rPr>
                              <w:t>Borrower</w:t>
                            </w:r>
                          </w:p>
                        </w:txbxContent>
                      </v:textbox>
                    </v:shape>
                    <v:shape id="Text Box 15" o:spid="_x0000_s1041" type="#_x0000_t202" style="position:absolute;left:1088;top:6281;width:2746;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kXsUA&#10;AADbAAAADwAAAGRycy9kb3ducmV2LnhtbESPQUsDMRCF74L/IYzgzc1asMjatIil0Ju1FsTbmEw3&#10;SzeTdRO3W39951DobYb35r1vZosxtGqgPjWRDTwWJShiG13DtYHd5+rhGVTKyA7byGTgRAkW89ub&#10;GVYuHvmDhm2ulYRwqtCAz7mrtE7WU8BUxI5YtH3sA2ZZ+1q7Ho8SHlo9KcupDtiwNHjs6M2TPWz/&#10;goG03Px2dr/5OXh3+n9fDk/2a/VtzP3d+PoCKtOYr+bL9doJvsDKLzK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RexQAAANsAAAAPAAAAAAAAAAAAAAAAAJgCAABkcnMv&#10;ZG93bnJldi54bWxQSwUGAAAAAAQABAD1AAAAigMAAAAA&#10;">
                      <v:textbox style="mso-fit-shape-to-text:t">
                        <w:txbxContent>
                          <w:p w14:paraId="3701C9AE" w14:textId="77777777" w:rsidR="009106AB" w:rsidRPr="000D62AB" w:rsidRDefault="009106AB" w:rsidP="00524300">
                            <w:pPr>
                              <w:jc w:val="center"/>
                              <w:rPr>
                                <w:rFonts w:ascii="Arial" w:hAnsi="Arial" w:cs="Arial"/>
                              </w:rPr>
                            </w:pPr>
                            <w:r w:rsidRPr="000D62AB">
                              <w:rPr>
                                <w:rFonts w:ascii="Arial" w:hAnsi="Arial" w:cs="Arial"/>
                              </w:rPr>
                              <w:t>Lending Institutions</w:t>
                            </w:r>
                          </w:p>
                        </w:txbxContent>
                      </v:textbox>
                    </v:shape>
                  </v:group>
                  <v:shape id="Text Box 25" o:spid="_x0000_s1042" type="#_x0000_t202" style="position:absolute;left:9293;top:4714;width:2000;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OS8IA&#10;AADbAAAADwAAAGRycy9kb3ducmV2LnhtbESPT4vCMBDF7wt+hzCCtzV1QdFqFBEWFvHgv4PHoRmb&#10;2mbSbaLWb28EwdsM7837vZktWluJGzW+cKxg0E9AEGdOF5wrOB5+v8cgfEDWWDkmBQ/ysJh3vmaY&#10;anfnHd32IRcxhH2KCkwIdSqlzwxZ9H1XE0ft7BqLIa5NLnWD9xhuK/mTJCNpseBIMFjTylBW7q82&#10;QjY+u+7c/2WwKeXJlCMcbs1aqV63XU5BBGrDx/y+/tOx/gRev8QB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k5LwgAAANsAAAAPAAAAAAAAAAAAAAAAAJgCAABkcnMvZG93&#10;bnJldi54bWxQSwUGAAAAAAQABAD1AAAAhwMAAAAA&#10;" stroked="f">
                    <v:textbox style="mso-fit-shape-to-text:t">
                      <w:txbxContent>
                        <w:p w14:paraId="38D09E07" w14:textId="77777777" w:rsidR="009106AB" w:rsidRPr="000D62AB" w:rsidRDefault="009106AB">
                          <w:pPr>
                            <w:rPr>
                              <w:rFonts w:ascii="Arial" w:hAnsi="Arial" w:cs="Arial"/>
                            </w:rPr>
                          </w:pPr>
                          <w:r w:rsidRPr="000D62AB">
                            <w:rPr>
                              <w:rFonts w:ascii="Arial" w:hAnsi="Arial" w:cs="Arial"/>
                            </w:rPr>
                            <w:t>1. Loan Application</w:t>
                          </w:r>
                        </w:p>
                      </w:txbxContent>
                    </v:textbox>
                  </v:shape>
                  <v:shape id="Text Box 26" o:spid="_x0000_s1043" type="#_x0000_t202" style="position:absolute;left:5285;top:6760;width:2000;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a78A&#10;AADbAAAADwAAAGRycy9kb3ducmV2LnhtbERPTWvCQBC9F/wPywje6kZBKdFVRCgU8aC2hx6H7JiN&#10;yc7G7Krx3zuHQo+P971c975Rd+piFdjAZJyBIi6Crbg08PP9+f4BKiZki01gMvCkCOvV4G2JuQ0P&#10;PtL9lEolIRxzNOBSanOtY+HIYxyHlli4c+g8JoFdqW2HDwn3jZ5m2Vx7rFgaHLa0dVTUp5uXkn0s&#10;bsdwvUz2tf519RxnB7czZjTsNwtQifr0L/5zf1kDU1kv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dC1rvwAAANsAAAAPAAAAAAAAAAAAAAAAAJgCAABkcnMvZG93bnJl&#10;di54bWxQSwUGAAAAAAQABAD1AAAAhAMAAAAA&#10;" stroked="f">
                    <v:textbox style="mso-fit-shape-to-text:t">
                      <w:txbxContent>
                        <w:p w14:paraId="7F9BF5D7" w14:textId="77777777" w:rsidR="009106AB" w:rsidRPr="000D62AB" w:rsidRDefault="009106AB" w:rsidP="000D62AB">
                          <w:pPr>
                            <w:jc w:val="center"/>
                            <w:rPr>
                              <w:rFonts w:ascii="Arial" w:hAnsi="Arial" w:cs="Arial"/>
                            </w:rPr>
                          </w:pPr>
                          <w:r w:rsidRPr="000D62AB">
                            <w:rPr>
                              <w:rFonts w:ascii="Arial" w:hAnsi="Arial" w:cs="Arial"/>
                            </w:rPr>
                            <w:t>1. Loan Application</w:t>
                          </w:r>
                        </w:p>
                      </w:txbxContent>
                    </v:textbox>
                  </v:shape>
                  <v:shape id="Text Box 27" o:spid="_x0000_s1044" type="#_x0000_t202" style="position:absolute;left:5045;top:5845;width:2793;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14:paraId="5374C310" w14:textId="77777777" w:rsidR="009106AB" w:rsidRPr="000D62AB" w:rsidRDefault="009106AB" w:rsidP="000D62AB">
                          <w:pPr>
                            <w:jc w:val="center"/>
                            <w:rPr>
                              <w:rFonts w:ascii="Arial" w:hAnsi="Arial" w:cs="Arial"/>
                            </w:rPr>
                          </w:pPr>
                          <w:r w:rsidRPr="000D62AB">
                            <w:rPr>
                              <w:rFonts w:ascii="Arial" w:hAnsi="Arial" w:cs="Arial"/>
                            </w:rPr>
                            <w:t>4. Loan Disbursement</w:t>
                          </w:r>
                        </w:p>
                      </w:txbxContent>
                    </v:textbox>
                  </v:shape>
                  <v:shape id="Text Box 28" o:spid="_x0000_s1045" type="#_x0000_t202" style="position:absolute;left:6475;top:4714;width:268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14:paraId="6C266565" w14:textId="77777777" w:rsidR="009106AB" w:rsidRPr="000D62AB" w:rsidRDefault="009106AB" w:rsidP="00E7479E">
                          <w:pPr>
                            <w:rPr>
                              <w:rFonts w:ascii="Arial" w:hAnsi="Arial" w:cs="Arial"/>
                            </w:rPr>
                          </w:pPr>
                          <w:r w:rsidRPr="000D62AB">
                            <w:rPr>
                              <w:rFonts w:ascii="Arial" w:hAnsi="Arial" w:cs="Arial"/>
                            </w:rPr>
                            <w:t>2. Guarantee Application</w:t>
                          </w:r>
                        </w:p>
                      </w:txbxContent>
                    </v:textbox>
                  </v:shape>
                  <v:shape id="Text Box 29" o:spid="_x0000_s1046" type="#_x0000_t202" style="position:absolute;left:4236;top:4127;width:2363;height: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14:paraId="3EAE2F6D" w14:textId="77777777" w:rsidR="009106AB" w:rsidRPr="000D62AB" w:rsidRDefault="009106AB" w:rsidP="00E7479E">
                          <w:pPr>
                            <w:rPr>
                              <w:rFonts w:ascii="Arial" w:hAnsi="Arial" w:cs="Arial"/>
                            </w:rPr>
                          </w:pPr>
                          <w:r w:rsidRPr="000D62AB">
                            <w:rPr>
                              <w:rFonts w:ascii="Arial" w:hAnsi="Arial" w:cs="Arial"/>
                            </w:rPr>
                            <w:t>3.</w:t>
                          </w:r>
                          <w:r>
                            <w:t xml:space="preserve"> </w:t>
                          </w:r>
                          <w:r w:rsidRPr="000D62AB">
                            <w:rPr>
                              <w:rFonts w:ascii="Arial" w:hAnsi="Arial" w:cs="Arial"/>
                            </w:rPr>
                            <w:t>Guarantee Issuance</w:t>
                          </w:r>
                        </w:p>
                      </w:txbxContent>
                    </v:textbox>
                  </v:shape>
                  <v:shape id="Text Box 30" o:spid="_x0000_s1047" type="#_x0000_t202" style="position:absolute;left:5626;top:3450;width:1070;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8raMMA&#10;AADbAAAADwAAAGRycy9kb3ducmV2LnhtbESPy2rDMBBF94X8g5hAd7Vs0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8raMMAAADbAAAADwAAAAAAAAAAAAAAAACYAgAAZHJzL2Rv&#10;d25yZXYueG1sUEsFBgAAAAAEAAQA9QAAAIgDAAAAAA==&#10;" stroked="f">
                    <v:textbox style="mso-fit-shape-to-text:t">
                      <w:txbxContent>
                        <w:p w14:paraId="27E5CE5B" w14:textId="77777777" w:rsidR="009106AB" w:rsidRPr="000D62AB" w:rsidRDefault="009106AB" w:rsidP="00E7479E">
                          <w:pPr>
                            <w:rPr>
                              <w:rFonts w:ascii="Arial" w:hAnsi="Arial" w:cs="Arial"/>
                              <w:lang w:val="en-IN"/>
                            </w:rPr>
                          </w:pPr>
                          <w:r w:rsidRPr="000D62AB">
                            <w:rPr>
                              <w:rFonts w:ascii="Arial" w:hAnsi="Arial" w:cs="Arial"/>
                              <w:lang w:val="en-IN"/>
                            </w:rPr>
                            <w:t>Report</w:t>
                          </w:r>
                        </w:p>
                      </w:txbxContent>
                    </v:textbox>
                  </v:shape>
                  <v:shape id="Text Box 31" o:spid="_x0000_s1048" type="#_x0000_t202" style="position:absolute;left:2885;top:4907;width:1408;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O88AA&#10;AADbAAAADwAAAGRycy9kb3ducmV2LnhtbESPzYrCMBSF94LvEK7gTlMFZahGEUEQcaGOC5eX5trU&#10;Nje1iVrffjIguDycn48zX7a2Ek9qfOFYwWiYgCDOnC44V3D+3Qx+QPiArLFyTAre5GG56HbmmGr3&#10;4iM9TyEXcYR9igpMCHUqpc8MWfRDVxNH7+oaiyHKJpe6wVcct5UcJ8lUWiw4EgzWtDaUlaeHjZC9&#10;zx5Hd7+N9qW8mHKKk4PZKdXvtasZiEBt+IY/7a1WMJ7A/5f4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OO88AAAADbAAAADwAAAAAAAAAAAAAAAACYAgAAZHJzL2Rvd25y&#10;ZXYueG1sUEsFBgAAAAAEAAQA9QAAAIUDAAAAAA==&#10;" stroked="f">
                    <v:textbox style="mso-fit-shape-to-text:t">
                      <w:txbxContent>
                        <w:p w14:paraId="0E510F09" w14:textId="77777777" w:rsidR="009106AB" w:rsidRPr="000D62AB" w:rsidRDefault="009106AB" w:rsidP="00E7479E">
                          <w:pPr>
                            <w:rPr>
                              <w:rFonts w:ascii="Arial" w:hAnsi="Arial" w:cs="Arial"/>
                              <w:lang w:val="en-IN"/>
                            </w:rPr>
                          </w:pPr>
                          <w:r w:rsidRPr="000D62AB">
                            <w:rPr>
                              <w:rFonts w:ascii="Arial" w:hAnsi="Arial" w:cs="Arial"/>
                              <w:lang w:val="en-IN"/>
                            </w:rPr>
                            <w:t>Monitoring</w:t>
                          </w:r>
                        </w:p>
                      </w:txbxContent>
                    </v:textbox>
                  </v:shape>
                  <v:shape id="Text Box 32" o:spid="_x0000_s1049" type="#_x0000_t202" style="position:absolute;left:861;top:4714;width:95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QhMMA&#10;AADbAAAADwAAAGRycy9kb3ducmV2LnhtbESPzWrDMBCE74G+g9hCb7GcQE1xo4QQKJTiQ53m0ONi&#10;bS3X1sq1FNt9+ygQyHGYn4/Z7GbbiZEG3zhWsEpSEMSV0w3XCk5fb8sXED4ga+wck4J/8rDbPiw2&#10;mGs3cUnjMdQijrDPUYEJoc+l9JUhiz5xPXH0ftxgMUQ51FIPOMVx28l1mmbSYsORYLCng6GqPZ5t&#10;hBS+Opfu73dVtPLbtBk+f5oPpZ4e5/0riEBzuIdv7XetYJ3B9Uv8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QhMMAAADbAAAADwAAAAAAAAAAAAAAAACYAgAAZHJzL2Rv&#10;d25yZXYueG1sUEsFBgAAAAAEAAQA9QAAAIgDAAAAAA==&#10;" stroked="f">
                    <v:textbox style="mso-fit-shape-to-text:t">
                      <w:txbxContent>
                        <w:p w14:paraId="4C3F2E7F" w14:textId="77777777" w:rsidR="009106AB" w:rsidRPr="000D62AB" w:rsidRDefault="009106AB" w:rsidP="00E7479E">
                          <w:pPr>
                            <w:rPr>
                              <w:rFonts w:ascii="Arial" w:hAnsi="Arial" w:cs="Arial"/>
                              <w:lang w:val="en-IN"/>
                            </w:rPr>
                          </w:pPr>
                          <w:r w:rsidRPr="000D62AB">
                            <w:rPr>
                              <w:rFonts w:ascii="Arial" w:hAnsi="Arial" w:cs="Arial"/>
                              <w:lang w:val="en-IN"/>
                            </w:rPr>
                            <w:t>Report</w:t>
                          </w:r>
                        </w:p>
                      </w:txbxContent>
                    </v:textbox>
                  </v:shape>
                  <v:shape id="Text Box 33" o:spid="_x0000_s1050" type="#_x0000_t202" style="position:absolute;left:5045;top:2687;width:223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21H8IA&#10;AADbAAAADwAAAGRycy9kb3ducmV2LnhtbESPS4vCMBSF9wP+h3AFd9NUQUc6RhkEQcSFr4XLS3On&#10;6bS5qU3U+u+NIMzycB4fZ7bobC1u1PrSsYJhkoIgzp0uuVBwOq4+pyB8QNZYOyYFD/KwmPc+Zphp&#10;d+c93Q6hEHGEfYYKTAhNJqXPDVn0iWuIo/frWoshyraQusV7HLe1HKXpRFosORIMNrQ0lFeHq42Q&#10;rc+ve3f5G24reTbVBMc7s1Fq0O9+vkEE6sJ/+N1eawWjL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bUfwgAAANsAAAAPAAAAAAAAAAAAAAAAAJgCAABkcnMvZG93&#10;bnJldi54bWxQSwUGAAAAAAQABAD1AAAAhwMAAAAA&#10;" stroked="f">
                    <v:textbox style="mso-fit-shape-to-text:t">
                      <w:txbxContent>
                        <w:p w14:paraId="07DD6B0E" w14:textId="77777777" w:rsidR="009106AB" w:rsidRPr="000D62AB" w:rsidRDefault="009106AB" w:rsidP="00E7479E">
                          <w:pPr>
                            <w:rPr>
                              <w:rFonts w:ascii="Arial" w:hAnsi="Arial" w:cs="Arial"/>
                              <w:lang w:val="en-IN"/>
                            </w:rPr>
                          </w:pPr>
                          <w:r w:rsidRPr="000D62AB">
                            <w:rPr>
                              <w:rFonts w:ascii="Arial" w:hAnsi="Arial" w:cs="Arial"/>
                              <w:lang w:val="en-IN"/>
                            </w:rPr>
                            <w:t xml:space="preserve">Fund </w:t>
                          </w:r>
                          <w:r>
                            <w:rPr>
                              <w:rFonts w:ascii="Arial" w:hAnsi="Arial" w:cs="Arial"/>
                              <w:lang w:val="en-IN"/>
                            </w:rPr>
                            <w:t>and</w:t>
                          </w:r>
                          <w:r w:rsidRPr="000D62AB">
                            <w:rPr>
                              <w:rFonts w:ascii="Arial" w:hAnsi="Arial" w:cs="Arial"/>
                              <w:lang w:val="en-IN"/>
                            </w:rPr>
                            <w:t xml:space="preserve"> Monitoring</w:t>
                          </w:r>
                        </w:p>
                      </w:txbxContent>
                    </v:textbox>
                  </v:shape>
                </v:group>
              </v:group>
            </w:pict>
          </mc:Fallback>
        </mc:AlternateContent>
      </w:r>
    </w:p>
    <w:p w14:paraId="13967996" w14:textId="77777777" w:rsidR="00E7479E" w:rsidRPr="00936318" w:rsidRDefault="00E7479E" w:rsidP="00E7479E">
      <w:pPr>
        <w:rPr>
          <w:lang w:val="en-GB"/>
        </w:rPr>
      </w:pPr>
    </w:p>
    <w:p w14:paraId="0EC32166" w14:textId="77777777" w:rsidR="00E7479E" w:rsidRPr="00936318" w:rsidRDefault="00E7479E" w:rsidP="00E7479E">
      <w:pPr>
        <w:rPr>
          <w:lang w:val="en-GB"/>
        </w:rPr>
      </w:pPr>
    </w:p>
    <w:p w14:paraId="6EE4F87B" w14:textId="77777777" w:rsidR="00E7479E" w:rsidRPr="00936318" w:rsidRDefault="00E7479E" w:rsidP="00E7479E">
      <w:pPr>
        <w:rPr>
          <w:lang w:val="en-GB"/>
        </w:rPr>
      </w:pPr>
    </w:p>
    <w:p w14:paraId="611D69E3" w14:textId="77777777" w:rsidR="00E7479E" w:rsidRPr="00936318" w:rsidRDefault="00E7479E" w:rsidP="00E7479E">
      <w:pPr>
        <w:rPr>
          <w:lang w:val="en-GB"/>
        </w:rPr>
      </w:pPr>
    </w:p>
    <w:p w14:paraId="40741630" w14:textId="77777777" w:rsidR="00E7479E" w:rsidRPr="00936318" w:rsidRDefault="00E7479E" w:rsidP="00E7479E">
      <w:pPr>
        <w:rPr>
          <w:lang w:val="en-GB"/>
        </w:rPr>
      </w:pPr>
    </w:p>
    <w:p w14:paraId="4083F86B" w14:textId="77777777" w:rsidR="00E7479E" w:rsidRPr="00936318" w:rsidRDefault="00E7479E" w:rsidP="00E7479E">
      <w:pPr>
        <w:rPr>
          <w:lang w:val="en-GB"/>
        </w:rPr>
      </w:pPr>
    </w:p>
    <w:p w14:paraId="21DDF791" w14:textId="77777777" w:rsidR="00E7479E" w:rsidRPr="00936318" w:rsidRDefault="00E7479E" w:rsidP="00E7479E">
      <w:pPr>
        <w:rPr>
          <w:lang w:val="en-GB"/>
        </w:rPr>
      </w:pPr>
    </w:p>
    <w:p w14:paraId="5B6F2F38" w14:textId="77777777" w:rsidR="00E7479E" w:rsidRPr="00936318" w:rsidRDefault="00E7479E" w:rsidP="00E7479E">
      <w:pPr>
        <w:rPr>
          <w:lang w:val="en-GB"/>
        </w:rPr>
      </w:pPr>
    </w:p>
    <w:p w14:paraId="5373645D" w14:textId="77777777" w:rsidR="00E7479E" w:rsidRPr="00936318" w:rsidRDefault="00E7479E" w:rsidP="00E7479E">
      <w:pPr>
        <w:rPr>
          <w:lang w:val="en-GB"/>
        </w:rPr>
      </w:pPr>
    </w:p>
    <w:p w14:paraId="0CDE28A4" w14:textId="77777777" w:rsidR="00E7479E" w:rsidRPr="00936318" w:rsidRDefault="00E7479E" w:rsidP="00E7479E">
      <w:pPr>
        <w:rPr>
          <w:lang w:val="en-GB"/>
        </w:rPr>
      </w:pPr>
    </w:p>
    <w:p w14:paraId="41C9E1C9" w14:textId="77777777" w:rsidR="00E7479E" w:rsidRPr="00936318" w:rsidRDefault="00E7479E" w:rsidP="00E7479E">
      <w:pPr>
        <w:rPr>
          <w:lang w:val="en-GB"/>
        </w:rPr>
      </w:pPr>
    </w:p>
    <w:p w14:paraId="78E7BD6C" w14:textId="77777777" w:rsidR="00E7479E" w:rsidRPr="00936318" w:rsidRDefault="00E7479E" w:rsidP="00E7479E">
      <w:pPr>
        <w:rPr>
          <w:lang w:val="en-GB"/>
        </w:rPr>
      </w:pPr>
    </w:p>
    <w:p w14:paraId="6D5ADD88" w14:textId="77777777" w:rsidR="00E7479E" w:rsidRPr="00936318" w:rsidRDefault="00E7479E" w:rsidP="00E7479E">
      <w:pPr>
        <w:rPr>
          <w:lang w:val="en-GB"/>
        </w:rPr>
      </w:pPr>
    </w:p>
    <w:p w14:paraId="51F189A4" w14:textId="77777777" w:rsidR="00E7479E" w:rsidRPr="00936318" w:rsidRDefault="00E7479E" w:rsidP="00E7479E">
      <w:pPr>
        <w:rPr>
          <w:lang w:val="en-GB"/>
        </w:rPr>
      </w:pPr>
    </w:p>
    <w:p w14:paraId="3A3A2D53" w14:textId="77777777" w:rsidR="00E7479E" w:rsidRPr="00936318" w:rsidRDefault="00E7479E" w:rsidP="00E7479E">
      <w:pPr>
        <w:rPr>
          <w:lang w:val="en-GB"/>
        </w:rPr>
      </w:pPr>
    </w:p>
    <w:p w14:paraId="64E98D56" w14:textId="77777777" w:rsidR="00E7479E" w:rsidRPr="00936318" w:rsidRDefault="00E7479E" w:rsidP="00E7479E">
      <w:pPr>
        <w:rPr>
          <w:lang w:val="en-GB"/>
        </w:rPr>
      </w:pPr>
    </w:p>
    <w:p w14:paraId="6EE00151" w14:textId="77777777" w:rsidR="00E7479E" w:rsidRPr="00936318" w:rsidRDefault="00E7479E" w:rsidP="00E7479E">
      <w:pPr>
        <w:rPr>
          <w:lang w:val="en-GB"/>
        </w:rPr>
      </w:pPr>
    </w:p>
    <w:p w14:paraId="229F81E7" w14:textId="77777777" w:rsidR="00E7479E" w:rsidRPr="00936318" w:rsidRDefault="00E7479E" w:rsidP="00E7479E">
      <w:pPr>
        <w:rPr>
          <w:lang w:val="en-GB"/>
        </w:rPr>
      </w:pPr>
    </w:p>
    <w:p w14:paraId="5C474FF6" w14:textId="77777777" w:rsidR="00E7479E" w:rsidRPr="00936318" w:rsidRDefault="00E7479E" w:rsidP="00E7479E">
      <w:pPr>
        <w:rPr>
          <w:lang w:val="en-GB"/>
        </w:rPr>
      </w:pPr>
    </w:p>
    <w:p w14:paraId="36D3706D" w14:textId="77777777" w:rsidR="00E7479E" w:rsidRPr="00936318" w:rsidRDefault="00E7479E" w:rsidP="00E7479E">
      <w:pPr>
        <w:rPr>
          <w:lang w:val="en-GB"/>
        </w:rPr>
      </w:pPr>
    </w:p>
    <w:p w14:paraId="23D428F3" w14:textId="77777777" w:rsidR="00C347F7" w:rsidRPr="00936318" w:rsidRDefault="00C347F7" w:rsidP="00E7479E">
      <w:pPr>
        <w:rPr>
          <w:lang w:val="en-GB"/>
        </w:rPr>
      </w:pPr>
    </w:p>
    <w:p w14:paraId="688CDA31" w14:textId="53DC493A" w:rsidR="00C0220F" w:rsidRPr="00936318" w:rsidRDefault="00E7479E" w:rsidP="000D62AB">
      <w:pPr>
        <w:spacing w:after="200" w:line="276" w:lineRule="auto"/>
        <w:jc w:val="both"/>
        <w:rPr>
          <w:rFonts w:ascii="Arial" w:hAnsi="Arial" w:cs="Arial"/>
          <w:sz w:val="17"/>
          <w:szCs w:val="17"/>
          <w:lang w:val="en-GB"/>
        </w:rPr>
      </w:pPr>
      <w:r w:rsidRPr="00936318">
        <w:rPr>
          <w:rFonts w:ascii="Arial" w:hAnsi="Arial" w:cs="Arial"/>
          <w:sz w:val="17"/>
          <w:szCs w:val="17"/>
          <w:lang w:val="en-GB"/>
        </w:rPr>
        <w:t xml:space="preserve">Source: </w:t>
      </w:r>
      <w:r w:rsidR="00225F43" w:rsidRPr="00936318">
        <w:rPr>
          <w:rFonts w:ascii="Arial" w:hAnsi="Arial" w:cs="Arial"/>
          <w:sz w:val="17"/>
          <w:szCs w:val="17"/>
          <w:lang w:val="en-GB"/>
        </w:rPr>
        <w:t>“About Us: Overview,” Credit Guarantee Corporation</w:t>
      </w:r>
      <w:r w:rsidR="008F7E3A" w:rsidRPr="00936318">
        <w:rPr>
          <w:rFonts w:ascii="Arial" w:hAnsi="Arial" w:cs="Arial"/>
          <w:sz w:val="17"/>
          <w:szCs w:val="17"/>
          <w:lang w:val="en-GB"/>
        </w:rPr>
        <w:t xml:space="preserve"> Malaysia </w:t>
      </w:r>
      <w:proofErr w:type="spellStart"/>
      <w:r w:rsidR="008E3A4B" w:rsidRPr="00936318">
        <w:rPr>
          <w:rFonts w:ascii="Arial" w:hAnsi="Arial" w:cs="Arial"/>
          <w:sz w:val="17"/>
          <w:szCs w:val="17"/>
          <w:lang w:val="en-GB"/>
        </w:rPr>
        <w:t>Berhad</w:t>
      </w:r>
      <w:proofErr w:type="spellEnd"/>
      <w:r w:rsidR="00225F43" w:rsidRPr="00936318">
        <w:rPr>
          <w:rFonts w:ascii="Arial" w:hAnsi="Arial" w:cs="Arial"/>
          <w:sz w:val="17"/>
          <w:szCs w:val="17"/>
          <w:lang w:val="en-GB"/>
        </w:rPr>
        <w:t xml:space="preserve">, accessed </w:t>
      </w:r>
      <w:r w:rsidR="00AC7F0B" w:rsidRPr="00936318">
        <w:rPr>
          <w:rFonts w:ascii="Arial" w:hAnsi="Arial" w:cs="Arial"/>
          <w:sz w:val="17"/>
          <w:szCs w:val="17"/>
          <w:lang w:val="en-GB"/>
        </w:rPr>
        <w:t>September 30, 2017</w:t>
      </w:r>
      <w:r w:rsidR="00225F43" w:rsidRPr="00936318">
        <w:rPr>
          <w:rFonts w:ascii="Arial" w:hAnsi="Arial" w:cs="Arial"/>
          <w:sz w:val="17"/>
          <w:szCs w:val="17"/>
          <w:lang w:val="en-GB"/>
        </w:rPr>
        <w:t xml:space="preserve">, </w:t>
      </w:r>
      <w:r w:rsidR="00824AB3" w:rsidRPr="00936318">
        <w:rPr>
          <w:rFonts w:ascii="Arial" w:hAnsi="Arial" w:cs="Arial"/>
          <w:sz w:val="17"/>
          <w:szCs w:val="17"/>
          <w:lang w:val="en-GB"/>
        </w:rPr>
        <w:t>https://www.cgc.com.my/overview/</w:t>
      </w:r>
      <w:r w:rsidR="00225F43" w:rsidRPr="00936318">
        <w:rPr>
          <w:rFonts w:ascii="Arial" w:hAnsi="Arial" w:cs="Arial"/>
          <w:sz w:val="17"/>
          <w:szCs w:val="17"/>
          <w:lang w:val="en-GB"/>
        </w:rPr>
        <w:t>.</w:t>
      </w:r>
    </w:p>
    <w:p w14:paraId="7E9B6669" w14:textId="77777777" w:rsidR="00824AB3" w:rsidRPr="00936318" w:rsidRDefault="00824AB3" w:rsidP="000D62AB">
      <w:pPr>
        <w:pStyle w:val="BodyTextMain"/>
        <w:jc w:val="center"/>
        <w:rPr>
          <w:rFonts w:ascii="Arial Bold" w:hAnsi="Arial Bold" w:cs="Arial"/>
          <w:b/>
          <w:caps/>
          <w:lang w:val="en-GB"/>
        </w:rPr>
      </w:pPr>
      <w:r w:rsidRPr="00936318">
        <w:rPr>
          <w:lang w:val="en-GB"/>
        </w:rPr>
        <w:br w:type="page"/>
      </w:r>
      <w:r w:rsidRPr="00936318">
        <w:rPr>
          <w:rFonts w:ascii="Arial Bold" w:hAnsi="Arial Bold" w:cs="Arial"/>
          <w:b/>
          <w:caps/>
          <w:sz w:val="20"/>
          <w:szCs w:val="20"/>
          <w:lang w:val="en-GB"/>
        </w:rPr>
        <w:lastRenderedPageBreak/>
        <w:t>Exhibit 2: CGC Organizational Structure (Credit</w:t>
      </w:r>
      <w:r w:rsidR="00C32A97" w:rsidRPr="00936318">
        <w:rPr>
          <w:rFonts w:ascii="Arial Bold" w:hAnsi="Arial Bold" w:cs="Arial"/>
          <w:b/>
          <w:caps/>
          <w:sz w:val="20"/>
          <w:szCs w:val="20"/>
          <w:lang w:val="en-GB"/>
        </w:rPr>
        <w:t>, Operations</w:t>
      </w:r>
      <w:r w:rsidR="00225F43" w:rsidRPr="00936318">
        <w:rPr>
          <w:rFonts w:ascii="Arial Bold" w:hAnsi="Arial Bold" w:cs="Arial"/>
          <w:b/>
          <w:caps/>
          <w:sz w:val="20"/>
          <w:szCs w:val="20"/>
          <w:lang w:val="en-GB"/>
        </w:rPr>
        <w:t>,</w:t>
      </w:r>
      <w:r w:rsidRPr="00936318">
        <w:rPr>
          <w:rFonts w:ascii="Arial Bold" w:hAnsi="Arial Bold" w:cs="Arial"/>
          <w:b/>
          <w:caps/>
          <w:sz w:val="20"/>
          <w:szCs w:val="20"/>
          <w:lang w:val="en-GB"/>
        </w:rPr>
        <w:t xml:space="preserve"> and Risk only)</w:t>
      </w:r>
    </w:p>
    <w:p w14:paraId="2AB4B777" w14:textId="77777777" w:rsidR="00225F43" w:rsidRPr="00936318" w:rsidRDefault="00225F43" w:rsidP="000D62AB">
      <w:pPr>
        <w:pStyle w:val="BodyTextMain"/>
        <w:jc w:val="center"/>
        <w:rPr>
          <w:rFonts w:ascii="Arial Bold" w:hAnsi="Arial Bold" w:cs="Arial"/>
          <w:b/>
          <w:caps/>
          <w:lang w:val="en-GB"/>
        </w:rPr>
      </w:pPr>
    </w:p>
    <w:p w14:paraId="71EF2AAB" w14:textId="77777777" w:rsidR="00225F43" w:rsidRPr="00936318" w:rsidRDefault="00225F43" w:rsidP="000D62AB">
      <w:pPr>
        <w:pStyle w:val="BodyTextMain"/>
        <w:jc w:val="center"/>
        <w:rPr>
          <w:rFonts w:ascii="Arial Bold" w:hAnsi="Arial Bold" w:cs="Arial"/>
          <w:b/>
          <w:caps/>
          <w:lang w:val="en-GB"/>
        </w:rPr>
      </w:pPr>
    </w:p>
    <w:p w14:paraId="7F44C52C" w14:textId="77777777" w:rsidR="00E7479E" w:rsidRPr="00936318" w:rsidRDefault="00E7479E" w:rsidP="00E7479E">
      <w:pPr>
        <w:rPr>
          <w:lang w:val="en-GB"/>
        </w:rPr>
      </w:pPr>
    </w:p>
    <w:p w14:paraId="0C4D2E49" w14:textId="77777777" w:rsidR="00A961B1" w:rsidRPr="00936318" w:rsidRDefault="009A369A" w:rsidP="00E7479E">
      <w:pPr>
        <w:ind w:firstLine="720"/>
        <w:rPr>
          <w:lang w:val="en-GB"/>
        </w:rPr>
      </w:pPr>
      <w:r w:rsidRPr="00936318">
        <w:rPr>
          <w:noProof/>
          <w:lang w:val="en-CA" w:eastAsia="en-CA"/>
        </w:rPr>
        <w:drawing>
          <wp:inline distT="0" distB="0" distL="0" distR="0" wp14:anchorId="0E9AF6CC" wp14:editId="69FA96FF">
            <wp:extent cx="4585648" cy="3202940"/>
            <wp:effectExtent l="0" t="0" r="0" b="355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7F55F65" w14:textId="77777777" w:rsidR="00C0220F" w:rsidRPr="00936318" w:rsidRDefault="00C0220F" w:rsidP="00A961B1">
      <w:pPr>
        <w:tabs>
          <w:tab w:val="left" w:pos="1128"/>
        </w:tabs>
        <w:rPr>
          <w:b/>
          <w:lang w:val="en-GB"/>
        </w:rPr>
      </w:pPr>
    </w:p>
    <w:p w14:paraId="6B5953FF" w14:textId="77777777" w:rsidR="00C0220F" w:rsidRPr="00936318" w:rsidRDefault="00C0220F" w:rsidP="00A961B1">
      <w:pPr>
        <w:tabs>
          <w:tab w:val="left" w:pos="1128"/>
        </w:tabs>
        <w:rPr>
          <w:b/>
          <w:lang w:val="en-GB"/>
        </w:rPr>
      </w:pPr>
    </w:p>
    <w:p w14:paraId="5CF84137" w14:textId="77777777" w:rsidR="00C0220F" w:rsidRPr="00936318" w:rsidRDefault="00C0220F" w:rsidP="00A961B1">
      <w:pPr>
        <w:tabs>
          <w:tab w:val="left" w:pos="1128"/>
        </w:tabs>
        <w:rPr>
          <w:b/>
          <w:lang w:val="en-GB"/>
        </w:rPr>
      </w:pPr>
    </w:p>
    <w:p w14:paraId="3AEAC441" w14:textId="77777777" w:rsidR="00225F43" w:rsidRPr="00936318" w:rsidRDefault="00225F43" w:rsidP="00C567EC">
      <w:pPr>
        <w:pStyle w:val="Footnote"/>
        <w:rPr>
          <w:lang w:val="en-GB"/>
        </w:rPr>
      </w:pPr>
      <w:r w:rsidRPr="00936318">
        <w:rPr>
          <w:lang w:val="en-GB"/>
        </w:rPr>
        <w:t>Note: VP = vice-president; AVP = assistant vice-president.</w:t>
      </w:r>
    </w:p>
    <w:p w14:paraId="5B77D352" w14:textId="77777777" w:rsidR="00665AE4" w:rsidRPr="00936318" w:rsidRDefault="00A961B1" w:rsidP="00C567EC">
      <w:pPr>
        <w:pStyle w:val="Footnote"/>
        <w:rPr>
          <w:lang w:val="en-GB"/>
        </w:rPr>
      </w:pPr>
      <w:r w:rsidRPr="00936318">
        <w:rPr>
          <w:lang w:val="en-GB"/>
        </w:rPr>
        <w:t>Source:</w:t>
      </w:r>
      <w:r w:rsidR="00C567EC" w:rsidRPr="00936318">
        <w:rPr>
          <w:lang w:val="en-GB"/>
        </w:rPr>
        <w:t xml:space="preserve"> Created by the author</w:t>
      </w:r>
      <w:r w:rsidR="00225F43" w:rsidRPr="00936318">
        <w:rPr>
          <w:lang w:val="en-GB"/>
        </w:rPr>
        <w:t>s.</w:t>
      </w:r>
    </w:p>
    <w:p w14:paraId="1EF2C53C" w14:textId="77777777" w:rsidR="00A961B1" w:rsidRPr="00936318" w:rsidRDefault="00A961B1" w:rsidP="00A961B1">
      <w:pPr>
        <w:tabs>
          <w:tab w:val="left" w:pos="1128"/>
        </w:tabs>
        <w:rPr>
          <w:lang w:val="en-GB"/>
        </w:rPr>
      </w:pPr>
    </w:p>
    <w:sectPr w:rsidR="00A961B1" w:rsidRPr="00936318" w:rsidSect="009A369A">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F8C3E" w14:textId="77777777" w:rsidR="00F304E0" w:rsidRDefault="00F304E0" w:rsidP="00D75295">
      <w:r>
        <w:separator/>
      </w:r>
    </w:p>
  </w:endnote>
  <w:endnote w:type="continuationSeparator" w:id="0">
    <w:p w14:paraId="3EA92113" w14:textId="77777777" w:rsidR="00F304E0" w:rsidRDefault="00F304E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BA0AF" w14:textId="77777777" w:rsidR="00F304E0" w:rsidRDefault="00F304E0" w:rsidP="00D75295">
      <w:r>
        <w:separator/>
      </w:r>
    </w:p>
  </w:footnote>
  <w:footnote w:type="continuationSeparator" w:id="0">
    <w:p w14:paraId="6DB6DFF6" w14:textId="77777777" w:rsidR="00F304E0" w:rsidRDefault="00F304E0" w:rsidP="00D75295">
      <w:r>
        <w:continuationSeparator/>
      </w:r>
    </w:p>
  </w:footnote>
  <w:footnote w:id="1">
    <w:p w14:paraId="591AD28B" w14:textId="77777777" w:rsidR="009106AB" w:rsidRPr="00F9796D" w:rsidRDefault="009106AB" w:rsidP="009B0443">
      <w:pPr>
        <w:pStyle w:val="Footnote"/>
        <w:rPr>
          <w:lang w:val="en-IN"/>
        </w:rPr>
      </w:pPr>
      <w:r>
        <w:rPr>
          <w:rStyle w:val="FootnoteReference"/>
        </w:rPr>
        <w:footnoteRef/>
      </w:r>
      <w:r>
        <w:t xml:space="preserve"> </w:t>
      </w:r>
      <w:r w:rsidRPr="00F55AE1">
        <w:t xml:space="preserve">RM = </w:t>
      </w:r>
      <w:r>
        <w:t>MYR = Malaysian r</w:t>
      </w:r>
      <w:r w:rsidRPr="00F55AE1">
        <w:t>inggit; all</w:t>
      </w:r>
      <w:r>
        <w:t xml:space="preserve"> currency amounts are </w:t>
      </w:r>
      <w:r w:rsidRPr="00F55AE1">
        <w:t>in RM unless otherwise stated; RM1</w:t>
      </w:r>
      <w:r w:rsidR="001E7DA7">
        <w:t xml:space="preserve"> </w:t>
      </w:r>
      <w:r w:rsidRPr="00F55AE1">
        <w:t>=</w:t>
      </w:r>
      <w:r w:rsidR="001E7DA7">
        <w:t xml:space="preserve"> </w:t>
      </w:r>
      <w:r w:rsidRPr="00F55AE1">
        <w:t>US$0.23 on March 21, 2017.</w:t>
      </w:r>
    </w:p>
  </w:footnote>
  <w:footnote w:id="2">
    <w:p w14:paraId="750C01EC" w14:textId="14FB019E" w:rsidR="009106AB" w:rsidRPr="001C68BA" w:rsidRDefault="00F37917" w:rsidP="009B0443">
      <w:pPr>
        <w:pStyle w:val="Footnote"/>
        <w:rPr>
          <w:lang w:val="en-IN"/>
        </w:rPr>
      </w:pPr>
      <w:r>
        <w:rPr>
          <w:rStyle w:val="FootnoteReference"/>
        </w:rPr>
        <w:footnoteRef/>
      </w:r>
      <w:r w:rsidR="009B0443">
        <w:t xml:space="preserve"> </w:t>
      </w:r>
      <w:r w:rsidR="009106AB">
        <w:t xml:space="preserve">Credit Guarantee Corporation, </w:t>
      </w:r>
      <w:r w:rsidR="00B6048B" w:rsidRPr="009B0443">
        <w:rPr>
          <w:i/>
        </w:rPr>
        <w:t xml:space="preserve">Intensifying Development, </w:t>
      </w:r>
      <w:proofErr w:type="gramStart"/>
      <w:r w:rsidR="00B6048B" w:rsidRPr="009B0443">
        <w:rPr>
          <w:i/>
        </w:rPr>
        <w:t>Fostering</w:t>
      </w:r>
      <w:proofErr w:type="gramEnd"/>
      <w:r w:rsidR="00B6048B" w:rsidRPr="009B0443">
        <w:rPr>
          <w:i/>
        </w:rPr>
        <w:t xml:space="preserve"> Transformation:</w:t>
      </w:r>
      <w:r w:rsidR="00B6048B">
        <w:t xml:space="preserve"> </w:t>
      </w:r>
      <w:r w:rsidR="009106AB" w:rsidRPr="000D62AB">
        <w:rPr>
          <w:i/>
          <w:lang w:val="en-IN"/>
        </w:rPr>
        <w:t>2015 Annual Report,</w:t>
      </w:r>
      <w:r w:rsidR="009106AB">
        <w:rPr>
          <w:lang w:val="en-IN"/>
        </w:rPr>
        <w:t xml:space="preserve"> </w:t>
      </w:r>
      <w:r w:rsidR="009106AB" w:rsidRPr="001C68BA">
        <w:rPr>
          <w:lang w:val="en-IN"/>
        </w:rPr>
        <w:t>accessed May 30, 2017, https://www.cgc.com.my/wp-content/themes/crystalline/doc/2015.pdf</w:t>
      </w:r>
      <w:r w:rsidR="009106AB">
        <w:rPr>
          <w:lang w:val="en-IN"/>
        </w:rPr>
        <w:t>.</w:t>
      </w:r>
    </w:p>
  </w:footnote>
  <w:footnote w:id="3">
    <w:p w14:paraId="2BF0F88E" w14:textId="77777777" w:rsidR="00B6048B" w:rsidRPr="009B0443" w:rsidRDefault="00B6048B" w:rsidP="009B0443">
      <w:pPr>
        <w:pStyle w:val="Footnote"/>
        <w:rPr>
          <w:lang w:val="en-CA"/>
        </w:rPr>
      </w:pPr>
      <w:r>
        <w:rPr>
          <w:rStyle w:val="FootnoteReference"/>
        </w:rPr>
        <w:footnoteRef/>
      </w:r>
      <w:r>
        <w:t xml:space="preserve"> </w:t>
      </w:r>
      <w:r w:rsidR="004B1064" w:rsidRPr="009B0443">
        <w:rPr>
          <w:rStyle w:val="FootnoteChar"/>
        </w:rPr>
        <w:t xml:space="preserve">“Small and Medium Enterprises (SMEs) Finance,” The World Bank, </w:t>
      </w:r>
      <w:r w:rsidR="004B1064">
        <w:rPr>
          <w:rStyle w:val="FootnoteChar"/>
        </w:rPr>
        <w:t xml:space="preserve">September 1, 2015, </w:t>
      </w:r>
      <w:r w:rsidR="004B1064" w:rsidRPr="009B0443">
        <w:rPr>
          <w:rStyle w:val="FootnoteChar"/>
        </w:rPr>
        <w:t>accessed November 13, 2017, www.worldbank.org/en/topic/financialsector/brief/smes-finance</w:t>
      </w:r>
      <w:r w:rsidR="004B1064">
        <w:rPr>
          <w:rStyle w:val="FootnoteChar"/>
        </w:rPr>
        <w:t>.</w:t>
      </w:r>
    </w:p>
  </w:footnote>
  <w:footnote w:id="4">
    <w:p w14:paraId="567C1EF9" w14:textId="77777777" w:rsidR="004B1064" w:rsidRPr="009B0443" w:rsidRDefault="004B1064" w:rsidP="009B0443">
      <w:pPr>
        <w:pStyle w:val="FootnoteText"/>
        <w:jc w:val="both"/>
        <w:rPr>
          <w:spacing w:val="-2"/>
          <w:kern w:val="17"/>
          <w:lang w:val="en-CA"/>
        </w:rPr>
      </w:pPr>
      <w:r w:rsidRPr="009B0443">
        <w:rPr>
          <w:rStyle w:val="FootnoteChar"/>
          <w:spacing w:val="-2"/>
          <w:kern w:val="17"/>
          <w:vertAlign w:val="superscript"/>
        </w:rPr>
        <w:footnoteRef/>
      </w:r>
      <w:r w:rsidRPr="009B0443">
        <w:rPr>
          <w:rStyle w:val="FootnoteChar"/>
          <w:spacing w:val="-2"/>
          <w:kern w:val="17"/>
        </w:rPr>
        <w:t xml:space="preserve"> </w:t>
      </w:r>
      <w:r w:rsidR="00F37917" w:rsidRPr="009B0443">
        <w:rPr>
          <w:rStyle w:val="FootnoteChar"/>
          <w:spacing w:val="-2"/>
          <w:kern w:val="17"/>
        </w:rPr>
        <w:t xml:space="preserve">Omar Costa, Jawad Khan, Cindy Levy, Alfonso </w:t>
      </w:r>
      <w:proofErr w:type="spellStart"/>
      <w:r w:rsidR="00F37917" w:rsidRPr="009B0443">
        <w:rPr>
          <w:rStyle w:val="FootnoteChar"/>
          <w:spacing w:val="-2"/>
          <w:kern w:val="17"/>
        </w:rPr>
        <w:t>Natale</w:t>
      </w:r>
      <w:proofErr w:type="spellEnd"/>
      <w:r w:rsidR="00F37917" w:rsidRPr="009B0443">
        <w:rPr>
          <w:rStyle w:val="FootnoteChar"/>
          <w:spacing w:val="-2"/>
          <w:kern w:val="17"/>
        </w:rPr>
        <w:t xml:space="preserve">, and </w:t>
      </w:r>
      <w:proofErr w:type="spellStart"/>
      <w:r w:rsidR="00F37917" w:rsidRPr="009B0443">
        <w:rPr>
          <w:rStyle w:val="FootnoteChar"/>
          <w:spacing w:val="-2"/>
          <w:kern w:val="17"/>
        </w:rPr>
        <w:t>Ozgur</w:t>
      </w:r>
      <w:proofErr w:type="spellEnd"/>
      <w:r w:rsidR="00F37917" w:rsidRPr="009B0443">
        <w:rPr>
          <w:rStyle w:val="FootnoteChar"/>
          <w:spacing w:val="-2"/>
          <w:kern w:val="17"/>
        </w:rPr>
        <w:t xml:space="preserve"> </w:t>
      </w:r>
      <w:proofErr w:type="spellStart"/>
      <w:r w:rsidR="00F37917" w:rsidRPr="009B0443">
        <w:rPr>
          <w:rStyle w:val="FootnoteChar"/>
          <w:spacing w:val="-2"/>
          <w:kern w:val="17"/>
        </w:rPr>
        <w:t>Tanrikulu</w:t>
      </w:r>
      <w:proofErr w:type="spellEnd"/>
      <w:r w:rsidR="00F37917" w:rsidRPr="009B0443">
        <w:rPr>
          <w:rStyle w:val="FootnoteChar"/>
          <w:spacing w:val="-2"/>
          <w:kern w:val="17"/>
        </w:rPr>
        <w:t xml:space="preserve">, </w:t>
      </w:r>
      <w:r w:rsidRPr="009B0443">
        <w:rPr>
          <w:rStyle w:val="FootnoteChar"/>
          <w:i/>
          <w:spacing w:val="-2"/>
          <w:kern w:val="17"/>
        </w:rPr>
        <w:t xml:space="preserve">McKinsey Working Papers on Risk, Number 56: </w:t>
      </w:r>
      <w:r w:rsidRPr="009B0443">
        <w:rPr>
          <w:rStyle w:val="FootnoteChar"/>
          <w:spacing w:val="-2"/>
          <w:kern w:val="17"/>
        </w:rPr>
        <w:t xml:space="preserve">Risk in Emerging Markets—The Way Forward for Leading Banks, </w:t>
      </w:r>
      <w:r w:rsidR="00F37917" w:rsidRPr="009B0443">
        <w:rPr>
          <w:rStyle w:val="FootnoteChar"/>
          <w:spacing w:val="-2"/>
          <w:kern w:val="17"/>
        </w:rPr>
        <w:t xml:space="preserve">McKinsey &amp; Company, </w:t>
      </w:r>
      <w:r w:rsidRPr="009B0443">
        <w:rPr>
          <w:rStyle w:val="FootnoteChar"/>
          <w:spacing w:val="-2"/>
          <w:kern w:val="17"/>
        </w:rPr>
        <w:t>2014, accessed September 30, 2017, www.mckinsey.com/~/media/mckinsey/business%20functions/risk/our%20insights/rethinking%20bank%20risk%20in%20emerging%20markets/rwp_56_risk_in_emerging_markets.ashx.</w:t>
      </w:r>
    </w:p>
  </w:footnote>
  <w:footnote w:id="5">
    <w:p w14:paraId="237D5ADF" w14:textId="01D7CEEF" w:rsidR="009B0443" w:rsidRDefault="009106AB" w:rsidP="009B0443">
      <w:pPr>
        <w:pStyle w:val="Footnote"/>
        <w:rPr>
          <w:spacing w:val="-4"/>
          <w:kern w:val="17"/>
        </w:rPr>
      </w:pPr>
      <w:r w:rsidRPr="009B0443">
        <w:rPr>
          <w:rStyle w:val="FootnoteReference"/>
          <w:spacing w:val="-4"/>
          <w:kern w:val="17"/>
        </w:rPr>
        <w:footnoteRef/>
      </w:r>
      <w:r w:rsidRPr="009B0443">
        <w:rPr>
          <w:spacing w:val="-4"/>
          <w:kern w:val="17"/>
        </w:rPr>
        <w:t xml:space="preserve"> </w:t>
      </w:r>
      <w:proofErr w:type="spellStart"/>
      <w:r w:rsidR="00F37917" w:rsidRPr="009B0443">
        <w:rPr>
          <w:spacing w:val="-4"/>
          <w:kern w:val="17"/>
        </w:rPr>
        <w:t>Mutsa</w:t>
      </w:r>
      <w:proofErr w:type="spellEnd"/>
      <w:r w:rsidR="00F37917" w:rsidRPr="009B0443">
        <w:rPr>
          <w:spacing w:val="-4"/>
          <w:kern w:val="17"/>
        </w:rPr>
        <w:t xml:space="preserve"> </w:t>
      </w:r>
      <w:proofErr w:type="spellStart"/>
      <w:r w:rsidR="00F37917" w:rsidRPr="009B0443">
        <w:rPr>
          <w:spacing w:val="-4"/>
          <w:kern w:val="17"/>
        </w:rPr>
        <w:t>Chironga</w:t>
      </w:r>
      <w:proofErr w:type="spellEnd"/>
      <w:r w:rsidR="00F37917" w:rsidRPr="009B0443">
        <w:rPr>
          <w:spacing w:val="-4"/>
          <w:kern w:val="17"/>
        </w:rPr>
        <w:t xml:space="preserve">, Jacob Dahl, Tony </w:t>
      </w:r>
      <w:proofErr w:type="spellStart"/>
      <w:r w:rsidR="00F37917" w:rsidRPr="009B0443">
        <w:rPr>
          <w:spacing w:val="-4"/>
          <w:kern w:val="17"/>
        </w:rPr>
        <w:t>Goland</w:t>
      </w:r>
      <w:proofErr w:type="spellEnd"/>
      <w:r w:rsidR="00F37917" w:rsidRPr="009B0443">
        <w:rPr>
          <w:spacing w:val="-4"/>
          <w:kern w:val="17"/>
        </w:rPr>
        <w:t xml:space="preserve">, Gary </w:t>
      </w:r>
      <w:proofErr w:type="spellStart"/>
      <w:r w:rsidR="00F37917" w:rsidRPr="009B0443">
        <w:rPr>
          <w:spacing w:val="-4"/>
          <w:kern w:val="17"/>
        </w:rPr>
        <w:t>Pinshaw</w:t>
      </w:r>
      <w:proofErr w:type="spellEnd"/>
      <w:r w:rsidR="00F37917" w:rsidRPr="009B0443">
        <w:rPr>
          <w:spacing w:val="-4"/>
          <w:kern w:val="17"/>
        </w:rPr>
        <w:t xml:space="preserve">, and </w:t>
      </w:r>
      <w:proofErr w:type="spellStart"/>
      <w:r w:rsidR="00F37917" w:rsidRPr="009B0443">
        <w:rPr>
          <w:spacing w:val="-4"/>
          <w:kern w:val="17"/>
        </w:rPr>
        <w:t>Marnus</w:t>
      </w:r>
      <w:proofErr w:type="spellEnd"/>
      <w:r w:rsidR="00F37917" w:rsidRPr="009B0443">
        <w:rPr>
          <w:spacing w:val="-4"/>
          <w:kern w:val="17"/>
        </w:rPr>
        <w:t xml:space="preserve"> </w:t>
      </w:r>
      <w:proofErr w:type="spellStart"/>
      <w:r w:rsidR="00F37917" w:rsidRPr="009B0443">
        <w:rPr>
          <w:spacing w:val="-4"/>
          <w:kern w:val="17"/>
        </w:rPr>
        <w:t>Sonnekus</w:t>
      </w:r>
      <w:proofErr w:type="spellEnd"/>
      <w:r w:rsidR="00F37917" w:rsidRPr="009B0443">
        <w:rPr>
          <w:spacing w:val="-4"/>
          <w:kern w:val="17"/>
        </w:rPr>
        <w:t xml:space="preserve">, </w:t>
      </w:r>
      <w:r w:rsidRPr="009B0443">
        <w:rPr>
          <w:i/>
          <w:spacing w:val="-4"/>
          <w:kern w:val="17"/>
          <w:lang w:val="en-IN"/>
        </w:rPr>
        <w:t>Banking Practice,</w:t>
      </w:r>
      <w:r w:rsidRPr="009B0443">
        <w:rPr>
          <w:spacing w:val="-4"/>
          <w:kern w:val="17"/>
          <w:lang w:val="en-IN"/>
        </w:rPr>
        <w:t xml:space="preserve"> </w:t>
      </w:r>
      <w:r w:rsidRPr="009B0443">
        <w:rPr>
          <w:i/>
          <w:spacing w:val="-4"/>
          <w:kern w:val="17"/>
          <w:lang w:val="en-IN"/>
        </w:rPr>
        <w:t>Micro-, Small and Medium-Sized Enterprises in Emerging Markets: How Banks Can Grasp a $350 Billion Opportunity,</w:t>
      </w:r>
      <w:r w:rsidRPr="009B0443">
        <w:rPr>
          <w:spacing w:val="-4"/>
          <w:kern w:val="17"/>
          <w:lang w:val="en-IN"/>
        </w:rPr>
        <w:t xml:space="preserve"> </w:t>
      </w:r>
      <w:r w:rsidR="00F37917" w:rsidRPr="009B0443">
        <w:rPr>
          <w:spacing w:val="-4"/>
          <w:kern w:val="17"/>
        </w:rPr>
        <w:t xml:space="preserve">McKinsey &amp; Company, </w:t>
      </w:r>
      <w:r w:rsidRPr="009B0443">
        <w:rPr>
          <w:spacing w:val="-4"/>
          <w:kern w:val="17"/>
          <w:lang w:val="en-IN"/>
        </w:rPr>
        <w:t xml:space="preserve">accessed September 30, 2017, </w:t>
      </w:r>
      <w:r w:rsidR="009B0443" w:rsidRPr="009B0443">
        <w:rPr>
          <w:spacing w:val="-4"/>
          <w:kern w:val="17"/>
        </w:rPr>
        <w:t>https://www.mckinsey.com/~/media/mckinsey/industries/financial%20services/our%20insights/tapping%20the</w:t>
      </w:r>
    </w:p>
    <w:p w14:paraId="72BD29EB" w14:textId="1B13ED0A" w:rsidR="009106AB" w:rsidRPr="009B0443" w:rsidRDefault="005823FF" w:rsidP="009B0443">
      <w:pPr>
        <w:pStyle w:val="Footnote"/>
        <w:rPr>
          <w:spacing w:val="-4"/>
          <w:kern w:val="17"/>
          <w:lang w:val="en-IN"/>
        </w:rPr>
      </w:pPr>
      <w:r w:rsidRPr="009B0443">
        <w:rPr>
          <w:spacing w:val="-4"/>
          <w:kern w:val="17"/>
        </w:rPr>
        <w:t>%20next%20big%20thing%20in%20emerging%20market%20banking/micro_small_and_med_sized_enterprises_in_emerging_markets_exec_summary.ashx</w:t>
      </w:r>
      <w:r w:rsidR="009106AB" w:rsidRPr="009B0443">
        <w:rPr>
          <w:spacing w:val="-4"/>
          <w:kern w:val="17"/>
        </w:rPr>
        <w:t>.</w:t>
      </w:r>
    </w:p>
  </w:footnote>
  <w:footnote w:id="6">
    <w:p w14:paraId="2AFA22EA" w14:textId="77777777" w:rsidR="004447E1" w:rsidRPr="00D31080" w:rsidRDefault="004447E1" w:rsidP="004447E1">
      <w:pPr>
        <w:pStyle w:val="Footnote"/>
        <w:rPr>
          <w:lang w:val="en-IN"/>
        </w:rPr>
      </w:pPr>
      <w:r w:rsidRPr="00D31080">
        <w:rPr>
          <w:rStyle w:val="FootnoteReference"/>
        </w:rPr>
        <w:footnoteRef/>
      </w:r>
      <w:r w:rsidRPr="00D31080">
        <w:t xml:space="preserve"> </w:t>
      </w:r>
      <w:r>
        <w:t xml:space="preserve">“About Us: Overview,” Credit Guarantee Corporation Malaysia </w:t>
      </w:r>
      <w:proofErr w:type="spellStart"/>
      <w:r>
        <w:t>Berhad</w:t>
      </w:r>
      <w:proofErr w:type="spellEnd"/>
      <w:r>
        <w:t xml:space="preserve">, accessed May 30, 2017, </w:t>
      </w:r>
      <w:r w:rsidRPr="00D31080">
        <w:t>https://www.cgc.com.my/overview/</w:t>
      </w:r>
      <w:r>
        <w:t>.</w:t>
      </w:r>
    </w:p>
  </w:footnote>
  <w:footnote w:id="7">
    <w:p w14:paraId="2C1F9FBA" w14:textId="60D698C7" w:rsidR="004447E1" w:rsidRPr="004447E1" w:rsidRDefault="004447E1" w:rsidP="004447E1">
      <w:pPr>
        <w:pStyle w:val="Footnote"/>
        <w:rPr>
          <w:lang w:val="en-GB"/>
        </w:rPr>
      </w:pPr>
      <w:r>
        <w:rPr>
          <w:rStyle w:val="FootnoteReference"/>
        </w:rPr>
        <w:footnoteRef/>
      </w:r>
      <w:r>
        <w:t xml:space="preserve"> </w:t>
      </w:r>
      <w:r>
        <w:rPr>
          <w:lang w:val="en-GB"/>
        </w:rPr>
        <w:t xml:space="preserve">Ibid. </w:t>
      </w:r>
    </w:p>
  </w:footnote>
  <w:footnote w:id="8">
    <w:p w14:paraId="7813EB26" w14:textId="61C0E3DA" w:rsidR="009106AB" w:rsidRPr="00EC48ED" w:rsidRDefault="009106AB" w:rsidP="009B0443">
      <w:pPr>
        <w:pStyle w:val="Footnote"/>
        <w:rPr>
          <w:lang w:val="en-IN"/>
        </w:rPr>
      </w:pPr>
      <w:r>
        <w:rPr>
          <w:rStyle w:val="FootnoteReference"/>
        </w:rPr>
        <w:footnoteRef/>
      </w:r>
      <w:r>
        <w:t xml:space="preserve"> Edward I. </w:t>
      </w:r>
      <w:r w:rsidRPr="00EC48ED">
        <w:rPr>
          <w:lang w:val="en-IN"/>
        </w:rPr>
        <w:t>Altman and Anthony Saunders</w:t>
      </w:r>
      <w:r>
        <w:rPr>
          <w:lang w:val="en-IN"/>
        </w:rPr>
        <w:t>,</w:t>
      </w:r>
      <w:r w:rsidRPr="00EC48ED">
        <w:rPr>
          <w:lang w:val="en-IN"/>
        </w:rPr>
        <w:t xml:space="preserve"> </w:t>
      </w:r>
      <w:r>
        <w:rPr>
          <w:lang w:val="en-IN"/>
        </w:rPr>
        <w:t>“</w:t>
      </w:r>
      <w:r w:rsidRPr="00EC48ED">
        <w:rPr>
          <w:lang w:val="en-IN"/>
        </w:rPr>
        <w:t xml:space="preserve">Credit </w:t>
      </w:r>
      <w:r>
        <w:rPr>
          <w:lang w:val="en-IN"/>
        </w:rPr>
        <w:t>R</w:t>
      </w:r>
      <w:r w:rsidRPr="00EC48ED">
        <w:rPr>
          <w:lang w:val="en-IN"/>
        </w:rPr>
        <w:t xml:space="preserve">isk </w:t>
      </w:r>
      <w:r>
        <w:rPr>
          <w:lang w:val="en-IN"/>
        </w:rPr>
        <w:t>M</w:t>
      </w:r>
      <w:r w:rsidRPr="00EC48ED">
        <w:rPr>
          <w:lang w:val="en-IN"/>
        </w:rPr>
        <w:t xml:space="preserve">easurement: Developments over the </w:t>
      </w:r>
      <w:r>
        <w:rPr>
          <w:lang w:val="en-IN"/>
        </w:rPr>
        <w:t>L</w:t>
      </w:r>
      <w:r w:rsidRPr="00EC48ED">
        <w:rPr>
          <w:lang w:val="en-IN"/>
        </w:rPr>
        <w:t xml:space="preserve">ast 20 </w:t>
      </w:r>
      <w:r>
        <w:rPr>
          <w:lang w:val="en-IN"/>
        </w:rPr>
        <w:t>Y</w:t>
      </w:r>
      <w:r w:rsidRPr="00EC48ED">
        <w:rPr>
          <w:lang w:val="en-IN"/>
        </w:rPr>
        <w:t>ears</w:t>
      </w:r>
      <w:r>
        <w:rPr>
          <w:lang w:val="en-IN"/>
        </w:rPr>
        <w:t>,”</w:t>
      </w:r>
      <w:r w:rsidRPr="00EC48ED">
        <w:rPr>
          <w:lang w:val="en-IN"/>
        </w:rPr>
        <w:t xml:space="preserve"> </w:t>
      </w:r>
      <w:r w:rsidRPr="00EC48ED">
        <w:rPr>
          <w:i/>
          <w:lang w:val="en-IN"/>
        </w:rPr>
        <w:t xml:space="preserve">Journal of </w:t>
      </w:r>
      <w:r>
        <w:rPr>
          <w:i/>
          <w:lang w:val="en-IN"/>
        </w:rPr>
        <w:t>B</w:t>
      </w:r>
      <w:r w:rsidRPr="00EC48ED">
        <w:rPr>
          <w:i/>
          <w:lang w:val="en-IN"/>
        </w:rPr>
        <w:t xml:space="preserve">anking &amp; </w:t>
      </w:r>
      <w:r>
        <w:rPr>
          <w:i/>
          <w:lang w:val="en-IN"/>
        </w:rPr>
        <w:t>F</w:t>
      </w:r>
      <w:r w:rsidRPr="00EC48ED">
        <w:rPr>
          <w:i/>
          <w:lang w:val="en-IN"/>
        </w:rPr>
        <w:t>inance</w:t>
      </w:r>
      <w:r>
        <w:rPr>
          <w:lang w:val="en-IN"/>
        </w:rPr>
        <w:t xml:space="preserve"> 21, no. 11 (1997): 1721–1742.</w:t>
      </w:r>
    </w:p>
  </w:footnote>
  <w:footnote w:id="9">
    <w:p w14:paraId="2F31126F" w14:textId="46A2DA4A" w:rsidR="009106AB" w:rsidRPr="00B82308" w:rsidRDefault="009106AB" w:rsidP="009B0443">
      <w:pPr>
        <w:pStyle w:val="Footnote"/>
        <w:rPr>
          <w:lang w:val="en-IN"/>
        </w:rPr>
      </w:pPr>
      <w:r w:rsidRPr="00B82308">
        <w:rPr>
          <w:rStyle w:val="FootnoteReference"/>
        </w:rPr>
        <w:footnoteRef/>
      </w:r>
      <w:r w:rsidRPr="000D62AB">
        <w:rPr>
          <w:lang w:val="en-GB"/>
        </w:rPr>
        <w:t xml:space="preserve"> </w:t>
      </w:r>
      <w:r w:rsidR="00D97415" w:rsidRPr="000D62AB">
        <w:rPr>
          <w:lang w:val="en-GB"/>
        </w:rPr>
        <w:t xml:space="preserve">Dean </w:t>
      </w:r>
      <w:proofErr w:type="spellStart"/>
      <w:r w:rsidRPr="000D62AB">
        <w:rPr>
          <w:lang w:val="en-GB" w:eastAsia="en-IN"/>
        </w:rPr>
        <w:t>Fantazzini</w:t>
      </w:r>
      <w:proofErr w:type="spellEnd"/>
      <w:r w:rsidRPr="000D62AB">
        <w:rPr>
          <w:lang w:val="en-GB" w:eastAsia="en-IN"/>
        </w:rPr>
        <w:t xml:space="preserve"> and Silvia </w:t>
      </w:r>
      <w:proofErr w:type="spellStart"/>
      <w:r w:rsidRPr="000D62AB">
        <w:rPr>
          <w:lang w:val="en-GB" w:eastAsia="en-IN"/>
        </w:rPr>
        <w:t>Figini</w:t>
      </w:r>
      <w:proofErr w:type="spellEnd"/>
      <w:r w:rsidR="00D97415" w:rsidRPr="000D62AB">
        <w:rPr>
          <w:lang w:val="en-GB" w:eastAsia="en-IN"/>
        </w:rPr>
        <w:t>, “</w:t>
      </w:r>
      <w:r w:rsidRPr="00B82308">
        <w:rPr>
          <w:lang w:val="en-IN" w:eastAsia="en-IN"/>
        </w:rPr>
        <w:t xml:space="preserve">Random </w:t>
      </w:r>
      <w:r w:rsidR="00D97415">
        <w:rPr>
          <w:lang w:val="en-IN" w:eastAsia="en-IN"/>
        </w:rPr>
        <w:t>S</w:t>
      </w:r>
      <w:r w:rsidRPr="00B82308">
        <w:rPr>
          <w:lang w:val="en-IN" w:eastAsia="en-IN"/>
        </w:rPr>
        <w:t xml:space="preserve">urvival </w:t>
      </w:r>
      <w:r w:rsidR="00D97415">
        <w:rPr>
          <w:lang w:val="en-IN" w:eastAsia="en-IN"/>
        </w:rPr>
        <w:t>F</w:t>
      </w:r>
      <w:r w:rsidRPr="00B82308">
        <w:rPr>
          <w:lang w:val="en-IN" w:eastAsia="en-IN"/>
        </w:rPr>
        <w:t xml:space="preserve">orests </w:t>
      </w:r>
      <w:r w:rsidR="00D97415">
        <w:rPr>
          <w:lang w:val="en-IN" w:eastAsia="en-IN"/>
        </w:rPr>
        <w:t>M</w:t>
      </w:r>
      <w:r w:rsidRPr="00B82308">
        <w:rPr>
          <w:lang w:val="en-IN" w:eastAsia="en-IN"/>
        </w:rPr>
        <w:t xml:space="preserve">odels for SME </w:t>
      </w:r>
      <w:r w:rsidR="00D97415">
        <w:rPr>
          <w:lang w:val="en-IN" w:eastAsia="en-IN"/>
        </w:rPr>
        <w:t>C</w:t>
      </w:r>
      <w:r w:rsidRPr="00B82308">
        <w:rPr>
          <w:lang w:val="en-IN" w:eastAsia="en-IN"/>
        </w:rPr>
        <w:t xml:space="preserve">redit </w:t>
      </w:r>
      <w:r w:rsidR="00D97415">
        <w:rPr>
          <w:lang w:val="en-IN" w:eastAsia="en-IN"/>
        </w:rPr>
        <w:t>R</w:t>
      </w:r>
      <w:r w:rsidRPr="00B82308">
        <w:rPr>
          <w:lang w:val="en-IN" w:eastAsia="en-IN"/>
        </w:rPr>
        <w:t xml:space="preserve">isk </w:t>
      </w:r>
      <w:r w:rsidR="00D97415">
        <w:rPr>
          <w:lang w:val="en-IN" w:eastAsia="en-IN"/>
        </w:rPr>
        <w:t>M</w:t>
      </w:r>
      <w:r w:rsidRPr="00B82308">
        <w:rPr>
          <w:lang w:val="en-IN" w:eastAsia="en-IN"/>
        </w:rPr>
        <w:t>easurement</w:t>
      </w:r>
      <w:r w:rsidR="00D97415">
        <w:rPr>
          <w:lang w:val="en-IN" w:eastAsia="en-IN"/>
        </w:rPr>
        <w:t xml:space="preserve">,” </w:t>
      </w:r>
      <w:r w:rsidRPr="00B82308">
        <w:rPr>
          <w:i/>
          <w:lang w:val="en-IN" w:eastAsia="en-IN"/>
        </w:rPr>
        <w:t xml:space="preserve">Methodology and </w:t>
      </w:r>
      <w:r w:rsidR="00D97415">
        <w:rPr>
          <w:i/>
          <w:lang w:val="en-IN" w:eastAsia="en-IN"/>
        </w:rPr>
        <w:t>C</w:t>
      </w:r>
      <w:r w:rsidRPr="00B82308">
        <w:rPr>
          <w:i/>
          <w:lang w:val="en-IN" w:eastAsia="en-IN"/>
        </w:rPr>
        <w:t xml:space="preserve">omputing in </w:t>
      </w:r>
      <w:r w:rsidR="00D97415">
        <w:rPr>
          <w:i/>
          <w:lang w:val="en-IN" w:eastAsia="en-IN"/>
        </w:rPr>
        <w:t>A</w:t>
      </w:r>
      <w:r w:rsidRPr="00B82308">
        <w:rPr>
          <w:i/>
          <w:lang w:val="en-IN" w:eastAsia="en-IN"/>
        </w:rPr>
        <w:t xml:space="preserve">pplied </w:t>
      </w:r>
      <w:r w:rsidR="00D97415">
        <w:rPr>
          <w:i/>
          <w:lang w:val="en-IN" w:eastAsia="en-IN"/>
        </w:rPr>
        <w:t>P</w:t>
      </w:r>
      <w:r w:rsidRPr="00B82308">
        <w:rPr>
          <w:i/>
          <w:lang w:val="en-IN" w:eastAsia="en-IN"/>
        </w:rPr>
        <w:t>robability</w:t>
      </w:r>
      <w:r w:rsidRPr="00B82308">
        <w:rPr>
          <w:lang w:val="en-IN" w:eastAsia="en-IN"/>
        </w:rPr>
        <w:t xml:space="preserve"> 11, no. 1 (2009): 29</w:t>
      </w:r>
      <w:r w:rsidR="00D97415">
        <w:rPr>
          <w:lang w:val="en-IN" w:eastAsia="en-IN"/>
        </w:rPr>
        <w:t>–</w:t>
      </w:r>
      <w:r w:rsidRPr="00B82308">
        <w:rPr>
          <w:lang w:val="en-IN" w:eastAsia="en-IN"/>
        </w:rPr>
        <w:t>45</w:t>
      </w:r>
      <w:r w:rsidR="00D97415">
        <w:t>.</w:t>
      </w:r>
    </w:p>
  </w:footnote>
  <w:footnote w:id="10">
    <w:p w14:paraId="4F48E846" w14:textId="7FF25853" w:rsidR="009106AB" w:rsidRPr="00142410" w:rsidRDefault="009106AB" w:rsidP="009B0443">
      <w:pPr>
        <w:pStyle w:val="Footnote"/>
        <w:rPr>
          <w:lang w:val="en-IN"/>
        </w:rPr>
      </w:pPr>
      <w:r>
        <w:rPr>
          <w:rStyle w:val="FootnoteReference"/>
        </w:rPr>
        <w:footnoteRef/>
      </w:r>
      <w:r>
        <w:t xml:space="preserve"> </w:t>
      </w:r>
      <w:r w:rsidR="00D97415">
        <w:t xml:space="preserve">Jorge </w:t>
      </w:r>
      <w:r w:rsidRPr="00142410">
        <w:rPr>
          <w:lang w:val="en-IN"/>
        </w:rPr>
        <w:t>Galindo and Pablo Tamayo</w:t>
      </w:r>
      <w:r>
        <w:rPr>
          <w:lang w:val="en-IN"/>
        </w:rPr>
        <w:t>, “</w:t>
      </w:r>
      <w:r w:rsidRPr="00142410">
        <w:rPr>
          <w:lang w:val="en-IN"/>
        </w:rPr>
        <w:t xml:space="preserve">Credit </w:t>
      </w:r>
      <w:r>
        <w:rPr>
          <w:lang w:val="en-IN"/>
        </w:rPr>
        <w:t>R</w:t>
      </w:r>
      <w:r w:rsidRPr="00142410">
        <w:rPr>
          <w:lang w:val="en-IN"/>
        </w:rPr>
        <w:t xml:space="preserve">isk </w:t>
      </w:r>
      <w:r>
        <w:rPr>
          <w:lang w:val="en-IN"/>
        </w:rPr>
        <w:t>A</w:t>
      </w:r>
      <w:r w:rsidRPr="00142410">
        <w:rPr>
          <w:lang w:val="en-IN"/>
        </w:rPr>
        <w:t xml:space="preserve">ssessment </w:t>
      </w:r>
      <w:r>
        <w:rPr>
          <w:lang w:val="en-IN"/>
        </w:rPr>
        <w:t>U</w:t>
      </w:r>
      <w:r w:rsidRPr="00142410">
        <w:rPr>
          <w:lang w:val="en-IN"/>
        </w:rPr>
        <w:t xml:space="preserve">sing </w:t>
      </w:r>
      <w:r>
        <w:rPr>
          <w:lang w:val="en-IN"/>
        </w:rPr>
        <w:t>S</w:t>
      </w:r>
      <w:r w:rsidRPr="00142410">
        <w:rPr>
          <w:lang w:val="en-IN"/>
        </w:rPr>
        <w:t xml:space="preserve">tatistical and </w:t>
      </w:r>
      <w:r>
        <w:rPr>
          <w:lang w:val="en-IN"/>
        </w:rPr>
        <w:t>M</w:t>
      </w:r>
      <w:r w:rsidRPr="00142410">
        <w:rPr>
          <w:lang w:val="en-IN"/>
        </w:rPr>
        <w:t xml:space="preserve">achine </w:t>
      </w:r>
      <w:r>
        <w:rPr>
          <w:lang w:val="en-IN"/>
        </w:rPr>
        <w:t>L</w:t>
      </w:r>
      <w:r w:rsidRPr="00142410">
        <w:rPr>
          <w:lang w:val="en-IN"/>
        </w:rPr>
        <w:t xml:space="preserve">earning: </w:t>
      </w:r>
      <w:r>
        <w:rPr>
          <w:lang w:val="en-IN"/>
        </w:rPr>
        <w:t>B</w:t>
      </w:r>
      <w:r w:rsidRPr="00142410">
        <w:rPr>
          <w:lang w:val="en-IN"/>
        </w:rPr>
        <w:t xml:space="preserve">asic </w:t>
      </w:r>
      <w:r>
        <w:rPr>
          <w:lang w:val="en-IN"/>
        </w:rPr>
        <w:t>M</w:t>
      </w:r>
      <w:r w:rsidRPr="00142410">
        <w:rPr>
          <w:lang w:val="en-IN"/>
        </w:rPr>
        <w:t xml:space="preserve">ethodology and </w:t>
      </w:r>
      <w:r>
        <w:rPr>
          <w:lang w:val="en-IN"/>
        </w:rPr>
        <w:t>R</w:t>
      </w:r>
      <w:r w:rsidRPr="00142410">
        <w:rPr>
          <w:lang w:val="en-IN"/>
        </w:rPr>
        <w:t xml:space="preserve">isk </w:t>
      </w:r>
      <w:proofErr w:type="spellStart"/>
      <w:r>
        <w:rPr>
          <w:lang w:val="en-IN"/>
        </w:rPr>
        <w:t>Mo</w:t>
      </w:r>
      <w:r w:rsidRPr="00142410">
        <w:rPr>
          <w:lang w:val="en-IN"/>
        </w:rPr>
        <w:t>deling</w:t>
      </w:r>
      <w:proofErr w:type="spellEnd"/>
      <w:r w:rsidRPr="00142410">
        <w:rPr>
          <w:lang w:val="en-IN"/>
        </w:rPr>
        <w:t xml:space="preserve"> </w:t>
      </w:r>
      <w:r>
        <w:rPr>
          <w:lang w:val="en-IN"/>
        </w:rPr>
        <w:t>A</w:t>
      </w:r>
      <w:r w:rsidRPr="00142410">
        <w:rPr>
          <w:lang w:val="en-IN"/>
        </w:rPr>
        <w:t>pplications</w:t>
      </w:r>
      <w:r>
        <w:rPr>
          <w:lang w:val="en-IN"/>
        </w:rPr>
        <w:t>,”</w:t>
      </w:r>
      <w:r w:rsidRPr="00142410">
        <w:rPr>
          <w:lang w:val="en-IN"/>
        </w:rPr>
        <w:t xml:space="preserve"> </w:t>
      </w:r>
      <w:r w:rsidRPr="00142410">
        <w:rPr>
          <w:i/>
          <w:lang w:val="en-IN"/>
        </w:rPr>
        <w:t>Computational Economics</w:t>
      </w:r>
      <w:r>
        <w:rPr>
          <w:lang w:val="en-IN"/>
        </w:rPr>
        <w:t xml:space="preserve"> 15, no. 1 (2000): 107–143.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DC209" w14:textId="6AFF02BB" w:rsidR="009106AB" w:rsidRDefault="009106A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6654DF">
      <w:rPr>
        <w:rFonts w:ascii="Arial" w:hAnsi="Arial"/>
        <w:b/>
      </w:rPr>
      <w:fldChar w:fldCharType="begin"/>
    </w:r>
    <w:r>
      <w:rPr>
        <w:rFonts w:ascii="Arial" w:hAnsi="Arial"/>
        <w:b/>
      </w:rPr>
      <w:instrText>PAGE</w:instrText>
    </w:r>
    <w:r w:rsidR="006654DF">
      <w:rPr>
        <w:rFonts w:ascii="Arial" w:hAnsi="Arial"/>
        <w:b/>
      </w:rPr>
      <w:fldChar w:fldCharType="separate"/>
    </w:r>
    <w:r w:rsidR="004447E1">
      <w:rPr>
        <w:rFonts w:ascii="Arial" w:hAnsi="Arial"/>
        <w:b/>
        <w:noProof/>
      </w:rPr>
      <w:t>9</w:t>
    </w:r>
    <w:r w:rsidR="006654DF">
      <w:rPr>
        <w:rFonts w:ascii="Arial" w:hAnsi="Arial"/>
        <w:b/>
      </w:rPr>
      <w:fldChar w:fldCharType="end"/>
    </w:r>
    <w:r>
      <w:rPr>
        <w:rFonts w:ascii="Arial" w:hAnsi="Arial"/>
        <w:b/>
      </w:rPr>
      <w:tab/>
    </w:r>
    <w:r w:rsidR="00B76B44">
      <w:rPr>
        <w:rFonts w:ascii="Arial" w:hAnsi="Arial"/>
        <w:b/>
      </w:rPr>
      <w:t>9B17M</w:t>
    </w:r>
    <w:r w:rsidR="009B0443">
      <w:rPr>
        <w:rFonts w:ascii="Arial" w:hAnsi="Arial"/>
        <w:b/>
      </w:rPr>
      <w:t>177</w:t>
    </w:r>
  </w:p>
  <w:p w14:paraId="21F98E05" w14:textId="77777777" w:rsidR="009106AB" w:rsidRPr="00C92CC4" w:rsidRDefault="009106AB">
    <w:pPr>
      <w:pStyle w:val="Header"/>
      <w:rPr>
        <w:sz w:val="18"/>
        <w:szCs w:val="18"/>
      </w:rPr>
    </w:pPr>
  </w:p>
  <w:p w14:paraId="7DCA0983" w14:textId="77777777" w:rsidR="009106AB" w:rsidRPr="00C92CC4" w:rsidRDefault="009106AB">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59A6"/>
    <w:rsid w:val="00040069"/>
    <w:rsid w:val="000434CF"/>
    <w:rsid w:val="0004471A"/>
    <w:rsid w:val="00044ECC"/>
    <w:rsid w:val="00044F14"/>
    <w:rsid w:val="000531D3"/>
    <w:rsid w:val="0005646B"/>
    <w:rsid w:val="00063379"/>
    <w:rsid w:val="00065123"/>
    <w:rsid w:val="00073EB2"/>
    <w:rsid w:val="00074625"/>
    <w:rsid w:val="0008102D"/>
    <w:rsid w:val="0009148A"/>
    <w:rsid w:val="00094C0E"/>
    <w:rsid w:val="000A22EF"/>
    <w:rsid w:val="000A45E9"/>
    <w:rsid w:val="000A7B39"/>
    <w:rsid w:val="000B1497"/>
    <w:rsid w:val="000B5558"/>
    <w:rsid w:val="000B69BC"/>
    <w:rsid w:val="000D62AB"/>
    <w:rsid w:val="000D685A"/>
    <w:rsid w:val="000F0363"/>
    <w:rsid w:val="000F0C22"/>
    <w:rsid w:val="000F2C35"/>
    <w:rsid w:val="000F6B09"/>
    <w:rsid w:val="000F6FDC"/>
    <w:rsid w:val="000F726E"/>
    <w:rsid w:val="00104567"/>
    <w:rsid w:val="00111675"/>
    <w:rsid w:val="00124F3A"/>
    <w:rsid w:val="0012732D"/>
    <w:rsid w:val="00133DED"/>
    <w:rsid w:val="00136871"/>
    <w:rsid w:val="00142410"/>
    <w:rsid w:val="00154FC9"/>
    <w:rsid w:val="00167E47"/>
    <w:rsid w:val="00174195"/>
    <w:rsid w:val="001745FC"/>
    <w:rsid w:val="001762CF"/>
    <w:rsid w:val="00180EC6"/>
    <w:rsid w:val="0018652E"/>
    <w:rsid w:val="0019241A"/>
    <w:rsid w:val="001A3136"/>
    <w:rsid w:val="001A5335"/>
    <w:rsid w:val="001A5673"/>
    <w:rsid w:val="001A752D"/>
    <w:rsid w:val="001B3118"/>
    <w:rsid w:val="001D5AF5"/>
    <w:rsid w:val="001E7DA7"/>
    <w:rsid w:val="001F0B33"/>
    <w:rsid w:val="00203AA1"/>
    <w:rsid w:val="00213E98"/>
    <w:rsid w:val="00221DBD"/>
    <w:rsid w:val="00225F43"/>
    <w:rsid w:val="00237531"/>
    <w:rsid w:val="00251614"/>
    <w:rsid w:val="00260B93"/>
    <w:rsid w:val="00277636"/>
    <w:rsid w:val="00286836"/>
    <w:rsid w:val="002932A4"/>
    <w:rsid w:val="00297CF8"/>
    <w:rsid w:val="002A5BBE"/>
    <w:rsid w:val="002C02DF"/>
    <w:rsid w:val="002E32F0"/>
    <w:rsid w:val="002F460C"/>
    <w:rsid w:val="002F48D6"/>
    <w:rsid w:val="002F52F3"/>
    <w:rsid w:val="003021E5"/>
    <w:rsid w:val="003108AC"/>
    <w:rsid w:val="0032711F"/>
    <w:rsid w:val="00327DA4"/>
    <w:rsid w:val="003303A3"/>
    <w:rsid w:val="00340EE3"/>
    <w:rsid w:val="00344B1D"/>
    <w:rsid w:val="00350DA9"/>
    <w:rsid w:val="00354899"/>
    <w:rsid w:val="00355FD6"/>
    <w:rsid w:val="0036029C"/>
    <w:rsid w:val="00361C8E"/>
    <w:rsid w:val="00364A5C"/>
    <w:rsid w:val="00373FB1"/>
    <w:rsid w:val="00375C9A"/>
    <w:rsid w:val="00377416"/>
    <w:rsid w:val="003862D9"/>
    <w:rsid w:val="003B30D8"/>
    <w:rsid w:val="003B3D71"/>
    <w:rsid w:val="003B7EF2"/>
    <w:rsid w:val="003C2AC6"/>
    <w:rsid w:val="003C3FA4"/>
    <w:rsid w:val="003D2D75"/>
    <w:rsid w:val="003D3869"/>
    <w:rsid w:val="003D4489"/>
    <w:rsid w:val="003D5F5E"/>
    <w:rsid w:val="003E2D9F"/>
    <w:rsid w:val="003E3DF9"/>
    <w:rsid w:val="003F2325"/>
    <w:rsid w:val="003F2B0C"/>
    <w:rsid w:val="00401320"/>
    <w:rsid w:val="004221E4"/>
    <w:rsid w:val="00434B36"/>
    <w:rsid w:val="00434C78"/>
    <w:rsid w:val="00436C3D"/>
    <w:rsid w:val="004447E1"/>
    <w:rsid w:val="004524C7"/>
    <w:rsid w:val="004540B2"/>
    <w:rsid w:val="0045477B"/>
    <w:rsid w:val="00460665"/>
    <w:rsid w:val="00471088"/>
    <w:rsid w:val="00483AF9"/>
    <w:rsid w:val="004A4B80"/>
    <w:rsid w:val="004A6BCD"/>
    <w:rsid w:val="004B1064"/>
    <w:rsid w:val="004B1CCB"/>
    <w:rsid w:val="004B5D60"/>
    <w:rsid w:val="004C68EE"/>
    <w:rsid w:val="004C6C5B"/>
    <w:rsid w:val="004C7958"/>
    <w:rsid w:val="004D386F"/>
    <w:rsid w:val="004D73A5"/>
    <w:rsid w:val="004F2131"/>
    <w:rsid w:val="00504FA7"/>
    <w:rsid w:val="00512EF7"/>
    <w:rsid w:val="00524300"/>
    <w:rsid w:val="00532CF5"/>
    <w:rsid w:val="005528CB"/>
    <w:rsid w:val="00552A4A"/>
    <w:rsid w:val="00566771"/>
    <w:rsid w:val="00570A8C"/>
    <w:rsid w:val="00581E2E"/>
    <w:rsid w:val="005823FF"/>
    <w:rsid w:val="00584F15"/>
    <w:rsid w:val="00594BCF"/>
    <w:rsid w:val="005A1EE0"/>
    <w:rsid w:val="005A2EC1"/>
    <w:rsid w:val="005A6980"/>
    <w:rsid w:val="005C01D7"/>
    <w:rsid w:val="005D267F"/>
    <w:rsid w:val="005F18B3"/>
    <w:rsid w:val="006163F7"/>
    <w:rsid w:val="00621C96"/>
    <w:rsid w:val="00635095"/>
    <w:rsid w:val="00636312"/>
    <w:rsid w:val="006415A8"/>
    <w:rsid w:val="006469C5"/>
    <w:rsid w:val="00652606"/>
    <w:rsid w:val="006603E3"/>
    <w:rsid w:val="006654DF"/>
    <w:rsid w:val="00665553"/>
    <w:rsid w:val="00665AE4"/>
    <w:rsid w:val="006717AA"/>
    <w:rsid w:val="00682754"/>
    <w:rsid w:val="006829F6"/>
    <w:rsid w:val="00683506"/>
    <w:rsid w:val="0068761A"/>
    <w:rsid w:val="006A58A9"/>
    <w:rsid w:val="006A606D"/>
    <w:rsid w:val="006A70AE"/>
    <w:rsid w:val="006B4BFC"/>
    <w:rsid w:val="006B7F7A"/>
    <w:rsid w:val="006C0371"/>
    <w:rsid w:val="006C08B6"/>
    <w:rsid w:val="006C0B1A"/>
    <w:rsid w:val="006C4384"/>
    <w:rsid w:val="006C6065"/>
    <w:rsid w:val="006C7F9F"/>
    <w:rsid w:val="006D0485"/>
    <w:rsid w:val="006E29A6"/>
    <w:rsid w:val="006E2F6D"/>
    <w:rsid w:val="006E58F6"/>
    <w:rsid w:val="006E77E1"/>
    <w:rsid w:val="006F131D"/>
    <w:rsid w:val="006F1D9E"/>
    <w:rsid w:val="00712D9D"/>
    <w:rsid w:val="00722E20"/>
    <w:rsid w:val="00725D9C"/>
    <w:rsid w:val="0073490B"/>
    <w:rsid w:val="00741F24"/>
    <w:rsid w:val="0074687D"/>
    <w:rsid w:val="00746FFE"/>
    <w:rsid w:val="007470FE"/>
    <w:rsid w:val="00752BCD"/>
    <w:rsid w:val="007575EC"/>
    <w:rsid w:val="007633AC"/>
    <w:rsid w:val="00766DA1"/>
    <w:rsid w:val="00775169"/>
    <w:rsid w:val="0077795B"/>
    <w:rsid w:val="00782696"/>
    <w:rsid w:val="007866A6"/>
    <w:rsid w:val="007924D1"/>
    <w:rsid w:val="00795FAA"/>
    <w:rsid w:val="007A05C0"/>
    <w:rsid w:val="007A130D"/>
    <w:rsid w:val="007A3ADA"/>
    <w:rsid w:val="007B7338"/>
    <w:rsid w:val="007C6738"/>
    <w:rsid w:val="007C7034"/>
    <w:rsid w:val="007D2DD5"/>
    <w:rsid w:val="007D4102"/>
    <w:rsid w:val="007E2ED6"/>
    <w:rsid w:val="007E4476"/>
    <w:rsid w:val="007E4C2B"/>
    <w:rsid w:val="007E5921"/>
    <w:rsid w:val="007E606D"/>
    <w:rsid w:val="00801262"/>
    <w:rsid w:val="0080766F"/>
    <w:rsid w:val="008109E7"/>
    <w:rsid w:val="00820BC1"/>
    <w:rsid w:val="00821A7B"/>
    <w:rsid w:val="00821FFC"/>
    <w:rsid w:val="00824AB3"/>
    <w:rsid w:val="008271CA"/>
    <w:rsid w:val="00833E36"/>
    <w:rsid w:val="00836537"/>
    <w:rsid w:val="00840090"/>
    <w:rsid w:val="008410D7"/>
    <w:rsid w:val="008467D5"/>
    <w:rsid w:val="008500A1"/>
    <w:rsid w:val="00856D9F"/>
    <w:rsid w:val="008611EB"/>
    <w:rsid w:val="00866F6D"/>
    <w:rsid w:val="00873F71"/>
    <w:rsid w:val="00886917"/>
    <w:rsid w:val="00887600"/>
    <w:rsid w:val="008A4DC4"/>
    <w:rsid w:val="008A5198"/>
    <w:rsid w:val="008B2CE1"/>
    <w:rsid w:val="008B3ADA"/>
    <w:rsid w:val="008B5E39"/>
    <w:rsid w:val="008D39A7"/>
    <w:rsid w:val="008E09CB"/>
    <w:rsid w:val="008E3A4B"/>
    <w:rsid w:val="008E42C9"/>
    <w:rsid w:val="008F478A"/>
    <w:rsid w:val="008F737F"/>
    <w:rsid w:val="008F7E3A"/>
    <w:rsid w:val="00902329"/>
    <w:rsid w:val="009067A4"/>
    <w:rsid w:val="0090722E"/>
    <w:rsid w:val="009106AB"/>
    <w:rsid w:val="0091294B"/>
    <w:rsid w:val="00913528"/>
    <w:rsid w:val="0093301D"/>
    <w:rsid w:val="009340DB"/>
    <w:rsid w:val="00936318"/>
    <w:rsid w:val="009435E7"/>
    <w:rsid w:val="0094564E"/>
    <w:rsid w:val="00945F9E"/>
    <w:rsid w:val="0095275F"/>
    <w:rsid w:val="009640D9"/>
    <w:rsid w:val="00967DDC"/>
    <w:rsid w:val="00972498"/>
    <w:rsid w:val="00974BFD"/>
    <w:rsid w:val="00974CC6"/>
    <w:rsid w:val="00976A80"/>
    <w:rsid w:val="00976AD4"/>
    <w:rsid w:val="00987539"/>
    <w:rsid w:val="00987F84"/>
    <w:rsid w:val="009A312F"/>
    <w:rsid w:val="009A369A"/>
    <w:rsid w:val="009A516D"/>
    <w:rsid w:val="009A5348"/>
    <w:rsid w:val="009A67BB"/>
    <w:rsid w:val="009B0443"/>
    <w:rsid w:val="009B4CA2"/>
    <w:rsid w:val="009C76D5"/>
    <w:rsid w:val="009D1F18"/>
    <w:rsid w:val="009D54F9"/>
    <w:rsid w:val="009D6C28"/>
    <w:rsid w:val="009D7518"/>
    <w:rsid w:val="009F3795"/>
    <w:rsid w:val="009F7AA4"/>
    <w:rsid w:val="00A0009B"/>
    <w:rsid w:val="00A004EA"/>
    <w:rsid w:val="00A13345"/>
    <w:rsid w:val="00A15423"/>
    <w:rsid w:val="00A21FAB"/>
    <w:rsid w:val="00A222A1"/>
    <w:rsid w:val="00A23282"/>
    <w:rsid w:val="00A236AE"/>
    <w:rsid w:val="00A330F6"/>
    <w:rsid w:val="00A4610E"/>
    <w:rsid w:val="00A54740"/>
    <w:rsid w:val="00A559DB"/>
    <w:rsid w:val="00A56B5D"/>
    <w:rsid w:val="00A66A66"/>
    <w:rsid w:val="00A67FC2"/>
    <w:rsid w:val="00A841B9"/>
    <w:rsid w:val="00A84F5B"/>
    <w:rsid w:val="00A9613D"/>
    <w:rsid w:val="00A961B1"/>
    <w:rsid w:val="00A973A3"/>
    <w:rsid w:val="00AA54BB"/>
    <w:rsid w:val="00AA59B7"/>
    <w:rsid w:val="00AA5CD6"/>
    <w:rsid w:val="00AB236A"/>
    <w:rsid w:val="00AB7D0E"/>
    <w:rsid w:val="00AC0267"/>
    <w:rsid w:val="00AC79C4"/>
    <w:rsid w:val="00AC7F0B"/>
    <w:rsid w:val="00AD14E1"/>
    <w:rsid w:val="00AE40B4"/>
    <w:rsid w:val="00AE5B1B"/>
    <w:rsid w:val="00AF35FC"/>
    <w:rsid w:val="00AF6A93"/>
    <w:rsid w:val="00B03639"/>
    <w:rsid w:val="00B0652A"/>
    <w:rsid w:val="00B07EF7"/>
    <w:rsid w:val="00B13D8E"/>
    <w:rsid w:val="00B1656D"/>
    <w:rsid w:val="00B228D8"/>
    <w:rsid w:val="00B23D3F"/>
    <w:rsid w:val="00B24801"/>
    <w:rsid w:val="00B364AE"/>
    <w:rsid w:val="00B3757D"/>
    <w:rsid w:val="00B40937"/>
    <w:rsid w:val="00B423EF"/>
    <w:rsid w:val="00B42817"/>
    <w:rsid w:val="00B42951"/>
    <w:rsid w:val="00B453DE"/>
    <w:rsid w:val="00B46C07"/>
    <w:rsid w:val="00B4742F"/>
    <w:rsid w:val="00B5157A"/>
    <w:rsid w:val="00B60400"/>
    <w:rsid w:val="00B6048B"/>
    <w:rsid w:val="00B616F2"/>
    <w:rsid w:val="00B66E10"/>
    <w:rsid w:val="00B743C3"/>
    <w:rsid w:val="00B74F56"/>
    <w:rsid w:val="00B76976"/>
    <w:rsid w:val="00B76B44"/>
    <w:rsid w:val="00B8124E"/>
    <w:rsid w:val="00B82308"/>
    <w:rsid w:val="00B901F9"/>
    <w:rsid w:val="00BB04BC"/>
    <w:rsid w:val="00BB3E4E"/>
    <w:rsid w:val="00BC09D0"/>
    <w:rsid w:val="00BD6EFB"/>
    <w:rsid w:val="00BE33DD"/>
    <w:rsid w:val="00BE770B"/>
    <w:rsid w:val="00BF788A"/>
    <w:rsid w:val="00C0220F"/>
    <w:rsid w:val="00C03B29"/>
    <w:rsid w:val="00C05C2F"/>
    <w:rsid w:val="00C15BE2"/>
    <w:rsid w:val="00C22219"/>
    <w:rsid w:val="00C25044"/>
    <w:rsid w:val="00C25F44"/>
    <w:rsid w:val="00C32A97"/>
    <w:rsid w:val="00C335B7"/>
    <w:rsid w:val="00C3447F"/>
    <w:rsid w:val="00C347F7"/>
    <w:rsid w:val="00C443CC"/>
    <w:rsid w:val="00C46E7C"/>
    <w:rsid w:val="00C55E2F"/>
    <w:rsid w:val="00C567EC"/>
    <w:rsid w:val="00C60CF9"/>
    <w:rsid w:val="00C66F18"/>
    <w:rsid w:val="00C81491"/>
    <w:rsid w:val="00C81676"/>
    <w:rsid w:val="00C84E9C"/>
    <w:rsid w:val="00C92CC4"/>
    <w:rsid w:val="00C92E99"/>
    <w:rsid w:val="00CA0AFB"/>
    <w:rsid w:val="00CA2CE1"/>
    <w:rsid w:val="00CA3976"/>
    <w:rsid w:val="00CA757B"/>
    <w:rsid w:val="00CA7B82"/>
    <w:rsid w:val="00CB26DC"/>
    <w:rsid w:val="00CB6B09"/>
    <w:rsid w:val="00CC1787"/>
    <w:rsid w:val="00CC182C"/>
    <w:rsid w:val="00CC2A23"/>
    <w:rsid w:val="00CC7082"/>
    <w:rsid w:val="00CD0824"/>
    <w:rsid w:val="00CD2908"/>
    <w:rsid w:val="00D0160F"/>
    <w:rsid w:val="00D03A82"/>
    <w:rsid w:val="00D04935"/>
    <w:rsid w:val="00D11ACF"/>
    <w:rsid w:val="00D15344"/>
    <w:rsid w:val="00D31BEC"/>
    <w:rsid w:val="00D40D7C"/>
    <w:rsid w:val="00D4150A"/>
    <w:rsid w:val="00D41C08"/>
    <w:rsid w:val="00D47112"/>
    <w:rsid w:val="00D5228D"/>
    <w:rsid w:val="00D55C94"/>
    <w:rsid w:val="00D63150"/>
    <w:rsid w:val="00D64A32"/>
    <w:rsid w:val="00D64EFC"/>
    <w:rsid w:val="00D72C61"/>
    <w:rsid w:val="00D75295"/>
    <w:rsid w:val="00D76CE9"/>
    <w:rsid w:val="00D849C6"/>
    <w:rsid w:val="00D97415"/>
    <w:rsid w:val="00D97F12"/>
    <w:rsid w:val="00DB1AC6"/>
    <w:rsid w:val="00DB42E7"/>
    <w:rsid w:val="00DC11AA"/>
    <w:rsid w:val="00DD3257"/>
    <w:rsid w:val="00DE5990"/>
    <w:rsid w:val="00DF2AAC"/>
    <w:rsid w:val="00DF32C2"/>
    <w:rsid w:val="00DF428C"/>
    <w:rsid w:val="00E11884"/>
    <w:rsid w:val="00E25BC9"/>
    <w:rsid w:val="00E471A7"/>
    <w:rsid w:val="00E50120"/>
    <w:rsid w:val="00E560AB"/>
    <w:rsid w:val="00E635CF"/>
    <w:rsid w:val="00E64E3D"/>
    <w:rsid w:val="00E7479E"/>
    <w:rsid w:val="00E74FA2"/>
    <w:rsid w:val="00E91703"/>
    <w:rsid w:val="00E94234"/>
    <w:rsid w:val="00E967CE"/>
    <w:rsid w:val="00EA4C28"/>
    <w:rsid w:val="00EA5BD7"/>
    <w:rsid w:val="00EB5410"/>
    <w:rsid w:val="00EC48ED"/>
    <w:rsid w:val="00EC6E0A"/>
    <w:rsid w:val="00ED4E18"/>
    <w:rsid w:val="00EE1F37"/>
    <w:rsid w:val="00EE3291"/>
    <w:rsid w:val="00EE3F7F"/>
    <w:rsid w:val="00EF4499"/>
    <w:rsid w:val="00F0159C"/>
    <w:rsid w:val="00F02D8C"/>
    <w:rsid w:val="00F105B7"/>
    <w:rsid w:val="00F14939"/>
    <w:rsid w:val="00F16788"/>
    <w:rsid w:val="00F17A21"/>
    <w:rsid w:val="00F304E0"/>
    <w:rsid w:val="00F31ACD"/>
    <w:rsid w:val="00F33872"/>
    <w:rsid w:val="00F37917"/>
    <w:rsid w:val="00F50E91"/>
    <w:rsid w:val="00F54509"/>
    <w:rsid w:val="00F54570"/>
    <w:rsid w:val="00F55950"/>
    <w:rsid w:val="00F57D29"/>
    <w:rsid w:val="00F6184A"/>
    <w:rsid w:val="00F73FB0"/>
    <w:rsid w:val="00F82632"/>
    <w:rsid w:val="00F870A4"/>
    <w:rsid w:val="00F92A99"/>
    <w:rsid w:val="00F96201"/>
    <w:rsid w:val="00FA04DF"/>
    <w:rsid w:val="00FC30E9"/>
    <w:rsid w:val="00FC48E5"/>
    <w:rsid w:val="00FD0238"/>
    <w:rsid w:val="00FD0B18"/>
    <w:rsid w:val="00FD0F82"/>
    <w:rsid w:val="00FD3ACD"/>
    <w:rsid w:val="00FD72F1"/>
    <w:rsid w:val="00FE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3A2214"/>
  <w15:docId w15:val="{42266CB3-0714-4B95-8C46-E9DE8275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74549">
      <w:bodyDiv w:val="1"/>
      <w:marLeft w:val="0"/>
      <w:marRight w:val="0"/>
      <w:marTop w:val="0"/>
      <w:marBottom w:val="0"/>
      <w:divBdr>
        <w:top w:val="none" w:sz="0" w:space="0" w:color="auto"/>
        <w:left w:val="none" w:sz="0" w:space="0" w:color="auto"/>
        <w:bottom w:val="none" w:sz="0" w:space="0" w:color="auto"/>
        <w:right w:val="none" w:sz="0" w:space="0" w:color="auto"/>
      </w:divBdr>
      <w:divsChild>
        <w:div w:id="1922640223">
          <w:marLeft w:val="0"/>
          <w:marRight w:val="0"/>
          <w:marTop w:val="0"/>
          <w:marBottom w:val="0"/>
          <w:divBdr>
            <w:top w:val="none" w:sz="0" w:space="0" w:color="auto"/>
            <w:left w:val="none" w:sz="0" w:space="0" w:color="auto"/>
            <w:bottom w:val="none" w:sz="0" w:space="0" w:color="auto"/>
            <w:right w:val="none" w:sz="0" w:space="0" w:color="auto"/>
          </w:divBdr>
        </w:div>
      </w:divsChild>
    </w:div>
    <w:div w:id="656881050">
      <w:bodyDiv w:val="1"/>
      <w:marLeft w:val="0"/>
      <w:marRight w:val="0"/>
      <w:marTop w:val="0"/>
      <w:marBottom w:val="0"/>
      <w:divBdr>
        <w:top w:val="none" w:sz="0" w:space="0" w:color="auto"/>
        <w:left w:val="none" w:sz="0" w:space="0" w:color="auto"/>
        <w:bottom w:val="none" w:sz="0" w:space="0" w:color="auto"/>
        <w:right w:val="none" w:sz="0" w:space="0" w:color="auto"/>
      </w:divBdr>
      <w:divsChild>
        <w:div w:id="1967007791">
          <w:marLeft w:val="0"/>
          <w:marRight w:val="0"/>
          <w:marTop w:val="0"/>
          <w:marBottom w:val="0"/>
          <w:divBdr>
            <w:top w:val="none" w:sz="0" w:space="0" w:color="auto"/>
            <w:left w:val="none" w:sz="0" w:space="0" w:color="auto"/>
            <w:bottom w:val="none" w:sz="0" w:space="0" w:color="auto"/>
            <w:right w:val="none" w:sz="0" w:space="0" w:color="auto"/>
          </w:divBdr>
        </w:div>
      </w:divsChild>
    </w:div>
    <w:div w:id="685668825">
      <w:bodyDiv w:val="1"/>
      <w:marLeft w:val="0"/>
      <w:marRight w:val="0"/>
      <w:marTop w:val="0"/>
      <w:marBottom w:val="0"/>
      <w:divBdr>
        <w:top w:val="none" w:sz="0" w:space="0" w:color="auto"/>
        <w:left w:val="none" w:sz="0" w:space="0" w:color="auto"/>
        <w:bottom w:val="none" w:sz="0" w:space="0" w:color="auto"/>
        <w:right w:val="none" w:sz="0" w:space="0" w:color="auto"/>
      </w:divBdr>
      <w:divsChild>
        <w:div w:id="665091695">
          <w:marLeft w:val="0"/>
          <w:marRight w:val="0"/>
          <w:marTop w:val="0"/>
          <w:marBottom w:val="0"/>
          <w:divBdr>
            <w:top w:val="none" w:sz="0" w:space="0" w:color="auto"/>
            <w:left w:val="none" w:sz="0" w:space="0" w:color="auto"/>
            <w:bottom w:val="none" w:sz="0" w:space="0" w:color="auto"/>
            <w:right w:val="none" w:sz="0" w:space="0" w:color="auto"/>
          </w:divBdr>
        </w:div>
      </w:divsChild>
    </w:div>
    <w:div w:id="772550710">
      <w:bodyDiv w:val="1"/>
      <w:marLeft w:val="0"/>
      <w:marRight w:val="0"/>
      <w:marTop w:val="0"/>
      <w:marBottom w:val="0"/>
      <w:divBdr>
        <w:top w:val="none" w:sz="0" w:space="0" w:color="auto"/>
        <w:left w:val="none" w:sz="0" w:space="0" w:color="auto"/>
        <w:bottom w:val="none" w:sz="0" w:space="0" w:color="auto"/>
        <w:right w:val="none" w:sz="0" w:space="0" w:color="auto"/>
      </w:divBdr>
      <w:divsChild>
        <w:div w:id="1284967199">
          <w:marLeft w:val="0"/>
          <w:marRight w:val="0"/>
          <w:marTop w:val="0"/>
          <w:marBottom w:val="0"/>
          <w:divBdr>
            <w:top w:val="none" w:sz="0" w:space="0" w:color="auto"/>
            <w:left w:val="none" w:sz="0" w:space="0" w:color="auto"/>
            <w:bottom w:val="none" w:sz="0" w:space="0" w:color="auto"/>
            <w:right w:val="none" w:sz="0" w:space="0" w:color="auto"/>
          </w:divBdr>
        </w:div>
      </w:divsChild>
    </w:div>
    <w:div w:id="1002663111">
      <w:bodyDiv w:val="1"/>
      <w:marLeft w:val="0"/>
      <w:marRight w:val="0"/>
      <w:marTop w:val="0"/>
      <w:marBottom w:val="0"/>
      <w:divBdr>
        <w:top w:val="none" w:sz="0" w:space="0" w:color="auto"/>
        <w:left w:val="none" w:sz="0" w:space="0" w:color="auto"/>
        <w:bottom w:val="none" w:sz="0" w:space="0" w:color="auto"/>
        <w:right w:val="none" w:sz="0" w:space="0" w:color="auto"/>
      </w:divBdr>
      <w:divsChild>
        <w:div w:id="200612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1E1B6C-EFCB-48EA-8E9A-36673673D9D5}"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N"/>
        </a:p>
      </dgm:t>
    </dgm:pt>
    <dgm:pt modelId="{C9E65578-7580-4960-B7B8-630A5517EF6E}">
      <dgm:prSet phldrT="[Text]">
        <dgm:style>
          <a:lnRef idx="2">
            <a:schemeClr val="dk1"/>
          </a:lnRef>
          <a:fillRef idx="1">
            <a:schemeClr val="lt1"/>
          </a:fillRef>
          <a:effectRef idx="0">
            <a:schemeClr val="dk1"/>
          </a:effectRef>
          <a:fontRef idx="minor">
            <a:schemeClr val="dk1"/>
          </a:fontRef>
        </dgm:style>
      </dgm:prSet>
      <dgm:spPr/>
      <dgm:t>
        <a:bodyPr/>
        <a:lstStyle/>
        <a:p>
          <a:r>
            <a:rPr lang="en-IN"/>
            <a:t>Chief Executive Officer</a:t>
          </a:r>
        </a:p>
      </dgm:t>
    </dgm:pt>
    <dgm:pt modelId="{4E2D6000-B9C8-42C8-BCAB-7DC29B6D60DC}" type="parTrans" cxnId="{5F47E48B-C52D-4936-8C72-BA901C70C4BE}">
      <dgm:prSet/>
      <dgm:spPr/>
      <dgm:t>
        <a:bodyPr/>
        <a:lstStyle/>
        <a:p>
          <a:endParaRPr lang="en-IN"/>
        </a:p>
      </dgm:t>
    </dgm:pt>
    <dgm:pt modelId="{10FA73C0-0743-4B50-9DF6-15FF04AC0F2C}" type="sibTrans" cxnId="{5F47E48B-C52D-4936-8C72-BA901C70C4BE}">
      <dgm:prSet/>
      <dgm:spPr/>
      <dgm:t>
        <a:bodyPr/>
        <a:lstStyle/>
        <a:p>
          <a:endParaRPr lang="en-IN"/>
        </a:p>
      </dgm:t>
    </dgm:pt>
    <dgm:pt modelId="{1DAD632C-CBB9-4CE7-8652-1F32F18993EE}">
      <dgm:prSet phldrT="[Text]">
        <dgm:style>
          <a:lnRef idx="2">
            <a:schemeClr val="dk1"/>
          </a:lnRef>
          <a:fillRef idx="1">
            <a:schemeClr val="lt1"/>
          </a:fillRef>
          <a:effectRef idx="0">
            <a:schemeClr val="dk1"/>
          </a:effectRef>
          <a:fontRef idx="minor">
            <a:schemeClr val="dk1"/>
          </a:fontRef>
        </dgm:style>
      </dgm:prSet>
      <dgm:spPr/>
      <dgm:t>
        <a:bodyPr/>
        <a:lstStyle/>
        <a:p>
          <a:r>
            <a:rPr lang="en-IN"/>
            <a:t>Chief Risk Officer</a:t>
          </a:r>
        </a:p>
      </dgm:t>
    </dgm:pt>
    <dgm:pt modelId="{646DD110-772F-4C6C-88D7-0D20A3201D99}" type="parTrans" cxnId="{1884C88E-7F97-4142-924B-3CC390055DDA}">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0F565DEB-5ADC-4958-82F0-809E567CFDA5}" type="sibTrans" cxnId="{1884C88E-7F97-4142-924B-3CC390055DDA}">
      <dgm:prSet/>
      <dgm:spPr/>
      <dgm:t>
        <a:bodyPr/>
        <a:lstStyle/>
        <a:p>
          <a:endParaRPr lang="en-IN"/>
        </a:p>
      </dgm:t>
    </dgm:pt>
    <dgm:pt modelId="{7D04ABB1-D974-4175-A002-C7FDCCE66E49}">
      <dgm:prSet phldrT="[Text]">
        <dgm:style>
          <a:lnRef idx="2">
            <a:schemeClr val="dk1"/>
          </a:lnRef>
          <a:fillRef idx="1">
            <a:schemeClr val="lt1"/>
          </a:fillRef>
          <a:effectRef idx="0">
            <a:schemeClr val="dk1"/>
          </a:effectRef>
          <a:fontRef idx="minor">
            <a:schemeClr val="dk1"/>
          </a:fontRef>
        </dgm:style>
      </dgm:prSet>
      <dgm:spPr/>
      <dgm:t>
        <a:bodyPr/>
        <a:lstStyle/>
        <a:p>
          <a:r>
            <a:rPr lang="en-IN"/>
            <a:t>AVP Compliance</a:t>
          </a:r>
        </a:p>
      </dgm:t>
    </dgm:pt>
    <dgm:pt modelId="{14599643-B049-462A-B43C-149FD563E027}" type="parTrans" cxnId="{881777FB-0A37-4A79-B70E-699781A98843}">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F913F374-6B16-40DB-A59A-96EF4E153178}" type="sibTrans" cxnId="{881777FB-0A37-4A79-B70E-699781A98843}">
      <dgm:prSet/>
      <dgm:spPr/>
      <dgm:t>
        <a:bodyPr/>
        <a:lstStyle/>
        <a:p>
          <a:endParaRPr lang="en-IN"/>
        </a:p>
      </dgm:t>
    </dgm:pt>
    <dgm:pt modelId="{CF591689-3660-499E-B022-960C62B67BB2}">
      <dgm:prSet phldrT="[Text]">
        <dgm:style>
          <a:lnRef idx="2">
            <a:schemeClr val="dk1"/>
          </a:lnRef>
          <a:fillRef idx="1">
            <a:schemeClr val="lt1"/>
          </a:fillRef>
          <a:effectRef idx="0">
            <a:schemeClr val="dk1"/>
          </a:effectRef>
          <a:fontRef idx="minor">
            <a:schemeClr val="dk1"/>
          </a:fontRef>
        </dgm:style>
      </dgm:prSet>
      <dgm:spPr/>
      <dgm:t>
        <a:bodyPr/>
        <a:lstStyle/>
        <a:p>
          <a:r>
            <a:rPr lang="en-IN"/>
            <a:t>AVP Operational Risk</a:t>
          </a:r>
        </a:p>
      </dgm:t>
    </dgm:pt>
    <dgm:pt modelId="{81950746-6B29-4FE8-8C9D-3482B1DAB55F}" type="parTrans" cxnId="{69E10759-C653-4E6C-B849-81AC4519C618}">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A84CEE32-31FD-42E9-BC0F-F6F2F73CA91F}" type="sibTrans" cxnId="{69E10759-C653-4E6C-B849-81AC4519C618}">
      <dgm:prSet/>
      <dgm:spPr/>
      <dgm:t>
        <a:bodyPr/>
        <a:lstStyle/>
        <a:p>
          <a:endParaRPr lang="en-IN"/>
        </a:p>
      </dgm:t>
    </dgm:pt>
    <dgm:pt modelId="{FBD435E6-AAA7-48E6-BA5D-9A895211A831}">
      <dgm:prSet phldrT="[Text]">
        <dgm:style>
          <a:lnRef idx="2">
            <a:schemeClr val="dk1"/>
          </a:lnRef>
          <a:fillRef idx="1">
            <a:schemeClr val="lt1"/>
          </a:fillRef>
          <a:effectRef idx="0">
            <a:schemeClr val="dk1"/>
          </a:effectRef>
          <a:fontRef idx="minor">
            <a:schemeClr val="dk1"/>
          </a:fontRef>
        </dgm:style>
      </dgm:prSet>
      <dgm:spPr/>
      <dgm:t>
        <a:bodyPr/>
        <a:lstStyle/>
        <a:p>
          <a:r>
            <a:rPr lang="en-IN"/>
            <a:t>Chief Credit Officer</a:t>
          </a:r>
        </a:p>
      </dgm:t>
    </dgm:pt>
    <dgm:pt modelId="{DECF2C4A-C48F-4A12-9AC9-4DCDBF618293}" type="parTrans" cxnId="{89D66D8F-150C-4726-9B02-131E26127204}">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EE1A5C94-28D5-47A7-BD5C-BA34B4579F0E}" type="sibTrans" cxnId="{89D66D8F-150C-4726-9B02-131E26127204}">
      <dgm:prSet/>
      <dgm:spPr/>
      <dgm:t>
        <a:bodyPr/>
        <a:lstStyle/>
        <a:p>
          <a:endParaRPr lang="en-IN"/>
        </a:p>
      </dgm:t>
    </dgm:pt>
    <dgm:pt modelId="{3C9C7027-BF36-4D3E-B4FD-BF7DF5FFC769}">
      <dgm:prSet phldrT="[Text]">
        <dgm:style>
          <a:lnRef idx="2">
            <a:schemeClr val="dk1"/>
          </a:lnRef>
          <a:fillRef idx="1">
            <a:schemeClr val="lt1"/>
          </a:fillRef>
          <a:effectRef idx="0">
            <a:schemeClr val="dk1"/>
          </a:effectRef>
          <a:fontRef idx="minor">
            <a:schemeClr val="dk1"/>
          </a:fontRef>
        </dgm:style>
      </dgm:prSet>
      <dgm:spPr/>
      <dgm:t>
        <a:bodyPr/>
        <a:lstStyle/>
        <a:p>
          <a:r>
            <a:rPr lang="en-IN"/>
            <a:t>VP Credit Management</a:t>
          </a:r>
        </a:p>
      </dgm:t>
    </dgm:pt>
    <dgm:pt modelId="{DAE339D6-BFAE-4E8B-83E0-2E0DC9BA050B}" type="parTrans" cxnId="{BA166BEA-724A-4006-98C3-09A6BC2A6132}">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113024CF-A132-47BD-A6D5-1DC28CF5AE67}" type="sibTrans" cxnId="{BA166BEA-724A-4006-98C3-09A6BC2A6132}">
      <dgm:prSet/>
      <dgm:spPr/>
      <dgm:t>
        <a:bodyPr/>
        <a:lstStyle/>
        <a:p>
          <a:endParaRPr lang="en-IN"/>
        </a:p>
      </dgm:t>
    </dgm:pt>
    <dgm:pt modelId="{AC51D5CA-2D98-443F-83E2-084E364F79ED}">
      <dgm:prSet phldrT="[Text]">
        <dgm:style>
          <a:lnRef idx="2">
            <a:schemeClr val="dk1"/>
          </a:lnRef>
          <a:fillRef idx="1">
            <a:schemeClr val="lt1"/>
          </a:fillRef>
          <a:effectRef idx="0">
            <a:schemeClr val="dk1"/>
          </a:effectRef>
          <a:fontRef idx="minor">
            <a:schemeClr val="dk1"/>
          </a:fontRef>
        </dgm:style>
      </dgm:prSet>
      <dgm:spPr/>
      <dgm:t>
        <a:bodyPr/>
        <a:lstStyle/>
        <a:p>
          <a:r>
            <a:rPr lang="en-IN"/>
            <a:t>AVP Credit &amp; Market Risk</a:t>
          </a:r>
        </a:p>
      </dgm:t>
    </dgm:pt>
    <dgm:pt modelId="{8605712D-0927-45A4-A852-95BBAA3A95FB}" type="parTrans" cxnId="{F557DCEC-5D09-47A8-A9B7-CE378B6C200F}">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8F434C38-28FB-43F8-BF79-738958C63632}" type="sibTrans" cxnId="{F557DCEC-5D09-47A8-A9B7-CE378B6C200F}">
      <dgm:prSet/>
      <dgm:spPr/>
      <dgm:t>
        <a:bodyPr/>
        <a:lstStyle/>
        <a:p>
          <a:endParaRPr lang="en-IN"/>
        </a:p>
      </dgm:t>
    </dgm:pt>
    <dgm:pt modelId="{C5559755-9C82-4F3F-A327-D190E5E974ED}">
      <dgm:prSet phldrT="[Text]">
        <dgm:style>
          <a:lnRef idx="2">
            <a:schemeClr val="dk1"/>
          </a:lnRef>
          <a:fillRef idx="1">
            <a:schemeClr val="lt1"/>
          </a:fillRef>
          <a:effectRef idx="0">
            <a:schemeClr val="dk1"/>
          </a:effectRef>
          <a:fontRef idx="minor">
            <a:schemeClr val="dk1"/>
          </a:fontRef>
        </dgm:style>
      </dgm:prSet>
      <dgm:spPr/>
      <dgm:t>
        <a:bodyPr/>
        <a:lstStyle/>
        <a:p>
          <a:r>
            <a:rPr lang="en-IN"/>
            <a:t>AVP Credit Evaluation</a:t>
          </a:r>
        </a:p>
      </dgm:t>
    </dgm:pt>
    <dgm:pt modelId="{3016DEA0-3967-4BFF-A194-1CBB1C122B3A}" type="parTrans" cxnId="{EC5F0608-69C7-4AC5-BBDC-476D406585B9}">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78BC0089-03DB-4794-9D74-3CE1A4A347EC}" type="sibTrans" cxnId="{EC5F0608-69C7-4AC5-BBDC-476D406585B9}">
      <dgm:prSet/>
      <dgm:spPr/>
      <dgm:t>
        <a:bodyPr/>
        <a:lstStyle/>
        <a:p>
          <a:endParaRPr lang="en-IN"/>
        </a:p>
      </dgm:t>
    </dgm:pt>
    <dgm:pt modelId="{EC312C29-E7C9-448A-A2F0-F3D7559B0F8E}">
      <dgm:prSet phldrT="[Text]">
        <dgm:style>
          <a:lnRef idx="2">
            <a:schemeClr val="dk1"/>
          </a:lnRef>
          <a:fillRef idx="1">
            <a:schemeClr val="lt1"/>
          </a:fillRef>
          <a:effectRef idx="0">
            <a:schemeClr val="dk1"/>
          </a:effectRef>
          <a:fontRef idx="minor">
            <a:schemeClr val="dk1"/>
          </a:fontRef>
        </dgm:style>
      </dgm:prSet>
      <dgm:spPr/>
      <dgm:t>
        <a:bodyPr/>
        <a:lstStyle/>
        <a:p>
          <a:r>
            <a:rPr lang="en-IN"/>
            <a:t>AVP Direct Lending &amp; Securitization</a:t>
          </a:r>
        </a:p>
      </dgm:t>
    </dgm:pt>
    <dgm:pt modelId="{22BE5DDF-56B5-4EF0-99EE-6E1BA20CC31D}" type="parTrans" cxnId="{F32519A2-766E-4EA3-A913-F64BFC4F5C50}">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C9C1104C-8489-4E95-922F-6D4B6662C97F}" type="sibTrans" cxnId="{F32519A2-766E-4EA3-A913-F64BFC4F5C50}">
      <dgm:prSet/>
      <dgm:spPr/>
      <dgm:t>
        <a:bodyPr/>
        <a:lstStyle/>
        <a:p>
          <a:endParaRPr lang="en-IN"/>
        </a:p>
      </dgm:t>
    </dgm:pt>
    <dgm:pt modelId="{E61C29A0-1CF9-497E-8A5D-2FE95767ACED}">
      <dgm:prSet phldrT="[Text]">
        <dgm:style>
          <a:lnRef idx="2">
            <a:schemeClr val="dk1"/>
          </a:lnRef>
          <a:fillRef idx="1">
            <a:schemeClr val="lt1"/>
          </a:fillRef>
          <a:effectRef idx="0">
            <a:schemeClr val="dk1"/>
          </a:effectRef>
          <a:fontRef idx="minor">
            <a:schemeClr val="dk1"/>
          </a:fontRef>
        </dgm:style>
      </dgm:prSet>
      <dgm:spPr/>
      <dgm:t>
        <a:bodyPr/>
        <a:lstStyle/>
        <a:p>
          <a:r>
            <a:rPr lang="en-IN"/>
            <a:t>Chief Operations Officer</a:t>
          </a:r>
        </a:p>
      </dgm:t>
    </dgm:pt>
    <dgm:pt modelId="{3114BA79-E9AC-4581-97AE-BA8F22B88C7B}" type="parTrans" cxnId="{3ADCDCCF-B9D9-4FA2-920B-10C806F34AC9}">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73900839-56AB-4F04-801F-6D1FA2FEDAAB}" type="sibTrans" cxnId="{3ADCDCCF-B9D9-4FA2-920B-10C806F34AC9}">
      <dgm:prSet/>
      <dgm:spPr/>
      <dgm:t>
        <a:bodyPr/>
        <a:lstStyle/>
        <a:p>
          <a:endParaRPr lang="en-IN"/>
        </a:p>
      </dgm:t>
    </dgm:pt>
    <dgm:pt modelId="{682A448E-C72E-4AC2-BD55-F4C25A75A0E9}">
      <dgm:prSet phldrT="[Text]">
        <dgm:style>
          <a:lnRef idx="2">
            <a:schemeClr val="dk1"/>
          </a:lnRef>
          <a:fillRef idx="1">
            <a:schemeClr val="lt1"/>
          </a:fillRef>
          <a:effectRef idx="0">
            <a:schemeClr val="dk1"/>
          </a:effectRef>
          <a:fontRef idx="minor">
            <a:schemeClr val="dk1"/>
          </a:fontRef>
        </dgm:style>
      </dgm:prSet>
      <dgm:spPr/>
      <dgm:t>
        <a:bodyPr/>
        <a:lstStyle/>
        <a:p>
          <a:r>
            <a:rPr lang="en-IN"/>
            <a:t>VP Credit Administration</a:t>
          </a:r>
        </a:p>
      </dgm:t>
    </dgm:pt>
    <dgm:pt modelId="{E96B8D6D-5192-49B4-B267-D5844EFE4C74}" type="parTrans" cxnId="{7049B53A-5A88-43A8-B4E2-2B03FA955EAA}">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DCBDF2A3-BD63-4F94-90D0-19B8F142FAB9}" type="sibTrans" cxnId="{7049B53A-5A88-43A8-B4E2-2B03FA955EAA}">
      <dgm:prSet/>
      <dgm:spPr/>
      <dgm:t>
        <a:bodyPr/>
        <a:lstStyle/>
        <a:p>
          <a:endParaRPr lang="en-IN"/>
        </a:p>
      </dgm:t>
    </dgm:pt>
    <dgm:pt modelId="{2A3AEAF6-86FA-4E04-86B1-75DA81EB7A52}">
      <dgm:prSet phldrT="[Text]">
        <dgm:style>
          <a:lnRef idx="2">
            <a:schemeClr val="dk1"/>
          </a:lnRef>
          <a:fillRef idx="1">
            <a:schemeClr val="lt1"/>
          </a:fillRef>
          <a:effectRef idx="0">
            <a:schemeClr val="dk1"/>
          </a:effectRef>
          <a:fontRef idx="minor">
            <a:schemeClr val="dk1"/>
          </a:fontRef>
        </dgm:style>
      </dgm:prSet>
      <dgm:spPr/>
      <dgm:t>
        <a:bodyPr/>
        <a:lstStyle/>
        <a:p>
          <a:r>
            <a:rPr lang="en-IN"/>
            <a:t>Sr. VP Asset Management</a:t>
          </a:r>
        </a:p>
      </dgm:t>
    </dgm:pt>
    <dgm:pt modelId="{FEEC5FE7-85E1-41BF-9B7A-2EC97F1346D7}" type="parTrans" cxnId="{0B339C8E-F0C5-43BD-9EDA-39EF43CC6038}">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7C2BAF25-D90A-4DFB-812D-0740999381C6}" type="sibTrans" cxnId="{0B339C8E-F0C5-43BD-9EDA-39EF43CC6038}">
      <dgm:prSet/>
      <dgm:spPr/>
      <dgm:t>
        <a:bodyPr/>
        <a:lstStyle/>
        <a:p>
          <a:endParaRPr lang="en-IN"/>
        </a:p>
      </dgm:t>
    </dgm:pt>
    <dgm:pt modelId="{46700D53-F571-4978-A019-0CC5C21C254C}">
      <dgm:prSet phldrT="[Text]">
        <dgm:style>
          <a:lnRef idx="2">
            <a:schemeClr val="dk1"/>
          </a:lnRef>
          <a:fillRef idx="1">
            <a:schemeClr val="lt1"/>
          </a:fillRef>
          <a:effectRef idx="0">
            <a:schemeClr val="dk1"/>
          </a:effectRef>
          <a:fontRef idx="minor">
            <a:schemeClr val="dk1"/>
          </a:fontRef>
        </dgm:style>
      </dgm:prSet>
      <dgm:spPr/>
      <dgm:t>
        <a:bodyPr/>
        <a:lstStyle/>
        <a:p>
          <a:r>
            <a:rPr lang="en-IN"/>
            <a:t>AVP Billing</a:t>
          </a:r>
        </a:p>
      </dgm:t>
    </dgm:pt>
    <dgm:pt modelId="{C443BCA5-047D-4624-9CE6-12F2B11CA6A6}" type="parTrans" cxnId="{855FECE2-4077-49E2-BB4E-C948B6BC01C3}">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08C26229-8BBC-4D62-B790-46274D6BD0F2}" type="sibTrans" cxnId="{855FECE2-4077-49E2-BB4E-C948B6BC01C3}">
      <dgm:prSet/>
      <dgm:spPr/>
      <dgm:t>
        <a:bodyPr/>
        <a:lstStyle/>
        <a:p>
          <a:endParaRPr lang="en-IN"/>
        </a:p>
      </dgm:t>
    </dgm:pt>
    <dgm:pt modelId="{E0F6FAEE-37A4-4B19-BD3A-A593C3C06827}">
      <dgm:prSet phldrT="[Text]">
        <dgm:style>
          <a:lnRef idx="2">
            <a:schemeClr val="dk1"/>
          </a:lnRef>
          <a:fillRef idx="1">
            <a:schemeClr val="lt1"/>
          </a:fillRef>
          <a:effectRef idx="0">
            <a:schemeClr val="dk1"/>
          </a:effectRef>
          <a:fontRef idx="minor">
            <a:schemeClr val="dk1"/>
          </a:fontRef>
        </dgm:style>
      </dgm:prSet>
      <dgm:spPr/>
      <dgm:t>
        <a:bodyPr/>
        <a:lstStyle/>
        <a:p>
          <a:r>
            <a:rPr lang="en-IN"/>
            <a:t>AVP Disbursement</a:t>
          </a:r>
        </a:p>
      </dgm:t>
    </dgm:pt>
    <dgm:pt modelId="{2657D04C-2454-45F0-A96C-A0A38FA70E55}" type="parTrans" cxnId="{CB149DA2-E994-43A5-B45F-2D1418CA8E5F}">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AA57CF61-5532-4EE8-BF58-535082D1EE40}" type="sibTrans" cxnId="{CB149DA2-E994-43A5-B45F-2D1418CA8E5F}">
      <dgm:prSet/>
      <dgm:spPr/>
      <dgm:t>
        <a:bodyPr/>
        <a:lstStyle/>
        <a:p>
          <a:endParaRPr lang="en-IN"/>
        </a:p>
      </dgm:t>
    </dgm:pt>
    <dgm:pt modelId="{D3B107A4-C902-49DE-88C4-80D396DD3CCA}">
      <dgm:prSet phldrT="[Text]">
        <dgm:style>
          <a:lnRef idx="2">
            <a:schemeClr val="dk1"/>
          </a:lnRef>
          <a:fillRef idx="1">
            <a:schemeClr val="lt1"/>
          </a:fillRef>
          <a:effectRef idx="0">
            <a:schemeClr val="dk1"/>
          </a:effectRef>
          <a:fontRef idx="minor">
            <a:schemeClr val="dk1"/>
          </a:fontRef>
        </dgm:style>
      </dgm:prSet>
      <dgm:spPr/>
      <dgm:t>
        <a:bodyPr/>
        <a:lstStyle/>
        <a:p>
          <a:r>
            <a:rPr lang="en-IN"/>
            <a:t>AVP Claims</a:t>
          </a:r>
        </a:p>
      </dgm:t>
    </dgm:pt>
    <dgm:pt modelId="{45C1179B-A8A2-4E73-B214-9B9001309ED2}" type="parTrans" cxnId="{BF69EBD3-5314-43BE-8B98-D7159CC05296}">
      <dgm:prSet>
        <dgm:style>
          <a:lnRef idx="1">
            <a:schemeClr val="dk1"/>
          </a:lnRef>
          <a:fillRef idx="0">
            <a:schemeClr val="dk1"/>
          </a:fillRef>
          <a:effectRef idx="0">
            <a:schemeClr val="dk1"/>
          </a:effectRef>
          <a:fontRef idx="minor">
            <a:schemeClr val="tx1"/>
          </a:fontRef>
        </dgm:style>
      </dgm:prSet>
      <dgm:spPr/>
      <dgm:t>
        <a:bodyPr/>
        <a:lstStyle/>
        <a:p>
          <a:endParaRPr lang="en-IN"/>
        </a:p>
      </dgm:t>
    </dgm:pt>
    <dgm:pt modelId="{89A932C1-0EC8-44F8-B593-ACB13D57488C}" type="sibTrans" cxnId="{BF69EBD3-5314-43BE-8B98-D7159CC05296}">
      <dgm:prSet/>
      <dgm:spPr/>
      <dgm:t>
        <a:bodyPr/>
        <a:lstStyle/>
        <a:p>
          <a:endParaRPr lang="en-IN"/>
        </a:p>
      </dgm:t>
    </dgm:pt>
    <dgm:pt modelId="{3B7E2654-64A3-42E0-A3E4-4114D2D2BE9A}" type="pres">
      <dgm:prSet presAssocID="{4A1E1B6C-EFCB-48EA-8E9A-36673673D9D5}" presName="diagram" presStyleCnt="0">
        <dgm:presLayoutVars>
          <dgm:chPref val="1"/>
          <dgm:dir/>
          <dgm:animOne val="branch"/>
          <dgm:animLvl val="lvl"/>
          <dgm:resizeHandles val="exact"/>
        </dgm:presLayoutVars>
      </dgm:prSet>
      <dgm:spPr/>
      <dgm:t>
        <a:bodyPr/>
        <a:lstStyle/>
        <a:p>
          <a:endParaRPr lang="en-IN"/>
        </a:p>
      </dgm:t>
    </dgm:pt>
    <dgm:pt modelId="{CE6F2320-4A92-4900-B33A-0557EBC860F4}" type="pres">
      <dgm:prSet presAssocID="{C9E65578-7580-4960-B7B8-630A5517EF6E}" presName="root1" presStyleCnt="0"/>
      <dgm:spPr/>
    </dgm:pt>
    <dgm:pt modelId="{2BE2970C-6662-4F50-8D46-766A5236EF7C}" type="pres">
      <dgm:prSet presAssocID="{C9E65578-7580-4960-B7B8-630A5517EF6E}" presName="LevelOneTextNode" presStyleLbl="node0" presStyleIdx="0" presStyleCnt="1">
        <dgm:presLayoutVars>
          <dgm:chPref val="3"/>
        </dgm:presLayoutVars>
      </dgm:prSet>
      <dgm:spPr/>
      <dgm:t>
        <a:bodyPr/>
        <a:lstStyle/>
        <a:p>
          <a:endParaRPr lang="en-IN"/>
        </a:p>
      </dgm:t>
    </dgm:pt>
    <dgm:pt modelId="{5EE38F09-5BA7-473F-B290-723D3E682386}" type="pres">
      <dgm:prSet presAssocID="{C9E65578-7580-4960-B7B8-630A5517EF6E}" presName="level2hierChild" presStyleCnt="0"/>
      <dgm:spPr/>
    </dgm:pt>
    <dgm:pt modelId="{8FCB5D41-2BC4-488F-968E-890714FB9CFE}" type="pres">
      <dgm:prSet presAssocID="{3114BA79-E9AC-4581-97AE-BA8F22B88C7B}" presName="conn2-1" presStyleLbl="parChTrans1D2" presStyleIdx="0" presStyleCnt="3"/>
      <dgm:spPr/>
      <dgm:t>
        <a:bodyPr/>
        <a:lstStyle/>
        <a:p>
          <a:endParaRPr lang="en-IN"/>
        </a:p>
      </dgm:t>
    </dgm:pt>
    <dgm:pt modelId="{3F442009-3A6E-4CD2-B329-AC12C8C0E0B9}" type="pres">
      <dgm:prSet presAssocID="{3114BA79-E9AC-4581-97AE-BA8F22B88C7B}" presName="connTx" presStyleLbl="parChTrans1D2" presStyleIdx="0" presStyleCnt="3"/>
      <dgm:spPr/>
      <dgm:t>
        <a:bodyPr/>
        <a:lstStyle/>
        <a:p>
          <a:endParaRPr lang="en-IN"/>
        </a:p>
      </dgm:t>
    </dgm:pt>
    <dgm:pt modelId="{305CF230-3C7D-44FA-9189-BE1A05F52132}" type="pres">
      <dgm:prSet presAssocID="{E61C29A0-1CF9-497E-8A5D-2FE95767ACED}" presName="root2" presStyleCnt="0"/>
      <dgm:spPr/>
    </dgm:pt>
    <dgm:pt modelId="{6D8DA94A-D567-4B32-8DA1-7C2A2162E49D}" type="pres">
      <dgm:prSet presAssocID="{E61C29A0-1CF9-497E-8A5D-2FE95767ACED}" presName="LevelTwoTextNode" presStyleLbl="node2" presStyleIdx="0" presStyleCnt="3">
        <dgm:presLayoutVars>
          <dgm:chPref val="3"/>
        </dgm:presLayoutVars>
      </dgm:prSet>
      <dgm:spPr/>
      <dgm:t>
        <a:bodyPr/>
        <a:lstStyle/>
        <a:p>
          <a:endParaRPr lang="en-IN"/>
        </a:p>
      </dgm:t>
    </dgm:pt>
    <dgm:pt modelId="{57CE7B30-4CAF-48D6-BB26-4684476AB1AD}" type="pres">
      <dgm:prSet presAssocID="{E61C29A0-1CF9-497E-8A5D-2FE95767ACED}" presName="level3hierChild" presStyleCnt="0"/>
      <dgm:spPr/>
    </dgm:pt>
    <dgm:pt modelId="{C35FF1FC-1500-49ED-BAB1-5D6CF8E132EA}" type="pres">
      <dgm:prSet presAssocID="{E96B8D6D-5192-49B4-B267-D5844EFE4C74}" presName="conn2-1" presStyleLbl="parChTrans1D3" presStyleIdx="0" presStyleCnt="6"/>
      <dgm:spPr/>
      <dgm:t>
        <a:bodyPr/>
        <a:lstStyle/>
        <a:p>
          <a:endParaRPr lang="en-IN"/>
        </a:p>
      </dgm:t>
    </dgm:pt>
    <dgm:pt modelId="{A7F6EC77-2641-423C-BCE6-05D62ACC3C0F}" type="pres">
      <dgm:prSet presAssocID="{E96B8D6D-5192-49B4-B267-D5844EFE4C74}" presName="connTx" presStyleLbl="parChTrans1D3" presStyleIdx="0" presStyleCnt="6"/>
      <dgm:spPr/>
      <dgm:t>
        <a:bodyPr/>
        <a:lstStyle/>
        <a:p>
          <a:endParaRPr lang="en-IN"/>
        </a:p>
      </dgm:t>
    </dgm:pt>
    <dgm:pt modelId="{66E9D020-8571-49F5-9A95-F1739C95F821}" type="pres">
      <dgm:prSet presAssocID="{682A448E-C72E-4AC2-BD55-F4C25A75A0E9}" presName="root2" presStyleCnt="0"/>
      <dgm:spPr/>
    </dgm:pt>
    <dgm:pt modelId="{799B9A98-04BE-4F9B-9350-190C82EC4DD6}" type="pres">
      <dgm:prSet presAssocID="{682A448E-C72E-4AC2-BD55-F4C25A75A0E9}" presName="LevelTwoTextNode" presStyleLbl="node3" presStyleIdx="0" presStyleCnt="6">
        <dgm:presLayoutVars>
          <dgm:chPref val="3"/>
        </dgm:presLayoutVars>
      </dgm:prSet>
      <dgm:spPr/>
      <dgm:t>
        <a:bodyPr/>
        <a:lstStyle/>
        <a:p>
          <a:endParaRPr lang="en-IN"/>
        </a:p>
      </dgm:t>
    </dgm:pt>
    <dgm:pt modelId="{559F6BE1-851C-4BC8-AD14-DC16A2AB322B}" type="pres">
      <dgm:prSet presAssocID="{682A448E-C72E-4AC2-BD55-F4C25A75A0E9}" presName="level3hierChild" presStyleCnt="0"/>
      <dgm:spPr/>
    </dgm:pt>
    <dgm:pt modelId="{FEDDBEEE-1BFC-427D-8C3A-F4703FF6CD29}" type="pres">
      <dgm:prSet presAssocID="{C443BCA5-047D-4624-9CE6-12F2B11CA6A6}" presName="conn2-1" presStyleLbl="parChTrans1D4" presStyleIdx="0" presStyleCnt="5"/>
      <dgm:spPr/>
      <dgm:t>
        <a:bodyPr/>
        <a:lstStyle/>
        <a:p>
          <a:endParaRPr lang="en-IN"/>
        </a:p>
      </dgm:t>
    </dgm:pt>
    <dgm:pt modelId="{FB6BE9DD-217C-4B09-A701-EA6D07E3FE34}" type="pres">
      <dgm:prSet presAssocID="{C443BCA5-047D-4624-9CE6-12F2B11CA6A6}" presName="connTx" presStyleLbl="parChTrans1D4" presStyleIdx="0" presStyleCnt="5"/>
      <dgm:spPr/>
      <dgm:t>
        <a:bodyPr/>
        <a:lstStyle/>
        <a:p>
          <a:endParaRPr lang="en-IN"/>
        </a:p>
      </dgm:t>
    </dgm:pt>
    <dgm:pt modelId="{6882CF4E-491C-47E5-9CB6-9ECDF086F9DF}" type="pres">
      <dgm:prSet presAssocID="{46700D53-F571-4978-A019-0CC5C21C254C}" presName="root2" presStyleCnt="0"/>
      <dgm:spPr/>
    </dgm:pt>
    <dgm:pt modelId="{4DD47598-53A0-4DF0-8BF8-841CBC75E335}" type="pres">
      <dgm:prSet presAssocID="{46700D53-F571-4978-A019-0CC5C21C254C}" presName="LevelTwoTextNode" presStyleLbl="node4" presStyleIdx="0" presStyleCnt="5">
        <dgm:presLayoutVars>
          <dgm:chPref val="3"/>
        </dgm:presLayoutVars>
      </dgm:prSet>
      <dgm:spPr/>
      <dgm:t>
        <a:bodyPr/>
        <a:lstStyle/>
        <a:p>
          <a:endParaRPr lang="en-IN"/>
        </a:p>
      </dgm:t>
    </dgm:pt>
    <dgm:pt modelId="{A3A666C3-3265-4EB9-8303-B5D367350257}" type="pres">
      <dgm:prSet presAssocID="{46700D53-F571-4978-A019-0CC5C21C254C}" presName="level3hierChild" presStyleCnt="0"/>
      <dgm:spPr/>
    </dgm:pt>
    <dgm:pt modelId="{02CF245F-1E16-4E92-8253-1B5D34A5DE1F}" type="pres">
      <dgm:prSet presAssocID="{2657D04C-2454-45F0-A96C-A0A38FA70E55}" presName="conn2-1" presStyleLbl="parChTrans1D4" presStyleIdx="1" presStyleCnt="5"/>
      <dgm:spPr/>
      <dgm:t>
        <a:bodyPr/>
        <a:lstStyle/>
        <a:p>
          <a:endParaRPr lang="en-IN"/>
        </a:p>
      </dgm:t>
    </dgm:pt>
    <dgm:pt modelId="{19FE6FDF-8EF7-42C4-8485-143FE5DB0AB2}" type="pres">
      <dgm:prSet presAssocID="{2657D04C-2454-45F0-A96C-A0A38FA70E55}" presName="connTx" presStyleLbl="parChTrans1D4" presStyleIdx="1" presStyleCnt="5"/>
      <dgm:spPr/>
      <dgm:t>
        <a:bodyPr/>
        <a:lstStyle/>
        <a:p>
          <a:endParaRPr lang="en-IN"/>
        </a:p>
      </dgm:t>
    </dgm:pt>
    <dgm:pt modelId="{6FEFCD7B-E510-49B1-8BAA-A86763C3C9CD}" type="pres">
      <dgm:prSet presAssocID="{E0F6FAEE-37A4-4B19-BD3A-A593C3C06827}" presName="root2" presStyleCnt="0"/>
      <dgm:spPr/>
    </dgm:pt>
    <dgm:pt modelId="{2E07C29C-5970-4256-BFE2-9362F488B341}" type="pres">
      <dgm:prSet presAssocID="{E0F6FAEE-37A4-4B19-BD3A-A593C3C06827}" presName="LevelTwoTextNode" presStyleLbl="node4" presStyleIdx="1" presStyleCnt="5">
        <dgm:presLayoutVars>
          <dgm:chPref val="3"/>
        </dgm:presLayoutVars>
      </dgm:prSet>
      <dgm:spPr/>
      <dgm:t>
        <a:bodyPr/>
        <a:lstStyle/>
        <a:p>
          <a:endParaRPr lang="en-IN"/>
        </a:p>
      </dgm:t>
    </dgm:pt>
    <dgm:pt modelId="{7A29642A-D3C9-4667-8817-35EC70DFFEF5}" type="pres">
      <dgm:prSet presAssocID="{E0F6FAEE-37A4-4B19-BD3A-A593C3C06827}" presName="level3hierChild" presStyleCnt="0"/>
      <dgm:spPr/>
    </dgm:pt>
    <dgm:pt modelId="{66E3C71D-EBD8-4885-A6F9-028EB75A0C03}" type="pres">
      <dgm:prSet presAssocID="{45C1179B-A8A2-4E73-B214-9B9001309ED2}" presName="conn2-1" presStyleLbl="parChTrans1D4" presStyleIdx="2" presStyleCnt="5"/>
      <dgm:spPr/>
      <dgm:t>
        <a:bodyPr/>
        <a:lstStyle/>
        <a:p>
          <a:endParaRPr lang="en-IN"/>
        </a:p>
      </dgm:t>
    </dgm:pt>
    <dgm:pt modelId="{A6B84F96-A288-4B05-9BA1-FB3ABB52AD66}" type="pres">
      <dgm:prSet presAssocID="{45C1179B-A8A2-4E73-B214-9B9001309ED2}" presName="connTx" presStyleLbl="parChTrans1D4" presStyleIdx="2" presStyleCnt="5"/>
      <dgm:spPr/>
      <dgm:t>
        <a:bodyPr/>
        <a:lstStyle/>
        <a:p>
          <a:endParaRPr lang="en-IN"/>
        </a:p>
      </dgm:t>
    </dgm:pt>
    <dgm:pt modelId="{5604C3B4-75FD-4DEB-9E05-7A51AD0D2B34}" type="pres">
      <dgm:prSet presAssocID="{D3B107A4-C902-49DE-88C4-80D396DD3CCA}" presName="root2" presStyleCnt="0"/>
      <dgm:spPr/>
    </dgm:pt>
    <dgm:pt modelId="{29BAD2F3-6DD0-4BE1-875A-1DCDE7B8EA45}" type="pres">
      <dgm:prSet presAssocID="{D3B107A4-C902-49DE-88C4-80D396DD3CCA}" presName="LevelTwoTextNode" presStyleLbl="node4" presStyleIdx="2" presStyleCnt="5">
        <dgm:presLayoutVars>
          <dgm:chPref val="3"/>
        </dgm:presLayoutVars>
      </dgm:prSet>
      <dgm:spPr/>
      <dgm:t>
        <a:bodyPr/>
        <a:lstStyle/>
        <a:p>
          <a:endParaRPr lang="en-IN"/>
        </a:p>
      </dgm:t>
    </dgm:pt>
    <dgm:pt modelId="{8775C880-1B3E-4AEA-A571-CEA76CC53927}" type="pres">
      <dgm:prSet presAssocID="{D3B107A4-C902-49DE-88C4-80D396DD3CCA}" presName="level3hierChild" presStyleCnt="0"/>
      <dgm:spPr/>
    </dgm:pt>
    <dgm:pt modelId="{00940E7C-221F-4D1D-B995-3555D1DBDF79}" type="pres">
      <dgm:prSet presAssocID="{FEEC5FE7-85E1-41BF-9B7A-2EC97F1346D7}" presName="conn2-1" presStyleLbl="parChTrans1D3" presStyleIdx="1" presStyleCnt="6"/>
      <dgm:spPr/>
      <dgm:t>
        <a:bodyPr/>
        <a:lstStyle/>
        <a:p>
          <a:endParaRPr lang="en-IN"/>
        </a:p>
      </dgm:t>
    </dgm:pt>
    <dgm:pt modelId="{829FEFC3-4576-41E9-BD23-BF0F0C70DB3D}" type="pres">
      <dgm:prSet presAssocID="{FEEC5FE7-85E1-41BF-9B7A-2EC97F1346D7}" presName="connTx" presStyleLbl="parChTrans1D3" presStyleIdx="1" presStyleCnt="6"/>
      <dgm:spPr/>
      <dgm:t>
        <a:bodyPr/>
        <a:lstStyle/>
        <a:p>
          <a:endParaRPr lang="en-IN"/>
        </a:p>
      </dgm:t>
    </dgm:pt>
    <dgm:pt modelId="{5B1859E2-9666-45EB-A69E-977BE4B682F6}" type="pres">
      <dgm:prSet presAssocID="{2A3AEAF6-86FA-4E04-86B1-75DA81EB7A52}" presName="root2" presStyleCnt="0"/>
      <dgm:spPr/>
    </dgm:pt>
    <dgm:pt modelId="{24804192-2085-43C1-A852-8294A2B2899A}" type="pres">
      <dgm:prSet presAssocID="{2A3AEAF6-86FA-4E04-86B1-75DA81EB7A52}" presName="LevelTwoTextNode" presStyleLbl="node3" presStyleIdx="1" presStyleCnt="6">
        <dgm:presLayoutVars>
          <dgm:chPref val="3"/>
        </dgm:presLayoutVars>
      </dgm:prSet>
      <dgm:spPr/>
      <dgm:t>
        <a:bodyPr/>
        <a:lstStyle/>
        <a:p>
          <a:endParaRPr lang="en-IN"/>
        </a:p>
      </dgm:t>
    </dgm:pt>
    <dgm:pt modelId="{2A95B128-002D-4C26-92DC-7181F21C1457}" type="pres">
      <dgm:prSet presAssocID="{2A3AEAF6-86FA-4E04-86B1-75DA81EB7A52}" presName="level3hierChild" presStyleCnt="0"/>
      <dgm:spPr/>
    </dgm:pt>
    <dgm:pt modelId="{3588BE35-82B4-428D-901E-DA3BCB7BBDCF}" type="pres">
      <dgm:prSet presAssocID="{646DD110-772F-4C6C-88D7-0D20A3201D99}" presName="conn2-1" presStyleLbl="parChTrans1D2" presStyleIdx="1" presStyleCnt="3"/>
      <dgm:spPr/>
      <dgm:t>
        <a:bodyPr/>
        <a:lstStyle/>
        <a:p>
          <a:endParaRPr lang="en-IN"/>
        </a:p>
      </dgm:t>
    </dgm:pt>
    <dgm:pt modelId="{24399DBF-B676-4EA8-BF25-73A3714814D8}" type="pres">
      <dgm:prSet presAssocID="{646DD110-772F-4C6C-88D7-0D20A3201D99}" presName="connTx" presStyleLbl="parChTrans1D2" presStyleIdx="1" presStyleCnt="3"/>
      <dgm:spPr/>
      <dgm:t>
        <a:bodyPr/>
        <a:lstStyle/>
        <a:p>
          <a:endParaRPr lang="en-IN"/>
        </a:p>
      </dgm:t>
    </dgm:pt>
    <dgm:pt modelId="{B5DF293F-949C-43A5-8320-5C16C0250DC0}" type="pres">
      <dgm:prSet presAssocID="{1DAD632C-CBB9-4CE7-8652-1F32F18993EE}" presName="root2" presStyleCnt="0"/>
      <dgm:spPr/>
    </dgm:pt>
    <dgm:pt modelId="{82E5BF94-4861-4C12-B7CC-842C96FEA836}" type="pres">
      <dgm:prSet presAssocID="{1DAD632C-CBB9-4CE7-8652-1F32F18993EE}" presName="LevelTwoTextNode" presStyleLbl="node2" presStyleIdx="1" presStyleCnt="3">
        <dgm:presLayoutVars>
          <dgm:chPref val="3"/>
        </dgm:presLayoutVars>
      </dgm:prSet>
      <dgm:spPr/>
      <dgm:t>
        <a:bodyPr/>
        <a:lstStyle/>
        <a:p>
          <a:endParaRPr lang="en-IN"/>
        </a:p>
      </dgm:t>
    </dgm:pt>
    <dgm:pt modelId="{C2A7B0E4-0102-4890-8528-DC03945A46F9}" type="pres">
      <dgm:prSet presAssocID="{1DAD632C-CBB9-4CE7-8652-1F32F18993EE}" presName="level3hierChild" presStyleCnt="0"/>
      <dgm:spPr/>
    </dgm:pt>
    <dgm:pt modelId="{DA636805-6F21-40DF-9801-FE9D30429332}" type="pres">
      <dgm:prSet presAssocID="{14599643-B049-462A-B43C-149FD563E027}" presName="conn2-1" presStyleLbl="parChTrans1D3" presStyleIdx="2" presStyleCnt="6"/>
      <dgm:spPr/>
      <dgm:t>
        <a:bodyPr/>
        <a:lstStyle/>
        <a:p>
          <a:endParaRPr lang="en-IN"/>
        </a:p>
      </dgm:t>
    </dgm:pt>
    <dgm:pt modelId="{D7304469-E48E-4F88-8903-306F7BB3E971}" type="pres">
      <dgm:prSet presAssocID="{14599643-B049-462A-B43C-149FD563E027}" presName="connTx" presStyleLbl="parChTrans1D3" presStyleIdx="2" presStyleCnt="6"/>
      <dgm:spPr/>
      <dgm:t>
        <a:bodyPr/>
        <a:lstStyle/>
        <a:p>
          <a:endParaRPr lang="en-IN"/>
        </a:p>
      </dgm:t>
    </dgm:pt>
    <dgm:pt modelId="{EDD2BFBB-EF53-426E-850F-DEF7255F5353}" type="pres">
      <dgm:prSet presAssocID="{7D04ABB1-D974-4175-A002-C7FDCCE66E49}" presName="root2" presStyleCnt="0"/>
      <dgm:spPr/>
    </dgm:pt>
    <dgm:pt modelId="{4A35A3C5-6D59-4988-A134-DE1530F052B3}" type="pres">
      <dgm:prSet presAssocID="{7D04ABB1-D974-4175-A002-C7FDCCE66E49}" presName="LevelTwoTextNode" presStyleLbl="node3" presStyleIdx="2" presStyleCnt="6">
        <dgm:presLayoutVars>
          <dgm:chPref val="3"/>
        </dgm:presLayoutVars>
      </dgm:prSet>
      <dgm:spPr/>
      <dgm:t>
        <a:bodyPr/>
        <a:lstStyle/>
        <a:p>
          <a:endParaRPr lang="en-IN"/>
        </a:p>
      </dgm:t>
    </dgm:pt>
    <dgm:pt modelId="{E594A59D-72FD-42B8-8733-D88537C2A8BA}" type="pres">
      <dgm:prSet presAssocID="{7D04ABB1-D974-4175-A002-C7FDCCE66E49}" presName="level3hierChild" presStyleCnt="0"/>
      <dgm:spPr/>
    </dgm:pt>
    <dgm:pt modelId="{4F4254CE-4BF5-4C99-B047-3D1A14691EB3}" type="pres">
      <dgm:prSet presAssocID="{8605712D-0927-45A4-A852-95BBAA3A95FB}" presName="conn2-1" presStyleLbl="parChTrans1D3" presStyleIdx="3" presStyleCnt="6"/>
      <dgm:spPr/>
      <dgm:t>
        <a:bodyPr/>
        <a:lstStyle/>
        <a:p>
          <a:endParaRPr lang="en-IN"/>
        </a:p>
      </dgm:t>
    </dgm:pt>
    <dgm:pt modelId="{CF06932F-90A8-4BC0-9DB5-6CD26F9ED9C1}" type="pres">
      <dgm:prSet presAssocID="{8605712D-0927-45A4-A852-95BBAA3A95FB}" presName="connTx" presStyleLbl="parChTrans1D3" presStyleIdx="3" presStyleCnt="6"/>
      <dgm:spPr/>
      <dgm:t>
        <a:bodyPr/>
        <a:lstStyle/>
        <a:p>
          <a:endParaRPr lang="en-IN"/>
        </a:p>
      </dgm:t>
    </dgm:pt>
    <dgm:pt modelId="{11A3145A-A87D-4076-B004-A8C2AFD410FC}" type="pres">
      <dgm:prSet presAssocID="{AC51D5CA-2D98-443F-83E2-084E364F79ED}" presName="root2" presStyleCnt="0"/>
      <dgm:spPr/>
    </dgm:pt>
    <dgm:pt modelId="{5732DEEA-9344-4CDC-9E6F-1E9CF8799448}" type="pres">
      <dgm:prSet presAssocID="{AC51D5CA-2D98-443F-83E2-084E364F79ED}" presName="LevelTwoTextNode" presStyleLbl="node3" presStyleIdx="3" presStyleCnt="6">
        <dgm:presLayoutVars>
          <dgm:chPref val="3"/>
        </dgm:presLayoutVars>
      </dgm:prSet>
      <dgm:spPr/>
      <dgm:t>
        <a:bodyPr/>
        <a:lstStyle/>
        <a:p>
          <a:endParaRPr lang="en-IN"/>
        </a:p>
      </dgm:t>
    </dgm:pt>
    <dgm:pt modelId="{D178D082-894A-4A6A-98DF-A73473A79C1E}" type="pres">
      <dgm:prSet presAssocID="{AC51D5CA-2D98-443F-83E2-084E364F79ED}" presName="level3hierChild" presStyleCnt="0"/>
      <dgm:spPr/>
    </dgm:pt>
    <dgm:pt modelId="{BEB92ADA-0D36-4F0C-B250-399818FB353C}" type="pres">
      <dgm:prSet presAssocID="{81950746-6B29-4FE8-8C9D-3482B1DAB55F}" presName="conn2-1" presStyleLbl="parChTrans1D3" presStyleIdx="4" presStyleCnt="6"/>
      <dgm:spPr/>
      <dgm:t>
        <a:bodyPr/>
        <a:lstStyle/>
        <a:p>
          <a:endParaRPr lang="en-IN"/>
        </a:p>
      </dgm:t>
    </dgm:pt>
    <dgm:pt modelId="{54364256-D7E2-41DC-93BF-0C43F6A5D00A}" type="pres">
      <dgm:prSet presAssocID="{81950746-6B29-4FE8-8C9D-3482B1DAB55F}" presName="connTx" presStyleLbl="parChTrans1D3" presStyleIdx="4" presStyleCnt="6"/>
      <dgm:spPr/>
      <dgm:t>
        <a:bodyPr/>
        <a:lstStyle/>
        <a:p>
          <a:endParaRPr lang="en-IN"/>
        </a:p>
      </dgm:t>
    </dgm:pt>
    <dgm:pt modelId="{F64A728B-3FDE-4063-A1FA-F378E88D1A2F}" type="pres">
      <dgm:prSet presAssocID="{CF591689-3660-499E-B022-960C62B67BB2}" presName="root2" presStyleCnt="0"/>
      <dgm:spPr/>
    </dgm:pt>
    <dgm:pt modelId="{D13F3F4B-88A7-4EEF-93FF-5DE0F13848FE}" type="pres">
      <dgm:prSet presAssocID="{CF591689-3660-499E-B022-960C62B67BB2}" presName="LevelTwoTextNode" presStyleLbl="node3" presStyleIdx="4" presStyleCnt="6">
        <dgm:presLayoutVars>
          <dgm:chPref val="3"/>
        </dgm:presLayoutVars>
      </dgm:prSet>
      <dgm:spPr/>
      <dgm:t>
        <a:bodyPr/>
        <a:lstStyle/>
        <a:p>
          <a:endParaRPr lang="en-IN"/>
        </a:p>
      </dgm:t>
    </dgm:pt>
    <dgm:pt modelId="{3B7F13AA-A72C-4E91-B6E4-8ABF2E2AC3E9}" type="pres">
      <dgm:prSet presAssocID="{CF591689-3660-499E-B022-960C62B67BB2}" presName="level3hierChild" presStyleCnt="0"/>
      <dgm:spPr/>
    </dgm:pt>
    <dgm:pt modelId="{9F9C3F5F-A9A3-4319-96B5-587F7B22ABB7}" type="pres">
      <dgm:prSet presAssocID="{DECF2C4A-C48F-4A12-9AC9-4DCDBF618293}" presName="conn2-1" presStyleLbl="parChTrans1D2" presStyleIdx="2" presStyleCnt="3"/>
      <dgm:spPr/>
      <dgm:t>
        <a:bodyPr/>
        <a:lstStyle/>
        <a:p>
          <a:endParaRPr lang="en-IN"/>
        </a:p>
      </dgm:t>
    </dgm:pt>
    <dgm:pt modelId="{6881085F-FE3F-432D-9F41-5B7839D1B7B8}" type="pres">
      <dgm:prSet presAssocID="{DECF2C4A-C48F-4A12-9AC9-4DCDBF618293}" presName="connTx" presStyleLbl="parChTrans1D2" presStyleIdx="2" presStyleCnt="3"/>
      <dgm:spPr/>
      <dgm:t>
        <a:bodyPr/>
        <a:lstStyle/>
        <a:p>
          <a:endParaRPr lang="en-IN"/>
        </a:p>
      </dgm:t>
    </dgm:pt>
    <dgm:pt modelId="{F85BD0D1-AF32-4511-9AF0-C1CB5C7A0A2B}" type="pres">
      <dgm:prSet presAssocID="{FBD435E6-AAA7-48E6-BA5D-9A895211A831}" presName="root2" presStyleCnt="0"/>
      <dgm:spPr/>
    </dgm:pt>
    <dgm:pt modelId="{5AC5715B-2ECE-49A5-B44D-BCF858A8C513}" type="pres">
      <dgm:prSet presAssocID="{FBD435E6-AAA7-48E6-BA5D-9A895211A831}" presName="LevelTwoTextNode" presStyleLbl="node2" presStyleIdx="2" presStyleCnt="3">
        <dgm:presLayoutVars>
          <dgm:chPref val="3"/>
        </dgm:presLayoutVars>
      </dgm:prSet>
      <dgm:spPr/>
      <dgm:t>
        <a:bodyPr/>
        <a:lstStyle/>
        <a:p>
          <a:endParaRPr lang="en-IN"/>
        </a:p>
      </dgm:t>
    </dgm:pt>
    <dgm:pt modelId="{24A347E3-F14B-4A97-84F6-DF2B8EB31384}" type="pres">
      <dgm:prSet presAssocID="{FBD435E6-AAA7-48E6-BA5D-9A895211A831}" presName="level3hierChild" presStyleCnt="0"/>
      <dgm:spPr/>
    </dgm:pt>
    <dgm:pt modelId="{39B379CB-FD0A-46CB-8CA9-C7C25BC5D7F4}" type="pres">
      <dgm:prSet presAssocID="{DAE339D6-BFAE-4E8B-83E0-2E0DC9BA050B}" presName="conn2-1" presStyleLbl="parChTrans1D3" presStyleIdx="5" presStyleCnt="6"/>
      <dgm:spPr/>
      <dgm:t>
        <a:bodyPr/>
        <a:lstStyle/>
        <a:p>
          <a:endParaRPr lang="en-IN"/>
        </a:p>
      </dgm:t>
    </dgm:pt>
    <dgm:pt modelId="{B49E7270-F3AB-4C58-A861-86CB17497334}" type="pres">
      <dgm:prSet presAssocID="{DAE339D6-BFAE-4E8B-83E0-2E0DC9BA050B}" presName="connTx" presStyleLbl="parChTrans1D3" presStyleIdx="5" presStyleCnt="6"/>
      <dgm:spPr/>
      <dgm:t>
        <a:bodyPr/>
        <a:lstStyle/>
        <a:p>
          <a:endParaRPr lang="en-IN"/>
        </a:p>
      </dgm:t>
    </dgm:pt>
    <dgm:pt modelId="{F2FDFE29-B5D9-45C0-9FF6-F004F8C29607}" type="pres">
      <dgm:prSet presAssocID="{3C9C7027-BF36-4D3E-B4FD-BF7DF5FFC769}" presName="root2" presStyleCnt="0"/>
      <dgm:spPr/>
    </dgm:pt>
    <dgm:pt modelId="{B6F4E25F-EE6C-494E-8319-74601CE3D7EC}" type="pres">
      <dgm:prSet presAssocID="{3C9C7027-BF36-4D3E-B4FD-BF7DF5FFC769}" presName="LevelTwoTextNode" presStyleLbl="node3" presStyleIdx="5" presStyleCnt="6">
        <dgm:presLayoutVars>
          <dgm:chPref val="3"/>
        </dgm:presLayoutVars>
      </dgm:prSet>
      <dgm:spPr/>
      <dgm:t>
        <a:bodyPr/>
        <a:lstStyle/>
        <a:p>
          <a:endParaRPr lang="en-IN"/>
        </a:p>
      </dgm:t>
    </dgm:pt>
    <dgm:pt modelId="{20ED8BDB-A2A3-4EE3-AF9F-633BD16E2D1F}" type="pres">
      <dgm:prSet presAssocID="{3C9C7027-BF36-4D3E-B4FD-BF7DF5FFC769}" presName="level3hierChild" presStyleCnt="0"/>
      <dgm:spPr/>
    </dgm:pt>
    <dgm:pt modelId="{4401E378-47CE-4442-9DA5-A79362A67E9F}" type="pres">
      <dgm:prSet presAssocID="{3016DEA0-3967-4BFF-A194-1CBB1C122B3A}" presName="conn2-1" presStyleLbl="parChTrans1D4" presStyleIdx="3" presStyleCnt="5"/>
      <dgm:spPr/>
      <dgm:t>
        <a:bodyPr/>
        <a:lstStyle/>
        <a:p>
          <a:endParaRPr lang="en-IN"/>
        </a:p>
      </dgm:t>
    </dgm:pt>
    <dgm:pt modelId="{C579880D-6448-4D37-ABF0-826109C13F30}" type="pres">
      <dgm:prSet presAssocID="{3016DEA0-3967-4BFF-A194-1CBB1C122B3A}" presName="connTx" presStyleLbl="parChTrans1D4" presStyleIdx="3" presStyleCnt="5"/>
      <dgm:spPr/>
      <dgm:t>
        <a:bodyPr/>
        <a:lstStyle/>
        <a:p>
          <a:endParaRPr lang="en-IN"/>
        </a:p>
      </dgm:t>
    </dgm:pt>
    <dgm:pt modelId="{DCCD71C1-5C27-4068-9A9D-2B778FA5F0D5}" type="pres">
      <dgm:prSet presAssocID="{C5559755-9C82-4F3F-A327-D190E5E974ED}" presName="root2" presStyleCnt="0"/>
      <dgm:spPr/>
    </dgm:pt>
    <dgm:pt modelId="{AEC01CF2-B860-4860-A284-7F5FCEF33B5C}" type="pres">
      <dgm:prSet presAssocID="{C5559755-9C82-4F3F-A327-D190E5E974ED}" presName="LevelTwoTextNode" presStyleLbl="node4" presStyleIdx="3" presStyleCnt="5">
        <dgm:presLayoutVars>
          <dgm:chPref val="3"/>
        </dgm:presLayoutVars>
      </dgm:prSet>
      <dgm:spPr/>
      <dgm:t>
        <a:bodyPr/>
        <a:lstStyle/>
        <a:p>
          <a:endParaRPr lang="en-IN"/>
        </a:p>
      </dgm:t>
    </dgm:pt>
    <dgm:pt modelId="{1433E236-2D1C-4ADA-A70A-D330C80BE304}" type="pres">
      <dgm:prSet presAssocID="{C5559755-9C82-4F3F-A327-D190E5E974ED}" presName="level3hierChild" presStyleCnt="0"/>
      <dgm:spPr/>
    </dgm:pt>
    <dgm:pt modelId="{A7EA7994-CC34-47AE-B416-00692E5A032C}" type="pres">
      <dgm:prSet presAssocID="{22BE5DDF-56B5-4EF0-99EE-6E1BA20CC31D}" presName="conn2-1" presStyleLbl="parChTrans1D4" presStyleIdx="4" presStyleCnt="5"/>
      <dgm:spPr/>
      <dgm:t>
        <a:bodyPr/>
        <a:lstStyle/>
        <a:p>
          <a:endParaRPr lang="en-IN"/>
        </a:p>
      </dgm:t>
    </dgm:pt>
    <dgm:pt modelId="{B63E5AE0-3061-4859-B7EE-7006D2D9CC89}" type="pres">
      <dgm:prSet presAssocID="{22BE5DDF-56B5-4EF0-99EE-6E1BA20CC31D}" presName="connTx" presStyleLbl="parChTrans1D4" presStyleIdx="4" presStyleCnt="5"/>
      <dgm:spPr/>
      <dgm:t>
        <a:bodyPr/>
        <a:lstStyle/>
        <a:p>
          <a:endParaRPr lang="en-IN"/>
        </a:p>
      </dgm:t>
    </dgm:pt>
    <dgm:pt modelId="{3BD63840-B042-41DF-8BA3-F573570A2018}" type="pres">
      <dgm:prSet presAssocID="{EC312C29-E7C9-448A-A2F0-F3D7559B0F8E}" presName="root2" presStyleCnt="0"/>
      <dgm:spPr/>
    </dgm:pt>
    <dgm:pt modelId="{73EB709A-53CB-46AF-A927-86F73FD0F57E}" type="pres">
      <dgm:prSet presAssocID="{EC312C29-E7C9-448A-A2F0-F3D7559B0F8E}" presName="LevelTwoTextNode" presStyleLbl="node4" presStyleIdx="4" presStyleCnt="5">
        <dgm:presLayoutVars>
          <dgm:chPref val="3"/>
        </dgm:presLayoutVars>
      </dgm:prSet>
      <dgm:spPr/>
      <dgm:t>
        <a:bodyPr/>
        <a:lstStyle/>
        <a:p>
          <a:endParaRPr lang="en-IN"/>
        </a:p>
      </dgm:t>
    </dgm:pt>
    <dgm:pt modelId="{91B7510B-5596-4695-A783-6A9C00C0E139}" type="pres">
      <dgm:prSet presAssocID="{EC312C29-E7C9-448A-A2F0-F3D7559B0F8E}" presName="level3hierChild" presStyleCnt="0"/>
      <dgm:spPr/>
    </dgm:pt>
  </dgm:ptLst>
  <dgm:cxnLst>
    <dgm:cxn modelId="{4688490D-ED38-4098-9B1C-3D955D1C718E}" type="presOf" srcId="{FEEC5FE7-85E1-41BF-9B7A-2EC97F1346D7}" destId="{00940E7C-221F-4D1D-B995-3555D1DBDF79}" srcOrd="0" destOrd="0" presId="urn:microsoft.com/office/officeart/2005/8/layout/hierarchy2"/>
    <dgm:cxn modelId="{B26C26F1-3AF7-4686-99C1-10DFA625D086}" type="presOf" srcId="{22BE5DDF-56B5-4EF0-99EE-6E1BA20CC31D}" destId="{B63E5AE0-3061-4859-B7EE-7006D2D9CC89}" srcOrd="1" destOrd="0" presId="urn:microsoft.com/office/officeart/2005/8/layout/hierarchy2"/>
    <dgm:cxn modelId="{49364F83-4991-4C8F-B0AD-EC415929E1FE}" type="presOf" srcId="{FBD435E6-AAA7-48E6-BA5D-9A895211A831}" destId="{5AC5715B-2ECE-49A5-B44D-BCF858A8C513}" srcOrd="0" destOrd="0" presId="urn:microsoft.com/office/officeart/2005/8/layout/hierarchy2"/>
    <dgm:cxn modelId="{D6768FD8-0A0F-4ADF-82A3-F51A09BE07C8}" type="presOf" srcId="{14599643-B049-462A-B43C-149FD563E027}" destId="{D7304469-E48E-4F88-8903-306F7BB3E971}" srcOrd="1" destOrd="0" presId="urn:microsoft.com/office/officeart/2005/8/layout/hierarchy2"/>
    <dgm:cxn modelId="{28D81F9E-EA7D-45EC-9C62-05D35E8805AE}" type="presOf" srcId="{E61C29A0-1CF9-497E-8A5D-2FE95767ACED}" destId="{6D8DA94A-D567-4B32-8DA1-7C2A2162E49D}" srcOrd="0" destOrd="0" presId="urn:microsoft.com/office/officeart/2005/8/layout/hierarchy2"/>
    <dgm:cxn modelId="{35060A35-11B1-4141-9ACC-3524185210A0}" type="presOf" srcId="{CF591689-3660-499E-B022-960C62B67BB2}" destId="{D13F3F4B-88A7-4EEF-93FF-5DE0F13848FE}" srcOrd="0" destOrd="0" presId="urn:microsoft.com/office/officeart/2005/8/layout/hierarchy2"/>
    <dgm:cxn modelId="{BE700912-1AEF-4ED4-A39F-37CDE49BB252}" type="presOf" srcId="{C443BCA5-047D-4624-9CE6-12F2B11CA6A6}" destId="{FEDDBEEE-1BFC-427D-8C3A-F4703FF6CD29}" srcOrd="0" destOrd="0" presId="urn:microsoft.com/office/officeart/2005/8/layout/hierarchy2"/>
    <dgm:cxn modelId="{89D66D8F-150C-4726-9B02-131E26127204}" srcId="{C9E65578-7580-4960-B7B8-630A5517EF6E}" destId="{FBD435E6-AAA7-48E6-BA5D-9A895211A831}" srcOrd="2" destOrd="0" parTransId="{DECF2C4A-C48F-4A12-9AC9-4DCDBF618293}" sibTransId="{EE1A5C94-28D5-47A7-BD5C-BA34B4579F0E}"/>
    <dgm:cxn modelId="{989E89D0-96E6-46D2-847B-6D5EDB630A0D}" type="presOf" srcId="{7D04ABB1-D974-4175-A002-C7FDCCE66E49}" destId="{4A35A3C5-6D59-4988-A134-DE1530F052B3}" srcOrd="0" destOrd="0" presId="urn:microsoft.com/office/officeart/2005/8/layout/hierarchy2"/>
    <dgm:cxn modelId="{1884C88E-7F97-4142-924B-3CC390055DDA}" srcId="{C9E65578-7580-4960-B7B8-630A5517EF6E}" destId="{1DAD632C-CBB9-4CE7-8652-1F32F18993EE}" srcOrd="1" destOrd="0" parTransId="{646DD110-772F-4C6C-88D7-0D20A3201D99}" sibTransId="{0F565DEB-5ADC-4958-82F0-809E567CFDA5}"/>
    <dgm:cxn modelId="{5CDA81FA-18E7-4B78-9760-A81CED06AE67}" type="presOf" srcId="{3016DEA0-3967-4BFF-A194-1CBB1C122B3A}" destId="{4401E378-47CE-4442-9DA5-A79362A67E9F}" srcOrd="0" destOrd="0" presId="urn:microsoft.com/office/officeart/2005/8/layout/hierarchy2"/>
    <dgm:cxn modelId="{DE34CEE9-9F82-4B76-8F3E-A940671B326F}" type="presOf" srcId="{2657D04C-2454-45F0-A96C-A0A38FA70E55}" destId="{02CF245F-1E16-4E92-8253-1B5D34A5DE1F}" srcOrd="0" destOrd="0" presId="urn:microsoft.com/office/officeart/2005/8/layout/hierarchy2"/>
    <dgm:cxn modelId="{E0DA7FE4-FA5A-4A4F-BC84-2498CE8637B7}" type="presOf" srcId="{3114BA79-E9AC-4581-97AE-BA8F22B88C7B}" destId="{8FCB5D41-2BC4-488F-968E-890714FB9CFE}" srcOrd="0" destOrd="0" presId="urn:microsoft.com/office/officeart/2005/8/layout/hierarchy2"/>
    <dgm:cxn modelId="{43E8E8FC-DEF8-4E34-AC6A-FB971C4BD9E6}" type="presOf" srcId="{E96B8D6D-5192-49B4-B267-D5844EFE4C74}" destId="{C35FF1FC-1500-49ED-BAB1-5D6CF8E132EA}" srcOrd="0" destOrd="0" presId="urn:microsoft.com/office/officeart/2005/8/layout/hierarchy2"/>
    <dgm:cxn modelId="{F720198E-FA0D-4453-A131-A1E6271B8DE1}" type="presOf" srcId="{1DAD632C-CBB9-4CE7-8652-1F32F18993EE}" destId="{82E5BF94-4861-4C12-B7CC-842C96FEA836}" srcOrd="0" destOrd="0" presId="urn:microsoft.com/office/officeart/2005/8/layout/hierarchy2"/>
    <dgm:cxn modelId="{08E74185-ADC6-4518-A22E-150674EED0A0}" type="presOf" srcId="{FEEC5FE7-85E1-41BF-9B7A-2EC97F1346D7}" destId="{829FEFC3-4576-41E9-BD23-BF0F0C70DB3D}" srcOrd="1" destOrd="0" presId="urn:microsoft.com/office/officeart/2005/8/layout/hierarchy2"/>
    <dgm:cxn modelId="{557002B3-72F4-46C8-8D34-E51611D8A6D7}" type="presOf" srcId="{14599643-B049-462A-B43C-149FD563E027}" destId="{DA636805-6F21-40DF-9801-FE9D30429332}" srcOrd="0" destOrd="0" presId="urn:microsoft.com/office/officeart/2005/8/layout/hierarchy2"/>
    <dgm:cxn modelId="{AEE53C52-3248-41C0-BCC3-C4DB5C577371}" type="presOf" srcId="{2657D04C-2454-45F0-A96C-A0A38FA70E55}" destId="{19FE6FDF-8EF7-42C4-8485-143FE5DB0AB2}" srcOrd="1" destOrd="0" presId="urn:microsoft.com/office/officeart/2005/8/layout/hierarchy2"/>
    <dgm:cxn modelId="{8324E084-2C9E-405B-82A3-07A6341048B9}" type="presOf" srcId="{E0F6FAEE-37A4-4B19-BD3A-A593C3C06827}" destId="{2E07C29C-5970-4256-BFE2-9362F488B341}" srcOrd="0" destOrd="0" presId="urn:microsoft.com/office/officeart/2005/8/layout/hierarchy2"/>
    <dgm:cxn modelId="{4348BE9E-B109-4A6B-BD46-382B24AE6A4E}" type="presOf" srcId="{DAE339D6-BFAE-4E8B-83E0-2E0DC9BA050B}" destId="{B49E7270-F3AB-4C58-A861-86CB17497334}" srcOrd="1" destOrd="0" presId="urn:microsoft.com/office/officeart/2005/8/layout/hierarchy2"/>
    <dgm:cxn modelId="{9D025BF9-8872-487B-A347-CAFE159C31D3}" type="presOf" srcId="{22BE5DDF-56B5-4EF0-99EE-6E1BA20CC31D}" destId="{A7EA7994-CC34-47AE-B416-00692E5A032C}" srcOrd="0" destOrd="0" presId="urn:microsoft.com/office/officeart/2005/8/layout/hierarchy2"/>
    <dgm:cxn modelId="{79FD40B5-1CA6-4ED1-AB99-3CE9B4F43769}" type="presOf" srcId="{3016DEA0-3967-4BFF-A194-1CBB1C122B3A}" destId="{C579880D-6448-4D37-ABF0-826109C13F30}" srcOrd="1" destOrd="0" presId="urn:microsoft.com/office/officeart/2005/8/layout/hierarchy2"/>
    <dgm:cxn modelId="{1D68FBA6-7AF0-48A5-A7AE-3C22385ADD6F}" type="presOf" srcId="{2A3AEAF6-86FA-4E04-86B1-75DA81EB7A52}" destId="{24804192-2085-43C1-A852-8294A2B2899A}" srcOrd="0" destOrd="0" presId="urn:microsoft.com/office/officeart/2005/8/layout/hierarchy2"/>
    <dgm:cxn modelId="{4C75C89C-F7A6-4E62-BDA0-80AACB5A4B05}" type="presOf" srcId="{E96B8D6D-5192-49B4-B267-D5844EFE4C74}" destId="{A7F6EC77-2641-423C-BCE6-05D62ACC3C0F}" srcOrd="1" destOrd="0" presId="urn:microsoft.com/office/officeart/2005/8/layout/hierarchy2"/>
    <dgm:cxn modelId="{C8DDF03C-D912-4DA7-8342-EF7E75FE890C}" type="presOf" srcId="{45C1179B-A8A2-4E73-B214-9B9001309ED2}" destId="{66E3C71D-EBD8-4885-A6F9-028EB75A0C03}" srcOrd="0" destOrd="0" presId="urn:microsoft.com/office/officeart/2005/8/layout/hierarchy2"/>
    <dgm:cxn modelId="{1FD13FFD-5FE4-4195-9D07-8A010D6D8EC0}" type="presOf" srcId="{682A448E-C72E-4AC2-BD55-F4C25A75A0E9}" destId="{799B9A98-04BE-4F9B-9350-190C82EC4DD6}" srcOrd="0" destOrd="0" presId="urn:microsoft.com/office/officeart/2005/8/layout/hierarchy2"/>
    <dgm:cxn modelId="{0B339C8E-F0C5-43BD-9EDA-39EF43CC6038}" srcId="{E61C29A0-1CF9-497E-8A5D-2FE95767ACED}" destId="{2A3AEAF6-86FA-4E04-86B1-75DA81EB7A52}" srcOrd="1" destOrd="0" parTransId="{FEEC5FE7-85E1-41BF-9B7A-2EC97F1346D7}" sibTransId="{7C2BAF25-D90A-4DFB-812D-0740999381C6}"/>
    <dgm:cxn modelId="{5CDEA4E0-9EF9-48A7-8E5F-7FDCE61A95CB}" type="presOf" srcId="{EC312C29-E7C9-448A-A2F0-F3D7559B0F8E}" destId="{73EB709A-53CB-46AF-A927-86F73FD0F57E}" srcOrd="0" destOrd="0" presId="urn:microsoft.com/office/officeart/2005/8/layout/hierarchy2"/>
    <dgm:cxn modelId="{F557DCEC-5D09-47A8-A9B7-CE378B6C200F}" srcId="{1DAD632C-CBB9-4CE7-8652-1F32F18993EE}" destId="{AC51D5CA-2D98-443F-83E2-084E364F79ED}" srcOrd="1" destOrd="0" parTransId="{8605712D-0927-45A4-A852-95BBAA3A95FB}" sibTransId="{8F434C38-28FB-43F8-BF79-738958C63632}"/>
    <dgm:cxn modelId="{7ED5BA9F-D342-488E-A0E9-167B17E58F0B}" type="presOf" srcId="{DAE339D6-BFAE-4E8B-83E0-2E0DC9BA050B}" destId="{39B379CB-FD0A-46CB-8CA9-C7C25BC5D7F4}" srcOrd="0" destOrd="0" presId="urn:microsoft.com/office/officeart/2005/8/layout/hierarchy2"/>
    <dgm:cxn modelId="{69E10759-C653-4E6C-B849-81AC4519C618}" srcId="{1DAD632C-CBB9-4CE7-8652-1F32F18993EE}" destId="{CF591689-3660-499E-B022-960C62B67BB2}" srcOrd="2" destOrd="0" parTransId="{81950746-6B29-4FE8-8C9D-3482B1DAB55F}" sibTransId="{A84CEE32-31FD-42E9-BC0F-F6F2F73CA91F}"/>
    <dgm:cxn modelId="{6DFB17F1-AD30-4879-893C-F04DFB085904}" type="presOf" srcId="{DECF2C4A-C48F-4A12-9AC9-4DCDBF618293}" destId="{9F9C3F5F-A9A3-4319-96B5-587F7B22ABB7}" srcOrd="0" destOrd="0" presId="urn:microsoft.com/office/officeart/2005/8/layout/hierarchy2"/>
    <dgm:cxn modelId="{487F262B-68FD-4DBF-B53B-F40D2143170C}" type="presOf" srcId="{D3B107A4-C902-49DE-88C4-80D396DD3CCA}" destId="{29BAD2F3-6DD0-4BE1-875A-1DCDE7B8EA45}" srcOrd="0" destOrd="0" presId="urn:microsoft.com/office/officeart/2005/8/layout/hierarchy2"/>
    <dgm:cxn modelId="{5F47E48B-C52D-4936-8C72-BA901C70C4BE}" srcId="{4A1E1B6C-EFCB-48EA-8E9A-36673673D9D5}" destId="{C9E65578-7580-4960-B7B8-630A5517EF6E}" srcOrd="0" destOrd="0" parTransId="{4E2D6000-B9C8-42C8-BCAB-7DC29B6D60DC}" sibTransId="{10FA73C0-0743-4B50-9DF6-15FF04AC0F2C}"/>
    <dgm:cxn modelId="{18D20330-EFB8-46B5-A24E-C01D6A6C3008}" type="presOf" srcId="{C9E65578-7580-4960-B7B8-630A5517EF6E}" destId="{2BE2970C-6662-4F50-8D46-766A5236EF7C}" srcOrd="0" destOrd="0" presId="urn:microsoft.com/office/officeart/2005/8/layout/hierarchy2"/>
    <dgm:cxn modelId="{5B8BD802-E5A8-4EA4-B8BF-EEA22EA0569C}" type="presOf" srcId="{46700D53-F571-4978-A019-0CC5C21C254C}" destId="{4DD47598-53A0-4DF0-8BF8-841CBC75E335}" srcOrd="0" destOrd="0" presId="urn:microsoft.com/office/officeart/2005/8/layout/hierarchy2"/>
    <dgm:cxn modelId="{0682A870-DB15-40B9-A0F4-75B39B6AE17D}" type="presOf" srcId="{3114BA79-E9AC-4581-97AE-BA8F22B88C7B}" destId="{3F442009-3A6E-4CD2-B329-AC12C8C0E0B9}" srcOrd="1" destOrd="0" presId="urn:microsoft.com/office/officeart/2005/8/layout/hierarchy2"/>
    <dgm:cxn modelId="{7B738720-C29F-4EA2-8C88-12191E39A1E6}" type="presOf" srcId="{8605712D-0927-45A4-A852-95BBAA3A95FB}" destId="{4F4254CE-4BF5-4C99-B047-3D1A14691EB3}" srcOrd="0" destOrd="0" presId="urn:microsoft.com/office/officeart/2005/8/layout/hierarchy2"/>
    <dgm:cxn modelId="{0E2EFFC1-5D55-47D2-8D99-777F0B101C87}" type="presOf" srcId="{81950746-6B29-4FE8-8C9D-3482B1DAB55F}" destId="{BEB92ADA-0D36-4F0C-B250-399818FB353C}" srcOrd="0" destOrd="0" presId="urn:microsoft.com/office/officeart/2005/8/layout/hierarchy2"/>
    <dgm:cxn modelId="{3C8EDB0A-6817-4CDB-8A39-C5045031A355}" type="presOf" srcId="{C443BCA5-047D-4624-9CE6-12F2B11CA6A6}" destId="{FB6BE9DD-217C-4B09-A701-EA6D07E3FE34}" srcOrd="1" destOrd="0" presId="urn:microsoft.com/office/officeart/2005/8/layout/hierarchy2"/>
    <dgm:cxn modelId="{106467E0-0232-4D67-AA9F-DECE2DFA9AC7}" type="presOf" srcId="{8605712D-0927-45A4-A852-95BBAA3A95FB}" destId="{CF06932F-90A8-4BC0-9DB5-6CD26F9ED9C1}" srcOrd="1" destOrd="0" presId="urn:microsoft.com/office/officeart/2005/8/layout/hierarchy2"/>
    <dgm:cxn modelId="{606FCD18-EDC1-4C5B-9B40-042B979F30D6}" type="presOf" srcId="{C5559755-9C82-4F3F-A327-D190E5E974ED}" destId="{AEC01CF2-B860-4860-A284-7F5FCEF33B5C}" srcOrd="0" destOrd="0" presId="urn:microsoft.com/office/officeart/2005/8/layout/hierarchy2"/>
    <dgm:cxn modelId="{EC5F0608-69C7-4AC5-BBDC-476D406585B9}" srcId="{3C9C7027-BF36-4D3E-B4FD-BF7DF5FFC769}" destId="{C5559755-9C82-4F3F-A327-D190E5E974ED}" srcOrd="0" destOrd="0" parTransId="{3016DEA0-3967-4BFF-A194-1CBB1C122B3A}" sibTransId="{78BC0089-03DB-4794-9D74-3CE1A4A347EC}"/>
    <dgm:cxn modelId="{F1D1D8F4-99A0-4699-A619-BCDD651FE479}" type="presOf" srcId="{3C9C7027-BF36-4D3E-B4FD-BF7DF5FFC769}" destId="{B6F4E25F-EE6C-494E-8319-74601CE3D7EC}" srcOrd="0" destOrd="0" presId="urn:microsoft.com/office/officeart/2005/8/layout/hierarchy2"/>
    <dgm:cxn modelId="{8AC77876-F089-4EF7-8E3F-007EA30E9353}" type="presOf" srcId="{646DD110-772F-4C6C-88D7-0D20A3201D99}" destId="{3588BE35-82B4-428D-901E-DA3BCB7BBDCF}" srcOrd="0" destOrd="0" presId="urn:microsoft.com/office/officeart/2005/8/layout/hierarchy2"/>
    <dgm:cxn modelId="{BF69EBD3-5314-43BE-8B98-D7159CC05296}" srcId="{682A448E-C72E-4AC2-BD55-F4C25A75A0E9}" destId="{D3B107A4-C902-49DE-88C4-80D396DD3CCA}" srcOrd="2" destOrd="0" parTransId="{45C1179B-A8A2-4E73-B214-9B9001309ED2}" sibTransId="{89A932C1-0EC8-44F8-B593-ACB13D57488C}"/>
    <dgm:cxn modelId="{855FECE2-4077-49E2-BB4E-C948B6BC01C3}" srcId="{682A448E-C72E-4AC2-BD55-F4C25A75A0E9}" destId="{46700D53-F571-4978-A019-0CC5C21C254C}" srcOrd="0" destOrd="0" parTransId="{C443BCA5-047D-4624-9CE6-12F2B11CA6A6}" sibTransId="{08C26229-8BBC-4D62-B790-46274D6BD0F2}"/>
    <dgm:cxn modelId="{CB149DA2-E994-43A5-B45F-2D1418CA8E5F}" srcId="{682A448E-C72E-4AC2-BD55-F4C25A75A0E9}" destId="{E0F6FAEE-37A4-4B19-BD3A-A593C3C06827}" srcOrd="1" destOrd="0" parTransId="{2657D04C-2454-45F0-A96C-A0A38FA70E55}" sibTransId="{AA57CF61-5532-4EE8-BF58-535082D1EE40}"/>
    <dgm:cxn modelId="{2393FAD1-CA31-4431-84A9-02C667DF73A6}" type="presOf" srcId="{81950746-6B29-4FE8-8C9D-3482B1DAB55F}" destId="{54364256-D7E2-41DC-93BF-0C43F6A5D00A}" srcOrd="1" destOrd="0" presId="urn:microsoft.com/office/officeart/2005/8/layout/hierarchy2"/>
    <dgm:cxn modelId="{881777FB-0A37-4A79-B70E-699781A98843}" srcId="{1DAD632C-CBB9-4CE7-8652-1F32F18993EE}" destId="{7D04ABB1-D974-4175-A002-C7FDCCE66E49}" srcOrd="0" destOrd="0" parTransId="{14599643-B049-462A-B43C-149FD563E027}" sibTransId="{F913F374-6B16-40DB-A59A-96EF4E153178}"/>
    <dgm:cxn modelId="{CA99B2AC-165D-4DFE-9BB6-AC7898886687}" type="presOf" srcId="{AC51D5CA-2D98-443F-83E2-084E364F79ED}" destId="{5732DEEA-9344-4CDC-9E6F-1E9CF8799448}" srcOrd="0" destOrd="0" presId="urn:microsoft.com/office/officeart/2005/8/layout/hierarchy2"/>
    <dgm:cxn modelId="{8CB3B4F9-C4C1-48AA-A608-57A79D7665B4}" type="presOf" srcId="{646DD110-772F-4C6C-88D7-0D20A3201D99}" destId="{24399DBF-B676-4EA8-BF25-73A3714814D8}" srcOrd="1" destOrd="0" presId="urn:microsoft.com/office/officeart/2005/8/layout/hierarchy2"/>
    <dgm:cxn modelId="{F32519A2-766E-4EA3-A913-F64BFC4F5C50}" srcId="{3C9C7027-BF36-4D3E-B4FD-BF7DF5FFC769}" destId="{EC312C29-E7C9-448A-A2F0-F3D7559B0F8E}" srcOrd="1" destOrd="0" parTransId="{22BE5DDF-56B5-4EF0-99EE-6E1BA20CC31D}" sibTransId="{C9C1104C-8489-4E95-922F-6D4B6662C97F}"/>
    <dgm:cxn modelId="{BA166BEA-724A-4006-98C3-09A6BC2A6132}" srcId="{FBD435E6-AAA7-48E6-BA5D-9A895211A831}" destId="{3C9C7027-BF36-4D3E-B4FD-BF7DF5FFC769}" srcOrd="0" destOrd="0" parTransId="{DAE339D6-BFAE-4E8B-83E0-2E0DC9BA050B}" sibTransId="{113024CF-A132-47BD-A6D5-1DC28CF5AE67}"/>
    <dgm:cxn modelId="{3ADCDCCF-B9D9-4FA2-920B-10C806F34AC9}" srcId="{C9E65578-7580-4960-B7B8-630A5517EF6E}" destId="{E61C29A0-1CF9-497E-8A5D-2FE95767ACED}" srcOrd="0" destOrd="0" parTransId="{3114BA79-E9AC-4581-97AE-BA8F22B88C7B}" sibTransId="{73900839-56AB-4F04-801F-6D1FA2FEDAAB}"/>
    <dgm:cxn modelId="{C6304AE2-E534-45BB-A520-432BD3A85272}" type="presOf" srcId="{45C1179B-A8A2-4E73-B214-9B9001309ED2}" destId="{A6B84F96-A288-4B05-9BA1-FB3ABB52AD66}" srcOrd="1" destOrd="0" presId="urn:microsoft.com/office/officeart/2005/8/layout/hierarchy2"/>
    <dgm:cxn modelId="{7049B53A-5A88-43A8-B4E2-2B03FA955EAA}" srcId="{E61C29A0-1CF9-497E-8A5D-2FE95767ACED}" destId="{682A448E-C72E-4AC2-BD55-F4C25A75A0E9}" srcOrd="0" destOrd="0" parTransId="{E96B8D6D-5192-49B4-B267-D5844EFE4C74}" sibTransId="{DCBDF2A3-BD63-4F94-90D0-19B8F142FAB9}"/>
    <dgm:cxn modelId="{B961F892-CA61-45CD-93CD-91BCCC07FE62}" type="presOf" srcId="{4A1E1B6C-EFCB-48EA-8E9A-36673673D9D5}" destId="{3B7E2654-64A3-42E0-A3E4-4114D2D2BE9A}" srcOrd="0" destOrd="0" presId="urn:microsoft.com/office/officeart/2005/8/layout/hierarchy2"/>
    <dgm:cxn modelId="{947BAD24-EFC0-42DF-B54E-FDD0AD8B93A2}" type="presOf" srcId="{DECF2C4A-C48F-4A12-9AC9-4DCDBF618293}" destId="{6881085F-FE3F-432D-9F41-5B7839D1B7B8}" srcOrd="1" destOrd="0" presId="urn:microsoft.com/office/officeart/2005/8/layout/hierarchy2"/>
    <dgm:cxn modelId="{51D62527-CE54-4A71-A6D5-36BE9F17F30C}" type="presParOf" srcId="{3B7E2654-64A3-42E0-A3E4-4114D2D2BE9A}" destId="{CE6F2320-4A92-4900-B33A-0557EBC860F4}" srcOrd="0" destOrd="0" presId="urn:microsoft.com/office/officeart/2005/8/layout/hierarchy2"/>
    <dgm:cxn modelId="{1EDF1511-6432-4797-AA63-FDD8CB70D60C}" type="presParOf" srcId="{CE6F2320-4A92-4900-B33A-0557EBC860F4}" destId="{2BE2970C-6662-4F50-8D46-766A5236EF7C}" srcOrd="0" destOrd="0" presId="urn:microsoft.com/office/officeart/2005/8/layout/hierarchy2"/>
    <dgm:cxn modelId="{CCF04029-F049-4187-82D0-539BFBF7EB28}" type="presParOf" srcId="{CE6F2320-4A92-4900-B33A-0557EBC860F4}" destId="{5EE38F09-5BA7-473F-B290-723D3E682386}" srcOrd="1" destOrd="0" presId="urn:microsoft.com/office/officeart/2005/8/layout/hierarchy2"/>
    <dgm:cxn modelId="{80B48196-8A82-4B54-A6D8-BC50623EFA88}" type="presParOf" srcId="{5EE38F09-5BA7-473F-B290-723D3E682386}" destId="{8FCB5D41-2BC4-488F-968E-890714FB9CFE}" srcOrd="0" destOrd="0" presId="urn:microsoft.com/office/officeart/2005/8/layout/hierarchy2"/>
    <dgm:cxn modelId="{9305FF9A-D73E-48D4-8DED-15A0FB9ACEA3}" type="presParOf" srcId="{8FCB5D41-2BC4-488F-968E-890714FB9CFE}" destId="{3F442009-3A6E-4CD2-B329-AC12C8C0E0B9}" srcOrd="0" destOrd="0" presId="urn:microsoft.com/office/officeart/2005/8/layout/hierarchy2"/>
    <dgm:cxn modelId="{EB9BF6BF-0B08-45B7-9D43-AF4AAC486523}" type="presParOf" srcId="{5EE38F09-5BA7-473F-B290-723D3E682386}" destId="{305CF230-3C7D-44FA-9189-BE1A05F52132}" srcOrd="1" destOrd="0" presId="urn:microsoft.com/office/officeart/2005/8/layout/hierarchy2"/>
    <dgm:cxn modelId="{2557C3D7-90B2-4ED3-8900-4E1687866738}" type="presParOf" srcId="{305CF230-3C7D-44FA-9189-BE1A05F52132}" destId="{6D8DA94A-D567-4B32-8DA1-7C2A2162E49D}" srcOrd="0" destOrd="0" presId="urn:microsoft.com/office/officeart/2005/8/layout/hierarchy2"/>
    <dgm:cxn modelId="{D31B8C44-F3F2-4F84-8BDF-C13B78E194A6}" type="presParOf" srcId="{305CF230-3C7D-44FA-9189-BE1A05F52132}" destId="{57CE7B30-4CAF-48D6-BB26-4684476AB1AD}" srcOrd="1" destOrd="0" presId="urn:microsoft.com/office/officeart/2005/8/layout/hierarchy2"/>
    <dgm:cxn modelId="{3A76FA90-2D94-4F09-BCCC-616EA4E406E3}" type="presParOf" srcId="{57CE7B30-4CAF-48D6-BB26-4684476AB1AD}" destId="{C35FF1FC-1500-49ED-BAB1-5D6CF8E132EA}" srcOrd="0" destOrd="0" presId="urn:microsoft.com/office/officeart/2005/8/layout/hierarchy2"/>
    <dgm:cxn modelId="{0CA54A40-C159-4A6C-9565-4EB94C1550A0}" type="presParOf" srcId="{C35FF1FC-1500-49ED-BAB1-5D6CF8E132EA}" destId="{A7F6EC77-2641-423C-BCE6-05D62ACC3C0F}" srcOrd="0" destOrd="0" presId="urn:microsoft.com/office/officeart/2005/8/layout/hierarchy2"/>
    <dgm:cxn modelId="{9E59E705-37FE-47B3-8BA4-08E1B2A12955}" type="presParOf" srcId="{57CE7B30-4CAF-48D6-BB26-4684476AB1AD}" destId="{66E9D020-8571-49F5-9A95-F1739C95F821}" srcOrd="1" destOrd="0" presId="urn:microsoft.com/office/officeart/2005/8/layout/hierarchy2"/>
    <dgm:cxn modelId="{C3541B19-D760-4E68-85BB-F0BDD8E32028}" type="presParOf" srcId="{66E9D020-8571-49F5-9A95-F1739C95F821}" destId="{799B9A98-04BE-4F9B-9350-190C82EC4DD6}" srcOrd="0" destOrd="0" presId="urn:microsoft.com/office/officeart/2005/8/layout/hierarchy2"/>
    <dgm:cxn modelId="{804FB342-42A4-47EA-BF2C-C7CD7633574C}" type="presParOf" srcId="{66E9D020-8571-49F5-9A95-F1739C95F821}" destId="{559F6BE1-851C-4BC8-AD14-DC16A2AB322B}" srcOrd="1" destOrd="0" presId="urn:microsoft.com/office/officeart/2005/8/layout/hierarchy2"/>
    <dgm:cxn modelId="{738C8BE4-6C45-4568-BE3C-125C7E4E8DE4}" type="presParOf" srcId="{559F6BE1-851C-4BC8-AD14-DC16A2AB322B}" destId="{FEDDBEEE-1BFC-427D-8C3A-F4703FF6CD29}" srcOrd="0" destOrd="0" presId="urn:microsoft.com/office/officeart/2005/8/layout/hierarchy2"/>
    <dgm:cxn modelId="{D7B83378-3F8F-497C-B3D5-0368D90519D0}" type="presParOf" srcId="{FEDDBEEE-1BFC-427D-8C3A-F4703FF6CD29}" destId="{FB6BE9DD-217C-4B09-A701-EA6D07E3FE34}" srcOrd="0" destOrd="0" presId="urn:microsoft.com/office/officeart/2005/8/layout/hierarchy2"/>
    <dgm:cxn modelId="{21E22D69-E40B-403B-B8B7-D9318E27B8EC}" type="presParOf" srcId="{559F6BE1-851C-4BC8-AD14-DC16A2AB322B}" destId="{6882CF4E-491C-47E5-9CB6-9ECDF086F9DF}" srcOrd="1" destOrd="0" presId="urn:microsoft.com/office/officeart/2005/8/layout/hierarchy2"/>
    <dgm:cxn modelId="{F0877207-2366-49F9-8819-1D5FB2282A42}" type="presParOf" srcId="{6882CF4E-491C-47E5-9CB6-9ECDF086F9DF}" destId="{4DD47598-53A0-4DF0-8BF8-841CBC75E335}" srcOrd="0" destOrd="0" presId="urn:microsoft.com/office/officeart/2005/8/layout/hierarchy2"/>
    <dgm:cxn modelId="{A138E735-525F-4F33-AD75-004581155AF5}" type="presParOf" srcId="{6882CF4E-491C-47E5-9CB6-9ECDF086F9DF}" destId="{A3A666C3-3265-4EB9-8303-B5D367350257}" srcOrd="1" destOrd="0" presId="urn:microsoft.com/office/officeart/2005/8/layout/hierarchy2"/>
    <dgm:cxn modelId="{412257F8-7406-40C2-89A9-B315EEE3554C}" type="presParOf" srcId="{559F6BE1-851C-4BC8-AD14-DC16A2AB322B}" destId="{02CF245F-1E16-4E92-8253-1B5D34A5DE1F}" srcOrd="2" destOrd="0" presId="urn:microsoft.com/office/officeart/2005/8/layout/hierarchy2"/>
    <dgm:cxn modelId="{B67A253D-EF59-4F30-9B5A-B255B45C5C06}" type="presParOf" srcId="{02CF245F-1E16-4E92-8253-1B5D34A5DE1F}" destId="{19FE6FDF-8EF7-42C4-8485-143FE5DB0AB2}" srcOrd="0" destOrd="0" presId="urn:microsoft.com/office/officeart/2005/8/layout/hierarchy2"/>
    <dgm:cxn modelId="{59B9A05A-3FC3-4148-820B-7E2CB3D4B282}" type="presParOf" srcId="{559F6BE1-851C-4BC8-AD14-DC16A2AB322B}" destId="{6FEFCD7B-E510-49B1-8BAA-A86763C3C9CD}" srcOrd="3" destOrd="0" presId="urn:microsoft.com/office/officeart/2005/8/layout/hierarchy2"/>
    <dgm:cxn modelId="{657D65B0-C495-487B-B343-63A609C3B6E8}" type="presParOf" srcId="{6FEFCD7B-E510-49B1-8BAA-A86763C3C9CD}" destId="{2E07C29C-5970-4256-BFE2-9362F488B341}" srcOrd="0" destOrd="0" presId="urn:microsoft.com/office/officeart/2005/8/layout/hierarchy2"/>
    <dgm:cxn modelId="{CDB582D3-B30F-4351-AB3B-11AFA9715378}" type="presParOf" srcId="{6FEFCD7B-E510-49B1-8BAA-A86763C3C9CD}" destId="{7A29642A-D3C9-4667-8817-35EC70DFFEF5}" srcOrd="1" destOrd="0" presId="urn:microsoft.com/office/officeart/2005/8/layout/hierarchy2"/>
    <dgm:cxn modelId="{BDD6C686-6C12-4A3C-98C7-ECD4B1417344}" type="presParOf" srcId="{559F6BE1-851C-4BC8-AD14-DC16A2AB322B}" destId="{66E3C71D-EBD8-4885-A6F9-028EB75A0C03}" srcOrd="4" destOrd="0" presId="urn:microsoft.com/office/officeart/2005/8/layout/hierarchy2"/>
    <dgm:cxn modelId="{F97B3690-6A2D-48AA-B235-52D85ADF1FD3}" type="presParOf" srcId="{66E3C71D-EBD8-4885-A6F9-028EB75A0C03}" destId="{A6B84F96-A288-4B05-9BA1-FB3ABB52AD66}" srcOrd="0" destOrd="0" presId="urn:microsoft.com/office/officeart/2005/8/layout/hierarchy2"/>
    <dgm:cxn modelId="{54B168A8-F66D-44DF-933D-ED3492F4B224}" type="presParOf" srcId="{559F6BE1-851C-4BC8-AD14-DC16A2AB322B}" destId="{5604C3B4-75FD-4DEB-9E05-7A51AD0D2B34}" srcOrd="5" destOrd="0" presId="urn:microsoft.com/office/officeart/2005/8/layout/hierarchy2"/>
    <dgm:cxn modelId="{1CCBB954-960C-4881-9A5B-D01EF4D5D945}" type="presParOf" srcId="{5604C3B4-75FD-4DEB-9E05-7A51AD0D2B34}" destId="{29BAD2F3-6DD0-4BE1-875A-1DCDE7B8EA45}" srcOrd="0" destOrd="0" presId="urn:microsoft.com/office/officeart/2005/8/layout/hierarchy2"/>
    <dgm:cxn modelId="{B84A346C-10BE-442E-B166-8968F4951211}" type="presParOf" srcId="{5604C3B4-75FD-4DEB-9E05-7A51AD0D2B34}" destId="{8775C880-1B3E-4AEA-A571-CEA76CC53927}" srcOrd="1" destOrd="0" presId="urn:microsoft.com/office/officeart/2005/8/layout/hierarchy2"/>
    <dgm:cxn modelId="{34C55D40-BF52-4202-9C11-2F4DAC2717D2}" type="presParOf" srcId="{57CE7B30-4CAF-48D6-BB26-4684476AB1AD}" destId="{00940E7C-221F-4D1D-B995-3555D1DBDF79}" srcOrd="2" destOrd="0" presId="urn:microsoft.com/office/officeart/2005/8/layout/hierarchy2"/>
    <dgm:cxn modelId="{2034B7BD-0EAB-4A79-BD4A-8CEB48248E00}" type="presParOf" srcId="{00940E7C-221F-4D1D-B995-3555D1DBDF79}" destId="{829FEFC3-4576-41E9-BD23-BF0F0C70DB3D}" srcOrd="0" destOrd="0" presId="urn:microsoft.com/office/officeart/2005/8/layout/hierarchy2"/>
    <dgm:cxn modelId="{67D577EA-AC08-471E-A1F7-E1C8BF06B868}" type="presParOf" srcId="{57CE7B30-4CAF-48D6-BB26-4684476AB1AD}" destId="{5B1859E2-9666-45EB-A69E-977BE4B682F6}" srcOrd="3" destOrd="0" presId="urn:microsoft.com/office/officeart/2005/8/layout/hierarchy2"/>
    <dgm:cxn modelId="{9BF46CB4-FDCD-4897-ADCD-1308601B5F40}" type="presParOf" srcId="{5B1859E2-9666-45EB-A69E-977BE4B682F6}" destId="{24804192-2085-43C1-A852-8294A2B2899A}" srcOrd="0" destOrd="0" presId="urn:microsoft.com/office/officeart/2005/8/layout/hierarchy2"/>
    <dgm:cxn modelId="{ACEA04BD-6E6F-4C15-8BAE-3A13DAC8A80E}" type="presParOf" srcId="{5B1859E2-9666-45EB-A69E-977BE4B682F6}" destId="{2A95B128-002D-4C26-92DC-7181F21C1457}" srcOrd="1" destOrd="0" presId="urn:microsoft.com/office/officeart/2005/8/layout/hierarchy2"/>
    <dgm:cxn modelId="{71035A66-C0EA-43D7-B25D-F6D84D64B881}" type="presParOf" srcId="{5EE38F09-5BA7-473F-B290-723D3E682386}" destId="{3588BE35-82B4-428D-901E-DA3BCB7BBDCF}" srcOrd="2" destOrd="0" presId="urn:microsoft.com/office/officeart/2005/8/layout/hierarchy2"/>
    <dgm:cxn modelId="{DA0C931F-585B-4A8E-A16B-F51FB2133C1F}" type="presParOf" srcId="{3588BE35-82B4-428D-901E-DA3BCB7BBDCF}" destId="{24399DBF-B676-4EA8-BF25-73A3714814D8}" srcOrd="0" destOrd="0" presId="urn:microsoft.com/office/officeart/2005/8/layout/hierarchy2"/>
    <dgm:cxn modelId="{7DB3A1FF-E785-4C3C-8D28-6ACF2D1D4C3F}" type="presParOf" srcId="{5EE38F09-5BA7-473F-B290-723D3E682386}" destId="{B5DF293F-949C-43A5-8320-5C16C0250DC0}" srcOrd="3" destOrd="0" presId="urn:microsoft.com/office/officeart/2005/8/layout/hierarchy2"/>
    <dgm:cxn modelId="{74D8306D-F3C8-4EDD-AEDA-5E9CAF1369C0}" type="presParOf" srcId="{B5DF293F-949C-43A5-8320-5C16C0250DC0}" destId="{82E5BF94-4861-4C12-B7CC-842C96FEA836}" srcOrd="0" destOrd="0" presId="urn:microsoft.com/office/officeart/2005/8/layout/hierarchy2"/>
    <dgm:cxn modelId="{0F94DB6D-D4CE-4B51-AC2C-EC2619C164FD}" type="presParOf" srcId="{B5DF293F-949C-43A5-8320-5C16C0250DC0}" destId="{C2A7B0E4-0102-4890-8528-DC03945A46F9}" srcOrd="1" destOrd="0" presId="urn:microsoft.com/office/officeart/2005/8/layout/hierarchy2"/>
    <dgm:cxn modelId="{5203A22F-0408-46EA-A2FE-4C957DB47D88}" type="presParOf" srcId="{C2A7B0E4-0102-4890-8528-DC03945A46F9}" destId="{DA636805-6F21-40DF-9801-FE9D30429332}" srcOrd="0" destOrd="0" presId="urn:microsoft.com/office/officeart/2005/8/layout/hierarchy2"/>
    <dgm:cxn modelId="{81162106-D962-45DE-BE28-9589347D1A10}" type="presParOf" srcId="{DA636805-6F21-40DF-9801-FE9D30429332}" destId="{D7304469-E48E-4F88-8903-306F7BB3E971}" srcOrd="0" destOrd="0" presId="urn:microsoft.com/office/officeart/2005/8/layout/hierarchy2"/>
    <dgm:cxn modelId="{BA980BB3-1CDF-4873-92A7-04CB8BA44AF7}" type="presParOf" srcId="{C2A7B0E4-0102-4890-8528-DC03945A46F9}" destId="{EDD2BFBB-EF53-426E-850F-DEF7255F5353}" srcOrd="1" destOrd="0" presId="urn:microsoft.com/office/officeart/2005/8/layout/hierarchy2"/>
    <dgm:cxn modelId="{C659A57F-A91A-431D-AFD8-F0DB95C48184}" type="presParOf" srcId="{EDD2BFBB-EF53-426E-850F-DEF7255F5353}" destId="{4A35A3C5-6D59-4988-A134-DE1530F052B3}" srcOrd="0" destOrd="0" presId="urn:microsoft.com/office/officeart/2005/8/layout/hierarchy2"/>
    <dgm:cxn modelId="{2492DA0E-75D1-4E9F-842F-AB9C67B7F625}" type="presParOf" srcId="{EDD2BFBB-EF53-426E-850F-DEF7255F5353}" destId="{E594A59D-72FD-42B8-8733-D88537C2A8BA}" srcOrd="1" destOrd="0" presId="urn:microsoft.com/office/officeart/2005/8/layout/hierarchy2"/>
    <dgm:cxn modelId="{2E8B6417-18A9-49CB-A51E-B68B42982DEA}" type="presParOf" srcId="{C2A7B0E4-0102-4890-8528-DC03945A46F9}" destId="{4F4254CE-4BF5-4C99-B047-3D1A14691EB3}" srcOrd="2" destOrd="0" presId="urn:microsoft.com/office/officeart/2005/8/layout/hierarchy2"/>
    <dgm:cxn modelId="{0605713E-56B4-4CA0-A106-78E0D622D725}" type="presParOf" srcId="{4F4254CE-4BF5-4C99-B047-3D1A14691EB3}" destId="{CF06932F-90A8-4BC0-9DB5-6CD26F9ED9C1}" srcOrd="0" destOrd="0" presId="urn:microsoft.com/office/officeart/2005/8/layout/hierarchy2"/>
    <dgm:cxn modelId="{93DE9BB7-44B6-4C63-ADC1-590BF317C0B4}" type="presParOf" srcId="{C2A7B0E4-0102-4890-8528-DC03945A46F9}" destId="{11A3145A-A87D-4076-B004-A8C2AFD410FC}" srcOrd="3" destOrd="0" presId="urn:microsoft.com/office/officeart/2005/8/layout/hierarchy2"/>
    <dgm:cxn modelId="{06DDECCF-D2DA-4557-9C1C-93FA9ECF49EB}" type="presParOf" srcId="{11A3145A-A87D-4076-B004-A8C2AFD410FC}" destId="{5732DEEA-9344-4CDC-9E6F-1E9CF8799448}" srcOrd="0" destOrd="0" presId="urn:microsoft.com/office/officeart/2005/8/layout/hierarchy2"/>
    <dgm:cxn modelId="{586891AC-D033-4D48-9A15-45AEB308CB7D}" type="presParOf" srcId="{11A3145A-A87D-4076-B004-A8C2AFD410FC}" destId="{D178D082-894A-4A6A-98DF-A73473A79C1E}" srcOrd="1" destOrd="0" presId="urn:microsoft.com/office/officeart/2005/8/layout/hierarchy2"/>
    <dgm:cxn modelId="{4924E7AF-54FF-462A-B390-4D8AD781CA97}" type="presParOf" srcId="{C2A7B0E4-0102-4890-8528-DC03945A46F9}" destId="{BEB92ADA-0D36-4F0C-B250-399818FB353C}" srcOrd="4" destOrd="0" presId="urn:microsoft.com/office/officeart/2005/8/layout/hierarchy2"/>
    <dgm:cxn modelId="{49E7DCAE-C13C-41C5-8F11-6B9D6CAAE970}" type="presParOf" srcId="{BEB92ADA-0D36-4F0C-B250-399818FB353C}" destId="{54364256-D7E2-41DC-93BF-0C43F6A5D00A}" srcOrd="0" destOrd="0" presId="urn:microsoft.com/office/officeart/2005/8/layout/hierarchy2"/>
    <dgm:cxn modelId="{5FC19C17-A16B-4102-AF2A-1374EF40470A}" type="presParOf" srcId="{C2A7B0E4-0102-4890-8528-DC03945A46F9}" destId="{F64A728B-3FDE-4063-A1FA-F378E88D1A2F}" srcOrd="5" destOrd="0" presId="urn:microsoft.com/office/officeart/2005/8/layout/hierarchy2"/>
    <dgm:cxn modelId="{8BA3B66C-D030-4FCC-A2BE-E8958725CD71}" type="presParOf" srcId="{F64A728B-3FDE-4063-A1FA-F378E88D1A2F}" destId="{D13F3F4B-88A7-4EEF-93FF-5DE0F13848FE}" srcOrd="0" destOrd="0" presId="urn:microsoft.com/office/officeart/2005/8/layout/hierarchy2"/>
    <dgm:cxn modelId="{B623D928-2F14-4BF1-AE38-E44A590B126D}" type="presParOf" srcId="{F64A728B-3FDE-4063-A1FA-F378E88D1A2F}" destId="{3B7F13AA-A72C-4E91-B6E4-8ABF2E2AC3E9}" srcOrd="1" destOrd="0" presId="urn:microsoft.com/office/officeart/2005/8/layout/hierarchy2"/>
    <dgm:cxn modelId="{EA0EF82F-2848-403C-AE66-49B40E48F827}" type="presParOf" srcId="{5EE38F09-5BA7-473F-B290-723D3E682386}" destId="{9F9C3F5F-A9A3-4319-96B5-587F7B22ABB7}" srcOrd="4" destOrd="0" presId="urn:microsoft.com/office/officeart/2005/8/layout/hierarchy2"/>
    <dgm:cxn modelId="{FDCAFA8D-32ED-4450-9837-DDB333961C65}" type="presParOf" srcId="{9F9C3F5F-A9A3-4319-96B5-587F7B22ABB7}" destId="{6881085F-FE3F-432D-9F41-5B7839D1B7B8}" srcOrd="0" destOrd="0" presId="urn:microsoft.com/office/officeart/2005/8/layout/hierarchy2"/>
    <dgm:cxn modelId="{823F10F2-C7B9-4FA8-9982-BBCE804187CE}" type="presParOf" srcId="{5EE38F09-5BA7-473F-B290-723D3E682386}" destId="{F85BD0D1-AF32-4511-9AF0-C1CB5C7A0A2B}" srcOrd="5" destOrd="0" presId="urn:microsoft.com/office/officeart/2005/8/layout/hierarchy2"/>
    <dgm:cxn modelId="{4ADAC7A5-4008-47BC-A458-CE59606015E3}" type="presParOf" srcId="{F85BD0D1-AF32-4511-9AF0-C1CB5C7A0A2B}" destId="{5AC5715B-2ECE-49A5-B44D-BCF858A8C513}" srcOrd="0" destOrd="0" presId="urn:microsoft.com/office/officeart/2005/8/layout/hierarchy2"/>
    <dgm:cxn modelId="{46121C37-9732-404B-A1ED-AEB60AF515D0}" type="presParOf" srcId="{F85BD0D1-AF32-4511-9AF0-C1CB5C7A0A2B}" destId="{24A347E3-F14B-4A97-84F6-DF2B8EB31384}" srcOrd="1" destOrd="0" presId="urn:microsoft.com/office/officeart/2005/8/layout/hierarchy2"/>
    <dgm:cxn modelId="{07404778-8996-4185-88E4-1D927F61CC00}" type="presParOf" srcId="{24A347E3-F14B-4A97-84F6-DF2B8EB31384}" destId="{39B379CB-FD0A-46CB-8CA9-C7C25BC5D7F4}" srcOrd="0" destOrd="0" presId="urn:microsoft.com/office/officeart/2005/8/layout/hierarchy2"/>
    <dgm:cxn modelId="{3A8E2E42-8561-4CAF-8C69-B5928CC914A8}" type="presParOf" srcId="{39B379CB-FD0A-46CB-8CA9-C7C25BC5D7F4}" destId="{B49E7270-F3AB-4C58-A861-86CB17497334}" srcOrd="0" destOrd="0" presId="urn:microsoft.com/office/officeart/2005/8/layout/hierarchy2"/>
    <dgm:cxn modelId="{5CFF0B49-6552-43EB-A0BF-A762D9117962}" type="presParOf" srcId="{24A347E3-F14B-4A97-84F6-DF2B8EB31384}" destId="{F2FDFE29-B5D9-45C0-9FF6-F004F8C29607}" srcOrd="1" destOrd="0" presId="urn:microsoft.com/office/officeart/2005/8/layout/hierarchy2"/>
    <dgm:cxn modelId="{3B329042-15FB-4169-8605-E94297088ACE}" type="presParOf" srcId="{F2FDFE29-B5D9-45C0-9FF6-F004F8C29607}" destId="{B6F4E25F-EE6C-494E-8319-74601CE3D7EC}" srcOrd="0" destOrd="0" presId="urn:microsoft.com/office/officeart/2005/8/layout/hierarchy2"/>
    <dgm:cxn modelId="{68B48ABE-E1D4-48B9-992B-88EA08A20BF0}" type="presParOf" srcId="{F2FDFE29-B5D9-45C0-9FF6-F004F8C29607}" destId="{20ED8BDB-A2A3-4EE3-AF9F-633BD16E2D1F}" srcOrd="1" destOrd="0" presId="urn:microsoft.com/office/officeart/2005/8/layout/hierarchy2"/>
    <dgm:cxn modelId="{9DA77EFB-FAA9-47B3-8F5E-9A74D0CA809C}" type="presParOf" srcId="{20ED8BDB-A2A3-4EE3-AF9F-633BD16E2D1F}" destId="{4401E378-47CE-4442-9DA5-A79362A67E9F}" srcOrd="0" destOrd="0" presId="urn:microsoft.com/office/officeart/2005/8/layout/hierarchy2"/>
    <dgm:cxn modelId="{A683DFEF-5A09-47B1-9C2C-ACE125712890}" type="presParOf" srcId="{4401E378-47CE-4442-9DA5-A79362A67E9F}" destId="{C579880D-6448-4D37-ABF0-826109C13F30}" srcOrd="0" destOrd="0" presId="urn:microsoft.com/office/officeart/2005/8/layout/hierarchy2"/>
    <dgm:cxn modelId="{039D1F42-81F7-4AAE-8FA0-1C164D4B3705}" type="presParOf" srcId="{20ED8BDB-A2A3-4EE3-AF9F-633BD16E2D1F}" destId="{DCCD71C1-5C27-4068-9A9D-2B778FA5F0D5}" srcOrd="1" destOrd="0" presId="urn:microsoft.com/office/officeart/2005/8/layout/hierarchy2"/>
    <dgm:cxn modelId="{E7FDD593-0EFA-44E3-8C6B-DAB0EB174AAC}" type="presParOf" srcId="{DCCD71C1-5C27-4068-9A9D-2B778FA5F0D5}" destId="{AEC01CF2-B860-4860-A284-7F5FCEF33B5C}" srcOrd="0" destOrd="0" presId="urn:microsoft.com/office/officeart/2005/8/layout/hierarchy2"/>
    <dgm:cxn modelId="{923571DE-73D5-40BA-B447-E24A1D4D9320}" type="presParOf" srcId="{DCCD71C1-5C27-4068-9A9D-2B778FA5F0D5}" destId="{1433E236-2D1C-4ADA-A70A-D330C80BE304}" srcOrd="1" destOrd="0" presId="urn:microsoft.com/office/officeart/2005/8/layout/hierarchy2"/>
    <dgm:cxn modelId="{3B41D538-67F4-4367-B583-A8AF4FCE15B5}" type="presParOf" srcId="{20ED8BDB-A2A3-4EE3-AF9F-633BD16E2D1F}" destId="{A7EA7994-CC34-47AE-B416-00692E5A032C}" srcOrd="2" destOrd="0" presId="urn:microsoft.com/office/officeart/2005/8/layout/hierarchy2"/>
    <dgm:cxn modelId="{6DF0D069-FAB0-42EF-9DB7-A2B87126387D}" type="presParOf" srcId="{A7EA7994-CC34-47AE-B416-00692E5A032C}" destId="{B63E5AE0-3061-4859-B7EE-7006D2D9CC89}" srcOrd="0" destOrd="0" presId="urn:microsoft.com/office/officeart/2005/8/layout/hierarchy2"/>
    <dgm:cxn modelId="{F48183D0-90B4-485D-9463-2A2F95FB48F5}" type="presParOf" srcId="{20ED8BDB-A2A3-4EE3-AF9F-633BD16E2D1F}" destId="{3BD63840-B042-41DF-8BA3-F573570A2018}" srcOrd="3" destOrd="0" presId="urn:microsoft.com/office/officeart/2005/8/layout/hierarchy2"/>
    <dgm:cxn modelId="{3709D91E-ED34-46B1-AE5E-EA0BE1CC95CD}" type="presParOf" srcId="{3BD63840-B042-41DF-8BA3-F573570A2018}" destId="{73EB709A-53CB-46AF-A927-86F73FD0F57E}" srcOrd="0" destOrd="0" presId="urn:microsoft.com/office/officeart/2005/8/layout/hierarchy2"/>
    <dgm:cxn modelId="{01C1C1C0-3F49-420F-A0FF-6109FBF6A9EC}" type="presParOf" srcId="{3BD63840-B042-41DF-8BA3-F573570A2018}" destId="{91B7510B-5596-4695-A783-6A9C00C0E139}"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2970C-6662-4F50-8D46-766A5236EF7C}">
      <dsp:nvSpPr>
        <dsp:cNvPr id="0" name=""/>
        <dsp:cNvSpPr/>
      </dsp:nvSpPr>
      <dsp:spPr>
        <a:xfrm>
          <a:off x="452853" y="1628008"/>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Chief Executive Officer</a:t>
          </a:r>
        </a:p>
      </dsp:txBody>
      <dsp:txXfrm>
        <a:off x="463217" y="1638372"/>
        <a:ext cx="686952" cy="333112"/>
      </dsp:txXfrm>
    </dsp:sp>
    <dsp:sp modelId="{8FCB5D41-2BC4-488F-968E-890714FB9CFE}">
      <dsp:nvSpPr>
        <dsp:cNvPr id="0" name=""/>
        <dsp:cNvSpPr/>
      </dsp:nvSpPr>
      <dsp:spPr>
        <a:xfrm rot="17132988">
          <a:off x="774100" y="1286340"/>
          <a:ext cx="1055940" cy="19885"/>
        </a:xfrm>
        <a:custGeom>
          <a:avLst/>
          <a:gdLst/>
          <a:ahLst/>
          <a:cxnLst/>
          <a:rect l="0" t="0" r="0" b="0"/>
          <a:pathLst>
            <a:path>
              <a:moveTo>
                <a:pt x="0" y="9942"/>
              </a:moveTo>
              <a:lnTo>
                <a:pt x="1055940"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275672" y="1269884"/>
        <a:ext cx="52797" cy="52797"/>
      </dsp:txXfrm>
    </dsp:sp>
    <dsp:sp modelId="{6D8DA94A-D567-4B32-8DA1-7C2A2162E49D}">
      <dsp:nvSpPr>
        <dsp:cNvPr id="0" name=""/>
        <dsp:cNvSpPr/>
      </dsp:nvSpPr>
      <dsp:spPr>
        <a:xfrm>
          <a:off x="1443606" y="610716"/>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Chief Operations Officer</a:t>
          </a:r>
        </a:p>
      </dsp:txBody>
      <dsp:txXfrm>
        <a:off x="1453970" y="621080"/>
        <a:ext cx="686952" cy="333112"/>
      </dsp:txXfrm>
    </dsp:sp>
    <dsp:sp modelId="{C35FF1FC-1500-49ED-BAB1-5D6CF8E132EA}">
      <dsp:nvSpPr>
        <dsp:cNvPr id="0" name=""/>
        <dsp:cNvSpPr/>
      </dsp:nvSpPr>
      <dsp:spPr>
        <a:xfrm rot="19457599">
          <a:off x="2118521" y="675965"/>
          <a:ext cx="348604" cy="19885"/>
        </a:xfrm>
        <a:custGeom>
          <a:avLst/>
          <a:gdLst/>
          <a:ahLst/>
          <a:cxnLst/>
          <a:rect l="0" t="0" r="0" b="0"/>
          <a:pathLst>
            <a:path>
              <a:moveTo>
                <a:pt x="0" y="9942"/>
              </a:moveTo>
              <a:lnTo>
                <a:pt x="348604"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4108" y="677192"/>
        <a:ext cx="17430" cy="17430"/>
      </dsp:txXfrm>
    </dsp:sp>
    <dsp:sp modelId="{799B9A98-04BE-4F9B-9350-190C82EC4DD6}">
      <dsp:nvSpPr>
        <dsp:cNvPr id="0" name=""/>
        <dsp:cNvSpPr/>
      </dsp:nvSpPr>
      <dsp:spPr>
        <a:xfrm>
          <a:off x="2434360" y="407258"/>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VP Credit Administration</a:t>
          </a:r>
        </a:p>
      </dsp:txBody>
      <dsp:txXfrm>
        <a:off x="2444724" y="417622"/>
        <a:ext cx="686952" cy="333112"/>
      </dsp:txXfrm>
    </dsp:sp>
    <dsp:sp modelId="{FEDDBEEE-1BFC-427D-8C3A-F4703FF6CD29}">
      <dsp:nvSpPr>
        <dsp:cNvPr id="0" name=""/>
        <dsp:cNvSpPr/>
      </dsp:nvSpPr>
      <dsp:spPr>
        <a:xfrm rot="18289469">
          <a:off x="3035730" y="370777"/>
          <a:ext cx="495692" cy="19885"/>
        </a:xfrm>
        <a:custGeom>
          <a:avLst/>
          <a:gdLst/>
          <a:ahLst/>
          <a:cxnLst/>
          <a:rect l="0" t="0" r="0" b="0"/>
          <a:pathLst>
            <a:path>
              <a:moveTo>
                <a:pt x="0" y="9942"/>
              </a:moveTo>
              <a:lnTo>
                <a:pt x="49569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71184" y="368328"/>
        <a:ext cx="24784" cy="24784"/>
      </dsp:txXfrm>
    </dsp:sp>
    <dsp:sp modelId="{4DD47598-53A0-4DF0-8BF8-841CBC75E335}">
      <dsp:nvSpPr>
        <dsp:cNvPr id="0" name=""/>
        <dsp:cNvSpPr/>
      </dsp:nvSpPr>
      <dsp:spPr>
        <a:xfrm>
          <a:off x="3425113" y="342"/>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Billing</a:t>
          </a:r>
        </a:p>
      </dsp:txBody>
      <dsp:txXfrm>
        <a:off x="3435477" y="10706"/>
        <a:ext cx="686952" cy="333112"/>
      </dsp:txXfrm>
    </dsp:sp>
    <dsp:sp modelId="{02CF245F-1E16-4E92-8253-1B5D34A5DE1F}">
      <dsp:nvSpPr>
        <dsp:cNvPr id="0" name=""/>
        <dsp:cNvSpPr/>
      </dsp:nvSpPr>
      <dsp:spPr>
        <a:xfrm>
          <a:off x="3142041" y="574236"/>
          <a:ext cx="283072" cy="19885"/>
        </a:xfrm>
        <a:custGeom>
          <a:avLst/>
          <a:gdLst/>
          <a:ahLst/>
          <a:cxnLst/>
          <a:rect l="0" t="0" r="0" b="0"/>
          <a:pathLst>
            <a:path>
              <a:moveTo>
                <a:pt x="0" y="9942"/>
              </a:moveTo>
              <a:lnTo>
                <a:pt x="28307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76500" y="577101"/>
        <a:ext cx="14153" cy="14153"/>
      </dsp:txXfrm>
    </dsp:sp>
    <dsp:sp modelId="{2E07C29C-5970-4256-BFE2-9362F488B341}">
      <dsp:nvSpPr>
        <dsp:cNvPr id="0" name=""/>
        <dsp:cNvSpPr/>
      </dsp:nvSpPr>
      <dsp:spPr>
        <a:xfrm>
          <a:off x="3425113" y="407258"/>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Disbursement</a:t>
          </a:r>
        </a:p>
      </dsp:txBody>
      <dsp:txXfrm>
        <a:off x="3435477" y="417622"/>
        <a:ext cx="686952" cy="333112"/>
      </dsp:txXfrm>
    </dsp:sp>
    <dsp:sp modelId="{66E3C71D-EBD8-4885-A6F9-028EB75A0C03}">
      <dsp:nvSpPr>
        <dsp:cNvPr id="0" name=""/>
        <dsp:cNvSpPr/>
      </dsp:nvSpPr>
      <dsp:spPr>
        <a:xfrm rot="3310531">
          <a:off x="3035730" y="777694"/>
          <a:ext cx="495692" cy="19885"/>
        </a:xfrm>
        <a:custGeom>
          <a:avLst/>
          <a:gdLst/>
          <a:ahLst/>
          <a:cxnLst/>
          <a:rect l="0" t="0" r="0" b="0"/>
          <a:pathLst>
            <a:path>
              <a:moveTo>
                <a:pt x="0" y="9942"/>
              </a:moveTo>
              <a:lnTo>
                <a:pt x="49569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71184" y="775244"/>
        <a:ext cx="24784" cy="24784"/>
      </dsp:txXfrm>
    </dsp:sp>
    <dsp:sp modelId="{29BAD2F3-6DD0-4BE1-875A-1DCDE7B8EA45}">
      <dsp:nvSpPr>
        <dsp:cNvPr id="0" name=""/>
        <dsp:cNvSpPr/>
      </dsp:nvSpPr>
      <dsp:spPr>
        <a:xfrm>
          <a:off x="3425113" y="814175"/>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Claims</a:t>
          </a:r>
        </a:p>
      </dsp:txBody>
      <dsp:txXfrm>
        <a:off x="3435477" y="824539"/>
        <a:ext cx="686952" cy="333112"/>
      </dsp:txXfrm>
    </dsp:sp>
    <dsp:sp modelId="{00940E7C-221F-4D1D-B995-3555D1DBDF79}">
      <dsp:nvSpPr>
        <dsp:cNvPr id="0" name=""/>
        <dsp:cNvSpPr/>
      </dsp:nvSpPr>
      <dsp:spPr>
        <a:xfrm rot="2142401">
          <a:off x="2118521" y="879423"/>
          <a:ext cx="348604" cy="19885"/>
        </a:xfrm>
        <a:custGeom>
          <a:avLst/>
          <a:gdLst/>
          <a:ahLst/>
          <a:cxnLst/>
          <a:rect l="0" t="0" r="0" b="0"/>
          <a:pathLst>
            <a:path>
              <a:moveTo>
                <a:pt x="0" y="9942"/>
              </a:moveTo>
              <a:lnTo>
                <a:pt x="348604"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4108" y="880651"/>
        <a:ext cx="17430" cy="17430"/>
      </dsp:txXfrm>
    </dsp:sp>
    <dsp:sp modelId="{24804192-2085-43C1-A852-8294A2B2899A}">
      <dsp:nvSpPr>
        <dsp:cNvPr id="0" name=""/>
        <dsp:cNvSpPr/>
      </dsp:nvSpPr>
      <dsp:spPr>
        <a:xfrm>
          <a:off x="2434360" y="814175"/>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Sr. VP Asset Management</a:t>
          </a:r>
        </a:p>
      </dsp:txBody>
      <dsp:txXfrm>
        <a:off x="2444724" y="824539"/>
        <a:ext cx="686952" cy="333112"/>
      </dsp:txXfrm>
    </dsp:sp>
    <dsp:sp modelId="{3588BE35-82B4-428D-901E-DA3BCB7BBDCF}">
      <dsp:nvSpPr>
        <dsp:cNvPr id="0" name=""/>
        <dsp:cNvSpPr/>
      </dsp:nvSpPr>
      <dsp:spPr>
        <a:xfrm>
          <a:off x="1160534" y="1794985"/>
          <a:ext cx="283072" cy="19885"/>
        </a:xfrm>
        <a:custGeom>
          <a:avLst/>
          <a:gdLst/>
          <a:ahLst/>
          <a:cxnLst/>
          <a:rect l="0" t="0" r="0" b="0"/>
          <a:pathLst>
            <a:path>
              <a:moveTo>
                <a:pt x="0" y="9942"/>
              </a:moveTo>
              <a:lnTo>
                <a:pt x="28307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294994" y="1797851"/>
        <a:ext cx="14153" cy="14153"/>
      </dsp:txXfrm>
    </dsp:sp>
    <dsp:sp modelId="{82E5BF94-4861-4C12-B7CC-842C96FEA836}">
      <dsp:nvSpPr>
        <dsp:cNvPr id="0" name=""/>
        <dsp:cNvSpPr/>
      </dsp:nvSpPr>
      <dsp:spPr>
        <a:xfrm>
          <a:off x="1443606" y="1628008"/>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Chief Risk Officer</a:t>
          </a:r>
        </a:p>
      </dsp:txBody>
      <dsp:txXfrm>
        <a:off x="1453970" y="1638372"/>
        <a:ext cx="686952" cy="333112"/>
      </dsp:txXfrm>
    </dsp:sp>
    <dsp:sp modelId="{DA636805-6F21-40DF-9801-FE9D30429332}">
      <dsp:nvSpPr>
        <dsp:cNvPr id="0" name=""/>
        <dsp:cNvSpPr/>
      </dsp:nvSpPr>
      <dsp:spPr>
        <a:xfrm rot="18289469">
          <a:off x="2044977" y="1591527"/>
          <a:ext cx="495692" cy="19885"/>
        </a:xfrm>
        <a:custGeom>
          <a:avLst/>
          <a:gdLst/>
          <a:ahLst/>
          <a:cxnLst/>
          <a:rect l="0" t="0" r="0" b="0"/>
          <a:pathLst>
            <a:path>
              <a:moveTo>
                <a:pt x="0" y="9942"/>
              </a:moveTo>
              <a:lnTo>
                <a:pt x="49569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0431" y="1589077"/>
        <a:ext cx="24784" cy="24784"/>
      </dsp:txXfrm>
    </dsp:sp>
    <dsp:sp modelId="{4A35A3C5-6D59-4988-A134-DE1530F052B3}">
      <dsp:nvSpPr>
        <dsp:cNvPr id="0" name=""/>
        <dsp:cNvSpPr/>
      </dsp:nvSpPr>
      <dsp:spPr>
        <a:xfrm>
          <a:off x="2434360" y="1221091"/>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Compliance</a:t>
          </a:r>
        </a:p>
      </dsp:txBody>
      <dsp:txXfrm>
        <a:off x="2444724" y="1231455"/>
        <a:ext cx="686952" cy="333112"/>
      </dsp:txXfrm>
    </dsp:sp>
    <dsp:sp modelId="{4F4254CE-4BF5-4C99-B047-3D1A14691EB3}">
      <dsp:nvSpPr>
        <dsp:cNvPr id="0" name=""/>
        <dsp:cNvSpPr/>
      </dsp:nvSpPr>
      <dsp:spPr>
        <a:xfrm>
          <a:off x="2151287" y="1794985"/>
          <a:ext cx="283072" cy="19885"/>
        </a:xfrm>
        <a:custGeom>
          <a:avLst/>
          <a:gdLst/>
          <a:ahLst/>
          <a:cxnLst/>
          <a:rect l="0" t="0" r="0" b="0"/>
          <a:pathLst>
            <a:path>
              <a:moveTo>
                <a:pt x="0" y="9942"/>
              </a:moveTo>
              <a:lnTo>
                <a:pt x="28307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5747" y="1797851"/>
        <a:ext cx="14153" cy="14153"/>
      </dsp:txXfrm>
    </dsp:sp>
    <dsp:sp modelId="{5732DEEA-9344-4CDC-9E6F-1E9CF8799448}">
      <dsp:nvSpPr>
        <dsp:cNvPr id="0" name=""/>
        <dsp:cNvSpPr/>
      </dsp:nvSpPr>
      <dsp:spPr>
        <a:xfrm>
          <a:off x="2434360" y="1628008"/>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Credit &amp; Market Risk</a:t>
          </a:r>
        </a:p>
      </dsp:txBody>
      <dsp:txXfrm>
        <a:off x="2444724" y="1638372"/>
        <a:ext cx="686952" cy="333112"/>
      </dsp:txXfrm>
    </dsp:sp>
    <dsp:sp modelId="{BEB92ADA-0D36-4F0C-B250-399818FB353C}">
      <dsp:nvSpPr>
        <dsp:cNvPr id="0" name=""/>
        <dsp:cNvSpPr/>
      </dsp:nvSpPr>
      <dsp:spPr>
        <a:xfrm rot="3310531">
          <a:off x="2044977" y="1998443"/>
          <a:ext cx="495692" cy="19885"/>
        </a:xfrm>
        <a:custGeom>
          <a:avLst/>
          <a:gdLst/>
          <a:ahLst/>
          <a:cxnLst/>
          <a:rect l="0" t="0" r="0" b="0"/>
          <a:pathLst>
            <a:path>
              <a:moveTo>
                <a:pt x="0" y="9942"/>
              </a:moveTo>
              <a:lnTo>
                <a:pt x="49569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0431" y="1995994"/>
        <a:ext cx="24784" cy="24784"/>
      </dsp:txXfrm>
    </dsp:sp>
    <dsp:sp modelId="{D13F3F4B-88A7-4EEF-93FF-5DE0F13848FE}">
      <dsp:nvSpPr>
        <dsp:cNvPr id="0" name=""/>
        <dsp:cNvSpPr/>
      </dsp:nvSpPr>
      <dsp:spPr>
        <a:xfrm>
          <a:off x="2434360" y="2034924"/>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Operational Risk</a:t>
          </a:r>
        </a:p>
      </dsp:txBody>
      <dsp:txXfrm>
        <a:off x="2444724" y="2045288"/>
        <a:ext cx="686952" cy="333112"/>
      </dsp:txXfrm>
    </dsp:sp>
    <dsp:sp modelId="{9F9C3F5F-A9A3-4319-96B5-587F7B22ABB7}">
      <dsp:nvSpPr>
        <dsp:cNvPr id="0" name=""/>
        <dsp:cNvSpPr/>
      </dsp:nvSpPr>
      <dsp:spPr>
        <a:xfrm rot="4467012">
          <a:off x="774100" y="2303631"/>
          <a:ext cx="1055940" cy="19885"/>
        </a:xfrm>
        <a:custGeom>
          <a:avLst/>
          <a:gdLst/>
          <a:ahLst/>
          <a:cxnLst/>
          <a:rect l="0" t="0" r="0" b="0"/>
          <a:pathLst>
            <a:path>
              <a:moveTo>
                <a:pt x="0" y="9942"/>
              </a:moveTo>
              <a:lnTo>
                <a:pt x="1055940"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275672" y="2287175"/>
        <a:ext cx="52797" cy="52797"/>
      </dsp:txXfrm>
    </dsp:sp>
    <dsp:sp modelId="{5AC5715B-2ECE-49A5-B44D-BCF858A8C513}">
      <dsp:nvSpPr>
        <dsp:cNvPr id="0" name=""/>
        <dsp:cNvSpPr/>
      </dsp:nvSpPr>
      <dsp:spPr>
        <a:xfrm>
          <a:off x="1443606" y="2645299"/>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Chief Credit Officer</a:t>
          </a:r>
        </a:p>
      </dsp:txBody>
      <dsp:txXfrm>
        <a:off x="1453970" y="2655663"/>
        <a:ext cx="686952" cy="333112"/>
      </dsp:txXfrm>
    </dsp:sp>
    <dsp:sp modelId="{39B379CB-FD0A-46CB-8CA9-C7C25BC5D7F4}">
      <dsp:nvSpPr>
        <dsp:cNvPr id="0" name=""/>
        <dsp:cNvSpPr/>
      </dsp:nvSpPr>
      <dsp:spPr>
        <a:xfrm>
          <a:off x="2151287" y="2812276"/>
          <a:ext cx="283072" cy="19885"/>
        </a:xfrm>
        <a:custGeom>
          <a:avLst/>
          <a:gdLst/>
          <a:ahLst/>
          <a:cxnLst/>
          <a:rect l="0" t="0" r="0" b="0"/>
          <a:pathLst>
            <a:path>
              <a:moveTo>
                <a:pt x="0" y="9942"/>
              </a:moveTo>
              <a:lnTo>
                <a:pt x="283072"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85747" y="2815142"/>
        <a:ext cx="14153" cy="14153"/>
      </dsp:txXfrm>
    </dsp:sp>
    <dsp:sp modelId="{B6F4E25F-EE6C-494E-8319-74601CE3D7EC}">
      <dsp:nvSpPr>
        <dsp:cNvPr id="0" name=""/>
        <dsp:cNvSpPr/>
      </dsp:nvSpPr>
      <dsp:spPr>
        <a:xfrm>
          <a:off x="2434360" y="2645299"/>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VP Credit Management</a:t>
          </a:r>
        </a:p>
      </dsp:txBody>
      <dsp:txXfrm>
        <a:off x="2444724" y="2655663"/>
        <a:ext cx="686952" cy="333112"/>
      </dsp:txXfrm>
    </dsp:sp>
    <dsp:sp modelId="{4401E378-47CE-4442-9DA5-A79362A67E9F}">
      <dsp:nvSpPr>
        <dsp:cNvPr id="0" name=""/>
        <dsp:cNvSpPr/>
      </dsp:nvSpPr>
      <dsp:spPr>
        <a:xfrm rot="19457599">
          <a:off x="3109274" y="2710547"/>
          <a:ext cx="348604" cy="19885"/>
        </a:xfrm>
        <a:custGeom>
          <a:avLst/>
          <a:gdLst/>
          <a:ahLst/>
          <a:cxnLst/>
          <a:rect l="0" t="0" r="0" b="0"/>
          <a:pathLst>
            <a:path>
              <a:moveTo>
                <a:pt x="0" y="9942"/>
              </a:moveTo>
              <a:lnTo>
                <a:pt x="348604"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74862" y="2711775"/>
        <a:ext cx="17430" cy="17430"/>
      </dsp:txXfrm>
    </dsp:sp>
    <dsp:sp modelId="{AEC01CF2-B860-4860-A284-7F5FCEF33B5C}">
      <dsp:nvSpPr>
        <dsp:cNvPr id="0" name=""/>
        <dsp:cNvSpPr/>
      </dsp:nvSpPr>
      <dsp:spPr>
        <a:xfrm>
          <a:off x="3425113" y="2441840"/>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Credit Evaluation</a:t>
          </a:r>
        </a:p>
      </dsp:txBody>
      <dsp:txXfrm>
        <a:off x="3435477" y="2452204"/>
        <a:ext cx="686952" cy="333112"/>
      </dsp:txXfrm>
    </dsp:sp>
    <dsp:sp modelId="{A7EA7994-CC34-47AE-B416-00692E5A032C}">
      <dsp:nvSpPr>
        <dsp:cNvPr id="0" name=""/>
        <dsp:cNvSpPr/>
      </dsp:nvSpPr>
      <dsp:spPr>
        <a:xfrm rot="2142401">
          <a:off x="3109274" y="2914005"/>
          <a:ext cx="348604" cy="19885"/>
        </a:xfrm>
        <a:custGeom>
          <a:avLst/>
          <a:gdLst/>
          <a:ahLst/>
          <a:cxnLst/>
          <a:rect l="0" t="0" r="0" b="0"/>
          <a:pathLst>
            <a:path>
              <a:moveTo>
                <a:pt x="0" y="9942"/>
              </a:moveTo>
              <a:lnTo>
                <a:pt x="348604" y="9942"/>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274862" y="2915233"/>
        <a:ext cx="17430" cy="17430"/>
      </dsp:txXfrm>
    </dsp:sp>
    <dsp:sp modelId="{73EB709A-53CB-46AF-A927-86F73FD0F57E}">
      <dsp:nvSpPr>
        <dsp:cNvPr id="0" name=""/>
        <dsp:cNvSpPr/>
      </dsp:nvSpPr>
      <dsp:spPr>
        <a:xfrm>
          <a:off x="3425113" y="2848757"/>
          <a:ext cx="707680" cy="35384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AVP Direct Lending &amp; Securitization</a:t>
          </a:r>
        </a:p>
      </dsp:txBody>
      <dsp:txXfrm>
        <a:off x="3435477" y="2859121"/>
        <a:ext cx="686952" cy="3331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3E4D8-F507-4D55-8099-F575F685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2017-10-27T17:28:00Z</cp:lastPrinted>
  <dcterms:created xsi:type="dcterms:W3CDTF">2017-11-24T15:59:00Z</dcterms:created>
  <dcterms:modified xsi:type="dcterms:W3CDTF">2017-12-15T16:25:00Z</dcterms:modified>
</cp:coreProperties>
</file>