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91F6B" w14:textId="77777777" w:rsidR="004403EE" w:rsidRDefault="004403EE" w:rsidP="00B65245">
      <w:pPr>
        <w:tabs>
          <w:tab w:val="right" w:pos="9360"/>
        </w:tabs>
        <w:autoSpaceDE w:val="0"/>
        <w:autoSpaceDN w:val="0"/>
        <w:adjustRightInd w:val="0"/>
        <w:jc w:val="both"/>
        <w:textAlignment w:val="center"/>
        <w:rPr>
          <w:rFonts w:ascii="Arial" w:hAnsi="Arial"/>
          <w:i/>
          <w:iCs/>
          <w:color w:val="000000"/>
          <w:sz w:val="16"/>
        </w:rPr>
      </w:pPr>
      <w:r w:rsidRPr="000D571E">
        <w:rPr>
          <w:rFonts w:ascii="Arial" w:hAnsi="Arial" w:cs="Arial"/>
          <w:b/>
          <w:noProof/>
          <w:sz w:val="24"/>
          <w:szCs w:val="16"/>
          <w:lang w:val="en-CA" w:eastAsia="en-CA"/>
        </w:rPr>
        <w:drawing>
          <wp:inline distT="0" distB="0" distL="0" distR="0" wp14:anchorId="5F6730F3" wp14:editId="14CDB565">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A7854FC"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sz w:val="24"/>
        </w:rPr>
      </w:pPr>
    </w:p>
    <w:p w14:paraId="35611566" w14:textId="37D938F9" w:rsidR="00D75295" w:rsidRPr="00CB6B09" w:rsidRDefault="00CF49E8" w:rsidP="00FC235F">
      <w:pPr>
        <w:pStyle w:val="ProductNumber"/>
        <w:outlineLvl w:val="0"/>
      </w:pPr>
      <w:r>
        <w:t>9B17M179</w:t>
      </w:r>
    </w:p>
    <w:p w14:paraId="687EB954" w14:textId="77777777" w:rsidR="00D75295" w:rsidRPr="00CB6B09" w:rsidRDefault="00D75295" w:rsidP="00D75295">
      <w:pPr>
        <w:jc w:val="right"/>
        <w:rPr>
          <w:rFonts w:ascii="Arial" w:hAnsi="Arial"/>
          <w:b/>
          <w:sz w:val="28"/>
          <w:szCs w:val="28"/>
        </w:rPr>
      </w:pPr>
    </w:p>
    <w:p w14:paraId="6098AC19" w14:textId="77777777" w:rsidR="00866F6D" w:rsidRPr="00CB6B09" w:rsidRDefault="00866F6D" w:rsidP="00D75295">
      <w:pPr>
        <w:jc w:val="right"/>
        <w:rPr>
          <w:rFonts w:ascii="Arial" w:hAnsi="Arial"/>
          <w:b/>
          <w:sz w:val="28"/>
          <w:szCs w:val="28"/>
        </w:rPr>
      </w:pPr>
    </w:p>
    <w:p w14:paraId="5C0F1A17" w14:textId="571D073F" w:rsidR="00AE3CD5" w:rsidRPr="00CB6B09" w:rsidRDefault="00A36243" w:rsidP="00FC235F">
      <w:pPr>
        <w:pStyle w:val="CaseTitle"/>
        <w:spacing w:after="0" w:line="240" w:lineRule="auto"/>
        <w:outlineLvl w:val="0"/>
      </w:pPr>
      <w:r>
        <w:t>INDIA</w:t>
      </w:r>
      <w:r w:rsidR="00507B54">
        <w:t>’s demonetization</w:t>
      </w:r>
      <w:r>
        <w:t xml:space="preserve">: </w:t>
      </w:r>
      <w:r w:rsidR="00507B54">
        <w:t xml:space="preserve">purging </w:t>
      </w:r>
      <w:r>
        <w:t>BLACK MONEY</w:t>
      </w:r>
      <w:r w:rsidR="00507B54">
        <w:t>?</w:t>
      </w:r>
      <w:r w:rsidR="00AE3CD5">
        <w:rPr>
          <w:rStyle w:val="EndnoteReference"/>
        </w:rPr>
        <w:endnoteReference w:id="1"/>
      </w:r>
    </w:p>
    <w:p w14:paraId="4A68CA7B" w14:textId="77777777" w:rsidR="00013360" w:rsidRPr="00CB6B09" w:rsidRDefault="00013360" w:rsidP="00013360">
      <w:pPr>
        <w:pStyle w:val="CaseTitle"/>
        <w:spacing w:after="0" w:line="240" w:lineRule="auto"/>
        <w:rPr>
          <w:sz w:val="20"/>
          <w:szCs w:val="20"/>
        </w:rPr>
      </w:pPr>
    </w:p>
    <w:p w14:paraId="312CC0A1" w14:textId="77777777" w:rsidR="00CA3976" w:rsidRPr="00CB6B09" w:rsidRDefault="00CA3976" w:rsidP="00013360">
      <w:pPr>
        <w:pStyle w:val="CaseTitle"/>
        <w:spacing w:after="0" w:line="240" w:lineRule="auto"/>
        <w:rPr>
          <w:sz w:val="20"/>
          <w:szCs w:val="20"/>
        </w:rPr>
      </w:pPr>
    </w:p>
    <w:p w14:paraId="1CE6A234" w14:textId="77777777" w:rsidR="00013360" w:rsidRPr="00CB6B09" w:rsidRDefault="00013360" w:rsidP="00013360">
      <w:pPr>
        <w:pStyle w:val="CaseTitle"/>
        <w:spacing w:after="0" w:line="240" w:lineRule="auto"/>
        <w:rPr>
          <w:sz w:val="20"/>
          <w:szCs w:val="20"/>
        </w:rPr>
      </w:pPr>
    </w:p>
    <w:p w14:paraId="56E963D4" w14:textId="4ED6EF66" w:rsidR="00013360" w:rsidRPr="00CB6B09" w:rsidRDefault="00A36243" w:rsidP="00104567">
      <w:pPr>
        <w:pStyle w:val="StyleCopyrightStatementAfter0ptBottomSinglesolidline1"/>
      </w:pPr>
      <w:r>
        <w:t xml:space="preserve">Tulsi Jayakumar </w:t>
      </w:r>
      <w:r w:rsidR="007E5921" w:rsidRPr="00CB6B09">
        <w:t>wrote this case sol</w:t>
      </w:r>
      <w:r w:rsidR="00D75295" w:rsidRPr="00CB6B09">
        <w:t>ely to provide material f</w:t>
      </w:r>
      <w:r w:rsidR="001A04F0">
        <w:t>or class discussion. The author</w:t>
      </w:r>
      <w:r w:rsidR="00D75295" w:rsidRPr="00CB6B09">
        <w:t xml:space="preserve"> do</w:t>
      </w:r>
      <w:r w:rsidR="001A04F0">
        <w:t>es</w:t>
      </w:r>
      <w:r w:rsidR="00D75295" w:rsidRPr="00CB6B09">
        <w:t xml:space="preserve"> not intend to illustrate either effective or ineffective handling of a m</w:t>
      </w:r>
      <w:r w:rsidR="00AE3CD5">
        <w:t>anagerial situation. The author</w:t>
      </w:r>
      <w:r w:rsidR="00D75295" w:rsidRPr="00CB6B09">
        <w:t xml:space="preserve"> may have disguised certain names and other identifying information to protect confidentiality.</w:t>
      </w:r>
    </w:p>
    <w:p w14:paraId="52A7AC08" w14:textId="77777777" w:rsidR="00013360" w:rsidRPr="00CB6B09" w:rsidRDefault="00013360" w:rsidP="00104567">
      <w:pPr>
        <w:pStyle w:val="StyleCopyrightStatementAfter0ptBottomSinglesolidline1"/>
      </w:pPr>
    </w:p>
    <w:p w14:paraId="32B4925F" w14:textId="626FB18F" w:rsidR="004403EE" w:rsidRPr="00E23AB7" w:rsidRDefault="004403EE" w:rsidP="00B65245">
      <w:pP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54602692" w14:textId="77777777" w:rsidR="004403EE" w:rsidRPr="00E23AB7" w:rsidRDefault="004403EE" w:rsidP="00B65245">
      <w:pPr>
        <w:tabs>
          <w:tab w:val="right" w:pos="9360"/>
        </w:tabs>
        <w:autoSpaceDE w:val="0"/>
        <w:autoSpaceDN w:val="0"/>
        <w:adjustRightInd w:val="0"/>
        <w:jc w:val="both"/>
        <w:textAlignment w:val="center"/>
        <w:rPr>
          <w:rFonts w:ascii="Arial" w:hAnsi="Arial"/>
          <w:i/>
          <w:iCs/>
          <w:color w:val="000000"/>
          <w:sz w:val="16"/>
        </w:rPr>
      </w:pPr>
    </w:p>
    <w:p w14:paraId="16BAA83A" w14:textId="7E7CB0A0" w:rsidR="003B7EF2" w:rsidRPr="004403EE" w:rsidRDefault="004403EE" w:rsidP="004403EE">
      <w:pPr>
        <w:tabs>
          <w:tab w:val="right" w:pos="9360"/>
        </w:tabs>
        <w:autoSpaceDE w:val="0"/>
        <w:autoSpaceDN w:val="0"/>
        <w:adjustRightInd w:val="0"/>
        <w:jc w:val="both"/>
        <w:textAlignment w:val="center"/>
        <w:rPr>
          <w:rFonts w:ascii="Arial" w:hAnsi="Arial" w:cs="Arial"/>
          <w:i/>
          <w:iCs/>
          <w:color w:val="000000"/>
          <w:sz w:val="12"/>
        </w:rPr>
      </w:pPr>
      <w:r w:rsidRPr="00B65245">
        <w:rPr>
          <w:rFonts w:ascii="Arial" w:hAnsi="Arial"/>
          <w:i/>
          <w:iCs/>
          <w:color w:val="000000"/>
          <w:sz w:val="16"/>
        </w:rPr>
        <w:t>Copyright © 201</w:t>
      </w:r>
      <w:r>
        <w:rPr>
          <w:rFonts w:ascii="Arial" w:hAnsi="Arial"/>
          <w:i/>
          <w:iCs/>
          <w:color w:val="000000"/>
          <w:sz w:val="16"/>
        </w:rPr>
        <w:t>7</w:t>
      </w:r>
      <w:r w:rsidRPr="00B65245">
        <w:rPr>
          <w:rFonts w:ascii="Arial" w:hAnsi="Arial"/>
          <w:i/>
          <w:iCs/>
          <w:color w:val="000000"/>
          <w:sz w:val="16"/>
        </w:rPr>
        <w:t>, Richard Ivey School of Business Foundation</w:t>
      </w:r>
      <w:r w:rsidR="003B7EF2" w:rsidRPr="00CB6B09">
        <w:tab/>
      </w:r>
      <w:r w:rsidR="003B7EF2" w:rsidRPr="004403EE">
        <w:rPr>
          <w:rFonts w:ascii="Arial" w:hAnsi="Arial" w:cs="Arial"/>
          <w:i/>
          <w:sz w:val="16"/>
        </w:rPr>
        <w:t xml:space="preserve">Version: </w:t>
      </w:r>
      <w:r w:rsidR="00361C8E" w:rsidRPr="004403EE">
        <w:rPr>
          <w:rFonts w:ascii="Arial" w:hAnsi="Arial" w:cs="Arial"/>
          <w:i/>
          <w:sz w:val="16"/>
        </w:rPr>
        <w:t>201</w:t>
      </w:r>
      <w:r w:rsidR="001A04F0" w:rsidRPr="004403EE">
        <w:rPr>
          <w:rFonts w:ascii="Arial" w:hAnsi="Arial" w:cs="Arial"/>
          <w:i/>
          <w:sz w:val="16"/>
        </w:rPr>
        <w:t>7</w:t>
      </w:r>
      <w:r w:rsidR="00361C8E" w:rsidRPr="004403EE">
        <w:rPr>
          <w:rFonts w:ascii="Arial" w:hAnsi="Arial" w:cs="Arial"/>
          <w:i/>
          <w:sz w:val="16"/>
        </w:rPr>
        <w:t>-</w:t>
      </w:r>
      <w:r w:rsidR="007E72B2" w:rsidRPr="004403EE">
        <w:rPr>
          <w:rFonts w:ascii="Arial" w:hAnsi="Arial" w:cs="Arial"/>
          <w:i/>
          <w:sz w:val="16"/>
        </w:rPr>
        <w:t>11</w:t>
      </w:r>
      <w:r w:rsidR="00361C8E" w:rsidRPr="004403EE">
        <w:rPr>
          <w:rFonts w:ascii="Arial" w:hAnsi="Arial" w:cs="Arial"/>
          <w:i/>
          <w:sz w:val="16"/>
        </w:rPr>
        <w:t>-</w:t>
      </w:r>
      <w:r>
        <w:rPr>
          <w:rFonts w:ascii="Arial" w:hAnsi="Arial" w:cs="Arial"/>
          <w:i/>
          <w:sz w:val="16"/>
        </w:rPr>
        <w:t>28</w:t>
      </w:r>
    </w:p>
    <w:p w14:paraId="11D46881" w14:textId="77777777" w:rsidR="003B7EF2" w:rsidRPr="00CB6B09" w:rsidRDefault="003B7EF2" w:rsidP="00104567">
      <w:pPr>
        <w:pStyle w:val="StyleCopyrightStatementAfter0ptBottomSinglesolidline1"/>
        <w:rPr>
          <w:rFonts w:ascii="Times New Roman" w:hAnsi="Times New Roman"/>
          <w:sz w:val="20"/>
        </w:rPr>
      </w:pPr>
    </w:p>
    <w:p w14:paraId="1CB9CF84" w14:textId="77777777" w:rsidR="003B7EF2" w:rsidRDefault="003B7EF2" w:rsidP="006F1D9E">
      <w:pPr>
        <w:pStyle w:val="Footnote"/>
      </w:pPr>
    </w:p>
    <w:p w14:paraId="3C872ECA" w14:textId="3AFDDB05" w:rsidR="000E02C1" w:rsidRDefault="00A36243" w:rsidP="00D159F7">
      <w:pPr>
        <w:pStyle w:val="BodyTextMain"/>
        <w:rPr>
          <w:color w:val="1A1A1A"/>
        </w:rPr>
      </w:pPr>
      <w:r w:rsidRPr="003E40D4">
        <w:t>On November 8, 2016,</w:t>
      </w:r>
      <w:r>
        <w:t xml:space="preserve"> at </w:t>
      </w:r>
      <w:r w:rsidR="00696A46">
        <w:t>8:00 p.m.</w:t>
      </w:r>
      <w:r w:rsidR="00300CAB">
        <w:t>,</w:t>
      </w:r>
      <w:r>
        <w:t xml:space="preserve"> Indian </w:t>
      </w:r>
      <w:r w:rsidR="00300CAB">
        <w:t>s</w:t>
      </w:r>
      <w:r>
        <w:t xml:space="preserve">tandard </w:t>
      </w:r>
      <w:r w:rsidR="00300CAB">
        <w:t>t</w:t>
      </w:r>
      <w:r>
        <w:t>ime,</w:t>
      </w:r>
      <w:r w:rsidRPr="003E40D4">
        <w:t xml:space="preserve"> the </w:t>
      </w:r>
      <w:r>
        <w:t>Indian prime minister, Narendra Modi, made an unscheduled</w:t>
      </w:r>
      <w:r w:rsidR="00405424">
        <w:t>,</w:t>
      </w:r>
      <w:r>
        <w:t xml:space="preserve"> live televised address to the nation. </w:t>
      </w:r>
      <w:r w:rsidR="00405424">
        <w:t>The prime minister a</w:t>
      </w:r>
      <w:r>
        <w:t>nnounc</w:t>
      </w:r>
      <w:r w:rsidR="00405424">
        <w:t>ed</w:t>
      </w:r>
      <w:r>
        <w:t xml:space="preserve"> </w:t>
      </w:r>
      <w:r w:rsidR="00F84FFF">
        <w:t>that</w:t>
      </w:r>
      <w:r w:rsidRPr="003E40D4">
        <w:rPr>
          <w:color w:val="1A1A1A"/>
        </w:rPr>
        <w:t xml:space="preserve"> high</w:t>
      </w:r>
      <w:r w:rsidR="00300CAB">
        <w:rPr>
          <w:color w:val="1A1A1A"/>
        </w:rPr>
        <w:t>-</w:t>
      </w:r>
      <w:r w:rsidRPr="003E40D4">
        <w:rPr>
          <w:color w:val="1A1A1A"/>
        </w:rPr>
        <w:t>value currency notes</w:t>
      </w:r>
      <w:r w:rsidR="00300CAB">
        <w:rPr>
          <w:color w:val="1A1A1A"/>
        </w:rPr>
        <w:t>, or high denomination notes</w:t>
      </w:r>
      <w:r w:rsidRPr="003E40D4">
        <w:rPr>
          <w:color w:val="1A1A1A"/>
        </w:rPr>
        <w:t xml:space="preserve"> </w:t>
      </w:r>
      <w:r w:rsidR="00FA6F9E">
        <w:rPr>
          <w:color w:val="1A1A1A"/>
        </w:rPr>
        <w:t xml:space="preserve">(HDNs) </w:t>
      </w:r>
      <w:r w:rsidRPr="003E40D4">
        <w:rPr>
          <w:color w:val="1A1A1A"/>
        </w:rPr>
        <w:t>of denomination</w:t>
      </w:r>
      <w:r>
        <w:rPr>
          <w:color w:val="1A1A1A"/>
        </w:rPr>
        <w:t>s</w:t>
      </w:r>
      <w:r w:rsidRPr="003E40D4">
        <w:rPr>
          <w:color w:val="1A1A1A"/>
        </w:rPr>
        <w:t xml:space="preserve"> </w:t>
      </w:r>
      <w:r w:rsidR="005D3E48" w:rsidRPr="00314917">
        <w:rPr>
          <w:rFonts w:ascii="Arial" w:hAnsi="Arial" w:cs="Arial"/>
          <w:color w:val="1A1A1A"/>
          <w:sz w:val="20"/>
          <w:szCs w:val="20"/>
        </w:rPr>
        <w:t>₹</w:t>
      </w:r>
      <w:r w:rsidR="00812470">
        <w:rPr>
          <w:color w:val="1A1A1A"/>
        </w:rPr>
        <w:t>500</w:t>
      </w:r>
      <w:r w:rsidR="000E02C1" w:rsidRPr="00EA3C4C">
        <w:rPr>
          <w:rStyle w:val="EndnoteReference"/>
        </w:rPr>
        <w:endnoteReference w:id="2"/>
      </w:r>
      <w:r w:rsidR="000E02C1" w:rsidRPr="003E40D4">
        <w:rPr>
          <w:color w:val="1A1A1A"/>
        </w:rPr>
        <w:t xml:space="preserve"> and </w:t>
      </w:r>
      <w:r w:rsidR="000E02C1" w:rsidRPr="00F84FFF">
        <w:rPr>
          <w:rFonts w:ascii="Arial" w:hAnsi="Arial" w:cs="Arial"/>
          <w:color w:val="1A1A1A"/>
          <w:sz w:val="20"/>
          <w:szCs w:val="20"/>
        </w:rPr>
        <w:t>₹</w:t>
      </w:r>
      <w:r w:rsidR="000E02C1" w:rsidRPr="00314917">
        <w:t>1,000</w:t>
      </w:r>
      <w:r w:rsidR="000E02C1">
        <w:rPr>
          <w:color w:val="1A1A1A"/>
        </w:rPr>
        <w:t xml:space="preserve"> would be withdrawn </w:t>
      </w:r>
      <w:r w:rsidR="000E02C1" w:rsidRPr="003E40D4">
        <w:rPr>
          <w:color w:val="1A1A1A"/>
        </w:rPr>
        <w:t>from circu</w:t>
      </w:r>
      <w:r w:rsidR="000E02C1">
        <w:rPr>
          <w:color w:val="1A1A1A"/>
        </w:rPr>
        <w:t xml:space="preserve">lation as of midnight </w:t>
      </w:r>
      <w:r w:rsidR="00A146FF">
        <w:rPr>
          <w:color w:val="1A1A1A"/>
        </w:rPr>
        <w:t>that day</w:t>
      </w:r>
      <w:r w:rsidR="000E02C1">
        <w:rPr>
          <w:color w:val="1A1A1A"/>
        </w:rPr>
        <w:t>. The prime minister called the decision “a fight against corruption, fake notes, black money, and terrorism funded by counterfeit notes.”</w:t>
      </w:r>
      <w:r w:rsidR="000E02C1" w:rsidRPr="00314917">
        <w:rPr>
          <w:rStyle w:val="EndnoteReference"/>
        </w:rPr>
        <w:endnoteReference w:id="3"/>
      </w:r>
      <w:r w:rsidR="000E02C1">
        <w:rPr>
          <w:color w:val="1A1A1A"/>
        </w:rPr>
        <w:t xml:space="preserve"> Warning the citizens of the likely hardships that the move would cause, the prime minister invited citizens to contribute to “this grand sacrifice for cleansing our country.” </w:t>
      </w:r>
    </w:p>
    <w:p w14:paraId="0721E9FC" w14:textId="77777777" w:rsidR="000E02C1" w:rsidRDefault="000E02C1" w:rsidP="00D159F7">
      <w:pPr>
        <w:pStyle w:val="BodyTextMain"/>
        <w:rPr>
          <w:color w:val="1A1A1A"/>
        </w:rPr>
      </w:pPr>
    </w:p>
    <w:p w14:paraId="1F5ACCB4" w14:textId="1032EBFD" w:rsidR="000E02C1" w:rsidRDefault="000E02C1" w:rsidP="00D159F7">
      <w:pPr>
        <w:pStyle w:val="BodyTextMain"/>
        <w:rPr>
          <w:color w:val="1A1A1A"/>
        </w:rPr>
      </w:pPr>
      <w:r>
        <w:rPr>
          <w:color w:val="1A1A1A"/>
        </w:rPr>
        <w:t xml:space="preserve">This move to discontinue </w:t>
      </w:r>
      <w:r w:rsidRPr="00314917">
        <w:rPr>
          <w:rFonts w:ascii="Arial" w:hAnsi="Arial" w:cs="American Typewriter Light"/>
          <w:color w:val="1A1A1A"/>
          <w:sz w:val="20"/>
        </w:rPr>
        <w:t>₹</w:t>
      </w:r>
      <w:r>
        <w:rPr>
          <w:color w:val="1A1A1A"/>
        </w:rPr>
        <w:t>5</w:t>
      </w:r>
      <w:r w:rsidRPr="003E40D4">
        <w:rPr>
          <w:color w:val="1A1A1A"/>
        </w:rPr>
        <w:t xml:space="preserve">00 and </w:t>
      </w:r>
      <w:r w:rsidRPr="00314917">
        <w:rPr>
          <w:rFonts w:ascii="Arial" w:hAnsi="Arial" w:cs="American Typewriter Light"/>
          <w:color w:val="1A1A1A"/>
          <w:sz w:val="20"/>
        </w:rPr>
        <w:t>₹</w:t>
      </w:r>
      <w:r>
        <w:rPr>
          <w:color w:val="1A1A1A"/>
        </w:rPr>
        <w:t>1,0</w:t>
      </w:r>
      <w:r w:rsidRPr="003E40D4">
        <w:rPr>
          <w:color w:val="1A1A1A"/>
        </w:rPr>
        <w:t>00</w:t>
      </w:r>
      <w:r>
        <w:rPr>
          <w:color w:val="1A1A1A"/>
        </w:rPr>
        <w:t xml:space="preserve"> notes—</w:t>
      </w:r>
      <w:r w:rsidRPr="003E40D4">
        <w:rPr>
          <w:color w:val="1A1A1A"/>
        </w:rPr>
        <w:t xml:space="preserve">valued at </w:t>
      </w:r>
      <w:r w:rsidRPr="00314917">
        <w:rPr>
          <w:rFonts w:ascii="Arial" w:hAnsi="Arial" w:cs="American Typewriter Light"/>
          <w:color w:val="1A1A1A"/>
          <w:sz w:val="20"/>
        </w:rPr>
        <w:t>₹</w:t>
      </w:r>
      <w:r>
        <w:rPr>
          <w:color w:val="1A1A1A"/>
        </w:rPr>
        <w:t>15.4 trillion and constituting</w:t>
      </w:r>
      <w:r w:rsidRPr="003E40D4">
        <w:rPr>
          <w:color w:val="1A1A1A"/>
        </w:rPr>
        <w:t xml:space="preserve"> 86.9 </w:t>
      </w:r>
      <w:r>
        <w:rPr>
          <w:color w:val="1A1A1A"/>
        </w:rPr>
        <w:t>per cent</w:t>
      </w:r>
      <w:r w:rsidRPr="003E40D4">
        <w:rPr>
          <w:color w:val="1A1A1A"/>
        </w:rPr>
        <w:t xml:space="preserve"> of the </w:t>
      </w:r>
      <w:r w:rsidR="00A146FF">
        <w:rPr>
          <w:color w:val="1A1A1A"/>
        </w:rPr>
        <w:t xml:space="preserve">total </w:t>
      </w:r>
      <w:r w:rsidRPr="003E40D4">
        <w:rPr>
          <w:color w:val="1A1A1A"/>
        </w:rPr>
        <w:t xml:space="preserve">value of </w:t>
      </w:r>
      <w:r w:rsidR="00A146FF">
        <w:rPr>
          <w:color w:val="1A1A1A"/>
        </w:rPr>
        <w:t>all</w:t>
      </w:r>
      <w:r w:rsidR="00A146FF" w:rsidRPr="003E40D4">
        <w:rPr>
          <w:color w:val="1A1A1A"/>
        </w:rPr>
        <w:t xml:space="preserve"> </w:t>
      </w:r>
      <w:r w:rsidRPr="003E40D4">
        <w:rPr>
          <w:color w:val="1A1A1A"/>
        </w:rPr>
        <w:t>currency in circulation in India</w:t>
      </w:r>
      <w:r>
        <w:rPr>
          <w:color w:val="1A1A1A"/>
        </w:rPr>
        <w:t xml:space="preserve">—came to be known as “demonetization.” An unconventional monetary policy involving a “reverse helicopter drop,” </w:t>
      </w:r>
      <w:r w:rsidR="00A146FF">
        <w:rPr>
          <w:color w:val="1A1A1A"/>
        </w:rPr>
        <w:t xml:space="preserve">demonetization </w:t>
      </w:r>
      <w:r>
        <w:rPr>
          <w:color w:val="1A1A1A"/>
        </w:rPr>
        <w:t>aimed to reduce money supply rather than expand it, unlike other unconventional monetary policies.</w:t>
      </w:r>
      <w:r w:rsidRPr="00314917">
        <w:rPr>
          <w:rStyle w:val="EndnoteReference"/>
        </w:rPr>
        <w:endnoteReference w:id="4"/>
      </w:r>
      <w:r>
        <w:rPr>
          <w:color w:val="1A1A1A"/>
        </w:rPr>
        <w:t xml:space="preserve"> With this one move, HDNs would cease to be legal tender in India</w:t>
      </w:r>
      <w:r w:rsidRPr="003E40D4">
        <w:rPr>
          <w:color w:val="1A1A1A"/>
        </w:rPr>
        <w:t xml:space="preserve">. </w:t>
      </w:r>
    </w:p>
    <w:p w14:paraId="796BCF62" w14:textId="77777777" w:rsidR="000E02C1" w:rsidRDefault="000E02C1" w:rsidP="00D159F7">
      <w:pPr>
        <w:pStyle w:val="BodyTextMain"/>
      </w:pPr>
    </w:p>
    <w:p w14:paraId="3DF64990" w14:textId="27DB2A62" w:rsidR="000E02C1" w:rsidRDefault="000E02C1" w:rsidP="00D159F7">
      <w:pPr>
        <w:pStyle w:val="BodyTextMain"/>
      </w:pPr>
      <w:r>
        <w:t>In 2016, India had emerged as the seventh</w:t>
      </w:r>
      <w:r w:rsidR="00300CAB">
        <w:t>-</w:t>
      </w:r>
      <w:r>
        <w:t xml:space="preserve">largest economy in the world by </w:t>
      </w:r>
      <w:r w:rsidR="00A146FF">
        <w:t xml:space="preserve">gross domestic product </w:t>
      </w:r>
      <w:r>
        <w:t>(GDP), with a nominal GDP of US$2,251 billion.</w:t>
      </w:r>
      <w:r w:rsidRPr="00314917">
        <w:rPr>
          <w:rStyle w:val="EndnoteReference"/>
        </w:rPr>
        <w:endnoteReference w:id="5"/>
      </w:r>
      <w:r>
        <w:t xml:space="preserve"> Further, with a real GDP growth rate of 7.6 per cent in </w:t>
      </w:r>
      <w:r w:rsidR="00CA181E">
        <w:t>fiscal year (</w:t>
      </w:r>
      <w:r>
        <w:t>FY</w:t>
      </w:r>
      <w:r w:rsidR="00CA181E">
        <w:t>)</w:t>
      </w:r>
      <w:r>
        <w:t xml:space="preserve"> 2015/16, </w:t>
      </w:r>
      <w:r>
        <w:rPr>
          <w:lang w:val="en-IN"/>
        </w:rPr>
        <w:t>India had outpaced China to become the fastest</w:t>
      </w:r>
      <w:r w:rsidR="00CA181E">
        <w:rPr>
          <w:lang w:val="en-IN"/>
        </w:rPr>
        <w:t>-</w:t>
      </w:r>
      <w:r>
        <w:rPr>
          <w:lang w:val="en-IN"/>
        </w:rPr>
        <w:t>growing economy in the world.</w:t>
      </w:r>
      <w:r w:rsidRPr="00314917">
        <w:rPr>
          <w:rStyle w:val="EndnoteReference"/>
        </w:rPr>
        <w:endnoteReference w:id="6"/>
      </w:r>
      <w:r>
        <w:t xml:space="preserve"> The lifeblood of this growing economy was cash. In India’s highly cash-intensive economy, </w:t>
      </w:r>
      <w:r w:rsidR="00A146FF">
        <w:t xml:space="preserve">an estimated </w:t>
      </w:r>
      <w:r>
        <w:t>78 per cent of consumer payments in India were in cash, while in production, cash was essential for the smooth functioning of the large labour-intensive, unorganized sector.</w:t>
      </w:r>
      <w:r w:rsidRPr="00314917">
        <w:rPr>
          <w:rStyle w:val="EndnoteReference"/>
        </w:rPr>
        <w:endnoteReference w:id="7"/>
      </w:r>
      <w:r>
        <w:t xml:space="preserve"> </w:t>
      </w:r>
    </w:p>
    <w:p w14:paraId="034CBAEE" w14:textId="77777777" w:rsidR="000E02C1" w:rsidRDefault="000E02C1" w:rsidP="00D159F7">
      <w:pPr>
        <w:pStyle w:val="BodyTextMain"/>
      </w:pPr>
    </w:p>
    <w:p w14:paraId="37FFD312" w14:textId="3C7DCEBA" w:rsidR="000E02C1" w:rsidRPr="003E40D4" w:rsidRDefault="000E02C1" w:rsidP="00D159F7">
      <w:pPr>
        <w:pStyle w:val="BodyTextMain"/>
      </w:pPr>
      <w:r>
        <w:t>Would the prime minister’s demonetization plan succeed in truly purging the economy of black money, encourag</w:t>
      </w:r>
      <w:r w:rsidR="00A146FF">
        <w:t>ing</w:t>
      </w:r>
      <w:r>
        <w:t xml:space="preserve"> digitization, and put</w:t>
      </w:r>
      <w:r w:rsidR="00A146FF">
        <w:t>ting</w:t>
      </w:r>
      <w:r w:rsidRPr="003E40D4">
        <w:t xml:space="preserve"> the economy on</w:t>
      </w:r>
      <w:r w:rsidR="0090764D">
        <w:t>to</w:t>
      </w:r>
      <w:r w:rsidRPr="003E40D4">
        <w:t xml:space="preserve"> a path of </w:t>
      </w:r>
      <w:r w:rsidR="00A146FF">
        <w:t>increasing</w:t>
      </w:r>
      <w:r w:rsidR="00A146FF" w:rsidRPr="003E40D4">
        <w:t xml:space="preserve"> </w:t>
      </w:r>
      <w:r w:rsidRPr="003E40D4">
        <w:t>growth</w:t>
      </w:r>
      <w:r>
        <w:t>? Or, g</w:t>
      </w:r>
      <w:r w:rsidRPr="003E40D4">
        <w:t xml:space="preserve">iven the Indian economy’s high cash intensity, would </w:t>
      </w:r>
      <w:r>
        <w:t>demonetization</w:t>
      </w:r>
      <w:r w:rsidRPr="003E40D4">
        <w:t xml:space="preserve"> </w:t>
      </w:r>
      <w:r>
        <w:t>merely bring India’s remarkable</w:t>
      </w:r>
      <w:r w:rsidRPr="003E40D4">
        <w:t xml:space="preserve"> growth</w:t>
      </w:r>
      <w:r>
        <w:t xml:space="preserve"> story</w:t>
      </w:r>
      <w:r w:rsidRPr="003E40D4">
        <w:t xml:space="preserve"> to a grinding halt</w:t>
      </w:r>
      <w:r>
        <w:t>? Would the resultant negative growth make India an unattractive investment destination?</w:t>
      </w:r>
    </w:p>
    <w:p w14:paraId="6C5125BD" w14:textId="77777777" w:rsidR="000E02C1" w:rsidRDefault="000E02C1" w:rsidP="00D159F7">
      <w:pPr>
        <w:pStyle w:val="BodyTextMain"/>
      </w:pPr>
    </w:p>
    <w:p w14:paraId="0021B974" w14:textId="77777777" w:rsidR="000E02C1" w:rsidRDefault="000E02C1" w:rsidP="00D159F7">
      <w:pPr>
        <w:pStyle w:val="BodyTextMain"/>
      </w:pPr>
    </w:p>
    <w:p w14:paraId="3892391E" w14:textId="633398CF" w:rsidR="000E02C1" w:rsidRDefault="000E02C1" w:rsidP="00314917">
      <w:pPr>
        <w:pStyle w:val="Casehead1"/>
        <w:keepNext/>
      </w:pPr>
      <w:r>
        <w:lastRenderedPageBreak/>
        <w:t>Indian Macroeconomic Indicators</w:t>
      </w:r>
    </w:p>
    <w:p w14:paraId="5CA61813" w14:textId="77777777" w:rsidR="000E02C1" w:rsidRDefault="000E02C1" w:rsidP="00314917">
      <w:pPr>
        <w:pStyle w:val="BodyTextMain"/>
        <w:keepNext/>
        <w:rPr>
          <w:rFonts w:ascii="Arial" w:hAnsi="Arial" w:cs="Arial"/>
          <w:color w:val="1A1A1A"/>
        </w:rPr>
      </w:pPr>
    </w:p>
    <w:p w14:paraId="6AF68B7C" w14:textId="77EF7237" w:rsidR="000E02C1" w:rsidRDefault="000E02C1" w:rsidP="00314917">
      <w:pPr>
        <w:pStyle w:val="BodyTextMain"/>
        <w:rPr>
          <w:lang w:val="en-IN"/>
        </w:rPr>
      </w:pPr>
      <w:r>
        <w:t xml:space="preserve">India had come a long way since the economic reforms initiated in 1991, </w:t>
      </w:r>
      <w:r w:rsidR="00CA181E">
        <w:t xml:space="preserve">which led to </w:t>
      </w:r>
      <w:r>
        <w:rPr>
          <w:lang w:val="en-IN"/>
        </w:rPr>
        <w:t>a 2,471 per cent increase in its nominal GDP as measured in rupees over the 25-year period.</w:t>
      </w:r>
      <w:r w:rsidRPr="00314917">
        <w:rPr>
          <w:rStyle w:val="EndnoteReference"/>
        </w:rPr>
        <w:endnoteReference w:id="8"/>
      </w:r>
      <w:r>
        <w:rPr>
          <w:lang w:val="en-IN"/>
        </w:rPr>
        <w:t xml:space="preserve"> A </w:t>
      </w:r>
      <w:r>
        <w:t xml:space="preserve">real GDP growth rate of 7.6 per cent in FY 2015/16 had earned India the distinction of being the </w:t>
      </w:r>
      <w:r>
        <w:rPr>
          <w:lang w:val="en-IN"/>
        </w:rPr>
        <w:t>fastest</w:t>
      </w:r>
      <w:r w:rsidR="00CA181E">
        <w:rPr>
          <w:lang w:val="en-IN"/>
        </w:rPr>
        <w:t>-</w:t>
      </w:r>
      <w:r>
        <w:rPr>
          <w:lang w:val="en-IN"/>
        </w:rPr>
        <w:t>growing economy in the world, outpacing even China.</w:t>
      </w:r>
      <w:r w:rsidRPr="00314917">
        <w:rPr>
          <w:rStyle w:val="EndnoteReference"/>
        </w:rPr>
        <w:endnoteReference w:id="9"/>
      </w:r>
    </w:p>
    <w:p w14:paraId="0F51F42F" w14:textId="77777777" w:rsidR="000E02C1" w:rsidRDefault="000E02C1" w:rsidP="00314917">
      <w:pPr>
        <w:pStyle w:val="BodyTextMain"/>
        <w:rPr>
          <w:lang w:val="en-IN"/>
        </w:rPr>
      </w:pPr>
    </w:p>
    <w:p w14:paraId="23C0BEC9" w14:textId="77777777" w:rsidR="000E02C1" w:rsidRDefault="000E02C1" w:rsidP="00314917">
      <w:pPr>
        <w:pStyle w:val="BodyTextMain"/>
        <w:rPr>
          <w:lang w:val="en-IN"/>
        </w:rPr>
      </w:pPr>
    </w:p>
    <w:p w14:paraId="246F1169" w14:textId="77777777" w:rsidR="000E02C1" w:rsidRDefault="000E02C1" w:rsidP="00314917">
      <w:pPr>
        <w:pStyle w:val="Casehead2"/>
        <w:rPr>
          <w:lang w:val="en-IN"/>
        </w:rPr>
      </w:pPr>
      <w:r>
        <w:rPr>
          <w:lang w:val="en-IN"/>
        </w:rPr>
        <w:t>Gross Domestic Product</w:t>
      </w:r>
    </w:p>
    <w:p w14:paraId="788BBC39" w14:textId="77777777" w:rsidR="000E02C1" w:rsidRDefault="000E02C1" w:rsidP="00314917">
      <w:pPr>
        <w:pStyle w:val="BodyTextMain"/>
        <w:rPr>
          <w:lang w:val="en-IN"/>
        </w:rPr>
      </w:pPr>
    </w:p>
    <w:p w14:paraId="56116459" w14:textId="29EB0B2E" w:rsidR="000E02C1" w:rsidRDefault="000E02C1" w:rsidP="00314917">
      <w:pPr>
        <w:pStyle w:val="BodyTextMain"/>
        <w:rPr>
          <w:lang w:val="en-IN"/>
        </w:rPr>
      </w:pPr>
      <w:r>
        <w:rPr>
          <w:lang w:val="en-IN"/>
        </w:rPr>
        <w:t xml:space="preserve">In production (the supply side of GDP), a large agricultural sector, comprising almost 50 per cent of the workforce, contributed to 15.4 per cent of the </w:t>
      </w:r>
      <w:r w:rsidR="00CA181E">
        <w:rPr>
          <w:lang w:val="en-IN"/>
        </w:rPr>
        <w:t>g</w:t>
      </w:r>
      <w:r w:rsidR="00C9174A">
        <w:rPr>
          <w:lang w:val="en-IN"/>
        </w:rPr>
        <w:t xml:space="preserve">ross </w:t>
      </w:r>
      <w:r w:rsidR="00CA181E">
        <w:rPr>
          <w:lang w:val="en-IN"/>
        </w:rPr>
        <w:t>v</w:t>
      </w:r>
      <w:r w:rsidR="00C9174A">
        <w:rPr>
          <w:lang w:val="en-IN"/>
        </w:rPr>
        <w:t xml:space="preserve">alue </w:t>
      </w:r>
      <w:r w:rsidR="00CA181E">
        <w:rPr>
          <w:lang w:val="en-IN"/>
        </w:rPr>
        <w:t>a</w:t>
      </w:r>
      <w:r w:rsidR="00C9174A">
        <w:rPr>
          <w:lang w:val="en-IN"/>
        </w:rPr>
        <w:t>dded (GVA)</w:t>
      </w:r>
      <w:r>
        <w:rPr>
          <w:lang w:val="en-IN"/>
        </w:rPr>
        <w:t>, while industry’s share in employment and output were 24.3 per cent and 22.7 per cent</w:t>
      </w:r>
      <w:r w:rsidRPr="00EA3C4C">
        <w:rPr>
          <w:lang w:val="en-IN"/>
        </w:rPr>
        <w:t xml:space="preserve"> </w:t>
      </w:r>
      <w:r>
        <w:rPr>
          <w:lang w:val="en-IN"/>
        </w:rPr>
        <w:t>respectively. The economy was service-led, with services accounting for 61.</w:t>
      </w:r>
      <w:r w:rsidR="00C9174A">
        <w:rPr>
          <w:lang w:val="en-IN"/>
        </w:rPr>
        <w:t>9</w:t>
      </w:r>
      <w:r>
        <w:rPr>
          <w:lang w:val="en-IN"/>
        </w:rPr>
        <w:t xml:space="preserve"> per cent of G</w:t>
      </w:r>
      <w:r w:rsidR="00C9174A">
        <w:rPr>
          <w:lang w:val="en-IN"/>
        </w:rPr>
        <w:t>VA</w:t>
      </w:r>
      <w:r w:rsidRPr="00314917">
        <w:rPr>
          <w:rStyle w:val="EndnoteReference"/>
        </w:rPr>
        <w:endnoteReference w:id="10"/>
      </w:r>
      <w:r>
        <w:rPr>
          <w:lang w:val="en-IN"/>
        </w:rPr>
        <w:t xml:space="preserve"> </w:t>
      </w:r>
      <w:r w:rsidR="005C30B6">
        <w:rPr>
          <w:lang w:val="en-IN"/>
        </w:rPr>
        <w:t>(</w:t>
      </w:r>
      <w:r w:rsidR="00CA181E">
        <w:rPr>
          <w:lang w:val="en-IN"/>
        </w:rPr>
        <w:t xml:space="preserve">see </w:t>
      </w:r>
      <w:r w:rsidR="005C30B6">
        <w:rPr>
          <w:lang w:val="en-IN"/>
        </w:rPr>
        <w:t xml:space="preserve">Exhibit 1). </w:t>
      </w:r>
      <w:r>
        <w:rPr>
          <w:lang w:val="en-IN"/>
        </w:rPr>
        <w:t>A large, unorganized sector, compris</w:t>
      </w:r>
      <w:r w:rsidR="009C3DE4">
        <w:rPr>
          <w:lang w:val="en-IN"/>
        </w:rPr>
        <w:t>ing</w:t>
      </w:r>
      <w:r>
        <w:rPr>
          <w:lang w:val="en-IN"/>
        </w:rPr>
        <w:t xml:space="preserve"> micro, small, and medium enterprises (MSMEs) contributed to 37.54 per cent of the total GDP in FY </w:t>
      </w:r>
      <w:r w:rsidR="007719AF">
        <w:rPr>
          <w:lang w:val="en-IN"/>
        </w:rPr>
        <w:t>2012</w:t>
      </w:r>
      <w:r w:rsidR="00910089">
        <w:rPr>
          <w:lang w:val="en-IN"/>
        </w:rPr>
        <w:t>/</w:t>
      </w:r>
      <w:r>
        <w:rPr>
          <w:lang w:val="en-IN"/>
        </w:rPr>
        <w:t>13.</w:t>
      </w:r>
      <w:r w:rsidRPr="00314917">
        <w:rPr>
          <w:rStyle w:val="EndnoteReference"/>
        </w:rPr>
        <w:endnoteReference w:id="11"/>
      </w:r>
      <w:r>
        <w:rPr>
          <w:lang w:val="en-IN"/>
        </w:rPr>
        <w:t xml:space="preserve"> Of this</w:t>
      </w:r>
      <w:r w:rsidR="00910089">
        <w:rPr>
          <w:lang w:val="en-IN"/>
        </w:rPr>
        <w:t xml:space="preserve"> amount</w:t>
      </w:r>
      <w:r>
        <w:rPr>
          <w:lang w:val="en-IN"/>
        </w:rPr>
        <w:t xml:space="preserve">, manufacturing </w:t>
      </w:r>
      <w:r w:rsidR="004D09BA">
        <w:rPr>
          <w:lang w:val="en-IN"/>
        </w:rPr>
        <w:t>M</w:t>
      </w:r>
      <w:r>
        <w:rPr>
          <w:lang w:val="en-IN"/>
        </w:rPr>
        <w:t xml:space="preserve">SMEs’ share was 7.04 per cent, while the service sector </w:t>
      </w:r>
      <w:r w:rsidR="004D09BA">
        <w:rPr>
          <w:lang w:val="en-IN"/>
        </w:rPr>
        <w:t>M</w:t>
      </w:r>
      <w:r>
        <w:rPr>
          <w:lang w:val="en-IN"/>
        </w:rPr>
        <w:t xml:space="preserve">SMEs’ </w:t>
      </w:r>
      <w:r w:rsidR="00910089">
        <w:rPr>
          <w:lang w:val="en-IN"/>
        </w:rPr>
        <w:t xml:space="preserve">share </w:t>
      </w:r>
      <w:r>
        <w:rPr>
          <w:lang w:val="en-IN"/>
        </w:rPr>
        <w:t>was 30.5 per cent. MSME manufacturing output contributed to 37.33 per cent of the total manufacturing output</w:t>
      </w:r>
      <w:r w:rsidR="00045F88">
        <w:rPr>
          <w:lang w:val="en-IN"/>
        </w:rPr>
        <w:t xml:space="preserve"> in India</w:t>
      </w:r>
      <w:r w:rsidR="004D09BA">
        <w:rPr>
          <w:lang w:val="en-IN"/>
        </w:rPr>
        <w:t>.</w:t>
      </w:r>
      <w:r w:rsidR="004D09BA" w:rsidRPr="00314917">
        <w:rPr>
          <w:rStyle w:val="EndnoteReference"/>
        </w:rPr>
        <w:endnoteReference w:id="12"/>
      </w:r>
      <w:r w:rsidR="004D09BA">
        <w:rPr>
          <w:lang w:val="en-IN"/>
        </w:rPr>
        <w:t xml:space="preserve"> Further, the share of MSMEs in India’s</w:t>
      </w:r>
      <w:r>
        <w:rPr>
          <w:lang w:val="en-IN"/>
        </w:rPr>
        <w:t xml:space="preserve"> total exports</w:t>
      </w:r>
      <w:r w:rsidR="007B1C7E">
        <w:rPr>
          <w:lang w:val="en-IN"/>
        </w:rPr>
        <w:t xml:space="preserve"> in FY 2015/</w:t>
      </w:r>
      <w:r w:rsidR="004D09BA">
        <w:rPr>
          <w:lang w:val="en-IN"/>
        </w:rPr>
        <w:t>16 was 49.86 per cent</w:t>
      </w:r>
      <w:r>
        <w:rPr>
          <w:lang w:val="en-IN"/>
        </w:rPr>
        <w:t>.</w:t>
      </w:r>
      <w:r w:rsidR="004D09BA">
        <w:rPr>
          <w:rStyle w:val="EndnoteReference"/>
          <w:lang w:val="en-IN"/>
        </w:rPr>
        <w:endnoteReference w:id="13"/>
      </w:r>
    </w:p>
    <w:p w14:paraId="744389CA" w14:textId="77777777" w:rsidR="000E02C1" w:rsidRDefault="000E02C1" w:rsidP="00314917">
      <w:pPr>
        <w:pStyle w:val="BodyTextMain"/>
        <w:rPr>
          <w:lang w:val="en-IN"/>
        </w:rPr>
      </w:pPr>
    </w:p>
    <w:p w14:paraId="52638F89" w14:textId="11CBFC6E" w:rsidR="000E02C1" w:rsidRDefault="00910089" w:rsidP="00314917">
      <w:pPr>
        <w:pStyle w:val="BodyTextMain"/>
      </w:pPr>
      <w:r>
        <w:t>In terms of a</w:t>
      </w:r>
      <w:r w:rsidR="007719AF">
        <w:t xml:space="preserve">nalyzing </w:t>
      </w:r>
      <w:r w:rsidR="000E02C1">
        <w:t xml:space="preserve">the demand side of </w:t>
      </w:r>
      <w:r w:rsidR="007719AF">
        <w:t xml:space="preserve">the </w:t>
      </w:r>
      <w:r w:rsidR="000E02C1">
        <w:t>GDP, India was a private consumption-led economy. These expenditures, accounting for 5</w:t>
      </w:r>
      <w:r w:rsidR="005C30B6">
        <w:t>5.5</w:t>
      </w:r>
      <w:r w:rsidR="000E02C1">
        <w:t xml:space="preserve"> per cent of GDP</w:t>
      </w:r>
      <w:r w:rsidR="005C30B6">
        <w:t xml:space="preserve"> in 2015/16 (</w:t>
      </w:r>
      <w:r>
        <w:t xml:space="preserve">see </w:t>
      </w:r>
      <w:r w:rsidR="005C30B6">
        <w:t>Exhibit 2)</w:t>
      </w:r>
      <w:r w:rsidR="000E02C1">
        <w:t>,</w:t>
      </w:r>
      <w:r w:rsidR="000E02C1" w:rsidRPr="00314917">
        <w:rPr>
          <w:rStyle w:val="EndnoteReference"/>
        </w:rPr>
        <w:endnoteReference w:id="14"/>
      </w:r>
      <w:r w:rsidR="000E02C1">
        <w:t xml:space="preserve"> were driven mainly by cash purchases. A PricewaterhouseCoopers report estimated in 2015 that 98 per cent of all transactions in India by volume and 68 per cent of all transactions by value were conducted in cash.</w:t>
      </w:r>
      <w:r w:rsidR="000E02C1" w:rsidRPr="00314917">
        <w:rPr>
          <w:rStyle w:val="EndnoteReference"/>
        </w:rPr>
        <w:endnoteReference w:id="15"/>
      </w:r>
    </w:p>
    <w:p w14:paraId="50866D2F" w14:textId="77777777" w:rsidR="000E02C1" w:rsidRDefault="000E02C1" w:rsidP="00314917">
      <w:pPr>
        <w:pStyle w:val="BodyTextMain"/>
      </w:pPr>
    </w:p>
    <w:p w14:paraId="75625E27" w14:textId="5F5D2A23" w:rsidR="000E02C1" w:rsidRDefault="000E02C1" w:rsidP="00314917">
      <w:pPr>
        <w:pStyle w:val="BodyTextMain"/>
      </w:pPr>
      <w:r>
        <w:t xml:space="preserve">The savings rates in the economy—a prerequisite to capital accumulation and financial investment—had declined considerably since the peak of 36.8 per cent achieved in FY </w:t>
      </w:r>
      <w:r w:rsidR="007719AF">
        <w:t>2007</w:t>
      </w:r>
      <w:r w:rsidR="007B1C7E">
        <w:t>/</w:t>
      </w:r>
      <w:r>
        <w:t xml:space="preserve">08, and stood at 32.2 per cent of GDP in FY </w:t>
      </w:r>
      <w:r w:rsidR="003729B8">
        <w:t>2015</w:t>
      </w:r>
      <w:r w:rsidR="007B1C7E">
        <w:t>/</w:t>
      </w:r>
      <w:r>
        <w:t xml:space="preserve">16. The concomitant investment rates had also declined and stood at 33.2 per cent of GDP in FY </w:t>
      </w:r>
      <w:r w:rsidR="003729B8">
        <w:t>2015</w:t>
      </w:r>
      <w:r w:rsidR="007B1C7E">
        <w:t>/</w:t>
      </w:r>
      <w:r>
        <w:t>16.</w:t>
      </w:r>
      <w:r w:rsidRPr="00314917">
        <w:rPr>
          <w:rStyle w:val="EndnoteReference"/>
        </w:rPr>
        <w:endnoteReference w:id="16"/>
      </w:r>
      <w:r>
        <w:t xml:space="preserve"> </w:t>
      </w:r>
    </w:p>
    <w:p w14:paraId="2715C629" w14:textId="77777777" w:rsidR="000E02C1" w:rsidRDefault="000E02C1" w:rsidP="00314917">
      <w:pPr>
        <w:pStyle w:val="BodyTextMain"/>
      </w:pPr>
    </w:p>
    <w:p w14:paraId="13D1ACB9" w14:textId="1426742F" w:rsidR="000E02C1" w:rsidRPr="00F935FC" w:rsidRDefault="000E02C1" w:rsidP="00314917">
      <w:pPr>
        <w:pStyle w:val="BodyTextMain"/>
        <w:rPr>
          <w:lang w:val="en-IN"/>
        </w:rPr>
      </w:pPr>
      <w:r>
        <w:t>Domestic industrial activity, especially manufacturing, had contracted in early FY 2016/17.</w:t>
      </w:r>
      <w:r w:rsidRPr="00314917">
        <w:rPr>
          <w:rStyle w:val="EndnoteReference"/>
        </w:rPr>
        <w:endnoteReference w:id="17"/>
      </w:r>
      <w:r>
        <w:t xml:space="preserve"> Export demand was also weak, given the slowdown in global trade amid rising protectionism in the United States, and China’s slowdown and rebalancing toward domestic consumption.</w:t>
      </w:r>
      <w:r w:rsidRPr="00314917">
        <w:rPr>
          <w:rStyle w:val="EndnoteReference"/>
        </w:rPr>
        <w:endnoteReference w:id="18"/>
      </w:r>
      <w:r>
        <w:t xml:space="preserve"> Yet, </w:t>
      </w:r>
      <w:r>
        <w:rPr>
          <w:lang w:val="en-IN"/>
        </w:rPr>
        <w:t>the most prominent stock market index of India, the Bombay Stock Exchange Sensitive Index (the BSE Sensex), had</w:t>
      </w:r>
      <w:r w:rsidRPr="004A53C7">
        <w:rPr>
          <w:lang w:val="en-IN"/>
        </w:rPr>
        <w:t xml:space="preserve"> reach</w:t>
      </w:r>
      <w:r>
        <w:rPr>
          <w:lang w:val="en-IN"/>
        </w:rPr>
        <w:t>ed</w:t>
      </w:r>
      <w:r w:rsidRPr="004A53C7">
        <w:rPr>
          <w:lang w:val="en-IN"/>
        </w:rPr>
        <w:t xml:space="preserve"> 25,3</w:t>
      </w:r>
      <w:r>
        <w:rPr>
          <w:lang w:val="en-IN"/>
        </w:rPr>
        <w:t xml:space="preserve">41.86 points by the end of FY </w:t>
      </w:r>
      <w:r w:rsidR="003729B8">
        <w:rPr>
          <w:lang w:val="en-IN"/>
        </w:rPr>
        <w:t>2015</w:t>
      </w:r>
      <w:r w:rsidR="007B1C7E">
        <w:rPr>
          <w:lang w:val="en-IN"/>
        </w:rPr>
        <w:t>/</w:t>
      </w:r>
      <w:r>
        <w:rPr>
          <w:lang w:val="en-IN"/>
        </w:rPr>
        <w:t>16</w:t>
      </w:r>
      <w:r w:rsidRPr="004A53C7">
        <w:rPr>
          <w:lang w:val="en-IN"/>
        </w:rPr>
        <w:t>.</w:t>
      </w:r>
      <w:r w:rsidRPr="00314917">
        <w:rPr>
          <w:rStyle w:val="EndnoteReference"/>
        </w:rPr>
        <w:endnoteReference w:id="19"/>
      </w:r>
      <w:r>
        <w:rPr>
          <w:lang w:val="en-IN"/>
        </w:rPr>
        <w:t xml:space="preserve"> </w:t>
      </w:r>
      <w:r w:rsidR="00F2324E">
        <w:rPr>
          <w:lang w:val="en-IN"/>
        </w:rPr>
        <w:t>Growth in p</w:t>
      </w:r>
      <w:r w:rsidRPr="00F935FC">
        <w:rPr>
          <w:lang w:val="en-IN"/>
        </w:rPr>
        <w:t>er capita power consumption</w:t>
      </w:r>
      <w:r>
        <w:rPr>
          <w:lang w:val="en-IN"/>
        </w:rPr>
        <w:t>, rising car sales, and rising mobile phone sales also pointed to India becoming an attractive destination for investments.</w:t>
      </w:r>
      <w:r w:rsidRPr="00314917">
        <w:rPr>
          <w:rStyle w:val="EndnoteReference"/>
        </w:rPr>
        <w:endnoteReference w:id="20"/>
      </w:r>
    </w:p>
    <w:p w14:paraId="699E1716" w14:textId="77777777" w:rsidR="000E02C1" w:rsidRDefault="000E02C1" w:rsidP="00314917">
      <w:pPr>
        <w:pStyle w:val="BodyTextMain"/>
      </w:pPr>
    </w:p>
    <w:p w14:paraId="058FF756" w14:textId="77777777" w:rsidR="000E02C1" w:rsidRDefault="000E02C1" w:rsidP="00314917">
      <w:pPr>
        <w:pStyle w:val="BodyTextMain"/>
        <w:rPr>
          <w:lang w:val="en-IN"/>
        </w:rPr>
      </w:pPr>
    </w:p>
    <w:p w14:paraId="7F105F6D" w14:textId="77777777" w:rsidR="000E02C1" w:rsidRDefault="000E02C1" w:rsidP="00314917">
      <w:pPr>
        <w:pStyle w:val="Casehead2"/>
        <w:rPr>
          <w:lang w:val="en-IN"/>
        </w:rPr>
      </w:pPr>
      <w:r>
        <w:rPr>
          <w:lang w:val="en-IN"/>
        </w:rPr>
        <w:t>Inflation</w:t>
      </w:r>
    </w:p>
    <w:p w14:paraId="0C504E98" w14:textId="77777777" w:rsidR="000E02C1" w:rsidRDefault="000E02C1" w:rsidP="00314917">
      <w:pPr>
        <w:pStyle w:val="BodyTextMain"/>
        <w:rPr>
          <w:lang w:val="en-IN"/>
        </w:rPr>
      </w:pPr>
    </w:p>
    <w:p w14:paraId="70E892BD" w14:textId="58A544F0" w:rsidR="000E02C1" w:rsidRDefault="000E02C1" w:rsidP="00314917">
      <w:pPr>
        <w:pStyle w:val="BodyTextMain"/>
        <w:rPr>
          <w:lang w:val="en-IN"/>
        </w:rPr>
      </w:pPr>
      <w:r>
        <w:rPr>
          <w:lang w:val="en-IN"/>
        </w:rPr>
        <w:t xml:space="preserve">In 2014, following high domestic inflation, India adopted an inflationary targeting regime aimed at keeping inflation within a broad range of 4 </w:t>
      </w:r>
      <w:r w:rsidRPr="006133CE">
        <w:t>per cent, with a band of +/</w:t>
      </w:r>
      <w:r>
        <w:t>−</w:t>
      </w:r>
      <w:r w:rsidRPr="006133CE">
        <w:t>2 per cent</w:t>
      </w:r>
      <w:r>
        <w:t>.</w:t>
      </w:r>
      <w:r w:rsidRPr="00314917">
        <w:rPr>
          <w:rStyle w:val="EndnoteReference"/>
        </w:rPr>
        <w:endnoteReference w:id="21"/>
      </w:r>
      <w:r>
        <w:t xml:space="preserve"> The Reserve Bank of India (RBI) used a monetary policy of changing interest rates—the bank</w:t>
      </w:r>
      <w:r w:rsidR="00F879B8">
        <w:t>,</w:t>
      </w:r>
      <w:r>
        <w:t xml:space="preserve"> or repo</w:t>
      </w:r>
      <w:r w:rsidR="00F879B8">
        <w:t>,</w:t>
      </w:r>
      <w:r>
        <w:t xml:space="preserve"> rate—to drive down inflation. Consequently,</w:t>
      </w:r>
      <w:r w:rsidRPr="00842D3A">
        <w:rPr>
          <w:lang w:val="en-IN"/>
        </w:rPr>
        <w:t xml:space="preserve"> </w:t>
      </w:r>
      <w:r>
        <w:rPr>
          <w:lang w:val="en-IN"/>
        </w:rPr>
        <w:t>inflation</w:t>
      </w:r>
      <w:r w:rsidRPr="00842D3A">
        <w:rPr>
          <w:lang w:val="en-IN"/>
        </w:rPr>
        <w:t xml:space="preserve"> had declined to 4.9</w:t>
      </w:r>
      <w:r>
        <w:rPr>
          <w:lang w:val="en-IN"/>
        </w:rPr>
        <w:t xml:space="preserve"> per cent</w:t>
      </w:r>
      <w:r w:rsidRPr="00842D3A">
        <w:rPr>
          <w:lang w:val="en-IN"/>
        </w:rPr>
        <w:t xml:space="preserve"> in </w:t>
      </w:r>
      <w:r>
        <w:rPr>
          <w:lang w:val="en-IN"/>
        </w:rPr>
        <w:t xml:space="preserve">FY </w:t>
      </w:r>
      <w:r w:rsidRPr="00842D3A">
        <w:rPr>
          <w:lang w:val="en-IN"/>
        </w:rPr>
        <w:t>2015</w:t>
      </w:r>
      <w:r>
        <w:rPr>
          <w:lang w:val="en-IN"/>
        </w:rPr>
        <w:t>/</w:t>
      </w:r>
      <w:r w:rsidRPr="00842D3A">
        <w:rPr>
          <w:lang w:val="en-IN"/>
        </w:rPr>
        <w:t>16</w:t>
      </w:r>
      <w:r>
        <w:rPr>
          <w:lang w:val="en-IN"/>
        </w:rPr>
        <w:t>.</w:t>
      </w:r>
      <w:r w:rsidRPr="00314917">
        <w:rPr>
          <w:rStyle w:val="EndnoteReference"/>
        </w:rPr>
        <w:endnoteReference w:id="22"/>
      </w:r>
      <w:r>
        <w:rPr>
          <w:lang w:val="en-IN"/>
        </w:rPr>
        <w:t xml:space="preserve"> However, the implementation of the Seventh Pay Commission award,</w:t>
      </w:r>
      <w:r w:rsidRPr="00314917">
        <w:rPr>
          <w:rStyle w:val="EndnoteReference"/>
        </w:rPr>
        <w:endnoteReference w:id="23"/>
      </w:r>
      <w:r>
        <w:rPr>
          <w:lang w:val="en-IN"/>
        </w:rPr>
        <w:t xml:space="preserve"> the reversal of trends in global crude oil prices, and a reduction in the gap between actual and potential output (the “output gap”) posed “prominent upward risks” to inflation.</w:t>
      </w:r>
      <w:r w:rsidRPr="00314917">
        <w:rPr>
          <w:rStyle w:val="EndnoteReference"/>
        </w:rPr>
        <w:endnoteReference w:id="24"/>
      </w:r>
    </w:p>
    <w:p w14:paraId="25523E25" w14:textId="77777777" w:rsidR="000E02C1" w:rsidRDefault="000E02C1" w:rsidP="00314917">
      <w:pPr>
        <w:pStyle w:val="BodyTextMain"/>
        <w:rPr>
          <w:lang w:val="en-IN"/>
        </w:rPr>
      </w:pPr>
    </w:p>
    <w:p w14:paraId="5F26D10E" w14:textId="2243DF08" w:rsidR="000E02C1" w:rsidRPr="00CD10CD" w:rsidRDefault="000E02C1" w:rsidP="00314917">
      <w:pPr>
        <w:pStyle w:val="BodyTextMain"/>
      </w:pPr>
      <w:r>
        <w:t>To reduce its deficit indicators,</w:t>
      </w:r>
      <w:r w:rsidDel="007255FC">
        <w:t xml:space="preserve"> </w:t>
      </w:r>
      <w:r>
        <w:t xml:space="preserve">the Indian government had set a ceiling of 3.6 per cent of GDP on its fiscal deficit for FY </w:t>
      </w:r>
      <w:r w:rsidR="007B1C7E">
        <w:t>2015/</w:t>
      </w:r>
      <w:r>
        <w:t>16.</w:t>
      </w:r>
      <w:r w:rsidRPr="00314917">
        <w:rPr>
          <w:rStyle w:val="EndnoteReference"/>
        </w:rPr>
        <w:endnoteReference w:id="25"/>
      </w:r>
      <w:r>
        <w:t xml:space="preserve"> However, the fiscal deficit that year was 3.94 per cent.</w:t>
      </w:r>
      <w:r w:rsidRPr="00314917">
        <w:rPr>
          <w:rStyle w:val="EndnoteReference"/>
        </w:rPr>
        <w:endnoteReference w:id="26"/>
      </w:r>
      <w:r>
        <w:t xml:space="preserve"> The plan was to bring </w:t>
      </w:r>
      <w:r>
        <w:lastRenderedPageBreak/>
        <w:t>the fiscal deficit down to 3 per cent, the revenue deficit to 0.93 per cent, and the debt stock of the union government to 36.3 per cent by FY 2019/20.</w:t>
      </w:r>
      <w:r w:rsidRPr="00314917">
        <w:rPr>
          <w:rStyle w:val="EndnoteReference"/>
        </w:rPr>
        <w:endnoteReference w:id="27"/>
      </w:r>
      <w:r>
        <w:t xml:space="preserve"> </w:t>
      </w:r>
    </w:p>
    <w:p w14:paraId="6F2EE817" w14:textId="77777777" w:rsidR="000E02C1" w:rsidRPr="00CD10CD" w:rsidRDefault="000E02C1" w:rsidP="00314917">
      <w:pPr>
        <w:pStyle w:val="BodyTextMain"/>
      </w:pPr>
    </w:p>
    <w:p w14:paraId="7FE3C6BA" w14:textId="77777777" w:rsidR="000E02C1" w:rsidRDefault="000E02C1" w:rsidP="00314917">
      <w:pPr>
        <w:pStyle w:val="BodyTextMain"/>
        <w:rPr>
          <w:lang w:val="en-IN"/>
        </w:rPr>
      </w:pPr>
    </w:p>
    <w:p w14:paraId="604BBF89" w14:textId="77777777" w:rsidR="000E02C1" w:rsidRDefault="000E02C1" w:rsidP="00314917">
      <w:pPr>
        <w:pStyle w:val="Casehead2"/>
        <w:keepNext/>
        <w:rPr>
          <w:lang w:val="en-IN"/>
        </w:rPr>
      </w:pPr>
      <w:r>
        <w:rPr>
          <w:lang w:val="en-IN"/>
        </w:rPr>
        <w:t>Money Supply</w:t>
      </w:r>
    </w:p>
    <w:p w14:paraId="74BE93FA" w14:textId="77777777" w:rsidR="000E02C1" w:rsidRDefault="000E02C1" w:rsidP="00314917">
      <w:pPr>
        <w:pStyle w:val="BodyTextMain"/>
        <w:keepNext/>
        <w:rPr>
          <w:lang w:val="en-IN"/>
        </w:rPr>
      </w:pPr>
    </w:p>
    <w:p w14:paraId="758AAAAC" w14:textId="64A915B8" w:rsidR="000E02C1" w:rsidRPr="00314917" w:rsidRDefault="000E02C1" w:rsidP="00314917">
      <w:pPr>
        <w:pStyle w:val="BodyTextMain"/>
        <w:rPr>
          <w:lang w:val="en-IN"/>
        </w:rPr>
      </w:pPr>
      <w:r>
        <w:rPr>
          <w:lang w:val="en-IN"/>
        </w:rPr>
        <w:t>The money supply in India comprised currency with the public, demand deposits with banks, and time deposits and other deposits with the RBI</w:t>
      </w:r>
      <w:r w:rsidRPr="00A36243">
        <w:rPr>
          <w:lang w:val="en-IN"/>
        </w:rPr>
        <w:t xml:space="preserve"> (see Exhibit </w:t>
      </w:r>
      <w:r w:rsidR="005E59FC">
        <w:rPr>
          <w:lang w:val="en-IN"/>
        </w:rPr>
        <w:t>3</w:t>
      </w:r>
      <w:r w:rsidRPr="00A36243">
        <w:rPr>
          <w:lang w:val="en-IN"/>
        </w:rPr>
        <w:t>).</w:t>
      </w:r>
      <w:r w:rsidRPr="009B0521">
        <w:rPr>
          <w:rStyle w:val="EndnoteReference"/>
        </w:rPr>
        <w:endnoteReference w:id="28"/>
      </w:r>
      <w:r>
        <w:rPr>
          <w:lang w:val="en-IN"/>
        </w:rPr>
        <w:t xml:space="preserve"> Nationalization of banks in 1969 and 1980 and subsequent branch expansion had led to a decline in the currency share of money supply</w:t>
      </w:r>
      <w:r w:rsidRPr="00314917">
        <w:rPr>
          <w:rStyle w:val="EndnoteReference"/>
        </w:rPr>
        <w:endnoteReference w:id="29"/>
      </w:r>
      <w:r>
        <w:rPr>
          <w:lang w:val="en-IN"/>
        </w:rPr>
        <w:t xml:space="preserve"> and</w:t>
      </w:r>
      <w:r w:rsidRPr="007E1FA2">
        <w:t xml:space="preserve"> a concomitant rise in the share of bank deposits</w:t>
      </w:r>
      <w:r>
        <w:rPr>
          <w:lang w:val="en-IN"/>
        </w:rPr>
        <w:t>. Despite this, cash remained</w:t>
      </w:r>
      <w:r w:rsidRPr="00866532">
        <w:rPr>
          <w:lang w:val="en-IN"/>
        </w:rPr>
        <w:t xml:space="preserve"> an important mode o</w:t>
      </w:r>
      <w:r>
        <w:rPr>
          <w:lang w:val="en-IN"/>
        </w:rPr>
        <w:t>f payment in the Indian economy. Currency was</w:t>
      </w:r>
      <w:r w:rsidRPr="00866532">
        <w:rPr>
          <w:lang w:val="en-IN"/>
        </w:rPr>
        <w:t xml:space="preserve"> </w:t>
      </w:r>
      <w:r>
        <w:rPr>
          <w:lang w:val="en-IN"/>
        </w:rPr>
        <w:t xml:space="preserve">especially </w:t>
      </w:r>
      <w:r w:rsidRPr="00866532">
        <w:rPr>
          <w:lang w:val="en-IN"/>
        </w:rPr>
        <w:t>important</w:t>
      </w:r>
      <w:r>
        <w:rPr>
          <w:lang w:val="en-IN"/>
        </w:rPr>
        <w:t xml:space="preserve"> for</w:t>
      </w:r>
      <w:r w:rsidRPr="00866532">
        <w:rPr>
          <w:lang w:val="en-IN"/>
        </w:rPr>
        <w:t xml:space="preserve"> economic act</w:t>
      </w:r>
      <w:r>
        <w:rPr>
          <w:lang w:val="en-IN"/>
        </w:rPr>
        <w:t xml:space="preserve">ivity </w:t>
      </w:r>
      <w:r w:rsidRPr="00866532">
        <w:rPr>
          <w:lang w:val="en-IN"/>
        </w:rPr>
        <w:t>in rural India</w:t>
      </w:r>
      <w:r>
        <w:rPr>
          <w:lang w:val="en-IN"/>
        </w:rPr>
        <w:t>. The c</w:t>
      </w:r>
      <w:r w:rsidRPr="00866532">
        <w:rPr>
          <w:lang w:val="en-IN"/>
        </w:rPr>
        <w:t xml:space="preserve">urrency </w:t>
      </w:r>
      <w:r w:rsidR="00F2749F">
        <w:rPr>
          <w:lang w:val="en-IN"/>
        </w:rPr>
        <w:t xml:space="preserve">(C) </w:t>
      </w:r>
      <w:r w:rsidRPr="00866532">
        <w:rPr>
          <w:lang w:val="en-IN"/>
        </w:rPr>
        <w:t xml:space="preserve">to </w:t>
      </w:r>
      <w:r>
        <w:rPr>
          <w:lang w:val="en-IN"/>
        </w:rPr>
        <w:t xml:space="preserve">nominal </w:t>
      </w:r>
      <w:r w:rsidRPr="00866532">
        <w:rPr>
          <w:lang w:val="en-IN"/>
        </w:rPr>
        <w:t>GDP</w:t>
      </w:r>
      <w:r>
        <w:rPr>
          <w:lang w:val="en-IN"/>
        </w:rPr>
        <w:t xml:space="preserve"> ratio (C</w:t>
      </w:r>
      <w:r w:rsidR="00F2749F">
        <w:rPr>
          <w:lang w:val="en-IN"/>
        </w:rPr>
        <w:t xml:space="preserve"> ÷ </w:t>
      </w:r>
      <w:r>
        <w:rPr>
          <w:lang w:val="en-IN"/>
        </w:rPr>
        <w:t xml:space="preserve">GDP) stood at 12.25 per cent in FY </w:t>
      </w:r>
      <w:r w:rsidR="003179A7">
        <w:rPr>
          <w:lang w:val="en-IN"/>
        </w:rPr>
        <w:t>2015/</w:t>
      </w:r>
      <w:r>
        <w:rPr>
          <w:lang w:val="en-IN"/>
        </w:rPr>
        <w:t>16,</w:t>
      </w:r>
      <w:r w:rsidRPr="00314917">
        <w:rPr>
          <w:rStyle w:val="EndnoteReference"/>
        </w:rPr>
        <w:endnoteReference w:id="30"/>
      </w:r>
      <w:r>
        <w:rPr>
          <w:lang w:val="en-IN"/>
        </w:rPr>
        <w:t xml:space="preserve"> while the money supply to GDP ratio was </w:t>
      </w:r>
      <w:r w:rsidRPr="00842D3A">
        <w:rPr>
          <w:lang w:val="en-IN"/>
        </w:rPr>
        <w:t>85.84</w:t>
      </w:r>
      <w:r>
        <w:rPr>
          <w:lang w:val="en-IN"/>
        </w:rPr>
        <w:t xml:space="preserve"> per cent.</w:t>
      </w:r>
      <w:r w:rsidRPr="00314917">
        <w:rPr>
          <w:rStyle w:val="EndnoteReference"/>
        </w:rPr>
        <w:endnoteReference w:id="31"/>
      </w:r>
      <w:r w:rsidRPr="00866532">
        <w:t xml:space="preserve"> </w:t>
      </w:r>
    </w:p>
    <w:p w14:paraId="63C26D1C" w14:textId="77777777" w:rsidR="000E02C1" w:rsidRDefault="000E02C1" w:rsidP="00314917">
      <w:pPr>
        <w:pStyle w:val="BodyTextMain"/>
      </w:pPr>
    </w:p>
    <w:p w14:paraId="34E0C947" w14:textId="45B316D3" w:rsidR="000E02C1" w:rsidRDefault="000E02C1" w:rsidP="00314917">
      <w:pPr>
        <w:pStyle w:val="BodyTextMain"/>
      </w:pPr>
      <w:r>
        <w:rPr>
          <w:lang w:val="en-IN"/>
        </w:rPr>
        <w:t xml:space="preserve">The </w:t>
      </w:r>
      <w:r w:rsidRPr="00855DAB">
        <w:rPr>
          <w:rFonts w:ascii="Arial" w:hAnsi="Arial" w:cs="American Typewriter Light"/>
        </w:rPr>
        <w:t>₹</w:t>
      </w:r>
      <w:r>
        <w:t xml:space="preserve">500 note had been introduced in 1987 to meet the needs of a growing economy, while the </w:t>
      </w:r>
      <w:r w:rsidRPr="00855DAB">
        <w:rPr>
          <w:rFonts w:ascii="Arial" w:hAnsi="Arial" w:cs="American Typewriter Light"/>
        </w:rPr>
        <w:t>₹</w:t>
      </w:r>
      <w:r>
        <w:t>1,000 note had been introduced and demonetized twice, then again reintroduced in 2000.</w:t>
      </w:r>
      <w:r w:rsidRPr="00855DAB">
        <w:rPr>
          <w:rStyle w:val="EndnoteReference"/>
        </w:rPr>
        <w:endnoteReference w:id="32"/>
      </w:r>
      <w:r>
        <w:t xml:space="preserve"> In March 2016, </w:t>
      </w:r>
      <w:r w:rsidRPr="007E1FA2">
        <w:t>bankno</w:t>
      </w:r>
      <w:r>
        <w:t>tes worth</w:t>
      </w:r>
      <w:r w:rsidRPr="007E1FA2">
        <w:t xml:space="preserve"> </w:t>
      </w:r>
      <w:r w:rsidRPr="00314917">
        <w:rPr>
          <w:rFonts w:ascii="Arial" w:hAnsi="Arial" w:cs="American Typewriter Light"/>
          <w:sz w:val="20"/>
        </w:rPr>
        <w:t>₹</w:t>
      </w:r>
      <w:r w:rsidRPr="007E1FA2">
        <w:t>16,415 billion</w:t>
      </w:r>
      <w:r>
        <w:t xml:space="preserve"> were in circulation in India. </w:t>
      </w:r>
      <w:r w:rsidR="00F2749F">
        <w:t>At that time, t</w:t>
      </w:r>
      <w:r>
        <w:t>he</w:t>
      </w:r>
      <w:r w:rsidRPr="007E1FA2">
        <w:t xml:space="preserve"> </w:t>
      </w:r>
      <w:r w:rsidRPr="00314917">
        <w:rPr>
          <w:rFonts w:ascii="Arial" w:hAnsi="Arial" w:cs="American Typewriter Light"/>
          <w:sz w:val="20"/>
        </w:rPr>
        <w:t>₹</w:t>
      </w:r>
      <w:r w:rsidRPr="007E1FA2">
        <w:t xml:space="preserve">500 and </w:t>
      </w:r>
      <w:r w:rsidRPr="00314917">
        <w:rPr>
          <w:rFonts w:ascii="Arial" w:hAnsi="Arial" w:cs="American Typewriter Light"/>
          <w:sz w:val="20"/>
        </w:rPr>
        <w:t>₹</w:t>
      </w:r>
      <w:r w:rsidRPr="007E1FA2">
        <w:t xml:space="preserve">1,000 </w:t>
      </w:r>
      <w:r>
        <w:t xml:space="preserve">denomination </w:t>
      </w:r>
      <w:r w:rsidRPr="007E1FA2">
        <w:t>banknotes together accounted for 86.4 per cent of the total value of banknotes in circulation</w:t>
      </w:r>
      <w:r>
        <w:t>, while by volume, they comprised merely 24.4 per cent. In contrast, b</w:t>
      </w:r>
      <w:r w:rsidRPr="007E1FA2">
        <w:t xml:space="preserve">y volume, </w:t>
      </w:r>
      <w:r w:rsidRPr="00314917">
        <w:rPr>
          <w:rFonts w:ascii="Arial" w:hAnsi="Arial" w:cs="American Typewriter Light"/>
          <w:sz w:val="20"/>
        </w:rPr>
        <w:t>₹</w:t>
      </w:r>
      <w:r w:rsidRPr="007E1FA2">
        <w:t xml:space="preserve">10 and </w:t>
      </w:r>
      <w:r w:rsidRPr="00314917">
        <w:rPr>
          <w:rFonts w:ascii="Arial" w:hAnsi="Arial" w:cs="American Typewriter Light"/>
          <w:sz w:val="20"/>
        </w:rPr>
        <w:t>₹</w:t>
      </w:r>
      <w:r w:rsidRPr="007E1FA2">
        <w:t>100 banknotes constituted 53 per cent of the total banknotes in circulation</w:t>
      </w:r>
      <w:r>
        <w:t>.</w:t>
      </w:r>
      <w:r w:rsidRPr="00314917">
        <w:rPr>
          <w:rStyle w:val="EndnoteReference"/>
        </w:rPr>
        <w:endnoteReference w:id="33"/>
      </w:r>
    </w:p>
    <w:p w14:paraId="696C926F" w14:textId="77777777" w:rsidR="000E02C1" w:rsidRDefault="000E02C1" w:rsidP="00314917">
      <w:pPr>
        <w:pStyle w:val="BodyTextMain"/>
        <w:rPr>
          <w:lang w:val="en-IN"/>
        </w:rPr>
      </w:pPr>
    </w:p>
    <w:p w14:paraId="0D370461" w14:textId="77777777" w:rsidR="000E02C1" w:rsidRDefault="000E02C1" w:rsidP="00314917">
      <w:pPr>
        <w:pStyle w:val="BodyTextMain"/>
        <w:rPr>
          <w:lang w:val="en-IN"/>
        </w:rPr>
      </w:pPr>
    </w:p>
    <w:p w14:paraId="053A8977" w14:textId="77777777" w:rsidR="000E02C1" w:rsidRPr="00CD3D06" w:rsidRDefault="000E02C1" w:rsidP="00314917">
      <w:pPr>
        <w:pStyle w:val="Casehead1"/>
        <w:rPr>
          <w:lang w:val="en-IN"/>
        </w:rPr>
      </w:pPr>
      <w:r>
        <w:rPr>
          <w:lang w:val="en-IN"/>
        </w:rPr>
        <w:t>Corruption in I</w:t>
      </w:r>
      <w:r w:rsidRPr="00CD3D06">
        <w:rPr>
          <w:lang w:val="en-IN"/>
        </w:rPr>
        <w:t xml:space="preserve">ndia </w:t>
      </w:r>
    </w:p>
    <w:p w14:paraId="31B8453E" w14:textId="77777777" w:rsidR="000E02C1" w:rsidRDefault="000E02C1" w:rsidP="00314917">
      <w:pPr>
        <w:pStyle w:val="BodyTextMain"/>
        <w:rPr>
          <w:lang w:val="en-IN"/>
        </w:rPr>
      </w:pPr>
    </w:p>
    <w:p w14:paraId="0545190B" w14:textId="2C3804B5" w:rsidR="000E02C1" w:rsidRDefault="000E02C1" w:rsidP="00314917">
      <w:pPr>
        <w:pStyle w:val="BodyTextMain"/>
        <w:rPr>
          <w:lang w:val="en-IN"/>
        </w:rPr>
      </w:pPr>
      <w:r>
        <w:rPr>
          <w:lang w:val="en-IN"/>
        </w:rPr>
        <w:t xml:space="preserve">India had been grappling with corruption and charges of graft even in the pre-reform period, before 1991. However, firms could navigate most of the corruption—the result of the “Licence Raj” or “Permit Raj,” </w:t>
      </w:r>
      <w:r w:rsidRPr="00F62780">
        <w:rPr>
          <w:lang w:val="en-IN"/>
        </w:rPr>
        <w:t>a regime of rules</w:t>
      </w:r>
      <w:r>
        <w:rPr>
          <w:lang w:val="en-IN"/>
        </w:rPr>
        <w:t>, licences,</w:t>
      </w:r>
      <w:r w:rsidRPr="00F62780">
        <w:rPr>
          <w:lang w:val="en-IN"/>
        </w:rPr>
        <w:t xml:space="preserve"> and quotas</w:t>
      </w:r>
      <w:r>
        <w:rPr>
          <w:lang w:val="en-IN"/>
        </w:rPr>
        <w:t>—by paying small</w:t>
      </w:r>
      <w:r w:rsidRPr="00F62780">
        <w:rPr>
          <w:lang w:val="en-IN"/>
        </w:rPr>
        <w:t xml:space="preserve"> bribes</w:t>
      </w:r>
      <w:r>
        <w:rPr>
          <w:lang w:val="en-IN"/>
        </w:rPr>
        <w:t>. Privatization and liberalization in 1991 sought to reduce the red tape and corruption</w:t>
      </w:r>
      <w:r w:rsidR="006331DF">
        <w:rPr>
          <w:lang w:val="en-IN"/>
        </w:rPr>
        <w:t>;</w:t>
      </w:r>
      <w:r>
        <w:rPr>
          <w:lang w:val="en-IN"/>
        </w:rPr>
        <w:t xml:space="preserve"> </w:t>
      </w:r>
      <w:r w:rsidR="006331DF">
        <w:rPr>
          <w:lang w:val="en-IN"/>
        </w:rPr>
        <w:t>h</w:t>
      </w:r>
      <w:r>
        <w:rPr>
          <w:lang w:val="en-IN"/>
        </w:rPr>
        <w:t>owever, globalization</w:t>
      </w:r>
      <w:r w:rsidRPr="0000763A">
        <w:rPr>
          <w:lang w:val="en-IN"/>
        </w:rPr>
        <w:t xml:space="preserve"> created unprecedented opportunities for dishonesty</w:t>
      </w:r>
      <w:r>
        <w:rPr>
          <w:lang w:val="en-IN"/>
        </w:rPr>
        <w:t xml:space="preserve"> and increased corruption payoffs.</w:t>
      </w:r>
      <w:r w:rsidRPr="00314917">
        <w:rPr>
          <w:rStyle w:val="EndnoteReference"/>
        </w:rPr>
        <w:endnoteReference w:id="34"/>
      </w:r>
    </w:p>
    <w:p w14:paraId="46DE7358" w14:textId="77777777" w:rsidR="000E02C1" w:rsidRDefault="000E02C1" w:rsidP="00314917">
      <w:pPr>
        <w:pStyle w:val="BodyTextMain"/>
        <w:rPr>
          <w:lang w:val="en-IN"/>
        </w:rPr>
      </w:pPr>
    </w:p>
    <w:p w14:paraId="5EFBC139" w14:textId="4F4BCC64" w:rsidR="000E02C1" w:rsidRDefault="000E02C1" w:rsidP="00314917">
      <w:pPr>
        <w:pStyle w:val="BodyTextMain"/>
        <w:rPr>
          <w:lang w:val="en-IN"/>
        </w:rPr>
      </w:pPr>
      <w:r w:rsidRPr="00314917">
        <w:rPr>
          <w:lang w:val="en-IN"/>
        </w:rPr>
        <w:t>The</w:t>
      </w:r>
      <w:r w:rsidRPr="0000763A">
        <w:rPr>
          <w:i/>
          <w:lang w:val="en-IN"/>
        </w:rPr>
        <w:t xml:space="preserve"> Economist</w:t>
      </w:r>
      <w:r>
        <w:rPr>
          <w:lang w:val="en-IN"/>
        </w:rPr>
        <w:t xml:space="preserve"> used three methods to quantify profits from rent-seeking</w:t>
      </w:r>
      <w:r w:rsidR="00351252">
        <w:rPr>
          <w:lang w:val="en-IN"/>
        </w:rPr>
        <w:t xml:space="preserve"> (i.e.</w:t>
      </w:r>
      <w:r w:rsidR="008C0B35">
        <w:rPr>
          <w:lang w:val="en-IN"/>
        </w:rPr>
        <w:t>,</w:t>
      </w:r>
      <w:r w:rsidR="00351252">
        <w:rPr>
          <w:lang w:val="en-IN"/>
        </w:rPr>
        <w:t xml:space="preserve"> the tendency of people to seek benefits for themselves through political contacts and connections)</w:t>
      </w:r>
      <w:r>
        <w:rPr>
          <w:lang w:val="en-IN"/>
        </w:rPr>
        <w:t xml:space="preserve"> and in 2014, estimated that </w:t>
      </w:r>
      <w:r w:rsidRPr="0000763A">
        <w:rPr>
          <w:lang w:val="en-IN"/>
        </w:rPr>
        <w:t xml:space="preserve">gains from rent-seeking over the </w:t>
      </w:r>
      <w:r>
        <w:rPr>
          <w:lang w:val="en-IN"/>
        </w:rPr>
        <w:t>previous</w:t>
      </w:r>
      <w:r w:rsidRPr="0000763A">
        <w:rPr>
          <w:lang w:val="en-IN"/>
        </w:rPr>
        <w:t xml:space="preserve"> decade peak</w:t>
      </w:r>
      <w:r>
        <w:rPr>
          <w:lang w:val="en-IN"/>
        </w:rPr>
        <w:t>ed at about $80 billion—</w:t>
      </w:r>
      <w:r w:rsidRPr="0000763A">
        <w:rPr>
          <w:lang w:val="en-IN"/>
        </w:rPr>
        <w:t>equivalent to 7</w:t>
      </w:r>
      <w:r>
        <w:rPr>
          <w:lang w:val="en-IN"/>
        </w:rPr>
        <w:t xml:space="preserve"> per cent</w:t>
      </w:r>
      <w:r w:rsidRPr="0000763A">
        <w:rPr>
          <w:lang w:val="en-IN"/>
        </w:rPr>
        <w:t xml:space="preserve"> </w:t>
      </w:r>
      <w:r>
        <w:rPr>
          <w:lang w:val="en-IN"/>
        </w:rPr>
        <w:t>of the stock market’s value that year</w:t>
      </w:r>
      <w:r w:rsidRPr="0000763A">
        <w:rPr>
          <w:lang w:val="en-IN"/>
        </w:rPr>
        <w:t>.</w:t>
      </w:r>
      <w:r>
        <w:rPr>
          <w:lang w:val="en-IN"/>
        </w:rPr>
        <w:t xml:space="preserve"> </w:t>
      </w:r>
      <w:r w:rsidRPr="00314917">
        <w:rPr>
          <w:lang w:val="en-IN"/>
        </w:rPr>
        <w:t>The</w:t>
      </w:r>
      <w:r w:rsidRPr="00314917">
        <w:rPr>
          <w:i/>
          <w:lang w:val="en-IN"/>
        </w:rPr>
        <w:t xml:space="preserve"> Economist</w:t>
      </w:r>
      <w:r>
        <w:rPr>
          <w:lang w:val="en-IN"/>
        </w:rPr>
        <w:t xml:space="preserve"> estimated that the total paid in bribes was between $4 billion and $12 billion.</w:t>
      </w:r>
      <w:r w:rsidRPr="00314917">
        <w:rPr>
          <w:rStyle w:val="EndnoteReference"/>
        </w:rPr>
        <w:endnoteReference w:id="35"/>
      </w:r>
      <w:r>
        <w:rPr>
          <w:lang w:val="en-IN"/>
        </w:rPr>
        <w:t xml:space="preserve"> </w:t>
      </w:r>
    </w:p>
    <w:p w14:paraId="7B3081C4" w14:textId="77777777" w:rsidR="000E02C1" w:rsidRDefault="000E02C1" w:rsidP="00314917">
      <w:pPr>
        <w:pStyle w:val="BodyTextMain"/>
        <w:rPr>
          <w:lang w:val="en-IN"/>
        </w:rPr>
      </w:pPr>
    </w:p>
    <w:p w14:paraId="6325956E" w14:textId="0368D82C" w:rsidR="000E02C1" w:rsidRDefault="000E02C1" w:rsidP="00314917">
      <w:pPr>
        <w:pStyle w:val="BodyTextMain"/>
        <w:rPr>
          <w:lang w:val="en-IN"/>
        </w:rPr>
      </w:pPr>
      <w:r>
        <w:rPr>
          <w:lang w:val="en-IN"/>
        </w:rPr>
        <w:t>Petty corruption involved paying bribes to government officials (including the police) in cash, which could</w:t>
      </w:r>
      <w:r w:rsidRPr="0000763A">
        <w:rPr>
          <w:lang w:val="en-IN"/>
        </w:rPr>
        <w:t xml:space="preserve"> be deposited at b</w:t>
      </w:r>
      <w:r>
        <w:rPr>
          <w:lang w:val="en-IN"/>
        </w:rPr>
        <w:t xml:space="preserve">anks using </w:t>
      </w:r>
      <w:r>
        <w:rPr>
          <w:i/>
          <w:lang w:val="en-IN"/>
        </w:rPr>
        <w:t>b</w:t>
      </w:r>
      <w:r w:rsidRPr="00314917">
        <w:rPr>
          <w:i/>
          <w:lang w:val="en-IN"/>
        </w:rPr>
        <w:t>enami</w:t>
      </w:r>
      <w:r>
        <w:rPr>
          <w:lang w:val="en-IN"/>
        </w:rPr>
        <w:t xml:space="preserve"> (literally, nameless) or nominee</w:t>
      </w:r>
      <w:r w:rsidRPr="0000763A">
        <w:rPr>
          <w:lang w:val="en-IN"/>
        </w:rPr>
        <w:t xml:space="preserve"> accounts, or accounts in servants’ names. </w:t>
      </w:r>
      <w:r>
        <w:rPr>
          <w:lang w:val="en-IN"/>
        </w:rPr>
        <w:t>Such bribes were essentially transfer payments, which did not impact black income or black GDP.</w:t>
      </w:r>
      <w:r w:rsidRPr="00314917">
        <w:rPr>
          <w:rStyle w:val="EndnoteReference"/>
        </w:rPr>
        <w:endnoteReference w:id="36"/>
      </w:r>
    </w:p>
    <w:p w14:paraId="29ECFB76" w14:textId="77777777" w:rsidR="008C0B35" w:rsidRDefault="008C0B35" w:rsidP="00314917">
      <w:pPr>
        <w:pStyle w:val="BodyTextMain"/>
        <w:rPr>
          <w:lang w:val="en-IN"/>
        </w:rPr>
      </w:pPr>
    </w:p>
    <w:p w14:paraId="0EEF4926" w14:textId="25D450DE" w:rsidR="000E02C1" w:rsidRDefault="000E02C1" w:rsidP="00314917">
      <w:pPr>
        <w:pStyle w:val="BodyTextMain"/>
        <w:rPr>
          <w:lang w:val="en-IN"/>
        </w:rPr>
      </w:pPr>
      <w:r>
        <w:rPr>
          <w:lang w:val="en-IN"/>
        </w:rPr>
        <w:t>Investing in gold</w:t>
      </w:r>
      <w:r w:rsidR="006331DF">
        <w:rPr>
          <w:lang w:val="en-IN"/>
        </w:rPr>
        <w:t>,</w:t>
      </w:r>
      <w:r>
        <w:rPr>
          <w:lang w:val="en-IN"/>
        </w:rPr>
        <w:t xml:space="preserve"> property</w:t>
      </w:r>
      <w:r w:rsidR="006331DF">
        <w:rPr>
          <w:lang w:val="en-IN"/>
        </w:rPr>
        <w:t>,</w:t>
      </w:r>
      <w:r>
        <w:rPr>
          <w:lang w:val="en-IN"/>
        </w:rPr>
        <w:t xml:space="preserve"> and foreign accounts abroad were other methods for laundering cash. Corruption in large deals involved politicians as beneficiaries, and often </w:t>
      </w:r>
      <w:r w:rsidR="007E4C36">
        <w:rPr>
          <w:lang w:val="en-IN"/>
        </w:rPr>
        <w:t xml:space="preserve">included </w:t>
      </w:r>
      <w:r>
        <w:rPr>
          <w:lang w:val="en-IN"/>
        </w:rPr>
        <w:t xml:space="preserve">funnelling funds abroad. </w:t>
      </w:r>
    </w:p>
    <w:p w14:paraId="0CD5DD8C" w14:textId="77777777" w:rsidR="000E02C1" w:rsidRDefault="000E02C1" w:rsidP="00314917">
      <w:pPr>
        <w:pStyle w:val="BodyTextMain"/>
        <w:rPr>
          <w:lang w:val="en-IN"/>
        </w:rPr>
      </w:pPr>
    </w:p>
    <w:p w14:paraId="03A0F3D1" w14:textId="6EA3F4EF" w:rsidR="000E02C1" w:rsidRDefault="000E02C1" w:rsidP="00314917">
      <w:pPr>
        <w:pStyle w:val="BodyTextMain"/>
        <w:rPr>
          <w:lang w:val="en-IN"/>
        </w:rPr>
      </w:pPr>
      <w:r>
        <w:rPr>
          <w:lang w:val="en-IN"/>
        </w:rPr>
        <w:t xml:space="preserve">India’s </w:t>
      </w:r>
      <w:r w:rsidRPr="0077089C">
        <w:rPr>
          <w:lang w:val="en-IN"/>
        </w:rPr>
        <w:t>political system</w:t>
      </w:r>
      <w:r>
        <w:rPr>
          <w:lang w:val="en-IN"/>
        </w:rPr>
        <w:t xml:space="preserve"> contributed to its own corruption</w:t>
      </w:r>
      <w:r w:rsidRPr="0077089C">
        <w:rPr>
          <w:lang w:val="en-IN"/>
        </w:rPr>
        <w:t>.</w:t>
      </w:r>
      <w:r>
        <w:rPr>
          <w:lang w:val="en-IN"/>
        </w:rPr>
        <w:t xml:space="preserve"> A campaign for a parliamentary seat cost </w:t>
      </w:r>
      <w:r w:rsidRPr="0077089C">
        <w:rPr>
          <w:lang w:val="en-IN"/>
        </w:rPr>
        <w:t>between $300,000 and $3</w:t>
      </w:r>
      <w:r>
        <w:rPr>
          <w:lang w:val="en-IN"/>
        </w:rPr>
        <w:t xml:space="preserve"> </w:t>
      </w:r>
      <w:r w:rsidRPr="0077089C">
        <w:rPr>
          <w:lang w:val="en-IN"/>
        </w:rPr>
        <w:t>m</w:t>
      </w:r>
      <w:r>
        <w:rPr>
          <w:lang w:val="en-IN"/>
        </w:rPr>
        <w:t>illion</w:t>
      </w:r>
      <w:r w:rsidRPr="0077089C">
        <w:rPr>
          <w:lang w:val="en-IN"/>
        </w:rPr>
        <w:t xml:space="preserve"> per candidate</w:t>
      </w:r>
      <w:r>
        <w:rPr>
          <w:lang w:val="en-IN"/>
        </w:rPr>
        <w:t xml:space="preserve">. A candidate was expected to </w:t>
      </w:r>
      <w:r w:rsidR="007E4C36">
        <w:rPr>
          <w:lang w:val="en-IN"/>
        </w:rPr>
        <w:t>pay campaign workers (nominally</w:t>
      </w:r>
      <w:r>
        <w:rPr>
          <w:lang w:val="en-IN"/>
        </w:rPr>
        <w:t xml:space="preserve"> </w:t>
      </w:r>
      <w:r w:rsidR="008C0B35">
        <w:rPr>
          <w:lang w:val="en-IN"/>
        </w:rPr>
        <w:t>“</w:t>
      </w:r>
      <w:r>
        <w:rPr>
          <w:lang w:val="en-IN"/>
        </w:rPr>
        <w:t>volunteers</w:t>
      </w:r>
      <w:r w:rsidR="008C0B35">
        <w:rPr>
          <w:lang w:val="en-IN"/>
        </w:rPr>
        <w:t>”</w:t>
      </w:r>
      <w:r>
        <w:rPr>
          <w:lang w:val="en-IN"/>
        </w:rPr>
        <w:t>) and distribute gifts, including liquor. However, the Indian Election Commission limited both fundraising and expenditure on election campaigns. For instance, in the 2014 parliamentary elections, the commission set a limit of</w:t>
      </w:r>
      <w:r w:rsidRPr="00D15680">
        <w:rPr>
          <w:lang w:val="en-IN"/>
        </w:rPr>
        <w:t xml:space="preserve"> </w:t>
      </w:r>
      <w:r w:rsidRPr="00314917">
        <w:rPr>
          <w:rFonts w:ascii="Arial" w:hAnsi="Arial" w:cs="American Typewriter Light"/>
          <w:sz w:val="20"/>
          <w:lang w:val="en-IN"/>
        </w:rPr>
        <w:t>₹</w:t>
      </w:r>
      <w:r w:rsidRPr="00D15680">
        <w:rPr>
          <w:lang w:val="en-IN"/>
        </w:rPr>
        <w:t>7 million ($115</w:t>
      </w:r>
      <w:r>
        <w:rPr>
          <w:lang w:val="en-IN"/>
        </w:rPr>
        <w:t xml:space="preserve">,000) </w:t>
      </w:r>
      <w:r w:rsidRPr="00D15680">
        <w:rPr>
          <w:lang w:val="en-IN"/>
        </w:rPr>
        <w:t>per ca</w:t>
      </w:r>
      <w:r>
        <w:rPr>
          <w:lang w:val="en-IN"/>
        </w:rPr>
        <w:t>mpaign for a parliamentary seat, but for a hope of winning, a</w:t>
      </w:r>
      <w:r w:rsidRPr="00D15680">
        <w:rPr>
          <w:lang w:val="en-IN"/>
        </w:rPr>
        <w:t xml:space="preserve"> candidate might</w:t>
      </w:r>
      <w:r>
        <w:rPr>
          <w:lang w:val="en-IN"/>
        </w:rPr>
        <w:t xml:space="preserve"> have had to</w:t>
      </w:r>
      <w:r w:rsidRPr="00D15680">
        <w:rPr>
          <w:lang w:val="en-IN"/>
        </w:rPr>
        <w:t xml:space="preserve"> spend 50 to 100 times m</w:t>
      </w:r>
      <w:r>
        <w:rPr>
          <w:lang w:val="en-IN"/>
        </w:rPr>
        <w:t>ore money than that.</w:t>
      </w:r>
      <w:r w:rsidRPr="00314917">
        <w:rPr>
          <w:rStyle w:val="EndnoteReference"/>
        </w:rPr>
        <w:endnoteReference w:id="37"/>
      </w:r>
      <w:r>
        <w:rPr>
          <w:lang w:val="en-IN"/>
        </w:rPr>
        <w:t xml:space="preserve"> Bribes</w:t>
      </w:r>
      <w:r w:rsidRPr="0077089C">
        <w:rPr>
          <w:lang w:val="en-IN"/>
        </w:rPr>
        <w:t xml:space="preserve"> </w:t>
      </w:r>
      <w:r>
        <w:rPr>
          <w:lang w:val="en-IN"/>
        </w:rPr>
        <w:t xml:space="preserve">thus </w:t>
      </w:r>
      <w:r w:rsidRPr="0077089C">
        <w:rPr>
          <w:lang w:val="en-IN"/>
        </w:rPr>
        <w:t>provide</w:t>
      </w:r>
      <w:r>
        <w:rPr>
          <w:lang w:val="en-IN"/>
        </w:rPr>
        <w:t>d</w:t>
      </w:r>
      <w:r w:rsidRPr="0077089C">
        <w:rPr>
          <w:lang w:val="en-IN"/>
        </w:rPr>
        <w:t xml:space="preserve"> a signi</w:t>
      </w:r>
      <w:r>
        <w:rPr>
          <w:lang w:val="en-IN"/>
        </w:rPr>
        <w:t>ficant source of election funds, and illegal party funding was</w:t>
      </w:r>
      <w:r w:rsidRPr="0077089C">
        <w:rPr>
          <w:lang w:val="en-IN"/>
        </w:rPr>
        <w:t xml:space="preserve"> at the heart of corruption</w:t>
      </w:r>
      <w:r>
        <w:rPr>
          <w:lang w:val="en-IN"/>
        </w:rPr>
        <w:t>.</w:t>
      </w:r>
    </w:p>
    <w:p w14:paraId="11E80688" w14:textId="224F5EC6" w:rsidR="000E02C1" w:rsidRDefault="000E02C1" w:rsidP="00314917">
      <w:pPr>
        <w:pStyle w:val="BodyTextMain"/>
        <w:rPr>
          <w:lang w:val="en-IN"/>
        </w:rPr>
      </w:pPr>
      <w:r>
        <w:rPr>
          <w:lang w:val="en-IN"/>
        </w:rPr>
        <w:lastRenderedPageBreak/>
        <w:t>The national elections did not provide a clear mandate for one single party</w:t>
      </w:r>
      <w:r w:rsidR="007E4C36">
        <w:rPr>
          <w:lang w:val="en-IN"/>
        </w:rPr>
        <w:t>;</w:t>
      </w:r>
      <w:r>
        <w:rPr>
          <w:lang w:val="en-IN"/>
        </w:rPr>
        <w:t xml:space="preserve"> </w:t>
      </w:r>
      <w:r w:rsidR="0088637F">
        <w:rPr>
          <w:lang w:val="en-IN"/>
        </w:rPr>
        <w:t>thus,</w:t>
      </w:r>
      <w:r w:rsidR="0088637F" w:rsidRPr="0077089C">
        <w:rPr>
          <w:lang w:val="en-IN"/>
        </w:rPr>
        <w:t xml:space="preserve"> </w:t>
      </w:r>
      <w:r>
        <w:rPr>
          <w:lang w:val="en-IN"/>
        </w:rPr>
        <w:t>larger</w:t>
      </w:r>
      <w:r w:rsidRPr="0077089C">
        <w:rPr>
          <w:lang w:val="en-IN"/>
        </w:rPr>
        <w:t xml:space="preserve"> parties</w:t>
      </w:r>
      <w:r>
        <w:rPr>
          <w:lang w:val="en-IN"/>
        </w:rPr>
        <w:t xml:space="preserve"> depend</w:t>
      </w:r>
      <w:r w:rsidR="0088637F">
        <w:rPr>
          <w:lang w:val="en-IN"/>
        </w:rPr>
        <w:t>ed</w:t>
      </w:r>
      <w:r>
        <w:rPr>
          <w:lang w:val="en-IN"/>
        </w:rPr>
        <w:t xml:space="preserve"> on the support of smaller parties, </w:t>
      </w:r>
      <w:r w:rsidR="0088637F">
        <w:rPr>
          <w:lang w:val="en-IN"/>
        </w:rPr>
        <w:t>and</w:t>
      </w:r>
      <w:r w:rsidR="00A91564">
        <w:rPr>
          <w:lang w:val="en-IN"/>
        </w:rPr>
        <w:t xml:space="preserve"> therefore</w:t>
      </w:r>
      <w:r w:rsidR="0088637F">
        <w:rPr>
          <w:lang w:val="en-IN"/>
        </w:rPr>
        <w:t xml:space="preserve"> </w:t>
      </w:r>
      <w:r>
        <w:rPr>
          <w:lang w:val="en-IN"/>
        </w:rPr>
        <w:t>courted their alliance. The elected representatives turned a blind eye to corruption and allowed the small parties to get rich when their support was necessary to hold power.</w:t>
      </w:r>
      <w:r w:rsidRPr="00314917">
        <w:rPr>
          <w:rStyle w:val="EndnoteReference"/>
        </w:rPr>
        <w:endnoteReference w:id="38"/>
      </w:r>
      <w:r>
        <w:rPr>
          <w:lang w:val="en-IN"/>
        </w:rPr>
        <w:t xml:space="preserve"> Further, because court cases in India dragged on for decades,</w:t>
      </w:r>
      <w:r w:rsidRPr="00DA47B4">
        <w:rPr>
          <w:lang w:val="en-IN"/>
        </w:rPr>
        <w:t xml:space="preserve"> </w:t>
      </w:r>
      <w:r>
        <w:rPr>
          <w:lang w:val="en-IN"/>
        </w:rPr>
        <w:t xml:space="preserve">the fear of prosecution was low. </w:t>
      </w:r>
    </w:p>
    <w:p w14:paraId="35FC1BCF" w14:textId="77777777" w:rsidR="000E02C1" w:rsidRDefault="000E02C1" w:rsidP="00314917">
      <w:pPr>
        <w:pStyle w:val="BodyTextMain"/>
        <w:rPr>
          <w:lang w:val="en-IN"/>
        </w:rPr>
      </w:pPr>
    </w:p>
    <w:p w14:paraId="7E0DCC88" w14:textId="47A2B856" w:rsidR="000E02C1" w:rsidRDefault="000E02C1" w:rsidP="00314917">
      <w:pPr>
        <w:pStyle w:val="BodyTextMain"/>
        <w:rPr>
          <w:lang w:val="en-IN"/>
        </w:rPr>
      </w:pPr>
      <w:r>
        <w:rPr>
          <w:lang w:val="en-IN"/>
        </w:rPr>
        <w:t>India, thus, ranked high on the global index of corruption. In 2016, the Transparency International’s Corruption Perceptions Index ranked India 76th among 168 countries.</w:t>
      </w:r>
      <w:r w:rsidRPr="00314917">
        <w:rPr>
          <w:rStyle w:val="EndnoteReference"/>
        </w:rPr>
        <w:endnoteReference w:id="39"/>
      </w:r>
    </w:p>
    <w:p w14:paraId="726C86BF" w14:textId="77777777" w:rsidR="000E02C1" w:rsidRDefault="000E02C1" w:rsidP="00314917">
      <w:pPr>
        <w:pStyle w:val="BodyTextMain"/>
        <w:rPr>
          <w:lang w:val="en-IN"/>
        </w:rPr>
      </w:pPr>
    </w:p>
    <w:p w14:paraId="487A4BA4" w14:textId="77777777" w:rsidR="000E02C1" w:rsidRDefault="000E02C1" w:rsidP="00314917">
      <w:pPr>
        <w:pStyle w:val="BodyTextMain"/>
        <w:rPr>
          <w:lang w:val="en-IN"/>
        </w:rPr>
      </w:pPr>
    </w:p>
    <w:p w14:paraId="16B4AEF8" w14:textId="48868F3D" w:rsidR="000E02C1" w:rsidRPr="00C7508A" w:rsidRDefault="000E02C1" w:rsidP="00314917">
      <w:pPr>
        <w:pStyle w:val="Casehead2"/>
        <w:rPr>
          <w:lang w:val="en-IN"/>
        </w:rPr>
      </w:pPr>
      <w:r w:rsidRPr="00C7508A">
        <w:rPr>
          <w:lang w:val="en-IN"/>
        </w:rPr>
        <w:t xml:space="preserve">The </w:t>
      </w:r>
      <w:r w:rsidR="00A91D94">
        <w:rPr>
          <w:lang w:val="en-IN"/>
        </w:rPr>
        <w:t>Problem</w:t>
      </w:r>
      <w:r w:rsidR="00A91D94" w:rsidRPr="00C7508A">
        <w:rPr>
          <w:lang w:val="en-IN"/>
        </w:rPr>
        <w:t xml:space="preserve"> </w:t>
      </w:r>
      <w:r w:rsidRPr="00C7508A">
        <w:rPr>
          <w:lang w:val="en-IN"/>
        </w:rPr>
        <w:t>of Black Money</w:t>
      </w:r>
    </w:p>
    <w:p w14:paraId="2CA91226" w14:textId="77777777" w:rsidR="000E02C1" w:rsidRDefault="000E02C1" w:rsidP="00314917">
      <w:pPr>
        <w:pStyle w:val="BodyTextMain"/>
        <w:rPr>
          <w:lang w:val="en-IN"/>
        </w:rPr>
      </w:pPr>
    </w:p>
    <w:p w14:paraId="6D29FC2A" w14:textId="6EA234D4" w:rsidR="000E02C1" w:rsidRDefault="000E02C1" w:rsidP="00314917">
      <w:pPr>
        <w:pStyle w:val="BodyTextMain"/>
        <w:rPr>
          <w:lang w:val="en-IN"/>
        </w:rPr>
      </w:pPr>
      <w:r>
        <w:rPr>
          <w:lang w:val="en-IN"/>
        </w:rPr>
        <w:t xml:space="preserve">“Black money” referred to money earned through </w:t>
      </w:r>
      <w:r w:rsidR="0088637F">
        <w:rPr>
          <w:lang w:val="en-IN"/>
        </w:rPr>
        <w:t xml:space="preserve">either </w:t>
      </w:r>
      <w:r>
        <w:rPr>
          <w:lang w:val="en-IN"/>
        </w:rPr>
        <w:t xml:space="preserve">legal or illegal activities, on which tax had not been paid. </w:t>
      </w:r>
      <w:r w:rsidRPr="00346047">
        <w:rPr>
          <w:lang w:val="en-IN"/>
        </w:rPr>
        <w:t>In February 2012, the director of India</w:t>
      </w:r>
      <w:r w:rsidR="00F10B90">
        <w:rPr>
          <w:lang w:val="en-IN"/>
        </w:rPr>
        <w:t>’</w:t>
      </w:r>
      <w:r w:rsidRPr="00346047">
        <w:rPr>
          <w:lang w:val="en-IN"/>
        </w:rPr>
        <w:t>s Central Bu</w:t>
      </w:r>
      <w:r>
        <w:rPr>
          <w:lang w:val="en-IN"/>
        </w:rPr>
        <w:t>reau of Investigation stated that Indians held</w:t>
      </w:r>
      <w:r w:rsidRPr="00346047">
        <w:rPr>
          <w:lang w:val="en-IN"/>
        </w:rPr>
        <w:t xml:space="preserve"> $500 billion of illegal funds in foreign tax havens</w:t>
      </w:r>
      <w:r>
        <w:rPr>
          <w:lang w:val="en-IN"/>
        </w:rPr>
        <w:t>—</w:t>
      </w:r>
      <w:r w:rsidRPr="00346047">
        <w:rPr>
          <w:lang w:val="en-IN"/>
        </w:rPr>
        <w:t>more than any other country</w:t>
      </w:r>
      <w:r>
        <w:rPr>
          <w:lang w:val="en-IN"/>
        </w:rPr>
        <w:t>.</w:t>
      </w:r>
      <w:r w:rsidRPr="00314917">
        <w:rPr>
          <w:rStyle w:val="EndnoteReference"/>
        </w:rPr>
        <w:endnoteReference w:id="40"/>
      </w:r>
      <w:r>
        <w:rPr>
          <w:lang w:val="en-IN"/>
        </w:rPr>
        <w:t xml:space="preserve"> Various studies, including those by McKinsey &amp; Company and the </w:t>
      </w:r>
      <w:r w:rsidRPr="00FE7A3C">
        <w:t>Bank of America</w:t>
      </w:r>
      <w:r>
        <w:t xml:space="preserve"> </w:t>
      </w:r>
      <w:r w:rsidRPr="00FE7A3C">
        <w:t>Merrill Lynch</w:t>
      </w:r>
      <w:r>
        <w:t>,</w:t>
      </w:r>
      <w:r w:rsidR="00901D60">
        <w:t xml:space="preserve"> </w:t>
      </w:r>
      <w:r>
        <w:t>estimated</w:t>
      </w:r>
      <w:r w:rsidRPr="00346047">
        <w:rPr>
          <w:lang w:val="en-IN"/>
        </w:rPr>
        <w:t xml:space="preserve"> the share of the black economy</w:t>
      </w:r>
      <w:r>
        <w:rPr>
          <w:lang w:val="en-IN"/>
        </w:rPr>
        <w:t xml:space="preserve"> in India was roughly</w:t>
      </w:r>
      <w:r w:rsidRPr="00346047">
        <w:rPr>
          <w:lang w:val="en-IN"/>
        </w:rPr>
        <w:t xml:space="preserve"> a quarter of</w:t>
      </w:r>
      <w:r>
        <w:rPr>
          <w:lang w:val="en-IN"/>
        </w:rPr>
        <w:t xml:space="preserve"> India’s GDP.</w:t>
      </w:r>
      <w:r w:rsidRPr="00314917">
        <w:rPr>
          <w:rStyle w:val="EndnoteReference"/>
        </w:rPr>
        <w:endnoteReference w:id="41"/>
      </w:r>
      <w:r>
        <w:rPr>
          <w:lang w:val="en-IN"/>
        </w:rPr>
        <w:t xml:space="preserve"> </w:t>
      </w:r>
    </w:p>
    <w:p w14:paraId="7EBBD895" w14:textId="77777777" w:rsidR="000E02C1" w:rsidRDefault="000E02C1" w:rsidP="00314917">
      <w:pPr>
        <w:pStyle w:val="BodyTextMain"/>
        <w:rPr>
          <w:lang w:val="en-IN"/>
        </w:rPr>
      </w:pPr>
    </w:p>
    <w:p w14:paraId="0770B9C1" w14:textId="5FD1A878" w:rsidR="000E02C1" w:rsidRDefault="000E02C1" w:rsidP="00314917">
      <w:pPr>
        <w:pStyle w:val="BodyTextMain"/>
      </w:pPr>
      <w:r>
        <w:t xml:space="preserve">However, </w:t>
      </w:r>
      <w:r>
        <w:rPr>
          <w:lang w:val="en-IN"/>
        </w:rPr>
        <w:t xml:space="preserve">while </w:t>
      </w:r>
      <w:r w:rsidR="0088637F">
        <w:rPr>
          <w:lang w:val="en-IN"/>
        </w:rPr>
        <w:t xml:space="preserve">some </w:t>
      </w:r>
      <w:r>
        <w:rPr>
          <w:lang w:val="en-IN"/>
        </w:rPr>
        <w:t>of this black money was</w:t>
      </w:r>
      <w:r w:rsidRPr="00346047">
        <w:rPr>
          <w:lang w:val="en-IN"/>
        </w:rPr>
        <w:t xml:space="preserve"> held in the form of domestic currency, </w:t>
      </w:r>
      <w:r>
        <w:rPr>
          <w:lang w:val="en-IN"/>
        </w:rPr>
        <w:t xml:space="preserve">a substantial amount was </w:t>
      </w:r>
      <w:r w:rsidRPr="00346047">
        <w:rPr>
          <w:lang w:val="en-IN"/>
        </w:rPr>
        <w:t>held as real estate</w:t>
      </w:r>
      <w:r>
        <w:rPr>
          <w:lang w:val="en-IN"/>
        </w:rPr>
        <w:t xml:space="preserve"> and </w:t>
      </w:r>
      <w:r w:rsidRPr="00346047">
        <w:rPr>
          <w:lang w:val="en-IN"/>
        </w:rPr>
        <w:t>gold</w:t>
      </w:r>
      <w:r>
        <w:rPr>
          <w:lang w:val="en-IN"/>
        </w:rPr>
        <w:t>,</w:t>
      </w:r>
      <w:r w:rsidRPr="00346047">
        <w:rPr>
          <w:lang w:val="en-IN"/>
        </w:rPr>
        <w:t xml:space="preserve"> and in foreign accounts abroad</w:t>
      </w:r>
      <w:r>
        <w:rPr>
          <w:lang w:val="en-IN"/>
        </w:rPr>
        <w:t>.</w:t>
      </w:r>
      <w:r w:rsidRPr="00314917">
        <w:rPr>
          <w:rStyle w:val="EndnoteReference"/>
        </w:rPr>
        <w:endnoteReference w:id="42"/>
      </w:r>
      <w:r>
        <w:rPr>
          <w:lang w:val="en-IN"/>
        </w:rPr>
        <w:t xml:space="preserve"> </w:t>
      </w:r>
      <w:r>
        <w:t>Thus, the share of cash in the black economy was estimated to be only 10 per cent.</w:t>
      </w:r>
      <w:r w:rsidRPr="00314917">
        <w:rPr>
          <w:rStyle w:val="EndnoteReference"/>
        </w:rPr>
        <w:endnoteReference w:id="43"/>
      </w:r>
      <w:r>
        <w:t xml:space="preserve"> Moreover, there was no clear demarcation of activities that were financed purely through black </w:t>
      </w:r>
      <w:r w:rsidR="0088637F">
        <w:t xml:space="preserve">money </w:t>
      </w:r>
      <w:r>
        <w:t>or white money</w:t>
      </w:r>
      <w:r w:rsidR="0088637F">
        <w:t xml:space="preserve"> (the latter being legally earned money on which necessary tax </w:t>
      </w:r>
      <w:r w:rsidR="00A91564">
        <w:t>wa</w:t>
      </w:r>
      <w:r w:rsidR="0088637F">
        <w:t>s paid)</w:t>
      </w:r>
      <w:r>
        <w:t xml:space="preserve">. Money was fungible. For instance, the black money used by a real estate developer was converted into white </w:t>
      </w:r>
      <w:r w:rsidR="0088637F">
        <w:t xml:space="preserve">money </w:t>
      </w:r>
      <w:r>
        <w:t>when the developer paid the construction workers, who in turn used the money to buy groceries.</w:t>
      </w:r>
      <w:r w:rsidRPr="00314917">
        <w:rPr>
          <w:rStyle w:val="EndnoteReference"/>
        </w:rPr>
        <w:endnoteReference w:id="44"/>
      </w:r>
      <w:r>
        <w:t xml:space="preserve"> </w:t>
      </w:r>
    </w:p>
    <w:p w14:paraId="0A92CAB4" w14:textId="77777777" w:rsidR="000E02C1" w:rsidRDefault="000E02C1" w:rsidP="00314917">
      <w:pPr>
        <w:pStyle w:val="BodyTextMain"/>
      </w:pPr>
    </w:p>
    <w:p w14:paraId="3C770799" w14:textId="7998E3ED" w:rsidR="000E02C1" w:rsidRDefault="000E02C1" w:rsidP="00314917">
      <w:pPr>
        <w:pStyle w:val="BodyTextMain"/>
        <w:rPr>
          <w:lang w:val="en-IN"/>
        </w:rPr>
      </w:pPr>
      <w:r>
        <w:rPr>
          <w:lang w:val="en-IN"/>
        </w:rPr>
        <w:t>The amount of black money in India’s economy could not be explained by the country’s income tax</w:t>
      </w:r>
      <w:r w:rsidR="00A91564">
        <w:rPr>
          <w:lang w:val="en-IN"/>
        </w:rPr>
        <w:t xml:space="preserve"> rates</w:t>
      </w:r>
      <w:r w:rsidR="009E18E7">
        <w:rPr>
          <w:lang w:val="en-IN"/>
        </w:rPr>
        <w:t>, which</w:t>
      </w:r>
      <w:r>
        <w:rPr>
          <w:lang w:val="en-IN"/>
        </w:rPr>
        <w:t xml:space="preserve"> were among the lowest among </w:t>
      </w:r>
      <w:r w:rsidR="009E18E7">
        <w:rPr>
          <w:lang w:val="en-IN"/>
        </w:rPr>
        <w:t xml:space="preserve">the world’s </w:t>
      </w:r>
      <w:r>
        <w:rPr>
          <w:lang w:val="en-IN"/>
        </w:rPr>
        <w:t>major economies.</w:t>
      </w:r>
      <w:r w:rsidRPr="00314917">
        <w:rPr>
          <w:rStyle w:val="EndnoteReference"/>
        </w:rPr>
        <w:endnoteReference w:id="45"/>
      </w:r>
      <w:r>
        <w:rPr>
          <w:lang w:val="en-IN"/>
        </w:rPr>
        <w:t xml:space="preserve"> Further, </w:t>
      </w:r>
      <w:r w:rsidRPr="00F52F6E">
        <w:rPr>
          <w:lang w:val="en-IN"/>
        </w:rPr>
        <w:t>India</w:t>
      </w:r>
      <w:r>
        <w:rPr>
          <w:lang w:val="en-IN"/>
        </w:rPr>
        <w:t xml:space="preserve"> did not</w:t>
      </w:r>
      <w:r w:rsidRPr="00F52F6E">
        <w:rPr>
          <w:lang w:val="en-IN"/>
        </w:rPr>
        <w:t xml:space="preserve"> have</w:t>
      </w:r>
      <w:r>
        <w:rPr>
          <w:lang w:val="en-IN"/>
        </w:rPr>
        <w:t xml:space="preserve"> an</w:t>
      </w:r>
      <w:r w:rsidRPr="00F52F6E">
        <w:rPr>
          <w:lang w:val="en-IN"/>
        </w:rPr>
        <w:t xml:space="preserve"> inheritance tax</w:t>
      </w:r>
      <w:r>
        <w:rPr>
          <w:lang w:val="en-IN"/>
        </w:rPr>
        <w:t>, wealth tax, or</w:t>
      </w:r>
      <w:r w:rsidRPr="00F52F6E">
        <w:rPr>
          <w:lang w:val="en-IN"/>
        </w:rPr>
        <w:t xml:space="preserve"> gift tax. </w:t>
      </w:r>
      <w:r>
        <w:rPr>
          <w:lang w:val="en-IN"/>
        </w:rPr>
        <w:t xml:space="preserve">Yet despite the low tax rates, India’s record of compliance with tax laws was dismal. </w:t>
      </w:r>
    </w:p>
    <w:p w14:paraId="3D6B58DE" w14:textId="77777777" w:rsidR="000E02C1" w:rsidRDefault="000E02C1" w:rsidP="00314917">
      <w:pPr>
        <w:pStyle w:val="BodyTextMain"/>
        <w:rPr>
          <w:lang w:val="en-IN"/>
        </w:rPr>
      </w:pPr>
    </w:p>
    <w:p w14:paraId="5A3CFFC8" w14:textId="6478D026" w:rsidR="000E02C1" w:rsidRDefault="000E02C1" w:rsidP="00314917">
      <w:pPr>
        <w:pStyle w:val="BodyTextMain"/>
        <w:rPr>
          <w:lang w:val="en-IN"/>
        </w:rPr>
      </w:pPr>
      <w:r>
        <w:rPr>
          <w:lang w:val="en-IN"/>
        </w:rPr>
        <w:t xml:space="preserve">The government had offered tax amnesty schemes in the past as a means of converting black money to white, but with little success. The schemes failed to mobilize enough of the black money relative to the estimated stock, </w:t>
      </w:r>
      <w:r w:rsidR="009E18E7">
        <w:rPr>
          <w:lang w:val="en-IN"/>
        </w:rPr>
        <w:t xml:space="preserve">and </w:t>
      </w:r>
      <w:r>
        <w:rPr>
          <w:lang w:val="en-IN"/>
        </w:rPr>
        <w:t xml:space="preserve">did </w:t>
      </w:r>
      <w:r w:rsidR="009E18E7">
        <w:rPr>
          <w:lang w:val="en-IN"/>
        </w:rPr>
        <w:t xml:space="preserve">not </w:t>
      </w:r>
      <w:r w:rsidRPr="00861AAA">
        <w:rPr>
          <w:lang w:val="en-IN"/>
        </w:rPr>
        <w:t xml:space="preserve">curb </w:t>
      </w:r>
      <w:r>
        <w:rPr>
          <w:lang w:val="en-IN"/>
        </w:rPr>
        <w:t xml:space="preserve">the </w:t>
      </w:r>
      <w:r w:rsidRPr="00861AAA">
        <w:rPr>
          <w:lang w:val="en-IN"/>
        </w:rPr>
        <w:t xml:space="preserve">generation of </w:t>
      </w:r>
      <w:r>
        <w:rPr>
          <w:lang w:val="en-IN"/>
        </w:rPr>
        <w:t xml:space="preserve">more </w:t>
      </w:r>
      <w:r w:rsidRPr="00861AAA">
        <w:rPr>
          <w:lang w:val="en-IN"/>
        </w:rPr>
        <w:t>black money</w:t>
      </w:r>
      <w:r>
        <w:rPr>
          <w:lang w:val="en-IN"/>
        </w:rPr>
        <w:t xml:space="preserve">. To the contrary, the schemes reduced the stigma attached to black money and </w:t>
      </w:r>
      <w:r w:rsidR="00AB4920">
        <w:rPr>
          <w:lang w:val="en-IN"/>
        </w:rPr>
        <w:t>came to be anticipated</w:t>
      </w:r>
      <w:r>
        <w:rPr>
          <w:lang w:val="en-IN"/>
        </w:rPr>
        <w:t xml:space="preserve"> by the public </w:t>
      </w:r>
      <w:r w:rsidR="00AB4920">
        <w:rPr>
          <w:lang w:val="en-IN"/>
        </w:rPr>
        <w:t>in</w:t>
      </w:r>
      <w:r>
        <w:rPr>
          <w:lang w:val="en-IN"/>
        </w:rPr>
        <w:t xml:space="preserve"> a regime of policy changes.</w:t>
      </w:r>
      <w:r w:rsidRPr="00314917">
        <w:rPr>
          <w:rStyle w:val="EndnoteReference"/>
        </w:rPr>
        <w:endnoteReference w:id="46"/>
      </w:r>
    </w:p>
    <w:p w14:paraId="712D9244" w14:textId="77777777" w:rsidR="000E02C1" w:rsidRDefault="000E02C1" w:rsidP="00314917">
      <w:pPr>
        <w:pStyle w:val="BodyTextMain"/>
        <w:rPr>
          <w:lang w:val="en-IN"/>
        </w:rPr>
      </w:pPr>
    </w:p>
    <w:p w14:paraId="7C512925" w14:textId="1C49966D" w:rsidR="000E02C1" w:rsidRDefault="000E02C1" w:rsidP="00314917">
      <w:pPr>
        <w:pStyle w:val="BodyTextMain"/>
        <w:rPr>
          <w:lang w:val="en-IN"/>
        </w:rPr>
      </w:pPr>
      <w:r>
        <w:rPr>
          <w:lang w:val="en-IN"/>
        </w:rPr>
        <w:t xml:space="preserve">The HDNs of </w:t>
      </w:r>
      <w:r w:rsidRPr="00314917">
        <w:rPr>
          <w:rFonts w:ascii="Arial" w:hAnsi="Arial" w:cs="American Typewriter Light"/>
          <w:sz w:val="20"/>
        </w:rPr>
        <w:t>₹</w:t>
      </w:r>
      <w:r>
        <w:t>5</w:t>
      </w:r>
      <w:r w:rsidRPr="003E40D4">
        <w:t xml:space="preserve">00 and </w:t>
      </w:r>
      <w:r w:rsidRPr="00314917">
        <w:rPr>
          <w:rFonts w:ascii="Arial" w:hAnsi="Arial" w:cs="American Typewriter Light"/>
          <w:sz w:val="20"/>
        </w:rPr>
        <w:t>₹</w:t>
      </w:r>
      <w:r w:rsidRPr="00314917">
        <w:t>1,000</w:t>
      </w:r>
      <w:r>
        <w:t xml:space="preserve"> </w:t>
      </w:r>
      <w:r>
        <w:rPr>
          <w:lang w:val="en-IN"/>
        </w:rPr>
        <w:t>were easier to store and carry than smaller denomination notes or other stores of value, such as gold; therefore, the prime minister’s plan of reducing the proportion of HDNs in a cash</w:t>
      </w:r>
      <w:r w:rsidR="009E18E7">
        <w:rPr>
          <w:lang w:val="en-IN"/>
        </w:rPr>
        <w:t>-</w:t>
      </w:r>
      <w:r>
        <w:rPr>
          <w:lang w:val="en-IN"/>
        </w:rPr>
        <w:t xml:space="preserve">dependent economy </w:t>
      </w:r>
      <w:r w:rsidR="009E18E7">
        <w:rPr>
          <w:lang w:val="en-IN"/>
        </w:rPr>
        <w:t xml:space="preserve">such as </w:t>
      </w:r>
      <w:r>
        <w:rPr>
          <w:lang w:val="en-IN"/>
        </w:rPr>
        <w:t>India’s could reduce the cash available for corruptive use and thus lower the levels of black money.</w:t>
      </w:r>
      <w:r w:rsidRPr="00314917">
        <w:rPr>
          <w:rStyle w:val="EndnoteReference"/>
        </w:rPr>
        <w:endnoteReference w:id="47"/>
      </w:r>
      <w:r>
        <w:rPr>
          <w:lang w:val="en-IN"/>
        </w:rPr>
        <w:t xml:space="preserve"> However, cash—including HDNs—had transactional functions and were stores of value, and each of these functions had black and white dimension</w:t>
      </w:r>
      <w:r w:rsidR="009E18E7">
        <w:rPr>
          <w:lang w:val="en-IN"/>
        </w:rPr>
        <w:t>s</w:t>
      </w:r>
      <w:r>
        <w:rPr>
          <w:lang w:val="en-IN"/>
        </w:rPr>
        <w:t>. For instance, in its transactional role, cash could be used to pay legitimate salaries to employees, with tax</w:t>
      </w:r>
      <w:r w:rsidR="009E18E7">
        <w:rPr>
          <w:lang w:val="en-IN"/>
        </w:rPr>
        <w:t xml:space="preserve"> </w:t>
      </w:r>
      <w:r>
        <w:rPr>
          <w:lang w:val="en-IN"/>
        </w:rPr>
        <w:t xml:space="preserve">deducted at source; on the other hand, when a small enterprise used cash to pay for inputs, with neither the buyer nor the seller declaring the transaction to tax authorities, such cash became black. In its role as a store of value, </w:t>
      </w:r>
      <w:r w:rsidR="009E18E7">
        <w:rPr>
          <w:lang w:val="en-IN"/>
        </w:rPr>
        <w:t xml:space="preserve">the </w:t>
      </w:r>
      <w:r>
        <w:rPr>
          <w:lang w:val="en-IN"/>
        </w:rPr>
        <w:t xml:space="preserve">cash held by households for meeting emergencies was white, while undeclared cash hoarded by </w:t>
      </w:r>
      <w:r w:rsidR="009E18E7">
        <w:rPr>
          <w:lang w:val="en-IN"/>
        </w:rPr>
        <w:t xml:space="preserve">businesspeople </w:t>
      </w:r>
      <w:r>
        <w:rPr>
          <w:lang w:val="en-IN"/>
        </w:rPr>
        <w:t>and used for political funding was black. Therefore, in addition to reducing the cash available for corruptive purposes, reducing the proportion of HDNs would also impact the effectiveness of cash in performing its legitimate, white functions.</w:t>
      </w:r>
    </w:p>
    <w:p w14:paraId="50A466C1" w14:textId="77777777" w:rsidR="000E02C1" w:rsidRDefault="000E02C1" w:rsidP="00314917">
      <w:pPr>
        <w:pStyle w:val="BodyTextMain"/>
        <w:rPr>
          <w:lang w:val="en-IN"/>
        </w:rPr>
      </w:pPr>
    </w:p>
    <w:p w14:paraId="4E06CCC2" w14:textId="3A95D19F" w:rsidR="000E02C1" w:rsidRDefault="000E02C1" w:rsidP="00314917">
      <w:pPr>
        <w:pStyle w:val="BodyTextMain"/>
        <w:rPr>
          <w:lang w:val="en-IN"/>
        </w:rPr>
      </w:pPr>
      <w:r>
        <w:rPr>
          <w:lang w:val="en-IN"/>
        </w:rPr>
        <w:lastRenderedPageBreak/>
        <w:t xml:space="preserve">A rough measure that indicated how widely notes were used purely for facilitating transactions was the ratio of the currency note denomination to the nominal per capita GDP. As this ratio increased, the </w:t>
      </w:r>
      <w:r w:rsidRPr="00E003E6">
        <w:rPr>
          <w:lang w:val="en-IN"/>
        </w:rPr>
        <w:t xml:space="preserve">possibility </w:t>
      </w:r>
      <w:r>
        <w:rPr>
          <w:lang w:val="en-IN"/>
        </w:rPr>
        <w:t>that the</w:t>
      </w:r>
      <w:r w:rsidRPr="00E003E6">
        <w:rPr>
          <w:lang w:val="en-IN"/>
        </w:rPr>
        <w:t xml:space="preserve"> notes </w:t>
      </w:r>
      <w:r>
        <w:rPr>
          <w:lang w:val="en-IN"/>
        </w:rPr>
        <w:t xml:space="preserve">were </w:t>
      </w:r>
      <w:r w:rsidRPr="00E003E6">
        <w:rPr>
          <w:lang w:val="en-IN"/>
        </w:rPr>
        <w:t xml:space="preserve">being used </w:t>
      </w:r>
      <w:r>
        <w:rPr>
          <w:lang w:val="en-IN"/>
        </w:rPr>
        <w:t>solely for</w:t>
      </w:r>
      <w:r w:rsidRPr="00E003E6">
        <w:rPr>
          <w:lang w:val="en-IN"/>
        </w:rPr>
        <w:t xml:space="preserve"> transaction</w:t>
      </w:r>
      <w:r>
        <w:rPr>
          <w:lang w:val="en-IN"/>
        </w:rPr>
        <w:t>s</w:t>
      </w:r>
      <w:r w:rsidRPr="00E003E6">
        <w:rPr>
          <w:lang w:val="en-IN"/>
        </w:rPr>
        <w:t xml:space="preserve"> </w:t>
      </w:r>
      <w:r>
        <w:rPr>
          <w:lang w:val="en-IN"/>
        </w:rPr>
        <w:t>decreased, and their use as a store of value increased</w:t>
      </w:r>
      <w:r w:rsidRPr="00E003E6">
        <w:rPr>
          <w:lang w:val="en-IN"/>
        </w:rPr>
        <w:t xml:space="preserve">. </w:t>
      </w:r>
      <w:r>
        <w:rPr>
          <w:lang w:val="en-IN"/>
        </w:rPr>
        <w:t>For India, t</w:t>
      </w:r>
      <w:r w:rsidRPr="00E003E6">
        <w:rPr>
          <w:lang w:val="en-IN"/>
        </w:rPr>
        <w:t>his ratio had declined from 1.6</w:t>
      </w:r>
      <w:r>
        <w:rPr>
          <w:lang w:val="en-IN"/>
        </w:rPr>
        <w:t>2</w:t>
      </w:r>
      <w:r w:rsidRPr="00E003E6">
        <w:rPr>
          <w:lang w:val="en-IN"/>
        </w:rPr>
        <w:t xml:space="preserve"> in 1991 to 0.62 in 2015,</w:t>
      </w:r>
      <w:r w:rsidRPr="00314917">
        <w:rPr>
          <w:rStyle w:val="EndnoteReference"/>
        </w:rPr>
        <w:endnoteReference w:id="48"/>
      </w:r>
      <w:r w:rsidRPr="00E003E6">
        <w:rPr>
          <w:lang w:val="en-IN"/>
        </w:rPr>
        <w:t xml:space="preserve"> suggesting that</w:t>
      </w:r>
      <w:r>
        <w:rPr>
          <w:lang w:val="en-IN"/>
        </w:rPr>
        <w:t xml:space="preserve"> </w:t>
      </w:r>
      <w:r w:rsidR="00A91564">
        <w:rPr>
          <w:lang w:val="en-IN"/>
        </w:rPr>
        <w:t>HDNs</w:t>
      </w:r>
      <w:r>
        <w:rPr>
          <w:lang w:val="en-IN"/>
        </w:rPr>
        <w:t xml:space="preserve"> were being used to facilitate transactions over time, and were not merely </w:t>
      </w:r>
      <w:r w:rsidR="00A91564">
        <w:rPr>
          <w:lang w:val="en-IN"/>
        </w:rPr>
        <w:t xml:space="preserve">being used as </w:t>
      </w:r>
      <w:r>
        <w:rPr>
          <w:lang w:val="en-IN"/>
        </w:rPr>
        <w:t>stores of value</w:t>
      </w:r>
      <w:r w:rsidRPr="00E003E6">
        <w:rPr>
          <w:lang w:val="en-IN"/>
        </w:rPr>
        <w:t>.</w:t>
      </w:r>
      <w:r>
        <w:rPr>
          <w:lang w:val="en-IN"/>
        </w:rPr>
        <w:t xml:space="preserve"> However, soil rate data for Indian HDNs—the rate at which the notes were returned to the central bank as too damaged for circulation—when compared </w:t>
      </w:r>
      <w:r w:rsidR="0021502C">
        <w:rPr>
          <w:lang w:val="en-IN"/>
        </w:rPr>
        <w:t xml:space="preserve">with </w:t>
      </w:r>
      <w:r>
        <w:rPr>
          <w:lang w:val="en-IN"/>
        </w:rPr>
        <w:t>soil rate data for U.S. $20 and $50 notes</w:t>
      </w:r>
      <w:r w:rsidR="0021502C">
        <w:rPr>
          <w:lang w:val="en-IN"/>
        </w:rPr>
        <w:t>,</w:t>
      </w:r>
      <w:r>
        <w:rPr>
          <w:lang w:val="en-IN"/>
        </w:rPr>
        <w:t xml:space="preserve"> indicated that an estimated 2 per cent of the Indian GDP was not used for transactions and hence, was potentially black.</w:t>
      </w:r>
      <w:r w:rsidRPr="00314917">
        <w:rPr>
          <w:rStyle w:val="EndnoteReference"/>
        </w:rPr>
        <w:endnoteReference w:id="49"/>
      </w:r>
      <w:r>
        <w:rPr>
          <w:lang w:val="en-IN"/>
        </w:rPr>
        <w:t xml:space="preserve"> </w:t>
      </w:r>
    </w:p>
    <w:p w14:paraId="75EA15BA" w14:textId="77777777" w:rsidR="000E02C1" w:rsidRDefault="000E02C1" w:rsidP="00314917">
      <w:pPr>
        <w:pStyle w:val="BodyTextMain"/>
        <w:rPr>
          <w:lang w:val="en-IN"/>
        </w:rPr>
      </w:pPr>
    </w:p>
    <w:p w14:paraId="305065F3" w14:textId="77777777" w:rsidR="000E02C1" w:rsidRPr="00F935FC" w:rsidRDefault="000E02C1" w:rsidP="00314917">
      <w:pPr>
        <w:pStyle w:val="BodyTextMain"/>
        <w:rPr>
          <w:lang w:val="en-IN"/>
        </w:rPr>
      </w:pPr>
    </w:p>
    <w:p w14:paraId="1763EBFA" w14:textId="77777777" w:rsidR="000E02C1" w:rsidRDefault="000E02C1" w:rsidP="00314917">
      <w:pPr>
        <w:pStyle w:val="Casehead1"/>
        <w:rPr>
          <w:lang w:val="en-IN"/>
        </w:rPr>
      </w:pPr>
      <w:r w:rsidRPr="00F935FC">
        <w:rPr>
          <w:lang w:val="en-IN"/>
        </w:rPr>
        <w:t>DEMONETIZATION</w:t>
      </w:r>
    </w:p>
    <w:p w14:paraId="6F60A158" w14:textId="77777777" w:rsidR="000E02C1" w:rsidRDefault="000E02C1" w:rsidP="00314917">
      <w:pPr>
        <w:pStyle w:val="BodyTextMain"/>
        <w:rPr>
          <w:lang w:val="en-IN"/>
        </w:rPr>
      </w:pPr>
    </w:p>
    <w:p w14:paraId="691AB0C4" w14:textId="77777777" w:rsidR="000E02C1" w:rsidRDefault="000E02C1" w:rsidP="00314917">
      <w:pPr>
        <w:pStyle w:val="Casehead2"/>
        <w:rPr>
          <w:lang w:val="en-IN"/>
        </w:rPr>
      </w:pPr>
      <w:r>
        <w:rPr>
          <w:lang w:val="en-IN"/>
        </w:rPr>
        <w:t>Background and Mechanics</w:t>
      </w:r>
    </w:p>
    <w:p w14:paraId="3FFC3C86" w14:textId="77777777" w:rsidR="000E02C1" w:rsidRPr="00F935FC" w:rsidRDefault="000E02C1" w:rsidP="00314917">
      <w:pPr>
        <w:pStyle w:val="BodyTextMain"/>
        <w:rPr>
          <w:lang w:val="en-IN"/>
        </w:rPr>
      </w:pPr>
    </w:p>
    <w:p w14:paraId="4AAABB0B" w14:textId="453225F9" w:rsidR="000E02C1" w:rsidRDefault="000E02C1" w:rsidP="00314917">
      <w:pPr>
        <w:pStyle w:val="BodyTextMain"/>
      </w:pPr>
      <w:r>
        <w:rPr>
          <w:lang w:val="en-IN"/>
        </w:rPr>
        <w:t xml:space="preserve">India had experimented with demonetization twice in the past—once in 1946, and then again in 1978, </w:t>
      </w:r>
      <w:r w:rsidRPr="00DF3D13">
        <w:rPr>
          <w:lang w:val="en-IN"/>
        </w:rPr>
        <w:t xml:space="preserve">when an ordinance was promulgated to phase </w:t>
      </w:r>
      <w:r>
        <w:rPr>
          <w:lang w:val="en-IN"/>
        </w:rPr>
        <w:t xml:space="preserve">out notes with denominations of </w:t>
      </w:r>
      <w:r w:rsidRPr="00314917">
        <w:rPr>
          <w:rFonts w:ascii="Arial" w:hAnsi="Arial" w:cs="American Typewriter Light"/>
          <w:sz w:val="20"/>
        </w:rPr>
        <w:t>₹</w:t>
      </w:r>
      <w:r>
        <w:rPr>
          <w:lang w:val="en-IN"/>
        </w:rPr>
        <w:t xml:space="preserve">1,000, </w:t>
      </w:r>
      <w:r w:rsidRPr="00314917">
        <w:rPr>
          <w:rFonts w:ascii="Arial" w:hAnsi="Arial" w:cs="American Typewriter Light"/>
          <w:sz w:val="20"/>
        </w:rPr>
        <w:t>₹</w:t>
      </w:r>
      <w:r>
        <w:rPr>
          <w:lang w:val="en-IN"/>
        </w:rPr>
        <w:t xml:space="preserve">5,000, and </w:t>
      </w:r>
      <w:r w:rsidRPr="00314917">
        <w:rPr>
          <w:rFonts w:ascii="Arial" w:hAnsi="Arial" w:cs="American Typewriter Light"/>
          <w:sz w:val="20"/>
        </w:rPr>
        <w:t>₹</w:t>
      </w:r>
      <w:r>
        <w:rPr>
          <w:lang w:val="en-IN"/>
        </w:rPr>
        <w:t xml:space="preserve">10,000. However, these efforts </w:t>
      </w:r>
      <w:r w:rsidR="00335DA1">
        <w:rPr>
          <w:lang w:val="en-IN"/>
        </w:rPr>
        <w:t xml:space="preserve">had </w:t>
      </w:r>
      <w:r>
        <w:rPr>
          <w:lang w:val="en-IN"/>
        </w:rPr>
        <w:t>failed to achieve the</w:t>
      </w:r>
      <w:r w:rsidR="00335DA1">
        <w:rPr>
          <w:lang w:val="en-IN"/>
        </w:rPr>
        <w:t>ir</w:t>
      </w:r>
      <w:r>
        <w:rPr>
          <w:lang w:val="en-IN"/>
        </w:rPr>
        <w:t xml:space="preserve"> stated objectives.</w:t>
      </w:r>
      <w:r w:rsidRPr="00314917">
        <w:rPr>
          <w:rStyle w:val="EndnoteReference"/>
        </w:rPr>
        <w:endnoteReference w:id="50"/>
      </w:r>
    </w:p>
    <w:p w14:paraId="12D67116" w14:textId="51942220" w:rsidR="000E02C1" w:rsidRDefault="000E02C1" w:rsidP="00314917">
      <w:pPr>
        <w:pStyle w:val="BodyTextMain"/>
      </w:pPr>
    </w:p>
    <w:p w14:paraId="0047FBDE" w14:textId="15C2517B" w:rsidR="000E02C1" w:rsidRDefault="000E02C1" w:rsidP="00314917">
      <w:pPr>
        <w:pStyle w:val="BodyTextMain"/>
        <w:rPr>
          <w:lang w:val="en-IN"/>
        </w:rPr>
      </w:pPr>
      <w:r>
        <w:t xml:space="preserve">The National Democratic Alliance, the political party that came to power </w:t>
      </w:r>
      <w:r w:rsidR="00335DA1">
        <w:t xml:space="preserve">after </w:t>
      </w:r>
      <w:r>
        <w:t>the 2014 elections in India, was a coalition led by the Bharatiya Janata Party (BJP). The BJP’s 2014 election promises included “minimi</w:t>
      </w:r>
      <w:r w:rsidR="00C112C3">
        <w:t>s</w:t>
      </w:r>
      <w:r>
        <w:t xml:space="preserve">ation of black money </w:t>
      </w:r>
      <w:r w:rsidR="00C112C3">
        <w:t xml:space="preserve">. . . </w:t>
      </w:r>
      <w:r>
        <w:rPr>
          <w:lang w:val="en-IN"/>
        </w:rPr>
        <w:t>e</w:t>
      </w:r>
      <w:r w:rsidRPr="0008123F">
        <w:rPr>
          <w:lang w:val="en-IN"/>
        </w:rPr>
        <w:t>liminating corruption through public awareness, e-governance, rationalisation a</w:t>
      </w:r>
      <w:r>
        <w:rPr>
          <w:lang w:val="en-IN"/>
        </w:rPr>
        <w:t xml:space="preserve">nd simplification of tax regime; </w:t>
      </w:r>
      <w:r w:rsidR="00C112C3">
        <w:rPr>
          <w:lang w:val="en-IN"/>
        </w:rPr>
        <w:t xml:space="preserve">. . . </w:t>
      </w:r>
      <w:r>
        <w:rPr>
          <w:lang w:val="en-IN"/>
        </w:rPr>
        <w:t>[and] reviving the anti-terror mechanism.”</w:t>
      </w:r>
      <w:r w:rsidRPr="00314917">
        <w:rPr>
          <w:rStyle w:val="EndnoteReference"/>
          <w:sz w:val="20"/>
          <w:szCs w:val="20"/>
        </w:rPr>
        <w:endnoteReference w:id="51"/>
      </w:r>
      <w:r>
        <w:rPr>
          <w:lang w:val="en-IN"/>
        </w:rPr>
        <w:t xml:space="preserve"> The government had initiated several schemes to curb</w:t>
      </w:r>
      <w:r w:rsidRPr="00F935FC">
        <w:rPr>
          <w:lang w:val="en-IN"/>
        </w:rPr>
        <w:t xml:space="preserve"> illicit activities</w:t>
      </w:r>
      <w:r>
        <w:rPr>
          <w:lang w:val="en-IN"/>
        </w:rPr>
        <w:t xml:space="preserve"> since the elections, but with little success.</w:t>
      </w:r>
      <w:r w:rsidRPr="00314917">
        <w:t xml:space="preserve"> Demonetization, thus, was a means of “signalling a regime change, emphasizing the government’s determination to penalize illicit activities and the associated wealth.”</w:t>
      </w:r>
      <w:r w:rsidR="00FB08E8">
        <w:rPr>
          <w:rStyle w:val="EndnoteReference"/>
        </w:rPr>
        <w:endnoteReference w:id="52"/>
      </w:r>
      <w:r w:rsidRPr="00314917">
        <w:t xml:space="preserve"> </w:t>
      </w:r>
      <w:r>
        <w:t xml:space="preserve">The scope of the demonetization exercise was in keeping with the BJP’s 2014 election manifesto: </w:t>
      </w:r>
      <w:r>
        <w:rPr>
          <w:lang w:val="en-IN"/>
        </w:rPr>
        <w:t>to curb corruption, counterfeiting,</w:t>
      </w:r>
      <w:r w:rsidRPr="00ED01DD">
        <w:rPr>
          <w:lang w:val="en-IN"/>
        </w:rPr>
        <w:t xml:space="preserve"> </w:t>
      </w:r>
      <w:r>
        <w:rPr>
          <w:lang w:val="en-IN"/>
        </w:rPr>
        <w:t xml:space="preserve">and </w:t>
      </w:r>
      <w:r w:rsidRPr="00ED01DD">
        <w:rPr>
          <w:lang w:val="en-IN"/>
        </w:rPr>
        <w:t xml:space="preserve">the use of </w:t>
      </w:r>
      <w:r>
        <w:rPr>
          <w:lang w:val="en-IN"/>
        </w:rPr>
        <w:t xml:space="preserve">fake </w:t>
      </w:r>
      <w:r w:rsidR="00C47A64">
        <w:rPr>
          <w:lang w:val="en-IN"/>
        </w:rPr>
        <w:t>HDNs</w:t>
      </w:r>
      <w:r w:rsidR="00C47A64" w:rsidRPr="00ED01DD">
        <w:rPr>
          <w:lang w:val="en-IN"/>
        </w:rPr>
        <w:t xml:space="preserve"> </w:t>
      </w:r>
      <w:r w:rsidRPr="00ED01DD">
        <w:rPr>
          <w:lang w:val="en-IN"/>
        </w:rPr>
        <w:t>for</w:t>
      </w:r>
      <w:r>
        <w:rPr>
          <w:lang w:val="en-IN"/>
        </w:rPr>
        <w:t xml:space="preserve"> funding</w:t>
      </w:r>
      <w:r w:rsidRPr="00ED01DD">
        <w:rPr>
          <w:lang w:val="en-IN"/>
        </w:rPr>
        <w:t xml:space="preserve"> terrorist activ</w:t>
      </w:r>
      <w:r>
        <w:rPr>
          <w:lang w:val="en-IN"/>
        </w:rPr>
        <w:t>ities,</w:t>
      </w:r>
      <w:r w:rsidRPr="00ED01DD">
        <w:rPr>
          <w:lang w:val="en-IN"/>
        </w:rPr>
        <w:t xml:space="preserve"> and especially </w:t>
      </w:r>
      <w:r>
        <w:rPr>
          <w:lang w:val="en-IN"/>
        </w:rPr>
        <w:t xml:space="preserve">to curb </w:t>
      </w:r>
      <w:r w:rsidRPr="00ED01DD">
        <w:rPr>
          <w:lang w:val="en-IN"/>
        </w:rPr>
        <w:t>the accumulation of black mone</w:t>
      </w:r>
      <w:r>
        <w:rPr>
          <w:lang w:val="en-IN"/>
        </w:rPr>
        <w:t>y generated by income that had</w:t>
      </w:r>
      <w:r w:rsidRPr="00ED01DD">
        <w:rPr>
          <w:lang w:val="en-IN"/>
        </w:rPr>
        <w:t xml:space="preserve"> not been declared to the tax authorities.</w:t>
      </w:r>
      <w:r w:rsidRPr="00314917">
        <w:rPr>
          <w:rStyle w:val="EndnoteReference"/>
          <w:sz w:val="20"/>
          <w:szCs w:val="20"/>
        </w:rPr>
        <w:endnoteReference w:id="53"/>
      </w:r>
      <w:r>
        <w:rPr>
          <w:lang w:val="en-IN"/>
        </w:rPr>
        <w:t xml:space="preserve"> </w:t>
      </w:r>
    </w:p>
    <w:p w14:paraId="6496227A" w14:textId="25B5F052" w:rsidR="000E02C1" w:rsidRDefault="000E02C1" w:rsidP="00314917">
      <w:pPr>
        <w:pStyle w:val="BodyTextMain"/>
        <w:rPr>
          <w:lang w:val="en-IN"/>
        </w:rPr>
      </w:pPr>
    </w:p>
    <w:p w14:paraId="6EB59050" w14:textId="10A4545C" w:rsidR="000E02C1" w:rsidRDefault="000E02C1" w:rsidP="00314917">
      <w:pPr>
        <w:pStyle w:val="BodyTextMain"/>
        <w:rPr>
          <w:i/>
          <w:iCs/>
          <w:lang w:val="en-IN"/>
        </w:rPr>
      </w:pPr>
      <w:r>
        <w:rPr>
          <w:lang w:val="en-IN"/>
        </w:rPr>
        <w:t>Earlier demonetizations had been carried out</w:t>
      </w:r>
      <w:r w:rsidRPr="00F935FC">
        <w:rPr>
          <w:lang w:val="en-IN"/>
        </w:rPr>
        <w:t xml:space="preserve"> in the context of hyperinflation, wars, political upheavals, or other extreme circumstances</w:t>
      </w:r>
      <w:r>
        <w:rPr>
          <w:lang w:val="en-IN"/>
        </w:rPr>
        <w:t>, but the November 2016 exercise, lasting 50 days,</w:t>
      </w:r>
      <w:r w:rsidRPr="00314917">
        <w:rPr>
          <w:rStyle w:val="EndnoteReference"/>
          <w:sz w:val="20"/>
          <w:szCs w:val="20"/>
        </w:rPr>
        <w:endnoteReference w:id="54"/>
      </w:r>
      <w:r>
        <w:rPr>
          <w:lang w:val="en-IN"/>
        </w:rPr>
        <w:t xml:space="preserve"> was sudden and shrouded in a veil of secrecy, </w:t>
      </w:r>
      <w:r w:rsidRPr="00F935FC">
        <w:rPr>
          <w:lang w:val="en-IN"/>
        </w:rPr>
        <w:t>amid normal economic and political conditions</w:t>
      </w:r>
      <w:r>
        <w:rPr>
          <w:lang w:val="en-IN"/>
        </w:rPr>
        <w:t xml:space="preserve">. When announcing the demonetization of </w:t>
      </w:r>
      <w:r w:rsidRPr="00314917">
        <w:rPr>
          <w:rFonts w:ascii="Arial" w:hAnsi="Arial" w:cs="American Typewriter Light"/>
          <w:sz w:val="20"/>
        </w:rPr>
        <w:t>₹</w:t>
      </w:r>
      <w:r>
        <w:rPr>
          <w:lang w:val="en-IN"/>
        </w:rPr>
        <w:t xml:space="preserve">500 and </w:t>
      </w:r>
      <w:r w:rsidRPr="00314917">
        <w:rPr>
          <w:rFonts w:ascii="Arial" w:hAnsi="Arial" w:cs="American Typewriter Light"/>
          <w:sz w:val="20"/>
        </w:rPr>
        <w:t>₹</w:t>
      </w:r>
      <w:r w:rsidRPr="00F935FC">
        <w:rPr>
          <w:lang w:val="en-IN"/>
        </w:rPr>
        <w:t>1</w:t>
      </w:r>
      <w:r>
        <w:rPr>
          <w:lang w:val="en-IN"/>
        </w:rPr>
        <w:t>,</w:t>
      </w:r>
      <w:r w:rsidRPr="00F935FC">
        <w:rPr>
          <w:lang w:val="en-IN"/>
        </w:rPr>
        <w:t>000 notes</w:t>
      </w:r>
      <w:r>
        <w:rPr>
          <w:lang w:val="en-IN"/>
        </w:rPr>
        <w:t xml:space="preserve"> on November 8, 2016, the </w:t>
      </w:r>
      <w:r w:rsidR="00C112C3">
        <w:rPr>
          <w:lang w:val="en-IN"/>
        </w:rPr>
        <w:t>p</w:t>
      </w:r>
      <w:r>
        <w:rPr>
          <w:lang w:val="en-IN"/>
        </w:rPr>
        <w:t xml:space="preserve">rime </w:t>
      </w:r>
      <w:r w:rsidR="00C112C3">
        <w:rPr>
          <w:lang w:val="en-IN"/>
        </w:rPr>
        <w:t>m</w:t>
      </w:r>
      <w:r>
        <w:rPr>
          <w:lang w:val="en-IN"/>
        </w:rPr>
        <w:t>inister declared, “</w:t>
      </w:r>
      <w:r w:rsidRPr="00025679">
        <w:rPr>
          <w:iCs/>
          <w:lang w:val="en-IN"/>
        </w:rPr>
        <w:t>The five hundred and thousand rupee notes hoarded by anti-national and anti-social elements will become just worthless pieces of paper</w:t>
      </w:r>
      <w:r>
        <w:rPr>
          <w:i/>
          <w:iCs/>
          <w:lang w:val="en-IN"/>
        </w:rPr>
        <w:t>.</w:t>
      </w:r>
      <w:r w:rsidRPr="00314917">
        <w:rPr>
          <w:iCs/>
          <w:lang w:val="en-IN"/>
        </w:rPr>
        <w:t>”</w:t>
      </w:r>
      <w:r w:rsidRPr="00314917">
        <w:rPr>
          <w:rStyle w:val="EndnoteReference"/>
          <w:sz w:val="20"/>
          <w:szCs w:val="20"/>
        </w:rPr>
        <w:endnoteReference w:id="55"/>
      </w:r>
    </w:p>
    <w:p w14:paraId="466E4E2A" w14:textId="77777777" w:rsidR="000E02C1" w:rsidRDefault="000E02C1" w:rsidP="00314917">
      <w:pPr>
        <w:pStyle w:val="BodyTextMain"/>
        <w:rPr>
          <w:lang w:val="en-IN"/>
        </w:rPr>
      </w:pPr>
    </w:p>
    <w:p w14:paraId="374EBC1B" w14:textId="2288A6B0" w:rsidR="000E02C1" w:rsidRDefault="000E02C1" w:rsidP="00314917">
      <w:pPr>
        <w:pStyle w:val="BodyTextMain"/>
        <w:rPr>
          <w:lang w:val="en-IN"/>
        </w:rPr>
      </w:pPr>
      <w:r>
        <w:rPr>
          <w:lang w:val="en-IN"/>
        </w:rPr>
        <w:t xml:space="preserve">All banks were instructed to stop dispensing old HDNs through their automated teller machines (ATMs) as of midnight November 8, 2016. ATMs were allowed to dispense only </w:t>
      </w:r>
      <w:r w:rsidRPr="00314917">
        <w:rPr>
          <w:rFonts w:ascii="Arial" w:hAnsi="Arial" w:cs="American Typewriter Light"/>
          <w:sz w:val="20"/>
        </w:rPr>
        <w:t>₹</w:t>
      </w:r>
      <w:r>
        <w:rPr>
          <w:lang w:val="en-IN"/>
        </w:rPr>
        <w:t xml:space="preserve">50 and </w:t>
      </w:r>
      <w:r w:rsidRPr="00314917">
        <w:rPr>
          <w:rFonts w:ascii="Arial" w:hAnsi="Arial" w:cs="American Typewriter Light"/>
          <w:sz w:val="20"/>
        </w:rPr>
        <w:t>₹</w:t>
      </w:r>
      <w:r>
        <w:rPr>
          <w:lang w:val="en-IN"/>
        </w:rPr>
        <w:t xml:space="preserve">100 notes </w:t>
      </w:r>
      <w:r w:rsidR="00D02A56">
        <w:rPr>
          <w:lang w:val="en-IN"/>
        </w:rPr>
        <w:t xml:space="preserve">as of </w:t>
      </w:r>
      <w:r>
        <w:rPr>
          <w:lang w:val="en-IN"/>
        </w:rPr>
        <w:t xml:space="preserve">November 11, 2016, with </w:t>
      </w:r>
      <w:r w:rsidR="00C47A64">
        <w:rPr>
          <w:lang w:val="en-IN"/>
        </w:rPr>
        <w:t>limits</w:t>
      </w:r>
      <w:r>
        <w:rPr>
          <w:lang w:val="en-IN"/>
        </w:rPr>
        <w:t xml:space="preserve"> on the maximum withdrawal per card per day. The</w:t>
      </w:r>
      <w:r w:rsidR="00C47A64">
        <w:rPr>
          <w:lang w:val="en-IN"/>
        </w:rPr>
        <w:t>se</w:t>
      </w:r>
      <w:r>
        <w:rPr>
          <w:lang w:val="en-IN"/>
        </w:rPr>
        <w:t xml:space="preserve"> </w:t>
      </w:r>
      <w:r w:rsidR="00C47A64">
        <w:rPr>
          <w:lang w:val="en-IN"/>
        </w:rPr>
        <w:t xml:space="preserve">limits </w:t>
      </w:r>
      <w:r>
        <w:rPr>
          <w:lang w:val="en-IN"/>
        </w:rPr>
        <w:t>were to be only gradually relaxed.</w:t>
      </w:r>
      <w:r w:rsidRPr="00314917">
        <w:rPr>
          <w:rStyle w:val="EndnoteReference"/>
        </w:rPr>
        <w:endnoteReference w:id="56"/>
      </w:r>
      <w:r>
        <w:rPr>
          <w:lang w:val="en-IN"/>
        </w:rPr>
        <w:t xml:space="preserve"> </w:t>
      </w:r>
    </w:p>
    <w:p w14:paraId="413B3DA1" w14:textId="77777777" w:rsidR="000E02C1" w:rsidRDefault="000E02C1" w:rsidP="00314917">
      <w:pPr>
        <w:pStyle w:val="BodyTextMain"/>
        <w:rPr>
          <w:lang w:val="en-IN"/>
        </w:rPr>
      </w:pPr>
    </w:p>
    <w:p w14:paraId="6B2835C3" w14:textId="7281ABFF" w:rsidR="00F56D5C" w:rsidRDefault="000E02C1" w:rsidP="00314917">
      <w:pPr>
        <w:pStyle w:val="BodyTextMain"/>
        <w:rPr>
          <w:lang w:val="en-IN"/>
        </w:rPr>
      </w:pPr>
      <w:r>
        <w:rPr>
          <w:lang w:val="en-IN"/>
        </w:rPr>
        <w:t>The government declared November 9, 2016, a non-business working day for all bank branches, which were ordered to prepare</w:t>
      </w:r>
      <w:r w:rsidRPr="00C21140">
        <w:rPr>
          <w:lang w:val="en-IN"/>
        </w:rPr>
        <w:t xml:space="preserve"> for implementing</w:t>
      </w:r>
      <w:r>
        <w:rPr>
          <w:lang w:val="en-IN"/>
        </w:rPr>
        <w:t xml:space="preserve"> the withdrawal of the HDNs.</w:t>
      </w:r>
      <w:r w:rsidRPr="00314917">
        <w:rPr>
          <w:rStyle w:val="EndnoteReference"/>
        </w:rPr>
        <w:endnoteReference w:id="57"/>
      </w:r>
      <w:r>
        <w:rPr>
          <w:lang w:val="en-IN"/>
        </w:rPr>
        <w:t xml:space="preserve"> When the banks reopened, people </w:t>
      </w:r>
      <w:r w:rsidR="000861B7">
        <w:rPr>
          <w:lang w:val="en-IN"/>
        </w:rPr>
        <w:t xml:space="preserve">who provided valid proof of identity </w:t>
      </w:r>
      <w:r>
        <w:rPr>
          <w:lang w:val="en-IN"/>
        </w:rPr>
        <w:t>were allowed to exchange old notes</w:t>
      </w:r>
      <w:r w:rsidRPr="002C3792">
        <w:rPr>
          <w:lang w:val="en-IN"/>
        </w:rPr>
        <w:t xml:space="preserve"> </w:t>
      </w:r>
      <w:r>
        <w:rPr>
          <w:lang w:val="en-IN"/>
        </w:rPr>
        <w:t xml:space="preserve">over the counter up to a </w:t>
      </w:r>
      <w:r w:rsidRPr="002C3792">
        <w:rPr>
          <w:lang w:val="en-IN"/>
        </w:rPr>
        <w:t xml:space="preserve">value </w:t>
      </w:r>
      <w:r>
        <w:rPr>
          <w:lang w:val="en-IN"/>
        </w:rPr>
        <w:t xml:space="preserve">of </w:t>
      </w:r>
      <w:r w:rsidRPr="00314917">
        <w:rPr>
          <w:rFonts w:ascii="Arial" w:hAnsi="Arial" w:cs="American Typewriter Light"/>
          <w:sz w:val="20"/>
          <w:lang w:val="en-IN"/>
        </w:rPr>
        <w:t>₹</w:t>
      </w:r>
      <w:r>
        <w:rPr>
          <w:lang w:val="en-IN"/>
        </w:rPr>
        <w:t xml:space="preserve">4,000 per person. </w:t>
      </w:r>
      <w:r w:rsidR="00000DC9">
        <w:rPr>
          <w:color w:val="1A1A1A"/>
          <w:lang w:val="en-IN"/>
        </w:rPr>
        <w:t>The government</w:t>
      </w:r>
      <w:r w:rsidR="00E1781D">
        <w:rPr>
          <w:color w:val="1A1A1A"/>
          <w:lang w:val="en-IN"/>
        </w:rPr>
        <w:t xml:space="preserve"> set </w:t>
      </w:r>
      <w:r w:rsidR="00000DC9">
        <w:rPr>
          <w:color w:val="1A1A1A"/>
          <w:lang w:val="en-IN"/>
        </w:rPr>
        <w:t xml:space="preserve">limits </w:t>
      </w:r>
      <w:r w:rsidR="00E1781D">
        <w:rPr>
          <w:color w:val="1A1A1A"/>
          <w:lang w:val="en-IN"/>
        </w:rPr>
        <w:t>to the maximum cash withdrawals per day</w:t>
      </w:r>
      <w:r>
        <w:rPr>
          <w:lang w:val="en-IN"/>
        </w:rPr>
        <w:t>, subject to overall weekly limits.</w:t>
      </w:r>
      <w:r w:rsidRPr="00314917">
        <w:rPr>
          <w:rStyle w:val="EndnoteReference"/>
        </w:rPr>
        <w:endnoteReference w:id="58"/>
      </w:r>
      <w:r>
        <w:rPr>
          <w:lang w:val="en-IN"/>
        </w:rPr>
        <w:t xml:space="preserve"> However, people could use </w:t>
      </w:r>
      <w:r w:rsidRPr="002C3792">
        <w:rPr>
          <w:lang w:val="en-IN"/>
        </w:rPr>
        <w:t>cheques or vario</w:t>
      </w:r>
      <w:r>
        <w:rPr>
          <w:lang w:val="en-IN"/>
        </w:rPr>
        <w:t>us electronic modes of transfer—</w:t>
      </w:r>
      <w:r w:rsidRPr="002C3792">
        <w:rPr>
          <w:lang w:val="en-IN"/>
        </w:rPr>
        <w:t>mobile banking</w:t>
      </w:r>
      <w:r>
        <w:rPr>
          <w:lang w:val="en-IN"/>
        </w:rPr>
        <w:t xml:space="preserve"> and I</w:t>
      </w:r>
      <w:r w:rsidRPr="002C3792">
        <w:rPr>
          <w:lang w:val="en-IN"/>
        </w:rPr>
        <w:t>nternet banking</w:t>
      </w:r>
      <w:r>
        <w:rPr>
          <w:lang w:val="en-IN"/>
        </w:rPr>
        <w:t>, for example—for business transactions,</w:t>
      </w:r>
      <w:r w:rsidRPr="00314917">
        <w:rPr>
          <w:rStyle w:val="EndnoteReference"/>
        </w:rPr>
        <w:endnoteReference w:id="59"/>
      </w:r>
      <w:r>
        <w:rPr>
          <w:lang w:val="en-IN"/>
        </w:rPr>
        <w:t xml:space="preserve"> and the government permitted old HDNs to be used for specific activities, such as paying water, electricity, and other utility bills, for a limited period until December 15, 2016.</w:t>
      </w:r>
      <w:r w:rsidRPr="00B8767F">
        <w:rPr>
          <w:rStyle w:val="EndnoteReference"/>
        </w:rPr>
        <w:endnoteReference w:id="60"/>
      </w:r>
      <w:r>
        <w:rPr>
          <w:lang w:val="en-IN"/>
        </w:rPr>
        <w:t xml:space="preserve"> </w:t>
      </w:r>
    </w:p>
    <w:p w14:paraId="1B005463" w14:textId="77777777" w:rsidR="00F56D5C" w:rsidRDefault="00F56D5C" w:rsidP="00314917">
      <w:pPr>
        <w:pStyle w:val="BodyTextMain"/>
        <w:rPr>
          <w:lang w:val="en-IN"/>
        </w:rPr>
      </w:pPr>
    </w:p>
    <w:p w14:paraId="10B979E7" w14:textId="39356626" w:rsidR="000E02C1" w:rsidRPr="00045ACD" w:rsidRDefault="000E02C1" w:rsidP="00314917">
      <w:pPr>
        <w:pStyle w:val="BodyTextMain"/>
        <w:rPr>
          <w:lang w:val="en-IN"/>
        </w:rPr>
      </w:pPr>
      <w:r>
        <w:rPr>
          <w:lang w:val="en-IN"/>
        </w:rPr>
        <w:lastRenderedPageBreak/>
        <w:t>The deadline for depositing old notes of the specified denomination</w:t>
      </w:r>
      <w:r w:rsidR="00CE1213">
        <w:rPr>
          <w:lang w:val="en-IN"/>
        </w:rPr>
        <w:t>s</w:t>
      </w:r>
      <w:r>
        <w:rPr>
          <w:lang w:val="en-IN"/>
        </w:rPr>
        <w:t xml:space="preserve"> was December 30, 2016.</w:t>
      </w:r>
      <w:r w:rsidRPr="00314917">
        <w:rPr>
          <w:rStyle w:val="EndnoteReference"/>
        </w:rPr>
        <w:endnoteReference w:id="61"/>
      </w:r>
      <w:r>
        <w:rPr>
          <w:lang w:val="en-IN"/>
        </w:rPr>
        <w:t xml:space="preserve"> </w:t>
      </w:r>
      <w:r w:rsidRPr="006B712A">
        <w:rPr>
          <w:lang w:val="en-IN"/>
        </w:rPr>
        <w:t>Th</w:t>
      </w:r>
      <w:r>
        <w:rPr>
          <w:lang w:val="en-IN"/>
        </w:rPr>
        <w:t>ose notes could no longer be exchanged or deposited</w:t>
      </w:r>
      <w:r w:rsidRPr="006B712A">
        <w:rPr>
          <w:lang w:val="en-IN"/>
        </w:rPr>
        <w:t xml:space="preserve"> </w:t>
      </w:r>
      <w:r w:rsidR="00CE1213">
        <w:rPr>
          <w:lang w:val="en-IN"/>
        </w:rPr>
        <w:t>after</w:t>
      </w:r>
      <w:r w:rsidR="00CE1213" w:rsidRPr="006B712A">
        <w:rPr>
          <w:lang w:val="en-IN"/>
        </w:rPr>
        <w:t xml:space="preserve"> </w:t>
      </w:r>
      <w:r w:rsidRPr="006B712A">
        <w:rPr>
          <w:lang w:val="en-IN"/>
        </w:rPr>
        <w:t>December 31, 2016.</w:t>
      </w:r>
      <w:r>
        <w:rPr>
          <w:lang w:val="en-IN"/>
        </w:rPr>
        <w:t xml:space="preserve"> Meanwhile, on November 11, 2016, bank ATMs started disbursing new </w:t>
      </w:r>
      <w:r w:rsidRPr="00314917">
        <w:rPr>
          <w:rFonts w:ascii="Arial" w:hAnsi="Arial" w:cs="American Typewriter Light"/>
          <w:sz w:val="20"/>
        </w:rPr>
        <w:t>₹</w:t>
      </w:r>
      <w:r>
        <w:rPr>
          <w:lang w:val="en-IN"/>
        </w:rPr>
        <w:t>2</w:t>
      </w:r>
      <w:r w:rsidR="003D2ECD">
        <w:rPr>
          <w:lang w:val="en-IN"/>
        </w:rPr>
        <w:t>,</w:t>
      </w:r>
      <w:r>
        <w:rPr>
          <w:lang w:val="en-IN"/>
        </w:rPr>
        <w:t>000 denomination notes.</w:t>
      </w:r>
      <w:r w:rsidRPr="00314917">
        <w:rPr>
          <w:rStyle w:val="EndnoteReference"/>
        </w:rPr>
        <w:endnoteReference w:id="62"/>
      </w:r>
      <w:r w:rsidR="00045ACD">
        <w:rPr>
          <w:lang w:val="en-IN"/>
        </w:rPr>
        <w:t xml:space="preserve"> </w:t>
      </w:r>
      <w:r w:rsidR="00045ACD" w:rsidRPr="00045ACD">
        <w:rPr>
          <w:lang w:val="en-IN"/>
        </w:rPr>
        <w:t xml:space="preserve">Thus, as part of the government’s demonetization exercise, the recalled </w:t>
      </w:r>
      <w:r w:rsidR="00045ACD" w:rsidRPr="00B92C7B">
        <w:rPr>
          <w:rFonts w:ascii="Arial" w:hAnsi="Arial" w:cs="American Typewriter Light"/>
          <w:sz w:val="20"/>
        </w:rPr>
        <w:t>₹</w:t>
      </w:r>
      <w:r w:rsidR="00045ACD" w:rsidRPr="001D39F1">
        <w:t xml:space="preserve">500 notes were replaced with </w:t>
      </w:r>
      <w:r w:rsidR="00AE07D7" w:rsidRPr="00F4779F">
        <w:t xml:space="preserve">new </w:t>
      </w:r>
      <w:r w:rsidR="00AE07D7" w:rsidRPr="00B92C7B">
        <w:rPr>
          <w:rFonts w:ascii="Arial" w:hAnsi="Arial" w:cs="American Typewriter Light"/>
          <w:sz w:val="20"/>
        </w:rPr>
        <w:t>₹</w:t>
      </w:r>
      <w:r w:rsidR="00AE07D7" w:rsidRPr="00F4779F">
        <w:t>2</w:t>
      </w:r>
      <w:r w:rsidR="00BC3E95">
        <w:t>,</w:t>
      </w:r>
      <w:r w:rsidR="00AE07D7" w:rsidRPr="00F4779F">
        <w:t xml:space="preserve">000 </w:t>
      </w:r>
      <w:r w:rsidR="00AE07D7">
        <w:t xml:space="preserve">denomination notes put into circulation, in addition to </w:t>
      </w:r>
      <w:r w:rsidR="00045ACD" w:rsidRPr="001D39F1">
        <w:t xml:space="preserve">newly issued </w:t>
      </w:r>
      <w:r w:rsidR="00045ACD" w:rsidRPr="00B92C7B">
        <w:rPr>
          <w:rFonts w:ascii="Arial" w:hAnsi="Arial" w:cs="American Typewriter Light"/>
          <w:sz w:val="20"/>
        </w:rPr>
        <w:t>₹</w:t>
      </w:r>
      <w:r w:rsidR="00AE07D7" w:rsidRPr="00E656F0">
        <w:t>500 notes</w:t>
      </w:r>
      <w:r w:rsidR="00045ACD" w:rsidRPr="001D39F1">
        <w:t>.</w:t>
      </w:r>
    </w:p>
    <w:p w14:paraId="368641D3" w14:textId="77777777" w:rsidR="000E02C1" w:rsidRPr="00DD7506" w:rsidRDefault="000E02C1" w:rsidP="00314917">
      <w:pPr>
        <w:pStyle w:val="BodyTextMain"/>
        <w:rPr>
          <w:lang w:val="en-IN"/>
        </w:rPr>
      </w:pPr>
    </w:p>
    <w:p w14:paraId="4715D6BB" w14:textId="2399E931" w:rsidR="000E02C1" w:rsidRDefault="00AE3CD5" w:rsidP="00314917">
      <w:pPr>
        <w:pStyle w:val="BodyTextMain"/>
        <w:rPr>
          <w:lang w:val="en-IN"/>
        </w:rPr>
      </w:pPr>
      <w:r>
        <w:rPr>
          <w:lang w:val="en-IN"/>
        </w:rPr>
        <w:t>The 52</w:t>
      </w:r>
      <w:r w:rsidR="000E02C1">
        <w:rPr>
          <w:lang w:val="en-IN"/>
        </w:rPr>
        <w:t>-day period between November 8 and December 30, 2016, was difficult for people, who had to stand in long queues to withdraw their legitimate cash from banks, whether through ATMs or over the counter.</w:t>
      </w:r>
      <w:r w:rsidR="000E02C1" w:rsidRPr="00314917">
        <w:rPr>
          <w:rStyle w:val="EndnoteReference"/>
        </w:rPr>
        <w:endnoteReference w:id="63"/>
      </w:r>
      <w:r w:rsidR="000E02C1">
        <w:rPr>
          <w:lang w:val="en-IN"/>
        </w:rPr>
        <w:t xml:space="preserve"> </w:t>
      </w:r>
      <w:r w:rsidR="008A3BB3">
        <w:rPr>
          <w:lang w:val="en-IN"/>
        </w:rPr>
        <w:t>Again, o</w:t>
      </w:r>
      <w:r w:rsidR="000E02C1">
        <w:rPr>
          <w:lang w:val="en-IN"/>
        </w:rPr>
        <w:t>nly 28–32 per cent of Indians had</w:t>
      </w:r>
      <w:r w:rsidR="000E02C1" w:rsidRPr="007B4E13">
        <w:rPr>
          <w:lang w:val="en-IN"/>
        </w:rPr>
        <w:t xml:space="preserve"> access to financial institutions, including post</w:t>
      </w:r>
      <w:r w:rsidR="000E02C1">
        <w:rPr>
          <w:lang w:val="en-IN"/>
        </w:rPr>
        <w:t xml:space="preserve"> offices and banks, with those in rural India having the most limited access. It was estimated that 33 per cent</w:t>
      </w:r>
      <w:r w:rsidR="000E02C1" w:rsidRPr="007B4E13">
        <w:rPr>
          <w:lang w:val="en-IN"/>
        </w:rPr>
        <w:t xml:space="preserve"> </w:t>
      </w:r>
      <w:r w:rsidR="000E02C1">
        <w:rPr>
          <w:lang w:val="en-IN"/>
        </w:rPr>
        <w:t>of the 138,626 bank branches were</w:t>
      </w:r>
      <w:r w:rsidR="000E02C1" w:rsidRPr="007B4E13">
        <w:rPr>
          <w:lang w:val="en-IN"/>
        </w:rPr>
        <w:t xml:space="preserve"> in 60 Tier</w:t>
      </w:r>
      <w:r w:rsidR="00BC3E95">
        <w:rPr>
          <w:lang w:val="en-IN"/>
        </w:rPr>
        <w:t xml:space="preserve"> </w:t>
      </w:r>
      <w:r w:rsidR="000E02C1" w:rsidRPr="007B4E13">
        <w:rPr>
          <w:lang w:val="en-IN"/>
        </w:rPr>
        <w:t>1 and Tier</w:t>
      </w:r>
      <w:r w:rsidR="00BC3E95">
        <w:rPr>
          <w:lang w:val="en-IN"/>
        </w:rPr>
        <w:t xml:space="preserve"> </w:t>
      </w:r>
      <w:r w:rsidR="000E02C1" w:rsidRPr="007B4E13">
        <w:rPr>
          <w:lang w:val="en-IN"/>
        </w:rPr>
        <w:t>2 cities, leaving rural India at a huge disadvantage</w:t>
      </w:r>
      <w:r w:rsidR="000E02C1">
        <w:rPr>
          <w:lang w:val="en-IN"/>
        </w:rPr>
        <w:t>.</w:t>
      </w:r>
      <w:r w:rsidR="000E02C1" w:rsidRPr="00314917">
        <w:rPr>
          <w:rStyle w:val="EndnoteReference"/>
        </w:rPr>
        <w:endnoteReference w:id="64"/>
      </w:r>
      <w:r w:rsidR="008A3BB3">
        <w:rPr>
          <w:lang w:val="en-IN"/>
        </w:rPr>
        <w:t xml:space="preserve"> </w:t>
      </w:r>
      <w:r w:rsidR="00CE1213">
        <w:rPr>
          <w:lang w:val="en-IN"/>
        </w:rPr>
        <w:t>People in t</w:t>
      </w:r>
      <w:r w:rsidR="008A3BB3">
        <w:rPr>
          <w:lang w:val="en-IN"/>
        </w:rPr>
        <w:t xml:space="preserve">his segment of underbanked/unbanked Indian population found </w:t>
      </w:r>
      <w:r w:rsidR="00CE1213">
        <w:rPr>
          <w:lang w:val="en-IN"/>
        </w:rPr>
        <w:t xml:space="preserve">themselves </w:t>
      </w:r>
      <w:r w:rsidR="008A3BB3">
        <w:rPr>
          <w:lang w:val="en-IN"/>
        </w:rPr>
        <w:t xml:space="preserve">holding notes </w:t>
      </w:r>
      <w:r w:rsidR="00BC3E95">
        <w:rPr>
          <w:lang w:val="en-IN"/>
        </w:rPr>
        <w:t xml:space="preserve">that </w:t>
      </w:r>
      <w:r w:rsidR="008A3BB3">
        <w:rPr>
          <w:lang w:val="en-IN"/>
        </w:rPr>
        <w:t xml:space="preserve">could </w:t>
      </w:r>
      <w:r w:rsidR="00CE1213">
        <w:rPr>
          <w:lang w:val="en-IN"/>
        </w:rPr>
        <w:t xml:space="preserve">no longer </w:t>
      </w:r>
      <w:r w:rsidR="008A3BB3">
        <w:rPr>
          <w:lang w:val="en-IN"/>
        </w:rPr>
        <w:t xml:space="preserve">be used. With no recourse to exchanging the banned notes in a timely manner, </w:t>
      </w:r>
      <w:r w:rsidR="00CE1213">
        <w:rPr>
          <w:lang w:val="en-IN"/>
        </w:rPr>
        <w:t xml:space="preserve">people in </w:t>
      </w:r>
      <w:r w:rsidR="008A3BB3">
        <w:rPr>
          <w:lang w:val="en-IN"/>
        </w:rPr>
        <w:t xml:space="preserve">this </w:t>
      </w:r>
      <w:r w:rsidR="00CE1213">
        <w:rPr>
          <w:lang w:val="en-IN"/>
        </w:rPr>
        <w:t xml:space="preserve">population </w:t>
      </w:r>
      <w:r w:rsidR="008A3BB3">
        <w:rPr>
          <w:lang w:val="en-IN"/>
        </w:rPr>
        <w:t>segment faced the maximum hardship.</w:t>
      </w:r>
    </w:p>
    <w:p w14:paraId="23464658" w14:textId="3206A6C5" w:rsidR="000E02C1" w:rsidRDefault="000E02C1" w:rsidP="00314917">
      <w:pPr>
        <w:pStyle w:val="BodyTextMain"/>
        <w:rPr>
          <w:lang w:val="en-IN"/>
        </w:rPr>
      </w:pPr>
    </w:p>
    <w:p w14:paraId="45DB6734" w14:textId="586AD6B8" w:rsidR="000E02C1" w:rsidRDefault="000E02C1" w:rsidP="00314917">
      <w:pPr>
        <w:pStyle w:val="BodyTextMain"/>
        <w:rPr>
          <w:lang w:val="en-IN"/>
        </w:rPr>
      </w:pPr>
      <w:r>
        <w:rPr>
          <w:lang w:val="en-IN"/>
        </w:rPr>
        <w:t xml:space="preserve">Access to ATMs was also poor: 56 banks operated 210,000 ATMs in a country with 1.32 billion people </w:t>
      </w:r>
      <w:r w:rsidRPr="00025679">
        <w:rPr>
          <w:lang w:val="en-IN"/>
        </w:rPr>
        <w:t xml:space="preserve">(see Exhibit </w:t>
      </w:r>
      <w:r w:rsidR="00045ACD">
        <w:rPr>
          <w:lang w:val="en-IN"/>
        </w:rPr>
        <w:t>4</w:t>
      </w:r>
      <w:r w:rsidRPr="00025679">
        <w:rPr>
          <w:lang w:val="en-IN"/>
        </w:rPr>
        <w:t>).</w:t>
      </w:r>
      <w:r>
        <w:rPr>
          <w:lang w:val="en-IN"/>
        </w:rPr>
        <w:t xml:space="preserve"> </w:t>
      </w:r>
      <w:r w:rsidR="00CE1213">
        <w:rPr>
          <w:lang w:val="en-IN"/>
        </w:rPr>
        <w:t>In 2015, t</w:t>
      </w:r>
      <w:r w:rsidR="00DD7506">
        <w:rPr>
          <w:lang w:val="en-IN"/>
        </w:rPr>
        <w:t>he World Bank placed India</w:t>
      </w:r>
      <w:r w:rsidR="00232C25">
        <w:rPr>
          <w:lang w:val="en-IN"/>
        </w:rPr>
        <w:t>—</w:t>
      </w:r>
      <w:r w:rsidR="008A3BB3">
        <w:rPr>
          <w:lang w:val="en-IN"/>
        </w:rPr>
        <w:t xml:space="preserve">with its 19.71 ATMs per </w:t>
      </w:r>
      <w:r w:rsidR="00B46F46">
        <w:rPr>
          <w:lang w:val="en-IN"/>
        </w:rPr>
        <w:t xml:space="preserve">100,000 </w:t>
      </w:r>
      <w:r w:rsidR="008A3BB3">
        <w:rPr>
          <w:lang w:val="en-IN"/>
        </w:rPr>
        <w:t>adults</w:t>
      </w:r>
      <w:r w:rsidR="00232C25">
        <w:rPr>
          <w:lang w:val="en-IN"/>
        </w:rPr>
        <w:t>—in</w:t>
      </w:r>
      <w:r w:rsidR="008A3BB3">
        <w:rPr>
          <w:lang w:val="en-IN"/>
        </w:rPr>
        <w:t xml:space="preserve"> 118th position (out of</w:t>
      </w:r>
      <w:r w:rsidR="00DD7506">
        <w:rPr>
          <w:lang w:val="en-IN"/>
        </w:rPr>
        <w:t xml:space="preserve"> 162 countries)</w:t>
      </w:r>
      <w:r w:rsidR="008A3BB3">
        <w:rPr>
          <w:lang w:val="en-IN"/>
        </w:rPr>
        <w:t>,</w:t>
      </w:r>
      <w:r w:rsidR="00DD7506">
        <w:rPr>
          <w:lang w:val="en-IN"/>
        </w:rPr>
        <w:t xml:space="preserve"> in terms of the num</w:t>
      </w:r>
      <w:r w:rsidR="008A3BB3">
        <w:rPr>
          <w:lang w:val="en-IN"/>
        </w:rPr>
        <w:t xml:space="preserve">ber of ATMs per </w:t>
      </w:r>
      <w:r w:rsidR="00B46F46">
        <w:rPr>
          <w:lang w:val="en-IN"/>
        </w:rPr>
        <w:t>100,000</w:t>
      </w:r>
      <w:r w:rsidR="008A3BB3">
        <w:rPr>
          <w:lang w:val="en-IN"/>
        </w:rPr>
        <w:t xml:space="preserve"> adults</w:t>
      </w:r>
      <w:r w:rsidR="00DD7506">
        <w:rPr>
          <w:lang w:val="en-IN"/>
        </w:rPr>
        <w:t>.</w:t>
      </w:r>
      <w:r w:rsidR="00DD7506">
        <w:rPr>
          <w:rStyle w:val="EndnoteReference"/>
          <w:lang w:val="en-IN"/>
        </w:rPr>
        <w:endnoteReference w:id="65"/>
      </w:r>
      <w:r w:rsidR="00DD7506">
        <w:rPr>
          <w:lang w:val="en-IN"/>
        </w:rPr>
        <w:t xml:space="preserve"> </w:t>
      </w:r>
      <w:r>
        <w:rPr>
          <w:lang w:val="en-IN"/>
        </w:rPr>
        <w:t>Further, the ATMs were dispersed unevenly across the 29 Indian states, and between rural and urban areas, making it difficult to facilitate transactions uniformly. The spread of point</w:t>
      </w:r>
      <w:r w:rsidR="00CE1213">
        <w:rPr>
          <w:lang w:val="en-IN"/>
        </w:rPr>
        <w:t>-</w:t>
      </w:r>
      <w:r>
        <w:rPr>
          <w:lang w:val="en-IN"/>
        </w:rPr>
        <w:t>of</w:t>
      </w:r>
      <w:r w:rsidR="00CE1213">
        <w:rPr>
          <w:lang w:val="en-IN"/>
        </w:rPr>
        <w:t>-</w:t>
      </w:r>
      <w:r>
        <w:rPr>
          <w:lang w:val="en-IN"/>
        </w:rPr>
        <w:t xml:space="preserve">sale (POS) terminals was far greater, with more people using debit cards than credit cards through </w:t>
      </w:r>
      <w:r w:rsidR="009460A1">
        <w:rPr>
          <w:lang w:val="en-IN"/>
        </w:rPr>
        <w:t xml:space="preserve">the </w:t>
      </w:r>
      <w:r>
        <w:rPr>
          <w:lang w:val="en-IN"/>
        </w:rPr>
        <w:t>terminals.</w:t>
      </w:r>
      <w:r w:rsidRPr="00314917">
        <w:rPr>
          <w:rStyle w:val="EndnoteReference"/>
        </w:rPr>
        <w:endnoteReference w:id="66"/>
      </w:r>
      <w:r>
        <w:rPr>
          <w:lang w:val="en-IN"/>
        </w:rPr>
        <w:t xml:space="preserve"> However, the number of transactions through POS terminals compared </w:t>
      </w:r>
      <w:r w:rsidR="00B46F46">
        <w:rPr>
          <w:lang w:val="en-IN"/>
        </w:rPr>
        <w:t xml:space="preserve">with </w:t>
      </w:r>
      <w:r>
        <w:rPr>
          <w:lang w:val="en-IN"/>
        </w:rPr>
        <w:t xml:space="preserve">the number of withdrawals with debit cards suggested that most people who had been issued debit </w:t>
      </w:r>
      <w:r w:rsidR="00272868">
        <w:rPr>
          <w:lang w:val="en-IN"/>
        </w:rPr>
        <w:t xml:space="preserve">cards </w:t>
      </w:r>
      <w:r>
        <w:rPr>
          <w:lang w:val="en-IN"/>
        </w:rPr>
        <w:t>(or even credit</w:t>
      </w:r>
      <w:r w:rsidR="00272868">
        <w:rPr>
          <w:lang w:val="en-IN"/>
        </w:rPr>
        <w:t xml:space="preserve"> cards</w:t>
      </w:r>
      <w:r>
        <w:rPr>
          <w:lang w:val="en-IN"/>
        </w:rPr>
        <w:t>) seldom used them for carrying out transactions.</w:t>
      </w:r>
      <w:r w:rsidRPr="00314917">
        <w:rPr>
          <w:rStyle w:val="EndnoteReference"/>
        </w:rPr>
        <w:endnoteReference w:id="67"/>
      </w:r>
      <w:r>
        <w:rPr>
          <w:lang w:val="en-IN"/>
        </w:rPr>
        <w:t xml:space="preserve"> </w:t>
      </w:r>
    </w:p>
    <w:p w14:paraId="0D1318B9" w14:textId="77777777" w:rsidR="000E02C1" w:rsidRPr="00BD3391" w:rsidRDefault="000E02C1" w:rsidP="00314917">
      <w:pPr>
        <w:pStyle w:val="BodyTextMain"/>
        <w:rPr>
          <w:lang w:val="en-IN"/>
        </w:rPr>
      </w:pPr>
    </w:p>
    <w:p w14:paraId="30A83B16" w14:textId="0B4CD666" w:rsidR="000E02C1" w:rsidRDefault="000E02C1" w:rsidP="00314917">
      <w:pPr>
        <w:pStyle w:val="BodyTextMain"/>
        <w:rPr>
          <w:lang w:val="en-IN"/>
        </w:rPr>
      </w:pPr>
      <w:r w:rsidRPr="00BD3391">
        <w:rPr>
          <w:lang w:val="en-IN"/>
        </w:rPr>
        <w:t xml:space="preserve">The RBI restored </w:t>
      </w:r>
      <w:r>
        <w:rPr>
          <w:lang w:val="en-IN"/>
        </w:rPr>
        <w:t xml:space="preserve">the </w:t>
      </w:r>
      <w:r w:rsidRPr="00BD3391">
        <w:rPr>
          <w:lang w:val="en-IN"/>
        </w:rPr>
        <w:t xml:space="preserve">status quo </w:t>
      </w:r>
      <w:r>
        <w:rPr>
          <w:lang w:val="en-IN"/>
        </w:rPr>
        <w:t>in part</w:t>
      </w:r>
      <w:r w:rsidRPr="00BD3391">
        <w:rPr>
          <w:lang w:val="en-IN"/>
        </w:rPr>
        <w:t xml:space="preserve"> by removing restric</w:t>
      </w:r>
      <w:r>
        <w:rPr>
          <w:lang w:val="en-IN"/>
        </w:rPr>
        <w:t>tions on cash withdrawals from current, cash credit, and o</w:t>
      </w:r>
      <w:r w:rsidRPr="00BD3391">
        <w:rPr>
          <w:lang w:val="en-IN"/>
        </w:rPr>
        <w:t xml:space="preserve">verdraft accounts, </w:t>
      </w:r>
      <w:r>
        <w:rPr>
          <w:lang w:val="en-IN"/>
        </w:rPr>
        <w:t xml:space="preserve">and on </w:t>
      </w:r>
      <w:r w:rsidRPr="00BD3391">
        <w:rPr>
          <w:lang w:val="en-IN"/>
        </w:rPr>
        <w:t>ATM withdrawals effect</w:t>
      </w:r>
      <w:r>
        <w:rPr>
          <w:lang w:val="en-IN"/>
        </w:rPr>
        <w:t>ive</w:t>
      </w:r>
      <w:r w:rsidRPr="00BD3391">
        <w:rPr>
          <w:lang w:val="en-IN"/>
        </w:rPr>
        <w:t xml:space="preserve"> January 31, 2017</w:t>
      </w:r>
      <w:r w:rsidR="00B46F46">
        <w:rPr>
          <w:lang w:val="en-IN"/>
        </w:rPr>
        <w:t>,</w:t>
      </w:r>
      <w:r w:rsidRPr="00BD3391">
        <w:rPr>
          <w:lang w:val="en-IN"/>
        </w:rPr>
        <w:t xml:space="preserve"> and February 1, 2017</w:t>
      </w:r>
      <w:r w:rsidR="00B46F46">
        <w:rPr>
          <w:lang w:val="en-IN"/>
        </w:rPr>
        <w:t>,</w:t>
      </w:r>
      <w:r w:rsidRPr="00BD3391">
        <w:rPr>
          <w:lang w:val="en-IN"/>
        </w:rPr>
        <w:t xml:space="preserve"> respectively. </w:t>
      </w:r>
      <w:r>
        <w:rPr>
          <w:lang w:val="en-IN"/>
        </w:rPr>
        <w:t>T</w:t>
      </w:r>
      <w:r w:rsidRPr="00BD3391">
        <w:rPr>
          <w:lang w:val="en-IN"/>
        </w:rPr>
        <w:t xml:space="preserve">he limits on cash withdrawals from savings bank accounts were ultimately withdrawn </w:t>
      </w:r>
      <w:r>
        <w:rPr>
          <w:lang w:val="en-IN"/>
        </w:rPr>
        <w:t>as of March 13, 2017.</w:t>
      </w:r>
      <w:r w:rsidRPr="00314917">
        <w:rPr>
          <w:rStyle w:val="EndnoteReference"/>
        </w:rPr>
        <w:endnoteReference w:id="68"/>
      </w:r>
    </w:p>
    <w:p w14:paraId="414BCC56" w14:textId="77777777" w:rsidR="000E02C1" w:rsidRDefault="000E02C1" w:rsidP="00314917">
      <w:pPr>
        <w:pStyle w:val="BodyTextMain"/>
        <w:rPr>
          <w:lang w:val="en-IN"/>
        </w:rPr>
      </w:pPr>
    </w:p>
    <w:p w14:paraId="42BD3A96" w14:textId="77777777" w:rsidR="000E02C1" w:rsidRDefault="000E02C1" w:rsidP="00314917">
      <w:pPr>
        <w:pStyle w:val="BodyTextMain"/>
        <w:rPr>
          <w:lang w:val="en-IN"/>
        </w:rPr>
      </w:pPr>
    </w:p>
    <w:p w14:paraId="51589431" w14:textId="77777777" w:rsidR="000E02C1" w:rsidRPr="00F1386F" w:rsidRDefault="000E02C1" w:rsidP="00314917">
      <w:pPr>
        <w:pStyle w:val="Casehead2"/>
        <w:rPr>
          <w:lang w:val="en-IN"/>
        </w:rPr>
      </w:pPr>
      <w:r w:rsidRPr="00F1386F">
        <w:rPr>
          <w:lang w:val="en-IN"/>
        </w:rPr>
        <w:t>Impact on Black Money</w:t>
      </w:r>
    </w:p>
    <w:p w14:paraId="4E39FB42" w14:textId="77777777" w:rsidR="000E02C1" w:rsidRDefault="000E02C1" w:rsidP="00314917">
      <w:pPr>
        <w:pStyle w:val="BodyTextMain"/>
        <w:rPr>
          <w:rFonts w:ascii="Arial" w:hAnsi="Arial"/>
          <w:b/>
          <w:lang w:val="en-IN"/>
        </w:rPr>
      </w:pPr>
    </w:p>
    <w:p w14:paraId="2168FC8D" w14:textId="02F6A5F3" w:rsidR="000E02C1" w:rsidRDefault="000E02C1" w:rsidP="00314917">
      <w:pPr>
        <w:pStyle w:val="BodyTextMain"/>
        <w:rPr>
          <w:lang w:val="en-IN"/>
        </w:rPr>
      </w:pPr>
      <w:r>
        <w:rPr>
          <w:lang w:val="en-IN"/>
        </w:rPr>
        <w:t xml:space="preserve">Demonetization of the HDNs was technically not equivalent to demonetization of black money since </w:t>
      </w:r>
      <w:r w:rsidR="00B46F46">
        <w:rPr>
          <w:lang w:val="en-IN"/>
        </w:rPr>
        <w:t xml:space="preserve">for </w:t>
      </w:r>
      <w:r>
        <w:rPr>
          <w:lang w:val="en-IN"/>
        </w:rPr>
        <w:t xml:space="preserve">a large proportion of </w:t>
      </w:r>
      <w:r w:rsidR="00B46F46">
        <w:rPr>
          <w:lang w:val="en-IN"/>
        </w:rPr>
        <w:t xml:space="preserve">the </w:t>
      </w:r>
      <w:r>
        <w:rPr>
          <w:lang w:val="en-IN"/>
        </w:rPr>
        <w:t xml:space="preserve">HDNs held by </w:t>
      </w:r>
      <w:r w:rsidR="00B46F46">
        <w:rPr>
          <w:lang w:val="en-IN"/>
        </w:rPr>
        <w:t>individuals</w:t>
      </w:r>
      <w:r w:rsidR="0062220B">
        <w:rPr>
          <w:lang w:val="en-IN"/>
        </w:rPr>
        <w:t>,</w:t>
      </w:r>
      <w:r w:rsidR="00B46F46">
        <w:rPr>
          <w:lang w:val="en-IN"/>
        </w:rPr>
        <w:t xml:space="preserve"> </w:t>
      </w:r>
      <w:r>
        <w:rPr>
          <w:lang w:val="en-IN"/>
        </w:rPr>
        <w:t xml:space="preserve">either taxes had been </w:t>
      </w:r>
      <w:r w:rsidR="0062220B">
        <w:rPr>
          <w:lang w:val="en-IN"/>
        </w:rPr>
        <w:t xml:space="preserve">already been </w:t>
      </w:r>
      <w:r>
        <w:rPr>
          <w:lang w:val="en-IN"/>
        </w:rPr>
        <w:t xml:space="preserve">paid (i.e., </w:t>
      </w:r>
      <w:r w:rsidR="00CE1213">
        <w:rPr>
          <w:lang w:val="en-IN"/>
        </w:rPr>
        <w:t xml:space="preserve">it was </w:t>
      </w:r>
      <w:r>
        <w:rPr>
          <w:lang w:val="en-IN"/>
        </w:rPr>
        <w:t xml:space="preserve">white money) or </w:t>
      </w:r>
      <w:r w:rsidR="0062220B">
        <w:rPr>
          <w:lang w:val="en-IN"/>
        </w:rPr>
        <w:t xml:space="preserve">the money was </w:t>
      </w:r>
      <w:r>
        <w:rPr>
          <w:lang w:val="en-IN"/>
        </w:rPr>
        <w:t>tax-exempt in the first place, such as agricultural income. Those who did hold black money faced three choices: they could declare their black wealth and pay a tax rate of 50 per cent on the holdings they had not previously reported; continue to hide the black wealth, rendering that wealth useless</w:t>
      </w:r>
      <w:r w:rsidR="0062220B">
        <w:rPr>
          <w:lang w:val="en-IN"/>
        </w:rPr>
        <w:t>;</w:t>
      </w:r>
      <w:r>
        <w:rPr>
          <w:lang w:val="en-IN"/>
        </w:rPr>
        <w:t xml:space="preserve"> or if caught with the hidden money, </w:t>
      </w:r>
      <w:r w:rsidR="0062220B">
        <w:rPr>
          <w:lang w:val="en-IN"/>
        </w:rPr>
        <w:t xml:space="preserve">either </w:t>
      </w:r>
      <w:r>
        <w:rPr>
          <w:lang w:val="en-IN"/>
        </w:rPr>
        <w:t>pay 85 per cent tax on the value or actively convert their black money into white at a certain cost.</w:t>
      </w:r>
      <w:r w:rsidRPr="00314917">
        <w:rPr>
          <w:rStyle w:val="EndnoteReference"/>
        </w:rPr>
        <w:endnoteReference w:id="69"/>
      </w:r>
      <w:r>
        <w:rPr>
          <w:lang w:val="en-IN"/>
        </w:rPr>
        <w:t xml:space="preserve"> They could also choose to deposit their black wealth into their bank accounts; however, unexplained large cash deposits, if detected, would attract a 200 per cent penalty over and above the taxes.</w:t>
      </w:r>
      <w:r w:rsidRPr="00314917">
        <w:rPr>
          <w:rStyle w:val="EndnoteReference"/>
        </w:rPr>
        <w:endnoteReference w:id="70"/>
      </w:r>
    </w:p>
    <w:p w14:paraId="53AD8470" w14:textId="77777777" w:rsidR="000E02C1" w:rsidRDefault="000E02C1" w:rsidP="00314917">
      <w:pPr>
        <w:pStyle w:val="BodyTextMain"/>
        <w:rPr>
          <w:lang w:val="en-IN"/>
        </w:rPr>
      </w:pPr>
    </w:p>
    <w:p w14:paraId="42BEA703" w14:textId="4B4914E6" w:rsidR="000E02C1" w:rsidRDefault="000E02C1" w:rsidP="00314917">
      <w:pPr>
        <w:pStyle w:val="BodyTextMain"/>
        <w:rPr>
          <w:lang w:val="en-IN"/>
        </w:rPr>
      </w:pPr>
      <w:r>
        <w:rPr>
          <w:lang w:val="en-IN"/>
        </w:rPr>
        <w:t xml:space="preserve">Anecdotal evidence suggested that </w:t>
      </w:r>
      <w:r w:rsidR="0062220B">
        <w:rPr>
          <w:lang w:val="en-IN"/>
        </w:rPr>
        <w:t xml:space="preserve">many </w:t>
      </w:r>
      <w:r>
        <w:rPr>
          <w:lang w:val="en-IN"/>
        </w:rPr>
        <w:t>people chose the route of money laundering, using various ways to convert their black wealth to white. One route was to donate money to temples, which</w:t>
      </w:r>
      <w:r w:rsidR="00C80F27" w:rsidRPr="00516A0D">
        <w:rPr>
          <w:lang w:val="en-IN"/>
        </w:rPr>
        <w:t xml:space="preserve"> </w:t>
      </w:r>
      <w:r w:rsidR="0062220B">
        <w:rPr>
          <w:lang w:val="en-IN"/>
        </w:rPr>
        <w:t>were not required</w:t>
      </w:r>
      <w:r w:rsidR="00C80F27">
        <w:rPr>
          <w:lang w:val="en-IN"/>
        </w:rPr>
        <w:t xml:space="preserve"> to report income for government tax review</w:t>
      </w:r>
      <w:r>
        <w:rPr>
          <w:lang w:val="en-IN"/>
        </w:rPr>
        <w:t>.</w:t>
      </w:r>
      <w:r w:rsidRPr="00314917">
        <w:rPr>
          <w:rStyle w:val="EndnoteReference"/>
        </w:rPr>
        <w:endnoteReference w:id="71"/>
      </w:r>
      <w:r>
        <w:rPr>
          <w:lang w:val="en-IN"/>
        </w:rPr>
        <w:t xml:space="preserve"> Sting operations conducted by Indian television news channels had reported temple authorities </w:t>
      </w:r>
      <w:r w:rsidR="009877E6">
        <w:rPr>
          <w:lang w:val="en-IN"/>
        </w:rPr>
        <w:t xml:space="preserve">were </w:t>
      </w:r>
      <w:r>
        <w:rPr>
          <w:lang w:val="en-IN"/>
        </w:rPr>
        <w:t>accepting and converting black wealth in exchange for commissions.</w:t>
      </w:r>
      <w:r w:rsidRPr="00314917">
        <w:rPr>
          <w:rStyle w:val="EndnoteReference"/>
        </w:rPr>
        <w:endnoteReference w:id="72"/>
      </w:r>
      <w:r>
        <w:rPr>
          <w:lang w:val="en-IN"/>
        </w:rPr>
        <w:t xml:space="preserve"> Co-operative banks, credit societies, and non-banking financial institutions in rural areas, </w:t>
      </w:r>
      <w:r>
        <w:rPr>
          <w:lang w:val="en-IN"/>
        </w:rPr>
        <w:lastRenderedPageBreak/>
        <w:t>with their manual operations, helped launder money by issuing backdated fixed deposit receipts in the names of various villagers.</w:t>
      </w:r>
      <w:r w:rsidRPr="00314917">
        <w:rPr>
          <w:rStyle w:val="EndnoteReference"/>
        </w:rPr>
        <w:endnoteReference w:id="73"/>
      </w:r>
      <w:r>
        <w:rPr>
          <w:lang w:val="en-IN"/>
        </w:rPr>
        <w:t xml:space="preserve"> </w:t>
      </w:r>
    </w:p>
    <w:p w14:paraId="2719EE44" w14:textId="77777777" w:rsidR="000E02C1" w:rsidRDefault="000E02C1" w:rsidP="00314917">
      <w:pPr>
        <w:pStyle w:val="BodyTextMain"/>
        <w:rPr>
          <w:lang w:val="en-IN"/>
        </w:rPr>
      </w:pPr>
    </w:p>
    <w:p w14:paraId="28D667D1" w14:textId="4DB3892F" w:rsidR="000E02C1" w:rsidRDefault="000E02C1" w:rsidP="00314917">
      <w:pPr>
        <w:pStyle w:val="BodyTextMain"/>
        <w:rPr>
          <w:lang w:val="en-IN"/>
        </w:rPr>
      </w:pPr>
      <w:r>
        <w:rPr>
          <w:lang w:val="en-IN"/>
        </w:rPr>
        <w:t xml:space="preserve">The government had announced that cash deposits of up to </w:t>
      </w:r>
      <w:r w:rsidRPr="00B92C7B">
        <w:rPr>
          <w:rFonts w:ascii="Arial" w:hAnsi="Arial" w:cs="American Typewriter Light"/>
          <w:sz w:val="20"/>
        </w:rPr>
        <w:t>₹</w:t>
      </w:r>
      <w:r>
        <w:rPr>
          <w:lang w:val="en-IN"/>
        </w:rPr>
        <w:t xml:space="preserve">250,000 </w:t>
      </w:r>
      <w:r w:rsidR="00564E72">
        <w:rPr>
          <w:lang w:val="en-IN"/>
        </w:rPr>
        <w:t xml:space="preserve">in old currency notes </w:t>
      </w:r>
      <w:r w:rsidR="00836E52">
        <w:rPr>
          <w:lang w:val="en-IN"/>
        </w:rPr>
        <w:t xml:space="preserve">within the 50-day </w:t>
      </w:r>
      <w:r w:rsidR="0075461C">
        <w:rPr>
          <w:lang w:val="en-IN"/>
        </w:rPr>
        <w:t xml:space="preserve">window </w:t>
      </w:r>
      <w:r>
        <w:rPr>
          <w:lang w:val="en-IN"/>
        </w:rPr>
        <w:t>would not be questioned or subject to scrutiny by the tax authorities.</w:t>
      </w:r>
      <w:r w:rsidR="0075461C">
        <w:rPr>
          <w:rStyle w:val="EndnoteReference"/>
          <w:lang w:val="en-IN"/>
        </w:rPr>
        <w:endnoteReference w:id="74"/>
      </w:r>
      <w:r>
        <w:rPr>
          <w:lang w:val="en-IN"/>
        </w:rPr>
        <w:t xml:space="preserve"> Owners of black wealth used this loophole by asking poorer individuals to deposit up to the </w:t>
      </w:r>
      <w:r w:rsidRPr="00B92C7B">
        <w:rPr>
          <w:rFonts w:ascii="Arial" w:hAnsi="Arial" w:cs="American Typewriter Light"/>
          <w:sz w:val="20"/>
        </w:rPr>
        <w:t>₹</w:t>
      </w:r>
      <w:r>
        <w:rPr>
          <w:lang w:val="en-IN"/>
        </w:rPr>
        <w:t xml:space="preserve">250,000 limit into their accounts, often using </w:t>
      </w:r>
      <w:r w:rsidRPr="006A18DD">
        <w:rPr>
          <w:i/>
          <w:lang w:val="en-IN"/>
        </w:rPr>
        <w:t>Pradhan Mantri</w:t>
      </w:r>
      <w:r>
        <w:rPr>
          <w:lang w:val="en-IN"/>
        </w:rPr>
        <w:t xml:space="preserve"> </w:t>
      </w:r>
      <w:r w:rsidRPr="006A18DD">
        <w:rPr>
          <w:i/>
          <w:lang w:val="en-IN"/>
        </w:rPr>
        <w:t>Jan Dhan</w:t>
      </w:r>
      <w:r>
        <w:rPr>
          <w:i/>
          <w:lang w:val="en-IN"/>
        </w:rPr>
        <w:t xml:space="preserve"> Yojana</w:t>
      </w:r>
      <w:r>
        <w:rPr>
          <w:lang w:val="en-IN"/>
        </w:rPr>
        <w:t xml:space="preserve"> (Jan Dhan) accounts for the purpose.</w:t>
      </w:r>
      <w:r>
        <w:rPr>
          <w:rStyle w:val="EndnoteReference"/>
          <w:lang w:val="en-IN"/>
        </w:rPr>
        <w:endnoteReference w:id="75"/>
      </w:r>
      <w:r>
        <w:rPr>
          <w:lang w:val="en-IN"/>
        </w:rPr>
        <w:t xml:space="preserve"> The Jan Dhan accounts were zero</w:t>
      </w:r>
      <w:r w:rsidR="00611F25">
        <w:rPr>
          <w:lang w:val="en-IN"/>
        </w:rPr>
        <w:t>-</w:t>
      </w:r>
      <w:r>
        <w:rPr>
          <w:lang w:val="en-IN"/>
        </w:rPr>
        <w:t>balance accounts that had been opened for individuals under a</w:t>
      </w:r>
      <w:r w:rsidRPr="00225DDE">
        <w:rPr>
          <w:rFonts w:ascii="Georgia" w:hAnsi="Georgia"/>
          <w:color w:val="3B3A39"/>
          <w:sz w:val="21"/>
          <w:szCs w:val="21"/>
          <w:lang w:val="en-IN"/>
        </w:rPr>
        <w:t xml:space="preserve"> </w:t>
      </w:r>
      <w:r>
        <w:rPr>
          <w:lang w:val="en-IN"/>
        </w:rPr>
        <w:t>national mission to provide broader access to financial services. Various government programs paid their subsidies to recipients by making direct deposits into these accounts.</w:t>
      </w:r>
      <w:r w:rsidRPr="00314917">
        <w:rPr>
          <w:rStyle w:val="EndnoteReference"/>
        </w:rPr>
        <w:endnoteReference w:id="76"/>
      </w:r>
      <w:r>
        <w:rPr>
          <w:lang w:val="en-IN"/>
        </w:rPr>
        <w:t xml:space="preserve"> After demonetization was announced, 23.3 million new Jan Dhan accounts were opened,</w:t>
      </w:r>
      <w:r w:rsidRPr="00314917">
        <w:rPr>
          <w:rStyle w:val="EndnoteReference"/>
        </w:rPr>
        <w:endnoteReference w:id="77"/>
      </w:r>
      <w:r>
        <w:rPr>
          <w:lang w:val="en-IN"/>
        </w:rPr>
        <w:t xml:space="preserve"> and over the 45 days following the demonetization announcement, deposits in the Jan Dhan accounts surged to more than </w:t>
      </w:r>
      <w:r w:rsidRPr="00B92C7B">
        <w:rPr>
          <w:rFonts w:ascii="Arial" w:hAnsi="Arial" w:cs="American Typewriter Light"/>
          <w:sz w:val="20"/>
        </w:rPr>
        <w:t>₹</w:t>
      </w:r>
      <w:r>
        <w:rPr>
          <w:lang w:val="en-IN"/>
        </w:rPr>
        <w:t>871 billion.</w:t>
      </w:r>
      <w:r w:rsidRPr="00314917">
        <w:rPr>
          <w:rStyle w:val="EndnoteReference"/>
        </w:rPr>
        <w:endnoteReference w:id="78"/>
      </w:r>
      <w:r w:rsidRPr="004715DD">
        <w:rPr>
          <w:lang w:val="en-IN"/>
        </w:rPr>
        <w:t xml:space="preserve"> </w:t>
      </w:r>
    </w:p>
    <w:p w14:paraId="445990D8" w14:textId="77777777" w:rsidR="000E02C1" w:rsidRDefault="000E02C1" w:rsidP="00314917">
      <w:pPr>
        <w:pStyle w:val="BodyTextMain"/>
        <w:rPr>
          <w:lang w:val="en-IN"/>
        </w:rPr>
      </w:pPr>
    </w:p>
    <w:p w14:paraId="3B169918" w14:textId="4D1944FA" w:rsidR="000E02C1" w:rsidRPr="0047061F" w:rsidRDefault="000E02C1" w:rsidP="008019AF">
      <w:pPr>
        <w:pStyle w:val="BodyTextMain"/>
        <w:rPr>
          <w:lang w:val="en-IN"/>
        </w:rPr>
      </w:pPr>
      <w:r>
        <w:rPr>
          <w:lang w:val="en-IN"/>
        </w:rPr>
        <w:t>An underground banknote mafia, alleged to be working in connivance with bank staff, emerged to launder black money at commissions ranging from 10 to 80 per cent.</w:t>
      </w:r>
      <w:r w:rsidRPr="00314917">
        <w:rPr>
          <w:rStyle w:val="EndnoteReference"/>
        </w:rPr>
        <w:endnoteReference w:id="79"/>
      </w:r>
      <w:r>
        <w:rPr>
          <w:lang w:val="en-IN"/>
        </w:rPr>
        <w:t xml:space="preserve"> Officials of certain public and private sector banks were arrested for malpractices involving money laundering.</w:t>
      </w:r>
      <w:r w:rsidRPr="00314917">
        <w:rPr>
          <w:rStyle w:val="EndnoteReference"/>
        </w:rPr>
        <w:endnoteReference w:id="80"/>
      </w:r>
      <w:r>
        <w:rPr>
          <w:lang w:val="en-IN"/>
        </w:rPr>
        <w:t xml:space="preserve"> As well, the domestic demand for gold and gold items</w:t>
      </w:r>
      <w:r w:rsidRPr="0047061F">
        <w:rPr>
          <w:lang w:val="en-IN"/>
        </w:rPr>
        <w:t xml:space="preserve"> spiked suddenly</w:t>
      </w:r>
      <w:r>
        <w:rPr>
          <w:lang w:val="en-IN"/>
        </w:rPr>
        <w:t xml:space="preserve"> after demonetization, with buyers</w:t>
      </w:r>
      <w:r w:rsidRPr="0047061F">
        <w:rPr>
          <w:lang w:val="en-IN"/>
        </w:rPr>
        <w:t xml:space="preserve"> willing to pay huge premiums to dispose of old cu</w:t>
      </w:r>
      <w:r>
        <w:rPr>
          <w:lang w:val="en-IN"/>
        </w:rPr>
        <w:t>rrency notes with jewellers. The volume of gold imports thus surged in November.</w:t>
      </w:r>
      <w:r w:rsidRPr="00314917">
        <w:rPr>
          <w:rStyle w:val="EndnoteReference"/>
        </w:rPr>
        <w:endnoteReference w:id="81"/>
      </w:r>
    </w:p>
    <w:p w14:paraId="6CFBF366" w14:textId="77777777" w:rsidR="000E02C1" w:rsidRDefault="000E02C1" w:rsidP="00314917">
      <w:pPr>
        <w:pStyle w:val="BodyTextMain"/>
        <w:rPr>
          <w:lang w:val="en-IN"/>
        </w:rPr>
      </w:pPr>
    </w:p>
    <w:p w14:paraId="18B58D6A" w14:textId="260585EF" w:rsidR="000E02C1" w:rsidRDefault="000E02C1" w:rsidP="00314917">
      <w:pPr>
        <w:pStyle w:val="BodyTextMain"/>
        <w:rPr>
          <w:lang w:val="en-IN"/>
        </w:rPr>
      </w:pPr>
      <w:r>
        <w:rPr>
          <w:lang w:val="en-IN"/>
        </w:rPr>
        <w:t>Another money</w:t>
      </w:r>
      <w:r w:rsidR="001079B3">
        <w:rPr>
          <w:lang w:val="en-IN"/>
        </w:rPr>
        <w:t>-</w:t>
      </w:r>
      <w:r>
        <w:rPr>
          <w:lang w:val="en-IN"/>
        </w:rPr>
        <w:t xml:space="preserve">laundering mechanism was “retiming” the accrual of income, using </w:t>
      </w:r>
      <w:r w:rsidR="001079B3">
        <w:rPr>
          <w:lang w:val="en-IN"/>
        </w:rPr>
        <w:t xml:space="preserve">altered </w:t>
      </w:r>
      <w:r w:rsidRPr="00D56A39">
        <w:rPr>
          <w:lang w:val="en-IN"/>
        </w:rPr>
        <w:t>receipts that made it seem as if the black money had just been earned in the period immediately before Novembe</w:t>
      </w:r>
      <w:r>
        <w:rPr>
          <w:lang w:val="en-IN"/>
        </w:rPr>
        <w:t>r</w:t>
      </w:r>
      <w:r w:rsidRPr="00D56A39">
        <w:rPr>
          <w:lang w:val="en-IN"/>
        </w:rPr>
        <w:t xml:space="preserve"> </w:t>
      </w:r>
      <w:r>
        <w:rPr>
          <w:lang w:val="en-IN"/>
        </w:rPr>
        <w:t>8, 2016,</w:t>
      </w:r>
      <w:r w:rsidRPr="00314917">
        <w:rPr>
          <w:rStyle w:val="EndnoteReference"/>
        </w:rPr>
        <w:endnoteReference w:id="82"/>
      </w:r>
      <w:r>
        <w:rPr>
          <w:lang w:val="en-IN"/>
        </w:rPr>
        <w:t xml:space="preserve"> or showing that employees had been paid advance salaries for three to eight months in amounts up to the </w:t>
      </w:r>
      <w:r w:rsidRPr="00B92C7B">
        <w:rPr>
          <w:rFonts w:ascii="Arial" w:hAnsi="Arial" w:cs="American Typewriter Light"/>
          <w:sz w:val="20"/>
        </w:rPr>
        <w:t>₹</w:t>
      </w:r>
      <w:r>
        <w:rPr>
          <w:lang w:val="en-IN"/>
        </w:rPr>
        <w:t>250,000 limit, thus avoiding questions about the deposits.</w:t>
      </w:r>
      <w:r w:rsidRPr="00314917">
        <w:rPr>
          <w:rStyle w:val="EndnoteReference"/>
        </w:rPr>
        <w:endnoteReference w:id="83"/>
      </w:r>
      <w:r>
        <w:rPr>
          <w:lang w:val="en-IN"/>
        </w:rPr>
        <w:t xml:space="preserve"> Another scheme involved taking advantage of the exemption from </w:t>
      </w:r>
      <w:r w:rsidR="005F576D">
        <w:rPr>
          <w:lang w:val="en-IN"/>
        </w:rPr>
        <w:t>demonetization</w:t>
      </w:r>
      <w:r>
        <w:rPr>
          <w:lang w:val="en-IN"/>
        </w:rPr>
        <w:t xml:space="preserve"> extended to railway and airline bookings until November 11. People booked expensive tickets, anticipating that cancelling their tickets and collecting refunds in new notes at a later date would help them avoid the impact of demonetization. There was a 1,000 per cent increase in the purchase of expensive air-conditioned coach</w:t>
      </w:r>
      <w:r w:rsidR="00605427">
        <w:rPr>
          <w:lang w:val="en-IN"/>
        </w:rPr>
        <w:t>-</w:t>
      </w:r>
      <w:r>
        <w:rPr>
          <w:lang w:val="en-IN"/>
        </w:rPr>
        <w:t>class rail tickets during this period.</w:t>
      </w:r>
      <w:r w:rsidRPr="00314917">
        <w:rPr>
          <w:rStyle w:val="EndnoteReference"/>
        </w:rPr>
        <w:endnoteReference w:id="84"/>
      </w:r>
      <w:r>
        <w:rPr>
          <w:lang w:val="en-IN"/>
        </w:rPr>
        <w:t xml:space="preserve"> The Directorate General of Civil Aviation declared air tickets bought with HDNs </w:t>
      </w:r>
      <w:r w:rsidR="00605427">
        <w:rPr>
          <w:lang w:val="en-IN"/>
        </w:rPr>
        <w:t xml:space="preserve">to be </w:t>
      </w:r>
      <w:r>
        <w:rPr>
          <w:lang w:val="en-IN"/>
        </w:rPr>
        <w:t>non-refundable, reducing the impact on airline sales.</w:t>
      </w:r>
      <w:r w:rsidRPr="00314917">
        <w:rPr>
          <w:rStyle w:val="EndnoteReference"/>
        </w:rPr>
        <w:endnoteReference w:id="85"/>
      </w:r>
    </w:p>
    <w:p w14:paraId="7089F833" w14:textId="77777777" w:rsidR="000E02C1" w:rsidRDefault="000E02C1" w:rsidP="00314917">
      <w:pPr>
        <w:pStyle w:val="BodyTextMain"/>
        <w:rPr>
          <w:lang w:val="en-IN"/>
        </w:rPr>
      </w:pPr>
    </w:p>
    <w:p w14:paraId="3A45FAC3" w14:textId="2CAAF2D0" w:rsidR="000E02C1" w:rsidRDefault="000E02C1" w:rsidP="00314917">
      <w:pPr>
        <w:pStyle w:val="BodyTextMain"/>
        <w:rPr>
          <w:color w:val="1A1A1A"/>
          <w:lang w:val="en-IN"/>
        </w:rPr>
      </w:pPr>
      <w:r>
        <w:rPr>
          <w:lang w:val="en-IN"/>
        </w:rPr>
        <w:t>The need to launder black money was significant enough that the query “How to convert black money into white money” was among the top queries on Google search engines in India in the immediate aftermath of the demonetization.</w:t>
      </w:r>
      <w:r w:rsidRPr="00314917">
        <w:rPr>
          <w:rStyle w:val="EndnoteReference"/>
        </w:rPr>
        <w:endnoteReference w:id="86"/>
      </w:r>
      <w:r>
        <w:rPr>
          <w:lang w:val="en-IN"/>
        </w:rPr>
        <w:t xml:space="preserve"> </w:t>
      </w:r>
      <w:r>
        <w:rPr>
          <w:color w:val="1A1A1A"/>
          <w:lang w:val="en-IN"/>
        </w:rPr>
        <w:t>However, data analysis from tax raids undertaken in FY 2012/13 and later suggested that less than 6 per cent of black income was hoarded as cash, with most black income</w:t>
      </w:r>
      <w:r w:rsidRPr="00873C7B">
        <w:rPr>
          <w:color w:val="1A1A1A"/>
          <w:lang w:val="en-IN"/>
        </w:rPr>
        <w:t xml:space="preserve"> invested in business, stocks, real </w:t>
      </w:r>
      <w:r>
        <w:rPr>
          <w:color w:val="1A1A1A"/>
          <w:lang w:val="en-IN"/>
        </w:rPr>
        <w:t xml:space="preserve">estate, and </w:t>
      </w:r>
      <w:r w:rsidRPr="00314917">
        <w:rPr>
          <w:i/>
          <w:color w:val="1A1A1A"/>
          <w:lang w:val="en-IN"/>
        </w:rPr>
        <w:t>benami</w:t>
      </w:r>
      <w:r>
        <w:rPr>
          <w:color w:val="1A1A1A"/>
          <w:lang w:val="en-IN"/>
        </w:rPr>
        <w:t xml:space="preserve"> bank accounts</w:t>
      </w:r>
      <w:r w:rsidRPr="00873C7B">
        <w:rPr>
          <w:color w:val="1A1A1A"/>
          <w:lang w:val="en-IN"/>
        </w:rPr>
        <w:t xml:space="preserve">. </w:t>
      </w:r>
      <w:r>
        <w:rPr>
          <w:color w:val="1A1A1A"/>
          <w:lang w:val="en-IN"/>
        </w:rPr>
        <w:t>Even during the period of highest black money detection—FY 2015/16—only 6 per cent of the recovered money was cash.</w:t>
      </w:r>
      <w:r w:rsidRPr="00314917">
        <w:rPr>
          <w:rStyle w:val="EndnoteReference"/>
        </w:rPr>
        <w:endnoteReference w:id="87"/>
      </w:r>
      <w:r>
        <w:rPr>
          <w:color w:val="1A1A1A"/>
          <w:lang w:val="en-IN"/>
        </w:rPr>
        <w:t xml:space="preserve"> Hoarding black money in cash was simply too challenging logistically. It was estimated that </w:t>
      </w:r>
      <w:r w:rsidRPr="00B92C7B">
        <w:rPr>
          <w:rFonts w:ascii="Arial" w:hAnsi="Arial" w:cs="American Typewriter Light"/>
          <w:sz w:val="20"/>
        </w:rPr>
        <w:t>₹</w:t>
      </w:r>
      <w:r>
        <w:rPr>
          <w:color w:val="1A1A1A"/>
          <w:lang w:val="en-IN"/>
        </w:rPr>
        <w:t>10 million, if stashed evenly</w:t>
      </w:r>
      <w:r w:rsidRPr="007B4E13">
        <w:rPr>
          <w:color w:val="1A1A1A"/>
          <w:lang w:val="en-IN"/>
        </w:rPr>
        <w:t xml:space="preserve"> in</w:t>
      </w:r>
      <w:r>
        <w:rPr>
          <w:color w:val="1A1A1A"/>
          <w:lang w:val="en-IN"/>
        </w:rPr>
        <w:t xml:space="preserve"> the form of </w:t>
      </w:r>
      <w:r w:rsidR="00AE3CD5">
        <w:rPr>
          <w:rFonts w:ascii="Tahoma" w:hAnsi="Tahoma" w:cs="Tahoma"/>
          <w:color w:val="1A1A1A"/>
          <w:lang w:val="en-IN"/>
        </w:rPr>
        <w:t>₹</w:t>
      </w:r>
      <w:r>
        <w:rPr>
          <w:color w:val="1A1A1A"/>
          <w:lang w:val="en-IN"/>
        </w:rPr>
        <w:t>1,</w:t>
      </w:r>
      <w:r w:rsidRPr="007B4E13">
        <w:rPr>
          <w:color w:val="1A1A1A"/>
          <w:lang w:val="en-IN"/>
        </w:rPr>
        <w:t>000 notes,</w:t>
      </w:r>
      <w:r>
        <w:rPr>
          <w:color w:val="1A1A1A"/>
          <w:lang w:val="en-IN"/>
        </w:rPr>
        <w:t xml:space="preserve"> would occupy</w:t>
      </w:r>
      <w:r w:rsidRPr="007B4E13">
        <w:rPr>
          <w:color w:val="1A1A1A"/>
          <w:lang w:val="en-IN"/>
        </w:rPr>
        <w:t xml:space="preserve"> one sq</w:t>
      </w:r>
      <w:r>
        <w:rPr>
          <w:color w:val="1A1A1A"/>
          <w:lang w:val="en-IN"/>
        </w:rPr>
        <w:t>uare foot and weigh 13 kilograms</w:t>
      </w:r>
      <w:r w:rsidRPr="007B4E13">
        <w:rPr>
          <w:color w:val="1A1A1A"/>
          <w:lang w:val="en-IN"/>
        </w:rPr>
        <w:t xml:space="preserve">. </w:t>
      </w:r>
      <w:r>
        <w:rPr>
          <w:color w:val="1A1A1A"/>
          <w:lang w:val="en-IN"/>
        </w:rPr>
        <w:t>Storage and transport of that cash would be difficult. A finance ministry official speculated that most of the black wealth would have entered the formal economic system</w:t>
      </w:r>
      <w:r w:rsidRPr="007B4E13">
        <w:rPr>
          <w:color w:val="1A1A1A"/>
          <w:lang w:val="en-IN"/>
        </w:rPr>
        <w:t xml:space="preserve"> through real estate and shell companies</w:t>
      </w:r>
      <w:r>
        <w:rPr>
          <w:color w:val="1A1A1A"/>
          <w:lang w:val="en-IN"/>
        </w:rPr>
        <w:t>.</w:t>
      </w:r>
      <w:r w:rsidRPr="00314917">
        <w:rPr>
          <w:rStyle w:val="EndnoteReference"/>
        </w:rPr>
        <w:endnoteReference w:id="88"/>
      </w:r>
    </w:p>
    <w:p w14:paraId="29B1E308" w14:textId="77777777" w:rsidR="000E02C1" w:rsidRDefault="000E02C1" w:rsidP="00314917">
      <w:pPr>
        <w:pStyle w:val="BodyTextMain"/>
        <w:rPr>
          <w:lang w:val="en-IN"/>
        </w:rPr>
      </w:pPr>
    </w:p>
    <w:p w14:paraId="285F7BBB" w14:textId="13EB74FE" w:rsidR="000E02C1" w:rsidRDefault="000E02C1" w:rsidP="00314917">
      <w:pPr>
        <w:pStyle w:val="BodyTextMain"/>
        <w:rPr>
          <w:lang w:val="en-IN"/>
        </w:rPr>
      </w:pPr>
      <w:r>
        <w:rPr>
          <w:lang w:val="en-IN"/>
        </w:rPr>
        <w:t>In January 2017, Bloomberg estimated that 97 per cent of the scrapped notes had been returned to the banking system by December 30, 2016.</w:t>
      </w:r>
      <w:r w:rsidRPr="00314917">
        <w:rPr>
          <w:rStyle w:val="EndnoteReference"/>
        </w:rPr>
        <w:endnoteReference w:id="89"/>
      </w:r>
      <w:r>
        <w:rPr>
          <w:lang w:val="en-IN"/>
        </w:rPr>
        <w:t xml:space="preserve"> The RBI’s own weekly figures for currency in circulation, announced on January 13, 2017, corroborated Bloomberg’s estimate. If that were the case, only $</w:t>
      </w:r>
      <w:r w:rsidR="009644FD">
        <w:rPr>
          <w:lang w:val="en-IN"/>
        </w:rPr>
        <w:t>7</w:t>
      </w:r>
      <w:r>
        <w:rPr>
          <w:lang w:val="en-IN"/>
        </w:rPr>
        <w:t>.</w:t>
      </w:r>
      <w:r w:rsidR="009644FD">
        <w:rPr>
          <w:lang w:val="en-IN"/>
        </w:rPr>
        <w:t>08</w:t>
      </w:r>
      <w:r>
        <w:rPr>
          <w:lang w:val="en-IN"/>
        </w:rPr>
        <w:t xml:space="preserve"> billion of the total value of </w:t>
      </w:r>
      <w:r>
        <w:t>$</w:t>
      </w:r>
      <w:r w:rsidRPr="009012A8">
        <w:t xml:space="preserve">236.23 billion </w:t>
      </w:r>
      <w:r>
        <w:t xml:space="preserve">of scrapped notes </w:t>
      </w:r>
      <w:r>
        <w:rPr>
          <w:lang w:val="en-IN"/>
        </w:rPr>
        <w:t>had not been returned to the system.</w:t>
      </w:r>
      <w:r w:rsidRPr="00314917">
        <w:rPr>
          <w:rStyle w:val="EndnoteReference"/>
        </w:rPr>
        <w:endnoteReference w:id="90"/>
      </w:r>
    </w:p>
    <w:p w14:paraId="721A75E5" w14:textId="77777777" w:rsidR="000E02C1" w:rsidRDefault="000E02C1" w:rsidP="00314917">
      <w:pPr>
        <w:pStyle w:val="BodyTextMain"/>
        <w:rPr>
          <w:lang w:val="en-IN"/>
        </w:rPr>
      </w:pPr>
    </w:p>
    <w:p w14:paraId="7C29BE89" w14:textId="4AF3E67A" w:rsidR="000E02C1" w:rsidRDefault="000E02C1" w:rsidP="00314917">
      <w:pPr>
        <w:pStyle w:val="BodyTextMain"/>
        <w:rPr>
          <w:lang w:val="en-IN"/>
        </w:rPr>
      </w:pPr>
      <w:r>
        <w:rPr>
          <w:lang w:val="en-IN"/>
        </w:rPr>
        <w:t xml:space="preserve">The government hoped to signal behavioural change toward black money with the sanctions of demonetization: financial penalty and social condemnation. It also hoped to shift transactions from the cash economy to electronic payment technologies, thereby permanently increasing the tax to GDP ratio and the </w:t>
      </w:r>
      <w:r>
        <w:rPr>
          <w:lang w:val="en-IN"/>
        </w:rPr>
        <w:lastRenderedPageBreak/>
        <w:t xml:space="preserve">size of the formal economy </w:t>
      </w:r>
      <w:r w:rsidRPr="005C4B1E">
        <w:rPr>
          <w:lang w:val="en-IN"/>
        </w:rPr>
        <w:t>(</w:t>
      </w:r>
      <w:r w:rsidRPr="00025679">
        <w:rPr>
          <w:lang w:val="en-IN"/>
        </w:rPr>
        <w:t xml:space="preserve">see Exhibit </w:t>
      </w:r>
      <w:r w:rsidR="009644FD">
        <w:rPr>
          <w:lang w:val="en-IN"/>
        </w:rPr>
        <w:t>5</w:t>
      </w:r>
      <w:r w:rsidRPr="00025679">
        <w:rPr>
          <w:lang w:val="en-IN"/>
        </w:rPr>
        <w:t>)</w:t>
      </w:r>
      <w:r w:rsidRPr="005C4B1E">
        <w:rPr>
          <w:lang w:val="en-IN"/>
        </w:rPr>
        <w:t>.</w:t>
      </w:r>
      <w:r w:rsidRPr="001A7206">
        <w:rPr>
          <w:rStyle w:val="EndnoteReference"/>
        </w:rPr>
        <w:endnoteReference w:id="91"/>
      </w:r>
      <w:r w:rsidRPr="005C4B1E">
        <w:rPr>
          <w:lang w:val="en-IN"/>
        </w:rPr>
        <w:t xml:space="preserve"> Additionally, by channelling savings into</w:t>
      </w:r>
      <w:r>
        <w:rPr>
          <w:lang w:val="en-IN"/>
        </w:rPr>
        <w:t xml:space="preserve"> the formal monetary system, the government hoped to positively</w:t>
      </w:r>
      <w:r w:rsidDel="00B91FB7">
        <w:rPr>
          <w:lang w:val="en-IN"/>
        </w:rPr>
        <w:t xml:space="preserve"> </w:t>
      </w:r>
      <w:r>
        <w:rPr>
          <w:lang w:val="en-IN"/>
        </w:rPr>
        <w:t>affect long-term growth.</w:t>
      </w:r>
      <w:r w:rsidRPr="00314917">
        <w:rPr>
          <w:rStyle w:val="EndnoteReference"/>
        </w:rPr>
        <w:endnoteReference w:id="92"/>
      </w:r>
    </w:p>
    <w:p w14:paraId="687F80C8" w14:textId="77777777" w:rsidR="000E02C1" w:rsidRDefault="000E02C1" w:rsidP="00314917">
      <w:pPr>
        <w:pStyle w:val="BodyTextMain"/>
        <w:rPr>
          <w:lang w:val="en-IN"/>
        </w:rPr>
      </w:pPr>
    </w:p>
    <w:p w14:paraId="7E7C71F6" w14:textId="77777777" w:rsidR="000E02C1" w:rsidRDefault="000E02C1" w:rsidP="00314917">
      <w:pPr>
        <w:pStyle w:val="BodyTextMain"/>
        <w:rPr>
          <w:lang w:val="en-IN"/>
        </w:rPr>
      </w:pPr>
    </w:p>
    <w:p w14:paraId="072CED7F" w14:textId="77777777" w:rsidR="000E02C1" w:rsidRPr="00721C1B" w:rsidRDefault="000E02C1" w:rsidP="00314917">
      <w:pPr>
        <w:pStyle w:val="Casehead2"/>
        <w:rPr>
          <w:lang w:val="en-IN"/>
        </w:rPr>
      </w:pPr>
      <w:r w:rsidRPr="00721C1B">
        <w:rPr>
          <w:lang w:val="en-IN"/>
        </w:rPr>
        <w:t>Impact on GDP</w:t>
      </w:r>
    </w:p>
    <w:p w14:paraId="619FCFD1" w14:textId="77777777" w:rsidR="000E02C1" w:rsidRDefault="000E02C1" w:rsidP="00314917">
      <w:pPr>
        <w:pStyle w:val="BodyTextMain"/>
        <w:rPr>
          <w:lang w:val="en-IN"/>
        </w:rPr>
      </w:pPr>
    </w:p>
    <w:p w14:paraId="4AF464FC" w14:textId="2414C486" w:rsidR="000E02C1" w:rsidRPr="007B4E13" w:rsidRDefault="000E02C1" w:rsidP="00314917">
      <w:pPr>
        <w:pStyle w:val="BodyTextMain"/>
        <w:rPr>
          <w:lang w:val="en-IN"/>
        </w:rPr>
      </w:pPr>
      <w:r>
        <w:rPr>
          <w:lang w:val="en-IN"/>
        </w:rPr>
        <w:t>Given the limited spread of the formal banking system in India, dependence on cash was critical. Demonetization was thus expected to affect GDP through two channels</w:t>
      </w:r>
      <w:r w:rsidRPr="00340A02">
        <w:rPr>
          <w:lang w:val="en-IN"/>
        </w:rPr>
        <w:t>.</w:t>
      </w:r>
      <w:r>
        <w:rPr>
          <w:lang w:val="en-IN"/>
        </w:rPr>
        <w:t xml:space="preserve"> On the demand side, limited access to currency for transactions would cause a decline in demand, primarily for discretionary items. On the supply side, limited access to cash to pay wages, especially in the informal sector, was expected to disrupt production. The reduction in workers’ incomes was then, in turn, also expected to affect consumption.</w:t>
      </w:r>
      <w:r w:rsidRPr="00314917">
        <w:rPr>
          <w:rStyle w:val="EndnoteReference"/>
        </w:rPr>
        <w:endnoteReference w:id="93"/>
      </w:r>
      <w:r>
        <w:rPr>
          <w:lang w:val="en-IN"/>
        </w:rPr>
        <w:t xml:space="preserve"> </w:t>
      </w:r>
    </w:p>
    <w:p w14:paraId="1CD2EC25" w14:textId="77777777" w:rsidR="000E02C1" w:rsidRDefault="000E02C1" w:rsidP="00314917">
      <w:pPr>
        <w:pStyle w:val="BodyTextMain"/>
        <w:rPr>
          <w:lang w:val="en-IN"/>
        </w:rPr>
      </w:pPr>
    </w:p>
    <w:p w14:paraId="62B9FDB0" w14:textId="5B04752C" w:rsidR="000E02C1" w:rsidRDefault="000E02C1" w:rsidP="00314917">
      <w:pPr>
        <w:pStyle w:val="BodyTextMain"/>
        <w:rPr>
          <w:lang w:val="en-IN"/>
        </w:rPr>
      </w:pPr>
      <w:r>
        <w:rPr>
          <w:lang w:val="en-IN"/>
        </w:rPr>
        <w:t xml:space="preserve">The impact on the organized sector and formal economy was expected to be less than on the large, informal, unorganized sector. However, within the organized sector, sectors such as real estate—which were largely based on cash transactions—were expected to be affected </w:t>
      </w:r>
      <w:r w:rsidRPr="00025679">
        <w:rPr>
          <w:lang w:val="en-IN"/>
        </w:rPr>
        <w:t xml:space="preserve">more (see Exhibit </w:t>
      </w:r>
      <w:r w:rsidR="00814390">
        <w:rPr>
          <w:lang w:val="en-IN"/>
        </w:rPr>
        <w:t>6</w:t>
      </w:r>
      <w:r w:rsidRPr="00025679">
        <w:rPr>
          <w:lang w:val="en-IN"/>
        </w:rPr>
        <w:t>).</w:t>
      </w:r>
      <w:r>
        <w:rPr>
          <w:lang w:val="en-IN"/>
        </w:rPr>
        <w:t xml:space="preserve"> In contrast, the unorganized sector accounted for about 45 per cent of the country’s gross value added (GVA) and 82 per cent of total employment </w:t>
      </w:r>
      <w:r w:rsidRPr="00025679">
        <w:rPr>
          <w:lang w:val="en-IN"/>
        </w:rPr>
        <w:t xml:space="preserve">(see Exhibit </w:t>
      </w:r>
      <w:r w:rsidR="00814390">
        <w:rPr>
          <w:lang w:val="en-IN"/>
        </w:rPr>
        <w:t>7</w:t>
      </w:r>
      <w:r w:rsidRPr="00025679">
        <w:rPr>
          <w:lang w:val="en-IN"/>
        </w:rPr>
        <w:t>).</w:t>
      </w:r>
      <w:r>
        <w:rPr>
          <w:lang w:val="en-IN"/>
        </w:rPr>
        <w:t xml:space="preserve"> The MSME sector, with its high labour-intensity and reliance on cash for its working capital requirements, also contributed to 4</w:t>
      </w:r>
      <w:r w:rsidR="00814390">
        <w:rPr>
          <w:lang w:val="en-IN"/>
        </w:rPr>
        <w:t>9.86</w:t>
      </w:r>
      <w:r>
        <w:rPr>
          <w:lang w:val="en-IN"/>
        </w:rPr>
        <w:t xml:space="preserve"> per cent of India’s exports, which suffered as a result of demonetization </w:t>
      </w:r>
      <w:r w:rsidRPr="00025679">
        <w:rPr>
          <w:lang w:val="en-IN"/>
        </w:rPr>
        <w:t xml:space="preserve">(see Exhibit </w:t>
      </w:r>
      <w:r w:rsidR="00814390">
        <w:rPr>
          <w:lang w:val="en-IN"/>
        </w:rPr>
        <w:t>8</w:t>
      </w:r>
      <w:r w:rsidRPr="00025679">
        <w:rPr>
          <w:lang w:val="en-IN"/>
        </w:rPr>
        <w:t>).</w:t>
      </w:r>
    </w:p>
    <w:p w14:paraId="14463643" w14:textId="77777777" w:rsidR="000E02C1" w:rsidRDefault="000E02C1" w:rsidP="00314917">
      <w:pPr>
        <w:pStyle w:val="BodyTextMain"/>
        <w:rPr>
          <w:lang w:val="en-IN"/>
        </w:rPr>
      </w:pPr>
    </w:p>
    <w:p w14:paraId="649C5C57" w14:textId="3CEFE26A" w:rsidR="000E02C1" w:rsidRDefault="000E02C1" w:rsidP="00314917">
      <w:pPr>
        <w:pStyle w:val="BodyTextMain"/>
        <w:rPr>
          <w:lang w:val="en-IN"/>
        </w:rPr>
      </w:pPr>
      <w:r>
        <w:rPr>
          <w:lang w:val="en-IN"/>
        </w:rPr>
        <w:t>In addition</w:t>
      </w:r>
      <w:r w:rsidRPr="00A34419">
        <w:rPr>
          <w:lang w:val="en-IN"/>
        </w:rPr>
        <w:t xml:space="preserve"> </w:t>
      </w:r>
      <w:r>
        <w:rPr>
          <w:lang w:val="en-IN"/>
        </w:rPr>
        <w:t xml:space="preserve">to </w:t>
      </w:r>
      <w:r w:rsidRPr="00A34419">
        <w:rPr>
          <w:lang w:val="en-IN"/>
        </w:rPr>
        <w:t xml:space="preserve">liquidity effects, possible uncertainty effects needed to be </w:t>
      </w:r>
      <w:r>
        <w:rPr>
          <w:lang w:val="en-IN"/>
        </w:rPr>
        <w:t>considered</w:t>
      </w:r>
      <w:r w:rsidRPr="00A34419">
        <w:rPr>
          <w:lang w:val="en-IN"/>
        </w:rPr>
        <w:t xml:space="preserve">. </w:t>
      </w:r>
      <w:r>
        <w:rPr>
          <w:lang w:val="en-IN"/>
        </w:rPr>
        <w:t>F</w:t>
      </w:r>
      <w:r w:rsidRPr="00A34419">
        <w:rPr>
          <w:lang w:val="en-IN"/>
        </w:rPr>
        <w:t xml:space="preserve">irms and households were uncertain </w:t>
      </w:r>
      <w:r>
        <w:rPr>
          <w:lang w:val="en-IN"/>
        </w:rPr>
        <w:t>about</w:t>
      </w:r>
      <w:r w:rsidRPr="00A34419">
        <w:rPr>
          <w:lang w:val="en-IN"/>
        </w:rPr>
        <w:t xml:space="preserve"> the economic impact of demonetization</w:t>
      </w:r>
      <w:r>
        <w:rPr>
          <w:lang w:val="en-IN"/>
        </w:rPr>
        <w:t>, and t</w:t>
      </w:r>
      <w:r w:rsidRPr="00A34419">
        <w:rPr>
          <w:lang w:val="en-IN"/>
        </w:rPr>
        <w:t xml:space="preserve">he prime minister had </w:t>
      </w:r>
      <w:r>
        <w:rPr>
          <w:lang w:val="en-IN"/>
        </w:rPr>
        <w:t>said</w:t>
      </w:r>
      <w:r w:rsidRPr="00A34419">
        <w:rPr>
          <w:lang w:val="en-IN"/>
        </w:rPr>
        <w:t xml:space="preserve"> that he </w:t>
      </w:r>
      <w:r>
        <w:rPr>
          <w:lang w:val="en-IN"/>
        </w:rPr>
        <w:t>might</w:t>
      </w:r>
      <w:r w:rsidRPr="00A34419">
        <w:rPr>
          <w:lang w:val="en-IN"/>
        </w:rPr>
        <w:t xml:space="preserve"> follow up demonetization with other moves to uncover wealth, wi</w:t>
      </w:r>
      <w:r>
        <w:rPr>
          <w:lang w:val="en-IN"/>
        </w:rPr>
        <w:t>thout specifying what those moves might be. The combination of uncertainties led people</w:t>
      </w:r>
      <w:r w:rsidRPr="00A34419">
        <w:rPr>
          <w:lang w:val="en-IN"/>
        </w:rPr>
        <w:t xml:space="preserve"> </w:t>
      </w:r>
      <w:r>
        <w:rPr>
          <w:lang w:val="en-IN"/>
        </w:rPr>
        <w:t xml:space="preserve">to </w:t>
      </w:r>
      <w:r w:rsidRPr="00A34419">
        <w:rPr>
          <w:lang w:val="en-IN"/>
        </w:rPr>
        <w:t>postpone their investment decisions</w:t>
      </w:r>
      <w:r>
        <w:rPr>
          <w:lang w:val="en-IN"/>
        </w:rPr>
        <w:t xml:space="preserve"> and </w:t>
      </w:r>
      <w:r w:rsidRPr="00A34419">
        <w:rPr>
          <w:lang w:val="en-IN"/>
        </w:rPr>
        <w:t>purchase</w:t>
      </w:r>
      <w:r>
        <w:rPr>
          <w:lang w:val="en-IN"/>
        </w:rPr>
        <w:t>s</w:t>
      </w:r>
      <w:r w:rsidRPr="00A34419">
        <w:rPr>
          <w:lang w:val="en-IN"/>
        </w:rPr>
        <w:t xml:space="preserve"> of durable goods. This </w:t>
      </w:r>
      <w:r w:rsidR="00605427">
        <w:rPr>
          <w:lang w:val="en-IN"/>
        </w:rPr>
        <w:t>defer</w:t>
      </w:r>
      <w:r w:rsidR="00BF548F">
        <w:rPr>
          <w:lang w:val="en-IN"/>
        </w:rPr>
        <w:t>ral</w:t>
      </w:r>
      <w:r w:rsidR="00741D17">
        <w:rPr>
          <w:lang w:val="en-IN"/>
        </w:rPr>
        <w:t xml:space="preserve"> </w:t>
      </w:r>
      <w:r w:rsidRPr="00A34419">
        <w:rPr>
          <w:lang w:val="en-IN"/>
        </w:rPr>
        <w:t>was particularly true for high</w:t>
      </w:r>
      <w:r w:rsidR="00BF548F">
        <w:rPr>
          <w:lang w:val="en-IN"/>
        </w:rPr>
        <w:t>-</w:t>
      </w:r>
      <w:r w:rsidRPr="00A34419">
        <w:rPr>
          <w:lang w:val="en-IN"/>
        </w:rPr>
        <w:t xml:space="preserve">value goods, such as luxury items and gold. A director at a bullion store </w:t>
      </w:r>
      <w:r>
        <w:rPr>
          <w:lang w:val="en-IN"/>
        </w:rPr>
        <w:t>reported</w:t>
      </w:r>
      <w:r w:rsidRPr="00025679">
        <w:rPr>
          <w:lang w:val="en-IN"/>
        </w:rPr>
        <w:t xml:space="preserve">, </w:t>
      </w:r>
      <w:r>
        <w:rPr>
          <w:lang w:val="en-IN"/>
        </w:rPr>
        <w:t>“</w:t>
      </w:r>
      <w:r w:rsidRPr="00025679">
        <w:rPr>
          <w:lang w:val="en-IN"/>
        </w:rPr>
        <w:t>We</w:t>
      </w:r>
      <w:r>
        <w:rPr>
          <w:lang w:val="en-IN"/>
        </w:rPr>
        <w:t>’</w:t>
      </w:r>
      <w:r w:rsidRPr="00025679">
        <w:rPr>
          <w:lang w:val="en-IN"/>
        </w:rPr>
        <w:t xml:space="preserve">re uncertain about what the government will do next. No legal business trader is willing to risk very big quantity. </w:t>
      </w:r>
      <w:r>
        <w:rPr>
          <w:lang w:val="en-IN"/>
        </w:rPr>
        <w:t>[</w:t>
      </w:r>
      <w:r w:rsidRPr="00025679">
        <w:rPr>
          <w:lang w:val="en-IN"/>
        </w:rPr>
        <w:t>Some</w:t>
      </w:r>
      <w:r>
        <w:rPr>
          <w:lang w:val="en-IN"/>
        </w:rPr>
        <w:t>]</w:t>
      </w:r>
      <w:r w:rsidRPr="00025679">
        <w:rPr>
          <w:lang w:val="en-IN"/>
        </w:rPr>
        <w:t xml:space="preserve"> want to buy 2</w:t>
      </w:r>
      <w:r>
        <w:rPr>
          <w:lang w:val="en-IN"/>
        </w:rPr>
        <w:t>–</w:t>
      </w:r>
      <w:r w:rsidRPr="00025679">
        <w:rPr>
          <w:lang w:val="en-IN"/>
        </w:rPr>
        <w:t xml:space="preserve">3 </w:t>
      </w:r>
      <w:r>
        <w:rPr>
          <w:lang w:val="en-IN"/>
        </w:rPr>
        <w:t>[kilograms]</w:t>
      </w:r>
      <w:r w:rsidRPr="00025679">
        <w:rPr>
          <w:lang w:val="en-IN"/>
        </w:rPr>
        <w:t xml:space="preserve"> extra so that in future they could conduct their business for a month or two until the situation is sorted out</w:t>
      </w:r>
      <w:r w:rsidRPr="00340A02">
        <w:rPr>
          <w:i/>
          <w:lang w:val="en-IN"/>
        </w:rPr>
        <w:t>.</w:t>
      </w:r>
      <w:r>
        <w:rPr>
          <w:lang w:val="en-IN"/>
        </w:rPr>
        <w:t>”</w:t>
      </w:r>
      <w:r w:rsidRPr="00314917">
        <w:rPr>
          <w:rStyle w:val="EndnoteReference"/>
        </w:rPr>
        <w:endnoteReference w:id="94"/>
      </w:r>
    </w:p>
    <w:p w14:paraId="5E3DD634" w14:textId="77777777" w:rsidR="000E02C1" w:rsidRDefault="000E02C1" w:rsidP="00314917">
      <w:pPr>
        <w:pStyle w:val="BodyTextMain"/>
        <w:rPr>
          <w:lang w:val="en-IN"/>
        </w:rPr>
      </w:pPr>
    </w:p>
    <w:p w14:paraId="3E5AAC59" w14:textId="59CDC603" w:rsidR="000E02C1" w:rsidRDefault="000E02C1" w:rsidP="00314917">
      <w:pPr>
        <w:pStyle w:val="BodyTextMain"/>
        <w:rPr>
          <w:lang w:val="en-IN"/>
        </w:rPr>
      </w:pPr>
      <w:r>
        <w:rPr>
          <w:lang w:val="en-IN"/>
        </w:rPr>
        <w:t>The RBI, in its fourth bimonthly monetary policy statement on October 4, 2016, had projected a 7.6 per cent growth in real GVA for FY 2016/17 as a whole.</w:t>
      </w:r>
      <w:r w:rsidRPr="00314917">
        <w:rPr>
          <w:rStyle w:val="EndnoteReference"/>
        </w:rPr>
        <w:endnoteReference w:id="95"/>
      </w:r>
      <w:r>
        <w:rPr>
          <w:lang w:val="en-IN"/>
        </w:rPr>
        <w:t xml:space="preserve"> In February 2017, the </w:t>
      </w:r>
      <w:r w:rsidRPr="00314917">
        <w:rPr>
          <w:i/>
          <w:lang w:val="en-IN"/>
        </w:rPr>
        <w:t>Economic Survey 2016</w:t>
      </w:r>
      <w:r>
        <w:rPr>
          <w:i/>
          <w:lang w:val="en-IN"/>
        </w:rPr>
        <w:t>–</w:t>
      </w:r>
      <w:r w:rsidRPr="00314917">
        <w:rPr>
          <w:i/>
          <w:lang w:val="en-IN"/>
        </w:rPr>
        <w:t>17</w:t>
      </w:r>
      <w:r>
        <w:rPr>
          <w:lang w:val="en-IN"/>
        </w:rPr>
        <w:t xml:space="preserve"> estimated the impact of demonetization on real GDP as negative, but no more than 0.25 to 0.5 per cent relative to the baseline of 7 per cent. The government expected the adverse impact of demonetization to be transient, and growth to bounce back soon.</w:t>
      </w:r>
      <w:r w:rsidRPr="00314917">
        <w:rPr>
          <w:rStyle w:val="EndnoteReference"/>
        </w:rPr>
        <w:endnoteReference w:id="96"/>
      </w:r>
      <w:r>
        <w:rPr>
          <w:lang w:val="en-IN"/>
        </w:rPr>
        <w:t xml:space="preserve"> This </w:t>
      </w:r>
      <w:r w:rsidR="00741D17">
        <w:rPr>
          <w:lang w:val="en-IN"/>
        </w:rPr>
        <w:t xml:space="preserve">projection </w:t>
      </w:r>
      <w:r>
        <w:rPr>
          <w:lang w:val="en-IN"/>
        </w:rPr>
        <w:t>was based on the expectation of a strong surge in consumption in response to the remonetization exercise that followed. With workers having a high propensity to consume, the</w:t>
      </w:r>
      <w:r w:rsidR="00741D17">
        <w:rPr>
          <w:lang w:val="en-IN"/>
        </w:rPr>
        <w:t>ir</w:t>
      </w:r>
      <w:r>
        <w:rPr>
          <w:lang w:val="en-IN"/>
        </w:rPr>
        <w:t xml:space="preserve"> access to cash was expected to lead to increases in consumption. Similarly, investment was also expected to increase as repo and bank lending rates dropped in a scenario of surplus liquidity in the banking system. Further, demonetization was expected to improve the government’s tax revenues, and thereby </w:t>
      </w:r>
      <w:r w:rsidRPr="00385BA0">
        <w:rPr>
          <w:lang w:val="en-IN"/>
        </w:rPr>
        <w:t xml:space="preserve">create </w:t>
      </w:r>
      <w:r>
        <w:rPr>
          <w:lang w:val="en-IN"/>
        </w:rPr>
        <w:t xml:space="preserve">fiscal </w:t>
      </w:r>
      <w:r w:rsidRPr="00385BA0">
        <w:rPr>
          <w:lang w:val="en-IN"/>
        </w:rPr>
        <w:t>space for higher public investment</w:t>
      </w:r>
      <w:r>
        <w:rPr>
          <w:lang w:val="en-IN"/>
        </w:rPr>
        <w:t>.</w:t>
      </w:r>
      <w:r w:rsidRPr="00314917">
        <w:rPr>
          <w:rStyle w:val="EndnoteReference"/>
        </w:rPr>
        <w:endnoteReference w:id="97"/>
      </w:r>
    </w:p>
    <w:p w14:paraId="379294F2" w14:textId="77777777" w:rsidR="000E02C1" w:rsidRDefault="000E02C1" w:rsidP="00314917">
      <w:pPr>
        <w:pStyle w:val="BodyTextMain"/>
        <w:rPr>
          <w:lang w:val="en-IN"/>
        </w:rPr>
      </w:pPr>
    </w:p>
    <w:p w14:paraId="3A3627CF" w14:textId="46324232" w:rsidR="00372741" w:rsidRDefault="000E02C1" w:rsidP="00314917">
      <w:pPr>
        <w:pStyle w:val="BodyTextMain"/>
        <w:rPr>
          <w:lang w:val="en-IN"/>
        </w:rPr>
      </w:pPr>
      <w:r>
        <w:rPr>
          <w:lang w:val="en-IN"/>
        </w:rPr>
        <w:t xml:space="preserve">In March 2015, the head of the International Monetary Fund described India as the “bright spot” in a </w:t>
      </w:r>
      <w:r w:rsidRPr="003E40D4">
        <w:t>“cloudy global horizon</w:t>
      </w:r>
      <w:r>
        <w:t>,</w:t>
      </w:r>
      <w:r w:rsidRPr="003E40D4">
        <w:t>”</w:t>
      </w:r>
      <w:r>
        <w:t xml:space="preserve"> stating, “</w:t>
      </w:r>
      <w:r w:rsidRPr="00314917">
        <w:t>A brighter future is being forged right before your eyes</w:t>
      </w:r>
      <w:r>
        <w:t>.”</w:t>
      </w:r>
      <w:r w:rsidRPr="00314917">
        <w:rPr>
          <w:rStyle w:val="EndnoteReference"/>
        </w:rPr>
        <w:endnoteReference w:id="98"/>
      </w:r>
      <w:r>
        <w:t xml:space="preserve"> </w:t>
      </w:r>
      <w:r w:rsidR="008E3DBF">
        <w:t xml:space="preserve">Would this future be realized by </w:t>
      </w:r>
      <w:r w:rsidR="00A36243">
        <w:t xml:space="preserve">India </w:t>
      </w:r>
      <w:r w:rsidR="008E3DBF">
        <w:t xml:space="preserve">after </w:t>
      </w:r>
      <w:r w:rsidR="00A36243">
        <w:t xml:space="preserve">demonetization? </w:t>
      </w:r>
      <w:r w:rsidR="008E3DBF">
        <w:rPr>
          <w:lang w:val="en-IN"/>
        </w:rPr>
        <w:t xml:space="preserve">Did </w:t>
      </w:r>
      <w:r w:rsidR="00A36243">
        <w:rPr>
          <w:lang w:val="en-IN"/>
        </w:rPr>
        <w:t xml:space="preserve">demonetization purge the economy of black money and achieve its objective of a stronger, corruption-free India? Or </w:t>
      </w:r>
      <w:r w:rsidR="008E3DBF">
        <w:rPr>
          <w:lang w:val="en-IN"/>
        </w:rPr>
        <w:t xml:space="preserve">did </w:t>
      </w:r>
      <w:r w:rsidR="00A36243">
        <w:rPr>
          <w:lang w:val="en-IN"/>
        </w:rPr>
        <w:t>the liquidity and uncertainty effects associated with the exercise set the economy back significantly from its pursuit of growth?</w:t>
      </w:r>
    </w:p>
    <w:p w14:paraId="353FE2E2" w14:textId="77777777" w:rsidR="00741D17" w:rsidRDefault="00741D17" w:rsidP="00314917">
      <w:pPr>
        <w:pStyle w:val="BodyTextMain"/>
        <w:rPr>
          <w:lang w:val="en-IN"/>
        </w:rPr>
        <w:sectPr w:rsidR="00741D17" w:rsidSect="00EB5410">
          <w:headerReference w:type="default" r:id="rId11"/>
          <w:endnotePr>
            <w:numFmt w:val="decimal"/>
          </w:endnotePr>
          <w:pgSz w:w="12240" w:h="15840"/>
          <w:pgMar w:top="1080" w:right="1440" w:bottom="1440" w:left="1440" w:header="1080" w:footer="720" w:gutter="0"/>
          <w:cols w:space="720"/>
          <w:titlePg/>
          <w:docGrid w:linePitch="360"/>
        </w:sectPr>
      </w:pPr>
    </w:p>
    <w:p w14:paraId="3B1B154A" w14:textId="11226197" w:rsidR="00372741" w:rsidRPr="002641B0" w:rsidRDefault="00372741" w:rsidP="002641B0">
      <w:pPr>
        <w:pStyle w:val="ExhibitHeading"/>
      </w:pPr>
      <w:r w:rsidRPr="002641B0">
        <w:lastRenderedPageBreak/>
        <w:t xml:space="preserve">EXHIBIT 1: INDIA’S </w:t>
      </w:r>
      <w:r w:rsidR="00BF4A9C">
        <w:t xml:space="preserve">supply-Side </w:t>
      </w:r>
      <w:r w:rsidRPr="002641B0">
        <w:t>G</w:t>
      </w:r>
      <w:r w:rsidR="00BF4A9C">
        <w:t xml:space="preserve">ross </w:t>
      </w:r>
      <w:r w:rsidRPr="002641B0">
        <w:t>V</w:t>
      </w:r>
      <w:r w:rsidR="00BF4A9C">
        <w:t xml:space="preserve">alue </w:t>
      </w:r>
      <w:r w:rsidRPr="002641B0">
        <w:t>A</w:t>
      </w:r>
      <w:r w:rsidR="00BF4A9C">
        <w:t>dded</w:t>
      </w:r>
      <w:r w:rsidR="00D0450C">
        <w:t>, 2015–16</w:t>
      </w:r>
      <w:r w:rsidRPr="002641B0">
        <w:t xml:space="preserve"> (AT BASIC PRICES)</w:t>
      </w:r>
    </w:p>
    <w:p w14:paraId="190C8968" w14:textId="77777777" w:rsidR="00372741" w:rsidRDefault="00372741" w:rsidP="00372741">
      <w:pPr>
        <w:pStyle w:val="ExhibitHeading"/>
        <w:outlineLvl w:val="0"/>
      </w:pPr>
    </w:p>
    <w:p w14:paraId="1100263D" w14:textId="77777777" w:rsidR="00372741" w:rsidRDefault="00372741" w:rsidP="00372741">
      <w:pPr>
        <w:pStyle w:val="ExhibitHeading"/>
        <w:outlineLvl w:val="0"/>
      </w:pPr>
      <w:r>
        <w:rPr>
          <w:noProof/>
          <w:lang w:val="en-CA" w:eastAsia="en-CA"/>
        </w:rPr>
        <w:drawing>
          <wp:inline distT="0" distB="0" distL="0" distR="0" wp14:anchorId="08910BE0" wp14:editId="406DE9B4">
            <wp:extent cx="4019909"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C7A243" w14:textId="77777777" w:rsidR="00372741" w:rsidRDefault="00372741" w:rsidP="00372741">
      <w:pPr>
        <w:pStyle w:val="ExhibitHeading"/>
        <w:outlineLvl w:val="0"/>
      </w:pPr>
    </w:p>
    <w:p w14:paraId="2429FD6D" w14:textId="77777777" w:rsidR="002641B0" w:rsidRDefault="002641B0" w:rsidP="00372741">
      <w:pPr>
        <w:pStyle w:val="Footnote"/>
      </w:pPr>
    </w:p>
    <w:p w14:paraId="7EA8D5B4" w14:textId="2D68423C" w:rsidR="00372741" w:rsidRPr="002641B0" w:rsidRDefault="00372741" w:rsidP="00372741">
      <w:pPr>
        <w:pStyle w:val="Footnote"/>
        <w:rPr>
          <w:spacing w:val="-2"/>
        </w:rPr>
      </w:pPr>
      <w:r w:rsidRPr="002641B0">
        <w:rPr>
          <w:spacing w:val="-2"/>
        </w:rPr>
        <w:t xml:space="preserve">Source: Reserve Bank of India, “Appendix Tables: Growth </w:t>
      </w:r>
      <w:r w:rsidR="00CA181E">
        <w:rPr>
          <w:spacing w:val="-2"/>
        </w:rPr>
        <w:t>R</w:t>
      </w:r>
      <w:r w:rsidRPr="002641B0">
        <w:rPr>
          <w:spacing w:val="-2"/>
        </w:rPr>
        <w:t xml:space="preserve">ates and </w:t>
      </w:r>
      <w:r w:rsidR="00CA181E">
        <w:rPr>
          <w:spacing w:val="-2"/>
        </w:rPr>
        <w:t>C</w:t>
      </w:r>
      <w:r w:rsidRPr="002641B0">
        <w:rPr>
          <w:spacing w:val="-2"/>
        </w:rPr>
        <w:t xml:space="preserve">omposition of </w:t>
      </w:r>
      <w:r w:rsidR="00CA181E">
        <w:rPr>
          <w:spacing w:val="-2"/>
        </w:rPr>
        <w:t>R</w:t>
      </w:r>
      <w:r w:rsidRPr="002641B0">
        <w:rPr>
          <w:spacing w:val="-2"/>
        </w:rPr>
        <w:t>eal GDP (2011</w:t>
      </w:r>
      <w:r w:rsidR="00CA181E">
        <w:rPr>
          <w:spacing w:val="-2"/>
        </w:rPr>
        <w:t>–</w:t>
      </w:r>
      <w:r w:rsidRPr="002641B0">
        <w:rPr>
          <w:spacing w:val="-2"/>
        </w:rPr>
        <w:t xml:space="preserve">12 </w:t>
      </w:r>
      <w:r w:rsidR="00CA181E">
        <w:rPr>
          <w:spacing w:val="-2"/>
        </w:rPr>
        <w:t>P</w:t>
      </w:r>
      <w:r w:rsidRPr="002641B0">
        <w:rPr>
          <w:spacing w:val="-2"/>
        </w:rPr>
        <w:t xml:space="preserve">rices),” in </w:t>
      </w:r>
      <w:r w:rsidRPr="00B92C7B">
        <w:rPr>
          <w:i/>
          <w:spacing w:val="-2"/>
        </w:rPr>
        <w:t>Annual Report 2015–16</w:t>
      </w:r>
      <w:r w:rsidRPr="002641B0">
        <w:rPr>
          <w:spacing w:val="-2"/>
        </w:rPr>
        <w:t>, August 29, 2016, accessed March 3, 2017, https://rbi.org.in/Scripts</w:t>
      </w:r>
      <w:r w:rsidR="002641B0" w:rsidRPr="002641B0">
        <w:rPr>
          <w:spacing w:val="-2"/>
        </w:rPr>
        <w:t xml:space="preserve"> </w:t>
      </w:r>
      <w:r w:rsidRPr="002641B0">
        <w:rPr>
          <w:spacing w:val="-2"/>
        </w:rPr>
        <w:t>/AnnualReportPublications.aspx?Id=1175.</w:t>
      </w:r>
    </w:p>
    <w:p w14:paraId="2E1B53C7" w14:textId="77777777" w:rsidR="00372741" w:rsidRDefault="00372741" w:rsidP="002641B0">
      <w:pPr>
        <w:pStyle w:val="Footnote"/>
      </w:pPr>
    </w:p>
    <w:p w14:paraId="6969B6A8" w14:textId="77777777" w:rsidR="00372741" w:rsidRDefault="00372741" w:rsidP="002641B0">
      <w:pPr>
        <w:pStyle w:val="Footnote"/>
      </w:pPr>
    </w:p>
    <w:p w14:paraId="1791422C" w14:textId="126D1D1D" w:rsidR="00372741" w:rsidRDefault="00372741" w:rsidP="002641B0">
      <w:pPr>
        <w:pStyle w:val="ExhibitHeading"/>
      </w:pPr>
      <w:r>
        <w:t xml:space="preserve">EXHIBIT 2: </w:t>
      </w:r>
      <w:r w:rsidRPr="002641B0">
        <w:t>INDIA’S</w:t>
      </w:r>
      <w:r>
        <w:t xml:space="preserve"> EXPENDITURE</w:t>
      </w:r>
      <w:r w:rsidR="00BF548F">
        <w:t>-</w:t>
      </w:r>
      <w:r>
        <w:t>SIDE</w:t>
      </w:r>
      <w:r w:rsidR="002C2778">
        <w:t xml:space="preserve"> G</w:t>
      </w:r>
      <w:r w:rsidR="00D0450C">
        <w:t xml:space="preserve">ross </w:t>
      </w:r>
      <w:r w:rsidR="002C2778">
        <w:t>D</w:t>
      </w:r>
      <w:r w:rsidR="00D0450C">
        <w:t xml:space="preserve">omestic </w:t>
      </w:r>
      <w:r w:rsidR="002C2778">
        <w:t>P</w:t>
      </w:r>
      <w:r w:rsidR="00D0450C">
        <w:t>roduct</w:t>
      </w:r>
      <w:r w:rsidR="002C2778">
        <w:t>,</w:t>
      </w:r>
      <w:r>
        <w:t xml:space="preserve"> 2015</w:t>
      </w:r>
      <w:r w:rsidR="002C2778">
        <w:t>–</w:t>
      </w:r>
      <w:r>
        <w:t>16</w:t>
      </w:r>
    </w:p>
    <w:p w14:paraId="53AB789A" w14:textId="7FCD39A5" w:rsidR="002641B0" w:rsidRDefault="002641B0" w:rsidP="002641B0">
      <w:pPr>
        <w:pStyle w:val="ExhibitHeading"/>
      </w:pPr>
    </w:p>
    <w:p w14:paraId="3AA43E1E" w14:textId="7BDF7FAC" w:rsidR="00372741" w:rsidRPr="001D39F1" w:rsidRDefault="005312EA" w:rsidP="002641B0">
      <w:pPr>
        <w:pStyle w:val="ExhibitHeading"/>
        <w:outlineLvl w:val="0"/>
        <w:rPr>
          <w:b w:val="0"/>
        </w:rPr>
      </w:pPr>
      <w:r w:rsidRPr="005312EA">
        <w:rPr>
          <w:noProof/>
          <w:lang w:eastAsia="en-GB"/>
        </w:rPr>
        <w:t xml:space="preserve"> </w:t>
      </w:r>
      <w:r>
        <w:rPr>
          <w:noProof/>
          <w:lang w:val="en-CA" w:eastAsia="en-CA"/>
        </w:rPr>
        <w:drawing>
          <wp:inline distT="0" distB="0" distL="0" distR="0" wp14:anchorId="797AFDA5" wp14:editId="132B4EE2">
            <wp:extent cx="4630748" cy="2833915"/>
            <wp:effectExtent l="0" t="0" r="17780"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2CAB3E" w14:textId="77777777" w:rsidR="00372741" w:rsidRDefault="00372741" w:rsidP="002641B0">
      <w:pPr>
        <w:pStyle w:val="Footnote"/>
      </w:pPr>
    </w:p>
    <w:p w14:paraId="40318D35" w14:textId="77777777" w:rsidR="002C2778" w:rsidRDefault="002C2778" w:rsidP="00372741">
      <w:pPr>
        <w:pStyle w:val="Footnote"/>
        <w:rPr>
          <w:spacing w:val="-2"/>
        </w:rPr>
      </w:pPr>
    </w:p>
    <w:p w14:paraId="56B21308" w14:textId="723CAE28" w:rsidR="00372741" w:rsidRPr="002641B0" w:rsidRDefault="00372741" w:rsidP="00372741">
      <w:pPr>
        <w:pStyle w:val="Footnote"/>
        <w:rPr>
          <w:spacing w:val="-2"/>
        </w:rPr>
      </w:pPr>
      <w:r w:rsidRPr="00B92C7B">
        <w:rPr>
          <w:spacing w:val="-2"/>
        </w:rPr>
        <w:t>Source</w:t>
      </w:r>
      <w:r w:rsidRPr="002641B0">
        <w:rPr>
          <w:b/>
          <w:spacing w:val="-2"/>
        </w:rPr>
        <w:t xml:space="preserve">: </w:t>
      </w:r>
      <w:r w:rsidRPr="002641B0">
        <w:rPr>
          <w:spacing w:val="-2"/>
        </w:rPr>
        <w:t xml:space="preserve">Reserve Bank of India, “Appendix Tables: Growth </w:t>
      </w:r>
      <w:r w:rsidR="002C2778">
        <w:rPr>
          <w:spacing w:val="-2"/>
        </w:rPr>
        <w:t>R</w:t>
      </w:r>
      <w:r w:rsidRPr="002641B0">
        <w:rPr>
          <w:spacing w:val="-2"/>
        </w:rPr>
        <w:t xml:space="preserve">ates and </w:t>
      </w:r>
      <w:r w:rsidR="002C2778">
        <w:rPr>
          <w:spacing w:val="-2"/>
        </w:rPr>
        <w:t>C</w:t>
      </w:r>
      <w:r w:rsidRPr="002641B0">
        <w:rPr>
          <w:spacing w:val="-2"/>
        </w:rPr>
        <w:t xml:space="preserve">omposition of </w:t>
      </w:r>
      <w:r w:rsidR="002C2778">
        <w:rPr>
          <w:spacing w:val="-2"/>
        </w:rPr>
        <w:t>R</w:t>
      </w:r>
      <w:r w:rsidRPr="002641B0">
        <w:rPr>
          <w:spacing w:val="-2"/>
        </w:rPr>
        <w:t>eal GDP (2011</w:t>
      </w:r>
      <w:r w:rsidR="002C2778">
        <w:rPr>
          <w:spacing w:val="-2"/>
        </w:rPr>
        <w:t>–</w:t>
      </w:r>
      <w:r w:rsidRPr="002641B0">
        <w:rPr>
          <w:spacing w:val="-2"/>
        </w:rPr>
        <w:t xml:space="preserve">12 </w:t>
      </w:r>
      <w:r w:rsidR="002C2778">
        <w:rPr>
          <w:spacing w:val="-2"/>
        </w:rPr>
        <w:t>P</w:t>
      </w:r>
      <w:r w:rsidRPr="002641B0">
        <w:rPr>
          <w:spacing w:val="-2"/>
        </w:rPr>
        <w:t xml:space="preserve">rices),” in </w:t>
      </w:r>
      <w:r w:rsidRPr="002641B0">
        <w:rPr>
          <w:i/>
          <w:spacing w:val="-2"/>
        </w:rPr>
        <w:t>Annual Report 2015–16</w:t>
      </w:r>
      <w:r w:rsidRPr="002641B0">
        <w:rPr>
          <w:spacing w:val="-2"/>
        </w:rPr>
        <w:t>, August 29, 2016, accessed March 3, 2017, https://rbi.org.in/Scripts/AnnualReportPublications.aspx?Id=1175.</w:t>
      </w:r>
    </w:p>
    <w:p w14:paraId="20CDAC3C" w14:textId="590DAFAB" w:rsidR="00E343B7" w:rsidRDefault="00E343B7" w:rsidP="00372741">
      <w:pPr>
        <w:pStyle w:val="BodyTextMain"/>
        <w:rPr>
          <w:lang w:val="en-IN"/>
        </w:rPr>
        <w:sectPr w:rsidR="00E343B7" w:rsidSect="00372741">
          <w:headerReference w:type="default" r:id="rId14"/>
          <w:endnotePr>
            <w:numFmt w:val="decimal"/>
          </w:endnotePr>
          <w:pgSz w:w="12240" w:h="15840"/>
          <w:pgMar w:top="1080" w:right="1440" w:bottom="1440" w:left="1440" w:header="1080" w:footer="720" w:gutter="0"/>
          <w:cols w:space="720"/>
          <w:docGrid w:linePitch="360"/>
        </w:sectPr>
      </w:pPr>
    </w:p>
    <w:p w14:paraId="029F8E00" w14:textId="05AFDEB0" w:rsidR="00E343B7" w:rsidRDefault="00E343B7" w:rsidP="002641B0">
      <w:pPr>
        <w:pStyle w:val="ExhibitHeading"/>
      </w:pPr>
      <w:r>
        <w:lastRenderedPageBreak/>
        <w:t xml:space="preserve">EXHIBIT </w:t>
      </w:r>
      <w:r w:rsidR="00045ACD">
        <w:t>3</w:t>
      </w:r>
      <w:r w:rsidRPr="009E2BEB">
        <w:t xml:space="preserve">: </w:t>
      </w:r>
      <w:r w:rsidR="00772DFA">
        <w:t xml:space="preserve">india’s </w:t>
      </w:r>
      <w:r w:rsidRPr="009E2BEB">
        <w:t xml:space="preserve">MONEY STOCK DURING THE </w:t>
      </w:r>
      <w:r>
        <w:t>DEMONETIZATION</w:t>
      </w:r>
      <w:r w:rsidRPr="009E2BEB">
        <w:t xml:space="preserve"> PERIOD</w:t>
      </w:r>
      <w:r w:rsidR="00772DFA">
        <w:rPr>
          <w:lang w:val="en-IN"/>
        </w:rPr>
        <w:t xml:space="preserve">, selected </w:t>
      </w:r>
      <w:r w:rsidR="001850C3">
        <w:rPr>
          <w:lang w:val="en-IN"/>
        </w:rPr>
        <w:t>date</w:t>
      </w:r>
      <w:r w:rsidR="00772DFA">
        <w:rPr>
          <w:lang w:val="en-IN"/>
        </w:rPr>
        <w:t>s in 2016 and 2017</w:t>
      </w:r>
      <w:r w:rsidR="008E3DBF">
        <w:t xml:space="preserve"> </w:t>
      </w:r>
      <w:r w:rsidR="008E3DBF" w:rsidRPr="009E2BEB">
        <w:t xml:space="preserve">(IN </w:t>
      </w:r>
      <w:r w:rsidR="008E3DBF">
        <w:t>₹</w:t>
      </w:r>
      <w:r w:rsidR="008E3DBF" w:rsidRPr="009E2BEB">
        <w:t xml:space="preserve"> BILLION</w:t>
      </w:r>
      <w:r w:rsidR="00772DFA">
        <w:t>s</w:t>
      </w:r>
      <w:r w:rsidR="008E3DBF" w:rsidRPr="009E2BEB">
        <w:t>)</w:t>
      </w:r>
    </w:p>
    <w:p w14:paraId="47EF168F" w14:textId="77777777" w:rsidR="008E3DBF" w:rsidRPr="009E2BEB" w:rsidRDefault="008E3DBF" w:rsidP="002641B0">
      <w:pPr>
        <w:pStyle w:val="Footnote"/>
      </w:pPr>
    </w:p>
    <w:tbl>
      <w:tblPr>
        <w:tblW w:w="5000" w:type="pct"/>
        <w:jc w:val="center"/>
        <w:tblLook w:val="04A0" w:firstRow="1" w:lastRow="0" w:firstColumn="1" w:lastColumn="0" w:noHBand="0" w:noVBand="1"/>
      </w:tblPr>
      <w:tblGrid>
        <w:gridCol w:w="1848"/>
        <w:gridCol w:w="1233"/>
        <w:gridCol w:w="1234"/>
        <w:gridCol w:w="1233"/>
        <w:gridCol w:w="1234"/>
        <w:gridCol w:w="1233"/>
        <w:gridCol w:w="1234"/>
        <w:gridCol w:w="1233"/>
        <w:gridCol w:w="1234"/>
        <w:gridCol w:w="1234"/>
      </w:tblGrid>
      <w:tr w:rsidR="00B71246" w:rsidRPr="00AA644C" w14:paraId="6D858099" w14:textId="77777777" w:rsidTr="003D6FA9">
        <w:trPr>
          <w:trHeight w:val="360"/>
          <w:jc w:val="center"/>
        </w:trPr>
        <w:tc>
          <w:tcPr>
            <w:tcW w:w="0" w:type="auto"/>
            <w:tcBorders>
              <w:top w:val="single" w:sz="4" w:space="0" w:color="auto"/>
              <w:left w:val="single" w:sz="4" w:space="0" w:color="000000"/>
              <w:bottom w:val="single" w:sz="4" w:space="0" w:color="auto"/>
              <w:right w:val="single" w:sz="4" w:space="0" w:color="auto"/>
            </w:tcBorders>
            <w:shd w:val="clear" w:color="FFFFFF" w:fill="FFFFFF"/>
            <w:noWrap/>
            <w:vAlign w:val="center"/>
            <w:hideMark/>
          </w:tcPr>
          <w:p w14:paraId="3E1745CE" w14:textId="77777777" w:rsidR="00E343B7" w:rsidRPr="00AA644C" w:rsidRDefault="00E343B7" w:rsidP="004E1154">
            <w:pPr>
              <w:jc w:val="center"/>
              <w:rPr>
                <w:rFonts w:ascii="Arial" w:hAnsi="Arial" w:cs="Arial"/>
                <w:b/>
                <w:bCs/>
                <w:sz w:val="18"/>
                <w:szCs w:val="18"/>
                <w:lang w:val="en-IN"/>
              </w:rPr>
            </w:pPr>
            <w:r w:rsidRPr="00AA644C">
              <w:rPr>
                <w:rFonts w:ascii="Arial" w:hAnsi="Arial" w:cs="Arial"/>
                <w:b/>
                <w:bCs/>
                <w:sz w:val="18"/>
                <w:szCs w:val="18"/>
                <w:lang w:val="en-IN"/>
              </w:rPr>
              <w:t>Date</w:t>
            </w:r>
          </w:p>
        </w:tc>
        <w:tc>
          <w:tcPr>
            <w:tcW w:w="1233" w:type="dxa"/>
            <w:tcBorders>
              <w:top w:val="single" w:sz="4" w:space="0" w:color="auto"/>
              <w:left w:val="nil"/>
              <w:bottom w:val="single" w:sz="4" w:space="0" w:color="auto"/>
              <w:right w:val="single" w:sz="4" w:space="0" w:color="auto"/>
            </w:tcBorders>
            <w:shd w:val="clear" w:color="FFFFFF" w:fill="FFFFFF"/>
            <w:vAlign w:val="center"/>
            <w:hideMark/>
          </w:tcPr>
          <w:p w14:paraId="1DDDC555" w14:textId="78CE0A52" w:rsidR="00E343B7" w:rsidRPr="00AA644C" w:rsidRDefault="00E343B7" w:rsidP="00B71246">
            <w:pPr>
              <w:jc w:val="center"/>
              <w:rPr>
                <w:rFonts w:ascii="Arial" w:hAnsi="Arial" w:cs="Arial"/>
                <w:b/>
                <w:bCs/>
                <w:sz w:val="18"/>
                <w:szCs w:val="18"/>
                <w:lang w:val="en-IN"/>
              </w:rPr>
            </w:pPr>
            <w:r w:rsidRPr="00AA644C">
              <w:rPr>
                <w:rFonts w:ascii="Arial" w:hAnsi="Arial" w:cs="Arial"/>
                <w:b/>
                <w:bCs/>
                <w:sz w:val="18"/>
                <w:szCs w:val="18"/>
                <w:lang w:val="en-IN"/>
              </w:rPr>
              <w:t>1.</w:t>
            </w:r>
            <w:r w:rsidR="008E3DBF">
              <w:rPr>
                <w:rFonts w:ascii="Arial" w:hAnsi="Arial" w:cs="Arial"/>
                <w:b/>
                <w:bCs/>
                <w:sz w:val="18"/>
                <w:szCs w:val="18"/>
                <w:lang w:val="en-IN"/>
              </w:rPr>
              <w:t xml:space="preserve"> </w:t>
            </w:r>
            <w:r w:rsidR="00B71246">
              <w:rPr>
                <w:rFonts w:ascii="Arial" w:hAnsi="Arial" w:cs="Arial"/>
                <w:b/>
                <w:bCs/>
                <w:sz w:val="18"/>
                <w:szCs w:val="18"/>
                <w:lang w:val="en-IN"/>
              </w:rPr>
              <w:t>Currency with the P</w:t>
            </w:r>
            <w:r w:rsidRPr="00AA644C">
              <w:rPr>
                <w:rFonts w:ascii="Arial" w:hAnsi="Arial" w:cs="Arial"/>
                <w:b/>
                <w:bCs/>
                <w:sz w:val="18"/>
                <w:szCs w:val="18"/>
                <w:lang w:val="en-IN"/>
              </w:rPr>
              <w:t>ublic</w:t>
            </w:r>
            <w:r w:rsidR="00B71246">
              <w:rPr>
                <w:rFonts w:ascii="Arial" w:hAnsi="Arial" w:cs="Arial"/>
                <w:b/>
                <w:bCs/>
                <w:sz w:val="18"/>
                <w:szCs w:val="18"/>
                <w:lang w:val="en-IN"/>
              </w:rPr>
              <w:t>*</w:t>
            </w:r>
          </w:p>
        </w:tc>
        <w:tc>
          <w:tcPr>
            <w:tcW w:w="1234" w:type="dxa"/>
            <w:tcBorders>
              <w:top w:val="single" w:sz="4" w:space="0" w:color="auto"/>
              <w:left w:val="nil"/>
              <w:bottom w:val="single" w:sz="4" w:space="0" w:color="auto"/>
              <w:right w:val="single" w:sz="4" w:space="0" w:color="auto"/>
            </w:tcBorders>
            <w:shd w:val="clear" w:color="FFFFFF" w:fill="FFFFFF"/>
            <w:vAlign w:val="center"/>
            <w:hideMark/>
          </w:tcPr>
          <w:p w14:paraId="5FE82206" w14:textId="77777777" w:rsidR="00E343B7" w:rsidRPr="00AA644C" w:rsidRDefault="00E343B7" w:rsidP="004E1154">
            <w:pPr>
              <w:jc w:val="center"/>
              <w:rPr>
                <w:rFonts w:ascii="Arial" w:hAnsi="Arial" w:cs="Arial"/>
                <w:b/>
                <w:bCs/>
                <w:sz w:val="18"/>
                <w:szCs w:val="18"/>
                <w:lang w:val="en-IN"/>
              </w:rPr>
            </w:pPr>
            <w:r w:rsidRPr="00AA644C">
              <w:rPr>
                <w:rFonts w:ascii="Arial" w:hAnsi="Arial" w:cs="Arial"/>
                <w:b/>
                <w:bCs/>
                <w:sz w:val="18"/>
                <w:szCs w:val="18"/>
                <w:lang w:val="en-IN"/>
              </w:rPr>
              <w:t>1.1 Notes in Circulation</w:t>
            </w:r>
          </w:p>
        </w:tc>
        <w:tc>
          <w:tcPr>
            <w:tcW w:w="1233" w:type="dxa"/>
            <w:tcBorders>
              <w:top w:val="single" w:sz="4" w:space="0" w:color="auto"/>
              <w:left w:val="nil"/>
              <w:bottom w:val="single" w:sz="4" w:space="0" w:color="auto"/>
              <w:right w:val="single" w:sz="4" w:space="0" w:color="auto"/>
            </w:tcBorders>
            <w:shd w:val="clear" w:color="FFFFFF" w:fill="FFFFFF"/>
            <w:vAlign w:val="center"/>
            <w:hideMark/>
          </w:tcPr>
          <w:p w14:paraId="676E1958" w14:textId="77777777" w:rsidR="00E343B7" w:rsidRPr="00AA644C" w:rsidRDefault="00E343B7" w:rsidP="004E1154">
            <w:pPr>
              <w:jc w:val="center"/>
              <w:rPr>
                <w:rFonts w:ascii="Arial" w:hAnsi="Arial" w:cs="Arial"/>
                <w:b/>
                <w:bCs/>
                <w:sz w:val="18"/>
                <w:szCs w:val="18"/>
                <w:lang w:val="en-IN"/>
              </w:rPr>
            </w:pPr>
            <w:r w:rsidRPr="00AA644C">
              <w:rPr>
                <w:rFonts w:ascii="Arial" w:hAnsi="Arial" w:cs="Arial"/>
                <w:b/>
                <w:bCs/>
                <w:sz w:val="18"/>
                <w:szCs w:val="18"/>
                <w:lang w:val="en-IN"/>
              </w:rPr>
              <w:t>1.2 Circulation of Rupee Coins</w:t>
            </w:r>
          </w:p>
        </w:tc>
        <w:tc>
          <w:tcPr>
            <w:tcW w:w="1234" w:type="dxa"/>
            <w:tcBorders>
              <w:top w:val="single" w:sz="4" w:space="0" w:color="auto"/>
              <w:left w:val="nil"/>
              <w:bottom w:val="single" w:sz="4" w:space="0" w:color="auto"/>
              <w:right w:val="single" w:sz="4" w:space="0" w:color="auto"/>
            </w:tcBorders>
            <w:shd w:val="clear" w:color="FFFFFF" w:fill="FFFFFF"/>
            <w:vAlign w:val="center"/>
            <w:hideMark/>
          </w:tcPr>
          <w:p w14:paraId="05CF24A8" w14:textId="77777777" w:rsidR="00E343B7" w:rsidRPr="00AA644C" w:rsidRDefault="00E343B7" w:rsidP="004E1154">
            <w:pPr>
              <w:jc w:val="center"/>
              <w:rPr>
                <w:rFonts w:ascii="Arial" w:hAnsi="Arial" w:cs="Arial"/>
                <w:b/>
                <w:bCs/>
                <w:sz w:val="18"/>
                <w:szCs w:val="18"/>
                <w:lang w:val="en-IN"/>
              </w:rPr>
            </w:pPr>
            <w:r w:rsidRPr="00AA644C">
              <w:rPr>
                <w:rFonts w:ascii="Arial" w:hAnsi="Arial" w:cs="Arial"/>
                <w:b/>
                <w:bCs/>
                <w:sz w:val="18"/>
                <w:szCs w:val="18"/>
                <w:lang w:val="en-IN"/>
              </w:rPr>
              <w:t>1.3 Circulation of Small Coins</w:t>
            </w:r>
          </w:p>
        </w:tc>
        <w:tc>
          <w:tcPr>
            <w:tcW w:w="1233" w:type="dxa"/>
            <w:tcBorders>
              <w:top w:val="single" w:sz="4" w:space="0" w:color="auto"/>
              <w:left w:val="nil"/>
              <w:bottom w:val="single" w:sz="4" w:space="0" w:color="auto"/>
              <w:right w:val="single" w:sz="4" w:space="0" w:color="auto"/>
            </w:tcBorders>
            <w:shd w:val="clear" w:color="FFFFFF" w:fill="FFFFFF"/>
            <w:vAlign w:val="center"/>
            <w:hideMark/>
          </w:tcPr>
          <w:p w14:paraId="76BDF2C8" w14:textId="5E4C2B8E" w:rsidR="00E343B7" w:rsidRPr="00AA644C" w:rsidRDefault="00E343B7" w:rsidP="004E1154">
            <w:pPr>
              <w:jc w:val="center"/>
              <w:rPr>
                <w:rFonts w:ascii="Arial" w:hAnsi="Arial" w:cs="Arial"/>
                <w:b/>
                <w:bCs/>
                <w:sz w:val="18"/>
                <w:szCs w:val="18"/>
                <w:lang w:val="en-IN"/>
              </w:rPr>
            </w:pPr>
            <w:r w:rsidRPr="00AA644C">
              <w:rPr>
                <w:rFonts w:ascii="Arial" w:hAnsi="Arial" w:cs="Arial"/>
                <w:b/>
                <w:bCs/>
                <w:sz w:val="18"/>
                <w:szCs w:val="18"/>
                <w:lang w:val="en-IN"/>
              </w:rPr>
              <w:t xml:space="preserve">1.4 Cash on </w:t>
            </w:r>
            <w:r w:rsidR="008E3DBF">
              <w:rPr>
                <w:rFonts w:ascii="Arial" w:hAnsi="Arial" w:cs="Arial"/>
                <w:b/>
                <w:bCs/>
                <w:sz w:val="18"/>
                <w:szCs w:val="18"/>
                <w:lang w:val="en-IN"/>
              </w:rPr>
              <w:t>H</w:t>
            </w:r>
            <w:r w:rsidRPr="00AA644C">
              <w:rPr>
                <w:rFonts w:ascii="Arial" w:hAnsi="Arial" w:cs="Arial"/>
                <w:b/>
                <w:bCs/>
                <w:sz w:val="18"/>
                <w:szCs w:val="18"/>
                <w:lang w:val="en-IN"/>
              </w:rPr>
              <w:t>and with Banks</w:t>
            </w:r>
          </w:p>
        </w:tc>
        <w:tc>
          <w:tcPr>
            <w:tcW w:w="1234" w:type="dxa"/>
            <w:tcBorders>
              <w:top w:val="single" w:sz="4" w:space="0" w:color="auto"/>
              <w:left w:val="nil"/>
              <w:bottom w:val="single" w:sz="4" w:space="0" w:color="auto"/>
              <w:right w:val="single" w:sz="4" w:space="0" w:color="auto"/>
            </w:tcBorders>
            <w:shd w:val="clear" w:color="FFFFFF" w:fill="FFFFFF"/>
            <w:vAlign w:val="center"/>
            <w:hideMark/>
          </w:tcPr>
          <w:p w14:paraId="7017D3DF" w14:textId="77777777" w:rsidR="00E343B7" w:rsidRPr="00AA644C" w:rsidRDefault="00E343B7" w:rsidP="004E1154">
            <w:pPr>
              <w:jc w:val="center"/>
              <w:rPr>
                <w:rFonts w:ascii="Arial" w:hAnsi="Arial" w:cs="Arial"/>
                <w:b/>
                <w:bCs/>
                <w:sz w:val="18"/>
                <w:szCs w:val="18"/>
                <w:lang w:val="en-IN"/>
              </w:rPr>
            </w:pPr>
            <w:r w:rsidRPr="00AA644C">
              <w:rPr>
                <w:rFonts w:ascii="Arial" w:hAnsi="Arial" w:cs="Arial"/>
                <w:b/>
                <w:bCs/>
                <w:sz w:val="18"/>
                <w:szCs w:val="18"/>
                <w:lang w:val="en-IN"/>
              </w:rPr>
              <w:t>2. Demand Deposits with Banks</w:t>
            </w:r>
          </w:p>
        </w:tc>
        <w:tc>
          <w:tcPr>
            <w:tcW w:w="1233" w:type="dxa"/>
            <w:tcBorders>
              <w:top w:val="single" w:sz="4" w:space="0" w:color="auto"/>
              <w:left w:val="nil"/>
              <w:bottom w:val="single" w:sz="4" w:space="0" w:color="auto"/>
              <w:right w:val="single" w:sz="4" w:space="0" w:color="auto"/>
            </w:tcBorders>
            <w:shd w:val="clear" w:color="FFFFFF" w:fill="FFFFFF"/>
            <w:vAlign w:val="center"/>
            <w:hideMark/>
          </w:tcPr>
          <w:p w14:paraId="5D27FD88" w14:textId="64E70562" w:rsidR="00E343B7" w:rsidRPr="00AA644C" w:rsidRDefault="00E343B7" w:rsidP="004E1154">
            <w:pPr>
              <w:jc w:val="center"/>
              <w:rPr>
                <w:rFonts w:ascii="Arial" w:hAnsi="Arial" w:cs="Arial"/>
                <w:b/>
                <w:bCs/>
                <w:sz w:val="18"/>
                <w:szCs w:val="18"/>
                <w:lang w:val="en-IN"/>
              </w:rPr>
            </w:pPr>
            <w:r w:rsidRPr="00AA644C">
              <w:rPr>
                <w:rFonts w:ascii="Arial" w:hAnsi="Arial" w:cs="Arial"/>
                <w:b/>
                <w:bCs/>
                <w:sz w:val="18"/>
                <w:szCs w:val="18"/>
                <w:lang w:val="en-IN"/>
              </w:rPr>
              <w:t>3. Other Deposits with Reserve Bank</w:t>
            </w:r>
          </w:p>
        </w:tc>
        <w:tc>
          <w:tcPr>
            <w:tcW w:w="1234" w:type="dxa"/>
            <w:tcBorders>
              <w:top w:val="single" w:sz="4" w:space="0" w:color="auto"/>
              <w:left w:val="nil"/>
              <w:bottom w:val="single" w:sz="4" w:space="0" w:color="auto"/>
              <w:right w:val="single" w:sz="4" w:space="0" w:color="auto"/>
            </w:tcBorders>
            <w:shd w:val="clear" w:color="FFFFFF" w:fill="FFFFFF"/>
            <w:vAlign w:val="center"/>
            <w:hideMark/>
          </w:tcPr>
          <w:p w14:paraId="62363D6B" w14:textId="77777777" w:rsidR="00E343B7" w:rsidRPr="00AA644C" w:rsidRDefault="00E343B7" w:rsidP="004E1154">
            <w:pPr>
              <w:jc w:val="center"/>
              <w:rPr>
                <w:rFonts w:ascii="Arial" w:hAnsi="Arial" w:cs="Arial"/>
                <w:b/>
                <w:bCs/>
                <w:sz w:val="18"/>
                <w:szCs w:val="18"/>
                <w:lang w:val="en-IN"/>
              </w:rPr>
            </w:pPr>
            <w:r w:rsidRPr="00AA644C">
              <w:rPr>
                <w:rFonts w:ascii="Arial" w:hAnsi="Arial" w:cs="Arial"/>
                <w:b/>
                <w:bCs/>
                <w:sz w:val="18"/>
                <w:szCs w:val="18"/>
                <w:lang w:val="en-IN"/>
              </w:rPr>
              <w:t>4. Time Deposits with Banks</w:t>
            </w:r>
          </w:p>
        </w:tc>
        <w:tc>
          <w:tcPr>
            <w:tcW w:w="1234" w:type="dxa"/>
            <w:tcBorders>
              <w:top w:val="single" w:sz="4" w:space="0" w:color="auto"/>
              <w:left w:val="nil"/>
              <w:bottom w:val="single" w:sz="4" w:space="0" w:color="auto"/>
              <w:right w:val="single" w:sz="4" w:space="0" w:color="auto"/>
            </w:tcBorders>
            <w:shd w:val="clear" w:color="FFFFFF" w:fill="FFFFFF"/>
            <w:vAlign w:val="center"/>
            <w:hideMark/>
          </w:tcPr>
          <w:p w14:paraId="55DF2B1B" w14:textId="0DC67AD0" w:rsidR="00E343B7" w:rsidRPr="00AA644C" w:rsidRDefault="00E343B7" w:rsidP="00B71246">
            <w:pPr>
              <w:jc w:val="center"/>
              <w:rPr>
                <w:rFonts w:ascii="Arial" w:hAnsi="Arial" w:cs="Arial"/>
                <w:b/>
                <w:bCs/>
                <w:sz w:val="18"/>
                <w:szCs w:val="18"/>
                <w:lang w:val="en-IN"/>
              </w:rPr>
            </w:pPr>
            <w:r w:rsidRPr="00AA644C">
              <w:rPr>
                <w:rFonts w:ascii="Arial" w:hAnsi="Arial" w:cs="Arial"/>
                <w:b/>
                <w:bCs/>
                <w:sz w:val="18"/>
                <w:szCs w:val="18"/>
                <w:lang w:val="en-IN"/>
              </w:rPr>
              <w:t>5.</w:t>
            </w:r>
            <w:r w:rsidR="00B71246">
              <w:rPr>
                <w:rFonts w:ascii="Arial" w:hAnsi="Arial" w:cs="Arial"/>
                <w:b/>
                <w:bCs/>
                <w:sz w:val="18"/>
                <w:szCs w:val="18"/>
                <w:lang w:val="en-IN"/>
              </w:rPr>
              <w:t xml:space="preserve"> M3**</w:t>
            </w:r>
          </w:p>
        </w:tc>
      </w:tr>
      <w:tr w:rsidR="00B71246" w:rsidRPr="00AA644C" w14:paraId="471FE738" w14:textId="77777777" w:rsidTr="003D6FA9">
        <w:trPr>
          <w:trHeight w:val="360"/>
          <w:jc w:val="center"/>
        </w:trPr>
        <w:tc>
          <w:tcPr>
            <w:tcW w:w="0" w:type="auto"/>
            <w:tcBorders>
              <w:top w:val="nil"/>
              <w:left w:val="single" w:sz="4" w:space="0" w:color="000000"/>
              <w:bottom w:val="single" w:sz="4" w:space="0" w:color="auto"/>
              <w:right w:val="single" w:sz="4" w:space="0" w:color="auto"/>
            </w:tcBorders>
            <w:shd w:val="clear" w:color="FFFFFF" w:fill="FFFFFF"/>
            <w:noWrap/>
            <w:vAlign w:val="center"/>
            <w:hideMark/>
          </w:tcPr>
          <w:p w14:paraId="1E663917" w14:textId="77777777" w:rsidR="008E3DBF" w:rsidRPr="00AA644C" w:rsidRDefault="008E3DBF" w:rsidP="00202E1A">
            <w:pPr>
              <w:rPr>
                <w:rFonts w:ascii="Arial" w:hAnsi="Arial" w:cs="Arial"/>
                <w:b/>
                <w:bCs/>
                <w:sz w:val="18"/>
                <w:szCs w:val="18"/>
                <w:lang w:val="en-IN"/>
              </w:rPr>
            </w:pPr>
            <w:r w:rsidRPr="00AA644C">
              <w:rPr>
                <w:rFonts w:ascii="Arial" w:hAnsi="Arial" w:cs="Arial"/>
                <w:b/>
                <w:bCs/>
                <w:sz w:val="18"/>
                <w:szCs w:val="18"/>
                <w:lang w:val="en-IN"/>
              </w:rPr>
              <w:t>Mar</w:t>
            </w:r>
            <w:r>
              <w:rPr>
                <w:rFonts w:ascii="Arial" w:hAnsi="Arial" w:cs="Arial"/>
                <w:b/>
                <w:bCs/>
                <w:sz w:val="18"/>
                <w:szCs w:val="18"/>
                <w:lang w:val="en-IN"/>
              </w:rPr>
              <w:t>ch</w:t>
            </w:r>
            <w:r w:rsidRPr="00AA644C">
              <w:rPr>
                <w:rFonts w:ascii="Arial" w:hAnsi="Arial" w:cs="Arial"/>
                <w:b/>
                <w:bCs/>
                <w:sz w:val="18"/>
                <w:szCs w:val="18"/>
                <w:lang w:val="en-IN"/>
              </w:rPr>
              <w:t xml:space="preserve"> 31, 2016</w:t>
            </w:r>
          </w:p>
        </w:tc>
        <w:tc>
          <w:tcPr>
            <w:tcW w:w="1233" w:type="dxa"/>
            <w:tcBorders>
              <w:top w:val="nil"/>
              <w:left w:val="nil"/>
              <w:bottom w:val="single" w:sz="4" w:space="0" w:color="auto"/>
              <w:right w:val="single" w:sz="4" w:space="0" w:color="auto"/>
            </w:tcBorders>
            <w:shd w:val="clear" w:color="FFFFFF" w:fill="FFFFFF"/>
            <w:noWrap/>
            <w:vAlign w:val="center"/>
            <w:hideMark/>
          </w:tcPr>
          <w:p w14:paraId="52A8F308"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15,972.54</w:t>
            </w:r>
          </w:p>
        </w:tc>
        <w:tc>
          <w:tcPr>
            <w:tcW w:w="1234" w:type="dxa"/>
            <w:tcBorders>
              <w:top w:val="nil"/>
              <w:left w:val="nil"/>
              <w:bottom w:val="single" w:sz="4" w:space="0" w:color="auto"/>
              <w:right w:val="single" w:sz="4" w:space="0" w:color="auto"/>
            </w:tcBorders>
            <w:shd w:val="clear" w:color="FFFFFF" w:fill="FFFFFF"/>
            <w:noWrap/>
            <w:vAlign w:val="center"/>
            <w:hideMark/>
          </w:tcPr>
          <w:p w14:paraId="36806548"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16,415.58</w:t>
            </w:r>
          </w:p>
        </w:tc>
        <w:tc>
          <w:tcPr>
            <w:tcW w:w="1233" w:type="dxa"/>
            <w:tcBorders>
              <w:top w:val="nil"/>
              <w:left w:val="nil"/>
              <w:bottom w:val="single" w:sz="4" w:space="0" w:color="auto"/>
              <w:right w:val="single" w:sz="4" w:space="0" w:color="auto"/>
            </w:tcBorders>
            <w:shd w:val="clear" w:color="FFFFFF" w:fill="FFFFFF"/>
            <w:noWrap/>
            <w:vAlign w:val="center"/>
            <w:hideMark/>
          </w:tcPr>
          <w:p w14:paraId="76BA39CB"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211.62</w:t>
            </w:r>
          </w:p>
        </w:tc>
        <w:tc>
          <w:tcPr>
            <w:tcW w:w="1234" w:type="dxa"/>
            <w:tcBorders>
              <w:top w:val="nil"/>
              <w:left w:val="nil"/>
              <w:bottom w:val="single" w:sz="4" w:space="0" w:color="auto"/>
              <w:right w:val="single" w:sz="4" w:space="0" w:color="auto"/>
            </w:tcBorders>
            <w:shd w:val="clear" w:color="FFFFFF" w:fill="FFFFFF"/>
            <w:noWrap/>
            <w:vAlign w:val="center"/>
            <w:hideMark/>
          </w:tcPr>
          <w:p w14:paraId="61481B41"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7.43</w:t>
            </w:r>
          </w:p>
        </w:tc>
        <w:tc>
          <w:tcPr>
            <w:tcW w:w="1233" w:type="dxa"/>
            <w:tcBorders>
              <w:top w:val="nil"/>
              <w:left w:val="nil"/>
              <w:bottom w:val="single" w:sz="4" w:space="0" w:color="auto"/>
              <w:right w:val="single" w:sz="4" w:space="0" w:color="auto"/>
            </w:tcBorders>
            <w:shd w:val="clear" w:color="FFFFFF" w:fill="FFFFFF"/>
            <w:noWrap/>
            <w:vAlign w:val="center"/>
            <w:hideMark/>
          </w:tcPr>
          <w:p w14:paraId="264A65DB"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662.09</w:t>
            </w:r>
          </w:p>
        </w:tc>
        <w:tc>
          <w:tcPr>
            <w:tcW w:w="1234" w:type="dxa"/>
            <w:tcBorders>
              <w:top w:val="nil"/>
              <w:left w:val="nil"/>
              <w:bottom w:val="single" w:sz="4" w:space="0" w:color="auto"/>
              <w:right w:val="single" w:sz="4" w:space="0" w:color="auto"/>
            </w:tcBorders>
            <w:shd w:val="clear" w:color="FFFFFF" w:fill="FFFFFF"/>
            <w:noWrap/>
            <w:vAlign w:val="center"/>
            <w:hideMark/>
          </w:tcPr>
          <w:p w14:paraId="0F3242DA"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9,898.34</w:t>
            </w:r>
          </w:p>
        </w:tc>
        <w:tc>
          <w:tcPr>
            <w:tcW w:w="1233" w:type="dxa"/>
            <w:tcBorders>
              <w:top w:val="nil"/>
              <w:left w:val="nil"/>
              <w:bottom w:val="single" w:sz="4" w:space="0" w:color="auto"/>
              <w:right w:val="single" w:sz="4" w:space="0" w:color="auto"/>
            </w:tcBorders>
            <w:shd w:val="clear" w:color="FFFFFF" w:fill="FFFFFF"/>
            <w:noWrap/>
            <w:vAlign w:val="center"/>
            <w:hideMark/>
          </w:tcPr>
          <w:p w14:paraId="163B52D4"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154.51</w:t>
            </w:r>
          </w:p>
        </w:tc>
        <w:tc>
          <w:tcPr>
            <w:tcW w:w="1234" w:type="dxa"/>
            <w:tcBorders>
              <w:top w:val="nil"/>
              <w:left w:val="nil"/>
              <w:bottom w:val="single" w:sz="4" w:space="0" w:color="auto"/>
              <w:right w:val="single" w:sz="4" w:space="0" w:color="auto"/>
            </w:tcBorders>
            <w:shd w:val="clear" w:color="FFFFFF" w:fill="FFFFFF"/>
            <w:noWrap/>
            <w:vAlign w:val="center"/>
            <w:hideMark/>
          </w:tcPr>
          <w:p w14:paraId="7CE55A3E"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90,150.77</w:t>
            </w:r>
          </w:p>
        </w:tc>
        <w:tc>
          <w:tcPr>
            <w:tcW w:w="1234" w:type="dxa"/>
            <w:tcBorders>
              <w:top w:val="nil"/>
              <w:left w:val="nil"/>
              <w:bottom w:val="single" w:sz="4" w:space="0" w:color="auto"/>
              <w:right w:val="single" w:sz="4" w:space="0" w:color="auto"/>
            </w:tcBorders>
            <w:shd w:val="clear" w:color="FFFFFF" w:fill="FFFFFF"/>
            <w:noWrap/>
            <w:vAlign w:val="center"/>
            <w:hideMark/>
          </w:tcPr>
          <w:p w14:paraId="05C3E474" w14:textId="12623ADB"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116,176.15</w:t>
            </w:r>
          </w:p>
        </w:tc>
      </w:tr>
      <w:tr w:rsidR="00B71246" w:rsidRPr="00AA644C" w14:paraId="78250D64" w14:textId="77777777" w:rsidTr="003D6FA9">
        <w:trPr>
          <w:trHeight w:val="360"/>
          <w:jc w:val="center"/>
        </w:trPr>
        <w:tc>
          <w:tcPr>
            <w:tcW w:w="0" w:type="auto"/>
            <w:tcBorders>
              <w:top w:val="nil"/>
              <w:left w:val="single" w:sz="4" w:space="0" w:color="000000"/>
              <w:bottom w:val="single" w:sz="4" w:space="0" w:color="auto"/>
              <w:right w:val="single" w:sz="4" w:space="0" w:color="auto"/>
            </w:tcBorders>
            <w:shd w:val="clear" w:color="FFFFFF" w:fill="FFFFFF"/>
            <w:noWrap/>
            <w:vAlign w:val="center"/>
            <w:hideMark/>
          </w:tcPr>
          <w:p w14:paraId="66A7D04D" w14:textId="77777777" w:rsidR="008E3DBF" w:rsidRPr="00AA644C" w:rsidRDefault="008E3DBF" w:rsidP="00202E1A">
            <w:pPr>
              <w:rPr>
                <w:rFonts w:ascii="Arial" w:hAnsi="Arial" w:cs="Arial"/>
                <w:b/>
                <w:bCs/>
                <w:sz w:val="18"/>
                <w:szCs w:val="18"/>
                <w:lang w:val="en-IN"/>
              </w:rPr>
            </w:pPr>
            <w:r w:rsidRPr="00AA644C">
              <w:rPr>
                <w:rFonts w:ascii="Arial" w:hAnsi="Arial" w:cs="Arial"/>
                <w:b/>
                <w:bCs/>
                <w:sz w:val="18"/>
                <w:szCs w:val="18"/>
                <w:lang w:val="en-IN"/>
              </w:rPr>
              <w:t>Oct</w:t>
            </w:r>
            <w:r>
              <w:rPr>
                <w:rFonts w:ascii="Arial" w:hAnsi="Arial" w:cs="Arial"/>
                <w:b/>
                <w:bCs/>
                <w:sz w:val="18"/>
                <w:szCs w:val="18"/>
                <w:lang w:val="en-IN"/>
              </w:rPr>
              <w:t>ober</w:t>
            </w:r>
            <w:r w:rsidRPr="00AA644C">
              <w:rPr>
                <w:rFonts w:ascii="Arial" w:hAnsi="Arial" w:cs="Arial"/>
                <w:b/>
                <w:bCs/>
                <w:sz w:val="18"/>
                <w:szCs w:val="18"/>
                <w:lang w:val="en-IN"/>
              </w:rPr>
              <w:t xml:space="preserve"> 28, 2016</w:t>
            </w:r>
          </w:p>
        </w:tc>
        <w:tc>
          <w:tcPr>
            <w:tcW w:w="1233" w:type="dxa"/>
            <w:tcBorders>
              <w:top w:val="nil"/>
              <w:left w:val="nil"/>
              <w:bottom w:val="single" w:sz="4" w:space="0" w:color="auto"/>
              <w:right w:val="single" w:sz="4" w:space="0" w:color="auto"/>
            </w:tcBorders>
            <w:shd w:val="clear" w:color="FFFFFF" w:fill="FFFFFF"/>
            <w:noWrap/>
            <w:vAlign w:val="center"/>
            <w:hideMark/>
          </w:tcPr>
          <w:p w14:paraId="4EEF03B2"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17,022.10</w:t>
            </w:r>
          </w:p>
        </w:tc>
        <w:tc>
          <w:tcPr>
            <w:tcW w:w="1234" w:type="dxa"/>
            <w:tcBorders>
              <w:top w:val="nil"/>
              <w:left w:val="nil"/>
              <w:bottom w:val="single" w:sz="4" w:space="0" w:color="auto"/>
              <w:right w:val="single" w:sz="4" w:space="0" w:color="auto"/>
            </w:tcBorders>
            <w:shd w:val="clear" w:color="FFFFFF" w:fill="FFFFFF"/>
            <w:noWrap/>
            <w:vAlign w:val="center"/>
            <w:hideMark/>
          </w:tcPr>
          <w:p w14:paraId="426DA8D1"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17,540.22</w:t>
            </w:r>
          </w:p>
        </w:tc>
        <w:tc>
          <w:tcPr>
            <w:tcW w:w="1233" w:type="dxa"/>
            <w:tcBorders>
              <w:top w:val="nil"/>
              <w:left w:val="nil"/>
              <w:bottom w:val="single" w:sz="4" w:space="0" w:color="auto"/>
              <w:right w:val="single" w:sz="4" w:space="0" w:color="auto"/>
            </w:tcBorders>
            <w:shd w:val="clear" w:color="FFFFFF" w:fill="FFFFFF"/>
            <w:noWrap/>
            <w:vAlign w:val="center"/>
            <w:hideMark/>
          </w:tcPr>
          <w:p w14:paraId="03F23C03"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227.70</w:t>
            </w:r>
          </w:p>
        </w:tc>
        <w:tc>
          <w:tcPr>
            <w:tcW w:w="1234" w:type="dxa"/>
            <w:tcBorders>
              <w:top w:val="nil"/>
              <w:left w:val="nil"/>
              <w:bottom w:val="single" w:sz="4" w:space="0" w:color="auto"/>
              <w:right w:val="single" w:sz="4" w:space="0" w:color="auto"/>
            </w:tcBorders>
            <w:shd w:val="clear" w:color="FFFFFF" w:fill="FFFFFF"/>
            <w:noWrap/>
            <w:vAlign w:val="center"/>
            <w:hideMark/>
          </w:tcPr>
          <w:p w14:paraId="7EF4E9A5"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7.43</w:t>
            </w:r>
          </w:p>
        </w:tc>
        <w:tc>
          <w:tcPr>
            <w:tcW w:w="1233" w:type="dxa"/>
            <w:tcBorders>
              <w:top w:val="nil"/>
              <w:left w:val="nil"/>
              <w:bottom w:val="single" w:sz="4" w:space="0" w:color="auto"/>
              <w:right w:val="single" w:sz="4" w:space="0" w:color="auto"/>
            </w:tcBorders>
            <w:shd w:val="clear" w:color="FFFFFF" w:fill="FFFFFF"/>
            <w:noWrap/>
            <w:vAlign w:val="center"/>
            <w:hideMark/>
          </w:tcPr>
          <w:p w14:paraId="14B465BE"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753.25</w:t>
            </w:r>
          </w:p>
        </w:tc>
        <w:tc>
          <w:tcPr>
            <w:tcW w:w="1234" w:type="dxa"/>
            <w:tcBorders>
              <w:top w:val="nil"/>
              <w:left w:val="nil"/>
              <w:bottom w:val="single" w:sz="4" w:space="0" w:color="auto"/>
              <w:right w:val="single" w:sz="4" w:space="0" w:color="auto"/>
            </w:tcBorders>
            <w:shd w:val="clear" w:color="FFFFFF" w:fill="FFFFFF"/>
            <w:noWrap/>
            <w:vAlign w:val="center"/>
            <w:hideMark/>
          </w:tcPr>
          <w:p w14:paraId="67AFD4CE"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10,405.35</w:t>
            </w:r>
          </w:p>
        </w:tc>
        <w:tc>
          <w:tcPr>
            <w:tcW w:w="1233" w:type="dxa"/>
            <w:tcBorders>
              <w:top w:val="nil"/>
              <w:left w:val="nil"/>
              <w:bottom w:val="single" w:sz="4" w:space="0" w:color="auto"/>
              <w:right w:val="single" w:sz="4" w:space="0" w:color="auto"/>
            </w:tcBorders>
            <w:shd w:val="clear" w:color="FFFFFF" w:fill="FFFFFF"/>
            <w:noWrap/>
            <w:vAlign w:val="center"/>
            <w:hideMark/>
          </w:tcPr>
          <w:p w14:paraId="5F83D82C"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159.62</w:t>
            </w:r>
          </w:p>
        </w:tc>
        <w:tc>
          <w:tcPr>
            <w:tcW w:w="1234" w:type="dxa"/>
            <w:tcBorders>
              <w:top w:val="nil"/>
              <w:left w:val="nil"/>
              <w:bottom w:val="single" w:sz="4" w:space="0" w:color="auto"/>
              <w:right w:val="single" w:sz="4" w:space="0" w:color="auto"/>
            </w:tcBorders>
            <w:shd w:val="clear" w:color="FFFFFF" w:fill="FFFFFF"/>
            <w:noWrap/>
            <w:vAlign w:val="center"/>
            <w:hideMark/>
          </w:tcPr>
          <w:p w14:paraId="6008FB0E"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96,062.01</w:t>
            </w:r>
          </w:p>
        </w:tc>
        <w:tc>
          <w:tcPr>
            <w:tcW w:w="1234" w:type="dxa"/>
            <w:tcBorders>
              <w:top w:val="nil"/>
              <w:left w:val="nil"/>
              <w:bottom w:val="single" w:sz="4" w:space="0" w:color="auto"/>
              <w:right w:val="single" w:sz="4" w:space="0" w:color="auto"/>
            </w:tcBorders>
            <w:shd w:val="clear" w:color="FFFFFF" w:fill="FFFFFF"/>
            <w:noWrap/>
            <w:vAlign w:val="center"/>
            <w:hideMark/>
          </w:tcPr>
          <w:p w14:paraId="53943794" w14:textId="5D78AD5D"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123,649.09</w:t>
            </w:r>
          </w:p>
        </w:tc>
      </w:tr>
      <w:tr w:rsidR="00B71246" w:rsidRPr="00AA644C" w14:paraId="2A529FED" w14:textId="77777777" w:rsidTr="003D6FA9">
        <w:trPr>
          <w:trHeight w:val="360"/>
          <w:jc w:val="center"/>
        </w:trPr>
        <w:tc>
          <w:tcPr>
            <w:tcW w:w="0" w:type="auto"/>
            <w:tcBorders>
              <w:top w:val="nil"/>
              <w:left w:val="single" w:sz="4" w:space="0" w:color="000000"/>
              <w:bottom w:val="single" w:sz="4" w:space="0" w:color="auto"/>
              <w:right w:val="single" w:sz="4" w:space="0" w:color="auto"/>
            </w:tcBorders>
            <w:shd w:val="clear" w:color="FFFFFF" w:fill="FFFFFF"/>
            <w:noWrap/>
            <w:vAlign w:val="center"/>
            <w:hideMark/>
          </w:tcPr>
          <w:p w14:paraId="30741EED" w14:textId="77777777" w:rsidR="008E3DBF" w:rsidRPr="00AA644C" w:rsidRDefault="008E3DBF" w:rsidP="00202E1A">
            <w:pPr>
              <w:rPr>
                <w:rFonts w:ascii="Arial" w:hAnsi="Arial" w:cs="Arial"/>
                <w:b/>
                <w:bCs/>
                <w:sz w:val="18"/>
                <w:szCs w:val="18"/>
                <w:lang w:val="en-IN"/>
              </w:rPr>
            </w:pPr>
            <w:r w:rsidRPr="00AA644C">
              <w:rPr>
                <w:rFonts w:ascii="Arial" w:hAnsi="Arial" w:cs="Arial"/>
                <w:b/>
                <w:bCs/>
                <w:sz w:val="18"/>
                <w:szCs w:val="18"/>
                <w:lang w:val="en-IN"/>
              </w:rPr>
              <w:t>Nov</w:t>
            </w:r>
            <w:r>
              <w:rPr>
                <w:rFonts w:ascii="Arial" w:hAnsi="Arial" w:cs="Arial"/>
                <w:b/>
                <w:bCs/>
                <w:sz w:val="18"/>
                <w:szCs w:val="18"/>
                <w:lang w:val="en-IN"/>
              </w:rPr>
              <w:t>ember</w:t>
            </w:r>
            <w:r w:rsidRPr="00AA644C">
              <w:rPr>
                <w:rFonts w:ascii="Arial" w:hAnsi="Arial" w:cs="Arial"/>
                <w:b/>
                <w:bCs/>
                <w:sz w:val="18"/>
                <w:szCs w:val="18"/>
                <w:lang w:val="en-IN"/>
              </w:rPr>
              <w:t xml:space="preserve"> 11, 2016</w:t>
            </w:r>
          </w:p>
        </w:tc>
        <w:tc>
          <w:tcPr>
            <w:tcW w:w="1233" w:type="dxa"/>
            <w:tcBorders>
              <w:top w:val="nil"/>
              <w:left w:val="nil"/>
              <w:bottom w:val="single" w:sz="4" w:space="0" w:color="auto"/>
              <w:right w:val="single" w:sz="4" w:space="0" w:color="auto"/>
            </w:tcBorders>
            <w:shd w:val="clear" w:color="FFFFFF" w:fill="FFFFFF"/>
            <w:noWrap/>
            <w:vAlign w:val="center"/>
            <w:hideMark/>
          </w:tcPr>
          <w:p w14:paraId="71D328E3"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15,265.26</w:t>
            </w:r>
          </w:p>
        </w:tc>
        <w:tc>
          <w:tcPr>
            <w:tcW w:w="1234" w:type="dxa"/>
            <w:tcBorders>
              <w:top w:val="nil"/>
              <w:left w:val="nil"/>
              <w:bottom w:val="single" w:sz="4" w:space="0" w:color="auto"/>
              <w:right w:val="single" w:sz="4" w:space="0" w:color="auto"/>
            </w:tcBorders>
            <w:shd w:val="clear" w:color="FFFFFF" w:fill="FFFFFF"/>
            <w:noWrap/>
            <w:vAlign w:val="center"/>
            <w:hideMark/>
          </w:tcPr>
          <w:p w14:paraId="4CD46E8C"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17,644.51</w:t>
            </w:r>
          </w:p>
        </w:tc>
        <w:tc>
          <w:tcPr>
            <w:tcW w:w="1233" w:type="dxa"/>
            <w:tcBorders>
              <w:top w:val="nil"/>
              <w:left w:val="nil"/>
              <w:bottom w:val="single" w:sz="4" w:space="0" w:color="auto"/>
              <w:right w:val="single" w:sz="4" w:space="0" w:color="auto"/>
            </w:tcBorders>
            <w:shd w:val="clear" w:color="FFFFFF" w:fill="FFFFFF"/>
            <w:noWrap/>
            <w:vAlign w:val="center"/>
            <w:hideMark/>
          </w:tcPr>
          <w:p w14:paraId="0CA1C1DC"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227.70</w:t>
            </w:r>
          </w:p>
        </w:tc>
        <w:tc>
          <w:tcPr>
            <w:tcW w:w="1234" w:type="dxa"/>
            <w:tcBorders>
              <w:top w:val="nil"/>
              <w:left w:val="nil"/>
              <w:bottom w:val="single" w:sz="4" w:space="0" w:color="auto"/>
              <w:right w:val="single" w:sz="4" w:space="0" w:color="auto"/>
            </w:tcBorders>
            <w:shd w:val="clear" w:color="FFFFFF" w:fill="FFFFFF"/>
            <w:noWrap/>
            <w:vAlign w:val="center"/>
            <w:hideMark/>
          </w:tcPr>
          <w:p w14:paraId="3496D5F6"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7.43</w:t>
            </w:r>
          </w:p>
        </w:tc>
        <w:tc>
          <w:tcPr>
            <w:tcW w:w="1233" w:type="dxa"/>
            <w:tcBorders>
              <w:top w:val="nil"/>
              <w:left w:val="nil"/>
              <w:bottom w:val="single" w:sz="4" w:space="0" w:color="auto"/>
              <w:right w:val="single" w:sz="4" w:space="0" w:color="auto"/>
            </w:tcBorders>
            <w:shd w:val="clear" w:color="FFFFFF" w:fill="FFFFFF"/>
            <w:noWrap/>
            <w:vAlign w:val="center"/>
            <w:hideMark/>
          </w:tcPr>
          <w:p w14:paraId="199B0B52"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2,614.38</w:t>
            </w:r>
          </w:p>
        </w:tc>
        <w:tc>
          <w:tcPr>
            <w:tcW w:w="1234" w:type="dxa"/>
            <w:tcBorders>
              <w:top w:val="nil"/>
              <w:left w:val="nil"/>
              <w:bottom w:val="single" w:sz="4" w:space="0" w:color="auto"/>
              <w:right w:val="single" w:sz="4" w:space="0" w:color="auto"/>
            </w:tcBorders>
            <w:shd w:val="clear" w:color="FFFFFF" w:fill="FFFFFF"/>
            <w:noWrap/>
            <w:vAlign w:val="center"/>
            <w:hideMark/>
          </w:tcPr>
          <w:p w14:paraId="6C0E112B"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10,778.92</w:t>
            </w:r>
          </w:p>
        </w:tc>
        <w:tc>
          <w:tcPr>
            <w:tcW w:w="1233" w:type="dxa"/>
            <w:tcBorders>
              <w:top w:val="nil"/>
              <w:left w:val="nil"/>
              <w:bottom w:val="single" w:sz="4" w:space="0" w:color="auto"/>
              <w:right w:val="single" w:sz="4" w:space="0" w:color="auto"/>
            </w:tcBorders>
            <w:shd w:val="clear" w:color="FFFFFF" w:fill="FFFFFF"/>
            <w:noWrap/>
            <w:vAlign w:val="center"/>
            <w:hideMark/>
          </w:tcPr>
          <w:p w14:paraId="72B58A4A"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202.91</w:t>
            </w:r>
          </w:p>
        </w:tc>
        <w:tc>
          <w:tcPr>
            <w:tcW w:w="1234" w:type="dxa"/>
            <w:tcBorders>
              <w:top w:val="nil"/>
              <w:left w:val="nil"/>
              <w:bottom w:val="single" w:sz="4" w:space="0" w:color="auto"/>
              <w:right w:val="single" w:sz="4" w:space="0" w:color="auto"/>
            </w:tcBorders>
            <w:shd w:val="clear" w:color="FFFFFF" w:fill="FFFFFF"/>
            <w:noWrap/>
            <w:vAlign w:val="center"/>
            <w:hideMark/>
          </w:tcPr>
          <w:p w14:paraId="398739D6"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97,566.59</w:t>
            </w:r>
          </w:p>
        </w:tc>
        <w:tc>
          <w:tcPr>
            <w:tcW w:w="1234" w:type="dxa"/>
            <w:tcBorders>
              <w:top w:val="nil"/>
              <w:left w:val="nil"/>
              <w:bottom w:val="single" w:sz="4" w:space="0" w:color="auto"/>
              <w:right w:val="single" w:sz="4" w:space="0" w:color="auto"/>
            </w:tcBorders>
            <w:shd w:val="clear" w:color="FFFFFF" w:fill="FFFFFF"/>
            <w:noWrap/>
            <w:vAlign w:val="center"/>
            <w:hideMark/>
          </w:tcPr>
          <w:p w14:paraId="13C29173" w14:textId="799F9F66"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123,813.68</w:t>
            </w:r>
          </w:p>
        </w:tc>
      </w:tr>
      <w:tr w:rsidR="00B71246" w:rsidRPr="00AA644C" w14:paraId="5DDF29B8" w14:textId="77777777" w:rsidTr="003D6FA9">
        <w:trPr>
          <w:trHeight w:val="360"/>
          <w:jc w:val="center"/>
        </w:trPr>
        <w:tc>
          <w:tcPr>
            <w:tcW w:w="0" w:type="auto"/>
            <w:tcBorders>
              <w:top w:val="nil"/>
              <w:left w:val="single" w:sz="4" w:space="0" w:color="000000"/>
              <w:bottom w:val="single" w:sz="4" w:space="0" w:color="auto"/>
              <w:right w:val="single" w:sz="4" w:space="0" w:color="auto"/>
            </w:tcBorders>
            <w:shd w:val="clear" w:color="FFFFFF" w:fill="FFFFFF"/>
            <w:noWrap/>
            <w:vAlign w:val="center"/>
            <w:hideMark/>
          </w:tcPr>
          <w:p w14:paraId="23078319" w14:textId="77777777" w:rsidR="008E3DBF" w:rsidRPr="00AA644C" w:rsidRDefault="008E3DBF" w:rsidP="00202E1A">
            <w:pPr>
              <w:rPr>
                <w:rFonts w:ascii="Arial" w:hAnsi="Arial" w:cs="Arial"/>
                <w:b/>
                <w:bCs/>
                <w:sz w:val="18"/>
                <w:szCs w:val="18"/>
                <w:lang w:val="en-IN"/>
              </w:rPr>
            </w:pPr>
            <w:r w:rsidRPr="00AA644C">
              <w:rPr>
                <w:rFonts w:ascii="Arial" w:hAnsi="Arial" w:cs="Arial"/>
                <w:b/>
                <w:bCs/>
                <w:sz w:val="18"/>
                <w:szCs w:val="18"/>
                <w:lang w:val="en-IN"/>
              </w:rPr>
              <w:t>Nov</w:t>
            </w:r>
            <w:r>
              <w:rPr>
                <w:rFonts w:ascii="Arial" w:hAnsi="Arial" w:cs="Arial"/>
                <w:b/>
                <w:bCs/>
                <w:sz w:val="18"/>
                <w:szCs w:val="18"/>
                <w:lang w:val="en-IN"/>
              </w:rPr>
              <w:t>ember</w:t>
            </w:r>
            <w:r w:rsidRPr="00AA644C">
              <w:rPr>
                <w:rFonts w:ascii="Arial" w:hAnsi="Arial" w:cs="Arial"/>
                <w:b/>
                <w:bCs/>
                <w:sz w:val="18"/>
                <w:szCs w:val="18"/>
                <w:lang w:val="en-IN"/>
              </w:rPr>
              <w:t xml:space="preserve"> 25, 2016</w:t>
            </w:r>
          </w:p>
        </w:tc>
        <w:tc>
          <w:tcPr>
            <w:tcW w:w="1233" w:type="dxa"/>
            <w:tcBorders>
              <w:top w:val="nil"/>
              <w:left w:val="nil"/>
              <w:bottom w:val="single" w:sz="4" w:space="0" w:color="auto"/>
              <w:right w:val="single" w:sz="4" w:space="0" w:color="auto"/>
            </w:tcBorders>
            <w:shd w:val="clear" w:color="FFFFFF" w:fill="FFFFFF"/>
            <w:noWrap/>
            <w:vAlign w:val="center"/>
            <w:hideMark/>
          </w:tcPr>
          <w:p w14:paraId="723D165E"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9,128.78</w:t>
            </w:r>
          </w:p>
        </w:tc>
        <w:tc>
          <w:tcPr>
            <w:tcW w:w="1234" w:type="dxa"/>
            <w:tcBorders>
              <w:top w:val="nil"/>
              <w:left w:val="nil"/>
              <w:bottom w:val="single" w:sz="4" w:space="0" w:color="auto"/>
              <w:right w:val="single" w:sz="4" w:space="0" w:color="auto"/>
            </w:tcBorders>
            <w:shd w:val="clear" w:color="FFFFFF" w:fill="FFFFFF"/>
            <w:noWrap/>
            <w:vAlign w:val="center"/>
            <w:hideMark/>
          </w:tcPr>
          <w:p w14:paraId="2C900E82"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11,642.37</w:t>
            </w:r>
          </w:p>
        </w:tc>
        <w:tc>
          <w:tcPr>
            <w:tcW w:w="1233" w:type="dxa"/>
            <w:tcBorders>
              <w:top w:val="nil"/>
              <w:left w:val="nil"/>
              <w:bottom w:val="single" w:sz="4" w:space="0" w:color="auto"/>
              <w:right w:val="single" w:sz="4" w:space="0" w:color="auto"/>
            </w:tcBorders>
            <w:shd w:val="clear" w:color="FFFFFF" w:fill="FFFFFF"/>
            <w:noWrap/>
            <w:vAlign w:val="center"/>
            <w:hideMark/>
          </w:tcPr>
          <w:p w14:paraId="2D895C88"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234.38</w:t>
            </w:r>
          </w:p>
        </w:tc>
        <w:tc>
          <w:tcPr>
            <w:tcW w:w="1234" w:type="dxa"/>
            <w:tcBorders>
              <w:top w:val="nil"/>
              <w:left w:val="nil"/>
              <w:bottom w:val="single" w:sz="4" w:space="0" w:color="auto"/>
              <w:right w:val="single" w:sz="4" w:space="0" w:color="auto"/>
            </w:tcBorders>
            <w:shd w:val="clear" w:color="FFFFFF" w:fill="FFFFFF"/>
            <w:noWrap/>
            <w:vAlign w:val="center"/>
            <w:hideMark/>
          </w:tcPr>
          <w:p w14:paraId="09AF95F1"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7.43</w:t>
            </w:r>
          </w:p>
        </w:tc>
        <w:tc>
          <w:tcPr>
            <w:tcW w:w="1233" w:type="dxa"/>
            <w:tcBorders>
              <w:top w:val="nil"/>
              <w:left w:val="nil"/>
              <w:bottom w:val="single" w:sz="4" w:space="0" w:color="auto"/>
              <w:right w:val="single" w:sz="4" w:space="0" w:color="auto"/>
            </w:tcBorders>
            <w:shd w:val="clear" w:color="FFFFFF" w:fill="FFFFFF"/>
            <w:noWrap/>
            <w:vAlign w:val="center"/>
            <w:hideMark/>
          </w:tcPr>
          <w:p w14:paraId="3017EB6F"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2,755.40</w:t>
            </w:r>
          </w:p>
        </w:tc>
        <w:tc>
          <w:tcPr>
            <w:tcW w:w="1234" w:type="dxa"/>
            <w:tcBorders>
              <w:top w:val="nil"/>
              <w:left w:val="nil"/>
              <w:bottom w:val="single" w:sz="4" w:space="0" w:color="auto"/>
              <w:right w:val="single" w:sz="4" w:space="0" w:color="auto"/>
            </w:tcBorders>
            <w:shd w:val="clear" w:color="FFFFFF" w:fill="FFFFFF"/>
            <w:noWrap/>
            <w:vAlign w:val="center"/>
            <w:hideMark/>
          </w:tcPr>
          <w:p w14:paraId="20AFD399"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11,958.59</w:t>
            </w:r>
          </w:p>
        </w:tc>
        <w:tc>
          <w:tcPr>
            <w:tcW w:w="1233" w:type="dxa"/>
            <w:tcBorders>
              <w:top w:val="nil"/>
              <w:left w:val="nil"/>
              <w:bottom w:val="single" w:sz="4" w:space="0" w:color="auto"/>
              <w:right w:val="single" w:sz="4" w:space="0" w:color="auto"/>
            </w:tcBorders>
            <w:shd w:val="clear" w:color="FFFFFF" w:fill="FFFFFF"/>
            <w:noWrap/>
            <w:vAlign w:val="center"/>
            <w:hideMark/>
          </w:tcPr>
          <w:p w14:paraId="145558FF"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150.80</w:t>
            </w:r>
          </w:p>
        </w:tc>
        <w:tc>
          <w:tcPr>
            <w:tcW w:w="1234" w:type="dxa"/>
            <w:tcBorders>
              <w:top w:val="nil"/>
              <w:left w:val="nil"/>
              <w:bottom w:val="single" w:sz="4" w:space="0" w:color="auto"/>
              <w:right w:val="single" w:sz="4" w:space="0" w:color="auto"/>
            </w:tcBorders>
            <w:shd w:val="clear" w:color="FFFFFF" w:fill="FFFFFF"/>
            <w:noWrap/>
            <w:vAlign w:val="center"/>
            <w:hideMark/>
          </w:tcPr>
          <w:p w14:paraId="2943DBE5" w14:textId="7BB30B5B"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100,573.24</w:t>
            </w:r>
          </w:p>
        </w:tc>
        <w:tc>
          <w:tcPr>
            <w:tcW w:w="1234" w:type="dxa"/>
            <w:tcBorders>
              <w:top w:val="nil"/>
              <w:left w:val="nil"/>
              <w:bottom w:val="single" w:sz="4" w:space="0" w:color="auto"/>
              <w:right w:val="single" w:sz="4" w:space="0" w:color="auto"/>
            </w:tcBorders>
            <w:shd w:val="clear" w:color="FFFFFF" w:fill="FFFFFF"/>
            <w:noWrap/>
            <w:vAlign w:val="center"/>
            <w:hideMark/>
          </w:tcPr>
          <w:p w14:paraId="2B57AEF1" w14:textId="1EC7934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121,811.40</w:t>
            </w:r>
          </w:p>
        </w:tc>
      </w:tr>
      <w:tr w:rsidR="00B71246" w:rsidRPr="00AA644C" w14:paraId="483A12BC" w14:textId="77777777" w:rsidTr="003D6FA9">
        <w:trPr>
          <w:trHeight w:val="360"/>
          <w:jc w:val="center"/>
        </w:trPr>
        <w:tc>
          <w:tcPr>
            <w:tcW w:w="0" w:type="auto"/>
            <w:tcBorders>
              <w:top w:val="nil"/>
              <w:left w:val="single" w:sz="4" w:space="0" w:color="000000"/>
              <w:bottom w:val="single" w:sz="4" w:space="0" w:color="auto"/>
              <w:right w:val="single" w:sz="4" w:space="0" w:color="auto"/>
            </w:tcBorders>
            <w:shd w:val="clear" w:color="FFFFFF" w:fill="FFFFFF"/>
            <w:noWrap/>
            <w:vAlign w:val="center"/>
            <w:hideMark/>
          </w:tcPr>
          <w:p w14:paraId="7DBC5557" w14:textId="77777777" w:rsidR="008E3DBF" w:rsidRPr="00AA644C" w:rsidRDefault="008E3DBF" w:rsidP="00202E1A">
            <w:pPr>
              <w:rPr>
                <w:rFonts w:ascii="Arial" w:hAnsi="Arial" w:cs="Arial"/>
                <w:b/>
                <w:bCs/>
                <w:sz w:val="18"/>
                <w:szCs w:val="18"/>
                <w:lang w:val="en-IN"/>
              </w:rPr>
            </w:pPr>
            <w:r w:rsidRPr="00AA644C">
              <w:rPr>
                <w:rFonts w:ascii="Arial" w:hAnsi="Arial" w:cs="Arial"/>
                <w:b/>
                <w:bCs/>
                <w:sz w:val="18"/>
                <w:szCs w:val="18"/>
                <w:lang w:val="en-IN"/>
              </w:rPr>
              <w:t>Dec</w:t>
            </w:r>
            <w:r>
              <w:rPr>
                <w:rFonts w:ascii="Arial" w:hAnsi="Arial" w:cs="Arial"/>
                <w:b/>
                <w:bCs/>
                <w:sz w:val="18"/>
                <w:szCs w:val="18"/>
                <w:lang w:val="en-IN"/>
              </w:rPr>
              <w:t>ember</w:t>
            </w:r>
            <w:r w:rsidRPr="00AA644C">
              <w:rPr>
                <w:rFonts w:ascii="Arial" w:hAnsi="Arial" w:cs="Arial"/>
                <w:b/>
                <w:bCs/>
                <w:sz w:val="18"/>
                <w:szCs w:val="18"/>
                <w:lang w:val="en-IN"/>
              </w:rPr>
              <w:t xml:space="preserve"> 9, 2016</w:t>
            </w:r>
          </w:p>
        </w:tc>
        <w:tc>
          <w:tcPr>
            <w:tcW w:w="1233" w:type="dxa"/>
            <w:tcBorders>
              <w:top w:val="nil"/>
              <w:left w:val="nil"/>
              <w:bottom w:val="single" w:sz="4" w:space="0" w:color="auto"/>
              <w:right w:val="single" w:sz="4" w:space="0" w:color="auto"/>
            </w:tcBorders>
            <w:shd w:val="clear" w:color="FFFFFF" w:fill="FFFFFF"/>
            <w:noWrap/>
            <w:vAlign w:val="center"/>
            <w:hideMark/>
          </w:tcPr>
          <w:p w14:paraId="3D22F6DF"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7,819.18</w:t>
            </w:r>
          </w:p>
        </w:tc>
        <w:tc>
          <w:tcPr>
            <w:tcW w:w="1234" w:type="dxa"/>
            <w:tcBorders>
              <w:top w:val="nil"/>
              <w:left w:val="nil"/>
              <w:bottom w:val="single" w:sz="4" w:space="0" w:color="auto"/>
              <w:right w:val="single" w:sz="4" w:space="0" w:color="auto"/>
            </w:tcBorders>
            <w:shd w:val="clear" w:color="FFFFFF" w:fill="FFFFFF"/>
            <w:noWrap/>
            <w:vAlign w:val="center"/>
            <w:hideMark/>
          </w:tcPr>
          <w:p w14:paraId="0165A40E"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9,576.75</w:t>
            </w:r>
          </w:p>
        </w:tc>
        <w:tc>
          <w:tcPr>
            <w:tcW w:w="1233" w:type="dxa"/>
            <w:tcBorders>
              <w:top w:val="nil"/>
              <w:left w:val="nil"/>
              <w:bottom w:val="single" w:sz="4" w:space="0" w:color="auto"/>
              <w:right w:val="single" w:sz="4" w:space="0" w:color="auto"/>
            </w:tcBorders>
            <w:shd w:val="clear" w:color="FFFFFF" w:fill="FFFFFF"/>
            <w:noWrap/>
            <w:vAlign w:val="center"/>
            <w:hideMark/>
          </w:tcPr>
          <w:p w14:paraId="335354CD"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234.38</w:t>
            </w:r>
          </w:p>
        </w:tc>
        <w:tc>
          <w:tcPr>
            <w:tcW w:w="1234" w:type="dxa"/>
            <w:tcBorders>
              <w:top w:val="nil"/>
              <w:left w:val="nil"/>
              <w:bottom w:val="single" w:sz="4" w:space="0" w:color="auto"/>
              <w:right w:val="single" w:sz="4" w:space="0" w:color="auto"/>
            </w:tcBorders>
            <w:shd w:val="clear" w:color="FFFFFF" w:fill="FFFFFF"/>
            <w:noWrap/>
            <w:vAlign w:val="center"/>
            <w:hideMark/>
          </w:tcPr>
          <w:p w14:paraId="1EE8FA4B"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7.43</w:t>
            </w:r>
          </w:p>
        </w:tc>
        <w:tc>
          <w:tcPr>
            <w:tcW w:w="1233" w:type="dxa"/>
            <w:tcBorders>
              <w:top w:val="nil"/>
              <w:left w:val="nil"/>
              <w:bottom w:val="single" w:sz="4" w:space="0" w:color="auto"/>
              <w:right w:val="single" w:sz="4" w:space="0" w:color="auto"/>
            </w:tcBorders>
            <w:shd w:val="clear" w:color="FFFFFF" w:fill="FFFFFF"/>
            <w:noWrap/>
            <w:vAlign w:val="center"/>
            <w:hideMark/>
          </w:tcPr>
          <w:p w14:paraId="6AD6C89A"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1,999.37</w:t>
            </w:r>
          </w:p>
        </w:tc>
        <w:tc>
          <w:tcPr>
            <w:tcW w:w="1234" w:type="dxa"/>
            <w:tcBorders>
              <w:top w:val="nil"/>
              <w:left w:val="nil"/>
              <w:bottom w:val="single" w:sz="4" w:space="0" w:color="auto"/>
              <w:right w:val="single" w:sz="4" w:space="0" w:color="auto"/>
            </w:tcBorders>
            <w:shd w:val="clear" w:color="FFFFFF" w:fill="FFFFFF"/>
            <w:noWrap/>
            <w:vAlign w:val="center"/>
            <w:hideMark/>
          </w:tcPr>
          <w:p w14:paraId="4CDAAABA"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11,980.94</w:t>
            </w:r>
          </w:p>
        </w:tc>
        <w:tc>
          <w:tcPr>
            <w:tcW w:w="1233" w:type="dxa"/>
            <w:tcBorders>
              <w:top w:val="nil"/>
              <w:left w:val="nil"/>
              <w:bottom w:val="single" w:sz="4" w:space="0" w:color="auto"/>
              <w:right w:val="single" w:sz="4" w:space="0" w:color="auto"/>
            </w:tcBorders>
            <w:shd w:val="clear" w:color="FFFFFF" w:fill="FFFFFF"/>
            <w:noWrap/>
            <w:vAlign w:val="center"/>
            <w:hideMark/>
          </w:tcPr>
          <w:p w14:paraId="7BD47DA7"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154.17</w:t>
            </w:r>
          </w:p>
        </w:tc>
        <w:tc>
          <w:tcPr>
            <w:tcW w:w="1234" w:type="dxa"/>
            <w:tcBorders>
              <w:top w:val="nil"/>
              <w:left w:val="nil"/>
              <w:bottom w:val="single" w:sz="4" w:space="0" w:color="auto"/>
              <w:right w:val="single" w:sz="4" w:space="0" w:color="auto"/>
            </w:tcBorders>
            <w:shd w:val="clear" w:color="FFFFFF" w:fill="FFFFFF"/>
            <w:noWrap/>
            <w:vAlign w:val="center"/>
            <w:hideMark/>
          </w:tcPr>
          <w:p w14:paraId="21E578F0" w14:textId="6969CFF3"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101,297.64</w:t>
            </w:r>
          </w:p>
        </w:tc>
        <w:tc>
          <w:tcPr>
            <w:tcW w:w="1234" w:type="dxa"/>
            <w:tcBorders>
              <w:top w:val="nil"/>
              <w:left w:val="nil"/>
              <w:bottom w:val="single" w:sz="4" w:space="0" w:color="auto"/>
              <w:right w:val="single" w:sz="4" w:space="0" w:color="auto"/>
            </w:tcBorders>
            <w:shd w:val="clear" w:color="FFFFFF" w:fill="FFFFFF"/>
            <w:noWrap/>
            <w:vAlign w:val="center"/>
            <w:hideMark/>
          </w:tcPr>
          <w:p w14:paraId="7B5D6008" w14:textId="1B5B9038"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121,251.93</w:t>
            </w:r>
          </w:p>
        </w:tc>
      </w:tr>
      <w:tr w:rsidR="00B71246" w:rsidRPr="00AA644C" w14:paraId="7F77C001" w14:textId="77777777" w:rsidTr="003D6FA9">
        <w:trPr>
          <w:trHeight w:val="360"/>
          <w:jc w:val="center"/>
        </w:trPr>
        <w:tc>
          <w:tcPr>
            <w:tcW w:w="0" w:type="auto"/>
            <w:tcBorders>
              <w:top w:val="nil"/>
              <w:left w:val="single" w:sz="4" w:space="0" w:color="000000"/>
              <w:bottom w:val="single" w:sz="4" w:space="0" w:color="auto"/>
              <w:right w:val="single" w:sz="4" w:space="0" w:color="auto"/>
            </w:tcBorders>
            <w:shd w:val="clear" w:color="FFFFFF" w:fill="FFFFFF"/>
            <w:noWrap/>
            <w:vAlign w:val="center"/>
            <w:hideMark/>
          </w:tcPr>
          <w:p w14:paraId="69728610" w14:textId="77777777" w:rsidR="008E3DBF" w:rsidRPr="00AA644C" w:rsidRDefault="008E3DBF" w:rsidP="00202E1A">
            <w:pPr>
              <w:rPr>
                <w:rFonts w:ascii="Arial" w:hAnsi="Arial" w:cs="Arial"/>
                <w:b/>
                <w:bCs/>
                <w:sz w:val="18"/>
                <w:szCs w:val="18"/>
                <w:lang w:val="en-IN"/>
              </w:rPr>
            </w:pPr>
            <w:r w:rsidRPr="00AA644C">
              <w:rPr>
                <w:rFonts w:ascii="Arial" w:hAnsi="Arial" w:cs="Arial"/>
                <w:b/>
                <w:bCs/>
                <w:sz w:val="18"/>
                <w:szCs w:val="18"/>
                <w:lang w:val="en-IN"/>
              </w:rPr>
              <w:t>Dec</w:t>
            </w:r>
            <w:r>
              <w:rPr>
                <w:rFonts w:ascii="Arial" w:hAnsi="Arial" w:cs="Arial"/>
                <w:b/>
                <w:bCs/>
                <w:sz w:val="18"/>
                <w:szCs w:val="18"/>
                <w:lang w:val="en-IN"/>
              </w:rPr>
              <w:t>ember</w:t>
            </w:r>
            <w:r w:rsidRPr="00AA644C">
              <w:rPr>
                <w:rFonts w:ascii="Arial" w:hAnsi="Arial" w:cs="Arial"/>
                <w:b/>
                <w:bCs/>
                <w:sz w:val="18"/>
                <w:szCs w:val="18"/>
                <w:lang w:val="en-IN"/>
              </w:rPr>
              <w:t xml:space="preserve"> 23, 2016</w:t>
            </w:r>
          </w:p>
        </w:tc>
        <w:tc>
          <w:tcPr>
            <w:tcW w:w="1233" w:type="dxa"/>
            <w:tcBorders>
              <w:top w:val="nil"/>
              <w:left w:val="nil"/>
              <w:bottom w:val="single" w:sz="4" w:space="0" w:color="auto"/>
              <w:right w:val="single" w:sz="4" w:space="0" w:color="auto"/>
            </w:tcBorders>
            <w:shd w:val="clear" w:color="FFFFFF" w:fill="FFFFFF"/>
            <w:noWrap/>
            <w:vAlign w:val="center"/>
            <w:hideMark/>
          </w:tcPr>
          <w:p w14:paraId="698E0FD1"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7,843.12</w:t>
            </w:r>
          </w:p>
        </w:tc>
        <w:tc>
          <w:tcPr>
            <w:tcW w:w="1234" w:type="dxa"/>
            <w:tcBorders>
              <w:top w:val="nil"/>
              <w:left w:val="nil"/>
              <w:bottom w:val="single" w:sz="4" w:space="0" w:color="auto"/>
              <w:right w:val="single" w:sz="4" w:space="0" w:color="auto"/>
            </w:tcBorders>
            <w:shd w:val="clear" w:color="FFFFFF" w:fill="FFFFFF"/>
            <w:noWrap/>
            <w:vAlign w:val="center"/>
            <w:hideMark/>
          </w:tcPr>
          <w:p w14:paraId="0A01B65F"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9,185.94</w:t>
            </w:r>
          </w:p>
        </w:tc>
        <w:tc>
          <w:tcPr>
            <w:tcW w:w="1233" w:type="dxa"/>
            <w:tcBorders>
              <w:top w:val="nil"/>
              <w:left w:val="nil"/>
              <w:bottom w:val="single" w:sz="4" w:space="0" w:color="auto"/>
              <w:right w:val="single" w:sz="4" w:space="0" w:color="auto"/>
            </w:tcBorders>
            <w:shd w:val="clear" w:color="FFFFFF" w:fill="FFFFFF"/>
            <w:noWrap/>
            <w:vAlign w:val="center"/>
            <w:hideMark/>
          </w:tcPr>
          <w:p w14:paraId="7EBE0E22"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238.72</w:t>
            </w:r>
          </w:p>
        </w:tc>
        <w:tc>
          <w:tcPr>
            <w:tcW w:w="1234" w:type="dxa"/>
            <w:tcBorders>
              <w:top w:val="nil"/>
              <w:left w:val="nil"/>
              <w:bottom w:val="single" w:sz="4" w:space="0" w:color="auto"/>
              <w:right w:val="single" w:sz="4" w:space="0" w:color="auto"/>
            </w:tcBorders>
            <w:shd w:val="clear" w:color="FFFFFF" w:fill="FFFFFF"/>
            <w:noWrap/>
            <w:vAlign w:val="center"/>
            <w:hideMark/>
          </w:tcPr>
          <w:p w14:paraId="5C313452"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7.43</w:t>
            </w:r>
          </w:p>
        </w:tc>
        <w:tc>
          <w:tcPr>
            <w:tcW w:w="1233" w:type="dxa"/>
            <w:tcBorders>
              <w:top w:val="nil"/>
              <w:left w:val="nil"/>
              <w:bottom w:val="single" w:sz="4" w:space="0" w:color="auto"/>
              <w:right w:val="single" w:sz="4" w:space="0" w:color="auto"/>
            </w:tcBorders>
            <w:shd w:val="clear" w:color="FFFFFF" w:fill="FFFFFF"/>
            <w:noWrap/>
            <w:vAlign w:val="center"/>
            <w:hideMark/>
          </w:tcPr>
          <w:p w14:paraId="66B1254C"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1,588.97</w:t>
            </w:r>
          </w:p>
        </w:tc>
        <w:tc>
          <w:tcPr>
            <w:tcW w:w="1234" w:type="dxa"/>
            <w:tcBorders>
              <w:top w:val="nil"/>
              <w:left w:val="nil"/>
              <w:bottom w:val="single" w:sz="4" w:space="0" w:color="auto"/>
              <w:right w:val="single" w:sz="4" w:space="0" w:color="auto"/>
            </w:tcBorders>
            <w:shd w:val="clear" w:color="FFFFFF" w:fill="FFFFFF"/>
            <w:noWrap/>
            <w:vAlign w:val="center"/>
            <w:hideMark/>
          </w:tcPr>
          <w:p w14:paraId="34F0C9F3"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12,008.91</w:t>
            </w:r>
          </w:p>
        </w:tc>
        <w:tc>
          <w:tcPr>
            <w:tcW w:w="1233" w:type="dxa"/>
            <w:tcBorders>
              <w:top w:val="nil"/>
              <w:left w:val="nil"/>
              <w:bottom w:val="single" w:sz="4" w:space="0" w:color="auto"/>
              <w:right w:val="single" w:sz="4" w:space="0" w:color="auto"/>
            </w:tcBorders>
            <w:shd w:val="clear" w:color="FFFFFF" w:fill="FFFFFF"/>
            <w:noWrap/>
            <w:vAlign w:val="center"/>
            <w:hideMark/>
          </w:tcPr>
          <w:p w14:paraId="148033FD" w14:textId="77777777"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152.60</w:t>
            </w:r>
          </w:p>
        </w:tc>
        <w:tc>
          <w:tcPr>
            <w:tcW w:w="1234" w:type="dxa"/>
            <w:tcBorders>
              <w:top w:val="nil"/>
              <w:left w:val="nil"/>
              <w:bottom w:val="single" w:sz="4" w:space="0" w:color="auto"/>
              <w:right w:val="single" w:sz="4" w:space="0" w:color="auto"/>
            </w:tcBorders>
            <w:shd w:val="clear" w:color="FFFFFF" w:fill="FFFFFF"/>
            <w:noWrap/>
            <w:vAlign w:val="center"/>
            <w:hideMark/>
          </w:tcPr>
          <w:p w14:paraId="15573A0B" w14:textId="22B88040"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100,501.86</w:t>
            </w:r>
          </w:p>
        </w:tc>
        <w:tc>
          <w:tcPr>
            <w:tcW w:w="1234" w:type="dxa"/>
            <w:tcBorders>
              <w:top w:val="nil"/>
              <w:left w:val="nil"/>
              <w:bottom w:val="single" w:sz="4" w:space="0" w:color="auto"/>
              <w:right w:val="single" w:sz="4" w:space="0" w:color="auto"/>
            </w:tcBorders>
            <w:shd w:val="clear" w:color="FFFFFF" w:fill="FFFFFF"/>
            <w:noWrap/>
            <w:vAlign w:val="center"/>
            <w:hideMark/>
          </w:tcPr>
          <w:p w14:paraId="4E5A7643" w14:textId="1B1CCACE" w:rsidR="008E3DBF" w:rsidRPr="00AA644C" w:rsidRDefault="008E3DBF" w:rsidP="00202E1A">
            <w:pPr>
              <w:jc w:val="right"/>
              <w:rPr>
                <w:rFonts w:ascii="Arial" w:hAnsi="Arial" w:cs="Arial"/>
                <w:sz w:val="18"/>
                <w:szCs w:val="18"/>
                <w:lang w:val="en-IN"/>
              </w:rPr>
            </w:pPr>
            <w:r w:rsidRPr="00AA644C">
              <w:rPr>
                <w:rFonts w:ascii="Arial" w:hAnsi="Arial" w:cs="Arial"/>
                <w:sz w:val="18"/>
                <w:szCs w:val="18"/>
                <w:lang w:val="en-IN"/>
              </w:rPr>
              <w:t>120,506.50</w:t>
            </w:r>
          </w:p>
        </w:tc>
      </w:tr>
      <w:tr w:rsidR="00B71246" w:rsidRPr="00AA644C" w14:paraId="2D044A36" w14:textId="77777777" w:rsidTr="003D6FA9">
        <w:trPr>
          <w:trHeight w:val="360"/>
          <w:jc w:val="center"/>
        </w:trPr>
        <w:tc>
          <w:tcPr>
            <w:tcW w:w="0" w:type="auto"/>
            <w:tcBorders>
              <w:top w:val="nil"/>
              <w:left w:val="single" w:sz="4" w:space="0" w:color="000000"/>
              <w:bottom w:val="single" w:sz="4" w:space="0" w:color="auto"/>
              <w:right w:val="single" w:sz="4" w:space="0" w:color="auto"/>
            </w:tcBorders>
            <w:shd w:val="clear" w:color="FFFFFF" w:fill="FFFFFF"/>
            <w:noWrap/>
            <w:vAlign w:val="center"/>
            <w:hideMark/>
          </w:tcPr>
          <w:p w14:paraId="35A36CF6" w14:textId="20B6051F" w:rsidR="00E343B7" w:rsidRPr="00AA644C" w:rsidRDefault="00E343B7" w:rsidP="004E1154">
            <w:pPr>
              <w:rPr>
                <w:rFonts w:ascii="Arial" w:hAnsi="Arial" w:cs="Arial"/>
                <w:b/>
                <w:bCs/>
                <w:sz w:val="18"/>
                <w:szCs w:val="18"/>
                <w:lang w:val="en-IN"/>
              </w:rPr>
            </w:pPr>
            <w:r w:rsidRPr="00AA644C">
              <w:rPr>
                <w:rFonts w:ascii="Arial" w:hAnsi="Arial" w:cs="Arial"/>
                <w:b/>
                <w:bCs/>
                <w:sz w:val="18"/>
                <w:szCs w:val="18"/>
                <w:lang w:val="en-IN"/>
              </w:rPr>
              <w:t>Jan</w:t>
            </w:r>
            <w:r w:rsidR="008E3DBF">
              <w:rPr>
                <w:rFonts w:ascii="Arial" w:hAnsi="Arial" w:cs="Arial"/>
                <w:b/>
                <w:bCs/>
                <w:sz w:val="18"/>
                <w:szCs w:val="18"/>
                <w:lang w:val="en-IN"/>
              </w:rPr>
              <w:t>uary</w:t>
            </w:r>
            <w:r w:rsidRPr="00AA644C">
              <w:rPr>
                <w:rFonts w:ascii="Arial" w:hAnsi="Arial" w:cs="Arial"/>
                <w:b/>
                <w:bCs/>
                <w:sz w:val="18"/>
                <w:szCs w:val="18"/>
                <w:lang w:val="en-IN"/>
              </w:rPr>
              <w:t xml:space="preserve"> 6, 2017</w:t>
            </w:r>
          </w:p>
        </w:tc>
        <w:tc>
          <w:tcPr>
            <w:tcW w:w="1233" w:type="dxa"/>
            <w:tcBorders>
              <w:top w:val="nil"/>
              <w:left w:val="nil"/>
              <w:bottom w:val="single" w:sz="4" w:space="0" w:color="auto"/>
              <w:right w:val="single" w:sz="4" w:space="0" w:color="auto"/>
            </w:tcBorders>
            <w:shd w:val="clear" w:color="FFFFFF" w:fill="FFFFFF"/>
            <w:noWrap/>
            <w:vAlign w:val="center"/>
            <w:hideMark/>
          </w:tcPr>
          <w:p w14:paraId="5997EB1D" w14:textId="77777777" w:rsidR="00E343B7" w:rsidRPr="00AA644C" w:rsidRDefault="00E343B7" w:rsidP="004E1154">
            <w:pPr>
              <w:jc w:val="right"/>
              <w:rPr>
                <w:rFonts w:ascii="Arial" w:hAnsi="Arial" w:cs="Arial"/>
                <w:sz w:val="18"/>
                <w:szCs w:val="18"/>
                <w:lang w:val="en-IN"/>
              </w:rPr>
            </w:pPr>
            <w:r w:rsidRPr="00AA644C">
              <w:rPr>
                <w:rFonts w:ascii="Arial" w:hAnsi="Arial" w:cs="Arial"/>
                <w:sz w:val="18"/>
                <w:szCs w:val="18"/>
                <w:lang w:val="en-IN"/>
              </w:rPr>
              <w:t>8,112.31</w:t>
            </w:r>
          </w:p>
        </w:tc>
        <w:tc>
          <w:tcPr>
            <w:tcW w:w="1234" w:type="dxa"/>
            <w:tcBorders>
              <w:top w:val="nil"/>
              <w:left w:val="nil"/>
              <w:bottom w:val="single" w:sz="4" w:space="0" w:color="auto"/>
              <w:right w:val="single" w:sz="4" w:space="0" w:color="auto"/>
            </w:tcBorders>
            <w:shd w:val="clear" w:color="FFFFFF" w:fill="FFFFFF"/>
            <w:noWrap/>
            <w:vAlign w:val="center"/>
            <w:hideMark/>
          </w:tcPr>
          <w:p w14:paraId="342397E5" w14:textId="77777777" w:rsidR="00E343B7" w:rsidRPr="00AA644C" w:rsidRDefault="00E343B7" w:rsidP="004E1154">
            <w:pPr>
              <w:jc w:val="right"/>
              <w:rPr>
                <w:rFonts w:ascii="Arial" w:hAnsi="Arial" w:cs="Arial"/>
                <w:sz w:val="18"/>
                <w:szCs w:val="18"/>
                <w:lang w:val="en-IN"/>
              </w:rPr>
            </w:pPr>
            <w:r w:rsidRPr="00AA644C">
              <w:rPr>
                <w:rFonts w:ascii="Arial" w:hAnsi="Arial" w:cs="Arial"/>
                <w:sz w:val="18"/>
                <w:szCs w:val="18"/>
                <w:lang w:val="en-IN"/>
              </w:rPr>
              <w:t>8,734.02</w:t>
            </w:r>
          </w:p>
        </w:tc>
        <w:tc>
          <w:tcPr>
            <w:tcW w:w="1233" w:type="dxa"/>
            <w:tcBorders>
              <w:top w:val="nil"/>
              <w:left w:val="nil"/>
              <w:bottom w:val="single" w:sz="4" w:space="0" w:color="auto"/>
              <w:right w:val="single" w:sz="4" w:space="0" w:color="auto"/>
            </w:tcBorders>
            <w:shd w:val="clear" w:color="FFFFFF" w:fill="FFFFFF"/>
            <w:noWrap/>
            <w:vAlign w:val="center"/>
            <w:hideMark/>
          </w:tcPr>
          <w:p w14:paraId="5486F64B" w14:textId="77777777" w:rsidR="00E343B7" w:rsidRPr="00AA644C" w:rsidRDefault="00E343B7" w:rsidP="004E1154">
            <w:pPr>
              <w:jc w:val="right"/>
              <w:rPr>
                <w:rFonts w:ascii="Arial" w:hAnsi="Arial" w:cs="Arial"/>
                <w:sz w:val="18"/>
                <w:szCs w:val="18"/>
                <w:lang w:val="en-IN"/>
              </w:rPr>
            </w:pPr>
            <w:r w:rsidRPr="00AA644C">
              <w:rPr>
                <w:rFonts w:ascii="Arial" w:hAnsi="Arial" w:cs="Arial"/>
                <w:sz w:val="18"/>
                <w:szCs w:val="18"/>
                <w:lang w:val="en-IN"/>
              </w:rPr>
              <w:t>238.72</w:t>
            </w:r>
          </w:p>
        </w:tc>
        <w:tc>
          <w:tcPr>
            <w:tcW w:w="1234" w:type="dxa"/>
            <w:tcBorders>
              <w:top w:val="nil"/>
              <w:left w:val="nil"/>
              <w:bottom w:val="single" w:sz="4" w:space="0" w:color="auto"/>
              <w:right w:val="single" w:sz="4" w:space="0" w:color="auto"/>
            </w:tcBorders>
            <w:shd w:val="clear" w:color="FFFFFF" w:fill="FFFFFF"/>
            <w:noWrap/>
            <w:vAlign w:val="center"/>
            <w:hideMark/>
          </w:tcPr>
          <w:p w14:paraId="58A38DBC" w14:textId="77777777" w:rsidR="00E343B7" w:rsidRPr="00AA644C" w:rsidRDefault="00E343B7" w:rsidP="004E1154">
            <w:pPr>
              <w:jc w:val="right"/>
              <w:rPr>
                <w:rFonts w:ascii="Arial" w:hAnsi="Arial" w:cs="Arial"/>
                <w:sz w:val="18"/>
                <w:szCs w:val="18"/>
                <w:lang w:val="en-IN"/>
              </w:rPr>
            </w:pPr>
            <w:r w:rsidRPr="00AA644C">
              <w:rPr>
                <w:rFonts w:ascii="Arial" w:hAnsi="Arial" w:cs="Arial"/>
                <w:sz w:val="18"/>
                <w:szCs w:val="18"/>
                <w:lang w:val="en-IN"/>
              </w:rPr>
              <w:t>7.43</w:t>
            </w:r>
          </w:p>
        </w:tc>
        <w:tc>
          <w:tcPr>
            <w:tcW w:w="1233" w:type="dxa"/>
            <w:tcBorders>
              <w:top w:val="nil"/>
              <w:left w:val="nil"/>
              <w:bottom w:val="single" w:sz="4" w:space="0" w:color="auto"/>
              <w:right w:val="single" w:sz="4" w:space="0" w:color="auto"/>
            </w:tcBorders>
            <w:shd w:val="clear" w:color="FFFFFF" w:fill="FFFFFF"/>
            <w:noWrap/>
            <w:vAlign w:val="center"/>
            <w:hideMark/>
          </w:tcPr>
          <w:p w14:paraId="1581541E" w14:textId="77777777" w:rsidR="00E343B7" w:rsidRPr="00AA644C" w:rsidRDefault="00E343B7" w:rsidP="004E1154">
            <w:pPr>
              <w:jc w:val="right"/>
              <w:rPr>
                <w:rFonts w:ascii="Arial" w:hAnsi="Arial" w:cs="Arial"/>
                <w:sz w:val="18"/>
                <w:szCs w:val="18"/>
                <w:lang w:val="en-IN"/>
              </w:rPr>
            </w:pPr>
            <w:r w:rsidRPr="00AA644C">
              <w:rPr>
                <w:rFonts w:ascii="Arial" w:hAnsi="Arial" w:cs="Arial"/>
                <w:sz w:val="18"/>
                <w:szCs w:val="18"/>
                <w:lang w:val="en-IN"/>
              </w:rPr>
              <w:t>867.86</w:t>
            </w:r>
          </w:p>
        </w:tc>
        <w:tc>
          <w:tcPr>
            <w:tcW w:w="1234" w:type="dxa"/>
            <w:tcBorders>
              <w:top w:val="nil"/>
              <w:left w:val="nil"/>
              <w:bottom w:val="single" w:sz="4" w:space="0" w:color="auto"/>
              <w:right w:val="single" w:sz="4" w:space="0" w:color="auto"/>
            </w:tcBorders>
            <w:shd w:val="clear" w:color="FFFFFF" w:fill="FFFFFF"/>
            <w:noWrap/>
            <w:vAlign w:val="center"/>
            <w:hideMark/>
          </w:tcPr>
          <w:p w14:paraId="1D84CF2E" w14:textId="77777777" w:rsidR="00E343B7" w:rsidRPr="00AA644C" w:rsidRDefault="00E343B7" w:rsidP="004E1154">
            <w:pPr>
              <w:jc w:val="right"/>
              <w:rPr>
                <w:rFonts w:ascii="Arial" w:hAnsi="Arial" w:cs="Arial"/>
                <w:sz w:val="18"/>
                <w:szCs w:val="18"/>
                <w:lang w:val="en-IN"/>
              </w:rPr>
            </w:pPr>
            <w:r w:rsidRPr="00AA644C">
              <w:rPr>
                <w:rFonts w:ascii="Arial" w:hAnsi="Arial" w:cs="Arial"/>
                <w:sz w:val="18"/>
                <w:szCs w:val="18"/>
                <w:lang w:val="en-IN"/>
              </w:rPr>
              <w:t>11,947.03</w:t>
            </w:r>
          </w:p>
        </w:tc>
        <w:tc>
          <w:tcPr>
            <w:tcW w:w="1233" w:type="dxa"/>
            <w:tcBorders>
              <w:top w:val="nil"/>
              <w:left w:val="nil"/>
              <w:bottom w:val="single" w:sz="4" w:space="0" w:color="auto"/>
              <w:right w:val="single" w:sz="4" w:space="0" w:color="auto"/>
            </w:tcBorders>
            <w:shd w:val="clear" w:color="FFFFFF" w:fill="FFFFFF"/>
            <w:noWrap/>
            <w:vAlign w:val="center"/>
            <w:hideMark/>
          </w:tcPr>
          <w:p w14:paraId="0B0CC7BE" w14:textId="77777777" w:rsidR="00E343B7" w:rsidRPr="00AA644C" w:rsidRDefault="00E343B7" w:rsidP="004E1154">
            <w:pPr>
              <w:jc w:val="right"/>
              <w:rPr>
                <w:rFonts w:ascii="Arial" w:hAnsi="Arial" w:cs="Arial"/>
                <w:sz w:val="18"/>
                <w:szCs w:val="18"/>
                <w:lang w:val="en-IN"/>
              </w:rPr>
            </w:pPr>
            <w:r w:rsidRPr="00AA644C">
              <w:rPr>
                <w:rFonts w:ascii="Arial" w:hAnsi="Arial" w:cs="Arial"/>
                <w:sz w:val="18"/>
                <w:szCs w:val="18"/>
                <w:lang w:val="en-IN"/>
              </w:rPr>
              <w:t>155.46</w:t>
            </w:r>
          </w:p>
        </w:tc>
        <w:tc>
          <w:tcPr>
            <w:tcW w:w="1234" w:type="dxa"/>
            <w:tcBorders>
              <w:top w:val="nil"/>
              <w:left w:val="nil"/>
              <w:bottom w:val="single" w:sz="4" w:space="0" w:color="auto"/>
              <w:right w:val="single" w:sz="4" w:space="0" w:color="auto"/>
            </w:tcBorders>
            <w:shd w:val="clear" w:color="FFFFFF" w:fill="FFFFFF"/>
            <w:noWrap/>
            <w:vAlign w:val="center"/>
            <w:hideMark/>
          </w:tcPr>
          <w:p w14:paraId="04578810" w14:textId="3A9CF31D" w:rsidR="00E343B7" w:rsidRPr="00AA644C" w:rsidRDefault="00E343B7" w:rsidP="004E1154">
            <w:pPr>
              <w:jc w:val="right"/>
              <w:rPr>
                <w:rFonts w:ascii="Arial" w:hAnsi="Arial" w:cs="Arial"/>
                <w:sz w:val="18"/>
                <w:szCs w:val="18"/>
                <w:lang w:val="en-IN"/>
              </w:rPr>
            </w:pPr>
            <w:r w:rsidRPr="00AA644C">
              <w:rPr>
                <w:rFonts w:ascii="Arial" w:hAnsi="Arial" w:cs="Arial"/>
                <w:sz w:val="18"/>
                <w:szCs w:val="18"/>
                <w:lang w:val="en-IN"/>
              </w:rPr>
              <w:t>101,237.31</w:t>
            </w:r>
          </w:p>
        </w:tc>
        <w:tc>
          <w:tcPr>
            <w:tcW w:w="1234" w:type="dxa"/>
            <w:tcBorders>
              <w:top w:val="nil"/>
              <w:left w:val="nil"/>
              <w:bottom w:val="single" w:sz="4" w:space="0" w:color="auto"/>
              <w:right w:val="single" w:sz="4" w:space="0" w:color="auto"/>
            </w:tcBorders>
            <w:shd w:val="clear" w:color="FFFFFF" w:fill="FFFFFF"/>
            <w:noWrap/>
            <w:vAlign w:val="center"/>
            <w:hideMark/>
          </w:tcPr>
          <w:p w14:paraId="2D0B7E98" w14:textId="322774CE" w:rsidR="00E343B7" w:rsidRPr="00AA644C" w:rsidRDefault="00E343B7" w:rsidP="004E1154">
            <w:pPr>
              <w:jc w:val="right"/>
              <w:rPr>
                <w:rFonts w:ascii="Arial" w:hAnsi="Arial" w:cs="Arial"/>
                <w:sz w:val="18"/>
                <w:szCs w:val="18"/>
                <w:lang w:val="en-IN"/>
              </w:rPr>
            </w:pPr>
            <w:r w:rsidRPr="00AA644C">
              <w:rPr>
                <w:rFonts w:ascii="Arial" w:hAnsi="Arial" w:cs="Arial"/>
                <w:sz w:val="18"/>
                <w:szCs w:val="18"/>
                <w:lang w:val="en-IN"/>
              </w:rPr>
              <w:t>121,452.12</w:t>
            </w:r>
          </w:p>
        </w:tc>
      </w:tr>
    </w:tbl>
    <w:p w14:paraId="4324A3B2" w14:textId="77777777" w:rsidR="00DE7AF6" w:rsidRDefault="00DE7AF6" w:rsidP="002641B0">
      <w:pPr>
        <w:pStyle w:val="Footnote"/>
      </w:pPr>
    </w:p>
    <w:p w14:paraId="70303ECE" w14:textId="59BC4AA5" w:rsidR="008E3DBF" w:rsidRPr="002641B0" w:rsidRDefault="008E3DBF" w:rsidP="00314917">
      <w:pPr>
        <w:pStyle w:val="Footnote"/>
        <w:rPr>
          <w:spacing w:val="-2"/>
        </w:rPr>
      </w:pPr>
      <w:r w:rsidRPr="002641B0">
        <w:rPr>
          <w:spacing w:val="-2"/>
        </w:rPr>
        <w:t xml:space="preserve">Note: </w:t>
      </w:r>
      <w:r w:rsidR="00B71246" w:rsidRPr="002641B0">
        <w:rPr>
          <w:spacing w:val="-2"/>
        </w:rPr>
        <w:t xml:space="preserve">* Currency with the Public = 1.1 + 1.2 + 1.3 – 1.4; ** </w:t>
      </w:r>
      <w:r w:rsidRPr="002641B0">
        <w:rPr>
          <w:spacing w:val="-2"/>
        </w:rPr>
        <w:t xml:space="preserve">M3 </w:t>
      </w:r>
      <w:r w:rsidR="00EC6F5F" w:rsidRPr="002641B0">
        <w:rPr>
          <w:spacing w:val="-2"/>
        </w:rPr>
        <w:t xml:space="preserve">(broad money supply) </w:t>
      </w:r>
      <w:r w:rsidRPr="002641B0">
        <w:rPr>
          <w:spacing w:val="-2"/>
        </w:rPr>
        <w:t xml:space="preserve">= </w:t>
      </w:r>
      <w:r w:rsidR="00B71246" w:rsidRPr="002641B0">
        <w:rPr>
          <w:spacing w:val="-2"/>
        </w:rPr>
        <w:t>1 + 2 + 3 + 4</w:t>
      </w:r>
      <w:r w:rsidR="0026265F">
        <w:rPr>
          <w:spacing w:val="-2"/>
        </w:rPr>
        <w:t xml:space="preserve">; </w:t>
      </w:r>
      <w:r w:rsidR="0026265F">
        <w:t>US$1 = ₹66.4, and ₹1 = US$0.0151 on November 8, 2016</w:t>
      </w:r>
      <w:r w:rsidR="00B71246" w:rsidRPr="002641B0">
        <w:rPr>
          <w:spacing w:val="-2"/>
        </w:rPr>
        <w:t>.</w:t>
      </w:r>
    </w:p>
    <w:p w14:paraId="6B00C18B" w14:textId="1CF2314A" w:rsidR="00E343B7" w:rsidRPr="002641B0" w:rsidRDefault="00E343B7" w:rsidP="00314917">
      <w:pPr>
        <w:pStyle w:val="Footnote"/>
        <w:rPr>
          <w:spacing w:val="-2"/>
        </w:rPr>
      </w:pPr>
      <w:r w:rsidRPr="002641B0">
        <w:rPr>
          <w:spacing w:val="-2"/>
        </w:rPr>
        <w:t xml:space="preserve">Source: </w:t>
      </w:r>
      <w:r w:rsidR="00D0450C">
        <w:rPr>
          <w:spacing w:val="-2"/>
        </w:rPr>
        <w:t xml:space="preserve">Reserve Bank of India, </w:t>
      </w:r>
      <w:r w:rsidR="000D74E3" w:rsidRPr="002641B0">
        <w:rPr>
          <w:spacing w:val="-2"/>
        </w:rPr>
        <w:t xml:space="preserve">“Database on Indian Economy: Weekly Statistical Supplement,” accessed November 6, 2017, </w:t>
      </w:r>
      <w:r w:rsidRPr="002641B0">
        <w:rPr>
          <w:spacing w:val="-2"/>
        </w:rPr>
        <w:t>https://dbie.rbi.org.in/DBIE/dbie.rbi?site=publications</w:t>
      </w:r>
      <w:r w:rsidR="00B71246" w:rsidRPr="002641B0">
        <w:rPr>
          <w:spacing w:val="-2"/>
        </w:rPr>
        <w:t>.</w:t>
      </w:r>
    </w:p>
    <w:p w14:paraId="0E94FA4A" w14:textId="77777777" w:rsidR="00B64CDA" w:rsidRDefault="00B64CDA" w:rsidP="00916E8C">
      <w:pPr>
        <w:pStyle w:val="Footnote"/>
      </w:pPr>
    </w:p>
    <w:p w14:paraId="3B5B8823" w14:textId="77777777" w:rsidR="00916E8C" w:rsidRDefault="00916E8C" w:rsidP="00916E8C">
      <w:pPr>
        <w:pStyle w:val="Footnote"/>
      </w:pPr>
    </w:p>
    <w:p w14:paraId="09779A63" w14:textId="1259A7FF" w:rsidR="00E343B7" w:rsidRDefault="00E343B7" w:rsidP="00916E8C">
      <w:pPr>
        <w:pStyle w:val="ExhibitHeading"/>
      </w:pPr>
      <w:r>
        <w:t xml:space="preserve">EXHIBIT </w:t>
      </w:r>
      <w:r w:rsidR="00045ACD">
        <w:t>4</w:t>
      </w:r>
      <w:r w:rsidRPr="000529A7">
        <w:t>:</w:t>
      </w:r>
      <w:r>
        <w:t xml:space="preserve"> BANK ATM</w:t>
      </w:r>
      <w:r w:rsidR="00B71246">
        <w:t xml:space="preserve">, </w:t>
      </w:r>
      <w:r>
        <w:t>POS</w:t>
      </w:r>
      <w:r w:rsidR="00B71246">
        <w:t xml:space="preserve">, and </w:t>
      </w:r>
      <w:r w:rsidRPr="000529A7">
        <w:t>CARD STATISTICS</w:t>
      </w:r>
      <w:r>
        <w:t xml:space="preserve"> FOR 56 BANKS</w:t>
      </w:r>
      <w:r w:rsidR="00772DFA">
        <w:t xml:space="preserve"> in india</w:t>
      </w:r>
      <w:r w:rsidR="00772DFA">
        <w:rPr>
          <w:lang w:val="en-IN"/>
        </w:rPr>
        <w:t>, selected months in 2016 and 2017</w:t>
      </w:r>
    </w:p>
    <w:p w14:paraId="4C6A779E" w14:textId="77777777" w:rsidR="00E343B7" w:rsidRDefault="00E343B7" w:rsidP="00916E8C">
      <w:pPr>
        <w:pStyle w:val="Footnote"/>
      </w:pPr>
    </w:p>
    <w:tbl>
      <w:tblPr>
        <w:tblW w:w="5044" w:type="pct"/>
        <w:jc w:val="center"/>
        <w:tblLayout w:type="fixed"/>
        <w:tblLook w:val="04A0" w:firstRow="1" w:lastRow="0" w:firstColumn="1" w:lastColumn="0" w:noHBand="0" w:noVBand="1"/>
      </w:tblPr>
      <w:tblGrid>
        <w:gridCol w:w="898"/>
        <w:gridCol w:w="810"/>
        <w:gridCol w:w="810"/>
        <w:gridCol w:w="810"/>
        <w:gridCol w:w="810"/>
        <w:gridCol w:w="1436"/>
        <w:gridCol w:w="625"/>
        <w:gridCol w:w="817"/>
        <w:gridCol w:w="632"/>
        <w:gridCol w:w="810"/>
        <w:gridCol w:w="1168"/>
        <w:gridCol w:w="810"/>
        <w:gridCol w:w="810"/>
        <w:gridCol w:w="1038"/>
        <w:gridCol w:w="780"/>
      </w:tblGrid>
      <w:tr w:rsidR="003D6FA9" w:rsidRPr="0089507B" w14:paraId="4F179E67" w14:textId="77777777" w:rsidTr="00B92C7B">
        <w:trPr>
          <w:trHeight w:val="98"/>
          <w:jc w:val="center"/>
        </w:trPr>
        <w:tc>
          <w:tcPr>
            <w:tcW w:w="91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BD652" w14:textId="77777777" w:rsidR="00E343B7" w:rsidRPr="0089507B" w:rsidRDefault="00E343B7" w:rsidP="004E1154">
            <w:pPr>
              <w:jc w:val="center"/>
              <w:rPr>
                <w:rFonts w:ascii="Arial" w:hAnsi="Arial" w:cs="Arial"/>
                <w:b/>
                <w:bCs/>
                <w:color w:val="000000"/>
                <w:sz w:val="18"/>
                <w:szCs w:val="18"/>
                <w:lang w:val="en-IN"/>
              </w:rPr>
            </w:pPr>
            <w:r w:rsidRPr="0089507B">
              <w:rPr>
                <w:rFonts w:ascii="Arial" w:hAnsi="Arial" w:cs="Arial"/>
                <w:b/>
                <w:bCs/>
                <w:color w:val="000000"/>
                <w:sz w:val="18"/>
                <w:szCs w:val="18"/>
                <w:lang w:val="en-IN"/>
              </w:rPr>
              <w:t>Month</w:t>
            </w:r>
          </w:p>
        </w:tc>
        <w:tc>
          <w:tcPr>
            <w:tcW w:w="1648" w:type="dxa"/>
            <w:gridSpan w:val="2"/>
            <w:tcBorders>
              <w:top w:val="single" w:sz="4" w:space="0" w:color="auto"/>
              <w:left w:val="nil"/>
              <w:bottom w:val="single" w:sz="4" w:space="0" w:color="auto"/>
              <w:right w:val="single" w:sz="4" w:space="0" w:color="auto"/>
            </w:tcBorders>
            <w:shd w:val="clear" w:color="auto" w:fill="auto"/>
            <w:noWrap/>
            <w:vAlign w:val="center"/>
            <w:hideMark/>
          </w:tcPr>
          <w:p w14:paraId="48D9CD2C" w14:textId="67EBF896" w:rsidR="00E343B7" w:rsidRPr="0089507B" w:rsidRDefault="00E343B7" w:rsidP="00A36352">
            <w:pPr>
              <w:jc w:val="center"/>
              <w:rPr>
                <w:rFonts w:ascii="Arial" w:hAnsi="Arial" w:cs="Arial"/>
                <w:b/>
                <w:bCs/>
                <w:color w:val="000000"/>
                <w:sz w:val="18"/>
                <w:szCs w:val="18"/>
                <w:lang w:val="en-IN"/>
              </w:rPr>
            </w:pPr>
            <w:r w:rsidRPr="0089507B">
              <w:rPr>
                <w:rFonts w:ascii="Arial" w:hAnsi="Arial" w:cs="Arial"/>
                <w:b/>
                <w:bCs/>
                <w:color w:val="000000"/>
                <w:sz w:val="18"/>
                <w:szCs w:val="18"/>
                <w:lang w:val="en-IN"/>
              </w:rPr>
              <w:t>ATMs</w:t>
            </w:r>
          </w:p>
        </w:tc>
        <w:tc>
          <w:tcPr>
            <w:tcW w:w="1648"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A0F277" w14:textId="62AC917E" w:rsidR="00E343B7" w:rsidRPr="0089507B" w:rsidRDefault="00E343B7" w:rsidP="00A36352">
            <w:pPr>
              <w:jc w:val="center"/>
              <w:rPr>
                <w:rFonts w:ascii="Arial" w:hAnsi="Arial" w:cs="Arial"/>
                <w:b/>
                <w:bCs/>
                <w:color w:val="000000"/>
                <w:sz w:val="18"/>
                <w:szCs w:val="18"/>
                <w:lang w:val="en-IN"/>
              </w:rPr>
            </w:pPr>
            <w:r w:rsidRPr="0089507B">
              <w:rPr>
                <w:rFonts w:ascii="Arial" w:hAnsi="Arial" w:cs="Arial"/>
                <w:b/>
                <w:bCs/>
                <w:color w:val="000000"/>
                <w:sz w:val="18"/>
                <w:szCs w:val="18"/>
                <w:lang w:val="en-IN"/>
              </w:rPr>
              <w:t>POS</w:t>
            </w:r>
          </w:p>
        </w:tc>
        <w:tc>
          <w:tcPr>
            <w:tcW w:w="4395" w:type="dxa"/>
            <w:gridSpan w:val="5"/>
            <w:tcBorders>
              <w:top w:val="single" w:sz="4" w:space="0" w:color="auto"/>
              <w:left w:val="nil"/>
              <w:bottom w:val="single" w:sz="4" w:space="0" w:color="auto"/>
              <w:right w:val="single" w:sz="4" w:space="0" w:color="auto"/>
            </w:tcBorders>
            <w:shd w:val="clear" w:color="auto" w:fill="auto"/>
            <w:noWrap/>
            <w:vAlign w:val="center"/>
            <w:hideMark/>
          </w:tcPr>
          <w:p w14:paraId="4782A522" w14:textId="148E9963" w:rsidR="00E343B7" w:rsidRPr="0089507B" w:rsidRDefault="00E343B7" w:rsidP="00772DFA">
            <w:pPr>
              <w:jc w:val="center"/>
              <w:rPr>
                <w:rFonts w:ascii="Arial" w:hAnsi="Arial" w:cs="Arial"/>
                <w:b/>
                <w:bCs/>
                <w:color w:val="000000"/>
                <w:sz w:val="18"/>
                <w:szCs w:val="18"/>
                <w:lang w:val="en-IN"/>
              </w:rPr>
            </w:pPr>
            <w:r w:rsidRPr="0089507B">
              <w:rPr>
                <w:rFonts w:ascii="Arial" w:hAnsi="Arial" w:cs="Arial"/>
                <w:b/>
                <w:bCs/>
                <w:color w:val="000000"/>
                <w:sz w:val="18"/>
                <w:szCs w:val="18"/>
                <w:lang w:val="en-IN"/>
              </w:rPr>
              <w:t xml:space="preserve">Credit </w:t>
            </w:r>
            <w:r w:rsidR="00772DFA">
              <w:rPr>
                <w:rFonts w:ascii="Arial" w:hAnsi="Arial" w:cs="Arial"/>
                <w:b/>
                <w:bCs/>
                <w:color w:val="000000"/>
                <w:sz w:val="18"/>
                <w:szCs w:val="18"/>
                <w:lang w:val="en-IN"/>
              </w:rPr>
              <w:t>C</w:t>
            </w:r>
            <w:r w:rsidRPr="0089507B">
              <w:rPr>
                <w:rFonts w:ascii="Arial" w:hAnsi="Arial" w:cs="Arial"/>
                <w:b/>
                <w:bCs/>
                <w:color w:val="000000"/>
                <w:sz w:val="18"/>
                <w:szCs w:val="18"/>
                <w:lang w:val="en-IN"/>
              </w:rPr>
              <w:t>ards</w:t>
            </w:r>
          </w:p>
        </w:tc>
        <w:tc>
          <w:tcPr>
            <w:tcW w:w="4688" w:type="dxa"/>
            <w:gridSpan w:val="5"/>
            <w:tcBorders>
              <w:top w:val="single" w:sz="4" w:space="0" w:color="auto"/>
              <w:left w:val="nil"/>
              <w:bottom w:val="single" w:sz="4" w:space="0" w:color="auto"/>
              <w:right w:val="single" w:sz="4" w:space="0" w:color="auto"/>
            </w:tcBorders>
            <w:shd w:val="clear" w:color="auto" w:fill="auto"/>
            <w:noWrap/>
            <w:vAlign w:val="center"/>
            <w:hideMark/>
          </w:tcPr>
          <w:p w14:paraId="7A05E463" w14:textId="77777777" w:rsidR="00E343B7" w:rsidRPr="0089507B" w:rsidRDefault="00E343B7" w:rsidP="004E1154">
            <w:pPr>
              <w:jc w:val="center"/>
              <w:rPr>
                <w:rFonts w:ascii="Arial" w:hAnsi="Arial" w:cs="Arial"/>
                <w:b/>
                <w:bCs/>
                <w:color w:val="000000"/>
                <w:sz w:val="18"/>
                <w:szCs w:val="18"/>
                <w:lang w:val="en-IN"/>
              </w:rPr>
            </w:pPr>
            <w:r w:rsidRPr="0089507B">
              <w:rPr>
                <w:rFonts w:ascii="Arial" w:hAnsi="Arial" w:cs="Arial"/>
                <w:b/>
                <w:bCs/>
                <w:color w:val="000000"/>
                <w:sz w:val="18"/>
                <w:szCs w:val="18"/>
                <w:lang w:val="en-IN"/>
              </w:rPr>
              <w:t>Debit cards</w:t>
            </w:r>
          </w:p>
        </w:tc>
      </w:tr>
      <w:tr w:rsidR="00916E8C" w:rsidRPr="0089507B" w14:paraId="1BE5664F" w14:textId="77777777" w:rsidTr="00B92C7B">
        <w:trPr>
          <w:cantSplit/>
          <w:trHeight w:val="1142"/>
          <w:jc w:val="center"/>
        </w:trPr>
        <w:tc>
          <w:tcPr>
            <w:tcW w:w="913" w:type="dxa"/>
            <w:vMerge/>
            <w:tcBorders>
              <w:top w:val="single" w:sz="4" w:space="0" w:color="auto"/>
              <w:left w:val="single" w:sz="4" w:space="0" w:color="auto"/>
              <w:bottom w:val="single" w:sz="4" w:space="0" w:color="auto"/>
              <w:right w:val="single" w:sz="4" w:space="0" w:color="auto"/>
            </w:tcBorders>
            <w:vAlign w:val="center"/>
            <w:hideMark/>
          </w:tcPr>
          <w:p w14:paraId="5824B9BF" w14:textId="77777777" w:rsidR="00E343B7" w:rsidRPr="0089507B" w:rsidRDefault="00E343B7" w:rsidP="004E1154">
            <w:pPr>
              <w:rPr>
                <w:rFonts w:ascii="Arial" w:hAnsi="Arial" w:cs="Arial"/>
                <w:b/>
                <w:bCs/>
                <w:color w:val="000000"/>
                <w:sz w:val="18"/>
                <w:szCs w:val="18"/>
                <w:lang w:val="en-IN"/>
              </w:rPr>
            </w:pPr>
          </w:p>
        </w:tc>
        <w:tc>
          <w:tcPr>
            <w:tcW w:w="824" w:type="dxa"/>
            <w:tcBorders>
              <w:top w:val="nil"/>
              <w:left w:val="nil"/>
              <w:bottom w:val="single" w:sz="4" w:space="0" w:color="auto"/>
              <w:right w:val="single" w:sz="4" w:space="0" w:color="auto"/>
            </w:tcBorders>
            <w:shd w:val="clear" w:color="auto" w:fill="auto"/>
            <w:noWrap/>
            <w:vAlign w:val="center"/>
            <w:hideMark/>
          </w:tcPr>
          <w:p w14:paraId="13F6B68C" w14:textId="3D9F23D6" w:rsidR="00E343B7" w:rsidRPr="0089507B" w:rsidRDefault="00E343B7" w:rsidP="00D0450C">
            <w:pPr>
              <w:rPr>
                <w:rFonts w:ascii="Arial" w:hAnsi="Arial" w:cs="Arial"/>
                <w:color w:val="000000"/>
                <w:sz w:val="18"/>
                <w:szCs w:val="18"/>
                <w:lang w:val="en-IN"/>
              </w:rPr>
            </w:pPr>
            <w:r w:rsidRPr="0089507B">
              <w:rPr>
                <w:rFonts w:ascii="Arial" w:hAnsi="Arial" w:cs="Arial"/>
                <w:color w:val="000000"/>
                <w:sz w:val="18"/>
                <w:szCs w:val="18"/>
                <w:lang w:val="en-IN"/>
              </w:rPr>
              <w:t>Onsite</w:t>
            </w:r>
            <w:r w:rsidR="00A36352">
              <w:rPr>
                <w:rFonts w:ascii="Arial" w:hAnsi="Arial" w:cs="Arial"/>
                <w:color w:val="000000"/>
                <w:sz w:val="18"/>
                <w:szCs w:val="18"/>
                <w:lang w:val="en-IN"/>
              </w:rPr>
              <w:t xml:space="preserve"> (</w:t>
            </w:r>
            <w:r w:rsidR="00D0450C">
              <w:rPr>
                <w:rFonts w:ascii="Arial" w:hAnsi="Arial" w:cs="Arial"/>
                <w:color w:val="000000"/>
                <w:sz w:val="18"/>
                <w:szCs w:val="18"/>
                <w:lang w:val="en-IN"/>
              </w:rPr>
              <w:t>’</w:t>
            </w:r>
            <w:r w:rsidR="00A36352">
              <w:rPr>
                <w:rFonts w:ascii="Arial" w:hAnsi="Arial" w:cs="Arial"/>
                <w:color w:val="000000"/>
                <w:sz w:val="18"/>
                <w:szCs w:val="18"/>
                <w:lang w:val="en-IN"/>
              </w:rPr>
              <w:t>000s)</w:t>
            </w:r>
          </w:p>
        </w:tc>
        <w:tc>
          <w:tcPr>
            <w:tcW w:w="824" w:type="dxa"/>
            <w:tcBorders>
              <w:top w:val="nil"/>
              <w:left w:val="nil"/>
              <w:bottom w:val="single" w:sz="4" w:space="0" w:color="auto"/>
              <w:right w:val="single" w:sz="4" w:space="0" w:color="auto"/>
            </w:tcBorders>
            <w:shd w:val="clear" w:color="auto" w:fill="auto"/>
            <w:noWrap/>
            <w:vAlign w:val="center"/>
            <w:hideMark/>
          </w:tcPr>
          <w:p w14:paraId="7AC5CA62" w14:textId="1D2E9D6A" w:rsidR="00E343B7" w:rsidRPr="0089507B" w:rsidRDefault="00E343B7" w:rsidP="00D0450C">
            <w:pPr>
              <w:rPr>
                <w:rFonts w:ascii="Arial" w:hAnsi="Arial" w:cs="Arial"/>
                <w:color w:val="000000"/>
                <w:sz w:val="18"/>
                <w:szCs w:val="18"/>
                <w:lang w:val="en-IN"/>
              </w:rPr>
            </w:pPr>
            <w:r w:rsidRPr="0089507B">
              <w:rPr>
                <w:rFonts w:ascii="Arial" w:hAnsi="Arial" w:cs="Arial"/>
                <w:color w:val="000000"/>
                <w:sz w:val="18"/>
                <w:szCs w:val="18"/>
                <w:lang w:val="en-IN"/>
              </w:rPr>
              <w:t>Off site</w:t>
            </w:r>
            <w:r w:rsidR="00A36352">
              <w:rPr>
                <w:rFonts w:ascii="Arial" w:hAnsi="Arial" w:cs="Arial"/>
                <w:color w:val="000000"/>
                <w:sz w:val="18"/>
                <w:szCs w:val="18"/>
                <w:lang w:val="en-IN"/>
              </w:rPr>
              <w:t xml:space="preserve"> (</w:t>
            </w:r>
            <w:r w:rsidR="00D0450C">
              <w:rPr>
                <w:rFonts w:ascii="Arial" w:hAnsi="Arial" w:cs="Arial"/>
                <w:color w:val="000000"/>
                <w:sz w:val="18"/>
                <w:szCs w:val="18"/>
                <w:lang w:val="en-IN"/>
              </w:rPr>
              <w:t>’</w:t>
            </w:r>
            <w:r w:rsidR="00A36352">
              <w:rPr>
                <w:rFonts w:ascii="Arial" w:hAnsi="Arial" w:cs="Arial"/>
                <w:color w:val="000000"/>
                <w:sz w:val="18"/>
                <w:szCs w:val="18"/>
                <w:lang w:val="en-IN"/>
              </w:rPr>
              <w:t>000s)</w:t>
            </w:r>
          </w:p>
        </w:tc>
        <w:tc>
          <w:tcPr>
            <w:tcW w:w="824" w:type="dxa"/>
            <w:tcBorders>
              <w:top w:val="nil"/>
              <w:left w:val="nil"/>
              <w:bottom w:val="single" w:sz="4" w:space="0" w:color="auto"/>
              <w:right w:val="single" w:sz="4" w:space="0" w:color="auto"/>
            </w:tcBorders>
            <w:shd w:val="clear" w:color="auto" w:fill="auto"/>
            <w:noWrap/>
            <w:vAlign w:val="center"/>
            <w:hideMark/>
          </w:tcPr>
          <w:p w14:paraId="10F21448" w14:textId="2059A8BA" w:rsidR="00E343B7" w:rsidRPr="0089507B" w:rsidRDefault="00E343B7" w:rsidP="00D0450C">
            <w:pPr>
              <w:rPr>
                <w:rFonts w:ascii="Arial" w:hAnsi="Arial" w:cs="Arial"/>
                <w:color w:val="000000"/>
                <w:sz w:val="18"/>
                <w:szCs w:val="18"/>
                <w:lang w:val="en-IN"/>
              </w:rPr>
            </w:pPr>
            <w:r w:rsidRPr="0089507B">
              <w:rPr>
                <w:rFonts w:ascii="Arial" w:hAnsi="Arial" w:cs="Arial"/>
                <w:color w:val="000000"/>
                <w:sz w:val="18"/>
                <w:szCs w:val="18"/>
                <w:lang w:val="en-IN"/>
              </w:rPr>
              <w:t>Online</w:t>
            </w:r>
            <w:r w:rsidR="00A36352">
              <w:rPr>
                <w:rFonts w:ascii="Arial" w:hAnsi="Arial" w:cs="Arial"/>
                <w:color w:val="000000"/>
                <w:sz w:val="18"/>
                <w:szCs w:val="18"/>
                <w:lang w:val="en-IN"/>
              </w:rPr>
              <w:t xml:space="preserve"> (</w:t>
            </w:r>
            <w:r w:rsidR="00D0450C">
              <w:rPr>
                <w:rFonts w:ascii="Arial" w:hAnsi="Arial" w:cs="Arial"/>
                <w:color w:val="000000"/>
                <w:sz w:val="18"/>
                <w:szCs w:val="18"/>
                <w:lang w:val="en-IN"/>
              </w:rPr>
              <w:t>’</w:t>
            </w:r>
            <w:r w:rsidR="00A36352">
              <w:rPr>
                <w:rFonts w:ascii="Arial" w:hAnsi="Arial" w:cs="Arial"/>
                <w:color w:val="000000"/>
                <w:sz w:val="18"/>
                <w:szCs w:val="18"/>
                <w:lang w:val="en-IN"/>
              </w:rPr>
              <w:t>000s)</w:t>
            </w:r>
          </w:p>
        </w:tc>
        <w:tc>
          <w:tcPr>
            <w:tcW w:w="824" w:type="dxa"/>
            <w:tcBorders>
              <w:top w:val="nil"/>
              <w:left w:val="nil"/>
              <w:bottom w:val="single" w:sz="4" w:space="0" w:color="auto"/>
              <w:right w:val="single" w:sz="4" w:space="0" w:color="auto"/>
            </w:tcBorders>
            <w:shd w:val="clear" w:color="auto" w:fill="auto"/>
            <w:noWrap/>
            <w:vAlign w:val="center"/>
            <w:hideMark/>
          </w:tcPr>
          <w:p w14:paraId="3200B93E" w14:textId="2AAAAA68" w:rsidR="00E343B7" w:rsidRPr="0089507B" w:rsidRDefault="0078162B" w:rsidP="00D0450C">
            <w:pPr>
              <w:rPr>
                <w:rFonts w:ascii="Arial" w:hAnsi="Arial" w:cs="Arial"/>
                <w:color w:val="000000"/>
                <w:sz w:val="18"/>
                <w:szCs w:val="18"/>
                <w:lang w:val="en-IN"/>
              </w:rPr>
            </w:pPr>
            <w:r>
              <w:rPr>
                <w:rFonts w:ascii="Arial" w:hAnsi="Arial" w:cs="Arial"/>
                <w:color w:val="000000"/>
                <w:sz w:val="18"/>
                <w:szCs w:val="18"/>
                <w:lang w:val="en-IN"/>
              </w:rPr>
              <w:t>O</w:t>
            </w:r>
            <w:r w:rsidR="00E343B7" w:rsidRPr="0089507B">
              <w:rPr>
                <w:rFonts w:ascii="Arial" w:hAnsi="Arial" w:cs="Arial"/>
                <w:color w:val="000000"/>
                <w:sz w:val="18"/>
                <w:szCs w:val="18"/>
                <w:lang w:val="en-IN"/>
              </w:rPr>
              <w:t>ffline</w:t>
            </w:r>
            <w:r w:rsidR="003D6FA9">
              <w:rPr>
                <w:rFonts w:ascii="Arial" w:hAnsi="Arial" w:cs="Arial"/>
                <w:color w:val="000000"/>
                <w:sz w:val="18"/>
                <w:szCs w:val="18"/>
                <w:lang w:val="en-IN"/>
              </w:rPr>
              <w:t xml:space="preserve"> (</w:t>
            </w:r>
            <w:r w:rsidR="00D0450C">
              <w:rPr>
                <w:rFonts w:ascii="Arial" w:hAnsi="Arial" w:cs="Arial"/>
                <w:color w:val="000000"/>
                <w:sz w:val="18"/>
                <w:szCs w:val="18"/>
                <w:lang w:val="en-IN"/>
              </w:rPr>
              <w:t>’</w:t>
            </w:r>
            <w:r w:rsidR="003D6FA9">
              <w:rPr>
                <w:rFonts w:ascii="Arial" w:hAnsi="Arial" w:cs="Arial"/>
                <w:color w:val="000000"/>
                <w:sz w:val="18"/>
                <w:szCs w:val="18"/>
                <w:lang w:val="en-IN"/>
              </w:rPr>
              <w:t>000s)</w:t>
            </w:r>
          </w:p>
        </w:tc>
        <w:tc>
          <w:tcPr>
            <w:tcW w:w="1465" w:type="dxa"/>
            <w:tcBorders>
              <w:top w:val="nil"/>
              <w:left w:val="nil"/>
              <w:bottom w:val="single" w:sz="4" w:space="0" w:color="auto"/>
              <w:right w:val="single" w:sz="4" w:space="0" w:color="auto"/>
            </w:tcBorders>
            <w:shd w:val="clear" w:color="auto" w:fill="auto"/>
            <w:vAlign w:val="center"/>
            <w:hideMark/>
          </w:tcPr>
          <w:p w14:paraId="60CF4402" w14:textId="7050EDE1" w:rsidR="00E343B7" w:rsidRPr="0089507B" w:rsidRDefault="00E343B7" w:rsidP="00772DFA">
            <w:pPr>
              <w:rPr>
                <w:rFonts w:ascii="Arial" w:hAnsi="Arial" w:cs="Arial"/>
                <w:color w:val="000000"/>
                <w:sz w:val="18"/>
                <w:szCs w:val="18"/>
                <w:lang w:val="en-IN"/>
              </w:rPr>
            </w:pPr>
            <w:r w:rsidRPr="0089507B">
              <w:rPr>
                <w:rFonts w:ascii="Arial" w:hAnsi="Arial" w:cs="Arial"/>
                <w:color w:val="000000"/>
                <w:sz w:val="18"/>
                <w:szCs w:val="18"/>
                <w:lang w:val="en-IN"/>
              </w:rPr>
              <w:t xml:space="preserve">No. of </w:t>
            </w:r>
            <w:r w:rsidR="00772DFA">
              <w:rPr>
                <w:rFonts w:ascii="Arial" w:hAnsi="Arial" w:cs="Arial"/>
                <w:color w:val="000000"/>
                <w:sz w:val="18"/>
                <w:szCs w:val="18"/>
                <w:lang w:val="en-IN"/>
              </w:rPr>
              <w:t>O</w:t>
            </w:r>
            <w:r w:rsidRPr="0089507B">
              <w:rPr>
                <w:rFonts w:ascii="Arial" w:hAnsi="Arial" w:cs="Arial"/>
                <w:color w:val="000000"/>
                <w:sz w:val="18"/>
                <w:szCs w:val="18"/>
                <w:lang w:val="en-IN"/>
              </w:rPr>
              <w:t xml:space="preserve">utstanding </w:t>
            </w:r>
            <w:r w:rsidR="00772DFA">
              <w:rPr>
                <w:rFonts w:ascii="Arial" w:hAnsi="Arial" w:cs="Arial"/>
                <w:color w:val="000000"/>
                <w:sz w:val="18"/>
                <w:szCs w:val="18"/>
                <w:lang w:val="en-IN"/>
              </w:rPr>
              <w:t>C</w:t>
            </w:r>
            <w:r w:rsidRPr="0089507B">
              <w:rPr>
                <w:rFonts w:ascii="Arial" w:hAnsi="Arial" w:cs="Arial"/>
                <w:color w:val="000000"/>
                <w:sz w:val="18"/>
                <w:szCs w:val="18"/>
                <w:lang w:val="en-IN"/>
              </w:rPr>
              <w:t xml:space="preserve">ards as at the </w:t>
            </w:r>
            <w:r w:rsidR="00772DFA">
              <w:rPr>
                <w:rFonts w:ascii="Arial" w:hAnsi="Arial" w:cs="Arial"/>
                <w:color w:val="000000"/>
                <w:sz w:val="18"/>
                <w:szCs w:val="18"/>
                <w:lang w:val="en-IN"/>
              </w:rPr>
              <w:t>E</w:t>
            </w:r>
            <w:r w:rsidRPr="0089507B">
              <w:rPr>
                <w:rFonts w:ascii="Arial" w:hAnsi="Arial" w:cs="Arial"/>
                <w:color w:val="000000"/>
                <w:sz w:val="18"/>
                <w:szCs w:val="18"/>
                <w:lang w:val="en-IN"/>
              </w:rPr>
              <w:t xml:space="preserve">nd of a </w:t>
            </w:r>
            <w:r w:rsidR="00772DFA">
              <w:rPr>
                <w:rFonts w:ascii="Arial" w:hAnsi="Arial" w:cs="Arial"/>
                <w:color w:val="000000"/>
                <w:sz w:val="18"/>
                <w:szCs w:val="18"/>
                <w:lang w:val="en-IN"/>
              </w:rPr>
              <w:t>M</w:t>
            </w:r>
            <w:r w:rsidRPr="0089507B">
              <w:rPr>
                <w:rFonts w:ascii="Arial" w:hAnsi="Arial" w:cs="Arial"/>
                <w:color w:val="000000"/>
                <w:sz w:val="18"/>
                <w:szCs w:val="18"/>
                <w:lang w:val="en-IN"/>
              </w:rPr>
              <w:t>onth</w:t>
            </w:r>
            <w:r>
              <w:rPr>
                <w:rFonts w:ascii="Arial" w:hAnsi="Arial" w:cs="Arial"/>
                <w:color w:val="000000"/>
                <w:sz w:val="18"/>
                <w:szCs w:val="18"/>
                <w:lang w:val="en-IN"/>
              </w:rPr>
              <w:t xml:space="preserve"> (</w:t>
            </w:r>
            <w:r w:rsidR="00D0450C">
              <w:rPr>
                <w:rFonts w:ascii="Arial" w:hAnsi="Arial" w:cs="Arial"/>
                <w:color w:val="000000"/>
                <w:sz w:val="18"/>
                <w:szCs w:val="18"/>
                <w:lang w:val="en-IN"/>
              </w:rPr>
              <w:t xml:space="preserve">in </w:t>
            </w:r>
            <w:r>
              <w:rPr>
                <w:rFonts w:ascii="Arial" w:hAnsi="Arial" w:cs="Arial"/>
                <w:color w:val="000000"/>
                <w:sz w:val="18"/>
                <w:szCs w:val="18"/>
                <w:lang w:val="en-IN"/>
              </w:rPr>
              <w:t>million</w:t>
            </w:r>
            <w:r w:rsidR="00D0450C">
              <w:rPr>
                <w:rFonts w:ascii="Arial" w:hAnsi="Arial" w:cs="Arial"/>
                <w:color w:val="000000"/>
                <w:sz w:val="18"/>
                <w:szCs w:val="18"/>
                <w:lang w:val="en-IN"/>
              </w:rPr>
              <w:t>s</w:t>
            </w:r>
            <w:r>
              <w:rPr>
                <w:rFonts w:ascii="Arial" w:hAnsi="Arial" w:cs="Arial"/>
                <w:color w:val="000000"/>
                <w:sz w:val="18"/>
                <w:szCs w:val="18"/>
                <w:lang w:val="en-IN"/>
              </w:rPr>
              <w:t>)</w:t>
            </w:r>
          </w:p>
        </w:tc>
        <w:tc>
          <w:tcPr>
            <w:tcW w:w="1465" w:type="dxa"/>
            <w:gridSpan w:val="2"/>
            <w:tcBorders>
              <w:top w:val="single" w:sz="4" w:space="0" w:color="auto"/>
              <w:left w:val="nil"/>
              <w:bottom w:val="single" w:sz="4" w:space="0" w:color="auto"/>
              <w:right w:val="single" w:sz="4" w:space="0" w:color="auto"/>
            </w:tcBorders>
            <w:shd w:val="clear" w:color="auto" w:fill="auto"/>
            <w:vAlign w:val="center"/>
            <w:hideMark/>
          </w:tcPr>
          <w:p w14:paraId="07CBA113" w14:textId="6BC2CDCB" w:rsidR="003D6FA9" w:rsidRDefault="00E343B7" w:rsidP="003D6FA9">
            <w:pPr>
              <w:rPr>
                <w:rFonts w:ascii="Arial" w:hAnsi="Arial" w:cs="Arial"/>
                <w:color w:val="000000"/>
                <w:sz w:val="18"/>
                <w:szCs w:val="18"/>
                <w:lang w:val="en-IN"/>
              </w:rPr>
            </w:pPr>
            <w:r w:rsidRPr="0089507B">
              <w:rPr>
                <w:rFonts w:ascii="Arial" w:hAnsi="Arial" w:cs="Arial"/>
                <w:color w:val="000000"/>
                <w:sz w:val="18"/>
                <w:szCs w:val="18"/>
                <w:lang w:val="en-IN"/>
              </w:rPr>
              <w:t>N</w:t>
            </w:r>
            <w:r w:rsidR="003D6FA9">
              <w:rPr>
                <w:rFonts w:ascii="Arial" w:hAnsi="Arial" w:cs="Arial"/>
                <w:color w:val="000000"/>
                <w:sz w:val="18"/>
                <w:szCs w:val="18"/>
                <w:lang w:val="en-IN"/>
              </w:rPr>
              <w:t xml:space="preserve">o. of </w:t>
            </w:r>
            <w:r w:rsidR="00772DFA">
              <w:rPr>
                <w:rFonts w:ascii="Arial" w:hAnsi="Arial" w:cs="Arial"/>
                <w:color w:val="000000"/>
                <w:sz w:val="18"/>
                <w:szCs w:val="18"/>
                <w:lang w:val="en-IN"/>
              </w:rPr>
              <w:t>T</w:t>
            </w:r>
            <w:r w:rsidR="003D6FA9">
              <w:rPr>
                <w:rFonts w:ascii="Arial" w:hAnsi="Arial" w:cs="Arial"/>
                <w:color w:val="000000"/>
                <w:sz w:val="18"/>
                <w:szCs w:val="18"/>
                <w:lang w:val="en-IN"/>
              </w:rPr>
              <w:t>ransactions</w:t>
            </w:r>
          </w:p>
          <w:p w14:paraId="0A70DB52" w14:textId="5525289C" w:rsidR="00E343B7" w:rsidRPr="0089507B" w:rsidRDefault="00E343B7" w:rsidP="003D6FA9">
            <w:pPr>
              <w:rPr>
                <w:rFonts w:ascii="Arial" w:hAnsi="Arial" w:cs="Arial"/>
                <w:color w:val="000000"/>
                <w:sz w:val="18"/>
                <w:szCs w:val="18"/>
                <w:lang w:val="en-IN"/>
              </w:rPr>
            </w:pPr>
            <w:r w:rsidRPr="0089507B">
              <w:rPr>
                <w:rFonts w:ascii="Arial" w:hAnsi="Arial" w:cs="Arial"/>
                <w:color w:val="000000"/>
                <w:sz w:val="18"/>
                <w:szCs w:val="18"/>
                <w:lang w:val="en-IN"/>
              </w:rPr>
              <w:t>(</w:t>
            </w:r>
            <w:r w:rsidR="00D0450C">
              <w:rPr>
                <w:rFonts w:ascii="Arial" w:hAnsi="Arial" w:cs="Arial"/>
                <w:color w:val="000000"/>
                <w:sz w:val="18"/>
                <w:szCs w:val="18"/>
                <w:lang w:val="en-IN"/>
              </w:rPr>
              <w:t xml:space="preserve">in </w:t>
            </w:r>
            <w:r w:rsidRPr="0089507B">
              <w:rPr>
                <w:rFonts w:ascii="Arial" w:hAnsi="Arial" w:cs="Arial"/>
                <w:color w:val="000000"/>
                <w:sz w:val="18"/>
                <w:szCs w:val="18"/>
                <w:lang w:val="en-IN"/>
              </w:rPr>
              <w:t>million</w:t>
            </w:r>
            <w:r w:rsidR="00D0450C">
              <w:rPr>
                <w:rFonts w:ascii="Arial" w:hAnsi="Arial" w:cs="Arial"/>
                <w:color w:val="000000"/>
                <w:sz w:val="18"/>
                <w:szCs w:val="18"/>
                <w:lang w:val="en-IN"/>
              </w:rPr>
              <w:t>s</w:t>
            </w:r>
            <w:r w:rsidRPr="0089507B">
              <w:rPr>
                <w:rFonts w:ascii="Arial" w:hAnsi="Arial" w:cs="Arial"/>
                <w:color w:val="000000"/>
                <w:sz w:val="18"/>
                <w:szCs w:val="18"/>
                <w:lang w:val="en-IN"/>
              </w:rPr>
              <w:t>)</w:t>
            </w:r>
          </w:p>
        </w:tc>
        <w:tc>
          <w:tcPr>
            <w:tcW w:w="1465" w:type="dxa"/>
            <w:gridSpan w:val="2"/>
            <w:tcBorders>
              <w:top w:val="single" w:sz="4" w:space="0" w:color="auto"/>
              <w:left w:val="nil"/>
              <w:bottom w:val="single" w:sz="4" w:space="0" w:color="auto"/>
              <w:right w:val="single" w:sz="4" w:space="0" w:color="auto"/>
            </w:tcBorders>
            <w:shd w:val="clear" w:color="auto" w:fill="auto"/>
            <w:vAlign w:val="center"/>
            <w:hideMark/>
          </w:tcPr>
          <w:p w14:paraId="138C9BDD" w14:textId="475107A2" w:rsidR="003D6FA9" w:rsidRDefault="00772DFA" w:rsidP="003D6FA9">
            <w:pPr>
              <w:rPr>
                <w:rFonts w:ascii="Arial" w:hAnsi="Arial" w:cs="Arial"/>
                <w:color w:val="000000"/>
                <w:sz w:val="18"/>
                <w:szCs w:val="18"/>
                <w:lang w:val="en-IN"/>
              </w:rPr>
            </w:pPr>
            <w:r>
              <w:rPr>
                <w:rFonts w:ascii="Arial" w:hAnsi="Arial" w:cs="Arial"/>
                <w:color w:val="000000"/>
                <w:sz w:val="18"/>
                <w:szCs w:val="18"/>
                <w:lang w:val="en-IN"/>
              </w:rPr>
              <w:t>Value</w:t>
            </w:r>
            <w:r w:rsidRPr="0089507B">
              <w:rPr>
                <w:rFonts w:ascii="Arial" w:hAnsi="Arial" w:cs="Arial"/>
                <w:color w:val="000000"/>
                <w:sz w:val="18"/>
                <w:szCs w:val="18"/>
                <w:lang w:val="en-IN"/>
              </w:rPr>
              <w:t xml:space="preserve"> </w:t>
            </w:r>
            <w:r w:rsidR="00E343B7" w:rsidRPr="0089507B">
              <w:rPr>
                <w:rFonts w:ascii="Arial" w:hAnsi="Arial" w:cs="Arial"/>
                <w:color w:val="000000"/>
                <w:sz w:val="18"/>
                <w:szCs w:val="18"/>
                <w:lang w:val="en-IN"/>
              </w:rPr>
              <w:t xml:space="preserve">of </w:t>
            </w:r>
            <w:r>
              <w:rPr>
                <w:rFonts w:ascii="Arial" w:hAnsi="Arial" w:cs="Arial"/>
                <w:color w:val="000000"/>
                <w:sz w:val="18"/>
                <w:szCs w:val="18"/>
                <w:lang w:val="en-IN"/>
              </w:rPr>
              <w:t>T</w:t>
            </w:r>
            <w:r w:rsidR="00E343B7" w:rsidRPr="0089507B">
              <w:rPr>
                <w:rFonts w:ascii="Arial" w:hAnsi="Arial" w:cs="Arial"/>
                <w:color w:val="000000"/>
                <w:sz w:val="18"/>
                <w:szCs w:val="18"/>
                <w:lang w:val="en-IN"/>
              </w:rPr>
              <w:t xml:space="preserve">ransactions </w:t>
            </w:r>
          </w:p>
          <w:p w14:paraId="269A7D0E" w14:textId="40088662" w:rsidR="00E343B7" w:rsidRPr="0089507B" w:rsidRDefault="00E343B7" w:rsidP="003D6FA9">
            <w:pPr>
              <w:rPr>
                <w:rFonts w:ascii="Arial" w:hAnsi="Arial" w:cs="Arial"/>
                <w:color w:val="000000"/>
                <w:sz w:val="18"/>
                <w:szCs w:val="18"/>
                <w:lang w:val="en-IN"/>
              </w:rPr>
            </w:pPr>
            <w:r w:rsidRPr="0089507B">
              <w:rPr>
                <w:rFonts w:ascii="Arial" w:hAnsi="Arial" w:cs="Arial"/>
                <w:color w:val="000000"/>
                <w:sz w:val="18"/>
                <w:szCs w:val="18"/>
                <w:lang w:val="en-IN"/>
              </w:rPr>
              <w:t xml:space="preserve">(in </w:t>
            </w:r>
            <w:r w:rsidR="00B71246">
              <w:rPr>
                <w:rFonts w:ascii="Arial" w:hAnsi="Arial" w:cs="Arial"/>
                <w:color w:val="000000"/>
                <w:sz w:val="18"/>
                <w:szCs w:val="18"/>
                <w:lang w:val="en-IN"/>
              </w:rPr>
              <w:t>₹</w:t>
            </w:r>
            <w:r w:rsidRPr="0089507B">
              <w:rPr>
                <w:rFonts w:ascii="Arial" w:hAnsi="Arial" w:cs="Arial"/>
                <w:color w:val="000000"/>
                <w:sz w:val="18"/>
                <w:szCs w:val="18"/>
                <w:lang w:val="en-IN"/>
              </w:rPr>
              <w:t xml:space="preserve"> billion)</w:t>
            </w:r>
          </w:p>
        </w:tc>
        <w:tc>
          <w:tcPr>
            <w:tcW w:w="1190" w:type="dxa"/>
            <w:tcBorders>
              <w:top w:val="nil"/>
              <w:left w:val="nil"/>
              <w:bottom w:val="single" w:sz="4" w:space="0" w:color="auto"/>
              <w:right w:val="single" w:sz="4" w:space="0" w:color="auto"/>
            </w:tcBorders>
            <w:shd w:val="clear" w:color="auto" w:fill="auto"/>
            <w:vAlign w:val="center"/>
            <w:hideMark/>
          </w:tcPr>
          <w:p w14:paraId="57524BD7" w14:textId="3271D392" w:rsidR="00D0450C" w:rsidRDefault="00E343B7" w:rsidP="00916E8C">
            <w:pPr>
              <w:rPr>
                <w:rFonts w:ascii="Arial" w:hAnsi="Arial" w:cs="Arial"/>
                <w:color w:val="000000"/>
                <w:sz w:val="18"/>
                <w:szCs w:val="18"/>
                <w:lang w:val="en-IN"/>
              </w:rPr>
            </w:pPr>
            <w:r w:rsidRPr="0089507B">
              <w:rPr>
                <w:rFonts w:ascii="Arial" w:hAnsi="Arial" w:cs="Arial"/>
                <w:color w:val="000000"/>
                <w:sz w:val="18"/>
                <w:szCs w:val="18"/>
                <w:lang w:val="en-IN"/>
              </w:rPr>
              <w:t xml:space="preserve">No. of </w:t>
            </w:r>
            <w:r w:rsidR="00772DFA">
              <w:rPr>
                <w:rFonts w:ascii="Arial" w:hAnsi="Arial" w:cs="Arial"/>
                <w:color w:val="000000"/>
                <w:sz w:val="18"/>
                <w:szCs w:val="18"/>
                <w:lang w:val="en-IN"/>
              </w:rPr>
              <w:t>O</w:t>
            </w:r>
            <w:r w:rsidRPr="0089507B">
              <w:rPr>
                <w:rFonts w:ascii="Arial" w:hAnsi="Arial" w:cs="Arial"/>
                <w:color w:val="000000"/>
                <w:sz w:val="18"/>
                <w:szCs w:val="18"/>
                <w:lang w:val="en-IN"/>
              </w:rPr>
              <w:t xml:space="preserve">utstanding </w:t>
            </w:r>
            <w:r w:rsidR="00772DFA">
              <w:rPr>
                <w:rFonts w:ascii="Arial" w:hAnsi="Arial" w:cs="Arial"/>
                <w:color w:val="000000"/>
                <w:sz w:val="18"/>
                <w:szCs w:val="18"/>
                <w:lang w:val="en-IN"/>
              </w:rPr>
              <w:t>C</w:t>
            </w:r>
            <w:r w:rsidRPr="0089507B">
              <w:rPr>
                <w:rFonts w:ascii="Arial" w:hAnsi="Arial" w:cs="Arial"/>
                <w:color w:val="000000"/>
                <w:sz w:val="18"/>
                <w:szCs w:val="18"/>
                <w:lang w:val="en-IN"/>
              </w:rPr>
              <w:t xml:space="preserve">ards as at the </w:t>
            </w:r>
            <w:r w:rsidR="00772DFA">
              <w:rPr>
                <w:rFonts w:ascii="Arial" w:hAnsi="Arial" w:cs="Arial"/>
                <w:color w:val="000000"/>
                <w:sz w:val="18"/>
                <w:szCs w:val="18"/>
                <w:lang w:val="en-IN"/>
              </w:rPr>
              <w:t>E</w:t>
            </w:r>
            <w:r w:rsidRPr="0089507B">
              <w:rPr>
                <w:rFonts w:ascii="Arial" w:hAnsi="Arial" w:cs="Arial"/>
                <w:color w:val="000000"/>
                <w:sz w:val="18"/>
                <w:szCs w:val="18"/>
                <w:lang w:val="en-IN"/>
              </w:rPr>
              <w:t xml:space="preserve">nd of a </w:t>
            </w:r>
            <w:r w:rsidR="00772DFA">
              <w:rPr>
                <w:rFonts w:ascii="Arial" w:hAnsi="Arial" w:cs="Arial"/>
                <w:color w:val="000000"/>
                <w:sz w:val="18"/>
                <w:szCs w:val="18"/>
                <w:lang w:val="en-IN"/>
              </w:rPr>
              <w:t>M</w:t>
            </w:r>
            <w:r w:rsidRPr="0089507B">
              <w:rPr>
                <w:rFonts w:ascii="Arial" w:hAnsi="Arial" w:cs="Arial"/>
                <w:color w:val="000000"/>
                <w:sz w:val="18"/>
                <w:szCs w:val="18"/>
                <w:lang w:val="en-IN"/>
              </w:rPr>
              <w:t>onth</w:t>
            </w:r>
            <w:r>
              <w:rPr>
                <w:rFonts w:ascii="Arial" w:hAnsi="Arial" w:cs="Arial"/>
                <w:color w:val="000000"/>
                <w:sz w:val="18"/>
                <w:szCs w:val="18"/>
                <w:lang w:val="en-IN"/>
              </w:rPr>
              <w:t xml:space="preserve"> </w:t>
            </w:r>
          </w:p>
          <w:p w14:paraId="0FBC58A2" w14:textId="0B346A59" w:rsidR="00E343B7" w:rsidRPr="0089507B" w:rsidRDefault="00E343B7" w:rsidP="00916E8C">
            <w:pPr>
              <w:rPr>
                <w:rFonts w:ascii="Arial" w:hAnsi="Arial" w:cs="Arial"/>
                <w:color w:val="000000"/>
                <w:sz w:val="18"/>
                <w:szCs w:val="18"/>
                <w:lang w:val="en-IN"/>
              </w:rPr>
            </w:pPr>
            <w:r>
              <w:rPr>
                <w:rFonts w:ascii="Arial" w:hAnsi="Arial" w:cs="Arial"/>
                <w:color w:val="000000"/>
                <w:sz w:val="18"/>
                <w:szCs w:val="18"/>
                <w:lang w:val="en-IN"/>
              </w:rPr>
              <w:t>(</w:t>
            </w:r>
            <w:r w:rsidR="00D0450C">
              <w:rPr>
                <w:rFonts w:ascii="Arial" w:hAnsi="Arial" w:cs="Arial"/>
                <w:color w:val="000000"/>
                <w:sz w:val="18"/>
                <w:szCs w:val="18"/>
                <w:lang w:val="en-IN"/>
              </w:rPr>
              <w:t xml:space="preserve">in </w:t>
            </w:r>
            <w:r>
              <w:rPr>
                <w:rFonts w:ascii="Arial" w:hAnsi="Arial" w:cs="Arial"/>
                <w:color w:val="000000"/>
                <w:sz w:val="18"/>
                <w:szCs w:val="18"/>
                <w:lang w:val="en-IN"/>
              </w:rPr>
              <w:t>million</w:t>
            </w:r>
            <w:r w:rsidR="00D0450C">
              <w:rPr>
                <w:rFonts w:ascii="Arial" w:hAnsi="Arial" w:cs="Arial"/>
                <w:color w:val="000000"/>
                <w:sz w:val="18"/>
                <w:szCs w:val="18"/>
                <w:lang w:val="en-IN"/>
              </w:rPr>
              <w:t>s</w:t>
            </w:r>
            <w:r>
              <w:rPr>
                <w:rFonts w:ascii="Arial" w:hAnsi="Arial" w:cs="Arial"/>
                <w:color w:val="000000"/>
                <w:sz w:val="18"/>
                <w:szCs w:val="18"/>
                <w:lang w:val="en-IN"/>
              </w:rPr>
              <w:t>)</w:t>
            </w:r>
          </w:p>
        </w:tc>
        <w:tc>
          <w:tcPr>
            <w:tcW w:w="1648" w:type="dxa"/>
            <w:gridSpan w:val="2"/>
            <w:tcBorders>
              <w:top w:val="single" w:sz="4" w:space="0" w:color="auto"/>
              <w:left w:val="nil"/>
              <w:bottom w:val="single" w:sz="4" w:space="0" w:color="auto"/>
              <w:right w:val="single" w:sz="4" w:space="0" w:color="auto"/>
            </w:tcBorders>
            <w:shd w:val="clear" w:color="auto" w:fill="auto"/>
            <w:vAlign w:val="center"/>
            <w:hideMark/>
          </w:tcPr>
          <w:p w14:paraId="3EDB2F54" w14:textId="53CE5477" w:rsidR="003D6FA9" w:rsidRDefault="00E343B7" w:rsidP="003D6FA9">
            <w:pPr>
              <w:rPr>
                <w:rFonts w:ascii="Arial" w:hAnsi="Arial" w:cs="Arial"/>
                <w:color w:val="000000"/>
                <w:sz w:val="18"/>
                <w:szCs w:val="18"/>
                <w:lang w:val="en-IN"/>
              </w:rPr>
            </w:pPr>
            <w:r w:rsidRPr="0089507B">
              <w:rPr>
                <w:rFonts w:ascii="Arial" w:hAnsi="Arial" w:cs="Arial"/>
                <w:color w:val="000000"/>
                <w:sz w:val="18"/>
                <w:szCs w:val="18"/>
                <w:lang w:val="en-IN"/>
              </w:rPr>
              <w:t xml:space="preserve">No. of </w:t>
            </w:r>
            <w:r w:rsidR="00772DFA">
              <w:rPr>
                <w:rFonts w:ascii="Arial" w:hAnsi="Arial" w:cs="Arial"/>
                <w:color w:val="000000"/>
                <w:sz w:val="18"/>
                <w:szCs w:val="18"/>
                <w:lang w:val="en-IN"/>
              </w:rPr>
              <w:t>T</w:t>
            </w:r>
            <w:r w:rsidRPr="0089507B">
              <w:rPr>
                <w:rFonts w:ascii="Arial" w:hAnsi="Arial" w:cs="Arial"/>
                <w:color w:val="000000"/>
                <w:sz w:val="18"/>
                <w:szCs w:val="18"/>
                <w:lang w:val="en-IN"/>
              </w:rPr>
              <w:t>ransactions</w:t>
            </w:r>
          </w:p>
          <w:p w14:paraId="47A0EA76" w14:textId="1CA588AE" w:rsidR="00E343B7" w:rsidRPr="0089507B" w:rsidRDefault="00E343B7" w:rsidP="003D6FA9">
            <w:pPr>
              <w:rPr>
                <w:rFonts w:ascii="Arial" w:hAnsi="Arial" w:cs="Arial"/>
                <w:color w:val="000000"/>
                <w:sz w:val="18"/>
                <w:szCs w:val="18"/>
                <w:lang w:val="en-IN"/>
              </w:rPr>
            </w:pPr>
            <w:r w:rsidRPr="0089507B">
              <w:rPr>
                <w:rFonts w:ascii="Arial" w:hAnsi="Arial" w:cs="Arial"/>
                <w:color w:val="000000"/>
                <w:sz w:val="18"/>
                <w:szCs w:val="18"/>
                <w:lang w:val="en-IN"/>
              </w:rPr>
              <w:t>(</w:t>
            </w:r>
            <w:r w:rsidR="00D0450C">
              <w:rPr>
                <w:rFonts w:ascii="Arial" w:hAnsi="Arial" w:cs="Arial"/>
                <w:color w:val="000000"/>
                <w:sz w:val="18"/>
                <w:szCs w:val="18"/>
                <w:lang w:val="en-IN"/>
              </w:rPr>
              <w:t xml:space="preserve">in </w:t>
            </w:r>
            <w:r w:rsidRPr="0089507B">
              <w:rPr>
                <w:rFonts w:ascii="Arial" w:hAnsi="Arial" w:cs="Arial"/>
                <w:color w:val="000000"/>
                <w:sz w:val="18"/>
                <w:szCs w:val="18"/>
                <w:lang w:val="en-IN"/>
              </w:rPr>
              <w:t>million</w:t>
            </w:r>
            <w:r w:rsidR="00D0450C">
              <w:rPr>
                <w:rFonts w:ascii="Arial" w:hAnsi="Arial" w:cs="Arial"/>
                <w:color w:val="000000"/>
                <w:sz w:val="18"/>
                <w:szCs w:val="18"/>
                <w:lang w:val="en-IN"/>
              </w:rPr>
              <w:t>s</w:t>
            </w:r>
            <w:r w:rsidRPr="0089507B">
              <w:rPr>
                <w:rFonts w:ascii="Arial" w:hAnsi="Arial" w:cs="Arial"/>
                <w:color w:val="000000"/>
                <w:sz w:val="18"/>
                <w:szCs w:val="18"/>
                <w:lang w:val="en-IN"/>
              </w:rPr>
              <w:t>)</w:t>
            </w:r>
          </w:p>
        </w:tc>
        <w:tc>
          <w:tcPr>
            <w:tcW w:w="1850" w:type="dxa"/>
            <w:gridSpan w:val="2"/>
            <w:tcBorders>
              <w:top w:val="single" w:sz="4" w:space="0" w:color="auto"/>
              <w:left w:val="nil"/>
              <w:bottom w:val="single" w:sz="4" w:space="0" w:color="auto"/>
              <w:right w:val="single" w:sz="4" w:space="0" w:color="auto"/>
            </w:tcBorders>
            <w:shd w:val="clear" w:color="auto" w:fill="auto"/>
            <w:vAlign w:val="center"/>
            <w:hideMark/>
          </w:tcPr>
          <w:p w14:paraId="300AFE6F" w14:textId="51C5791B" w:rsidR="003D6FA9" w:rsidRDefault="00772DFA" w:rsidP="003D6FA9">
            <w:pPr>
              <w:rPr>
                <w:rFonts w:ascii="Arial" w:hAnsi="Arial" w:cs="Arial"/>
                <w:color w:val="000000"/>
                <w:sz w:val="18"/>
                <w:szCs w:val="18"/>
                <w:lang w:val="en-IN"/>
              </w:rPr>
            </w:pPr>
            <w:r>
              <w:rPr>
                <w:rFonts w:ascii="Arial" w:hAnsi="Arial" w:cs="Arial"/>
                <w:color w:val="000000"/>
                <w:sz w:val="18"/>
                <w:szCs w:val="18"/>
                <w:lang w:val="en-IN"/>
              </w:rPr>
              <w:t xml:space="preserve">Value </w:t>
            </w:r>
            <w:r w:rsidR="00E343B7">
              <w:rPr>
                <w:rFonts w:ascii="Arial" w:hAnsi="Arial" w:cs="Arial"/>
                <w:color w:val="000000"/>
                <w:sz w:val="18"/>
                <w:szCs w:val="18"/>
                <w:lang w:val="en-IN"/>
              </w:rPr>
              <w:t xml:space="preserve">of </w:t>
            </w:r>
            <w:r>
              <w:rPr>
                <w:rFonts w:ascii="Arial" w:hAnsi="Arial" w:cs="Arial"/>
                <w:color w:val="000000"/>
                <w:sz w:val="18"/>
                <w:szCs w:val="18"/>
                <w:lang w:val="en-IN"/>
              </w:rPr>
              <w:t>T</w:t>
            </w:r>
            <w:r w:rsidR="00E343B7">
              <w:rPr>
                <w:rFonts w:ascii="Arial" w:hAnsi="Arial" w:cs="Arial"/>
                <w:color w:val="000000"/>
                <w:sz w:val="18"/>
                <w:szCs w:val="18"/>
                <w:lang w:val="en-IN"/>
              </w:rPr>
              <w:t xml:space="preserve">ransactions </w:t>
            </w:r>
          </w:p>
          <w:p w14:paraId="034F7FC5" w14:textId="53724D4A" w:rsidR="00E343B7" w:rsidRPr="0089507B" w:rsidRDefault="00E343B7" w:rsidP="003D6FA9">
            <w:pPr>
              <w:rPr>
                <w:rFonts w:ascii="Arial" w:hAnsi="Arial" w:cs="Arial"/>
                <w:color w:val="000000"/>
                <w:sz w:val="18"/>
                <w:szCs w:val="18"/>
                <w:lang w:val="en-IN"/>
              </w:rPr>
            </w:pPr>
            <w:r>
              <w:rPr>
                <w:rFonts w:ascii="Arial" w:hAnsi="Arial" w:cs="Arial"/>
                <w:color w:val="000000"/>
                <w:sz w:val="18"/>
                <w:szCs w:val="18"/>
                <w:lang w:val="en-IN"/>
              </w:rPr>
              <w:t xml:space="preserve">(in </w:t>
            </w:r>
            <w:r w:rsidR="00A36352">
              <w:rPr>
                <w:rFonts w:ascii="Arial" w:hAnsi="Arial" w:cs="Arial"/>
                <w:color w:val="000000"/>
                <w:sz w:val="18"/>
                <w:szCs w:val="18"/>
                <w:lang w:val="en-IN"/>
              </w:rPr>
              <w:t>₹</w:t>
            </w:r>
            <w:r>
              <w:rPr>
                <w:rFonts w:ascii="Arial" w:hAnsi="Arial" w:cs="Arial"/>
                <w:color w:val="000000"/>
                <w:sz w:val="18"/>
                <w:szCs w:val="18"/>
                <w:lang w:val="en-IN"/>
              </w:rPr>
              <w:t xml:space="preserve"> b</w:t>
            </w:r>
            <w:r w:rsidRPr="0089507B">
              <w:rPr>
                <w:rFonts w:ascii="Arial" w:hAnsi="Arial" w:cs="Arial"/>
                <w:color w:val="000000"/>
                <w:sz w:val="18"/>
                <w:szCs w:val="18"/>
                <w:lang w:val="en-IN"/>
              </w:rPr>
              <w:t>illion)</w:t>
            </w:r>
          </w:p>
        </w:tc>
      </w:tr>
      <w:tr w:rsidR="00916E8C" w:rsidRPr="0089507B" w14:paraId="7063C556" w14:textId="77777777" w:rsidTr="00B92C7B">
        <w:trPr>
          <w:trHeight w:val="251"/>
          <w:jc w:val="center"/>
        </w:trPr>
        <w:tc>
          <w:tcPr>
            <w:tcW w:w="913" w:type="dxa"/>
            <w:tcBorders>
              <w:top w:val="nil"/>
              <w:left w:val="single" w:sz="4" w:space="0" w:color="auto"/>
              <w:bottom w:val="single" w:sz="4" w:space="0" w:color="auto"/>
              <w:right w:val="single" w:sz="4" w:space="0" w:color="auto"/>
            </w:tcBorders>
            <w:shd w:val="clear" w:color="auto" w:fill="auto"/>
            <w:noWrap/>
            <w:vAlign w:val="center"/>
            <w:hideMark/>
          </w:tcPr>
          <w:p w14:paraId="4A92B1F4" w14:textId="29EF1CC9" w:rsidR="00E343B7" w:rsidRPr="0089507B" w:rsidRDefault="00E343B7" w:rsidP="004E1154">
            <w:pPr>
              <w:rPr>
                <w:rFonts w:ascii="Arial" w:hAnsi="Arial" w:cs="Arial"/>
                <w:color w:val="000000"/>
                <w:sz w:val="18"/>
                <w:szCs w:val="18"/>
                <w:lang w:val="en-IN"/>
              </w:rPr>
            </w:pPr>
            <w:r w:rsidRPr="0089507B">
              <w:rPr>
                <w:rFonts w:ascii="Arial" w:hAnsi="Arial" w:cs="Arial"/>
                <w:color w:val="000000"/>
                <w:sz w:val="18"/>
                <w:szCs w:val="18"/>
                <w:lang w:val="en-IN"/>
              </w:rPr>
              <w:t> </w:t>
            </w:r>
          </w:p>
        </w:tc>
        <w:tc>
          <w:tcPr>
            <w:tcW w:w="824" w:type="dxa"/>
            <w:tcBorders>
              <w:top w:val="nil"/>
              <w:left w:val="nil"/>
              <w:bottom w:val="single" w:sz="4" w:space="0" w:color="auto"/>
              <w:right w:val="single" w:sz="4" w:space="0" w:color="auto"/>
            </w:tcBorders>
            <w:shd w:val="clear" w:color="auto" w:fill="auto"/>
            <w:noWrap/>
            <w:vAlign w:val="center"/>
            <w:hideMark/>
          </w:tcPr>
          <w:p w14:paraId="78C1B288" w14:textId="77777777" w:rsidR="00E343B7" w:rsidRPr="0089507B" w:rsidRDefault="00E343B7" w:rsidP="004E1154">
            <w:pPr>
              <w:rPr>
                <w:rFonts w:ascii="Arial" w:hAnsi="Arial" w:cs="Arial"/>
                <w:color w:val="000000"/>
                <w:sz w:val="18"/>
                <w:szCs w:val="18"/>
                <w:lang w:val="en-IN"/>
              </w:rPr>
            </w:pPr>
            <w:r w:rsidRPr="0089507B">
              <w:rPr>
                <w:rFonts w:ascii="Arial" w:hAnsi="Arial" w:cs="Arial"/>
                <w:color w:val="000000"/>
                <w:sz w:val="18"/>
                <w:szCs w:val="18"/>
                <w:lang w:val="en-IN"/>
              </w:rPr>
              <w:t> </w:t>
            </w:r>
          </w:p>
        </w:tc>
        <w:tc>
          <w:tcPr>
            <w:tcW w:w="824" w:type="dxa"/>
            <w:tcBorders>
              <w:top w:val="nil"/>
              <w:left w:val="nil"/>
              <w:bottom w:val="single" w:sz="4" w:space="0" w:color="auto"/>
              <w:right w:val="single" w:sz="4" w:space="0" w:color="auto"/>
            </w:tcBorders>
            <w:shd w:val="clear" w:color="auto" w:fill="auto"/>
            <w:noWrap/>
            <w:vAlign w:val="center"/>
            <w:hideMark/>
          </w:tcPr>
          <w:p w14:paraId="39EB03E4" w14:textId="77777777" w:rsidR="00E343B7" w:rsidRPr="0089507B" w:rsidRDefault="00E343B7" w:rsidP="004E1154">
            <w:pPr>
              <w:rPr>
                <w:rFonts w:ascii="Arial" w:hAnsi="Arial" w:cs="Arial"/>
                <w:color w:val="000000"/>
                <w:sz w:val="18"/>
                <w:szCs w:val="18"/>
                <w:lang w:val="en-IN"/>
              </w:rPr>
            </w:pPr>
            <w:r w:rsidRPr="0089507B">
              <w:rPr>
                <w:rFonts w:ascii="Arial" w:hAnsi="Arial" w:cs="Arial"/>
                <w:color w:val="000000"/>
                <w:sz w:val="18"/>
                <w:szCs w:val="18"/>
                <w:lang w:val="en-IN"/>
              </w:rPr>
              <w:t> </w:t>
            </w:r>
          </w:p>
        </w:tc>
        <w:tc>
          <w:tcPr>
            <w:tcW w:w="824" w:type="dxa"/>
            <w:tcBorders>
              <w:top w:val="nil"/>
              <w:left w:val="nil"/>
              <w:bottom w:val="single" w:sz="4" w:space="0" w:color="auto"/>
              <w:right w:val="single" w:sz="4" w:space="0" w:color="auto"/>
            </w:tcBorders>
            <w:shd w:val="clear" w:color="auto" w:fill="auto"/>
            <w:noWrap/>
            <w:vAlign w:val="center"/>
            <w:hideMark/>
          </w:tcPr>
          <w:p w14:paraId="08011EAB" w14:textId="77777777" w:rsidR="00E343B7" w:rsidRPr="0089507B" w:rsidRDefault="00E343B7" w:rsidP="004E1154">
            <w:pPr>
              <w:rPr>
                <w:rFonts w:ascii="Arial" w:hAnsi="Arial" w:cs="Arial"/>
                <w:color w:val="000000"/>
                <w:sz w:val="18"/>
                <w:szCs w:val="18"/>
                <w:lang w:val="en-IN"/>
              </w:rPr>
            </w:pPr>
            <w:r w:rsidRPr="0089507B">
              <w:rPr>
                <w:rFonts w:ascii="Arial" w:hAnsi="Arial" w:cs="Arial"/>
                <w:color w:val="000000"/>
                <w:sz w:val="18"/>
                <w:szCs w:val="18"/>
                <w:lang w:val="en-IN"/>
              </w:rPr>
              <w:t> </w:t>
            </w:r>
          </w:p>
        </w:tc>
        <w:tc>
          <w:tcPr>
            <w:tcW w:w="824" w:type="dxa"/>
            <w:tcBorders>
              <w:top w:val="nil"/>
              <w:left w:val="nil"/>
              <w:bottom w:val="single" w:sz="4" w:space="0" w:color="auto"/>
              <w:right w:val="single" w:sz="4" w:space="0" w:color="auto"/>
            </w:tcBorders>
            <w:shd w:val="clear" w:color="auto" w:fill="auto"/>
            <w:noWrap/>
            <w:vAlign w:val="center"/>
            <w:hideMark/>
          </w:tcPr>
          <w:p w14:paraId="2E023B9F" w14:textId="77777777" w:rsidR="00E343B7" w:rsidRPr="0089507B" w:rsidRDefault="00E343B7" w:rsidP="004E1154">
            <w:pPr>
              <w:rPr>
                <w:rFonts w:ascii="Arial" w:hAnsi="Arial" w:cs="Arial"/>
                <w:color w:val="000000"/>
                <w:sz w:val="18"/>
                <w:szCs w:val="18"/>
                <w:lang w:val="en-IN"/>
              </w:rPr>
            </w:pPr>
            <w:r w:rsidRPr="0089507B">
              <w:rPr>
                <w:rFonts w:ascii="Arial" w:hAnsi="Arial" w:cs="Arial"/>
                <w:color w:val="000000"/>
                <w:sz w:val="18"/>
                <w:szCs w:val="18"/>
                <w:lang w:val="en-IN"/>
              </w:rPr>
              <w:t> </w:t>
            </w:r>
          </w:p>
        </w:tc>
        <w:tc>
          <w:tcPr>
            <w:tcW w:w="1465" w:type="dxa"/>
            <w:tcBorders>
              <w:top w:val="nil"/>
              <w:left w:val="nil"/>
              <w:bottom w:val="single" w:sz="4" w:space="0" w:color="auto"/>
              <w:right w:val="single" w:sz="4" w:space="0" w:color="auto"/>
            </w:tcBorders>
            <w:shd w:val="clear" w:color="auto" w:fill="auto"/>
            <w:noWrap/>
            <w:vAlign w:val="center"/>
            <w:hideMark/>
          </w:tcPr>
          <w:p w14:paraId="26B610C4" w14:textId="77777777" w:rsidR="00E343B7" w:rsidRPr="0089507B" w:rsidRDefault="00E343B7" w:rsidP="004E1154">
            <w:pPr>
              <w:rPr>
                <w:rFonts w:ascii="Arial" w:hAnsi="Arial" w:cs="Arial"/>
                <w:color w:val="000000"/>
                <w:sz w:val="18"/>
                <w:szCs w:val="18"/>
                <w:lang w:val="en-IN"/>
              </w:rPr>
            </w:pPr>
            <w:r w:rsidRPr="0089507B">
              <w:rPr>
                <w:rFonts w:ascii="Arial" w:hAnsi="Arial" w:cs="Arial"/>
                <w:color w:val="000000"/>
                <w:sz w:val="18"/>
                <w:szCs w:val="18"/>
                <w:lang w:val="en-IN"/>
              </w:rPr>
              <w:t> </w:t>
            </w:r>
          </w:p>
        </w:tc>
        <w:tc>
          <w:tcPr>
            <w:tcW w:w="634" w:type="dxa"/>
            <w:tcBorders>
              <w:top w:val="nil"/>
              <w:left w:val="nil"/>
              <w:bottom w:val="single" w:sz="4" w:space="0" w:color="auto"/>
              <w:right w:val="single" w:sz="4" w:space="0" w:color="auto"/>
            </w:tcBorders>
            <w:shd w:val="clear" w:color="auto" w:fill="auto"/>
            <w:noWrap/>
            <w:vAlign w:val="center"/>
            <w:hideMark/>
          </w:tcPr>
          <w:p w14:paraId="31ADE60D" w14:textId="77777777" w:rsidR="00E343B7" w:rsidRPr="003D6FA9" w:rsidRDefault="00E343B7" w:rsidP="003D6FA9">
            <w:pPr>
              <w:jc w:val="center"/>
              <w:rPr>
                <w:rFonts w:ascii="Arial" w:hAnsi="Arial" w:cs="Arial"/>
                <w:b/>
                <w:color w:val="000000"/>
                <w:sz w:val="18"/>
                <w:szCs w:val="18"/>
                <w:lang w:val="en-IN"/>
              </w:rPr>
            </w:pPr>
            <w:r w:rsidRPr="003D6FA9">
              <w:rPr>
                <w:rFonts w:ascii="Arial" w:hAnsi="Arial" w:cs="Arial"/>
                <w:b/>
                <w:color w:val="000000"/>
                <w:sz w:val="18"/>
                <w:szCs w:val="18"/>
                <w:lang w:val="en-IN"/>
              </w:rPr>
              <w:t>ATM</w:t>
            </w:r>
          </w:p>
        </w:tc>
        <w:tc>
          <w:tcPr>
            <w:tcW w:w="831" w:type="dxa"/>
            <w:tcBorders>
              <w:top w:val="nil"/>
              <w:left w:val="nil"/>
              <w:bottom w:val="single" w:sz="4" w:space="0" w:color="auto"/>
              <w:right w:val="single" w:sz="4" w:space="0" w:color="auto"/>
            </w:tcBorders>
            <w:shd w:val="clear" w:color="auto" w:fill="auto"/>
            <w:noWrap/>
            <w:vAlign w:val="center"/>
            <w:hideMark/>
          </w:tcPr>
          <w:p w14:paraId="775F590F" w14:textId="77777777" w:rsidR="00E343B7" w:rsidRPr="003D6FA9" w:rsidRDefault="00E343B7" w:rsidP="003D6FA9">
            <w:pPr>
              <w:jc w:val="center"/>
              <w:rPr>
                <w:rFonts w:ascii="Arial" w:hAnsi="Arial" w:cs="Arial"/>
                <w:b/>
                <w:color w:val="000000"/>
                <w:sz w:val="18"/>
                <w:szCs w:val="18"/>
                <w:lang w:val="en-IN"/>
              </w:rPr>
            </w:pPr>
            <w:r w:rsidRPr="003D6FA9">
              <w:rPr>
                <w:rFonts w:ascii="Arial" w:hAnsi="Arial" w:cs="Arial"/>
                <w:b/>
                <w:color w:val="000000"/>
                <w:sz w:val="18"/>
                <w:szCs w:val="18"/>
                <w:lang w:val="en-IN"/>
              </w:rPr>
              <w:t>POS</w:t>
            </w:r>
          </w:p>
        </w:tc>
        <w:tc>
          <w:tcPr>
            <w:tcW w:w="641" w:type="dxa"/>
            <w:tcBorders>
              <w:top w:val="nil"/>
              <w:left w:val="nil"/>
              <w:bottom w:val="single" w:sz="4" w:space="0" w:color="auto"/>
              <w:right w:val="single" w:sz="4" w:space="0" w:color="auto"/>
            </w:tcBorders>
            <w:shd w:val="clear" w:color="auto" w:fill="auto"/>
            <w:noWrap/>
            <w:vAlign w:val="center"/>
            <w:hideMark/>
          </w:tcPr>
          <w:p w14:paraId="1FE89A93" w14:textId="77777777" w:rsidR="00E343B7" w:rsidRPr="003D6FA9" w:rsidRDefault="00E343B7" w:rsidP="003D6FA9">
            <w:pPr>
              <w:jc w:val="center"/>
              <w:rPr>
                <w:rFonts w:ascii="Arial" w:hAnsi="Arial" w:cs="Arial"/>
                <w:b/>
                <w:color w:val="000000"/>
                <w:sz w:val="18"/>
                <w:szCs w:val="18"/>
                <w:lang w:val="en-IN"/>
              </w:rPr>
            </w:pPr>
            <w:r w:rsidRPr="003D6FA9">
              <w:rPr>
                <w:rFonts w:ascii="Arial" w:hAnsi="Arial" w:cs="Arial"/>
                <w:b/>
                <w:color w:val="000000"/>
                <w:sz w:val="18"/>
                <w:szCs w:val="18"/>
                <w:lang w:val="en-IN"/>
              </w:rPr>
              <w:t>ATM</w:t>
            </w:r>
          </w:p>
        </w:tc>
        <w:tc>
          <w:tcPr>
            <w:tcW w:w="824" w:type="dxa"/>
            <w:tcBorders>
              <w:top w:val="nil"/>
              <w:left w:val="nil"/>
              <w:bottom w:val="single" w:sz="4" w:space="0" w:color="auto"/>
              <w:right w:val="single" w:sz="4" w:space="0" w:color="auto"/>
            </w:tcBorders>
            <w:shd w:val="clear" w:color="auto" w:fill="auto"/>
            <w:noWrap/>
            <w:vAlign w:val="center"/>
            <w:hideMark/>
          </w:tcPr>
          <w:p w14:paraId="397EB246" w14:textId="77777777" w:rsidR="00E343B7" w:rsidRPr="003D6FA9" w:rsidRDefault="00E343B7" w:rsidP="003D6FA9">
            <w:pPr>
              <w:jc w:val="center"/>
              <w:rPr>
                <w:rFonts w:ascii="Arial" w:hAnsi="Arial" w:cs="Arial"/>
                <w:b/>
                <w:color w:val="000000"/>
                <w:sz w:val="18"/>
                <w:szCs w:val="18"/>
                <w:lang w:val="en-IN"/>
              </w:rPr>
            </w:pPr>
            <w:r w:rsidRPr="003D6FA9">
              <w:rPr>
                <w:rFonts w:ascii="Arial" w:hAnsi="Arial" w:cs="Arial"/>
                <w:b/>
                <w:color w:val="000000"/>
                <w:sz w:val="18"/>
                <w:szCs w:val="18"/>
                <w:lang w:val="en-IN"/>
              </w:rPr>
              <w:t>POS</w:t>
            </w:r>
          </w:p>
        </w:tc>
        <w:tc>
          <w:tcPr>
            <w:tcW w:w="1190" w:type="dxa"/>
            <w:tcBorders>
              <w:top w:val="nil"/>
              <w:left w:val="nil"/>
              <w:bottom w:val="single" w:sz="4" w:space="0" w:color="auto"/>
              <w:right w:val="single" w:sz="4" w:space="0" w:color="auto"/>
            </w:tcBorders>
            <w:shd w:val="clear" w:color="auto" w:fill="auto"/>
            <w:noWrap/>
            <w:vAlign w:val="center"/>
            <w:hideMark/>
          </w:tcPr>
          <w:p w14:paraId="4C89FC19" w14:textId="55912657" w:rsidR="00E343B7" w:rsidRPr="003D6FA9" w:rsidRDefault="00E343B7" w:rsidP="003D6FA9">
            <w:pPr>
              <w:jc w:val="center"/>
              <w:rPr>
                <w:rFonts w:ascii="Arial" w:hAnsi="Arial" w:cs="Arial"/>
                <w:b/>
                <w:color w:val="000000"/>
                <w:sz w:val="18"/>
                <w:szCs w:val="18"/>
                <w:lang w:val="en-IN"/>
              </w:rPr>
            </w:pPr>
          </w:p>
        </w:tc>
        <w:tc>
          <w:tcPr>
            <w:tcW w:w="824" w:type="dxa"/>
            <w:tcBorders>
              <w:top w:val="nil"/>
              <w:left w:val="nil"/>
              <w:bottom w:val="single" w:sz="4" w:space="0" w:color="auto"/>
              <w:right w:val="single" w:sz="4" w:space="0" w:color="auto"/>
            </w:tcBorders>
            <w:shd w:val="clear" w:color="auto" w:fill="auto"/>
            <w:noWrap/>
            <w:vAlign w:val="center"/>
            <w:hideMark/>
          </w:tcPr>
          <w:p w14:paraId="64992EA9" w14:textId="77777777" w:rsidR="00E343B7" w:rsidRPr="003D6FA9" w:rsidRDefault="00E343B7" w:rsidP="003D6FA9">
            <w:pPr>
              <w:jc w:val="center"/>
              <w:rPr>
                <w:rFonts w:ascii="Arial" w:hAnsi="Arial" w:cs="Arial"/>
                <w:b/>
                <w:color w:val="000000"/>
                <w:sz w:val="18"/>
                <w:szCs w:val="18"/>
                <w:lang w:val="en-IN"/>
              </w:rPr>
            </w:pPr>
            <w:r w:rsidRPr="003D6FA9">
              <w:rPr>
                <w:rFonts w:ascii="Arial" w:hAnsi="Arial" w:cs="Arial"/>
                <w:b/>
                <w:color w:val="000000"/>
                <w:sz w:val="18"/>
                <w:szCs w:val="18"/>
                <w:lang w:val="en-IN"/>
              </w:rPr>
              <w:t>ATM</w:t>
            </w:r>
          </w:p>
        </w:tc>
        <w:tc>
          <w:tcPr>
            <w:tcW w:w="824" w:type="dxa"/>
            <w:tcBorders>
              <w:top w:val="nil"/>
              <w:left w:val="nil"/>
              <w:bottom w:val="single" w:sz="4" w:space="0" w:color="auto"/>
              <w:right w:val="single" w:sz="4" w:space="0" w:color="auto"/>
            </w:tcBorders>
            <w:shd w:val="clear" w:color="auto" w:fill="auto"/>
            <w:noWrap/>
            <w:vAlign w:val="center"/>
            <w:hideMark/>
          </w:tcPr>
          <w:p w14:paraId="639FF298" w14:textId="77777777" w:rsidR="00E343B7" w:rsidRPr="003D6FA9" w:rsidRDefault="00E343B7" w:rsidP="003D6FA9">
            <w:pPr>
              <w:jc w:val="center"/>
              <w:rPr>
                <w:rFonts w:ascii="Arial" w:hAnsi="Arial" w:cs="Arial"/>
                <w:b/>
                <w:color w:val="000000"/>
                <w:sz w:val="18"/>
                <w:szCs w:val="18"/>
                <w:lang w:val="en-IN"/>
              </w:rPr>
            </w:pPr>
            <w:r w:rsidRPr="003D6FA9">
              <w:rPr>
                <w:rFonts w:ascii="Arial" w:hAnsi="Arial" w:cs="Arial"/>
                <w:b/>
                <w:color w:val="000000"/>
                <w:sz w:val="18"/>
                <w:szCs w:val="18"/>
                <w:lang w:val="en-IN"/>
              </w:rPr>
              <w:t>POS</w:t>
            </w:r>
          </w:p>
        </w:tc>
        <w:tc>
          <w:tcPr>
            <w:tcW w:w="1057" w:type="dxa"/>
            <w:tcBorders>
              <w:top w:val="nil"/>
              <w:left w:val="nil"/>
              <w:bottom w:val="single" w:sz="4" w:space="0" w:color="auto"/>
              <w:right w:val="single" w:sz="4" w:space="0" w:color="auto"/>
            </w:tcBorders>
            <w:shd w:val="clear" w:color="auto" w:fill="auto"/>
            <w:noWrap/>
            <w:vAlign w:val="center"/>
            <w:hideMark/>
          </w:tcPr>
          <w:p w14:paraId="0A2A8BF6" w14:textId="77777777" w:rsidR="00E343B7" w:rsidRPr="003D6FA9" w:rsidRDefault="00E343B7" w:rsidP="003D6FA9">
            <w:pPr>
              <w:jc w:val="center"/>
              <w:rPr>
                <w:rFonts w:ascii="Arial" w:hAnsi="Arial" w:cs="Arial"/>
                <w:b/>
                <w:color w:val="000000"/>
                <w:sz w:val="18"/>
                <w:szCs w:val="18"/>
                <w:lang w:val="en-IN"/>
              </w:rPr>
            </w:pPr>
            <w:r w:rsidRPr="003D6FA9">
              <w:rPr>
                <w:rFonts w:ascii="Arial" w:hAnsi="Arial" w:cs="Arial"/>
                <w:b/>
                <w:color w:val="000000"/>
                <w:sz w:val="18"/>
                <w:szCs w:val="18"/>
                <w:lang w:val="en-IN"/>
              </w:rPr>
              <w:t>ATM</w:t>
            </w:r>
          </w:p>
        </w:tc>
        <w:tc>
          <w:tcPr>
            <w:tcW w:w="793" w:type="dxa"/>
            <w:tcBorders>
              <w:top w:val="nil"/>
              <w:left w:val="nil"/>
              <w:bottom w:val="single" w:sz="4" w:space="0" w:color="auto"/>
              <w:right w:val="single" w:sz="4" w:space="0" w:color="auto"/>
            </w:tcBorders>
            <w:shd w:val="clear" w:color="auto" w:fill="auto"/>
            <w:noWrap/>
            <w:vAlign w:val="center"/>
            <w:hideMark/>
          </w:tcPr>
          <w:p w14:paraId="1D480E92" w14:textId="77777777" w:rsidR="00E343B7" w:rsidRPr="003D6FA9" w:rsidRDefault="00E343B7" w:rsidP="003D6FA9">
            <w:pPr>
              <w:jc w:val="center"/>
              <w:rPr>
                <w:rFonts w:ascii="Arial" w:hAnsi="Arial" w:cs="Arial"/>
                <w:b/>
                <w:color w:val="000000"/>
                <w:sz w:val="18"/>
                <w:szCs w:val="18"/>
                <w:lang w:val="en-IN"/>
              </w:rPr>
            </w:pPr>
            <w:r w:rsidRPr="003D6FA9">
              <w:rPr>
                <w:rFonts w:ascii="Arial" w:hAnsi="Arial" w:cs="Arial"/>
                <w:b/>
                <w:color w:val="000000"/>
                <w:sz w:val="18"/>
                <w:szCs w:val="18"/>
                <w:lang w:val="en-IN"/>
              </w:rPr>
              <w:t>POS</w:t>
            </w:r>
          </w:p>
        </w:tc>
      </w:tr>
      <w:tr w:rsidR="00916E8C" w:rsidRPr="0089507B" w14:paraId="65A94AE4" w14:textId="77777777" w:rsidTr="00B92C7B">
        <w:trPr>
          <w:trHeight w:val="269"/>
          <w:jc w:val="center"/>
        </w:trPr>
        <w:tc>
          <w:tcPr>
            <w:tcW w:w="913" w:type="dxa"/>
            <w:tcBorders>
              <w:top w:val="nil"/>
              <w:left w:val="single" w:sz="4" w:space="0" w:color="auto"/>
              <w:bottom w:val="single" w:sz="4" w:space="0" w:color="auto"/>
              <w:right w:val="single" w:sz="4" w:space="0" w:color="auto"/>
            </w:tcBorders>
            <w:shd w:val="clear" w:color="auto" w:fill="auto"/>
            <w:noWrap/>
            <w:vAlign w:val="center"/>
            <w:hideMark/>
          </w:tcPr>
          <w:p w14:paraId="3E966D54" w14:textId="630BF928" w:rsidR="00E343B7" w:rsidRPr="0089507B" w:rsidRDefault="00A36352" w:rsidP="004E1154">
            <w:pPr>
              <w:jc w:val="right"/>
              <w:rPr>
                <w:rFonts w:ascii="Arial" w:hAnsi="Arial" w:cs="Arial"/>
                <w:b/>
                <w:bCs/>
                <w:color w:val="000000"/>
                <w:sz w:val="18"/>
                <w:szCs w:val="18"/>
                <w:lang w:val="en-IN"/>
              </w:rPr>
            </w:pPr>
            <w:r>
              <w:rPr>
                <w:rFonts w:ascii="Arial" w:hAnsi="Arial" w:cs="Arial"/>
                <w:b/>
                <w:bCs/>
                <w:color w:val="000000"/>
                <w:sz w:val="18"/>
                <w:szCs w:val="18"/>
                <w:lang w:val="en-IN"/>
              </w:rPr>
              <w:t>2016-10</w:t>
            </w:r>
          </w:p>
        </w:tc>
        <w:tc>
          <w:tcPr>
            <w:tcW w:w="824" w:type="dxa"/>
            <w:tcBorders>
              <w:top w:val="nil"/>
              <w:left w:val="nil"/>
              <w:bottom w:val="single" w:sz="4" w:space="0" w:color="auto"/>
              <w:right w:val="single" w:sz="4" w:space="0" w:color="auto"/>
            </w:tcBorders>
            <w:shd w:val="clear" w:color="auto" w:fill="auto"/>
            <w:noWrap/>
            <w:vAlign w:val="center"/>
            <w:hideMark/>
          </w:tcPr>
          <w:p w14:paraId="2BECF760" w14:textId="5D62553C" w:rsidR="00E343B7" w:rsidRPr="0089507B" w:rsidRDefault="00A36352" w:rsidP="004E1154">
            <w:pPr>
              <w:jc w:val="right"/>
              <w:rPr>
                <w:rFonts w:ascii="Arial" w:hAnsi="Arial" w:cs="Arial"/>
                <w:color w:val="000000"/>
                <w:sz w:val="18"/>
                <w:szCs w:val="18"/>
                <w:lang w:val="en-IN"/>
              </w:rPr>
            </w:pPr>
            <w:r>
              <w:rPr>
                <w:rFonts w:ascii="Arial" w:hAnsi="Arial" w:cs="Arial"/>
                <w:color w:val="000000"/>
                <w:sz w:val="18"/>
                <w:szCs w:val="18"/>
                <w:lang w:val="en-IN"/>
              </w:rPr>
              <w:t>110</w:t>
            </w:r>
          </w:p>
        </w:tc>
        <w:tc>
          <w:tcPr>
            <w:tcW w:w="824" w:type="dxa"/>
            <w:tcBorders>
              <w:top w:val="nil"/>
              <w:left w:val="nil"/>
              <w:bottom w:val="single" w:sz="4" w:space="0" w:color="auto"/>
              <w:right w:val="single" w:sz="4" w:space="0" w:color="auto"/>
            </w:tcBorders>
            <w:shd w:val="clear" w:color="auto" w:fill="auto"/>
            <w:noWrap/>
            <w:vAlign w:val="center"/>
            <w:hideMark/>
          </w:tcPr>
          <w:p w14:paraId="3CDAD8C5" w14:textId="206CD99B"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10</w:t>
            </w:r>
            <w:r w:rsidR="00A36352">
              <w:rPr>
                <w:rFonts w:ascii="Arial" w:hAnsi="Arial" w:cs="Arial"/>
                <w:color w:val="000000"/>
                <w:sz w:val="18"/>
                <w:szCs w:val="18"/>
                <w:lang w:val="en-IN"/>
              </w:rPr>
              <w:t>0</w:t>
            </w:r>
          </w:p>
        </w:tc>
        <w:tc>
          <w:tcPr>
            <w:tcW w:w="824" w:type="dxa"/>
            <w:tcBorders>
              <w:top w:val="nil"/>
              <w:left w:val="nil"/>
              <w:bottom w:val="single" w:sz="4" w:space="0" w:color="auto"/>
              <w:right w:val="single" w:sz="4" w:space="0" w:color="auto"/>
            </w:tcBorders>
            <w:shd w:val="clear" w:color="auto" w:fill="auto"/>
            <w:noWrap/>
            <w:vAlign w:val="center"/>
            <w:hideMark/>
          </w:tcPr>
          <w:p w14:paraId="32BACE91" w14:textId="0AE4DDFD"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1</w:t>
            </w:r>
            <w:r w:rsidR="00A36352">
              <w:rPr>
                <w:rFonts w:ascii="Arial" w:hAnsi="Arial" w:cs="Arial"/>
                <w:color w:val="000000"/>
                <w:sz w:val="18"/>
                <w:szCs w:val="18"/>
                <w:lang w:val="en-IN"/>
              </w:rPr>
              <w:t>,</w:t>
            </w:r>
            <w:r w:rsidRPr="0089507B">
              <w:rPr>
                <w:rFonts w:ascii="Arial" w:hAnsi="Arial" w:cs="Arial"/>
                <w:color w:val="000000"/>
                <w:sz w:val="18"/>
                <w:szCs w:val="18"/>
                <w:lang w:val="en-IN"/>
              </w:rPr>
              <w:t>51</w:t>
            </w:r>
            <w:r w:rsidR="00A36352">
              <w:rPr>
                <w:rFonts w:ascii="Arial" w:hAnsi="Arial" w:cs="Arial"/>
                <w:color w:val="000000"/>
                <w:sz w:val="18"/>
                <w:szCs w:val="18"/>
                <w:lang w:val="en-IN"/>
              </w:rPr>
              <w:t>0</w:t>
            </w:r>
          </w:p>
        </w:tc>
        <w:tc>
          <w:tcPr>
            <w:tcW w:w="824" w:type="dxa"/>
            <w:tcBorders>
              <w:top w:val="nil"/>
              <w:left w:val="nil"/>
              <w:bottom w:val="single" w:sz="4" w:space="0" w:color="auto"/>
              <w:right w:val="single" w:sz="4" w:space="0" w:color="auto"/>
            </w:tcBorders>
            <w:shd w:val="clear" w:color="auto" w:fill="auto"/>
            <w:noWrap/>
            <w:vAlign w:val="center"/>
            <w:hideMark/>
          </w:tcPr>
          <w:p w14:paraId="439351B7" w14:textId="0924DBC0" w:rsidR="00E343B7" w:rsidRPr="0089507B" w:rsidRDefault="003D6FA9" w:rsidP="004E1154">
            <w:pPr>
              <w:jc w:val="right"/>
              <w:rPr>
                <w:rFonts w:ascii="Arial" w:hAnsi="Arial" w:cs="Arial"/>
                <w:color w:val="000000"/>
                <w:sz w:val="18"/>
                <w:szCs w:val="18"/>
                <w:lang w:val="en-IN"/>
              </w:rPr>
            </w:pPr>
            <w:r>
              <w:rPr>
                <w:rFonts w:ascii="Arial" w:hAnsi="Arial" w:cs="Arial"/>
                <w:color w:val="000000"/>
                <w:sz w:val="18"/>
                <w:szCs w:val="18"/>
                <w:lang w:val="en-IN"/>
              </w:rPr>
              <w:t>0.3</w:t>
            </w:r>
          </w:p>
        </w:tc>
        <w:tc>
          <w:tcPr>
            <w:tcW w:w="1465" w:type="dxa"/>
            <w:tcBorders>
              <w:top w:val="nil"/>
              <w:left w:val="nil"/>
              <w:bottom w:val="single" w:sz="4" w:space="0" w:color="auto"/>
              <w:right w:val="single" w:sz="4" w:space="0" w:color="auto"/>
            </w:tcBorders>
            <w:shd w:val="clear" w:color="auto" w:fill="auto"/>
            <w:noWrap/>
            <w:vAlign w:val="center"/>
            <w:hideMark/>
          </w:tcPr>
          <w:p w14:paraId="05B2A670" w14:textId="77777777" w:rsidR="00E343B7" w:rsidRPr="0089507B" w:rsidRDefault="00E343B7" w:rsidP="00B92C7B">
            <w:pPr>
              <w:jc w:val="center"/>
              <w:rPr>
                <w:rFonts w:ascii="Arial" w:hAnsi="Arial" w:cs="Arial"/>
                <w:color w:val="000000"/>
                <w:sz w:val="18"/>
                <w:szCs w:val="18"/>
                <w:lang w:val="en-IN"/>
              </w:rPr>
            </w:pPr>
            <w:r w:rsidRPr="0089507B">
              <w:rPr>
                <w:rFonts w:ascii="Arial" w:hAnsi="Arial" w:cs="Arial"/>
                <w:color w:val="000000"/>
                <w:sz w:val="18"/>
                <w:szCs w:val="18"/>
                <w:lang w:val="en-IN"/>
              </w:rPr>
              <w:t>27.34</w:t>
            </w:r>
          </w:p>
        </w:tc>
        <w:tc>
          <w:tcPr>
            <w:tcW w:w="634" w:type="dxa"/>
            <w:tcBorders>
              <w:top w:val="nil"/>
              <w:left w:val="nil"/>
              <w:bottom w:val="single" w:sz="4" w:space="0" w:color="auto"/>
              <w:right w:val="single" w:sz="4" w:space="0" w:color="auto"/>
            </w:tcBorders>
            <w:shd w:val="clear" w:color="auto" w:fill="auto"/>
            <w:noWrap/>
            <w:vAlign w:val="center"/>
            <w:hideMark/>
          </w:tcPr>
          <w:p w14:paraId="31A7B8B5"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0.62</w:t>
            </w:r>
          </w:p>
        </w:tc>
        <w:tc>
          <w:tcPr>
            <w:tcW w:w="831" w:type="dxa"/>
            <w:tcBorders>
              <w:top w:val="nil"/>
              <w:left w:val="nil"/>
              <w:bottom w:val="single" w:sz="4" w:space="0" w:color="auto"/>
              <w:right w:val="single" w:sz="4" w:space="0" w:color="auto"/>
            </w:tcBorders>
            <w:shd w:val="clear" w:color="auto" w:fill="auto"/>
            <w:noWrap/>
            <w:vAlign w:val="center"/>
            <w:hideMark/>
          </w:tcPr>
          <w:p w14:paraId="0A65BD11"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88.86</w:t>
            </w:r>
          </w:p>
        </w:tc>
        <w:tc>
          <w:tcPr>
            <w:tcW w:w="641" w:type="dxa"/>
            <w:tcBorders>
              <w:top w:val="nil"/>
              <w:left w:val="nil"/>
              <w:bottom w:val="single" w:sz="4" w:space="0" w:color="auto"/>
              <w:right w:val="single" w:sz="4" w:space="0" w:color="auto"/>
            </w:tcBorders>
            <w:shd w:val="clear" w:color="auto" w:fill="auto"/>
            <w:noWrap/>
            <w:vAlign w:val="center"/>
            <w:hideMark/>
          </w:tcPr>
          <w:p w14:paraId="7C12E953" w14:textId="69B2CB21" w:rsidR="00E343B7" w:rsidRPr="0089507B" w:rsidRDefault="00B71246" w:rsidP="004E1154">
            <w:pPr>
              <w:jc w:val="right"/>
              <w:rPr>
                <w:rFonts w:ascii="Arial" w:hAnsi="Arial" w:cs="Arial"/>
                <w:color w:val="000000"/>
                <w:sz w:val="18"/>
                <w:szCs w:val="18"/>
                <w:lang w:val="en-IN"/>
              </w:rPr>
            </w:pPr>
            <w:r>
              <w:rPr>
                <w:rFonts w:ascii="Arial" w:hAnsi="Arial" w:cs="Arial"/>
                <w:color w:val="000000"/>
                <w:sz w:val="18"/>
                <w:szCs w:val="18"/>
                <w:lang w:val="en-IN"/>
              </w:rPr>
              <w:t>3.00</w:t>
            </w:r>
          </w:p>
        </w:tc>
        <w:tc>
          <w:tcPr>
            <w:tcW w:w="824" w:type="dxa"/>
            <w:tcBorders>
              <w:top w:val="nil"/>
              <w:left w:val="nil"/>
              <w:bottom w:val="single" w:sz="4" w:space="0" w:color="auto"/>
              <w:right w:val="single" w:sz="4" w:space="0" w:color="auto"/>
            </w:tcBorders>
            <w:shd w:val="clear" w:color="auto" w:fill="auto"/>
            <w:noWrap/>
            <w:vAlign w:val="center"/>
            <w:hideMark/>
          </w:tcPr>
          <w:p w14:paraId="7C8DFF2C"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299.42</w:t>
            </w:r>
          </w:p>
        </w:tc>
        <w:tc>
          <w:tcPr>
            <w:tcW w:w="1190" w:type="dxa"/>
            <w:tcBorders>
              <w:top w:val="nil"/>
              <w:left w:val="nil"/>
              <w:bottom w:val="single" w:sz="4" w:space="0" w:color="auto"/>
              <w:right w:val="single" w:sz="4" w:space="0" w:color="auto"/>
            </w:tcBorders>
            <w:shd w:val="clear" w:color="auto" w:fill="auto"/>
            <w:noWrap/>
            <w:vAlign w:val="center"/>
            <w:hideMark/>
          </w:tcPr>
          <w:p w14:paraId="6E833C15" w14:textId="77777777" w:rsidR="00E343B7" w:rsidRPr="0089507B" w:rsidRDefault="00E343B7" w:rsidP="00B92C7B">
            <w:pPr>
              <w:jc w:val="center"/>
              <w:rPr>
                <w:rFonts w:ascii="Arial" w:hAnsi="Arial" w:cs="Arial"/>
                <w:color w:val="000000"/>
                <w:sz w:val="18"/>
                <w:szCs w:val="18"/>
                <w:lang w:val="en-IN"/>
              </w:rPr>
            </w:pPr>
            <w:r w:rsidRPr="0089507B">
              <w:rPr>
                <w:rFonts w:ascii="Arial" w:hAnsi="Arial" w:cs="Arial"/>
                <w:color w:val="000000"/>
                <w:sz w:val="18"/>
                <w:szCs w:val="18"/>
                <w:lang w:val="en-IN"/>
              </w:rPr>
              <w:t>739.28</w:t>
            </w:r>
          </w:p>
        </w:tc>
        <w:tc>
          <w:tcPr>
            <w:tcW w:w="824" w:type="dxa"/>
            <w:tcBorders>
              <w:top w:val="nil"/>
              <w:left w:val="nil"/>
              <w:bottom w:val="single" w:sz="4" w:space="0" w:color="auto"/>
              <w:right w:val="single" w:sz="4" w:space="0" w:color="auto"/>
            </w:tcBorders>
            <w:shd w:val="clear" w:color="auto" w:fill="auto"/>
            <w:noWrap/>
            <w:vAlign w:val="center"/>
            <w:hideMark/>
          </w:tcPr>
          <w:p w14:paraId="3BA4F0A2"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802.06</w:t>
            </w:r>
          </w:p>
        </w:tc>
        <w:tc>
          <w:tcPr>
            <w:tcW w:w="824" w:type="dxa"/>
            <w:tcBorders>
              <w:top w:val="nil"/>
              <w:left w:val="nil"/>
              <w:bottom w:val="single" w:sz="4" w:space="0" w:color="auto"/>
              <w:right w:val="single" w:sz="4" w:space="0" w:color="auto"/>
            </w:tcBorders>
            <w:shd w:val="clear" w:color="auto" w:fill="auto"/>
            <w:noWrap/>
            <w:vAlign w:val="center"/>
            <w:hideMark/>
          </w:tcPr>
          <w:p w14:paraId="41B04C32"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140.59</w:t>
            </w:r>
          </w:p>
        </w:tc>
        <w:tc>
          <w:tcPr>
            <w:tcW w:w="1057" w:type="dxa"/>
            <w:tcBorders>
              <w:top w:val="nil"/>
              <w:left w:val="nil"/>
              <w:bottom w:val="single" w:sz="4" w:space="0" w:color="auto"/>
              <w:right w:val="single" w:sz="4" w:space="0" w:color="auto"/>
            </w:tcBorders>
            <w:shd w:val="clear" w:color="auto" w:fill="auto"/>
            <w:noWrap/>
            <w:vAlign w:val="center"/>
            <w:hideMark/>
          </w:tcPr>
          <w:p w14:paraId="2367EFBC" w14:textId="6757A0E1"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2</w:t>
            </w:r>
            <w:r w:rsidR="00D0450C">
              <w:rPr>
                <w:rFonts w:ascii="Arial" w:hAnsi="Arial" w:cs="Arial"/>
                <w:color w:val="000000"/>
                <w:sz w:val="18"/>
                <w:szCs w:val="18"/>
                <w:lang w:val="en-IN"/>
              </w:rPr>
              <w:t>,</w:t>
            </w:r>
            <w:r w:rsidRPr="0089507B">
              <w:rPr>
                <w:rFonts w:ascii="Arial" w:hAnsi="Arial" w:cs="Arial"/>
                <w:color w:val="000000"/>
                <w:sz w:val="18"/>
                <w:szCs w:val="18"/>
                <w:lang w:val="en-IN"/>
              </w:rPr>
              <w:t>547.81</w:t>
            </w:r>
          </w:p>
        </w:tc>
        <w:tc>
          <w:tcPr>
            <w:tcW w:w="793" w:type="dxa"/>
            <w:tcBorders>
              <w:top w:val="nil"/>
              <w:left w:val="nil"/>
              <w:bottom w:val="single" w:sz="4" w:space="0" w:color="auto"/>
              <w:right w:val="single" w:sz="4" w:space="0" w:color="auto"/>
            </w:tcBorders>
            <w:shd w:val="clear" w:color="auto" w:fill="auto"/>
            <w:noWrap/>
            <w:vAlign w:val="center"/>
            <w:hideMark/>
          </w:tcPr>
          <w:p w14:paraId="6564C368"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219.41</w:t>
            </w:r>
          </w:p>
        </w:tc>
      </w:tr>
      <w:tr w:rsidR="00916E8C" w:rsidRPr="0089507B" w14:paraId="279F7262" w14:textId="77777777" w:rsidTr="00B92C7B">
        <w:trPr>
          <w:trHeight w:val="251"/>
          <w:jc w:val="center"/>
        </w:trPr>
        <w:tc>
          <w:tcPr>
            <w:tcW w:w="913" w:type="dxa"/>
            <w:tcBorders>
              <w:top w:val="nil"/>
              <w:left w:val="single" w:sz="4" w:space="0" w:color="auto"/>
              <w:bottom w:val="single" w:sz="4" w:space="0" w:color="auto"/>
              <w:right w:val="single" w:sz="4" w:space="0" w:color="auto"/>
            </w:tcBorders>
            <w:shd w:val="clear" w:color="auto" w:fill="auto"/>
            <w:noWrap/>
            <w:vAlign w:val="center"/>
            <w:hideMark/>
          </w:tcPr>
          <w:p w14:paraId="2AAAEC10" w14:textId="0B2796BF" w:rsidR="00E343B7" w:rsidRPr="0089507B" w:rsidRDefault="00A36352" w:rsidP="004E1154">
            <w:pPr>
              <w:jc w:val="right"/>
              <w:rPr>
                <w:rFonts w:ascii="Arial" w:hAnsi="Arial" w:cs="Arial"/>
                <w:b/>
                <w:bCs/>
                <w:color w:val="000000"/>
                <w:sz w:val="18"/>
                <w:szCs w:val="18"/>
                <w:lang w:val="en-IN"/>
              </w:rPr>
            </w:pPr>
            <w:r>
              <w:rPr>
                <w:rFonts w:ascii="Arial" w:hAnsi="Arial" w:cs="Arial"/>
                <w:b/>
                <w:bCs/>
                <w:color w:val="000000"/>
                <w:sz w:val="18"/>
                <w:szCs w:val="18"/>
                <w:lang w:val="en-IN"/>
              </w:rPr>
              <w:t>2016-11</w:t>
            </w:r>
          </w:p>
        </w:tc>
        <w:tc>
          <w:tcPr>
            <w:tcW w:w="824" w:type="dxa"/>
            <w:tcBorders>
              <w:top w:val="nil"/>
              <w:left w:val="nil"/>
              <w:bottom w:val="single" w:sz="4" w:space="0" w:color="auto"/>
              <w:right w:val="single" w:sz="4" w:space="0" w:color="auto"/>
            </w:tcBorders>
            <w:shd w:val="clear" w:color="auto" w:fill="auto"/>
            <w:noWrap/>
            <w:vAlign w:val="center"/>
            <w:hideMark/>
          </w:tcPr>
          <w:p w14:paraId="7A2EF67A" w14:textId="08CEC421"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11</w:t>
            </w:r>
            <w:r w:rsidR="00A36352">
              <w:rPr>
                <w:rFonts w:ascii="Arial" w:hAnsi="Arial" w:cs="Arial"/>
                <w:color w:val="000000"/>
                <w:sz w:val="18"/>
                <w:szCs w:val="18"/>
                <w:lang w:val="en-IN"/>
              </w:rPr>
              <w:t>0</w:t>
            </w:r>
          </w:p>
        </w:tc>
        <w:tc>
          <w:tcPr>
            <w:tcW w:w="824" w:type="dxa"/>
            <w:tcBorders>
              <w:top w:val="nil"/>
              <w:left w:val="nil"/>
              <w:bottom w:val="single" w:sz="4" w:space="0" w:color="auto"/>
              <w:right w:val="single" w:sz="4" w:space="0" w:color="auto"/>
            </w:tcBorders>
            <w:shd w:val="clear" w:color="auto" w:fill="auto"/>
            <w:noWrap/>
            <w:vAlign w:val="center"/>
            <w:hideMark/>
          </w:tcPr>
          <w:p w14:paraId="76B2B043" w14:textId="7F46D5F0"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10</w:t>
            </w:r>
            <w:r w:rsidR="00A36352">
              <w:rPr>
                <w:rFonts w:ascii="Arial" w:hAnsi="Arial" w:cs="Arial"/>
                <w:color w:val="000000"/>
                <w:sz w:val="18"/>
                <w:szCs w:val="18"/>
                <w:lang w:val="en-IN"/>
              </w:rPr>
              <w:t>0</w:t>
            </w:r>
          </w:p>
        </w:tc>
        <w:tc>
          <w:tcPr>
            <w:tcW w:w="824" w:type="dxa"/>
            <w:tcBorders>
              <w:top w:val="nil"/>
              <w:left w:val="nil"/>
              <w:bottom w:val="single" w:sz="4" w:space="0" w:color="auto"/>
              <w:right w:val="single" w:sz="4" w:space="0" w:color="auto"/>
            </w:tcBorders>
            <w:shd w:val="clear" w:color="auto" w:fill="auto"/>
            <w:noWrap/>
            <w:vAlign w:val="center"/>
            <w:hideMark/>
          </w:tcPr>
          <w:p w14:paraId="4020E39D" w14:textId="5B8A61FB"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1</w:t>
            </w:r>
            <w:r w:rsidR="00A36352">
              <w:rPr>
                <w:rFonts w:ascii="Arial" w:hAnsi="Arial" w:cs="Arial"/>
                <w:color w:val="000000"/>
                <w:sz w:val="18"/>
                <w:szCs w:val="18"/>
                <w:lang w:val="en-IN"/>
              </w:rPr>
              <w:t>,</w:t>
            </w:r>
            <w:r w:rsidRPr="0089507B">
              <w:rPr>
                <w:rFonts w:ascii="Arial" w:hAnsi="Arial" w:cs="Arial"/>
                <w:color w:val="000000"/>
                <w:sz w:val="18"/>
                <w:szCs w:val="18"/>
                <w:lang w:val="en-IN"/>
              </w:rPr>
              <w:t>59</w:t>
            </w:r>
            <w:r w:rsidR="00A36352">
              <w:rPr>
                <w:rFonts w:ascii="Arial" w:hAnsi="Arial" w:cs="Arial"/>
                <w:color w:val="000000"/>
                <w:sz w:val="18"/>
                <w:szCs w:val="18"/>
                <w:lang w:val="en-IN"/>
              </w:rPr>
              <w:t>0</w:t>
            </w:r>
          </w:p>
        </w:tc>
        <w:tc>
          <w:tcPr>
            <w:tcW w:w="824" w:type="dxa"/>
            <w:tcBorders>
              <w:top w:val="nil"/>
              <w:left w:val="nil"/>
              <w:bottom w:val="single" w:sz="4" w:space="0" w:color="auto"/>
              <w:right w:val="single" w:sz="4" w:space="0" w:color="auto"/>
            </w:tcBorders>
            <w:shd w:val="clear" w:color="auto" w:fill="auto"/>
            <w:noWrap/>
            <w:vAlign w:val="center"/>
            <w:hideMark/>
          </w:tcPr>
          <w:p w14:paraId="48C8DFD1" w14:textId="66DDB585" w:rsidR="00E343B7" w:rsidRPr="0089507B" w:rsidRDefault="003D6FA9" w:rsidP="004E1154">
            <w:pPr>
              <w:jc w:val="right"/>
              <w:rPr>
                <w:rFonts w:ascii="Arial" w:hAnsi="Arial" w:cs="Arial"/>
                <w:color w:val="000000"/>
                <w:sz w:val="18"/>
                <w:szCs w:val="18"/>
                <w:lang w:val="en-IN"/>
              </w:rPr>
            </w:pPr>
            <w:r>
              <w:rPr>
                <w:rFonts w:ascii="Arial" w:hAnsi="Arial" w:cs="Arial"/>
                <w:color w:val="000000"/>
                <w:sz w:val="18"/>
                <w:szCs w:val="18"/>
                <w:lang w:val="en-IN"/>
              </w:rPr>
              <w:t>0.3</w:t>
            </w:r>
          </w:p>
        </w:tc>
        <w:tc>
          <w:tcPr>
            <w:tcW w:w="1465" w:type="dxa"/>
            <w:tcBorders>
              <w:top w:val="nil"/>
              <w:left w:val="nil"/>
              <w:bottom w:val="single" w:sz="4" w:space="0" w:color="auto"/>
              <w:right w:val="single" w:sz="4" w:space="0" w:color="auto"/>
            </w:tcBorders>
            <w:shd w:val="clear" w:color="auto" w:fill="auto"/>
            <w:noWrap/>
            <w:vAlign w:val="center"/>
            <w:hideMark/>
          </w:tcPr>
          <w:p w14:paraId="5D3F3056" w14:textId="77777777" w:rsidR="00E343B7" w:rsidRPr="0089507B" w:rsidRDefault="00E343B7" w:rsidP="00B92C7B">
            <w:pPr>
              <w:jc w:val="center"/>
              <w:rPr>
                <w:rFonts w:ascii="Arial" w:hAnsi="Arial" w:cs="Arial"/>
                <w:color w:val="000000"/>
                <w:sz w:val="18"/>
                <w:szCs w:val="18"/>
                <w:lang w:val="en-IN"/>
              </w:rPr>
            </w:pPr>
            <w:r w:rsidRPr="0089507B">
              <w:rPr>
                <w:rFonts w:ascii="Arial" w:hAnsi="Arial" w:cs="Arial"/>
                <w:color w:val="000000"/>
                <w:sz w:val="18"/>
                <w:szCs w:val="18"/>
                <w:lang w:val="en-IN"/>
              </w:rPr>
              <w:t>27.78</w:t>
            </w:r>
          </w:p>
        </w:tc>
        <w:tc>
          <w:tcPr>
            <w:tcW w:w="634" w:type="dxa"/>
            <w:tcBorders>
              <w:top w:val="nil"/>
              <w:left w:val="nil"/>
              <w:bottom w:val="single" w:sz="4" w:space="0" w:color="auto"/>
              <w:right w:val="single" w:sz="4" w:space="0" w:color="auto"/>
            </w:tcBorders>
            <w:shd w:val="clear" w:color="auto" w:fill="auto"/>
            <w:noWrap/>
            <w:vAlign w:val="center"/>
            <w:hideMark/>
          </w:tcPr>
          <w:p w14:paraId="5C2E4428"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0.40</w:t>
            </w:r>
          </w:p>
        </w:tc>
        <w:tc>
          <w:tcPr>
            <w:tcW w:w="831" w:type="dxa"/>
            <w:tcBorders>
              <w:top w:val="nil"/>
              <w:left w:val="nil"/>
              <w:bottom w:val="single" w:sz="4" w:space="0" w:color="auto"/>
              <w:right w:val="single" w:sz="4" w:space="0" w:color="auto"/>
            </w:tcBorders>
            <w:shd w:val="clear" w:color="auto" w:fill="auto"/>
            <w:noWrap/>
            <w:vAlign w:val="center"/>
            <w:hideMark/>
          </w:tcPr>
          <w:p w14:paraId="75F9A877"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97.91</w:t>
            </w:r>
          </w:p>
        </w:tc>
        <w:tc>
          <w:tcPr>
            <w:tcW w:w="641" w:type="dxa"/>
            <w:tcBorders>
              <w:top w:val="nil"/>
              <w:left w:val="nil"/>
              <w:bottom w:val="single" w:sz="4" w:space="0" w:color="auto"/>
              <w:right w:val="single" w:sz="4" w:space="0" w:color="auto"/>
            </w:tcBorders>
            <w:shd w:val="clear" w:color="auto" w:fill="auto"/>
            <w:noWrap/>
            <w:vAlign w:val="center"/>
            <w:hideMark/>
          </w:tcPr>
          <w:p w14:paraId="05C0D9B1" w14:textId="62899943"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1.39</w:t>
            </w:r>
          </w:p>
        </w:tc>
        <w:tc>
          <w:tcPr>
            <w:tcW w:w="824" w:type="dxa"/>
            <w:tcBorders>
              <w:top w:val="nil"/>
              <w:left w:val="nil"/>
              <w:bottom w:val="single" w:sz="4" w:space="0" w:color="auto"/>
              <w:right w:val="single" w:sz="4" w:space="0" w:color="auto"/>
            </w:tcBorders>
            <w:shd w:val="clear" w:color="auto" w:fill="auto"/>
            <w:noWrap/>
            <w:vAlign w:val="center"/>
            <w:hideMark/>
          </w:tcPr>
          <w:p w14:paraId="526C0389"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265.59</w:t>
            </w:r>
          </w:p>
        </w:tc>
        <w:tc>
          <w:tcPr>
            <w:tcW w:w="1190" w:type="dxa"/>
            <w:tcBorders>
              <w:top w:val="nil"/>
              <w:left w:val="nil"/>
              <w:bottom w:val="single" w:sz="4" w:space="0" w:color="auto"/>
              <w:right w:val="single" w:sz="4" w:space="0" w:color="auto"/>
            </w:tcBorders>
            <w:shd w:val="clear" w:color="auto" w:fill="auto"/>
            <w:noWrap/>
            <w:vAlign w:val="center"/>
            <w:hideMark/>
          </w:tcPr>
          <w:p w14:paraId="14D08D5E" w14:textId="77777777" w:rsidR="00E343B7" w:rsidRPr="0089507B" w:rsidRDefault="00E343B7" w:rsidP="00B92C7B">
            <w:pPr>
              <w:jc w:val="center"/>
              <w:rPr>
                <w:rFonts w:ascii="Arial" w:hAnsi="Arial" w:cs="Arial"/>
                <w:color w:val="000000"/>
                <w:sz w:val="18"/>
                <w:szCs w:val="18"/>
                <w:lang w:val="en-IN"/>
              </w:rPr>
            </w:pPr>
            <w:r w:rsidRPr="0089507B">
              <w:rPr>
                <w:rFonts w:ascii="Arial" w:hAnsi="Arial" w:cs="Arial"/>
                <w:color w:val="000000"/>
                <w:sz w:val="18"/>
                <w:szCs w:val="18"/>
                <w:lang w:val="en-IN"/>
              </w:rPr>
              <w:t>744.58</w:t>
            </w:r>
          </w:p>
        </w:tc>
        <w:tc>
          <w:tcPr>
            <w:tcW w:w="824" w:type="dxa"/>
            <w:tcBorders>
              <w:top w:val="nil"/>
              <w:left w:val="nil"/>
              <w:bottom w:val="single" w:sz="4" w:space="0" w:color="auto"/>
              <w:right w:val="single" w:sz="4" w:space="0" w:color="auto"/>
            </w:tcBorders>
            <w:shd w:val="clear" w:color="auto" w:fill="auto"/>
            <w:noWrap/>
            <w:vAlign w:val="center"/>
            <w:hideMark/>
          </w:tcPr>
          <w:p w14:paraId="1FCC0686"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561.36</w:t>
            </w:r>
          </w:p>
        </w:tc>
        <w:tc>
          <w:tcPr>
            <w:tcW w:w="824" w:type="dxa"/>
            <w:tcBorders>
              <w:top w:val="nil"/>
              <w:left w:val="nil"/>
              <w:bottom w:val="single" w:sz="4" w:space="0" w:color="auto"/>
              <w:right w:val="single" w:sz="4" w:space="0" w:color="auto"/>
            </w:tcBorders>
            <w:shd w:val="clear" w:color="auto" w:fill="auto"/>
            <w:noWrap/>
            <w:vAlign w:val="center"/>
            <w:hideMark/>
          </w:tcPr>
          <w:p w14:paraId="7122FF12"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236.47</w:t>
            </w:r>
          </w:p>
        </w:tc>
        <w:tc>
          <w:tcPr>
            <w:tcW w:w="1057" w:type="dxa"/>
            <w:tcBorders>
              <w:top w:val="nil"/>
              <w:left w:val="nil"/>
              <w:bottom w:val="single" w:sz="4" w:space="0" w:color="auto"/>
              <w:right w:val="single" w:sz="4" w:space="0" w:color="auto"/>
            </w:tcBorders>
            <w:shd w:val="clear" w:color="auto" w:fill="auto"/>
            <w:noWrap/>
            <w:vAlign w:val="center"/>
            <w:hideMark/>
          </w:tcPr>
          <w:p w14:paraId="66A03ED0" w14:textId="29DFA5CB"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1</w:t>
            </w:r>
            <w:r w:rsidR="00D0450C">
              <w:rPr>
                <w:rFonts w:ascii="Arial" w:hAnsi="Arial" w:cs="Arial"/>
                <w:color w:val="000000"/>
                <w:sz w:val="18"/>
                <w:szCs w:val="18"/>
                <w:lang w:val="en-IN"/>
              </w:rPr>
              <w:t>,</w:t>
            </w:r>
            <w:r w:rsidRPr="0089507B">
              <w:rPr>
                <w:rFonts w:ascii="Arial" w:hAnsi="Arial" w:cs="Arial"/>
                <w:color w:val="000000"/>
                <w:sz w:val="18"/>
                <w:szCs w:val="18"/>
                <w:lang w:val="en-IN"/>
              </w:rPr>
              <w:t>234.52</w:t>
            </w:r>
          </w:p>
        </w:tc>
        <w:tc>
          <w:tcPr>
            <w:tcW w:w="793" w:type="dxa"/>
            <w:tcBorders>
              <w:top w:val="nil"/>
              <w:left w:val="nil"/>
              <w:bottom w:val="single" w:sz="4" w:space="0" w:color="auto"/>
              <w:right w:val="single" w:sz="4" w:space="0" w:color="auto"/>
            </w:tcBorders>
            <w:shd w:val="clear" w:color="auto" w:fill="auto"/>
            <w:noWrap/>
            <w:vAlign w:val="center"/>
            <w:hideMark/>
          </w:tcPr>
          <w:p w14:paraId="2C969358"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321.74</w:t>
            </w:r>
          </w:p>
        </w:tc>
      </w:tr>
      <w:tr w:rsidR="00916E8C" w:rsidRPr="0089507B" w14:paraId="48DE25AE" w14:textId="77777777" w:rsidTr="00B92C7B">
        <w:trPr>
          <w:trHeight w:val="260"/>
          <w:jc w:val="center"/>
        </w:trPr>
        <w:tc>
          <w:tcPr>
            <w:tcW w:w="913" w:type="dxa"/>
            <w:tcBorders>
              <w:top w:val="nil"/>
              <w:left w:val="single" w:sz="4" w:space="0" w:color="auto"/>
              <w:bottom w:val="single" w:sz="4" w:space="0" w:color="auto"/>
              <w:right w:val="single" w:sz="4" w:space="0" w:color="auto"/>
            </w:tcBorders>
            <w:shd w:val="clear" w:color="auto" w:fill="auto"/>
            <w:noWrap/>
            <w:vAlign w:val="center"/>
            <w:hideMark/>
          </w:tcPr>
          <w:p w14:paraId="2AF3E428" w14:textId="53C99966" w:rsidR="00E343B7" w:rsidRPr="0089507B" w:rsidRDefault="00A36352" w:rsidP="004E1154">
            <w:pPr>
              <w:jc w:val="right"/>
              <w:rPr>
                <w:rFonts w:ascii="Arial" w:hAnsi="Arial" w:cs="Arial"/>
                <w:b/>
                <w:bCs/>
                <w:color w:val="000000"/>
                <w:sz w:val="18"/>
                <w:szCs w:val="18"/>
                <w:lang w:val="en-IN"/>
              </w:rPr>
            </w:pPr>
            <w:r>
              <w:rPr>
                <w:rFonts w:ascii="Arial" w:hAnsi="Arial" w:cs="Arial"/>
                <w:b/>
                <w:bCs/>
                <w:color w:val="000000"/>
                <w:sz w:val="18"/>
                <w:szCs w:val="18"/>
                <w:lang w:val="en-IN"/>
              </w:rPr>
              <w:t>2016-12</w:t>
            </w:r>
          </w:p>
        </w:tc>
        <w:tc>
          <w:tcPr>
            <w:tcW w:w="824" w:type="dxa"/>
            <w:tcBorders>
              <w:top w:val="nil"/>
              <w:left w:val="nil"/>
              <w:bottom w:val="single" w:sz="4" w:space="0" w:color="auto"/>
              <w:right w:val="single" w:sz="4" w:space="0" w:color="auto"/>
            </w:tcBorders>
            <w:shd w:val="clear" w:color="auto" w:fill="auto"/>
            <w:noWrap/>
            <w:vAlign w:val="center"/>
            <w:hideMark/>
          </w:tcPr>
          <w:p w14:paraId="6984A21A" w14:textId="780EB3C5"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11</w:t>
            </w:r>
            <w:r w:rsidR="00A36352">
              <w:rPr>
                <w:rFonts w:ascii="Arial" w:hAnsi="Arial" w:cs="Arial"/>
                <w:color w:val="000000"/>
                <w:sz w:val="18"/>
                <w:szCs w:val="18"/>
                <w:lang w:val="en-IN"/>
              </w:rPr>
              <w:t>0</w:t>
            </w:r>
          </w:p>
        </w:tc>
        <w:tc>
          <w:tcPr>
            <w:tcW w:w="824" w:type="dxa"/>
            <w:tcBorders>
              <w:top w:val="nil"/>
              <w:left w:val="nil"/>
              <w:bottom w:val="single" w:sz="4" w:space="0" w:color="auto"/>
              <w:right w:val="single" w:sz="4" w:space="0" w:color="auto"/>
            </w:tcBorders>
            <w:shd w:val="clear" w:color="auto" w:fill="auto"/>
            <w:noWrap/>
            <w:vAlign w:val="center"/>
            <w:hideMark/>
          </w:tcPr>
          <w:p w14:paraId="204BBBE7" w14:textId="671384F9"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10</w:t>
            </w:r>
            <w:r w:rsidR="00A36352">
              <w:rPr>
                <w:rFonts w:ascii="Arial" w:hAnsi="Arial" w:cs="Arial"/>
                <w:color w:val="000000"/>
                <w:sz w:val="18"/>
                <w:szCs w:val="18"/>
                <w:lang w:val="en-IN"/>
              </w:rPr>
              <w:t>0</w:t>
            </w:r>
          </w:p>
        </w:tc>
        <w:tc>
          <w:tcPr>
            <w:tcW w:w="824" w:type="dxa"/>
            <w:tcBorders>
              <w:top w:val="nil"/>
              <w:left w:val="nil"/>
              <w:bottom w:val="single" w:sz="4" w:space="0" w:color="auto"/>
              <w:right w:val="single" w:sz="4" w:space="0" w:color="auto"/>
            </w:tcBorders>
            <w:shd w:val="clear" w:color="auto" w:fill="auto"/>
            <w:noWrap/>
            <w:vAlign w:val="center"/>
            <w:hideMark/>
          </w:tcPr>
          <w:p w14:paraId="14745B72" w14:textId="72E140C3"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1</w:t>
            </w:r>
            <w:r w:rsidR="00A36352">
              <w:rPr>
                <w:rFonts w:ascii="Arial" w:hAnsi="Arial" w:cs="Arial"/>
                <w:color w:val="000000"/>
                <w:sz w:val="18"/>
                <w:szCs w:val="18"/>
                <w:lang w:val="en-IN"/>
              </w:rPr>
              <w:t>,</w:t>
            </w:r>
            <w:r w:rsidRPr="0089507B">
              <w:rPr>
                <w:rFonts w:ascii="Arial" w:hAnsi="Arial" w:cs="Arial"/>
                <w:color w:val="000000"/>
                <w:sz w:val="18"/>
                <w:szCs w:val="18"/>
                <w:lang w:val="en-IN"/>
              </w:rPr>
              <w:t>77</w:t>
            </w:r>
            <w:r w:rsidR="00A36352">
              <w:rPr>
                <w:rFonts w:ascii="Arial" w:hAnsi="Arial" w:cs="Arial"/>
                <w:color w:val="000000"/>
                <w:sz w:val="18"/>
                <w:szCs w:val="18"/>
                <w:lang w:val="en-IN"/>
              </w:rPr>
              <w:t>0</w:t>
            </w:r>
          </w:p>
        </w:tc>
        <w:tc>
          <w:tcPr>
            <w:tcW w:w="824" w:type="dxa"/>
            <w:tcBorders>
              <w:top w:val="nil"/>
              <w:left w:val="nil"/>
              <w:bottom w:val="single" w:sz="4" w:space="0" w:color="auto"/>
              <w:right w:val="single" w:sz="4" w:space="0" w:color="auto"/>
            </w:tcBorders>
            <w:shd w:val="clear" w:color="auto" w:fill="auto"/>
            <w:noWrap/>
            <w:vAlign w:val="center"/>
            <w:hideMark/>
          </w:tcPr>
          <w:p w14:paraId="4EE4E5AD" w14:textId="467E5FCB" w:rsidR="00E343B7" w:rsidRPr="0089507B" w:rsidRDefault="003D6FA9" w:rsidP="004E1154">
            <w:pPr>
              <w:jc w:val="right"/>
              <w:rPr>
                <w:rFonts w:ascii="Arial" w:hAnsi="Arial" w:cs="Arial"/>
                <w:color w:val="000000"/>
                <w:sz w:val="18"/>
                <w:szCs w:val="18"/>
                <w:lang w:val="en-IN"/>
              </w:rPr>
            </w:pPr>
            <w:r>
              <w:rPr>
                <w:rFonts w:ascii="Arial" w:hAnsi="Arial" w:cs="Arial"/>
                <w:color w:val="000000"/>
                <w:sz w:val="18"/>
                <w:szCs w:val="18"/>
                <w:lang w:val="en-IN"/>
              </w:rPr>
              <w:t>1.</w:t>
            </w:r>
            <w:r w:rsidR="00BA761E">
              <w:rPr>
                <w:rFonts w:ascii="Arial" w:hAnsi="Arial" w:cs="Arial"/>
                <w:color w:val="000000"/>
                <w:sz w:val="18"/>
                <w:szCs w:val="18"/>
                <w:lang w:val="en-IN"/>
              </w:rPr>
              <w:t>3</w:t>
            </w:r>
          </w:p>
        </w:tc>
        <w:tc>
          <w:tcPr>
            <w:tcW w:w="1465" w:type="dxa"/>
            <w:tcBorders>
              <w:top w:val="nil"/>
              <w:left w:val="nil"/>
              <w:bottom w:val="single" w:sz="4" w:space="0" w:color="auto"/>
              <w:right w:val="single" w:sz="4" w:space="0" w:color="auto"/>
            </w:tcBorders>
            <w:shd w:val="clear" w:color="auto" w:fill="auto"/>
            <w:noWrap/>
            <w:vAlign w:val="center"/>
            <w:hideMark/>
          </w:tcPr>
          <w:p w14:paraId="3E4BFFB4" w14:textId="77777777" w:rsidR="00E343B7" w:rsidRPr="0089507B" w:rsidRDefault="00E343B7" w:rsidP="00B92C7B">
            <w:pPr>
              <w:jc w:val="center"/>
              <w:rPr>
                <w:rFonts w:ascii="Arial" w:hAnsi="Arial" w:cs="Arial"/>
                <w:color w:val="000000"/>
                <w:sz w:val="18"/>
                <w:szCs w:val="18"/>
                <w:lang w:val="en-IN"/>
              </w:rPr>
            </w:pPr>
            <w:r w:rsidRPr="0089507B">
              <w:rPr>
                <w:rFonts w:ascii="Arial" w:hAnsi="Arial" w:cs="Arial"/>
                <w:color w:val="000000"/>
                <w:sz w:val="18"/>
                <w:szCs w:val="18"/>
                <w:lang w:val="en-IN"/>
              </w:rPr>
              <w:t>28.32</w:t>
            </w:r>
          </w:p>
        </w:tc>
        <w:tc>
          <w:tcPr>
            <w:tcW w:w="634" w:type="dxa"/>
            <w:tcBorders>
              <w:top w:val="nil"/>
              <w:left w:val="nil"/>
              <w:bottom w:val="single" w:sz="4" w:space="0" w:color="auto"/>
              <w:right w:val="single" w:sz="4" w:space="0" w:color="auto"/>
            </w:tcBorders>
            <w:shd w:val="clear" w:color="auto" w:fill="auto"/>
            <w:noWrap/>
            <w:vAlign w:val="center"/>
            <w:hideMark/>
          </w:tcPr>
          <w:p w14:paraId="049D7EC7"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0.38</w:t>
            </w:r>
          </w:p>
        </w:tc>
        <w:tc>
          <w:tcPr>
            <w:tcW w:w="831" w:type="dxa"/>
            <w:tcBorders>
              <w:top w:val="nil"/>
              <w:left w:val="nil"/>
              <w:bottom w:val="single" w:sz="4" w:space="0" w:color="auto"/>
              <w:right w:val="single" w:sz="4" w:space="0" w:color="auto"/>
            </w:tcBorders>
            <w:shd w:val="clear" w:color="auto" w:fill="auto"/>
            <w:noWrap/>
            <w:vAlign w:val="center"/>
            <w:hideMark/>
          </w:tcPr>
          <w:p w14:paraId="2915385D"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116.08</w:t>
            </w:r>
          </w:p>
        </w:tc>
        <w:tc>
          <w:tcPr>
            <w:tcW w:w="641" w:type="dxa"/>
            <w:tcBorders>
              <w:top w:val="nil"/>
              <w:left w:val="nil"/>
              <w:bottom w:val="single" w:sz="4" w:space="0" w:color="auto"/>
              <w:right w:val="single" w:sz="4" w:space="0" w:color="auto"/>
            </w:tcBorders>
            <w:shd w:val="clear" w:color="auto" w:fill="auto"/>
            <w:noWrap/>
            <w:vAlign w:val="center"/>
            <w:hideMark/>
          </w:tcPr>
          <w:p w14:paraId="2E2017BC" w14:textId="792DB866"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0.88</w:t>
            </w:r>
          </w:p>
        </w:tc>
        <w:tc>
          <w:tcPr>
            <w:tcW w:w="824" w:type="dxa"/>
            <w:tcBorders>
              <w:top w:val="nil"/>
              <w:left w:val="nil"/>
              <w:bottom w:val="single" w:sz="4" w:space="0" w:color="auto"/>
              <w:right w:val="single" w:sz="4" w:space="0" w:color="auto"/>
            </w:tcBorders>
            <w:shd w:val="clear" w:color="auto" w:fill="auto"/>
            <w:noWrap/>
            <w:vAlign w:val="center"/>
            <w:hideMark/>
          </w:tcPr>
          <w:p w14:paraId="203B59DF"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311.49</w:t>
            </w:r>
          </w:p>
        </w:tc>
        <w:tc>
          <w:tcPr>
            <w:tcW w:w="1190" w:type="dxa"/>
            <w:tcBorders>
              <w:top w:val="nil"/>
              <w:left w:val="nil"/>
              <w:bottom w:val="single" w:sz="4" w:space="0" w:color="auto"/>
              <w:right w:val="single" w:sz="4" w:space="0" w:color="auto"/>
            </w:tcBorders>
            <w:shd w:val="clear" w:color="auto" w:fill="auto"/>
            <w:noWrap/>
            <w:vAlign w:val="center"/>
            <w:hideMark/>
          </w:tcPr>
          <w:p w14:paraId="1FF379EF" w14:textId="77777777" w:rsidR="00E343B7" w:rsidRPr="0089507B" w:rsidRDefault="00E343B7" w:rsidP="00B92C7B">
            <w:pPr>
              <w:jc w:val="center"/>
              <w:rPr>
                <w:rFonts w:ascii="Arial" w:hAnsi="Arial" w:cs="Arial"/>
                <w:color w:val="000000"/>
                <w:sz w:val="18"/>
                <w:szCs w:val="18"/>
                <w:lang w:val="en-IN"/>
              </w:rPr>
            </w:pPr>
            <w:r w:rsidRPr="0089507B">
              <w:rPr>
                <w:rFonts w:ascii="Arial" w:hAnsi="Arial" w:cs="Arial"/>
                <w:color w:val="000000"/>
                <w:sz w:val="18"/>
                <w:szCs w:val="18"/>
                <w:lang w:val="en-IN"/>
              </w:rPr>
              <w:t>761.12</w:t>
            </w:r>
          </w:p>
        </w:tc>
        <w:tc>
          <w:tcPr>
            <w:tcW w:w="824" w:type="dxa"/>
            <w:tcBorders>
              <w:top w:val="nil"/>
              <w:left w:val="nil"/>
              <w:bottom w:val="single" w:sz="4" w:space="0" w:color="auto"/>
              <w:right w:val="single" w:sz="4" w:space="0" w:color="auto"/>
            </w:tcBorders>
            <w:shd w:val="clear" w:color="auto" w:fill="auto"/>
            <w:noWrap/>
            <w:vAlign w:val="center"/>
            <w:hideMark/>
          </w:tcPr>
          <w:p w14:paraId="5A9988F5"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630.47</w:t>
            </w:r>
          </w:p>
        </w:tc>
        <w:tc>
          <w:tcPr>
            <w:tcW w:w="824" w:type="dxa"/>
            <w:tcBorders>
              <w:top w:val="nil"/>
              <w:left w:val="nil"/>
              <w:bottom w:val="single" w:sz="4" w:space="0" w:color="auto"/>
              <w:right w:val="single" w:sz="4" w:space="0" w:color="auto"/>
            </w:tcBorders>
            <w:shd w:val="clear" w:color="auto" w:fill="auto"/>
            <w:noWrap/>
            <w:vAlign w:val="center"/>
            <w:hideMark/>
          </w:tcPr>
          <w:p w14:paraId="4F28159D"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415.46</w:t>
            </w:r>
          </w:p>
        </w:tc>
        <w:tc>
          <w:tcPr>
            <w:tcW w:w="1057" w:type="dxa"/>
            <w:tcBorders>
              <w:top w:val="nil"/>
              <w:left w:val="nil"/>
              <w:bottom w:val="single" w:sz="4" w:space="0" w:color="auto"/>
              <w:right w:val="single" w:sz="4" w:space="0" w:color="auto"/>
            </w:tcBorders>
            <w:shd w:val="clear" w:color="auto" w:fill="auto"/>
            <w:noWrap/>
            <w:vAlign w:val="center"/>
            <w:hideMark/>
          </w:tcPr>
          <w:p w14:paraId="4FD2167B"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849.34</w:t>
            </w:r>
          </w:p>
        </w:tc>
        <w:tc>
          <w:tcPr>
            <w:tcW w:w="793" w:type="dxa"/>
            <w:tcBorders>
              <w:top w:val="nil"/>
              <w:left w:val="nil"/>
              <w:bottom w:val="single" w:sz="4" w:space="0" w:color="auto"/>
              <w:right w:val="single" w:sz="4" w:space="0" w:color="auto"/>
            </w:tcBorders>
            <w:shd w:val="clear" w:color="auto" w:fill="auto"/>
            <w:noWrap/>
            <w:vAlign w:val="center"/>
            <w:hideMark/>
          </w:tcPr>
          <w:p w14:paraId="49B53C7B"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580.31</w:t>
            </w:r>
          </w:p>
        </w:tc>
      </w:tr>
      <w:tr w:rsidR="00916E8C" w:rsidRPr="0089507B" w14:paraId="2EB84853" w14:textId="77777777" w:rsidTr="00B92C7B">
        <w:trPr>
          <w:trHeight w:val="260"/>
          <w:jc w:val="center"/>
        </w:trPr>
        <w:tc>
          <w:tcPr>
            <w:tcW w:w="913" w:type="dxa"/>
            <w:tcBorders>
              <w:top w:val="nil"/>
              <w:left w:val="single" w:sz="4" w:space="0" w:color="auto"/>
              <w:bottom w:val="single" w:sz="4" w:space="0" w:color="auto"/>
              <w:right w:val="single" w:sz="4" w:space="0" w:color="auto"/>
            </w:tcBorders>
            <w:shd w:val="clear" w:color="auto" w:fill="auto"/>
            <w:noWrap/>
            <w:vAlign w:val="center"/>
            <w:hideMark/>
          </w:tcPr>
          <w:p w14:paraId="0D586CBD" w14:textId="6A081019" w:rsidR="00E343B7" w:rsidRPr="0089507B" w:rsidRDefault="00A36352" w:rsidP="004E1154">
            <w:pPr>
              <w:jc w:val="right"/>
              <w:rPr>
                <w:rFonts w:ascii="Arial" w:hAnsi="Arial" w:cs="Arial"/>
                <w:b/>
                <w:bCs/>
                <w:color w:val="000000"/>
                <w:sz w:val="18"/>
                <w:szCs w:val="18"/>
                <w:lang w:val="en-IN"/>
              </w:rPr>
            </w:pPr>
            <w:r>
              <w:rPr>
                <w:rFonts w:ascii="Arial" w:hAnsi="Arial" w:cs="Arial"/>
                <w:b/>
                <w:bCs/>
                <w:color w:val="000000"/>
                <w:sz w:val="18"/>
                <w:szCs w:val="18"/>
                <w:lang w:val="en-IN"/>
              </w:rPr>
              <w:t>2017-01</w:t>
            </w:r>
          </w:p>
        </w:tc>
        <w:tc>
          <w:tcPr>
            <w:tcW w:w="824" w:type="dxa"/>
            <w:tcBorders>
              <w:top w:val="nil"/>
              <w:left w:val="nil"/>
              <w:bottom w:val="single" w:sz="4" w:space="0" w:color="auto"/>
              <w:right w:val="single" w:sz="4" w:space="0" w:color="auto"/>
            </w:tcBorders>
            <w:shd w:val="clear" w:color="auto" w:fill="auto"/>
            <w:noWrap/>
            <w:vAlign w:val="center"/>
            <w:hideMark/>
          </w:tcPr>
          <w:p w14:paraId="1450510D" w14:textId="525E706A"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11</w:t>
            </w:r>
            <w:r w:rsidR="00A36352">
              <w:rPr>
                <w:rFonts w:ascii="Arial" w:hAnsi="Arial" w:cs="Arial"/>
                <w:color w:val="000000"/>
                <w:sz w:val="18"/>
                <w:szCs w:val="18"/>
                <w:lang w:val="en-IN"/>
              </w:rPr>
              <w:t>0</w:t>
            </w:r>
          </w:p>
        </w:tc>
        <w:tc>
          <w:tcPr>
            <w:tcW w:w="824" w:type="dxa"/>
            <w:tcBorders>
              <w:top w:val="nil"/>
              <w:left w:val="nil"/>
              <w:bottom w:val="single" w:sz="4" w:space="0" w:color="auto"/>
              <w:right w:val="single" w:sz="4" w:space="0" w:color="auto"/>
            </w:tcBorders>
            <w:shd w:val="clear" w:color="auto" w:fill="auto"/>
            <w:noWrap/>
            <w:vAlign w:val="center"/>
            <w:hideMark/>
          </w:tcPr>
          <w:p w14:paraId="684210A6" w14:textId="0C0B6A7A"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10</w:t>
            </w:r>
            <w:r w:rsidR="00A36352">
              <w:rPr>
                <w:rFonts w:ascii="Arial" w:hAnsi="Arial" w:cs="Arial"/>
                <w:color w:val="000000"/>
                <w:sz w:val="18"/>
                <w:szCs w:val="18"/>
                <w:lang w:val="en-IN"/>
              </w:rPr>
              <w:t>0</w:t>
            </w:r>
          </w:p>
        </w:tc>
        <w:tc>
          <w:tcPr>
            <w:tcW w:w="824" w:type="dxa"/>
            <w:tcBorders>
              <w:top w:val="nil"/>
              <w:left w:val="nil"/>
              <w:bottom w:val="single" w:sz="4" w:space="0" w:color="auto"/>
              <w:right w:val="single" w:sz="4" w:space="0" w:color="auto"/>
            </w:tcBorders>
            <w:shd w:val="clear" w:color="auto" w:fill="auto"/>
            <w:noWrap/>
            <w:vAlign w:val="center"/>
            <w:hideMark/>
          </w:tcPr>
          <w:p w14:paraId="4985A199" w14:textId="2D00873D"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2</w:t>
            </w:r>
            <w:r w:rsidR="00A36352">
              <w:rPr>
                <w:rFonts w:ascii="Arial" w:hAnsi="Arial" w:cs="Arial"/>
                <w:color w:val="000000"/>
                <w:sz w:val="18"/>
                <w:szCs w:val="18"/>
                <w:lang w:val="en-IN"/>
              </w:rPr>
              <w:t>,</w:t>
            </w:r>
            <w:r w:rsidRPr="0089507B">
              <w:rPr>
                <w:rFonts w:ascii="Arial" w:hAnsi="Arial" w:cs="Arial"/>
                <w:color w:val="000000"/>
                <w:sz w:val="18"/>
                <w:szCs w:val="18"/>
                <w:lang w:val="en-IN"/>
              </w:rPr>
              <w:t>01</w:t>
            </w:r>
            <w:r w:rsidR="00A36352">
              <w:rPr>
                <w:rFonts w:ascii="Arial" w:hAnsi="Arial" w:cs="Arial"/>
                <w:color w:val="000000"/>
                <w:sz w:val="18"/>
                <w:szCs w:val="18"/>
                <w:lang w:val="en-IN"/>
              </w:rPr>
              <w:t>0</w:t>
            </w:r>
          </w:p>
        </w:tc>
        <w:tc>
          <w:tcPr>
            <w:tcW w:w="824" w:type="dxa"/>
            <w:tcBorders>
              <w:top w:val="nil"/>
              <w:left w:val="nil"/>
              <w:bottom w:val="single" w:sz="4" w:space="0" w:color="auto"/>
              <w:right w:val="single" w:sz="4" w:space="0" w:color="auto"/>
            </w:tcBorders>
            <w:shd w:val="clear" w:color="auto" w:fill="auto"/>
            <w:noWrap/>
            <w:vAlign w:val="center"/>
            <w:hideMark/>
          </w:tcPr>
          <w:p w14:paraId="269536A3" w14:textId="0850FC7D" w:rsidR="00E343B7" w:rsidRPr="0089507B" w:rsidRDefault="003D6FA9" w:rsidP="004E1154">
            <w:pPr>
              <w:jc w:val="right"/>
              <w:rPr>
                <w:rFonts w:ascii="Arial" w:hAnsi="Arial" w:cs="Arial"/>
                <w:color w:val="000000"/>
                <w:sz w:val="18"/>
                <w:szCs w:val="18"/>
                <w:lang w:val="en-IN"/>
              </w:rPr>
            </w:pPr>
            <w:r>
              <w:rPr>
                <w:rFonts w:ascii="Arial" w:hAnsi="Arial" w:cs="Arial"/>
                <w:color w:val="000000"/>
                <w:sz w:val="18"/>
                <w:szCs w:val="18"/>
                <w:lang w:val="en-IN"/>
              </w:rPr>
              <w:t>2.</w:t>
            </w:r>
            <w:r w:rsidR="00BA761E">
              <w:rPr>
                <w:rFonts w:ascii="Arial" w:hAnsi="Arial" w:cs="Arial"/>
                <w:color w:val="000000"/>
                <w:sz w:val="18"/>
                <w:szCs w:val="18"/>
                <w:lang w:val="en-IN"/>
              </w:rPr>
              <w:t>2</w:t>
            </w:r>
          </w:p>
        </w:tc>
        <w:tc>
          <w:tcPr>
            <w:tcW w:w="1465" w:type="dxa"/>
            <w:tcBorders>
              <w:top w:val="nil"/>
              <w:left w:val="nil"/>
              <w:bottom w:val="single" w:sz="4" w:space="0" w:color="auto"/>
              <w:right w:val="single" w:sz="4" w:space="0" w:color="auto"/>
            </w:tcBorders>
            <w:shd w:val="clear" w:color="auto" w:fill="auto"/>
            <w:noWrap/>
            <w:vAlign w:val="center"/>
            <w:hideMark/>
          </w:tcPr>
          <w:p w14:paraId="455DCCB4" w14:textId="77777777" w:rsidR="00E343B7" w:rsidRPr="0089507B" w:rsidRDefault="00E343B7" w:rsidP="00B92C7B">
            <w:pPr>
              <w:jc w:val="center"/>
              <w:rPr>
                <w:rFonts w:ascii="Arial" w:hAnsi="Arial" w:cs="Arial"/>
                <w:color w:val="000000"/>
                <w:sz w:val="18"/>
                <w:szCs w:val="18"/>
                <w:lang w:val="en-IN"/>
              </w:rPr>
            </w:pPr>
            <w:r w:rsidRPr="0089507B">
              <w:rPr>
                <w:rFonts w:ascii="Arial" w:hAnsi="Arial" w:cs="Arial"/>
                <w:color w:val="000000"/>
                <w:sz w:val="18"/>
                <w:szCs w:val="18"/>
                <w:lang w:val="en-IN"/>
              </w:rPr>
              <w:t>28.85</w:t>
            </w:r>
          </w:p>
        </w:tc>
        <w:tc>
          <w:tcPr>
            <w:tcW w:w="634" w:type="dxa"/>
            <w:tcBorders>
              <w:top w:val="nil"/>
              <w:left w:val="nil"/>
              <w:bottom w:val="single" w:sz="4" w:space="0" w:color="auto"/>
              <w:right w:val="single" w:sz="4" w:space="0" w:color="auto"/>
            </w:tcBorders>
            <w:shd w:val="clear" w:color="auto" w:fill="auto"/>
            <w:noWrap/>
            <w:vAlign w:val="center"/>
            <w:hideMark/>
          </w:tcPr>
          <w:p w14:paraId="3A82E5CA"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0.44</w:t>
            </w:r>
          </w:p>
        </w:tc>
        <w:tc>
          <w:tcPr>
            <w:tcW w:w="831" w:type="dxa"/>
            <w:tcBorders>
              <w:top w:val="nil"/>
              <w:left w:val="nil"/>
              <w:bottom w:val="single" w:sz="4" w:space="0" w:color="auto"/>
              <w:right w:val="single" w:sz="4" w:space="0" w:color="auto"/>
            </w:tcBorders>
            <w:shd w:val="clear" w:color="auto" w:fill="auto"/>
            <w:noWrap/>
            <w:vAlign w:val="center"/>
            <w:hideMark/>
          </w:tcPr>
          <w:p w14:paraId="4AB64C66"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112.80</w:t>
            </w:r>
          </w:p>
        </w:tc>
        <w:tc>
          <w:tcPr>
            <w:tcW w:w="641" w:type="dxa"/>
            <w:tcBorders>
              <w:top w:val="nil"/>
              <w:left w:val="nil"/>
              <w:bottom w:val="single" w:sz="4" w:space="0" w:color="auto"/>
              <w:right w:val="single" w:sz="4" w:space="0" w:color="auto"/>
            </w:tcBorders>
            <w:shd w:val="clear" w:color="auto" w:fill="auto"/>
            <w:noWrap/>
            <w:vAlign w:val="center"/>
            <w:hideMark/>
          </w:tcPr>
          <w:p w14:paraId="4E9DD2F9" w14:textId="25F30C45"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1.5</w:t>
            </w:r>
            <w:r w:rsidR="00B71246">
              <w:rPr>
                <w:rFonts w:ascii="Arial" w:hAnsi="Arial" w:cs="Arial"/>
                <w:color w:val="000000"/>
                <w:sz w:val="18"/>
                <w:szCs w:val="18"/>
                <w:lang w:val="en-IN"/>
              </w:rPr>
              <w:t>5</w:t>
            </w:r>
          </w:p>
        </w:tc>
        <w:tc>
          <w:tcPr>
            <w:tcW w:w="824" w:type="dxa"/>
            <w:tcBorders>
              <w:top w:val="nil"/>
              <w:left w:val="nil"/>
              <w:bottom w:val="single" w:sz="4" w:space="0" w:color="auto"/>
              <w:right w:val="single" w:sz="4" w:space="0" w:color="auto"/>
            </w:tcBorders>
            <w:shd w:val="clear" w:color="auto" w:fill="auto"/>
            <w:noWrap/>
            <w:vAlign w:val="center"/>
            <w:hideMark/>
          </w:tcPr>
          <w:p w14:paraId="17B38635"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327.08</w:t>
            </w:r>
          </w:p>
        </w:tc>
        <w:tc>
          <w:tcPr>
            <w:tcW w:w="1190" w:type="dxa"/>
            <w:tcBorders>
              <w:top w:val="nil"/>
              <w:left w:val="nil"/>
              <w:bottom w:val="single" w:sz="4" w:space="0" w:color="auto"/>
              <w:right w:val="single" w:sz="4" w:space="0" w:color="auto"/>
            </w:tcBorders>
            <w:shd w:val="clear" w:color="auto" w:fill="auto"/>
            <w:noWrap/>
            <w:vAlign w:val="center"/>
            <w:hideMark/>
          </w:tcPr>
          <w:p w14:paraId="5D305A5F" w14:textId="77777777" w:rsidR="00E343B7" w:rsidRPr="0089507B" w:rsidRDefault="00E343B7" w:rsidP="00B92C7B">
            <w:pPr>
              <w:jc w:val="center"/>
              <w:rPr>
                <w:rFonts w:ascii="Arial" w:hAnsi="Arial" w:cs="Arial"/>
                <w:color w:val="000000"/>
                <w:sz w:val="18"/>
                <w:szCs w:val="18"/>
                <w:lang w:val="en-IN"/>
              </w:rPr>
            </w:pPr>
            <w:r w:rsidRPr="0089507B">
              <w:rPr>
                <w:rFonts w:ascii="Arial" w:hAnsi="Arial" w:cs="Arial"/>
                <w:color w:val="000000"/>
                <w:sz w:val="18"/>
                <w:szCs w:val="18"/>
                <w:lang w:val="en-IN"/>
              </w:rPr>
              <w:t>817.98</w:t>
            </w:r>
          </w:p>
        </w:tc>
        <w:tc>
          <w:tcPr>
            <w:tcW w:w="824" w:type="dxa"/>
            <w:tcBorders>
              <w:top w:val="nil"/>
              <w:left w:val="nil"/>
              <w:bottom w:val="single" w:sz="4" w:space="0" w:color="auto"/>
              <w:right w:val="single" w:sz="4" w:space="0" w:color="auto"/>
            </w:tcBorders>
            <w:shd w:val="clear" w:color="auto" w:fill="auto"/>
            <w:noWrap/>
            <w:vAlign w:val="center"/>
            <w:hideMark/>
          </w:tcPr>
          <w:p w14:paraId="2307D46B"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712.35</w:t>
            </w:r>
          </w:p>
        </w:tc>
        <w:tc>
          <w:tcPr>
            <w:tcW w:w="824" w:type="dxa"/>
            <w:tcBorders>
              <w:top w:val="nil"/>
              <w:left w:val="nil"/>
              <w:bottom w:val="single" w:sz="4" w:space="0" w:color="auto"/>
              <w:right w:val="single" w:sz="4" w:space="0" w:color="auto"/>
            </w:tcBorders>
            <w:shd w:val="clear" w:color="auto" w:fill="auto"/>
            <w:noWrap/>
            <w:vAlign w:val="center"/>
            <w:hideMark/>
          </w:tcPr>
          <w:p w14:paraId="7E6CC18B"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328.62</w:t>
            </w:r>
          </w:p>
        </w:tc>
        <w:tc>
          <w:tcPr>
            <w:tcW w:w="1057" w:type="dxa"/>
            <w:tcBorders>
              <w:top w:val="nil"/>
              <w:left w:val="nil"/>
              <w:bottom w:val="single" w:sz="4" w:space="0" w:color="auto"/>
              <w:right w:val="single" w:sz="4" w:space="0" w:color="auto"/>
            </w:tcBorders>
            <w:shd w:val="clear" w:color="auto" w:fill="auto"/>
            <w:noWrap/>
            <w:vAlign w:val="center"/>
            <w:hideMark/>
          </w:tcPr>
          <w:p w14:paraId="2D49E5F0" w14:textId="420AFB5B"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1</w:t>
            </w:r>
            <w:r w:rsidR="00D0450C">
              <w:rPr>
                <w:rFonts w:ascii="Arial" w:hAnsi="Arial" w:cs="Arial"/>
                <w:color w:val="000000"/>
                <w:sz w:val="18"/>
                <w:szCs w:val="18"/>
                <w:lang w:val="en-IN"/>
              </w:rPr>
              <w:t>,</w:t>
            </w:r>
            <w:r w:rsidRPr="0089507B">
              <w:rPr>
                <w:rFonts w:ascii="Arial" w:hAnsi="Arial" w:cs="Arial"/>
                <w:color w:val="000000"/>
                <w:sz w:val="18"/>
                <w:szCs w:val="18"/>
                <w:lang w:val="en-IN"/>
              </w:rPr>
              <w:t>516.44</w:t>
            </w:r>
          </w:p>
        </w:tc>
        <w:tc>
          <w:tcPr>
            <w:tcW w:w="793" w:type="dxa"/>
            <w:tcBorders>
              <w:top w:val="nil"/>
              <w:left w:val="nil"/>
              <w:bottom w:val="single" w:sz="4" w:space="0" w:color="auto"/>
              <w:right w:val="single" w:sz="4" w:space="0" w:color="auto"/>
            </w:tcBorders>
            <w:shd w:val="clear" w:color="auto" w:fill="auto"/>
            <w:noWrap/>
            <w:vAlign w:val="center"/>
            <w:hideMark/>
          </w:tcPr>
          <w:p w14:paraId="0706E628" w14:textId="77777777" w:rsidR="00E343B7" w:rsidRPr="0089507B" w:rsidRDefault="00E343B7" w:rsidP="004E1154">
            <w:pPr>
              <w:jc w:val="right"/>
              <w:rPr>
                <w:rFonts w:ascii="Arial" w:hAnsi="Arial" w:cs="Arial"/>
                <w:color w:val="000000"/>
                <w:sz w:val="18"/>
                <w:szCs w:val="18"/>
                <w:lang w:val="en-IN"/>
              </w:rPr>
            </w:pPr>
            <w:r w:rsidRPr="0089507B">
              <w:rPr>
                <w:rFonts w:ascii="Arial" w:hAnsi="Arial" w:cs="Arial"/>
                <w:color w:val="000000"/>
                <w:sz w:val="18"/>
                <w:szCs w:val="18"/>
                <w:lang w:val="en-IN"/>
              </w:rPr>
              <w:t>490.04</w:t>
            </w:r>
          </w:p>
        </w:tc>
      </w:tr>
    </w:tbl>
    <w:p w14:paraId="0D0A8F32" w14:textId="77777777" w:rsidR="00BC3E95" w:rsidRDefault="00BC3E95" w:rsidP="00916E8C">
      <w:pPr>
        <w:pStyle w:val="Footnote"/>
      </w:pPr>
    </w:p>
    <w:p w14:paraId="6EBB700A" w14:textId="3D4E5AF6" w:rsidR="00E343B7" w:rsidRPr="000529A7" w:rsidRDefault="00BC3E95" w:rsidP="00916E8C">
      <w:pPr>
        <w:pStyle w:val="Footnote"/>
      </w:pPr>
      <w:r>
        <w:t>Note: ATM = automated teller machine; POS = point of sale</w:t>
      </w:r>
      <w:r w:rsidR="0026265F">
        <w:t>; US$1 = ₹66.4 and ₹1 = US$0.0151 on November 8, 2016.</w:t>
      </w:r>
    </w:p>
    <w:p w14:paraId="3AED4AD3" w14:textId="165FF555" w:rsidR="003D6FA9" w:rsidRPr="00DE0013" w:rsidRDefault="00E343B7" w:rsidP="00DE0013">
      <w:pPr>
        <w:pStyle w:val="Footnote"/>
      </w:pPr>
      <w:r>
        <w:t xml:space="preserve">Source: </w:t>
      </w:r>
      <w:r w:rsidR="00772DFA">
        <w:t xml:space="preserve">Reserve Bank of India, accessed </w:t>
      </w:r>
      <w:r w:rsidR="000D74E3">
        <w:t xml:space="preserve">“Bankwise ATM/POS/Card Statistics,” November 6, 2017, </w:t>
      </w:r>
      <w:r w:rsidR="0078162B" w:rsidRPr="0078162B">
        <w:t>https://rbi.org.in/Scripts/ATMView.aspx</w:t>
      </w:r>
      <w:r w:rsidR="00DE7AF6">
        <w:t>.</w:t>
      </w:r>
    </w:p>
    <w:p w14:paraId="198BFC36" w14:textId="49CA34DA" w:rsidR="00E343B7" w:rsidRDefault="00E343B7" w:rsidP="00FC235F">
      <w:pPr>
        <w:pStyle w:val="ExhibitHeading"/>
        <w:outlineLvl w:val="0"/>
        <w:rPr>
          <w:lang w:val="en-IN"/>
        </w:rPr>
      </w:pPr>
      <w:r>
        <w:rPr>
          <w:lang w:val="en-IN"/>
        </w:rPr>
        <w:lastRenderedPageBreak/>
        <w:t xml:space="preserve">EXHIBIT </w:t>
      </w:r>
      <w:r w:rsidR="00814390">
        <w:rPr>
          <w:lang w:val="en-IN"/>
        </w:rPr>
        <w:t>5</w:t>
      </w:r>
      <w:r w:rsidRPr="00346D46">
        <w:rPr>
          <w:lang w:val="en-IN"/>
        </w:rPr>
        <w:t>: BANK VOLUMES IN ECS</w:t>
      </w:r>
      <w:r w:rsidR="00772DFA">
        <w:rPr>
          <w:lang w:val="en-IN"/>
        </w:rPr>
        <w:t>,</w:t>
      </w:r>
      <w:r w:rsidRPr="00346D46">
        <w:rPr>
          <w:lang w:val="en-IN"/>
        </w:rPr>
        <w:t xml:space="preserve"> NEFT</w:t>
      </w:r>
      <w:r w:rsidR="00772DFA">
        <w:rPr>
          <w:lang w:val="en-IN"/>
        </w:rPr>
        <w:t>,</w:t>
      </w:r>
      <w:r w:rsidRPr="00346D46">
        <w:rPr>
          <w:lang w:val="en-IN"/>
        </w:rPr>
        <w:t xml:space="preserve"> RTGS</w:t>
      </w:r>
      <w:r w:rsidR="00772DFA">
        <w:rPr>
          <w:lang w:val="en-IN"/>
        </w:rPr>
        <w:t>,</w:t>
      </w:r>
      <w:r w:rsidRPr="00346D46">
        <w:rPr>
          <w:lang w:val="en-IN"/>
        </w:rPr>
        <w:t xml:space="preserve"> AND MOBILE BANKING TRANSACTIONS</w:t>
      </w:r>
      <w:r w:rsidR="00772DFA">
        <w:rPr>
          <w:lang w:val="en-IN"/>
        </w:rPr>
        <w:t xml:space="preserve"> in ind</w:t>
      </w:r>
      <w:r w:rsidR="00AE3CD5">
        <w:rPr>
          <w:lang w:val="en-IN"/>
        </w:rPr>
        <w:t>ia, selected months in 2016/</w:t>
      </w:r>
      <w:r w:rsidR="00772DFA">
        <w:rPr>
          <w:lang w:val="en-IN"/>
        </w:rPr>
        <w:t>2017</w:t>
      </w:r>
    </w:p>
    <w:p w14:paraId="4C357571" w14:textId="77777777" w:rsidR="00DE7AF6" w:rsidRDefault="00DE7AF6" w:rsidP="00314917">
      <w:pPr>
        <w:pStyle w:val="ExhibitText"/>
        <w:rPr>
          <w:lang w:val="en-I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
        <w:gridCol w:w="745"/>
        <w:gridCol w:w="652"/>
        <w:gridCol w:w="746"/>
        <w:gridCol w:w="559"/>
        <w:gridCol w:w="1212"/>
        <w:gridCol w:w="932"/>
        <w:gridCol w:w="1212"/>
        <w:gridCol w:w="932"/>
        <w:gridCol w:w="839"/>
        <w:gridCol w:w="932"/>
        <w:gridCol w:w="839"/>
        <w:gridCol w:w="932"/>
        <w:gridCol w:w="746"/>
        <w:gridCol w:w="839"/>
      </w:tblGrid>
      <w:tr w:rsidR="00E343B7" w:rsidRPr="00D92EDA" w14:paraId="5D237954" w14:textId="77777777" w:rsidTr="000D74E3">
        <w:trPr>
          <w:trHeight w:val="360"/>
          <w:jc w:val="center"/>
        </w:trPr>
        <w:tc>
          <w:tcPr>
            <w:tcW w:w="805" w:type="dxa"/>
            <w:shd w:val="clear" w:color="auto" w:fill="auto"/>
            <w:noWrap/>
            <w:tcMar>
              <w:left w:w="29" w:type="dxa"/>
              <w:right w:w="29" w:type="dxa"/>
            </w:tcMar>
            <w:vAlign w:val="center"/>
          </w:tcPr>
          <w:p w14:paraId="2A57596B" w14:textId="77777777" w:rsidR="00E343B7" w:rsidRPr="00D92EDA" w:rsidRDefault="00E343B7" w:rsidP="004E1154">
            <w:pPr>
              <w:jc w:val="center"/>
              <w:rPr>
                <w:rFonts w:ascii="Arial" w:hAnsi="Arial" w:cs="Arial"/>
                <w:b/>
                <w:bCs/>
                <w:color w:val="000000"/>
                <w:sz w:val="18"/>
                <w:szCs w:val="18"/>
                <w:lang w:val="en-IN"/>
              </w:rPr>
            </w:pPr>
          </w:p>
        </w:tc>
        <w:tc>
          <w:tcPr>
            <w:tcW w:w="11700" w:type="dxa"/>
            <w:gridSpan w:val="14"/>
            <w:shd w:val="clear" w:color="auto" w:fill="auto"/>
            <w:noWrap/>
            <w:tcMar>
              <w:left w:w="29" w:type="dxa"/>
              <w:right w:w="29" w:type="dxa"/>
            </w:tcMar>
            <w:vAlign w:val="center"/>
          </w:tcPr>
          <w:p w14:paraId="740E2161" w14:textId="5E537725" w:rsidR="00E343B7" w:rsidRPr="00D92EDA" w:rsidRDefault="00202E1A" w:rsidP="00202E1A">
            <w:pPr>
              <w:jc w:val="center"/>
              <w:rPr>
                <w:rFonts w:ascii="Arial" w:hAnsi="Arial" w:cs="Arial"/>
                <w:b/>
                <w:bCs/>
                <w:sz w:val="18"/>
                <w:szCs w:val="18"/>
                <w:lang w:val="en-IN"/>
              </w:rPr>
            </w:pPr>
            <w:r>
              <w:rPr>
                <w:rFonts w:ascii="Arial" w:hAnsi="Arial" w:cs="Arial"/>
                <w:b/>
                <w:bCs/>
                <w:color w:val="000000"/>
                <w:sz w:val="18"/>
                <w:szCs w:val="18"/>
                <w:lang w:val="en-IN"/>
              </w:rPr>
              <w:t>Volume</w:t>
            </w:r>
            <w:r w:rsidRPr="00D92EDA">
              <w:rPr>
                <w:rFonts w:ascii="Arial" w:hAnsi="Arial" w:cs="Arial"/>
                <w:b/>
                <w:bCs/>
                <w:color w:val="000000"/>
                <w:sz w:val="18"/>
                <w:szCs w:val="18"/>
                <w:lang w:val="en-IN"/>
              </w:rPr>
              <w:t xml:space="preserve"> </w:t>
            </w:r>
            <w:r w:rsidR="00E343B7" w:rsidRPr="00D92EDA">
              <w:rPr>
                <w:rFonts w:ascii="Arial" w:hAnsi="Arial" w:cs="Arial"/>
                <w:b/>
                <w:bCs/>
                <w:color w:val="000000"/>
                <w:sz w:val="18"/>
                <w:szCs w:val="18"/>
                <w:lang w:val="en-IN"/>
              </w:rPr>
              <w:t xml:space="preserve">(in </w:t>
            </w:r>
            <w:r>
              <w:rPr>
                <w:rFonts w:ascii="Arial" w:hAnsi="Arial" w:cs="Arial"/>
                <w:b/>
                <w:bCs/>
                <w:color w:val="000000"/>
                <w:sz w:val="18"/>
                <w:szCs w:val="18"/>
                <w:lang w:val="en-IN"/>
              </w:rPr>
              <w:t>m</w:t>
            </w:r>
            <w:r w:rsidR="00E343B7" w:rsidRPr="00D92EDA">
              <w:rPr>
                <w:rFonts w:ascii="Arial" w:hAnsi="Arial" w:cs="Arial"/>
                <w:b/>
                <w:bCs/>
                <w:color w:val="000000"/>
                <w:sz w:val="18"/>
                <w:szCs w:val="18"/>
                <w:lang w:val="en-IN"/>
              </w:rPr>
              <w:t>illion</w:t>
            </w:r>
            <w:r w:rsidR="00772DFA">
              <w:rPr>
                <w:rFonts w:ascii="Arial" w:hAnsi="Arial" w:cs="Arial"/>
                <w:b/>
                <w:bCs/>
                <w:color w:val="000000"/>
                <w:sz w:val="18"/>
                <w:szCs w:val="18"/>
                <w:lang w:val="en-IN"/>
              </w:rPr>
              <w:t>s</w:t>
            </w:r>
            <w:r w:rsidR="00E343B7" w:rsidRPr="00D92EDA">
              <w:rPr>
                <w:rFonts w:ascii="Arial" w:hAnsi="Arial" w:cs="Arial"/>
                <w:b/>
                <w:bCs/>
                <w:color w:val="000000"/>
                <w:sz w:val="18"/>
                <w:szCs w:val="18"/>
                <w:lang w:val="en-IN"/>
              </w:rPr>
              <w:t xml:space="preserve">) </w:t>
            </w:r>
            <w:r>
              <w:rPr>
                <w:rFonts w:ascii="Arial" w:hAnsi="Arial" w:cs="Arial"/>
                <w:b/>
                <w:bCs/>
                <w:color w:val="000000"/>
                <w:sz w:val="18"/>
                <w:szCs w:val="18"/>
                <w:lang w:val="en-IN"/>
              </w:rPr>
              <w:t>and</w:t>
            </w:r>
            <w:r w:rsidRPr="00D92EDA">
              <w:rPr>
                <w:rFonts w:ascii="Arial" w:hAnsi="Arial" w:cs="Arial"/>
                <w:b/>
                <w:bCs/>
                <w:color w:val="000000"/>
                <w:sz w:val="18"/>
                <w:szCs w:val="18"/>
                <w:lang w:val="en-IN"/>
              </w:rPr>
              <w:t xml:space="preserve"> </w:t>
            </w:r>
            <w:r w:rsidR="00E343B7" w:rsidRPr="00D92EDA">
              <w:rPr>
                <w:rFonts w:ascii="Arial" w:hAnsi="Arial" w:cs="Arial"/>
                <w:b/>
                <w:bCs/>
                <w:color w:val="000000"/>
                <w:sz w:val="18"/>
                <w:szCs w:val="18"/>
                <w:lang w:val="en-IN"/>
              </w:rPr>
              <w:t xml:space="preserve">Value (in </w:t>
            </w:r>
            <w:r>
              <w:rPr>
                <w:rFonts w:ascii="Arial" w:hAnsi="Arial" w:cs="Arial"/>
                <w:b/>
                <w:bCs/>
                <w:color w:val="000000"/>
                <w:sz w:val="18"/>
                <w:szCs w:val="18"/>
                <w:lang w:val="en-IN"/>
              </w:rPr>
              <w:t>₹</w:t>
            </w:r>
            <w:r w:rsidR="00E343B7" w:rsidRPr="00D92EDA">
              <w:rPr>
                <w:rFonts w:ascii="Arial" w:hAnsi="Arial" w:cs="Arial"/>
                <w:b/>
                <w:bCs/>
                <w:color w:val="000000"/>
                <w:sz w:val="18"/>
                <w:szCs w:val="18"/>
                <w:lang w:val="en-IN"/>
              </w:rPr>
              <w:t xml:space="preserve"> billion)</w:t>
            </w:r>
          </w:p>
        </w:tc>
      </w:tr>
      <w:tr w:rsidR="00E343B7" w:rsidRPr="00D92EDA" w14:paraId="630C9E40" w14:textId="77777777" w:rsidTr="000D74E3">
        <w:trPr>
          <w:trHeight w:val="360"/>
          <w:jc w:val="center"/>
        </w:trPr>
        <w:tc>
          <w:tcPr>
            <w:tcW w:w="805" w:type="dxa"/>
            <w:vMerge w:val="restart"/>
            <w:shd w:val="clear" w:color="auto" w:fill="auto"/>
            <w:noWrap/>
            <w:tcMar>
              <w:left w:w="29" w:type="dxa"/>
              <w:right w:w="29" w:type="dxa"/>
            </w:tcMar>
            <w:vAlign w:val="center"/>
            <w:hideMark/>
          </w:tcPr>
          <w:p w14:paraId="34F2655B" w14:textId="52C60046" w:rsidR="00E343B7" w:rsidRPr="00D92EDA" w:rsidRDefault="00EC6F5F" w:rsidP="004E1154">
            <w:pPr>
              <w:jc w:val="center"/>
              <w:rPr>
                <w:rFonts w:ascii="Arial" w:hAnsi="Arial" w:cs="Arial"/>
                <w:b/>
                <w:bCs/>
                <w:color w:val="000000"/>
                <w:sz w:val="18"/>
                <w:szCs w:val="18"/>
                <w:lang w:val="en-IN"/>
              </w:rPr>
            </w:pPr>
            <w:r>
              <w:rPr>
                <w:rFonts w:ascii="Arial" w:hAnsi="Arial" w:cs="Arial"/>
                <w:b/>
                <w:bCs/>
                <w:color w:val="000000"/>
                <w:sz w:val="18"/>
                <w:szCs w:val="18"/>
                <w:lang w:val="en-IN"/>
              </w:rPr>
              <w:t>Month</w:t>
            </w:r>
          </w:p>
        </w:tc>
        <w:tc>
          <w:tcPr>
            <w:tcW w:w="2610" w:type="dxa"/>
            <w:gridSpan w:val="4"/>
            <w:shd w:val="clear" w:color="auto" w:fill="auto"/>
            <w:noWrap/>
            <w:tcMar>
              <w:left w:w="29" w:type="dxa"/>
              <w:right w:w="29" w:type="dxa"/>
            </w:tcMar>
            <w:vAlign w:val="center"/>
            <w:hideMark/>
          </w:tcPr>
          <w:p w14:paraId="522725BB" w14:textId="77777777" w:rsidR="00E343B7" w:rsidRPr="00D92EDA" w:rsidRDefault="00E343B7" w:rsidP="000D74E3">
            <w:pPr>
              <w:jc w:val="center"/>
              <w:rPr>
                <w:rFonts w:ascii="Arial" w:hAnsi="Arial" w:cs="Arial"/>
                <w:b/>
                <w:bCs/>
                <w:color w:val="000000"/>
                <w:sz w:val="18"/>
                <w:szCs w:val="18"/>
                <w:lang w:val="en-IN"/>
              </w:rPr>
            </w:pPr>
            <w:r w:rsidRPr="00D92EDA">
              <w:rPr>
                <w:rFonts w:ascii="Arial" w:hAnsi="Arial" w:cs="Arial"/>
                <w:b/>
                <w:bCs/>
                <w:color w:val="000000"/>
                <w:sz w:val="18"/>
                <w:szCs w:val="18"/>
                <w:lang w:val="en-IN"/>
              </w:rPr>
              <w:t>ECS</w:t>
            </w:r>
          </w:p>
        </w:tc>
        <w:tc>
          <w:tcPr>
            <w:tcW w:w="4140" w:type="dxa"/>
            <w:gridSpan w:val="4"/>
            <w:shd w:val="clear" w:color="auto" w:fill="auto"/>
            <w:noWrap/>
            <w:tcMar>
              <w:left w:w="29" w:type="dxa"/>
              <w:right w:w="29" w:type="dxa"/>
            </w:tcMar>
            <w:vAlign w:val="center"/>
            <w:hideMark/>
          </w:tcPr>
          <w:p w14:paraId="42DF5053" w14:textId="77777777" w:rsidR="00E343B7" w:rsidRPr="00D92EDA" w:rsidRDefault="00E343B7" w:rsidP="000D74E3">
            <w:pPr>
              <w:jc w:val="center"/>
              <w:rPr>
                <w:rFonts w:ascii="Arial" w:hAnsi="Arial" w:cs="Arial"/>
                <w:b/>
                <w:bCs/>
                <w:color w:val="000000"/>
                <w:sz w:val="18"/>
                <w:szCs w:val="18"/>
                <w:lang w:val="en-IN"/>
              </w:rPr>
            </w:pPr>
            <w:r w:rsidRPr="00D92EDA">
              <w:rPr>
                <w:rFonts w:ascii="Arial" w:hAnsi="Arial" w:cs="Arial"/>
                <w:b/>
                <w:bCs/>
                <w:color w:val="000000"/>
                <w:sz w:val="18"/>
                <w:szCs w:val="18"/>
                <w:lang w:val="en-IN"/>
              </w:rPr>
              <w:t>NEFT</w:t>
            </w:r>
          </w:p>
        </w:tc>
        <w:tc>
          <w:tcPr>
            <w:tcW w:w="3420" w:type="dxa"/>
            <w:gridSpan w:val="4"/>
            <w:shd w:val="clear" w:color="auto" w:fill="auto"/>
            <w:noWrap/>
            <w:tcMar>
              <w:left w:w="29" w:type="dxa"/>
              <w:right w:w="29" w:type="dxa"/>
            </w:tcMar>
            <w:vAlign w:val="center"/>
            <w:hideMark/>
          </w:tcPr>
          <w:p w14:paraId="0C194E62" w14:textId="77777777" w:rsidR="00E343B7" w:rsidRPr="00D92EDA" w:rsidRDefault="00E343B7" w:rsidP="000D74E3">
            <w:pPr>
              <w:jc w:val="center"/>
              <w:rPr>
                <w:rFonts w:ascii="Arial" w:hAnsi="Arial" w:cs="Arial"/>
                <w:b/>
                <w:bCs/>
                <w:color w:val="000000"/>
                <w:sz w:val="18"/>
                <w:szCs w:val="18"/>
                <w:lang w:val="en-IN"/>
              </w:rPr>
            </w:pPr>
            <w:r w:rsidRPr="00D92EDA">
              <w:rPr>
                <w:rFonts w:ascii="Arial" w:hAnsi="Arial" w:cs="Arial"/>
                <w:b/>
                <w:bCs/>
                <w:color w:val="000000"/>
                <w:sz w:val="18"/>
                <w:szCs w:val="18"/>
                <w:lang w:val="en-IN"/>
              </w:rPr>
              <w:t>RTGS</w:t>
            </w:r>
          </w:p>
        </w:tc>
        <w:tc>
          <w:tcPr>
            <w:tcW w:w="1530" w:type="dxa"/>
            <w:gridSpan w:val="2"/>
            <w:shd w:val="clear" w:color="000000" w:fill="FFFFFF"/>
            <w:tcMar>
              <w:left w:w="29" w:type="dxa"/>
              <w:right w:w="29" w:type="dxa"/>
            </w:tcMar>
            <w:vAlign w:val="center"/>
            <w:hideMark/>
          </w:tcPr>
          <w:p w14:paraId="41E0AAFE" w14:textId="043D2AA6" w:rsidR="00E343B7" w:rsidRPr="00D92EDA" w:rsidRDefault="00772DFA" w:rsidP="000D74E3">
            <w:pPr>
              <w:jc w:val="center"/>
              <w:rPr>
                <w:rFonts w:ascii="Arial" w:hAnsi="Arial" w:cs="Arial"/>
                <w:b/>
                <w:bCs/>
                <w:sz w:val="18"/>
                <w:szCs w:val="18"/>
                <w:lang w:val="en-IN"/>
              </w:rPr>
            </w:pPr>
            <w:r w:rsidRPr="00D92EDA">
              <w:rPr>
                <w:rFonts w:ascii="Arial" w:hAnsi="Arial" w:cs="Arial"/>
                <w:b/>
                <w:bCs/>
                <w:sz w:val="18"/>
                <w:szCs w:val="18"/>
                <w:lang w:val="en-IN"/>
              </w:rPr>
              <w:t>Mobile Banking Transactions</w:t>
            </w:r>
          </w:p>
        </w:tc>
      </w:tr>
      <w:tr w:rsidR="0078162B" w:rsidRPr="00D92EDA" w14:paraId="541D12A2" w14:textId="77777777" w:rsidTr="000D74E3">
        <w:trPr>
          <w:trHeight w:val="360"/>
          <w:jc w:val="center"/>
        </w:trPr>
        <w:tc>
          <w:tcPr>
            <w:tcW w:w="805" w:type="dxa"/>
            <w:vMerge/>
            <w:tcMar>
              <w:left w:w="29" w:type="dxa"/>
              <w:right w:w="29" w:type="dxa"/>
            </w:tcMar>
            <w:vAlign w:val="center"/>
            <w:hideMark/>
          </w:tcPr>
          <w:p w14:paraId="761FDE21" w14:textId="77777777" w:rsidR="00E343B7" w:rsidRPr="00D92EDA" w:rsidRDefault="00E343B7" w:rsidP="004E1154">
            <w:pPr>
              <w:rPr>
                <w:rFonts w:ascii="Arial" w:hAnsi="Arial" w:cs="Arial"/>
                <w:b/>
                <w:bCs/>
                <w:color w:val="000000"/>
                <w:sz w:val="18"/>
                <w:szCs w:val="18"/>
                <w:lang w:val="en-IN"/>
              </w:rPr>
            </w:pPr>
          </w:p>
        </w:tc>
        <w:tc>
          <w:tcPr>
            <w:tcW w:w="1350" w:type="dxa"/>
            <w:gridSpan w:val="2"/>
            <w:shd w:val="clear" w:color="000000" w:fill="FFFFFF"/>
            <w:noWrap/>
            <w:tcMar>
              <w:left w:w="29" w:type="dxa"/>
              <w:right w:w="29" w:type="dxa"/>
            </w:tcMar>
            <w:vAlign w:val="center"/>
            <w:hideMark/>
          </w:tcPr>
          <w:p w14:paraId="3F9992DF" w14:textId="598EA966" w:rsidR="00E343B7" w:rsidRPr="00D92EDA" w:rsidRDefault="00E343B7" w:rsidP="00EC6F5F">
            <w:pPr>
              <w:jc w:val="center"/>
              <w:rPr>
                <w:rFonts w:ascii="Arial" w:hAnsi="Arial" w:cs="Arial"/>
                <w:b/>
                <w:bCs/>
                <w:sz w:val="18"/>
                <w:szCs w:val="18"/>
                <w:lang w:val="en-IN"/>
              </w:rPr>
            </w:pPr>
            <w:r w:rsidRPr="00D92EDA">
              <w:rPr>
                <w:rFonts w:ascii="Arial" w:hAnsi="Arial" w:cs="Arial"/>
                <w:b/>
                <w:bCs/>
                <w:sz w:val="18"/>
                <w:szCs w:val="18"/>
                <w:lang w:val="en-IN"/>
              </w:rPr>
              <w:t>ECS (</w:t>
            </w:r>
            <w:r w:rsidR="00EC6F5F">
              <w:rPr>
                <w:rFonts w:ascii="Arial" w:hAnsi="Arial" w:cs="Arial"/>
                <w:b/>
                <w:bCs/>
                <w:sz w:val="18"/>
                <w:szCs w:val="18"/>
                <w:lang w:val="en-IN"/>
              </w:rPr>
              <w:t>Credit</w:t>
            </w:r>
            <w:r w:rsidRPr="00D92EDA">
              <w:rPr>
                <w:rFonts w:ascii="Arial" w:hAnsi="Arial" w:cs="Arial"/>
                <w:b/>
                <w:bCs/>
                <w:sz w:val="18"/>
                <w:szCs w:val="18"/>
                <w:lang w:val="en-IN"/>
              </w:rPr>
              <w:t>)</w:t>
            </w:r>
          </w:p>
        </w:tc>
        <w:tc>
          <w:tcPr>
            <w:tcW w:w="1260" w:type="dxa"/>
            <w:gridSpan w:val="2"/>
            <w:shd w:val="clear" w:color="000000" w:fill="FFFFFF"/>
            <w:noWrap/>
            <w:tcMar>
              <w:left w:w="29" w:type="dxa"/>
              <w:right w:w="29" w:type="dxa"/>
            </w:tcMar>
            <w:vAlign w:val="center"/>
            <w:hideMark/>
          </w:tcPr>
          <w:p w14:paraId="01A44AA9" w14:textId="2E31C55E" w:rsidR="00E343B7" w:rsidRPr="00D92EDA" w:rsidRDefault="00E343B7" w:rsidP="00EC6F5F">
            <w:pPr>
              <w:jc w:val="center"/>
              <w:rPr>
                <w:rFonts w:ascii="Arial" w:hAnsi="Arial" w:cs="Arial"/>
                <w:b/>
                <w:bCs/>
                <w:sz w:val="18"/>
                <w:szCs w:val="18"/>
                <w:lang w:val="en-IN"/>
              </w:rPr>
            </w:pPr>
            <w:r w:rsidRPr="00D92EDA">
              <w:rPr>
                <w:rFonts w:ascii="Arial" w:hAnsi="Arial" w:cs="Arial"/>
                <w:b/>
                <w:bCs/>
                <w:sz w:val="18"/>
                <w:szCs w:val="18"/>
                <w:lang w:val="en-IN"/>
              </w:rPr>
              <w:t>ECS (</w:t>
            </w:r>
            <w:r w:rsidR="00EC6F5F">
              <w:rPr>
                <w:rFonts w:ascii="Arial" w:hAnsi="Arial" w:cs="Arial"/>
                <w:b/>
                <w:bCs/>
                <w:sz w:val="18"/>
                <w:szCs w:val="18"/>
                <w:lang w:val="en-IN"/>
              </w:rPr>
              <w:t>Debit</w:t>
            </w:r>
            <w:r w:rsidRPr="00D92EDA">
              <w:rPr>
                <w:rFonts w:ascii="Arial" w:hAnsi="Arial" w:cs="Arial"/>
                <w:b/>
                <w:bCs/>
                <w:sz w:val="18"/>
                <w:szCs w:val="18"/>
                <w:lang w:val="en-IN"/>
              </w:rPr>
              <w:t>)</w:t>
            </w:r>
          </w:p>
        </w:tc>
        <w:tc>
          <w:tcPr>
            <w:tcW w:w="2070" w:type="dxa"/>
            <w:gridSpan w:val="2"/>
            <w:shd w:val="clear" w:color="000000" w:fill="FFFFFF"/>
            <w:noWrap/>
            <w:tcMar>
              <w:left w:w="29" w:type="dxa"/>
              <w:right w:w="29" w:type="dxa"/>
            </w:tcMar>
            <w:vAlign w:val="center"/>
            <w:hideMark/>
          </w:tcPr>
          <w:p w14:paraId="16D0DA1D" w14:textId="7FD66844" w:rsidR="00E343B7" w:rsidRPr="00D92EDA" w:rsidRDefault="00772DFA" w:rsidP="000D74E3">
            <w:pPr>
              <w:jc w:val="center"/>
              <w:rPr>
                <w:rFonts w:ascii="Arial" w:hAnsi="Arial" w:cs="Arial"/>
                <w:b/>
                <w:bCs/>
                <w:color w:val="000000"/>
                <w:sz w:val="18"/>
                <w:szCs w:val="18"/>
                <w:lang w:val="en-IN"/>
              </w:rPr>
            </w:pPr>
            <w:r w:rsidRPr="00D92EDA">
              <w:rPr>
                <w:rFonts w:ascii="Arial" w:hAnsi="Arial" w:cs="Arial"/>
                <w:b/>
                <w:bCs/>
                <w:color w:val="000000"/>
                <w:sz w:val="18"/>
                <w:szCs w:val="18"/>
                <w:lang w:val="en-IN"/>
              </w:rPr>
              <w:t>Total Outward Debits</w:t>
            </w:r>
          </w:p>
        </w:tc>
        <w:tc>
          <w:tcPr>
            <w:tcW w:w="2070" w:type="dxa"/>
            <w:gridSpan w:val="2"/>
            <w:shd w:val="clear" w:color="000000" w:fill="FFFFFF"/>
            <w:noWrap/>
            <w:tcMar>
              <w:left w:w="29" w:type="dxa"/>
              <w:right w:w="29" w:type="dxa"/>
            </w:tcMar>
            <w:vAlign w:val="center"/>
            <w:hideMark/>
          </w:tcPr>
          <w:p w14:paraId="654C3E29" w14:textId="26A7C4EC" w:rsidR="00E343B7" w:rsidRPr="00D92EDA" w:rsidRDefault="00772DFA" w:rsidP="000D74E3">
            <w:pPr>
              <w:jc w:val="center"/>
              <w:rPr>
                <w:rFonts w:ascii="Arial" w:hAnsi="Arial" w:cs="Arial"/>
                <w:b/>
                <w:bCs/>
                <w:color w:val="000000"/>
                <w:sz w:val="18"/>
                <w:szCs w:val="18"/>
                <w:lang w:val="en-IN"/>
              </w:rPr>
            </w:pPr>
            <w:r w:rsidRPr="00D92EDA">
              <w:rPr>
                <w:rFonts w:ascii="Arial" w:hAnsi="Arial" w:cs="Arial"/>
                <w:b/>
                <w:bCs/>
                <w:color w:val="000000"/>
                <w:sz w:val="18"/>
                <w:szCs w:val="18"/>
                <w:lang w:val="en-IN"/>
              </w:rPr>
              <w:t>Received Inward Credits</w:t>
            </w:r>
          </w:p>
        </w:tc>
        <w:tc>
          <w:tcPr>
            <w:tcW w:w="1710" w:type="dxa"/>
            <w:gridSpan w:val="2"/>
            <w:shd w:val="clear" w:color="auto" w:fill="auto"/>
            <w:noWrap/>
            <w:tcMar>
              <w:left w:w="29" w:type="dxa"/>
              <w:right w:w="29" w:type="dxa"/>
            </w:tcMar>
            <w:vAlign w:val="center"/>
            <w:hideMark/>
          </w:tcPr>
          <w:p w14:paraId="38F99601" w14:textId="13A86A50" w:rsidR="00E343B7" w:rsidRPr="00D92EDA" w:rsidRDefault="00772DFA" w:rsidP="000D74E3">
            <w:pPr>
              <w:jc w:val="center"/>
              <w:rPr>
                <w:rFonts w:ascii="Arial" w:hAnsi="Arial" w:cs="Arial"/>
                <w:b/>
                <w:bCs/>
                <w:color w:val="000000"/>
                <w:sz w:val="18"/>
                <w:szCs w:val="18"/>
                <w:lang w:val="en-IN"/>
              </w:rPr>
            </w:pPr>
            <w:r w:rsidRPr="00D92EDA">
              <w:rPr>
                <w:rFonts w:ascii="Arial" w:hAnsi="Arial" w:cs="Arial"/>
                <w:b/>
                <w:bCs/>
                <w:color w:val="000000"/>
                <w:sz w:val="18"/>
                <w:szCs w:val="18"/>
                <w:lang w:val="en-IN"/>
              </w:rPr>
              <w:t>Inward</w:t>
            </w:r>
          </w:p>
        </w:tc>
        <w:tc>
          <w:tcPr>
            <w:tcW w:w="1710" w:type="dxa"/>
            <w:gridSpan w:val="2"/>
            <w:shd w:val="clear" w:color="auto" w:fill="auto"/>
            <w:noWrap/>
            <w:tcMar>
              <w:left w:w="29" w:type="dxa"/>
              <w:right w:w="29" w:type="dxa"/>
            </w:tcMar>
            <w:vAlign w:val="center"/>
            <w:hideMark/>
          </w:tcPr>
          <w:p w14:paraId="59FC841F" w14:textId="797D00E1" w:rsidR="00E343B7" w:rsidRPr="00D92EDA" w:rsidRDefault="00772DFA" w:rsidP="000D74E3">
            <w:pPr>
              <w:jc w:val="center"/>
              <w:rPr>
                <w:rFonts w:ascii="Arial" w:hAnsi="Arial" w:cs="Arial"/>
                <w:b/>
                <w:bCs/>
                <w:color w:val="000000"/>
                <w:sz w:val="18"/>
                <w:szCs w:val="18"/>
                <w:lang w:val="en-IN"/>
              </w:rPr>
            </w:pPr>
            <w:r w:rsidRPr="00D92EDA">
              <w:rPr>
                <w:rFonts w:ascii="Arial" w:hAnsi="Arial" w:cs="Arial"/>
                <w:b/>
                <w:bCs/>
                <w:color w:val="000000"/>
                <w:sz w:val="18"/>
                <w:szCs w:val="18"/>
                <w:lang w:val="en-IN"/>
              </w:rPr>
              <w:t>Outward</w:t>
            </w:r>
          </w:p>
        </w:tc>
        <w:tc>
          <w:tcPr>
            <w:tcW w:w="720" w:type="dxa"/>
            <w:vMerge w:val="restart"/>
            <w:shd w:val="clear" w:color="000000" w:fill="FFFFFF"/>
            <w:tcMar>
              <w:left w:w="29" w:type="dxa"/>
              <w:right w:w="29" w:type="dxa"/>
            </w:tcMar>
            <w:vAlign w:val="center"/>
            <w:hideMark/>
          </w:tcPr>
          <w:p w14:paraId="47657858" w14:textId="77777777" w:rsidR="00E343B7" w:rsidRPr="00D92EDA" w:rsidRDefault="00E343B7" w:rsidP="000D74E3">
            <w:pPr>
              <w:jc w:val="center"/>
              <w:rPr>
                <w:rFonts w:ascii="Arial" w:hAnsi="Arial" w:cs="Arial"/>
                <w:b/>
                <w:bCs/>
                <w:color w:val="0D0D0D"/>
                <w:sz w:val="18"/>
                <w:szCs w:val="18"/>
                <w:lang w:val="en-IN"/>
              </w:rPr>
            </w:pPr>
            <w:r w:rsidRPr="00D92EDA">
              <w:rPr>
                <w:rFonts w:ascii="Arial" w:hAnsi="Arial" w:cs="Arial"/>
                <w:b/>
                <w:bCs/>
                <w:color w:val="0D0D0D"/>
                <w:sz w:val="18"/>
                <w:szCs w:val="18"/>
                <w:lang w:val="en-IN"/>
              </w:rPr>
              <w:t>Volume</w:t>
            </w:r>
          </w:p>
        </w:tc>
        <w:tc>
          <w:tcPr>
            <w:tcW w:w="810" w:type="dxa"/>
            <w:vMerge w:val="restart"/>
            <w:shd w:val="clear" w:color="000000" w:fill="FFFFFF"/>
            <w:tcMar>
              <w:left w:w="29" w:type="dxa"/>
              <w:right w:w="29" w:type="dxa"/>
            </w:tcMar>
            <w:vAlign w:val="center"/>
            <w:hideMark/>
          </w:tcPr>
          <w:p w14:paraId="1AC6B511" w14:textId="77777777" w:rsidR="00E343B7" w:rsidRPr="00D92EDA" w:rsidRDefault="00E343B7" w:rsidP="000D74E3">
            <w:pPr>
              <w:jc w:val="center"/>
              <w:rPr>
                <w:rFonts w:ascii="Arial" w:hAnsi="Arial" w:cs="Arial"/>
                <w:b/>
                <w:bCs/>
                <w:color w:val="0D0D0D"/>
                <w:sz w:val="18"/>
                <w:szCs w:val="18"/>
                <w:lang w:val="en-IN"/>
              </w:rPr>
            </w:pPr>
            <w:r w:rsidRPr="00D92EDA">
              <w:rPr>
                <w:rFonts w:ascii="Arial" w:hAnsi="Arial" w:cs="Arial"/>
                <w:b/>
                <w:bCs/>
                <w:color w:val="0D0D0D"/>
                <w:sz w:val="18"/>
                <w:szCs w:val="18"/>
                <w:lang w:val="en-IN"/>
              </w:rPr>
              <w:t>Value</w:t>
            </w:r>
          </w:p>
        </w:tc>
      </w:tr>
      <w:tr w:rsidR="0078162B" w:rsidRPr="00D92EDA" w14:paraId="09F05F78" w14:textId="77777777" w:rsidTr="000D74E3">
        <w:trPr>
          <w:trHeight w:val="360"/>
          <w:jc w:val="center"/>
        </w:trPr>
        <w:tc>
          <w:tcPr>
            <w:tcW w:w="805" w:type="dxa"/>
            <w:shd w:val="clear" w:color="auto" w:fill="auto"/>
            <w:noWrap/>
            <w:tcMar>
              <w:left w:w="29" w:type="dxa"/>
              <w:right w:w="29" w:type="dxa"/>
            </w:tcMar>
            <w:vAlign w:val="center"/>
            <w:hideMark/>
          </w:tcPr>
          <w:p w14:paraId="7A60B94C" w14:textId="77777777" w:rsidR="00E343B7" w:rsidRPr="00D92EDA" w:rsidRDefault="00E343B7" w:rsidP="004E1154">
            <w:pPr>
              <w:rPr>
                <w:rFonts w:ascii="Arial" w:hAnsi="Arial" w:cs="Arial"/>
                <w:color w:val="000000"/>
                <w:sz w:val="18"/>
                <w:szCs w:val="18"/>
                <w:lang w:val="en-IN"/>
              </w:rPr>
            </w:pPr>
            <w:r w:rsidRPr="00D92EDA">
              <w:rPr>
                <w:rFonts w:ascii="Arial" w:hAnsi="Arial" w:cs="Arial"/>
                <w:color w:val="000000"/>
                <w:sz w:val="18"/>
                <w:szCs w:val="18"/>
                <w:lang w:val="en-IN"/>
              </w:rPr>
              <w:t> </w:t>
            </w:r>
          </w:p>
        </w:tc>
        <w:tc>
          <w:tcPr>
            <w:tcW w:w="720" w:type="dxa"/>
            <w:shd w:val="clear" w:color="000000" w:fill="FFFFFF"/>
            <w:tcMar>
              <w:left w:w="29" w:type="dxa"/>
              <w:right w:w="29" w:type="dxa"/>
            </w:tcMar>
            <w:vAlign w:val="center"/>
            <w:hideMark/>
          </w:tcPr>
          <w:p w14:paraId="6BB1A0C0" w14:textId="77777777" w:rsidR="00E343B7" w:rsidRPr="00D92EDA" w:rsidRDefault="00E343B7" w:rsidP="000D74E3">
            <w:pPr>
              <w:jc w:val="center"/>
              <w:rPr>
                <w:rFonts w:ascii="Arial" w:hAnsi="Arial" w:cs="Arial"/>
                <w:b/>
                <w:bCs/>
                <w:sz w:val="18"/>
                <w:szCs w:val="18"/>
                <w:lang w:val="en-IN"/>
              </w:rPr>
            </w:pPr>
            <w:r w:rsidRPr="00D92EDA">
              <w:rPr>
                <w:rFonts w:ascii="Arial" w:hAnsi="Arial" w:cs="Arial"/>
                <w:b/>
                <w:bCs/>
                <w:sz w:val="18"/>
                <w:szCs w:val="18"/>
                <w:lang w:val="en-IN"/>
              </w:rPr>
              <w:t>Volume</w:t>
            </w:r>
          </w:p>
        </w:tc>
        <w:tc>
          <w:tcPr>
            <w:tcW w:w="630" w:type="dxa"/>
            <w:shd w:val="clear" w:color="000000" w:fill="FFFFFF"/>
            <w:tcMar>
              <w:left w:w="29" w:type="dxa"/>
              <w:right w:w="29" w:type="dxa"/>
            </w:tcMar>
            <w:vAlign w:val="center"/>
            <w:hideMark/>
          </w:tcPr>
          <w:p w14:paraId="1870E79A" w14:textId="3BE24DEF" w:rsidR="00E343B7" w:rsidRPr="00D92EDA" w:rsidRDefault="00E343B7" w:rsidP="000D74E3">
            <w:pPr>
              <w:jc w:val="center"/>
              <w:rPr>
                <w:rFonts w:ascii="Arial" w:hAnsi="Arial" w:cs="Arial"/>
                <w:b/>
                <w:bCs/>
                <w:sz w:val="18"/>
                <w:szCs w:val="18"/>
                <w:lang w:val="en-IN"/>
              </w:rPr>
            </w:pPr>
            <w:r w:rsidRPr="00D92EDA">
              <w:rPr>
                <w:rFonts w:ascii="Arial" w:hAnsi="Arial" w:cs="Arial"/>
                <w:b/>
                <w:bCs/>
                <w:sz w:val="18"/>
                <w:szCs w:val="18"/>
                <w:lang w:val="en-IN"/>
              </w:rPr>
              <w:t>Value</w:t>
            </w:r>
          </w:p>
        </w:tc>
        <w:tc>
          <w:tcPr>
            <w:tcW w:w="720" w:type="dxa"/>
            <w:shd w:val="clear" w:color="000000" w:fill="FFFFFF"/>
            <w:tcMar>
              <w:left w:w="29" w:type="dxa"/>
              <w:right w:w="29" w:type="dxa"/>
            </w:tcMar>
            <w:vAlign w:val="center"/>
            <w:hideMark/>
          </w:tcPr>
          <w:p w14:paraId="3E71D08B" w14:textId="77777777" w:rsidR="00E343B7" w:rsidRPr="00D92EDA" w:rsidRDefault="00E343B7" w:rsidP="000D74E3">
            <w:pPr>
              <w:jc w:val="center"/>
              <w:rPr>
                <w:rFonts w:ascii="Arial" w:hAnsi="Arial" w:cs="Arial"/>
                <w:b/>
                <w:bCs/>
                <w:sz w:val="18"/>
                <w:szCs w:val="18"/>
                <w:lang w:val="en-IN"/>
              </w:rPr>
            </w:pPr>
            <w:r w:rsidRPr="00D92EDA">
              <w:rPr>
                <w:rFonts w:ascii="Arial" w:hAnsi="Arial" w:cs="Arial"/>
                <w:b/>
                <w:bCs/>
                <w:sz w:val="18"/>
                <w:szCs w:val="18"/>
                <w:lang w:val="en-IN"/>
              </w:rPr>
              <w:t>Volume</w:t>
            </w:r>
          </w:p>
        </w:tc>
        <w:tc>
          <w:tcPr>
            <w:tcW w:w="540" w:type="dxa"/>
            <w:shd w:val="clear" w:color="000000" w:fill="FFFFFF"/>
            <w:tcMar>
              <w:left w:w="29" w:type="dxa"/>
              <w:right w:w="29" w:type="dxa"/>
            </w:tcMar>
            <w:vAlign w:val="center"/>
            <w:hideMark/>
          </w:tcPr>
          <w:p w14:paraId="2F5A36EB" w14:textId="73D4AA1B" w:rsidR="00E343B7" w:rsidRPr="00D92EDA" w:rsidRDefault="00E343B7" w:rsidP="000D74E3">
            <w:pPr>
              <w:jc w:val="center"/>
              <w:rPr>
                <w:rFonts w:ascii="Arial" w:hAnsi="Arial" w:cs="Arial"/>
                <w:b/>
                <w:bCs/>
                <w:sz w:val="18"/>
                <w:szCs w:val="18"/>
                <w:lang w:val="en-IN"/>
              </w:rPr>
            </w:pPr>
            <w:r w:rsidRPr="00D92EDA">
              <w:rPr>
                <w:rFonts w:ascii="Arial" w:hAnsi="Arial" w:cs="Arial"/>
                <w:b/>
                <w:bCs/>
                <w:sz w:val="18"/>
                <w:szCs w:val="18"/>
                <w:lang w:val="en-IN"/>
              </w:rPr>
              <w:t>Value</w:t>
            </w:r>
          </w:p>
        </w:tc>
        <w:tc>
          <w:tcPr>
            <w:tcW w:w="1170" w:type="dxa"/>
            <w:shd w:val="clear" w:color="000000" w:fill="FFFFFF"/>
            <w:tcMar>
              <w:left w:w="29" w:type="dxa"/>
              <w:right w:w="29" w:type="dxa"/>
            </w:tcMar>
            <w:vAlign w:val="center"/>
            <w:hideMark/>
          </w:tcPr>
          <w:p w14:paraId="32F9A7B8" w14:textId="4DDDA206" w:rsidR="00E343B7" w:rsidRPr="00D92EDA" w:rsidRDefault="00E343B7" w:rsidP="000D74E3">
            <w:pPr>
              <w:jc w:val="center"/>
              <w:rPr>
                <w:rFonts w:ascii="Arial" w:hAnsi="Arial" w:cs="Arial"/>
                <w:b/>
                <w:bCs/>
                <w:color w:val="000000"/>
                <w:sz w:val="18"/>
                <w:szCs w:val="18"/>
                <w:lang w:val="en-IN"/>
              </w:rPr>
            </w:pPr>
            <w:r w:rsidRPr="00D92EDA">
              <w:rPr>
                <w:rFonts w:ascii="Arial" w:hAnsi="Arial" w:cs="Arial"/>
                <w:b/>
                <w:bCs/>
                <w:color w:val="000000"/>
                <w:sz w:val="18"/>
                <w:szCs w:val="18"/>
                <w:lang w:val="en-IN"/>
              </w:rPr>
              <w:t>No. of transactions (m</w:t>
            </w:r>
            <w:r w:rsidR="00202E1A">
              <w:rPr>
                <w:rFonts w:ascii="Arial" w:hAnsi="Arial" w:cs="Arial"/>
                <w:b/>
                <w:bCs/>
                <w:color w:val="000000"/>
                <w:sz w:val="18"/>
                <w:szCs w:val="18"/>
                <w:lang w:val="en-IN"/>
              </w:rPr>
              <w:t>illion</w:t>
            </w:r>
            <w:r w:rsidRPr="00D92EDA">
              <w:rPr>
                <w:rFonts w:ascii="Arial" w:hAnsi="Arial" w:cs="Arial"/>
                <w:b/>
                <w:bCs/>
                <w:color w:val="000000"/>
                <w:sz w:val="18"/>
                <w:szCs w:val="18"/>
                <w:lang w:val="en-IN"/>
              </w:rPr>
              <w:t>)</w:t>
            </w:r>
          </w:p>
        </w:tc>
        <w:tc>
          <w:tcPr>
            <w:tcW w:w="900" w:type="dxa"/>
            <w:shd w:val="clear" w:color="000000" w:fill="FFFFFF"/>
            <w:tcMar>
              <w:left w:w="29" w:type="dxa"/>
              <w:right w:w="29" w:type="dxa"/>
            </w:tcMar>
            <w:vAlign w:val="center"/>
            <w:hideMark/>
          </w:tcPr>
          <w:p w14:paraId="2EA40939" w14:textId="77777777" w:rsidR="00E343B7" w:rsidRPr="00D92EDA" w:rsidRDefault="00E343B7" w:rsidP="000D74E3">
            <w:pPr>
              <w:jc w:val="center"/>
              <w:rPr>
                <w:rFonts w:ascii="Arial" w:hAnsi="Arial" w:cs="Arial"/>
                <w:b/>
                <w:bCs/>
                <w:color w:val="000000"/>
                <w:sz w:val="18"/>
                <w:szCs w:val="18"/>
                <w:lang w:val="en-IN"/>
              </w:rPr>
            </w:pPr>
            <w:r w:rsidRPr="00D92EDA">
              <w:rPr>
                <w:rFonts w:ascii="Arial" w:hAnsi="Arial" w:cs="Arial"/>
                <w:b/>
                <w:bCs/>
                <w:color w:val="000000"/>
                <w:sz w:val="18"/>
                <w:szCs w:val="18"/>
                <w:lang w:val="en-IN"/>
              </w:rPr>
              <w:t>Amount</w:t>
            </w:r>
          </w:p>
        </w:tc>
        <w:tc>
          <w:tcPr>
            <w:tcW w:w="1170" w:type="dxa"/>
            <w:shd w:val="clear" w:color="000000" w:fill="FFFFFF"/>
            <w:tcMar>
              <w:left w:w="29" w:type="dxa"/>
              <w:right w:w="29" w:type="dxa"/>
            </w:tcMar>
            <w:vAlign w:val="center"/>
            <w:hideMark/>
          </w:tcPr>
          <w:p w14:paraId="66029F34" w14:textId="2751BF7F" w:rsidR="00E343B7" w:rsidRPr="00D92EDA" w:rsidRDefault="00E343B7" w:rsidP="000D74E3">
            <w:pPr>
              <w:jc w:val="center"/>
              <w:rPr>
                <w:rFonts w:ascii="Arial" w:hAnsi="Arial" w:cs="Arial"/>
                <w:b/>
                <w:bCs/>
                <w:color w:val="000000"/>
                <w:sz w:val="18"/>
                <w:szCs w:val="18"/>
                <w:lang w:val="en-IN"/>
              </w:rPr>
            </w:pPr>
            <w:r w:rsidRPr="00D92EDA">
              <w:rPr>
                <w:rFonts w:ascii="Arial" w:hAnsi="Arial" w:cs="Arial"/>
                <w:b/>
                <w:bCs/>
                <w:color w:val="000000"/>
                <w:sz w:val="18"/>
                <w:szCs w:val="18"/>
                <w:lang w:val="en-IN"/>
              </w:rPr>
              <w:t>No. of transactions (m</w:t>
            </w:r>
            <w:r w:rsidR="00202E1A">
              <w:rPr>
                <w:rFonts w:ascii="Arial" w:hAnsi="Arial" w:cs="Arial"/>
                <w:b/>
                <w:bCs/>
                <w:color w:val="000000"/>
                <w:sz w:val="18"/>
                <w:szCs w:val="18"/>
                <w:lang w:val="en-IN"/>
              </w:rPr>
              <w:t>illion</w:t>
            </w:r>
            <w:r w:rsidRPr="00D92EDA">
              <w:rPr>
                <w:rFonts w:ascii="Arial" w:hAnsi="Arial" w:cs="Arial"/>
                <w:b/>
                <w:bCs/>
                <w:color w:val="000000"/>
                <w:sz w:val="18"/>
                <w:szCs w:val="18"/>
                <w:lang w:val="en-IN"/>
              </w:rPr>
              <w:t>)</w:t>
            </w:r>
          </w:p>
        </w:tc>
        <w:tc>
          <w:tcPr>
            <w:tcW w:w="900" w:type="dxa"/>
            <w:shd w:val="clear" w:color="000000" w:fill="FFFFFF"/>
            <w:tcMar>
              <w:left w:w="29" w:type="dxa"/>
              <w:right w:w="29" w:type="dxa"/>
            </w:tcMar>
            <w:vAlign w:val="center"/>
            <w:hideMark/>
          </w:tcPr>
          <w:p w14:paraId="0DA28362" w14:textId="77777777" w:rsidR="00E343B7" w:rsidRPr="00D92EDA" w:rsidRDefault="00E343B7" w:rsidP="000D74E3">
            <w:pPr>
              <w:jc w:val="center"/>
              <w:rPr>
                <w:rFonts w:ascii="Arial" w:hAnsi="Arial" w:cs="Arial"/>
                <w:b/>
                <w:bCs/>
                <w:color w:val="000000"/>
                <w:sz w:val="18"/>
                <w:szCs w:val="18"/>
                <w:lang w:val="en-IN"/>
              </w:rPr>
            </w:pPr>
            <w:r w:rsidRPr="00D92EDA">
              <w:rPr>
                <w:rFonts w:ascii="Arial" w:hAnsi="Arial" w:cs="Arial"/>
                <w:b/>
                <w:bCs/>
                <w:color w:val="000000"/>
                <w:sz w:val="18"/>
                <w:szCs w:val="18"/>
                <w:lang w:val="en-IN"/>
              </w:rPr>
              <w:t>Amount</w:t>
            </w:r>
          </w:p>
        </w:tc>
        <w:tc>
          <w:tcPr>
            <w:tcW w:w="810" w:type="dxa"/>
            <w:shd w:val="clear" w:color="auto" w:fill="auto"/>
            <w:noWrap/>
            <w:tcMar>
              <w:left w:w="29" w:type="dxa"/>
              <w:right w:w="29" w:type="dxa"/>
            </w:tcMar>
            <w:vAlign w:val="center"/>
            <w:hideMark/>
          </w:tcPr>
          <w:p w14:paraId="2E96F2E3" w14:textId="408EB74F" w:rsidR="00E343B7" w:rsidRPr="00D92EDA" w:rsidRDefault="00E343B7" w:rsidP="000D74E3">
            <w:pPr>
              <w:jc w:val="center"/>
              <w:rPr>
                <w:rFonts w:ascii="Arial" w:hAnsi="Arial" w:cs="Arial"/>
                <w:b/>
                <w:bCs/>
                <w:color w:val="000000"/>
                <w:sz w:val="18"/>
                <w:szCs w:val="18"/>
                <w:lang w:val="en-IN"/>
              </w:rPr>
            </w:pPr>
            <w:r w:rsidRPr="00D92EDA">
              <w:rPr>
                <w:rFonts w:ascii="Arial" w:hAnsi="Arial" w:cs="Arial"/>
                <w:b/>
                <w:bCs/>
                <w:color w:val="000000"/>
                <w:sz w:val="18"/>
                <w:szCs w:val="18"/>
                <w:lang w:val="en-IN"/>
              </w:rPr>
              <w:t>Volume</w:t>
            </w:r>
          </w:p>
        </w:tc>
        <w:tc>
          <w:tcPr>
            <w:tcW w:w="900" w:type="dxa"/>
            <w:shd w:val="clear" w:color="auto" w:fill="auto"/>
            <w:tcMar>
              <w:left w:w="29" w:type="dxa"/>
              <w:right w:w="29" w:type="dxa"/>
            </w:tcMar>
            <w:vAlign w:val="center"/>
            <w:hideMark/>
          </w:tcPr>
          <w:p w14:paraId="6FF0AF5A" w14:textId="3E1B21F3" w:rsidR="00E343B7" w:rsidRPr="00D92EDA" w:rsidRDefault="00E343B7" w:rsidP="000D74E3">
            <w:pPr>
              <w:jc w:val="center"/>
              <w:rPr>
                <w:rFonts w:ascii="Arial" w:hAnsi="Arial" w:cs="Arial"/>
                <w:b/>
                <w:bCs/>
                <w:color w:val="000000"/>
                <w:sz w:val="18"/>
                <w:szCs w:val="18"/>
                <w:lang w:val="en-IN"/>
              </w:rPr>
            </w:pPr>
            <w:r w:rsidRPr="00D92EDA">
              <w:rPr>
                <w:rFonts w:ascii="Arial" w:hAnsi="Arial" w:cs="Arial"/>
                <w:b/>
                <w:bCs/>
                <w:color w:val="000000"/>
                <w:sz w:val="18"/>
                <w:szCs w:val="18"/>
                <w:lang w:val="en-IN"/>
              </w:rPr>
              <w:t>Value</w:t>
            </w:r>
          </w:p>
        </w:tc>
        <w:tc>
          <w:tcPr>
            <w:tcW w:w="810" w:type="dxa"/>
            <w:shd w:val="clear" w:color="auto" w:fill="auto"/>
            <w:noWrap/>
            <w:tcMar>
              <w:left w:w="29" w:type="dxa"/>
              <w:right w:w="29" w:type="dxa"/>
            </w:tcMar>
            <w:vAlign w:val="center"/>
            <w:hideMark/>
          </w:tcPr>
          <w:p w14:paraId="7F83F512" w14:textId="77777777" w:rsidR="00E343B7" w:rsidRPr="00D92EDA" w:rsidRDefault="00E343B7" w:rsidP="000D74E3">
            <w:pPr>
              <w:jc w:val="center"/>
              <w:rPr>
                <w:rFonts w:ascii="Arial" w:hAnsi="Arial" w:cs="Arial"/>
                <w:b/>
                <w:bCs/>
                <w:color w:val="000000"/>
                <w:sz w:val="18"/>
                <w:szCs w:val="18"/>
                <w:lang w:val="en-IN"/>
              </w:rPr>
            </w:pPr>
            <w:r w:rsidRPr="00D92EDA">
              <w:rPr>
                <w:rFonts w:ascii="Arial" w:hAnsi="Arial" w:cs="Arial"/>
                <w:b/>
                <w:bCs/>
                <w:color w:val="000000"/>
                <w:sz w:val="18"/>
                <w:szCs w:val="18"/>
                <w:lang w:val="en-IN"/>
              </w:rPr>
              <w:t>Volume</w:t>
            </w:r>
          </w:p>
        </w:tc>
        <w:tc>
          <w:tcPr>
            <w:tcW w:w="900" w:type="dxa"/>
            <w:shd w:val="clear" w:color="auto" w:fill="auto"/>
            <w:tcMar>
              <w:left w:w="29" w:type="dxa"/>
              <w:right w:w="29" w:type="dxa"/>
            </w:tcMar>
            <w:vAlign w:val="center"/>
            <w:hideMark/>
          </w:tcPr>
          <w:p w14:paraId="045DAA9B" w14:textId="77777777" w:rsidR="00E343B7" w:rsidRPr="00D92EDA" w:rsidRDefault="00E343B7" w:rsidP="000D74E3">
            <w:pPr>
              <w:jc w:val="center"/>
              <w:rPr>
                <w:rFonts w:ascii="Arial" w:hAnsi="Arial" w:cs="Arial"/>
                <w:b/>
                <w:bCs/>
                <w:color w:val="000000"/>
                <w:sz w:val="18"/>
                <w:szCs w:val="18"/>
                <w:lang w:val="en-IN"/>
              </w:rPr>
            </w:pPr>
            <w:r w:rsidRPr="00D92EDA">
              <w:rPr>
                <w:rFonts w:ascii="Arial" w:hAnsi="Arial" w:cs="Arial"/>
                <w:b/>
                <w:bCs/>
                <w:color w:val="000000"/>
                <w:sz w:val="18"/>
                <w:szCs w:val="18"/>
                <w:lang w:val="en-IN"/>
              </w:rPr>
              <w:t>Value</w:t>
            </w:r>
          </w:p>
        </w:tc>
        <w:tc>
          <w:tcPr>
            <w:tcW w:w="720" w:type="dxa"/>
            <w:vMerge/>
            <w:tcMar>
              <w:left w:w="29" w:type="dxa"/>
              <w:right w:w="29" w:type="dxa"/>
            </w:tcMar>
            <w:vAlign w:val="center"/>
            <w:hideMark/>
          </w:tcPr>
          <w:p w14:paraId="1866A18D" w14:textId="77777777" w:rsidR="00E343B7" w:rsidRPr="00D92EDA" w:rsidRDefault="00E343B7" w:rsidP="004E1154">
            <w:pPr>
              <w:rPr>
                <w:rFonts w:ascii="Arial" w:hAnsi="Arial" w:cs="Arial"/>
                <w:b/>
                <w:bCs/>
                <w:color w:val="0D0D0D"/>
                <w:sz w:val="18"/>
                <w:szCs w:val="18"/>
                <w:lang w:val="en-IN"/>
              </w:rPr>
            </w:pPr>
          </w:p>
        </w:tc>
        <w:tc>
          <w:tcPr>
            <w:tcW w:w="810" w:type="dxa"/>
            <w:vMerge/>
            <w:tcMar>
              <w:left w:w="29" w:type="dxa"/>
              <w:right w:w="29" w:type="dxa"/>
            </w:tcMar>
            <w:vAlign w:val="center"/>
            <w:hideMark/>
          </w:tcPr>
          <w:p w14:paraId="34505C44" w14:textId="77777777" w:rsidR="00E343B7" w:rsidRPr="00D92EDA" w:rsidRDefault="00E343B7" w:rsidP="004E1154">
            <w:pPr>
              <w:rPr>
                <w:rFonts w:ascii="Arial" w:hAnsi="Arial" w:cs="Arial"/>
                <w:b/>
                <w:bCs/>
                <w:color w:val="0D0D0D"/>
                <w:sz w:val="18"/>
                <w:szCs w:val="18"/>
                <w:lang w:val="en-IN"/>
              </w:rPr>
            </w:pPr>
          </w:p>
        </w:tc>
      </w:tr>
      <w:tr w:rsidR="0078162B" w:rsidRPr="00D92EDA" w14:paraId="2442711F" w14:textId="77777777" w:rsidTr="000D74E3">
        <w:trPr>
          <w:trHeight w:val="360"/>
          <w:jc w:val="center"/>
        </w:trPr>
        <w:tc>
          <w:tcPr>
            <w:tcW w:w="805" w:type="dxa"/>
            <w:shd w:val="clear" w:color="auto" w:fill="auto"/>
            <w:noWrap/>
            <w:tcMar>
              <w:left w:w="29" w:type="dxa"/>
              <w:right w:w="29" w:type="dxa"/>
            </w:tcMar>
            <w:vAlign w:val="center"/>
            <w:hideMark/>
          </w:tcPr>
          <w:p w14:paraId="658B2C00" w14:textId="166F6C87" w:rsidR="00E343B7" w:rsidRPr="00D92EDA" w:rsidRDefault="00202E1A" w:rsidP="004E1154">
            <w:pPr>
              <w:rPr>
                <w:rFonts w:ascii="Arial" w:hAnsi="Arial" w:cs="Arial"/>
                <w:color w:val="000000"/>
                <w:sz w:val="18"/>
                <w:szCs w:val="18"/>
                <w:lang w:val="en-IN"/>
              </w:rPr>
            </w:pPr>
            <w:r>
              <w:rPr>
                <w:rFonts w:ascii="Arial" w:hAnsi="Arial" w:cs="Arial"/>
                <w:color w:val="000000"/>
                <w:sz w:val="18"/>
                <w:szCs w:val="18"/>
                <w:lang w:val="en-IN"/>
              </w:rPr>
              <w:t>2016-10</w:t>
            </w:r>
          </w:p>
        </w:tc>
        <w:tc>
          <w:tcPr>
            <w:tcW w:w="720" w:type="dxa"/>
            <w:shd w:val="clear" w:color="auto" w:fill="auto"/>
            <w:noWrap/>
            <w:tcMar>
              <w:left w:w="29" w:type="dxa"/>
              <w:right w:w="29" w:type="dxa"/>
            </w:tcMar>
            <w:vAlign w:val="center"/>
            <w:hideMark/>
          </w:tcPr>
          <w:p w14:paraId="2723D8B0"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0.96</w:t>
            </w:r>
          </w:p>
        </w:tc>
        <w:tc>
          <w:tcPr>
            <w:tcW w:w="630" w:type="dxa"/>
            <w:shd w:val="clear" w:color="auto" w:fill="auto"/>
            <w:noWrap/>
            <w:tcMar>
              <w:left w:w="29" w:type="dxa"/>
              <w:right w:w="29" w:type="dxa"/>
            </w:tcMar>
            <w:vAlign w:val="center"/>
            <w:hideMark/>
          </w:tcPr>
          <w:p w14:paraId="253CA5DD" w14:textId="77777777" w:rsidR="00E343B7" w:rsidRPr="00D92EDA" w:rsidRDefault="00E343B7" w:rsidP="00B92C7B">
            <w:pPr>
              <w:tabs>
                <w:tab w:val="decimal" w:pos="398"/>
              </w:tabs>
              <w:jc w:val="center"/>
              <w:rPr>
                <w:rFonts w:ascii="Arial" w:hAnsi="Arial" w:cs="Arial"/>
                <w:color w:val="000000"/>
                <w:sz w:val="18"/>
                <w:szCs w:val="18"/>
                <w:lang w:val="en-IN"/>
              </w:rPr>
            </w:pPr>
            <w:r w:rsidRPr="00D92EDA">
              <w:rPr>
                <w:rFonts w:ascii="Arial" w:hAnsi="Arial" w:cs="Arial"/>
                <w:color w:val="000000"/>
                <w:sz w:val="18"/>
                <w:szCs w:val="18"/>
                <w:lang w:val="en-IN"/>
              </w:rPr>
              <w:t>16.55</w:t>
            </w:r>
          </w:p>
        </w:tc>
        <w:tc>
          <w:tcPr>
            <w:tcW w:w="720" w:type="dxa"/>
            <w:shd w:val="clear" w:color="auto" w:fill="auto"/>
            <w:noWrap/>
            <w:tcMar>
              <w:left w:w="29" w:type="dxa"/>
              <w:right w:w="29" w:type="dxa"/>
            </w:tcMar>
            <w:vAlign w:val="center"/>
            <w:hideMark/>
          </w:tcPr>
          <w:p w14:paraId="22B3E588"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0.82</w:t>
            </w:r>
          </w:p>
        </w:tc>
        <w:tc>
          <w:tcPr>
            <w:tcW w:w="540" w:type="dxa"/>
            <w:shd w:val="clear" w:color="auto" w:fill="auto"/>
            <w:noWrap/>
            <w:tcMar>
              <w:left w:w="29" w:type="dxa"/>
              <w:right w:w="29" w:type="dxa"/>
            </w:tcMar>
            <w:vAlign w:val="center"/>
            <w:hideMark/>
          </w:tcPr>
          <w:p w14:paraId="6A794881"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2.04</w:t>
            </w:r>
          </w:p>
        </w:tc>
        <w:tc>
          <w:tcPr>
            <w:tcW w:w="1170" w:type="dxa"/>
            <w:shd w:val="clear" w:color="auto" w:fill="auto"/>
            <w:noWrap/>
            <w:tcMar>
              <w:left w:w="29" w:type="dxa"/>
              <w:right w:w="29" w:type="dxa"/>
            </w:tcMar>
            <w:vAlign w:val="center"/>
            <w:hideMark/>
          </w:tcPr>
          <w:p w14:paraId="49DF5C3F"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133.21</w:t>
            </w:r>
          </w:p>
        </w:tc>
        <w:tc>
          <w:tcPr>
            <w:tcW w:w="900" w:type="dxa"/>
            <w:shd w:val="clear" w:color="auto" w:fill="auto"/>
            <w:noWrap/>
            <w:tcMar>
              <w:left w:w="29" w:type="dxa"/>
              <w:right w:w="29" w:type="dxa"/>
            </w:tcMar>
            <w:vAlign w:val="center"/>
            <w:hideMark/>
          </w:tcPr>
          <w:p w14:paraId="18E2BF7F" w14:textId="4BFA2F8A" w:rsidR="00E343B7" w:rsidRPr="00D92EDA" w:rsidRDefault="00E343B7" w:rsidP="00B92C7B">
            <w:pPr>
              <w:tabs>
                <w:tab w:val="decimal" w:pos="614"/>
              </w:tabs>
              <w:jc w:val="center"/>
              <w:rPr>
                <w:rFonts w:ascii="Arial" w:hAnsi="Arial" w:cs="Arial"/>
                <w:color w:val="000000"/>
                <w:sz w:val="18"/>
                <w:szCs w:val="18"/>
                <w:lang w:val="en-IN"/>
              </w:rPr>
            </w:pPr>
            <w:r w:rsidRPr="00D92EDA">
              <w:rPr>
                <w:rFonts w:ascii="Arial" w:hAnsi="Arial" w:cs="Arial"/>
                <w:color w:val="000000"/>
                <w:sz w:val="18"/>
                <w:szCs w:val="18"/>
                <w:lang w:val="en-IN"/>
              </w:rPr>
              <w:t>9</w:t>
            </w:r>
            <w:r w:rsidR="00202E1A">
              <w:rPr>
                <w:rFonts w:ascii="Arial" w:hAnsi="Arial" w:cs="Arial"/>
                <w:color w:val="000000"/>
                <w:sz w:val="18"/>
                <w:szCs w:val="18"/>
                <w:lang w:val="en-IN"/>
              </w:rPr>
              <w:t>,</w:t>
            </w:r>
            <w:r w:rsidRPr="00D92EDA">
              <w:rPr>
                <w:rFonts w:ascii="Arial" w:hAnsi="Arial" w:cs="Arial"/>
                <w:color w:val="000000"/>
                <w:sz w:val="18"/>
                <w:szCs w:val="18"/>
                <w:lang w:val="en-IN"/>
              </w:rPr>
              <w:t>504.50</w:t>
            </w:r>
          </w:p>
        </w:tc>
        <w:tc>
          <w:tcPr>
            <w:tcW w:w="1170" w:type="dxa"/>
            <w:shd w:val="clear" w:color="auto" w:fill="auto"/>
            <w:noWrap/>
            <w:tcMar>
              <w:left w:w="29" w:type="dxa"/>
              <w:right w:w="29" w:type="dxa"/>
            </w:tcMar>
            <w:vAlign w:val="center"/>
            <w:hideMark/>
          </w:tcPr>
          <w:p w14:paraId="4DD9201C"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133.21</w:t>
            </w:r>
          </w:p>
        </w:tc>
        <w:tc>
          <w:tcPr>
            <w:tcW w:w="900" w:type="dxa"/>
            <w:shd w:val="clear" w:color="auto" w:fill="auto"/>
            <w:noWrap/>
            <w:tcMar>
              <w:left w:w="29" w:type="dxa"/>
              <w:right w:w="29" w:type="dxa"/>
            </w:tcMar>
            <w:vAlign w:val="center"/>
            <w:hideMark/>
          </w:tcPr>
          <w:p w14:paraId="1DB1BC1F" w14:textId="05A0E09C" w:rsidR="00E343B7" w:rsidRPr="00D92EDA" w:rsidRDefault="00E343B7" w:rsidP="00B92C7B">
            <w:pPr>
              <w:tabs>
                <w:tab w:val="decimal" w:pos="585"/>
              </w:tabs>
              <w:jc w:val="center"/>
              <w:rPr>
                <w:rFonts w:ascii="Arial" w:hAnsi="Arial" w:cs="Arial"/>
                <w:color w:val="000000"/>
                <w:sz w:val="18"/>
                <w:szCs w:val="18"/>
                <w:lang w:val="en-IN"/>
              </w:rPr>
            </w:pPr>
            <w:r w:rsidRPr="00D92EDA">
              <w:rPr>
                <w:rFonts w:ascii="Arial" w:hAnsi="Arial" w:cs="Arial"/>
                <w:color w:val="000000"/>
                <w:sz w:val="18"/>
                <w:szCs w:val="18"/>
                <w:lang w:val="en-IN"/>
              </w:rPr>
              <w:t>9</w:t>
            </w:r>
            <w:r w:rsidR="00202E1A">
              <w:rPr>
                <w:rFonts w:ascii="Arial" w:hAnsi="Arial" w:cs="Arial"/>
                <w:color w:val="000000"/>
                <w:sz w:val="18"/>
                <w:szCs w:val="18"/>
                <w:lang w:val="en-IN"/>
              </w:rPr>
              <w:t>,</w:t>
            </w:r>
            <w:r w:rsidRPr="00D92EDA">
              <w:rPr>
                <w:rFonts w:ascii="Arial" w:hAnsi="Arial" w:cs="Arial"/>
                <w:color w:val="000000"/>
                <w:sz w:val="18"/>
                <w:szCs w:val="18"/>
                <w:lang w:val="en-IN"/>
              </w:rPr>
              <w:t>504.50</w:t>
            </w:r>
          </w:p>
        </w:tc>
        <w:tc>
          <w:tcPr>
            <w:tcW w:w="810" w:type="dxa"/>
            <w:shd w:val="clear" w:color="FFFFFF" w:fill="FFFFFF"/>
            <w:noWrap/>
            <w:tcMar>
              <w:left w:w="29" w:type="dxa"/>
              <w:right w:w="29" w:type="dxa"/>
            </w:tcMar>
            <w:vAlign w:val="center"/>
            <w:hideMark/>
          </w:tcPr>
          <w:p w14:paraId="468AC4F5"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9.01</w:t>
            </w:r>
          </w:p>
        </w:tc>
        <w:tc>
          <w:tcPr>
            <w:tcW w:w="900" w:type="dxa"/>
            <w:shd w:val="clear" w:color="auto" w:fill="auto"/>
            <w:noWrap/>
            <w:tcMar>
              <w:left w:w="29" w:type="dxa"/>
              <w:right w:w="29" w:type="dxa"/>
            </w:tcMar>
            <w:vAlign w:val="center"/>
            <w:hideMark/>
          </w:tcPr>
          <w:p w14:paraId="54B2C0B9" w14:textId="5C9E3674"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76</w:t>
            </w:r>
            <w:r w:rsidR="00202E1A">
              <w:rPr>
                <w:rFonts w:ascii="Arial" w:hAnsi="Arial" w:cs="Arial"/>
                <w:color w:val="000000"/>
                <w:sz w:val="18"/>
                <w:szCs w:val="18"/>
                <w:lang w:val="en-IN"/>
              </w:rPr>
              <w:t>,</w:t>
            </w:r>
            <w:r w:rsidRPr="00D92EDA">
              <w:rPr>
                <w:rFonts w:ascii="Arial" w:hAnsi="Arial" w:cs="Arial"/>
                <w:color w:val="000000"/>
                <w:sz w:val="18"/>
                <w:szCs w:val="18"/>
                <w:lang w:val="en-IN"/>
              </w:rPr>
              <w:t>473.29</w:t>
            </w:r>
          </w:p>
        </w:tc>
        <w:tc>
          <w:tcPr>
            <w:tcW w:w="810" w:type="dxa"/>
            <w:shd w:val="clear" w:color="auto" w:fill="auto"/>
            <w:noWrap/>
            <w:tcMar>
              <w:left w:w="29" w:type="dxa"/>
              <w:right w:w="29" w:type="dxa"/>
            </w:tcMar>
            <w:vAlign w:val="center"/>
            <w:hideMark/>
          </w:tcPr>
          <w:p w14:paraId="68984B40"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9.01</w:t>
            </w:r>
          </w:p>
        </w:tc>
        <w:tc>
          <w:tcPr>
            <w:tcW w:w="900" w:type="dxa"/>
            <w:shd w:val="clear" w:color="auto" w:fill="auto"/>
            <w:noWrap/>
            <w:tcMar>
              <w:left w:w="29" w:type="dxa"/>
              <w:right w:w="29" w:type="dxa"/>
            </w:tcMar>
            <w:vAlign w:val="center"/>
            <w:hideMark/>
          </w:tcPr>
          <w:p w14:paraId="358BD27B" w14:textId="3E20F0BE"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76</w:t>
            </w:r>
            <w:r w:rsidR="00202E1A">
              <w:rPr>
                <w:rFonts w:ascii="Arial" w:hAnsi="Arial" w:cs="Arial"/>
                <w:color w:val="000000"/>
                <w:sz w:val="18"/>
                <w:szCs w:val="18"/>
                <w:lang w:val="en-IN"/>
              </w:rPr>
              <w:t>,</w:t>
            </w:r>
            <w:r w:rsidRPr="00D92EDA">
              <w:rPr>
                <w:rFonts w:ascii="Arial" w:hAnsi="Arial" w:cs="Arial"/>
                <w:color w:val="000000"/>
                <w:sz w:val="18"/>
                <w:szCs w:val="18"/>
                <w:lang w:val="en-IN"/>
              </w:rPr>
              <w:t>473.29</w:t>
            </w:r>
          </w:p>
        </w:tc>
        <w:tc>
          <w:tcPr>
            <w:tcW w:w="720" w:type="dxa"/>
            <w:shd w:val="clear" w:color="auto" w:fill="auto"/>
            <w:noWrap/>
            <w:tcMar>
              <w:left w:w="29" w:type="dxa"/>
              <w:right w:w="29" w:type="dxa"/>
            </w:tcMar>
            <w:vAlign w:val="center"/>
            <w:hideMark/>
          </w:tcPr>
          <w:p w14:paraId="501698AB" w14:textId="77777777" w:rsidR="00E343B7" w:rsidRPr="00D92EDA" w:rsidRDefault="00E343B7" w:rsidP="000D74E3">
            <w:pPr>
              <w:jc w:val="right"/>
              <w:rPr>
                <w:rFonts w:ascii="Arial" w:hAnsi="Arial" w:cs="Arial"/>
                <w:color w:val="000000"/>
                <w:sz w:val="18"/>
                <w:szCs w:val="18"/>
                <w:lang w:val="en-IN"/>
              </w:rPr>
            </w:pPr>
            <w:r w:rsidRPr="00D92EDA">
              <w:rPr>
                <w:rFonts w:ascii="Arial" w:hAnsi="Arial" w:cs="Arial"/>
                <w:color w:val="000000"/>
                <w:sz w:val="18"/>
                <w:szCs w:val="18"/>
                <w:lang w:val="en-IN"/>
              </w:rPr>
              <w:t>78.12</w:t>
            </w:r>
          </w:p>
        </w:tc>
        <w:tc>
          <w:tcPr>
            <w:tcW w:w="810" w:type="dxa"/>
            <w:shd w:val="clear" w:color="auto" w:fill="auto"/>
            <w:noWrap/>
            <w:tcMar>
              <w:left w:w="29" w:type="dxa"/>
              <w:right w:w="29" w:type="dxa"/>
            </w:tcMar>
            <w:vAlign w:val="center"/>
            <w:hideMark/>
          </w:tcPr>
          <w:p w14:paraId="0DEBA5C0" w14:textId="07D0C580" w:rsidR="00E343B7" w:rsidRPr="00D92EDA" w:rsidRDefault="00E343B7" w:rsidP="000D74E3">
            <w:pPr>
              <w:jc w:val="right"/>
              <w:rPr>
                <w:rFonts w:ascii="Arial" w:hAnsi="Arial" w:cs="Arial"/>
                <w:color w:val="000000"/>
                <w:sz w:val="18"/>
                <w:szCs w:val="18"/>
                <w:lang w:val="en-IN"/>
              </w:rPr>
            </w:pPr>
            <w:r w:rsidRPr="00D92EDA">
              <w:rPr>
                <w:rFonts w:ascii="Arial" w:hAnsi="Arial" w:cs="Arial"/>
                <w:color w:val="000000"/>
                <w:sz w:val="18"/>
                <w:szCs w:val="18"/>
                <w:lang w:val="en-IN"/>
              </w:rPr>
              <w:t>1</w:t>
            </w:r>
            <w:r w:rsidR="00202E1A">
              <w:rPr>
                <w:rFonts w:ascii="Arial" w:hAnsi="Arial" w:cs="Arial"/>
                <w:color w:val="000000"/>
                <w:sz w:val="18"/>
                <w:szCs w:val="18"/>
                <w:lang w:val="en-IN"/>
              </w:rPr>
              <w:t>,</w:t>
            </w:r>
            <w:r w:rsidRPr="00D92EDA">
              <w:rPr>
                <w:rFonts w:ascii="Arial" w:hAnsi="Arial" w:cs="Arial"/>
                <w:color w:val="000000"/>
                <w:sz w:val="18"/>
                <w:szCs w:val="18"/>
                <w:lang w:val="en-IN"/>
              </w:rPr>
              <w:t>139.41</w:t>
            </w:r>
          </w:p>
        </w:tc>
      </w:tr>
      <w:tr w:rsidR="0078162B" w:rsidRPr="00D92EDA" w14:paraId="74B67DC6" w14:textId="77777777" w:rsidTr="000D74E3">
        <w:trPr>
          <w:trHeight w:val="360"/>
          <w:jc w:val="center"/>
        </w:trPr>
        <w:tc>
          <w:tcPr>
            <w:tcW w:w="805" w:type="dxa"/>
            <w:shd w:val="clear" w:color="auto" w:fill="auto"/>
            <w:noWrap/>
            <w:tcMar>
              <w:left w:w="29" w:type="dxa"/>
              <w:right w:w="29" w:type="dxa"/>
            </w:tcMar>
            <w:vAlign w:val="center"/>
            <w:hideMark/>
          </w:tcPr>
          <w:p w14:paraId="23FA78D9" w14:textId="4BA33C6D" w:rsidR="00E343B7" w:rsidRPr="00D92EDA" w:rsidRDefault="00202E1A" w:rsidP="004E1154">
            <w:pPr>
              <w:rPr>
                <w:rFonts w:ascii="Arial" w:hAnsi="Arial" w:cs="Arial"/>
                <w:color w:val="000000"/>
                <w:sz w:val="18"/>
                <w:szCs w:val="18"/>
                <w:lang w:val="en-IN"/>
              </w:rPr>
            </w:pPr>
            <w:r>
              <w:rPr>
                <w:rFonts w:ascii="Arial" w:hAnsi="Arial" w:cs="Arial"/>
                <w:color w:val="000000"/>
                <w:sz w:val="18"/>
                <w:szCs w:val="18"/>
                <w:lang w:val="en-IN"/>
              </w:rPr>
              <w:t>2016-11</w:t>
            </w:r>
          </w:p>
        </w:tc>
        <w:tc>
          <w:tcPr>
            <w:tcW w:w="720" w:type="dxa"/>
            <w:shd w:val="clear" w:color="auto" w:fill="auto"/>
            <w:noWrap/>
            <w:tcMar>
              <w:left w:w="29" w:type="dxa"/>
              <w:right w:w="29" w:type="dxa"/>
            </w:tcMar>
            <w:vAlign w:val="center"/>
            <w:hideMark/>
          </w:tcPr>
          <w:p w14:paraId="5AFAD45A"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0.76</w:t>
            </w:r>
          </w:p>
        </w:tc>
        <w:tc>
          <w:tcPr>
            <w:tcW w:w="630" w:type="dxa"/>
            <w:shd w:val="clear" w:color="auto" w:fill="auto"/>
            <w:noWrap/>
            <w:tcMar>
              <w:left w:w="29" w:type="dxa"/>
              <w:right w:w="29" w:type="dxa"/>
            </w:tcMar>
            <w:vAlign w:val="center"/>
            <w:hideMark/>
          </w:tcPr>
          <w:p w14:paraId="63B17163" w14:textId="77777777" w:rsidR="00E343B7" w:rsidRPr="00D92EDA" w:rsidRDefault="00E343B7" w:rsidP="00B92C7B">
            <w:pPr>
              <w:tabs>
                <w:tab w:val="decimal" w:pos="398"/>
              </w:tabs>
              <w:jc w:val="center"/>
              <w:rPr>
                <w:rFonts w:ascii="Arial" w:hAnsi="Arial" w:cs="Arial"/>
                <w:color w:val="000000"/>
                <w:sz w:val="18"/>
                <w:szCs w:val="18"/>
                <w:lang w:val="en-IN"/>
              </w:rPr>
            </w:pPr>
            <w:r w:rsidRPr="00D92EDA">
              <w:rPr>
                <w:rFonts w:ascii="Arial" w:hAnsi="Arial" w:cs="Arial"/>
                <w:color w:val="000000"/>
                <w:sz w:val="18"/>
                <w:szCs w:val="18"/>
                <w:lang w:val="en-IN"/>
              </w:rPr>
              <w:t>7.89</w:t>
            </w:r>
          </w:p>
        </w:tc>
        <w:tc>
          <w:tcPr>
            <w:tcW w:w="720" w:type="dxa"/>
            <w:shd w:val="clear" w:color="auto" w:fill="auto"/>
            <w:noWrap/>
            <w:tcMar>
              <w:left w:w="29" w:type="dxa"/>
              <w:right w:w="29" w:type="dxa"/>
            </w:tcMar>
            <w:vAlign w:val="center"/>
            <w:hideMark/>
          </w:tcPr>
          <w:p w14:paraId="2957C400"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0.28</w:t>
            </w:r>
          </w:p>
        </w:tc>
        <w:tc>
          <w:tcPr>
            <w:tcW w:w="540" w:type="dxa"/>
            <w:shd w:val="clear" w:color="auto" w:fill="auto"/>
            <w:noWrap/>
            <w:tcMar>
              <w:left w:w="29" w:type="dxa"/>
              <w:right w:w="29" w:type="dxa"/>
            </w:tcMar>
            <w:vAlign w:val="center"/>
            <w:hideMark/>
          </w:tcPr>
          <w:p w14:paraId="2706F018"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1.38</w:t>
            </w:r>
          </w:p>
        </w:tc>
        <w:tc>
          <w:tcPr>
            <w:tcW w:w="1170" w:type="dxa"/>
            <w:shd w:val="clear" w:color="auto" w:fill="auto"/>
            <w:noWrap/>
            <w:tcMar>
              <w:left w:w="29" w:type="dxa"/>
              <w:right w:w="29" w:type="dxa"/>
            </w:tcMar>
            <w:vAlign w:val="center"/>
            <w:hideMark/>
          </w:tcPr>
          <w:p w14:paraId="5035961E"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123.05</w:t>
            </w:r>
          </w:p>
        </w:tc>
        <w:tc>
          <w:tcPr>
            <w:tcW w:w="900" w:type="dxa"/>
            <w:shd w:val="clear" w:color="auto" w:fill="auto"/>
            <w:noWrap/>
            <w:tcMar>
              <w:left w:w="29" w:type="dxa"/>
              <w:right w:w="29" w:type="dxa"/>
            </w:tcMar>
            <w:vAlign w:val="center"/>
            <w:hideMark/>
          </w:tcPr>
          <w:p w14:paraId="32CCEF17" w14:textId="57FEB0ED" w:rsidR="00E343B7" w:rsidRPr="00D92EDA" w:rsidRDefault="00E343B7" w:rsidP="00B92C7B">
            <w:pPr>
              <w:tabs>
                <w:tab w:val="decimal" w:pos="614"/>
              </w:tabs>
              <w:jc w:val="center"/>
              <w:rPr>
                <w:rFonts w:ascii="Arial" w:hAnsi="Arial" w:cs="Arial"/>
                <w:color w:val="000000"/>
                <w:sz w:val="18"/>
                <w:szCs w:val="18"/>
                <w:lang w:val="en-IN"/>
              </w:rPr>
            </w:pPr>
            <w:r w:rsidRPr="00D92EDA">
              <w:rPr>
                <w:rFonts w:ascii="Arial" w:hAnsi="Arial" w:cs="Arial"/>
                <w:color w:val="000000"/>
                <w:sz w:val="18"/>
                <w:szCs w:val="18"/>
                <w:lang w:val="en-IN"/>
              </w:rPr>
              <w:t>8</w:t>
            </w:r>
            <w:r w:rsidR="00202E1A">
              <w:rPr>
                <w:rFonts w:ascii="Arial" w:hAnsi="Arial" w:cs="Arial"/>
                <w:color w:val="000000"/>
                <w:sz w:val="18"/>
                <w:szCs w:val="18"/>
                <w:lang w:val="en-IN"/>
              </w:rPr>
              <w:t>,</w:t>
            </w:r>
            <w:r w:rsidRPr="00D92EDA">
              <w:rPr>
                <w:rFonts w:ascii="Arial" w:hAnsi="Arial" w:cs="Arial"/>
                <w:color w:val="000000"/>
                <w:sz w:val="18"/>
                <w:szCs w:val="18"/>
                <w:lang w:val="en-IN"/>
              </w:rPr>
              <w:t>807.88</w:t>
            </w:r>
          </w:p>
        </w:tc>
        <w:tc>
          <w:tcPr>
            <w:tcW w:w="1170" w:type="dxa"/>
            <w:shd w:val="clear" w:color="auto" w:fill="auto"/>
            <w:noWrap/>
            <w:tcMar>
              <w:left w:w="29" w:type="dxa"/>
              <w:right w:w="29" w:type="dxa"/>
            </w:tcMar>
            <w:vAlign w:val="center"/>
            <w:hideMark/>
          </w:tcPr>
          <w:p w14:paraId="7AFD184C"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123.05</w:t>
            </w:r>
          </w:p>
        </w:tc>
        <w:tc>
          <w:tcPr>
            <w:tcW w:w="900" w:type="dxa"/>
            <w:shd w:val="clear" w:color="auto" w:fill="auto"/>
            <w:noWrap/>
            <w:tcMar>
              <w:left w:w="29" w:type="dxa"/>
              <w:right w:w="29" w:type="dxa"/>
            </w:tcMar>
            <w:vAlign w:val="center"/>
            <w:hideMark/>
          </w:tcPr>
          <w:p w14:paraId="5A9A1EBC" w14:textId="07D56E4F" w:rsidR="00E343B7" w:rsidRPr="00D92EDA" w:rsidRDefault="00E343B7" w:rsidP="00B92C7B">
            <w:pPr>
              <w:tabs>
                <w:tab w:val="decimal" w:pos="585"/>
              </w:tabs>
              <w:jc w:val="center"/>
              <w:rPr>
                <w:rFonts w:ascii="Arial" w:hAnsi="Arial" w:cs="Arial"/>
                <w:color w:val="000000"/>
                <w:sz w:val="18"/>
                <w:szCs w:val="18"/>
                <w:lang w:val="en-IN"/>
              </w:rPr>
            </w:pPr>
            <w:r w:rsidRPr="00D92EDA">
              <w:rPr>
                <w:rFonts w:ascii="Arial" w:hAnsi="Arial" w:cs="Arial"/>
                <w:color w:val="000000"/>
                <w:sz w:val="18"/>
                <w:szCs w:val="18"/>
                <w:lang w:val="en-IN"/>
              </w:rPr>
              <w:t>8</w:t>
            </w:r>
            <w:r w:rsidR="00202E1A">
              <w:rPr>
                <w:rFonts w:ascii="Arial" w:hAnsi="Arial" w:cs="Arial"/>
                <w:color w:val="000000"/>
                <w:sz w:val="18"/>
                <w:szCs w:val="18"/>
                <w:lang w:val="en-IN"/>
              </w:rPr>
              <w:t>,</w:t>
            </w:r>
            <w:r w:rsidRPr="00D92EDA">
              <w:rPr>
                <w:rFonts w:ascii="Arial" w:hAnsi="Arial" w:cs="Arial"/>
                <w:color w:val="000000"/>
                <w:sz w:val="18"/>
                <w:szCs w:val="18"/>
                <w:lang w:val="en-IN"/>
              </w:rPr>
              <w:t>807.88</w:t>
            </w:r>
          </w:p>
        </w:tc>
        <w:tc>
          <w:tcPr>
            <w:tcW w:w="810" w:type="dxa"/>
            <w:shd w:val="clear" w:color="FFFFFF" w:fill="FFFFFF"/>
            <w:noWrap/>
            <w:tcMar>
              <w:left w:w="29" w:type="dxa"/>
              <w:right w:w="29" w:type="dxa"/>
            </w:tcMar>
            <w:vAlign w:val="center"/>
            <w:hideMark/>
          </w:tcPr>
          <w:p w14:paraId="6599E757"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7.87</w:t>
            </w:r>
          </w:p>
        </w:tc>
        <w:tc>
          <w:tcPr>
            <w:tcW w:w="900" w:type="dxa"/>
            <w:shd w:val="clear" w:color="auto" w:fill="auto"/>
            <w:noWrap/>
            <w:tcMar>
              <w:left w:w="29" w:type="dxa"/>
              <w:right w:w="29" w:type="dxa"/>
            </w:tcMar>
            <w:vAlign w:val="center"/>
            <w:hideMark/>
          </w:tcPr>
          <w:p w14:paraId="5C4CD4AA" w14:textId="3C9BED3D"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78</w:t>
            </w:r>
            <w:r w:rsidR="00202E1A">
              <w:rPr>
                <w:rFonts w:ascii="Arial" w:hAnsi="Arial" w:cs="Arial"/>
                <w:color w:val="000000"/>
                <w:sz w:val="18"/>
                <w:szCs w:val="18"/>
                <w:lang w:val="en-IN"/>
              </w:rPr>
              <w:t>,</w:t>
            </w:r>
            <w:r w:rsidRPr="00D92EDA">
              <w:rPr>
                <w:rFonts w:ascii="Arial" w:hAnsi="Arial" w:cs="Arial"/>
                <w:color w:val="000000"/>
                <w:sz w:val="18"/>
                <w:szCs w:val="18"/>
                <w:lang w:val="en-IN"/>
              </w:rPr>
              <w:t>479.19</w:t>
            </w:r>
          </w:p>
        </w:tc>
        <w:tc>
          <w:tcPr>
            <w:tcW w:w="810" w:type="dxa"/>
            <w:shd w:val="clear" w:color="auto" w:fill="auto"/>
            <w:noWrap/>
            <w:tcMar>
              <w:left w:w="29" w:type="dxa"/>
              <w:right w:w="29" w:type="dxa"/>
            </w:tcMar>
            <w:vAlign w:val="center"/>
            <w:hideMark/>
          </w:tcPr>
          <w:p w14:paraId="0A87525B"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7.87</w:t>
            </w:r>
          </w:p>
        </w:tc>
        <w:tc>
          <w:tcPr>
            <w:tcW w:w="900" w:type="dxa"/>
            <w:shd w:val="clear" w:color="auto" w:fill="auto"/>
            <w:noWrap/>
            <w:tcMar>
              <w:left w:w="29" w:type="dxa"/>
              <w:right w:w="29" w:type="dxa"/>
            </w:tcMar>
            <w:vAlign w:val="center"/>
            <w:hideMark/>
          </w:tcPr>
          <w:p w14:paraId="046F2350" w14:textId="10C0893C"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78</w:t>
            </w:r>
            <w:r w:rsidR="00202E1A">
              <w:rPr>
                <w:rFonts w:ascii="Arial" w:hAnsi="Arial" w:cs="Arial"/>
                <w:color w:val="000000"/>
                <w:sz w:val="18"/>
                <w:szCs w:val="18"/>
                <w:lang w:val="en-IN"/>
              </w:rPr>
              <w:t>,</w:t>
            </w:r>
            <w:r w:rsidRPr="00D92EDA">
              <w:rPr>
                <w:rFonts w:ascii="Arial" w:hAnsi="Arial" w:cs="Arial"/>
                <w:color w:val="000000"/>
                <w:sz w:val="18"/>
                <w:szCs w:val="18"/>
                <w:lang w:val="en-IN"/>
              </w:rPr>
              <w:t>479.19</w:t>
            </w:r>
          </w:p>
        </w:tc>
        <w:tc>
          <w:tcPr>
            <w:tcW w:w="720" w:type="dxa"/>
            <w:shd w:val="clear" w:color="auto" w:fill="auto"/>
            <w:noWrap/>
            <w:tcMar>
              <w:left w:w="29" w:type="dxa"/>
              <w:right w:w="29" w:type="dxa"/>
            </w:tcMar>
            <w:vAlign w:val="center"/>
            <w:hideMark/>
          </w:tcPr>
          <w:p w14:paraId="36AA54A8" w14:textId="77777777" w:rsidR="00E343B7" w:rsidRPr="00D92EDA" w:rsidRDefault="00E343B7" w:rsidP="000D74E3">
            <w:pPr>
              <w:jc w:val="right"/>
              <w:rPr>
                <w:rFonts w:ascii="Arial" w:hAnsi="Arial" w:cs="Arial"/>
                <w:color w:val="000000"/>
                <w:sz w:val="18"/>
                <w:szCs w:val="18"/>
                <w:lang w:val="en-IN"/>
              </w:rPr>
            </w:pPr>
            <w:r w:rsidRPr="00D92EDA">
              <w:rPr>
                <w:rFonts w:ascii="Arial" w:hAnsi="Arial" w:cs="Arial"/>
                <w:color w:val="000000"/>
                <w:sz w:val="18"/>
                <w:szCs w:val="18"/>
                <w:lang w:val="en-IN"/>
              </w:rPr>
              <w:t>87.47</w:t>
            </w:r>
          </w:p>
        </w:tc>
        <w:tc>
          <w:tcPr>
            <w:tcW w:w="810" w:type="dxa"/>
            <w:shd w:val="clear" w:color="auto" w:fill="auto"/>
            <w:noWrap/>
            <w:tcMar>
              <w:left w:w="29" w:type="dxa"/>
              <w:right w:w="29" w:type="dxa"/>
            </w:tcMar>
            <w:vAlign w:val="center"/>
            <w:hideMark/>
          </w:tcPr>
          <w:p w14:paraId="3F7E8B65" w14:textId="6F35669C" w:rsidR="00E343B7" w:rsidRPr="00D92EDA" w:rsidRDefault="00E343B7" w:rsidP="000D74E3">
            <w:pPr>
              <w:jc w:val="right"/>
              <w:rPr>
                <w:rFonts w:ascii="Arial" w:hAnsi="Arial" w:cs="Arial"/>
                <w:color w:val="000000"/>
                <w:sz w:val="18"/>
                <w:szCs w:val="18"/>
                <w:lang w:val="en-IN"/>
              </w:rPr>
            </w:pPr>
            <w:r w:rsidRPr="00D92EDA">
              <w:rPr>
                <w:rFonts w:ascii="Arial" w:hAnsi="Arial" w:cs="Arial"/>
                <w:color w:val="000000"/>
                <w:sz w:val="18"/>
                <w:szCs w:val="18"/>
                <w:lang w:val="en-IN"/>
              </w:rPr>
              <w:t>1</w:t>
            </w:r>
            <w:r w:rsidR="00202E1A">
              <w:rPr>
                <w:rFonts w:ascii="Arial" w:hAnsi="Arial" w:cs="Arial"/>
                <w:color w:val="000000"/>
                <w:sz w:val="18"/>
                <w:szCs w:val="18"/>
                <w:lang w:val="en-IN"/>
              </w:rPr>
              <w:t>,</w:t>
            </w:r>
            <w:r w:rsidRPr="00D92EDA">
              <w:rPr>
                <w:rFonts w:ascii="Arial" w:hAnsi="Arial" w:cs="Arial"/>
                <w:color w:val="000000"/>
                <w:sz w:val="18"/>
                <w:szCs w:val="18"/>
                <w:lang w:val="en-IN"/>
              </w:rPr>
              <w:t>365.70</w:t>
            </w:r>
          </w:p>
        </w:tc>
      </w:tr>
      <w:tr w:rsidR="0078162B" w:rsidRPr="00D92EDA" w14:paraId="3A6F779A" w14:textId="77777777" w:rsidTr="000D74E3">
        <w:trPr>
          <w:trHeight w:val="360"/>
          <w:jc w:val="center"/>
        </w:trPr>
        <w:tc>
          <w:tcPr>
            <w:tcW w:w="805" w:type="dxa"/>
            <w:shd w:val="clear" w:color="auto" w:fill="auto"/>
            <w:noWrap/>
            <w:tcMar>
              <w:left w:w="29" w:type="dxa"/>
              <w:right w:w="29" w:type="dxa"/>
            </w:tcMar>
            <w:vAlign w:val="center"/>
            <w:hideMark/>
          </w:tcPr>
          <w:p w14:paraId="18041E33" w14:textId="50520314" w:rsidR="00E343B7" w:rsidRPr="00D92EDA" w:rsidRDefault="00202E1A" w:rsidP="004E1154">
            <w:pPr>
              <w:rPr>
                <w:rFonts w:ascii="Arial" w:hAnsi="Arial" w:cs="Arial"/>
                <w:color w:val="000000"/>
                <w:sz w:val="18"/>
                <w:szCs w:val="18"/>
                <w:lang w:val="en-IN"/>
              </w:rPr>
            </w:pPr>
            <w:r>
              <w:rPr>
                <w:rFonts w:ascii="Arial" w:hAnsi="Arial" w:cs="Arial"/>
                <w:color w:val="000000"/>
                <w:sz w:val="18"/>
                <w:szCs w:val="18"/>
                <w:lang w:val="en-IN"/>
              </w:rPr>
              <w:t>2016-12</w:t>
            </w:r>
          </w:p>
        </w:tc>
        <w:tc>
          <w:tcPr>
            <w:tcW w:w="720" w:type="dxa"/>
            <w:shd w:val="clear" w:color="auto" w:fill="auto"/>
            <w:noWrap/>
            <w:tcMar>
              <w:left w:w="29" w:type="dxa"/>
              <w:right w:w="29" w:type="dxa"/>
            </w:tcMar>
            <w:vAlign w:val="center"/>
            <w:hideMark/>
          </w:tcPr>
          <w:p w14:paraId="71075B5F"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0.91</w:t>
            </w:r>
          </w:p>
        </w:tc>
        <w:tc>
          <w:tcPr>
            <w:tcW w:w="630" w:type="dxa"/>
            <w:shd w:val="clear" w:color="auto" w:fill="auto"/>
            <w:noWrap/>
            <w:tcMar>
              <w:left w:w="29" w:type="dxa"/>
              <w:right w:w="29" w:type="dxa"/>
            </w:tcMar>
            <w:vAlign w:val="center"/>
            <w:hideMark/>
          </w:tcPr>
          <w:p w14:paraId="42494B57" w14:textId="77777777" w:rsidR="00E343B7" w:rsidRPr="00D92EDA" w:rsidRDefault="00E343B7" w:rsidP="00B92C7B">
            <w:pPr>
              <w:tabs>
                <w:tab w:val="decimal" w:pos="398"/>
              </w:tabs>
              <w:jc w:val="center"/>
              <w:rPr>
                <w:rFonts w:ascii="Arial" w:hAnsi="Arial" w:cs="Arial"/>
                <w:color w:val="000000"/>
                <w:sz w:val="18"/>
                <w:szCs w:val="18"/>
                <w:lang w:val="en-IN"/>
              </w:rPr>
            </w:pPr>
            <w:r w:rsidRPr="00D92EDA">
              <w:rPr>
                <w:rFonts w:ascii="Arial" w:hAnsi="Arial" w:cs="Arial"/>
                <w:color w:val="000000"/>
                <w:sz w:val="18"/>
                <w:szCs w:val="18"/>
                <w:lang w:val="en-IN"/>
              </w:rPr>
              <w:t>12.84</w:t>
            </w:r>
          </w:p>
        </w:tc>
        <w:tc>
          <w:tcPr>
            <w:tcW w:w="720" w:type="dxa"/>
            <w:shd w:val="clear" w:color="auto" w:fill="auto"/>
            <w:noWrap/>
            <w:tcMar>
              <w:left w:w="29" w:type="dxa"/>
              <w:right w:w="29" w:type="dxa"/>
            </w:tcMar>
            <w:vAlign w:val="center"/>
            <w:hideMark/>
          </w:tcPr>
          <w:p w14:paraId="10DC1DF4"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0.25</w:t>
            </w:r>
          </w:p>
        </w:tc>
        <w:tc>
          <w:tcPr>
            <w:tcW w:w="540" w:type="dxa"/>
            <w:shd w:val="clear" w:color="auto" w:fill="auto"/>
            <w:noWrap/>
            <w:tcMar>
              <w:left w:w="29" w:type="dxa"/>
              <w:right w:w="29" w:type="dxa"/>
            </w:tcMar>
            <w:vAlign w:val="center"/>
            <w:hideMark/>
          </w:tcPr>
          <w:p w14:paraId="6775C8D8"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1.55</w:t>
            </w:r>
          </w:p>
        </w:tc>
        <w:tc>
          <w:tcPr>
            <w:tcW w:w="1170" w:type="dxa"/>
            <w:shd w:val="clear" w:color="auto" w:fill="auto"/>
            <w:noWrap/>
            <w:tcMar>
              <w:left w:w="29" w:type="dxa"/>
              <w:right w:w="29" w:type="dxa"/>
            </w:tcMar>
            <w:vAlign w:val="center"/>
            <w:hideMark/>
          </w:tcPr>
          <w:p w14:paraId="2CA6F0F1"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166.31</w:t>
            </w:r>
          </w:p>
        </w:tc>
        <w:tc>
          <w:tcPr>
            <w:tcW w:w="900" w:type="dxa"/>
            <w:shd w:val="clear" w:color="auto" w:fill="auto"/>
            <w:noWrap/>
            <w:tcMar>
              <w:left w:w="29" w:type="dxa"/>
              <w:right w:w="29" w:type="dxa"/>
            </w:tcMar>
            <w:vAlign w:val="center"/>
            <w:hideMark/>
          </w:tcPr>
          <w:p w14:paraId="1B762BAA" w14:textId="60D64E3C" w:rsidR="00E343B7" w:rsidRPr="00D92EDA" w:rsidRDefault="00E343B7" w:rsidP="00B92C7B">
            <w:pPr>
              <w:tabs>
                <w:tab w:val="decimal" w:pos="614"/>
              </w:tabs>
              <w:jc w:val="center"/>
              <w:rPr>
                <w:rFonts w:ascii="Arial" w:hAnsi="Arial" w:cs="Arial"/>
                <w:color w:val="000000"/>
                <w:sz w:val="18"/>
                <w:szCs w:val="18"/>
                <w:lang w:val="en-IN"/>
              </w:rPr>
            </w:pPr>
            <w:r w:rsidRPr="00D92EDA">
              <w:rPr>
                <w:rFonts w:ascii="Arial" w:hAnsi="Arial" w:cs="Arial"/>
                <w:color w:val="000000"/>
                <w:sz w:val="18"/>
                <w:szCs w:val="18"/>
                <w:lang w:val="en-IN"/>
              </w:rPr>
              <w:t>11</w:t>
            </w:r>
            <w:r w:rsidR="00202E1A">
              <w:rPr>
                <w:rFonts w:ascii="Arial" w:hAnsi="Arial" w:cs="Arial"/>
                <w:color w:val="000000"/>
                <w:sz w:val="18"/>
                <w:szCs w:val="18"/>
                <w:lang w:val="en-IN"/>
              </w:rPr>
              <w:t>,</w:t>
            </w:r>
            <w:r w:rsidRPr="00D92EDA">
              <w:rPr>
                <w:rFonts w:ascii="Arial" w:hAnsi="Arial" w:cs="Arial"/>
                <w:color w:val="000000"/>
                <w:sz w:val="18"/>
                <w:szCs w:val="18"/>
                <w:lang w:val="en-IN"/>
              </w:rPr>
              <w:t>537.63</w:t>
            </w:r>
          </w:p>
        </w:tc>
        <w:tc>
          <w:tcPr>
            <w:tcW w:w="1170" w:type="dxa"/>
            <w:shd w:val="clear" w:color="auto" w:fill="auto"/>
            <w:noWrap/>
            <w:tcMar>
              <w:left w:w="29" w:type="dxa"/>
              <w:right w:w="29" w:type="dxa"/>
            </w:tcMar>
            <w:vAlign w:val="center"/>
            <w:hideMark/>
          </w:tcPr>
          <w:p w14:paraId="1F75D1A1"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166.31</w:t>
            </w:r>
          </w:p>
        </w:tc>
        <w:tc>
          <w:tcPr>
            <w:tcW w:w="900" w:type="dxa"/>
            <w:shd w:val="clear" w:color="auto" w:fill="auto"/>
            <w:noWrap/>
            <w:tcMar>
              <w:left w:w="29" w:type="dxa"/>
              <w:right w:w="29" w:type="dxa"/>
            </w:tcMar>
            <w:vAlign w:val="center"/>
            <w:hideMark/>
          </w:tcPr>
          <w:p w14:paraId="05F7E229" w14:textId="21F57191" w:rsidR="00E343B7" w:rsidRPr="00D92EDA" w:rsidRDefault="00E343B7" w:rsidP="00B92C7B">
            <w:pPr>
              <w:tabs>
                <w:tab w:val="decimal" w:pos="585"/>
              </w:tabs>
              <w:jc w:val="center"/>
              <w:rPr>
                <w:rFonts w:ascii="Arial" w:hAnsi="Arial" w:cs="Arial"/>
                <w:color w:val="000000"/>
                <w:sz w:val="18"/>
                <w:szCs w:val="18"/>
                <w:lang w:val="en-IN"/>
              </w:rPr>
            </w:pPr>
            <w:r w:rsidRPr="00D92EDA">
              <w:rPr>
                <w:rFonts w:ascii="Arial" w:hAnsi="Arial" w:cs="Arial"/>
                <w:color w:val="000000"/>
                <w:sz w:val="18"/>
                <w:szCs w:val="18"/>
                <w:lang w:val="en-IN"/>
              </w:rPr>
              <w:t>11</w:t>
            </w:r>
            <w:r w:rsidR="00202E1A">
              <w:rPr>
                <w:rFonts w:ascii="Arial" w:hAnsi="Arial" w:cs="Arial"/>
                <w:color w:val="000000"/>
                <w:sz w:val="18"/>
                <w:szCs w:val="18"/>
                <w:lang w:val="en-IN"/>
              </w:rPr>
              <w:t>,</w:t>
            </w:r>
            <w:r w:rsidRPr="00D92EDA">
              <w:rPr>
                <w:rFonts w:ascii="Arial" w:hAnsi="Arial" w:cs="Arial"/>
                <w:color w:val="000000"/>
                <w:sz w:val="18"/>
                <w:szCs w:val="18"/>
                <w:lang w:val="en-IN"/>
              </w:rPr>
              <w:t>537.63</w:t>
            </w:r>
          </w:p>
        </w:tc>
        <w:tc>
          <w:tcPr>
            <w:tcW w:w="810" w:type="dxa"/>
            <w:shd w:val="clear" w:color="FFFFFF" w:fill="FFFFFF"/>
            <w:noWrap/>
            <w:tcMar>
              <w:left w:w="29" w:type="dxa"/>
              <w:right w:w="29" w:type="dxa"/>
            </w:tcMar>
            <w:vAlign w:val="center"/>
            <w:hideMark/>
          </w:tcPr>
          <w:p w14:paraId="11ABFC1D"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8.84</w:t>
            </w:r>
          </w:p>
        </w:tc>
        <w:tc>
          <w:tcPr>
            <w:tcW w:w="900" w:type="dxa"/>
            <w:shd w:val="clear" w:color="auto" w:fill="auto"/>
            <w:noWrap/>
            <w:tcMar>
              <w:left w:w="29" w:type="dxa"/>
              <w:right w:w="29" w:type="dxa"/>
            </w:tcMar>
            <w:vAlign w:val="center"/>
            <w:hideMark/>
          </w:tcPr>
          <w:p w14:paraId="0DF3A760" w14:textId="44E9029E"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84</w:t>
            </w:r>
            <w:r w:rsidR="00202E1A">
              <w:rPr>
                <w:rFonts w:ascii="Arial" w:hAnsi="Arial" w:cs="Arial"/>
                <w:color w:val="000000"/>
                <w:sz w:val="18"/>
                <w:szCs w:val="18"/>
                <w:lang w:val="en-IN"/>
              </w:rPr>
              <w:t>,</w:t>
            </w:r>
            <w:r w:rsidRPr="00D92EDA">
              <w:rPr>
                <w:rFonts w:ascii="Arial" w:hAnsi="Arial" w:cs="Arial"/>
                <w:color w:val="000000"/>
                <w:sz w:val="18"/>
                <w:szCs w:val="18"/>
                <w:lang w:val="en-IN"/>
              </w:rPr>
              <w:t>096.48</w:t>
            </w:r>
          </w:p>
        </w:tc>
        <w:tc>
          <w:tcPr>
            <w:tcW w:w="810" w:type="dxa"/>
            <w:shd w:val="clear" w:color="auto" w:fill="auto"/>
            <w:noWrap/>
            <w:tcMar>
              <w:left w:w="29" w:type="dxa"/>
              <w:right w:w="29" w:type="dxa"/>
            </w:tcMar>
            <w:vAlign w:val="center"/>
            <w:hideMark/>
          </w:tcPr>
          <w:p w14:paraId="5768C240"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8.84</w:t>
            </w:r>
          </w:p>
        </w:tc>
        <w:tc>
          <w:tcPr>
            <w:tcW w:w="900" w:type="dxa"/>
            <w:shd w:val="clear" w:color="auto" w:fill="auto"/>
            <w:noWrap/>
            <w:tcMar>
              <w:left w:w="29" w:type="dxa"/>
              <w:right w:w="29" w:type="dxa"/>
            </w:tcMar>
            <w:vAlign w:val="center"/>
            <w:hideMark/>
          </w:tcPr>
          <w:p w14:paraId="68F0E9D0" w14:textId="455D7EF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84</w:t>
            </w:r>
            <w:r w:rsidR="00202E1A">
              <w:rPr>
                <w:rFonts w:ascii="Arial" w:hAnsi="Arial" w:cs="Arial"/>
                <w:color w:val="000000"/>
                <w:sz w:val="18"/>
                <w:szCs w:val="18"/>
                <w:lang w:val="en-IN"/>
              </w:rPr>
              <w:t>,</w:t>
            </w:r>
            <w:r w:rsidRPr="00D92EDA">
              <w:rPr>
                <w:rFonts w:ascii="Arial" w:hAnsi="Arial" w:cs="Arial"/>
                <w:color w:val="000000"/>
                <w:sz w:val="18"/>
                <w:szCs w:val="18"/>
                <w:lang w:val="en-IN"/>
              </w:rPr>
              <w:t>096.48</w:t>
            </w:r>
          </w:p>
        </w:tc>
        <w:tc>
          <w:tcPr>
            <w:tcW w:w="720" w:type="dxa"/>
            <w:shd w:val="clear" w:color="auto" w:fill="auto"/>
            <w:noWrap/>
            <w:tcMar>
              <w:left w:w="29" w:type="dxa"/>
              <w:right w:w="29" w:type="dxa"/>
            </w:tcMar>
            <w:vAlign w:val="center"/>
            <w:hideMark/>
          </w:tcPr>
          <w:p w14:paraId="7D46C539" w14:textId="77777777" w:rsidR="00E343B7" w:rsidRPr="00D92EDA" w:rsidRDefault="00E343B7" w:rsidP="000D74E3">
            <w:pPr>
              <w:jc w:val="right"/>
              <w:rPr>
                <w:rFonts w:ascii="Arial" w:hAnsi="Arial" w:cs="Arial"/>
                <w:color w:val="000000"/>
                <w:sz w:val="18"/>
                <w:szCs w:val="18"/>
                <w:lang w:val="en-IN"/>
              </w:rPr>
            </w:pPr>
            <w:r w:rsidRPr="00D92EDA">
              <w:rPr>
                <w:rFonts w:ascii="Arial" w:hAnsi="Arial" w:cs="Arial"/>
                <w:color w:val="000000"/>
                <w:sz w:val="18"/>
                <w:szCs w:val="18"/>
                <w:lang w:val="en-IN"/>
              </w:rPr>
              <w:t>110.64</w:t>
            </w:r>
          </w:p>
        </w:tc>
        <w:tc>
          <w:tcPr>
            <w:tcW w:w="810" w:type="dxa"/>
            <w:shd w:val="clear" w:color="auto" w:fill="auto"/>
            <w:noWrap/>
            <w:tcMar>
              <w:left w:w="29" w:type="dxa"/>
              <w:right w:w="29" w:type="dxa"/>
            </w:tcMar>
            <w:vAlign w:val="center"/>
            <w:hideMark/>
          </w:tcPr>
          <w:p w14:paraId="1F0914CB" w14:textId="6EAE67D4" w:rsidR="00E343B7" w:rsidRPr="00D92EDA" w:rsidRDefault="00E343B7" w:rsidP="000D74E3">
            <w:pPr>
              <w:jc w:val="right"/>
              <w:rPr>
                <w:rFonts w:ascii="Arial" w:hAnsi="Arial" w:cs="Arial"/>
                <w:color w:val="000000"/>
                <w:sz w:val="18"/>
                <w:szCs w:val="18"/>
                <w:lang w:val="en-IN"/>
              </w:rPr>
            </w:pPr>
            <w:r w:rsidRPr="00D92EDA">
              <w:rPr>
                <w:rFonts w:ascii="Arial" w:hAnsi="Arial" w:cs="Arial"/>
                <w:color w:val="000000"/>
                <w:sz w:val="18"/>
                <w:szCs w:val="18"/>
                <w:lang w:val="en-IN"/>
              </w:rPr>
              <w:t>1</w:t>
            </w:r>
            <w:r w:rsidR="00202E1A">
              <w:rPr>
                <w:rFonts w:ascii="Arial" w:hAnsi="Arial" w:cs="Arial"/>
                <w:color w:val="000000"/>
                <w:sz w:val="18"/>
                <w:szCs w:val="18"/>
                <w:lang w:val="en-IN"/>
              </w:rPr>
              <w:t>,</w:t>
            </w:r>
            <w:r w:rsidRPr="00D92EDA">
              <w:rPr>
                <w:rFonts w:ascii="Arial" w:hAnsi="Arial" w:cs="Arial"/>
                <w:color w:val="000000"/>
                <w:sz w:val="18"/>
                <w:szCs w:val="18"/>
                <w:lang w:val="en-IN"/>
              </w:rPr>
              <w:t>498.18</w:t>
            </w:r>
          </w:p>
        </w:tc>
      </w:tr>
      <w:tr w:rsidR="0078162B" w:rsidRPr="00D92EDA" w14:paraId="4D73FE19" w14:textId="77777777" w:rsidTr="000D74E3">
        <w:trPr>
          <w:trHeight w:val="360"/>
          <w:jc w:val="center"/>
        </w:trPr>
        <w:tc>
          <w:tcPr>
            <w:tcW w:w="805" w:type="dxa"/>
            <w:shd w:val="clear" w:color="auto" w:fill="auto"/>
            <w:noWrap/>
            <w:tcMar>
              <w:left w:w="29" w:type="dxa"/>
              <w:right w:w="29" w:type="dxa"/>
            </w:tcMar>
            <w:vAlign w:val="center"/>
            <w:hideMark/>
          </w:tcPr>
          <w:p w14:paraId="614C3033" w14:textId="754CFC2A" w:rsidR="00E343B7" w:rsidRPr="00D92EDA" w:rsidRDefault="00202E1A" w:rsidP="004E1154">
            <w:pPr>
              <w:rPr>
                <w:rFonts w:ascii="Arial" w:hAnsi="Arial" w:cs="Arial"/>
                <w:color w:val="000000"/>
                <w:sz w:val="18"/>
                <w:szCs w:val="18"/>
                <w:lang w:val="en-IN"/>
              </w:rPr>
            </w:pPr>
            <w:r>
              <w:rPr>
                <w:rFonts w:ascii="Arial" w:hAnsi="Arial" w:cs="Arial"/>
                <w:color w:val="000000"/>
                <w:sz w:val="18"/>
                <w:szCs w:val="18"/>
                <w:lang w:val="en-IN"/>
              </w:rPr>
              <w:t>2017-01</w:t>
            </w:r>
          </w:p>
        </w:tc>
        <w:tc>
          <w:tcPr>
            <w:tcW w:w="720" w:type="dxa"/>
            <w:shd w:val="clear" w:color="auto" w:fill="auto"/>
            <w:noWrap/>
            <w:tcMar>
              <w:left w:w="29" w:type="dxa"/>
              <w:right w:w="29" w:type="dxa"/>
            </w:tcMar>
            <w:vAlign w:val="center"/>
            <w:hideMark/>
          </w:tcPr>
          <w:p w14:paraId="42E20BE3"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0.76</w:t>
            </w:r>
          </w:p>
        </w:tc>
        <w:tc>
          <w:tcPr>
            <w:tcW w:w="630" w:type="dxa"/>
            <w:shd w:val="clear" w:color="auto" w:fill="auto"/>
            <w:noWrap/>
            <w:tcMar>
              <w:left w:w="29" w:type="dxa"/>
              <w:right w:w="29" w:type="dxa"/>
            </w:tcMar>
            <w:vAlign w:val="center"/>
            <w:hideMark/>
          </w:tcPr>
          <w:p w14:paraId="74EEEADD" w14:textId="77777777" w:rsidR="00E343B7" w:rsidRPr="00D92EDA" w:rsidRDefault="00E343B7" w:rsidP="00B92C7B">
            <w:pPr>
              <w:tabs>
                <w:tab w:val="decimal" w:pos="398"/>
              </w:tabs>
              <w:jc w:val="center"/>
              <w:rPr>
                <w:rFonts w:ascii="Arial" w:hAnsi="Arial" w:cs="Arial"/>
                <w:color w:val="000000"/>
                <w:sz w:val="18"/>
                <w:szCs w:val="18"/>
                <w:lang w:val="en-IN"/>
              </w:rPr>
            </w:pPr>
            <w:r w:rsidRPr="00D92EDA">
              <w:rPr>
                <w:rFonts w:ascii="Arial" w:hAnsi="Arial" w:cs="Arial"/>
                <w:color w:val="000000"/>
                <w:sz w:val="18"/>
                <w:szCs w:val="18"/>
                <w:lang w:val="en-IN"/>
              </w:rPr>
              <w:t>10.51</w:t>
            </w:r>
          </w:p>
        </w:tc>
        <w:tc>
          <w:tcPr>
            <w:tcW w:w="720" w:type="dxa"/>
            <w:shd w:val="clear" w:color="auto" w:fill="auto"/>
            <w:noWrap/>
            <w:tcMar>
              <w:left w:w="29" w:type="dxa"/>
              <w:right w:w="29" w:type="dxa"/>
            </w:tcMar>
            <w:vAlign w:val="center"/>
            <w:hideMark/>
          </w:tcPr>
          <w:p w14:paraId="0CB5139A"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0.20</w:t>
            </w:r>
          </w:p>
        </w:tc>
        <w:tc>
          <w:tcPr>
            <w:tcW w:w="540" w:type="dxa"/>
            <w:shd w:val="clear" w:color="auto" w:fill="auto"/>
            <w:noWrap/>
            <w:tcMar>
              <w:left w:w="29" w:type="dxa"/>
              <w:right w:w="29" w:type="dxa"/>
            </w:tcMar>
            <w:vAlign w:val="center"/>
            <w:hideMark/>
          </w:tcPr>
          <w:p w14:paraId="19BDC367"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1.43</w:t>
            </w:r>
          </w:p>
        </w:tc>
        <w:tc>
          <w:tcPr>
            <w:tcW w:w="1170" w:type="dxa"/>
            <w:shd w:val="clear" w:color="auto" w:fill="auto"/>
            <w:noWrap/>
            <w:tcMar>
              <w:left w:w="29" w:type="dxa"/>
              <w:right w:w="29" w:type="dxa"/>
            </w:tcMar>
            <w:vAlign w:val="center"/>
            <w:hideMark/>
          </w:tcPr>
          <w:p w14:paraId="1FFE12B2"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164.19</w:t>
            </w:r>
          </w:p>
        </w:tc>
        <w:tc>
          <w:tcPr>
            <w:tcW w:w="900" w:type="dxa"/>
            <w:shd w:val="clear" w:color="auto" w:fill="auto"/>
            <w:noWrap/>
            <w:tcMar>
              <w:left w:w="29" w:type="dxa"/>
              <w:right w:w="29" w:type="dxa"/>
            </w:tcMar>
            <w:vAlign w:val="center"/>
            <w:hideMark/>
          </w:tcPr>
          <w:p w14:paraId="71200D0E" w14:textId="19C9ADEF" w:rsidR="00E343B7" w:rsidRPr="00D92EDA" w:rsidRDefault="00E343B7" w:rsidP="00B92C7B">
            <w:pPr>
              <w:tabs>
                <w:tab w:val="decimal" w:pos="614"/>
              </w:tabs>
              <w:jc w:val="center"/>
              <w:rPr>
                <w:rFonts w:ascii="Arial" w:hAnsi="Arial" w:cs="Arial"/>
                <w:color w:val="000000"/>
                <w:sz w:val="18"/>
                <w:szCs w:val="18"/>
                <w:lang w:val="en-IN"/>
              </w:rPr>
            </w:pPr>
            <w:r w:rsidRPr="00D92EDA">
              <w:rPr>
                <w:rFonts w:ascii="Arial" w:hAnsi="Arial" w:cs="Arial"/>
                <w:color w:val="000000"/>
                <w:sz w:val="18"/>
                <w:szCs w:val="18"/>
                <w:lang w:val="en-IN"/>
              </w:rPr>
              <w:t>11</w:t>
            </w:r>
            <w:r w:rsidR="00202E1A">
              <w:rPr>
                <w:rFonts w:ascii="Arial" w:hAnsi="Arial" w:cs="Arial"/>
                <w:color w:val="000000"/>
                <w:sz w:val="18"/>
                <w:szCs w:val="18"/>
                <w:lang w:val="en-IN"/>
              </w:rPr>
              <w:t>,</w:t>
            </w:r>
            <w:r w:rsidRPr="00D92EDA">
              <w:rPr>
                <w:rFonts w:ascii="Arial" w:hAnsi="Arial" w:cs="Arial"/>
                <w:color w:val="000000"/>
                <w:sz w:val="18"/>
                <w:szCs w:val="18"/>
                <w:lang w:val="en-IN"/>
              </w:rPr>
              <w:t>355.08</w:t>
            </w:r>
          </w:p>
        </w:tc>
        <w:tc>
          <w:tcPr>
            <w:tcW w:w="1170" w:type="dxa"/>
            <w:shd w:val="clear" w:color="auto" w:fill="auto"/>
            <w:noWrap/>
            <w:tcMar>
              <w:left w:w="29" w:type="dxa"/>
              <w:right w:w="29" w:type="dxa"/>
            </w:tcMar>
            <w:vAlign w:val="center"/>
            <w:hideMark/>
          </w:tcPr>
          <w:p w14:paraId="75A1BC7B"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164.19</w:t>
            </w:r>
          </w:p>
        </w:tc>
        <w:tc>
          <w:tcPr>
            <w:tcW w:w="900" w:type="dxa"/>
            <w:shd w:val="clear" w:color="auto" w:fill="auto"/>
            <w:noWrap/>
            <w:tcMar>
              <w:left w:w="29" w:type="dxa"/>
              <w:right w:w="29" w:type="dxa"/>
            </w:tcMar>
            <w:vAlign w:val="center"/>
            <w:hideMark/>
          </w:tcPr>
          <w:p w14:paraId="58C8B830" w14:textId="5004A0EB" w:rsidR="00E343B7" w:rsidRPr="00D92EDA" w:rsidRDefault="00E343B7" w:rsidP="00B92C7B">
            <w:pPr>
              <w:tabs>
                <w:tab w:val="decimal" w:pos="585"/>
              </w:tabs>
              <w:jc w:val="center"/>
              <w:rPr>
                <w:rFonts w:ascii="Arial" w:hAnsi="Arial" w:cs="Arial"/>
                <w:color w:val="000000"/>
                <w:sz w:val="18"/>
                <w:szCs w:val="18"/>
                <w:lang w:val="en-IN"/>
              </w:rPr>
            </w:pPr>
            <w:r w:rsidRPr="00D92EDA">
              <w:rPr>
                <w:rFonts w:ascii="Arial" w:hAnsi="Arial" w:cs="Arial"/>
                <w:color w:val="000000"/>
                <w:sz w:val="18"/>
                <w:szCs w:val="18"/>
                <w:lang w:val="en-IN"/>
              </w:rPr>
              <w:t>11</w:t>
            </w:r>
            <w:r w:rsidR="00202E1A">
              <w:rPr>
                <w:rFonts w:ascii="Arial" w:hAnsi="Arial" w:cs="Arial"/>
                <w:color w:val="000000"/>
                <w:sz w:val="18"/>
                <w:szCs w:val="18"/>
                <w:lang w:val="en-IN"/>
              </w:rPr>
              <w:t>,</w:t>
            </w:r>
            <w:r w:rsidRPr="00D92EDA">
              <w:rPr>
                <w:rFonts w:ascii="Arial" w:hAnsi="Arial" w:cs="Arial"/>
                <w:color w:val="000000"/>
                <w:sz w:val="18"/>
                <w:szCs w:val="18"/>
                <w:lang w:val="en-IN"/>
              </w:rPr>
              <w:t>355.08</w:t>
            </w:r>
          </w:p>
        </w:tc>
        <w:tc>
          <w:tcPr>
            <w:tcW w:w="810" w:type="dxa"/>
            <w:shd w:val="clear" w:color="FFFFFF" w:fill="FFFFFF"/>
            <w:noWrap/>
            <w:tcMar>
              <w:left w:w="29" w:type="dxa"/>
              <w:right w:w="29" w:type="dxa"/>
            </w:tcMar>
            <w:vAlign w:val="center"/>
            <w:hideMark/>
          </w:tcPr>
          <w:p w14:paraId="274EECDF"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9.33</w:t>
            </w:r>
          </w:p>
        </w:tc>
        <w:tc>
          <w:tcPr>
            <w:tcW w:w="900" w:type="dxa"/>
            <w:shd w:val="clear" w:color="auto" w:fill="auto"/>
            <w:noWrap/>
            <w:tcMar>
              <w:left w:w="29" w:type="dxa"/>
              <w:right w:w="29" w:type="dxa"/>
            </w:tcMar>
            <w:vAlign w:val="center"/>
            <w:hideMark/>
          </w:tcPr>
          <w:p w14:paraId="19E1DBEA" w14:textId="15CEEB2E"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77</w:t>
            </w:r>
            <w:r w:rsidR="00202E1A">
              <w:rPr>
                <w:rFonts w:ascii="Arial" w:hAnsi="Arial" w:cs="Arial"/>
                <w:color w:val="000000"/>
                <w:sz w:val="18"/>
                <w:szCs w:val="18"/>
                <w:lang w:val="en-IN"/>
              </w:rPr>
              <w:t>,</w:t>
            </w:r>
            <w:r w:rsidRPr="00D92EDA">
              <w:rPr>
                <w:rFonts w:ascii="Arial" w:hAnsi="Arial" w:cs="Arial"/>
                <w:color w:val="000000"/>
                <w:sz w:val="18"/>
                <w:szCs w:val="18"/>
                <w:lang w:val="en-IN"/>
              </w:rPr>
              <w:t>486.07</w:t>
            </w:r>
          </w:p>
        </w:tc>
        <w:tc>
          <w:tcPr>
            <w:tcW w:w="810" w:type="dxa"/>
            <w:shd w:val="clear" w:color="auto" w:fill="auto"/>
            <w:noWrap/>
            <w:tcMar>
              <w:left w:w="29" w:type="dxa"/>
              <w:right w:w="29" w:type="dxa"/>
            </w:tcMar>
            <w:vAlign w:val="center"/>
            <w:hideMark/>
          </w:tcPr>
          <w:p w14:paraId="08BE5CA1" w14:textId="77777777"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9.33</w:t>
            </w:r>
          </w:p>
        </w:tc>
        <w:tc>
          <w:tcPr>
            <w:tcW w:w="900" w:type="dxa"/>
            <w:shd w:val="clear" w:color="auto" w:fill="auto"/>
            <w:noWrap/>
            <w:tcMar>
              <w:left w:w="29" w:type="dxa"/>
              <w:right w:w="29" w:type="dxa"/>
            </w:tcMar>
            <w:vAlign w:val="center"/>
            <w:hideMark/>
          </w:tcPr>
          <w:p w14:paraId="09F43DF2" w14:textId="1F6BDB82" w:rsidR="00E343B7" w:rsidRPr="00D92EDA" w:rsidRDefault="00E343B7" w:rsidP="00B92C7B">
            <w:pPr>
              <w:jc w:val="center"/>
              <w:rPr>
                <w:rFonts w:ascii="Arial" w:hAnsi="Arial" w:cs="Arial"/>
                <w:color w:val="000000"/>
                <w:sz w:val="18"/>
                <w:szCs w:val="18"/>
                <w:lang w:val="en-IN"/>
              </w:rPr>
            </w:pPr>
            <w:r w:rsidRPr="00D92EDA">
              <w:rPr>
                <w:rFonts w:ascii="Arial" w:hAnsi="Arial" w:cs="Arial"/>
                <w:color w:val="000000"/>
                <w:sz w:val="18"/>
                <w:szCs w:val="18"/>
                <w:lang w:val="en-IN"/>
              </w:rPr>
              <w:t>77</w:t>
            </w:r>
            <w:r w:rsidR="00202E1A">
              <w:rPr>
                <w:rFonts w:ascii="Arial" w:hAnsi="Arial" w:cs="Arial"/>
                <w:color w:val="000000"/>
                <w:sz w:val="18"/>
                <w:szCs w:val="18"/>
                <w:lang w:val="en-IN"/>
              </w:rPr>
              <w:t>,</w:t>
            </w:r>
            <w:r w:rsidRPr="00D92EDA">
              <w:rPr>
                <w:rFonts w:ascii="Arial" w:hAnsi="Arial" w:cs="Arial"/>
                <w:color w:val="000000"/>
                <w:sz w:val="18"/>
                <w:szCs w:val="18"/>
                <w:lang w:val="en-IN"/>
              </w:rPr>
              <w:t>486.07</w:t>
            </w:r>
          </w:p>
        </w:tc>
        <w:tc>
          <w:tcPr>
            <w:tcW w:w="720" w:type="dxa"/>
            <w:shd w:val="clear" w:color="auto" w:fill="auto"/>
            <w:noWrap/>
            <w:tcMar>
              <w:left w:w="29" w:type="dxa"/>
              <w:right w:w="29" w:type="dxa"/>
            </w:tcMar>
            <w:vAlign w:val="center"/>
            <w:hideMark/>
          </w:tcPr>
          <w:p w14:paraId="79F91BE4" w14:textId="77777777" w:rsidR="00E343B7" w:rsidRPr="00D92EDA" w:rsidRDefault="00E343B7" w:rsidP="000D74E3">
            <w:pPr>
              <w:jc w:val="right"/>
              <w:rPr>
                <w:rFonts w:ascii="Arial" w:hAnsi="Arial" w:cs="Arial"/>
                <w:color w:val="000000"/>
                <w:sz w:val="18"/>
                <w:szCs w:val="18"/>
                <w:lang w:val="en-IN"/>
              </w:rPr>
            </w:pPr>
            <w:r w:rsidRPr="00D92EDA">
              <w:rPr>
                <w:rFonts w:ascii="Arial" w:hAnsi="Arial" w:cs="Arial"/>
                <w:color w:val="000000"/>
                <w:sz w:val="18"/>
                <w:szCs w:val="18"/>
                <w:lang w:val="en-IN"/>
              </w:rPr>
              <w:t>106.13</w:t>
            </w:r>
          </w:p>
        </w:tc>
        <w:tc>
          <w:tcPr>
            <w:tcW w:w="810" w:type="dxa"/>
            <w:shd w:val="clear" w:color="auto" w:fill="auto"/>
            <w:noWrap/>
            <w:tcMar>
              <w:left w:w="29" w:type="dxa"/>
              <w:right w:w="29" w:type="dxa"/>
            </w:tcMar>
            <w:vAlign w:val="center"/>
            <w:hideMark/>
          </w:tcPr>
          <w:p w14:paraId="64AFF5C2" w14:textId="59A69976" w:rsidR="00E343B7" w:rsidRPr="00D92EDA" w:rsidRDefault="00E343B7" w:rsidP="000D74E3">
            <w:pPr>
              <w:jc w:val="right"/>
              <w:rPr>
                <w:rFonts w:ascii="Arial" w:hAnsi="Arial" w:cs="Arial"/>
                <w:color w:val="000000"/>
                <w:sz w:val="18"/>
                <w:szCs w:val="18"/>
                <w:lang w:val="en-IN"/>
              </w:rPr>
            </w:pPr>
            <w:r w:rsidRPr="00D92EDA">
              <w:rPr>
                <w:rFonts w:ascii="Arial" w:hAnsi="Arial" w:cs="Arial"/>
                <w:color w:val="000000"/>
                <w:sz w:val="18"/>
                <w:szCs w:val="18"/>
                <w:lang w:val="en-IN"/>
              </w:rPr>
              <w:t>1</w:t>
            </w:r>
            <w:r w:rsidR="00202E1A">
              <w:rPr>
                <w:rFonts w:ascii="Arial" w:hAnsi="Arial" w:cs="Arial"/>
                <w:color w:val="000000"/>
                <w:sz w:val="18"/>
                <w:szCs w:val="18"/>
                <w:lang w:val="en-IN"/>
              </w:rPr>
              <w:t>,</w:t>
            </w:r>
            <w:r w:rsidRPr="00D92EDA">
              <w:rPr>
                <w:rFonts w:ascii="Arial" w:hAnsi="Arial" w:cs="Arial"/>
                <w:color w:val="000000"/>
                <w:sz w:val="18"/>
                <w:szCs w:val="18"/>
                <w:lang w:val="en-IN"/>
              </w:rPr>
              <w:t>383.05</w:t>
            </w:r>
          </w:p>
        </w:tc>
      </w:tr>
    </w:tbl>
    <w:p w14:paraId="39E7543B" w14:textId="77777777" w:rsidR="00DE7AF6" w:rsidRDefault="00DE7AF6" w:rsidP="00314917">
      <w:pPr>
        <w:pStyle w:val="ExhibitText"/>
        <w:rPr>
          <w:lang w:val="en-IN"/>
        </w:rPr>
      </w:pPr>
    </w:p>
    <w:p w14:paraId="567CDC5C" w14:textId="403D12C9" w:rsidR="000D74E3" w:rsidRDefault="000D74E3" w:rsidP="00314917">
      <w:pPr>
        <w:pStyle w:val="Footnote"/>
        <w:rPr>
          <w:lang w:val="en-IN"/>
        </w:rPr>
      </w:pPr>
      <w:r>
        <w:rPr>
          <w:lang w:val="en-IN"/>
        </w:rPr>
        <w:t>Note: ECS = electronic clearing service; NEFT = national electronic funds transfer; RTGS = real time gross settlement</w:t>
      </w:r>
      <w:r w:rsidR="0026265F">
        <w:rPr>
          <w:lang w:val="en-IN"/>
        </w:rPr>
        <w:t xml:space="preserve">; </w:t>
      </w:r>
      <w:r w:rsidR="00AE3CD5">
        <w:t>US$1 = ₹66.4,</w:t>
      </w:r>
      <w:bookmarkStart w:id="0" w:name="_GoBack"/>
      <w:bookmarkEnd w:id="0"/>
      <w:r w:rsidR="0026265F">
        <w:t xml:space="preserve"> ₹1 = US$0.0151 on November 8, 2016</w:t>
      </w:r>
    </w:p>
    <w:p w14:paraId="75E7F120" w14:textId="679CBAA0" w:rsidR="00E343B7" w:rsidRDefault="00E343B7" w:rsidP="00314917">
      <w:pPr>
        <w:pStyle w:val="Footnote"/>
        <w:rPr>
          <w:lang w:val="en-IN"/>
        </w:rPr>
      </w:pPr>
      <w:r w:rsidRPr="00183601">
        <w:rPr>
          <w:lang w:val="en-IN"/>
        </w:rPr>
        <w:t xml:space="preserve">Source: </w:t>
      </w:r>
      <w:r w:rsidR="001850C3">
        <w:rPr>
          <w:lang w:val="en-IN"/>
        </w:rPr>
        <w:t xml:space="preserve">Reserve Bank of India, </w:t>
      </w:r>
      <w:r w:rsidR="00202E1A">
        <w:rPr>
          <w:lang w:val="en-IN"/>
        </w:rPr>
        <w:t xml:space="preserve">“Bankwise Volumes in ECS/NEFT/RTGS/Mobile Transactions,” accessed November 6, 2017, </w:t>
      </w:r>
      <w:r w:rsidRPr="00DE7AF6">
        <w:rPr>
          <w:lang w:val="en-IN"/>
        </w:rPr>
        <w:t>https://rbi.org.in/Scripts/NEFTView.aspx</w:t>
      </w:r>
      <w:r w:rsidR="00DE7AF6">
        <w:rPr>
          <w:lang w:val="en-IN"/>
        </w:rPr>
        <w:t>.</w:t>
      </w:r>
    </w:p>
    <w:p w14:paraId="39E4CCA7" w14:textId="77777777" w:rsidR="00E343B7" w:rsidRDefault="00E343B7" w:rsidP="00314917">
      <w:pPr>
        <w:pStyle w:val="ExhibitText"/>
        <w:rPr>
          <w:lang w:val="en-IN"/>
        </w:rPr>
      </w:pPr>
    </w:p>
    <w:p w14:paraId="5E1A55FB" w14:textId="336153AE" w:rsidR="00E343B7" w:rsidRDefault="00E343B7" w:rsidP="00314917">
      <w:pPr>
        <w:pStyle w:val="ExhibitText"/>
        <w:rPr>
          <w:lang w:val="en-IN"/>
        </w:rPr>
      </w:pPr>
      <w:r>
        <w:rPr>
          <w:lang w:val="en-IN"/>
        </w:rPr>
        <w:br w:type="page"/>
      </w:r>
    </w:p>
    <w:p w14:paraId="1FC68C40" w14:textId="77777777" w:rsidR="00772DFA" w:rsidRDefault="00E343B7" w:rsidP="00FC235F">
      <w:pPr>
        <w:pStyle w:val="ExhibitHeading"/>
        <w:outlineLvl w:val="0"/>
      </w:pPr>
      <w:r>
        <w:lastRenderedPageBreak/>
        <w:t xml:space="preserve">EXHIBIT </w:t>
      </w:r>
      <w:r w:rsidR="00814390">
        <w:t>6</w:t>
      </w:r>
      <w:r w:rsidRPr="009E2BEB">
        <w:t xml:space="preserve">: </w:t>
      </w:r>
      <w:r w:rsidR="00772DFA">
        <w:t xml:space="preserve">india’s </w:t>
      </w:r>
      <w:r w:rsidRPr="009E2BEB">
        <w:t>LEAD INDICATORS OF ECONOMIC ACTIVITY</w:t>
      </w:r>
      <w:r w:rsidR="00772DFA">
        <w:rPr>
          <w:lang w:val="en-IN"/>
        </w:rPr>
        <w:t>, selected months in 2016 and 2017</w:t>
      </w:r>
      <w:r w:rsidRPr="009E2BEB">
        <w:t xml:space="preserve"> </w:t>
      </w:r>
    </w:p>
    <w:p w14:paraId="267DDE3A" w14:textId="1EFF2BE6" w:rsidR="00E343B7" w:rsidRDefault="00E343B7" w:rsidP="00FC235F">
      <w:pPr>
        <w:pStyle w:val="ExhibitHeading"/>
        <w:outlineLvl w:val="0"/>
      </w:pPr>
      <w:r w:rsidRPr="009E2BEB">
        <w:t>(Y</w:t>
      </w:r>
      <w:r w:rsidR="00202E1A">
        <w:t>ear-</w:t>
      </w:r>
      <w:r w:rsidRPr="009E2BEB">
        <w:t>O</w:t>
      </w:r>
      <w:r w:rsidR="00202E1A">
        <w:t>ver-</w:t>
      </w:r>
      <w:r w:rsidRPr="009E2BEB">
        <w:t>Y</w:t>
      </w:r>
      <w:r w:rsidR="00202E1A">
        <w:t>ear</w:t>
      </w:r>
      <w:r w:rsidRPr="009E2BEB">
        <w:t xml:space="preserve"> GROWTH IN %)</w:t>
      </w:r>
    </w:p>
    <w:p w14:paraId="7A972FA6" w14:textId="77777777" w:rsidR="00DE7AF6" w:rsidRDefault="00DE7AF6" w:rsidP="00CB3554">
      <w:pPr>
        <w:pStyle w:val="Footnote"/>
      </w:pPr>
    </w:p>
    <w:tbl>
      <w:tblPr>
        <w:tblStyle w:val="TableGrid"/>
        <w:tblW w:w="5000" w:type="pct"/>
        <w:jc w:val="center"/>
        <w:tblLook w:val="04A0" w:firstRow="1" w:lastRow="0" w:firstColumn="1" w:lastColumn="0" w:noHBand="0" w:noVBand="1"/>
      </w:tblPr>
      <w:tblGrid>
        <w:gridCol w:w="4495"/>
        <w:gridCol w:w="1907"/>
        <w:gridCol w:w="1637"/>
        <w:gridCol w:w="1637"/>
        <w:gridCol w:w="1637"/>
        <w:gridCol w:w="1637"/>
      </w:tblGrid>
      <w:tr w:rsidR="00E343B7" w:rsidRPr="00AF778E" w14:paraId="4ED87197" w14:textId="77777777" w:rsidTr="00CB3554">
        <w:trPr>
          <w:trHeight w:val="216"/>
          <w:jc w:val="center"/>
        </w:trPr>
        <w:tc>
          <w:tcPr>
            <w:tcW w:w="4495" w:type="dxa"/>
            <w:vAlign w:val="center"/>
          </w:tcPr>
          <w:p w14:paraId="45C31AE1" w14:textId="7D571C1E" w:rsidR="00E343B7" w:rsidRPr="002323A9" w:rsidRDefault="00EC6F5F" w:rsidP="002323A9">
            <w:pPr>
              <w:rPr>
                <w:rFonts w:ascii="Arial" w:hAnsi="Arial" w:cs="Arial"/>
                <w:b/>
                <w:sz w:val="18"/>
                <w:szCs w:val="18"/>
              </w:rPr>
            </w:pPr>
            <w:r>
              <w:rPr>
                <w:rFonts w:ascii="Arial" w:hAnsi="Arial" w:cs="Arial"/>
                <w:b/>
                <w:sz w:val="18"/>
                <w:szCs w:val="18"/>
              </w:rPr>
              <w:t>Item</w:t>
            </w:r>
          </w:p>
        </w:tc>
        <w:tc>
          <w:tcPr>
            <w:tcW w:w="1907" w:type="dxa"/>
            <w:vAlign w:val="center"/>
          </w:tcPr>
          <w:p w14:paraId="68EB1256" w14:textId="798554A4" w:rsidR="00E343B7" w:rsidRPr="002323A9" w:rsidRDefault="00E343B7" w:rsidP="002323A9">
            <w:pPr>
              <w:jc w:val="center"/>
              <w:rPr>
                <w:rFonts w:ascii="Arial" w:hAnsi="Arial" w:cs="Arial"/>
                <w:b/>
                <w:sz w:val="18"/>
                <w:szCs w:val="18"/>
              </w:rPr>
            </w:pPr>
            <w:r w:rsidRPr="002323A9">
              <w:rPr>
                <w:rFonts w:ascii="Arial" w:hAnsi="Arial" w:cs="Arial"/>
                <w:b/>
                <w:sz w:val="18"/>
                <w:szCs w:val="18"/>
              </w:rPr>
              <w:t>April</w:t>
            </w:r>
            <w:r w:rsidR="00202E1A" w:rsidRPr="002323A9">
              <w:rPr>
                <w:rFonts w:ascii="Arial" w:hAnsi="Arial" w:cs="Arial"/>
                <w:b/>
                <w:sz w:val="18"/>
                <w:szCs w:val="18"/>
              </w:rPr>
              <w:t>–</w:t>
            </w:r>
            <w:r w:rsidRPr="002323A9">
              <w:rPr>
                <w:rFonts w:ascii="Arial" w:hAnsi="Arial" w:cs="Arial"/>
                <w:b/>
                <w:sz w:val="18"/>
                <w:szCs w:val="18"/>
              </w:rPr>
              <w:t>Oct</w:t>
            </w:r>
            <w:r w:rsidR="00202E1A" w:rsidRPr="002323A9">
              <w:rPr>
                <w:rFonts w:ascii="Arial" w:hAnsi="Arial" w:cs="Arial"/>
                <w:b/>
                <w:sz w:val="18"/>
                <w:szCs w:val="18"/>
              </w:rPr>
              <w:t>ober 2016</w:t>
            </w:r>
          </w:p>
        </w:tc>
        <w:tc>
          <w:tcPr>
            <w:tcW w:w="1637" w:type="dxa"/>
            <w:vAlign w:val="center"/>
          </w:tcPr>
          <w:p w14:paraId="1D2B5CF6" w14:textId="0EE07638" w:rsidR="00E343B7" w:rsidRPr="002323A9" w:rsidRDefault="00202E1A" w:rsidP="002323A9">
            <w:pPr>
              <w:jc w:val="center"/>
              <w:rPr>
                <w:rFonts w:ascii="Arial" w:hAnsi="Arial" w:cs="Arial"/>
                <w:b/>
                <w:sz w:val="18"/>
                <w:szCs w:val="18"/>
              </w:rPr>
            </w:pPr>
            <w:r w:rsidRPr="002323A9">
              <w:rPr>
                <w:rFonts w:ascii="Arial" w:hAnsi="Arial" w:cs="Arial"/>
                <w:b/>
                <w:sz w:val="18"/>
                <w:szCs w:val="18"/>
              </w:rPr>
              <w:t>20</w:t>
            </w:r>
            <w:r w:rsidR="00E343B7" w:rsidRPr="002323A9">
              <w:rPr>
                <w:rFonts w:ascii="Arial" w:hAnsi="Arial" w:cs="Arial"/>
                <w:b/>
                <w:sz w:val="18"/>
                <w:szCs w:val="18"/>
              </w:rPr>
              <w:t>16</w:t>
            </w:r>
            <w:r w:rsidRPr="002323A9">
              <w:rPr>
                <w:rFonts w:ascii="Arial" w:hAnsi="Arial" w:cs="Arial"/>
                <w:b/>
                <w:sz w:val="18"/>
                <w:szCs w:val="18"/>
              </w:rPr>
              <w:t>-10</w:t>
            </w:r>
          </w:p>
        </w:tc>
        <w:tc>
          <w:tcPr>
            <w:tcW w:w="1637" w:type="dxa"/>
            <w:vAlign w:val="center"/>
          </w:tcPr>
          <w:p w14:paraId="239A1C8A" w14:textId="0360A20B" w:rsidR="00E343B7" w:rsidRPr="002323A9" w:rsidRDefault="00202E1A" w:rsidP="002323A9">
            <w:pPr>
              <w:jc w:val="center"/>
              <w:rPr>
                <w:rFonts w:ascii="Arial" w:hAnsi="Arial" w:cs="Arial"/>
                <w:b/>
                <w:sz w:val="18"/>
                <w:szCs w:val="18"/>
              </w:rPr>
            </w:pPr>
            <w:r w:rsidRPr="002323A9">
              <w:rPr>
                <w:rFonts w:ascii="Arial" w:hAnsi="Arial" w:cs="Arial"/>
                <w:b/>
                <w:sz w:val="18"/>
                <w:szCs w:val="18"/>
              </w:rPr>
              <w:t>20</w:t>
            </w:r>
            <w:r w:rsidR="00E343B7" w:rsidRPr="002323A9">
              <w:rPr>
                <w:rFonts w:ascii="Arial" w:hAnsi="Arial" w:cs="Arial"/>
                <w:b/>
                <w:sz w:val="18"/>
                <w:szCs w:val="18"/>
              </w:rPr>
              <w:t>16</w:t>
            </w:r>
            <w:r w:rsidRPr="002323A9">
              <w:rPr>
                <w:rFonts w:ascii="Arial" w:hAnsi="Arial" w:cs="Arial"/>
                <w:b/>
                <w:sz w:val="18"/>
                <w:szCs w:val="18"/>
              </w:rPr>
              <w:t>-11</w:t>
            </w:r>
          </w:p>
        </w:tc>
        <w:tc>
          <w:tcPr>
            <w:tcW w:w="1637" w:type="dxa"/>
            <w:vAlign w:val="center"/>
          </w:tcPr>
          <w:p w14:paraId="6A45A56F" w14:textId="6631899A" w:rsidR="00E343B7" w:rsidRPr="002323A9" w:rsidRDefault="00202E1A" w:rsidP="002323A9">
            <w:pPr>
              <w:jc w:val="center"/>
              <w:rPr>
                <w:rFonts w:ascii="Arial" w:hAnsi="Arial" w:cs="Arial"/>
                <w:b/>
                <w:sz w:val="18"/>
                <w:szCs w:val="18"/>
              </w:rPr>
            </w:pPr>
            <w:r w:rsidRPr="002323A9">
              <w:rPr>
                <w:rFonts w:ascii="Arial" w:hAnsi="Arial" w:cs="Arial"/>
                <w:b/>
                <w:sz w:val="18"/>
                <w:szCs w:val="18"/>
              </w:rPr>
              <w:t>20</w:t>
            </w:r>
            <w:r w:rsidR="00E343B7" w:rsidRPr="002323A9">
              <w:rPr>
                <w:rFonts w:ascii="Arial" w:hAnsi="Arial" w:cs="Arial"/>
                <w:b/>
                <w:sz w:val="18"/>
                <w:szCs w:val="18"/>
              </w:rPr>
              <w:t>16</w:t>
            </w:r>
            <w:r w:rsidRPr="002323A9">
              <w:rPr>
                <w:rFonts w:ascii="Arial" w:hAnsi="Arial" w:cs="Arial"/>
                <w:b/>
                <w:sz w:val="18"/>
                <w:szCs w:val="18"/>
              </w:rPr>
              <w:t>-12</w:t>
            </w:r>
          </w:p>
        </w:tc>
        <w:tc>
          <w:tcPr>
            <w:tcW w:w="1637" w:type="dxa"/>
            <w:vAlign w:val="center"/>
          </w:tcPr>
          <w:p w14:paraId="0CE88239" w14:textId="1578C8F7" w:rsidR="00E343B7" w:rsidRPr="002323A9" w:rsidRDefault="00202E1A" w:rsidP="002323A9">
            <w:pPr>
              <w:jc w:val="center"/>
              <w:rPr>
                <w:rFonts w:ascii="Arial" w:hAnsi="Arial" w:cs="Arial"/>
                <w:b/>
                <w:sz w:val="18"/>
                <w:szCs w:val="18"/>
              </w:rPr>
            </w:pPr>
            <w:r w:rsidRPr="002323A9">
              <w:rPr>
                <w:rFonts w:ascii="Arial" w:hAnsi="Arial" w:cs="Arial"/>
                <w:b/>
                <w:sz w:val="18"/>
                <w:szCs w:val="18"/>
              </w:rPr>
              <w:t>2017-01</w:t>
            </w:r>
          </w:p>
        </w:tc>
      </w:tr>
      <w:tr w:rsidR="00E343B7" w:rsidRPr="00AF778E" w14:paraId="6FE51907" w14:textId="77777777" w:rsidTr="00CB3554">
        <w:trPr>
          <w:trHeight w:val="216"/>
          <w:jc w:val="center"/>
        </w:trPr>
        <w:tc>
          <w:tcPr>
            <w:tcW w:w="4495" w:type="dxa"/>
            <w:vAlign w:val="center"/>
          </w:tcPr>
          <w:p w14:paraId="608A8020" w14:textId="77777777" w:rsidR="00E343B7" w:rsidRPr="00AF778E" w:rsidRDefault="00E343B7" w:rsidP="002323A9">
            <w:pPr>
              <w:rPr>
                <w:rFonts w:ascii="Arial" w:hAnsi="Arial" w:cs="Arial"/>
                <w:sz w:val="18"/>
                <w:szCs w:val="18"/>
              </w:rPr>
            </w:pPr>
            <w:r w:rsidRPr="00AF778E">
              <w:rPr>
                <w:rFonts w:ascii="Arial" w:hAnsi="Arial" w:cs="Arial"/>
                <w:sz w:val="18"/>
                <w:szCs w:val="18"/>
              </w:rPr>
              <w:t>I. MACRO-INDICATORS</w:t>
            </w:r>
          </w:p>
        </w:tc>
        <w:tc>
          <w:tcPr>
            <w:tcW w:w="1907" w:type="dxa"/>
            <w:vAlign w:val="center"/>
          </w:tcPr>
          <w:p w14:paraId="3C623666" w14:textId="77777777" w:rsidR="00E343B7" w:rsidRPr="00AF778E" w:rsidRDefault="00E343B7" w:rsidP="002323A9">
            <w:pPr>
              <w:jc w:val="right"/>
              <w:rPr>
                <w:rFonts w:ascii="Arial" w:hAnsi="Arial" w:cs="Arial"/>
                <w:sz w:val="18"/>
                <w:szCs w:val="18"/>
              </w:rPr>
            </w:pPr>
          </w:p>
        </w:tc>
        <w:tc>
          <w:tcPr>
            <w:tcW w:w="1637" w:type="dxa"/>
            <w:vAlign w:val="center"/>
          </w:tcPr>
          <w:p w14:paraId="1ECDBAAD" w14:textId="77777777" w:rsidR="00E343B7" w:rsidRPr="00AF778E" w:rsidRDefault="00E343B7" w:rsidP="002323A9">
            <w:pPr>
              <w:jc w:val="right"/>
              <w:rPr>
                <w:rFonts w:ascii="Arial" w:hAnsi="Arial" w:cs="Arial"/>
                <w:sz w:val="18"/>
                <w:szCs w:val="18"/>
              </w:rPr>
            </w:pPr>
          </w:p>
        </w:tc>
        <w:tc>
          <w:tcPr>
            <w:tcW w:w="1637" w:type="dxa"/>
            <w:vAlign w:val="center"/>
          </w:tcPr>
          <w:p w14:paraId="557F4D99" w14:textId="77777777" w:rsidR="00E343B7" w:rsidRPr="00AF778E" w:rsidRDefault="00E343B7" w:rsidP="002323A9">
            <w:pPr>
              <w:jc w:val="right"/>
              <w:rPr>
                <w:rFonts w:ascii="Arial" w:hAnsi="Arial" w:cs="Arial"/>
                <w:sz w:val="18"/>
                <w:szCs w:val="18"/>
              </w:rPr>
            </w:pPr>
          </w:p>
        </w:tc>
        <w:tc>
          <w:tcPr>
            <w:tcW w:w="1637" w:type="dxa"/>
            <w:vAlign w:val="center"/>
          </w:tcPr>
          <w:p w14:paraId="0FD0BCC1" w14:textId="77777777" w:rsidR="00E343B7" w:rsidRPr="00AF778E" w:rsidRDefault="00E343B7" w:rsidP="002323A9">
            <w:pPr>
              <w:jc w:val="right"/>
              <w:rPr>
                <w:rFonts w:ascii="Arial" w:hAnsi="Arial" w:cs="Arial"/>
                <w:sz w:val="18"/>
                <w:szCs w:val="18"/>
              </w:rPr>
            </w:pPr>
          </w:p>
        </w:tc>
        <w:tc>
          <w:tcPr>
            <w:tcW w:w="1637" w:type="dxa"/>
            <w:vAlign w:val="center"/>
          </w:tcPr>
          <w:p w14:paraId="55E5E73E" w14:textId="77777777" w:rsidR="00E343B7" w:rsidRPr="00AF778E" w:rsidRDefault="00E343B7" w:rsidP="002323A9">
            <w:pPr>
              <w:jc w:val="right"/>
              <w:rPr>
                <w:rFonts w:ascii="Arial" w:hAnsi="Arial" w:cs="Arial"/>
                <w:sz w:val="18"/>
                <w:szCs w:val="18"/>
              </w:rPr>
            </w:pPr>
          </w:p>
        </w:tc>
      </w:tr>
      <w:tr w:rsidR="00E343B7" w:rsidRPr="00AF778E" w14:paraId="66448905" w14:textId="77777777" w:rsidTr="00CB3554">
        <w:trPr>
          <w:trHeight w:val="216"/>
          <w:jc w:val="center"/>
        </w:trPr>
        <w:tc>
          <w:tcPr>
            <w:tcW w:w="4495" w:type="dxa"/>
            <w:vAlign w:val="center"/>
          </w:tcPr>
          <w:p w14:paraId="42FE03C6" w14:textId="25411533" w:rsidR="00E343B7" w:rsidRPr="00AF778E" w:rsidRDefault="00E343B7" w:rsidP="00314917">
            <w:pPr>
              <w:ind w:left="144"/>
              <w:rPr>
                <w:rFonts w:ascii="Arial" w:hAnsi="Arial" w:cs="Arial"/>
                <w:sz w:val="18"/>
                <w:szCs w:val="18"/>
              </w:rPr>
            </w:pPr>
            <w:r w:rsidRPr="00AF778E">
              <w:rPr>
                <w:rFonts w:ascii="Arial" w:hAnsi="Arial" w:cs="Arial"/>
                <w:sz w:val="18"/>
                <w:szCs w:val="18"/>
              </w:rPr>
              <w:t>1.</w:t>
            </w:r>
            <w:r w:rsidR="00202E1A">
              <w:rPr>
                <w:rFonts w:ascii="Arial" w:hAnsi="Arial" w:cs="Arial"/>
                <w:sz w:val="18"/>
                <w:szCs w:val="18"/>
              </w:rPr>
              <w:t xml:space="preserve"> </w:t>
            </w:r>
            <w:r w:rsidRPr="00AF778E">
              <w:rPr>
                <w:rFonts w:ascii="Arial" w:hAnsi="Arial" w:cs="Arial"/>
                <w:sz w:val="18"/>
                <w:szCs w:val="18"/>
              </w:rPr>
              <w:t>M3</w:t>
            </w:r>
          </w:p>
        </w:tc>
        <w:tc>
          <w:tcPr>
            <w:tcW w:w="1907" w:type="dxa"/>
            <w:vAlign w:val="center"/>
          </w:tcPr>
          <w:p w14:paraId="25E3A1DE"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6.4</w:t>
            </w:r>
          </w:p>
        </w:tc>
        <w:tc>
          <w:tcPr>
            <w:tcW w:w="1637" w:type="dxa"/>
            <w:vAlign w:val="center"/>
          </w:tcPr>
          <w:p w14:paraId="28C57A72"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10.4</w:t>
            </w:r>
          </w:p>
        </w:tc>
        <w:tc>
          <w:tcPr>
            <w:tcW w:w="1637" w:type="dxa"/>
            <w:vAlign w:val="center"/>
          </w:tcPr>
          <w:p w14:paraId="3AF7351E"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8.5</w:t>
            </w:r>
          </w:p>
        </w:tc>
        <w:tc>
          <w:tcPr>
            <w:tcW w:w="1637" w:type="dxa"/>
            <w:vAlign w:val="center"/>
          </w:tcPr>
          <w:p w14:paraId="38BD813D"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6.6</w:t>
            </w:r>
          </w:p>
        </w:tc>
        <w:tc>
          <w:tcPr>
            <w:tcW w:w="1637" w:type="dxa"/>
            <w:vAlign w:val="center"/>
          </w:tcPr>
          <w:p w14:paraId="5913C39F"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6.4</w:t>
            </w:r>
          </w:p>
        </w:tc>
      </w:tr>
      <w:tr w:rsidR="00E343B7" w:rsidRPr="00AF778E" w14:paraId="26176E81" w14:textId="77777777" w:rsidTr="00CB3554">
        <w:trPr>
          <w:trHeight w:val="216"/>
          <w:jc w:val="center"/>
        </w:trPr>
        <w:tc>
          <w:tcPr>
            <w:tcW w:w="4495" w:type="dxa"/>
            <w:vAlign w:val="center"/>
          </w:tcPr>
          <w:p w14:paraId="6E4971FC" w14:textId="5F0BC47E" w:rsidR="00E343B7" w:rsidRPr="00AF778E" w:rsidRDefault="00E343B7" w:rsidP="00314917">
            <w:pPr>
              <w:ind w:left="144"/>
              <w:rPr>
                <w:rFonts w:ascii="Arial" w:hAnsi="Arial" w:cs="Arial"/>
                <w:sz w:val="18"/>
                <w:szCs w:val="18"/>
              </w:rPr>
            </w:pPr>
            <w:r w:rsidRPr="00AF778E">
              <w:rPr>
                <w:rFonts w:ascii="Arial" w:hAnsi="Arial" w:cs="Arial"/>
                <w:sz w:val="18"/>
                <w:szCs w:val="18"/>
              </w:rPr>
              <w:t xml:space="preserve">2. Currency in </w:t>
            </w:r>
            <w:r w:rsidR="00202E1A" w:rsidRPr="00AF778E">
              <w:rPr>
                <w:rFonts w:ascii="Arial" w:hAnsi="Arial" w:cs="Arial"/>
                <w:sz w:val="18"/>
                <w:szCs w:val="18"/>
              </w:rPr>
              <w:t>circulation</w:t>
            </w:r>
          </w:p>
        </w:tc>
        <w:tc>
          <w:tcPr>
            <w:tcW w:w="1907" w:type="dxa"/>
            <w:vAlign w:val="center"/>
          </w:tcPr>
          <w:p w14:paraId="12A6C357"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6.9</w:t>
            </w:r>
          </w:p>
        </w:tc>
        <w:tc>
          <w:tcPr>
            <w:tcW w:w="1637" w:type="dxa"/>
            <w:vAlign w:val="center"/>
          </w:tcPr>
          <w:p w14:paraId="22A09E93"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17.2</w:t>
            </w:r>
          </w:p>
        </w:tc>
        <w:tc>
          <w:tcPr>
            <w:tcW w:w="1637" w:type="dxa"/>
            <w:vAlign w:val="center"/>
          </w:tcPr>
          <w:p w14:paraId="06F02933" w14:textId="55C27469"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23.6</w:t>
            </w:r>
          </w:p>
        </w:tc>
        <w:tc>
          <w:tcPr>
            <w:tcW w:w="1637" w:type="dxa"/>
            <w:vAlign w:val="center"/>
          </w:tcPr>
          <w:p w14:paraId="46693B0E" w14:textId="1FF8C154"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39.9</w:t>
            </w:r>
          </w:p>
        </w:tc>
        <w:tc>
          <w:tcPr>
            <w:tcW w:w="1637" w:type="dxa"/>
            <w:vAlign w:val="center"/>
          </w:tcPr>
          <w:p w14:paraId="4E0B6466" w14:textId="251D7D8C"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37.8</w:t>
            </w:r>
          </w:p>
        </w:tc>
      </w:tr>
      <w:tr w:rsidR="00E343B7" w:rsidRPr="00AF778E" w14:paraId="6CE21145" w14:textId="77777777" w:rsidTr="00CB3554">
        <w:trPr>
          <w:trHeight w:val="216"/>
          <w:jc w:val="center"/>
        </w:trPr>
        <w:tc>
          <w:tcPr>
            <w:tcW w:w="4495" w:type="dxa"/>
            <w:vAlign w:val="center"/>
          </w:tcPr>
          <w:p w14:paraId="6BF70F58" w14:textId="0673F91B" w:rsidR="00E343B7" w:rsidRPr="00AF778E" w:rsidRDefault="00E343B7" w:rsidP="00314917">
            <w:pPr>
              <w:ind w:left="144"/>
              <w:rPr>
                <w:rFonts w:ascii="Arial" w:hAnsi="Arial" w:cs="Arial"/>
                <w:sz w:val="18"/>
                <w:szCs w:val="18"/>
              </w:rPr>
            </w:pPr>
            <w:r w:rsidRPr="00AF778E">
              <w:rPr>
                <w:rFonts w:ascii="Arial" w:hAnsi="Arial" w:cs="Arial"/>
                <w:sz w:val="18"/>
                <w:szCs w:val="18"/>
              </w:rPr>
              <w:t xml:space="preserve">3. Bank </w:t>
            </w:r>
            <w:r w:rsidR="00202E1A" w:rsidRPr="00AF778E">
              <w:rPr>
                <w:rFonts w:ascii="Arial" w:hAnsi="Arial" w:cs="Arial"/>
                <w:sz w:val="18"/>
                <w:szCs w:val="18"/>
              </w:rPr>
              <w:t>credit</w:t>
            </w:r>
          </w:p>
        </w:tc>
        <w:tc>
          <w:tcPr>
            <w:tcW w:w="1907" w:type="dxa"/>
            <w:vAlign w:val="center"/>
          </w:tcPr>
          <w:p w14:paraId="0014A3ED"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1.8</w:t>
            </w:r>
          </w:p>
        </w:tc>
        <w:tc>
          <w:tcPr>
            <w:tcW w:w="1637" w:type="dxa"/>
            <w:vAlign w:val="center"/>
          </w:tcPr>
          <w:p w14:paraId="32E15F70"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8.4</w:t>
            </w:r>
          </w:p>
        </w:tc>
        <w:tc>
          <w:tcPr>
            <w:tcW w:w="1637" w:type="dxa"/>
            <w:vAlign w:val="center"/>
          </w:tcPr>
          <w:p w14:paraId="0B172934"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6.2</w:t>
            </w:r>
          </w:p>
        </w:tc>
        <w:tc>
          <w:tcPr>
            <w:tcW w:w="1637" w:type="dxa"/>
            <w:vAlign w:val="center"/>
          </w:tcPr>
          <w:p w14:paraId="12946505"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4.9</w:t>
            </w:r>
          </w:p>
        </w:tc>
        <w:tc>
          <w:tcPr>
            <w:tcW w:w="1637" w:type="dxa"/>
            <w:vAlign w:val="center"/>
          </w:tcPr>
          <w:p w14:paraId="61F41BF9"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4.7</w:t>
            </w:r>
          </w:p>
        </w:tc>
      </w:tr>
      <w:tr w:rsidR="00E343B7" w:rsidRPr="00AF778E" w14:paraId="41656240" w14:textId="77777777" w:rsidTr="00CB3554">
        <w:trPr>
          <w:trHeight w:val="216"/>
          <w:jc w:val="center"/>
        </w:trPr>
        <w:tc>
          <w:tcPr>
            <w:tcW w:w="4495" w:type="dxa"/>
            <w:vAlign w:val="center"/>
          </w:tcPr>
          <w:p w14:paraId="37BD80E6" w14:textId="169F4566" w:rsidR="00E343B7" w:rsidRPr="00AF778E" w:rsidRDefault="00E343B7" w:rsidP="00314917">
            <w:pPr>
              <w:ind w:left="144"/>
              <w:rPr>
                <w:rFonts w:ascii="Arial" w:hAnsi="Arial" w:cs="Arial"/>
                <w:sz w:val="18"/>
                <w:szCs w:val="18"/>
              </w:rPr>
            </w:pPr>
            <w:r w:rsidRPr="00AF778E">
              <w:rPr>
                <w:rFonts w:ascii="Arial" w:hAnsi="Arial" w:cs="Arial"/>
                <w:sz w:val="18"/>
                <w:szCs w:val="18"/>
              </w:rPr>
              <w:t>4.</w:t>
            </w:r>
            <w:r w:rsidR="00202E1A">
              <w:rPr>
                <w:rFonts w:ascii="Arial" w:hAnsi="Arial" w:cs="Arial"/>
                <w:sz w:val="18"/>
                <w:szCs w:val="18"/>
              </w:rPr>
              <w:t xml:space="preserve"> </w:t>
            </w:r>
            <w:r w:rsidRPr="00AF778E">
              <w:rPr>
                <w:rFonts w:ascii="Arial" w:hAnsi="Arial" w:cs="Arial"/>
                <w:sz w:val="18"/>
                <w:szCs w:val="18"/>
              </w:rPr>
              <w:t xml:space="preserve">Indirect </w:t>
            </w:r>
            <w:r w:rsidR="00202E1A" w:rsidRPr="00AF778E">
              <w:rPr>
                <w:rFonts w:ascii="Arial" w:hAnsi="Arial" w:cs="Arial"/>
                <w:sz w:val="18"/>
                <w:szCs w:val="18"/>
              </w:rPr>
              <w:t>tax collections</w:t>
            </w:r>
          </w:p>
        </w:tc>
        <w:tc>
          <w:tcPr>
            <w:tcW w:w="1907" w:type="dxa"/>
            <w:vAlign w:val="center"/>
          </w:tcPr>
          <w:p w14:paraId="7C06C2B4"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24.7</w:t>
            </w:r>
          </w:p>
        </w:tc>
        <w:tc>
          <w:tcPr>
            <w:tcW w:w="1637" w:type="dxa"/>
            <w:vAlign w:val="center"/>
          </w:tcPr>
          <w:p w14:paraId="2A687AB6"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23.4</w:t>
            </w:r>
          </w:p>
        </w:tc>
        <w:tc>
          <w:tcPr>
            <w:tcW w:w="1637" w:type="dxa"/>
            <w:vAlign w:val="center"/>
          </w:tcPr>
          <w:p w14:paraId="053873C2"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36.5</w:t>
            </w:r>
          </w:p>
        </w:tc>
        <w:tc>
          <w:tcPr>
            <w:tcW w:w="1637" w:type="dxa"/>
            <w:vAlign w:val="center"/>
          </w:tcPr>
          <w:p w14:paraId="61BD9292"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20.2</w:t>
            </w:r>
          </w:p>
        </w:tc>
        <w:tc>
          <w:tcPr>
            <w:tcW w:w="1637" w:type="dxa"/>
            <w:vAlign w:val="center"/>
          </w:tcPr>
          <w:p w14:paraId="40ACD49D"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13.9</w:t>
            </w:r>
          </w:p>
        </w:tc>
      </w:tr>
      <w:tr w:rsidR="00E343B7" w:rsidRPr="00AF778E" w14:paraId="0E40CF59" w14:textId="77777777" w:rsidTr="00CB3554">
        <w:trPr>
          <w:trHeight w:val="216"/>
          <w:jc w:val="center"/>
        </w:trPr>
        <w:tc>
          <w:tcPr>
            <w:tcW w:w="4495" w:type="dxa"/>
            <w:vAlign w:val="center"/>
          </w:tcPr>
          <w:p w14:paraId="69771B92" w14:textId="74049A49" w:rsidR="00E343B7" w:rsidRPr="00AF778E" w:rsidRDefault="00E343B7" w:rsidP="00314917">
            <w:pPr>
              <w:ind w:left="144"/>
              <w:rPr>
                <w:rFonts w:ascii="Arial" w:hAnsi="Arial" w:cs="Arial"/>
                <w:sz w:val="18"/>
                <w:szCs w:val="18"/>
              </w:rPr>
            </w:pPr>
            <w:r w:rsidRPr="00AF778E">
              <w:rPr>
                <w:rFonts w:ascii="Arial" w:hAnsi="Arial" w:cs="Arial"/>
                <w:sz w:val="18"/>
                <w:szCs w:val="18"/>
              </w:rPr>
              <w:t xml:space="preserve">5. Service </w:t>
            </w:r>
            <w:r w:rsidR="00202E1A" w:rsidRPr="00AF778E">
              <w:rPr>
                <w:rFonts w:ascii="Arial" w:hAnsi="Arial" w:cs="Arial"/>
                <w:sz w:val="18"/>
                <w:szCs w:val="18"/>
              </w:rPr>
              <w:t xml:space="preserve">tax </w:t>
            </w:r>
            <w:r w:rsidRPr="00AF778E">
              <w:rPr>
                <w:rFonts w:ascii="Arial" w:hAnsi="Arial" w:cs="Arial"/>
                <w:sz w:val="18"/>
                <w:szCs w:val="18"/>
              </w:rPr>
              <w:t>collections by the centre</w:t>
            </w:r>
          </w:p>
        </w:tc>
        <w:tc>
          <w:tcPr>
            <w:tcW w:w="1907" w:type="dxa"/>
            <w:vAlign w:val="center"/>
          </w:tcPr>
          <w:p w14:paraId="1969A694"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25.2</w:t>
            </w:r>
          </w:p>
        </w:tc>
        <w:tc>
          <w:tcPr>
            <w:tcW w:w="1637" w:type="dxa"/>
            <w:vAlign w:val="center"/>
          </w:tcPr>
          <w:p w14:paraId="05283CE2"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29.6</w:t>
            </w:r>
          </w:p>
        </w:tc>
        <w:tc>
          <w:tcPr>
            <w:tcW w:w="1637" w:type="dxa"/>
            <w:vAlign w:val="center"/>
          </w:tcPr>
          <w:p w14:paraId="73B457A8"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43.9</w:t>
            </w:r>
          </w:p>
        </w:tc>
        <w:tc>
          <w:tcPr>
            <w:tcW w:w="1637" w:type="dxa"/>
            <w:vAlign w:val="center"/>
          </w:tcPr>
          <w:p w14:paraId="6893B2A7"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13.1</w:t>
            </w:r>
          </w:p>
        </w:tc>
        <w:tc>
          <w:tcPr>
            <w:tcW w:w="1637" w:type="dxa"/>
            <w:vAlign w:val="center"/>
          </w:tcPr>
          <w:p w14:paraId="05399CCB"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12.1</w:t>
            </w:r>
          </w:p>
        </w:tc>
      </w:tr>
      <w:tr w:rsidR="00E343B7" w:rsidRPr="00AF778E" w14:paraId="61D596DA" w14:textId="77777777" w:rsidTr="00CB3554">
        <w:trPr>
          <w:trHeight w:val="216"/>
          <w:jc w:val="center"/>
        </w:trPr>
        <w:tc>
          <w:tcPr>
            <w:tcW w:w="4495" w:type="dxa"/>
            <w:vAlign w:val="center"/>
          </w:tcPr>
          <w:p w14:paraId="675F3444" w14:textId="77777777" w:rsidR="00E343B7" w:rsidRPr="00AF778E" w:rsidRDefault="00E343B7" w:rsidP="002323A9">
            <w:pPr>
              <w:rPr>
                <w:rFonts w:ascii="Arial" w:hAnsi="Arial" w:cs="Arial"/>
                <w:sz w:val="18"/>
                <w:szCs w:val="18"/>
              </w:rPr>
            </w:pPr>
            <w:r w:rsidRPr="00AF778E">
              <w:rPr>
                <w:rFonts w:ascii="Arial" w:hAnsi="Arial" w:cs="Arial"/>
                <w:sz w:val="18"/>
                <w:szCs w:val="18"/>
              </w:rPr>
              <w:t>II. SECTORAL INDICATORS</w:t>
            </w:r>
          </w:p>
        </w:tc>
        <w:tc>
          <w:tcPr>
            <w:tcW w:w="1907" w:type="dxa"/>
            <w:vAlign w:val="center"/>
          </w:tcPr>
          <w:p w14:paraId="4A64F19D" w14:textId="77777777" w:rsidR="00E343B7" w:rsidRPr="00AF778E" w:rsidRDefault="00E343B7" w:rsidP="002323A9">
            <w:pPr>
              <w:ind w:right="288"/>
              <w:jc w:val="right"/>
              <w:rPr>
                <w:rFonts w:ascii="Arial" w:hAnsi="Arial" w:cs="Arial"/>
                <w:sz w:val="18"/>
                <w:szCs w:val="18"/>
              </w:rPr>
            </w:pPr>
          </w:p>
        </w:tc>
        <w:tc>
          <w:tcPr>
            <w:tcW w:w="1637" w:type="dxa"/>
            <w:vAlign w:val="center"/>
          </w:tcPr>
          <w:p w14:paraId="1D95F6DE" w14:textId="77777777" w:rsidR="00E343B7" w:rsidRPr="00AF778E" w:rsidRDefault="00E343B7" w:rsidP="002323A9">
            <w:pPr>
              <w:ind w:right="288"/>
              <w:jc w:val="right"/>
              <w:rPr>
                <w:rFonts w:ascii="Arial" w:hAnsi="Arial" w:cs="Arial"/>
                <w:sz w:val="18"/>
                <w:szCs w:val="18"/>
              </w:rPr>
            </w:pPr>
          </w:p>
        </w:tc>
        <w:tc>
          <w:tcPr>
            <w:tcW w:w="1637" w:type="dxa"/>
            <w:vAlign w:val="center"/>
          </w:tcPr>
          <w:p w14:paraId="1D2C6C88" w14:textId="77777777" w:rsidR="00E343B7" w:rsidRPr="00AF778E" w:rsidRDefault="00E343B7" w:rsidP="002323A9">
            <w:pPr>
              <w:ind w:right="288"/>
              <w:jc w:val="right"/>
              <w:rPr>
                <w:rFonts w:ascii="Arial" w:hAnsi="Arial" w:cs="Arial"/>
                <w:sz w:val="18"/>
                <w:szCs w:val="18"/>
              </w:rPr>
            </w:pPr>
          </w:p>
        </w:tc>
        <w:tc>
          <w:tcPr>
            <w:tcW w:w="1637" w:type="dxa"/>
            <w:vAlign w:val="center"/>
          </w:tcPr>
          <w:p w14:paraId="4C4C54A1" w14:textId="77777777" w:rsidR="00E343B7" w:rsidRPr="00AF778E" w:rsidRDefault="00E343B7" w:rsidP="002323A9">
            <w:pPr>
              <w:ind w:right="288"/>
              <w:jc w:val="right"/>
              <w:rPr>
                <w:rFonts w:ascii="Arial" w:hAnsi="Arial" w:cs="Arial"/>
                <w:sz w:val="18"/>
                <w:szCs w:val="18"/>
              </w:rPr>
            </w:pPr>
          </w:p>
        </w:tc>
        <w:tc>
          <w:tcPr>
            <w:tcW w:w="1637" w:type="dxa"/>
            <w:vAlign w:val="center"/>
          </w:tcPr>
          <w:p w14:paraId="2757794F" w14:textId="77777777" w:rsidR="00E343B7" w:rsidRPr="00AF778E" w:rsidRDefault="00E343B7" w:rsidP="002323A9">
            <w:pPr>
              <w:ind w:right="288"/>
              <w:jc w:val="right"/>
              <w:rPr>
                <w:rFonts w:ascii="Arial" w:hAnsi="Arial" w:cs="Arial"/>
                <w:sz w:val="18"/>
                <w:szCs w:val="18"/>
              </w:rPr>
            </w:pPr>
          </w:p>
        </w:tc>
      </w:tr>
      <w:tr w:rsidR="00E343B7" w:rsidRPr="00AF778E" w14:paraId="358BF2E0" w14:textId="77777777" w:rsidTr="00CB3554">
        <w:trPr>
          <w:trHeight w:val="216"/>
          <w:jc w:val="center"/>
        </w:trPr>
        <w:tc>
          <w:tcPr>
            <w:tcW w:w="4495" w:type="dxa"/>
            <w:vAlign w:val="center"/>
          </w:tcPr>
          <w:p w14:paraId="5A090A27" w14:textId="575505F2" w:rsidR="00E343B7" w:rsidRPr="00AF778E" w:rsidRDefault="00E343B7" w:rsidP="00314917">
            <w:pPr>
              <w:ind w:left="144"/>
              <w:rPr>
                <w:rFonts w:ascii="Arial" w:hAnsi="Arial" w:cs="Arial"/>
                <w:sz w:val="18"/>
                <w:szCs w:val="18"/>
              </w:rPr>
            </w:pPr>
            <w:r w:rsidRPr="00AF778E">
              <w:rPr>
                <w:rFonts w:ascii="Arial" w:hAnsi="Arial" w:cs="Arial"/>
                <w:sz w:val="18"/>
                <w:szCs w:val="18"/>
              </w:rPr>
              <w:t>1. AGRICULTURE</w:t>
            </w:r>
          </w:p>
        </w:tc>
        <w:tc>
          <w:tcPr>
            <w:tcW w:w="1907" w:type="dxa"/>
            <w:vAlign w:val="center"/>
          </w:tcPr>
          <w:p w14:paraId="27D755A8" w14:textId="73D202D5" w:rsidR="00E343B7" w:rsidRPr="00AF778E" w:rsidRDefault="00E343B7" w:rsidP="002323A9">
            <w:pPr>
              <w:ind w:right="288"/>
              <w:jc w:val="right"/>
              <w:rPr>
                <w:rFonts w:ascii="Arial" w:hAnsi="Arial" w:cs="Arial"/>
                <w:sz w:val="18"/>
                <w:szCs w:val="18"/>
              </w:rPr>
            </w:pPr>
          </w:p>
        </w:tc>
        <w:tc>
          <w:tcPr>
            <w:tcW w:w="1637" w:type="dxa"/>
            <w:vAlign w:val="center"/>
          </w:tcPr>
          <w:p w14:paraId="0AFDDF8F" w14:textId="77777777" w:rsidR="00E343B7" w:rsidRPr="00AF778E" w:rsidRDefault="00E343B7" w:rsidP="002323A9">
            <w:pPr>
              <w:ind w:right="288"/>
              <w:jc w:val="right"/>
              <w:rPr>
                <w:rFonts w:ascii="Arial" w:hAnsi="Arial" w:cs="Arial"/>
                <w:sz w:val="18"/>
                <w:szCs w:val="18"/>
              </w:rPr>
            </w:pPr>
          </w:p>
        </w:tc>
        <w:tc>
          <w:tcPr>
            <w:tcW w:w="1637" w:type="dxa"/>
            <w:vAlign w:val="center"/>
          </w:tcPr>
          <w:p w14:paraId="4876160A" w14:textId="77777777" w:rsidR="00E343B7" w:rsidRPr="00AF778E" w:rsidRDefault="00E343B7" w:rsidP="002323A9">
            <w:pPr>
              <w:ind w:right="288"/>
              <w:jc w:val="right"/>
              <w:rPr>
                <w:rFonts w:ascii="Arial" w:hAnsi="Arial" w:cs="Arial"/>
                <w:sz w:val="18"/>
                <w:szCs w:val="18"/>
              </w:rPr>
            </w:pPr>
          </w:p>
        </w:tc>
        <w:tc>
          <w:tcPr>
            <w:tcW w:w="1637" w:type="dxa"/>
            <w:vAlign w:val="center"/>
          </w:tcPr>
          <w:p w14:paraId="75385419" w14:textId="77777777" w:rsidR="00E343B7" w:rsidRPr="00AF778E" w:rsidRDefault="00E343B7" w:rsidP="002323A9">
            <w:pPr>
              <w:ind w:right="288"/>
              <w:jc w:val="right"/>
              <w:rPr>
                <w:rFonts w:ascii="Arial" w:hAnsi="Arial" w:cs="Arial"/>
                <w:sz w:val="18"/>
                <w:szCs w:val="18"/>
              </w:rPr>
            </w:pPr>
          </w:p>
        </w:tc>
        <w:tc>
          <w:tcPr>
            <w:tcW w:w="1637" w:type="dxa"/>
            <w:vAlign w:val="center"/>
          </w:tcPr>
          <w:p w14:paraId="0CFF3474" w14:textId="77777777" w:rsidR="00E343B7" w:rsidRPr="00AF778E" w:rsidRDefault="00E343B7" w:rsidP="002323A9">
            <w:pPr>
              <w:ind w:right="288"/>
              <w:jc w:val="right"/>
              <w:rPr>
                <w:rFonts w:ascii="Arial" w:hAnsi="Arial" w:cs="Arial"/>
                <w:sz w:val="18"/>
                <w:szCs w:val="18"/>
              </w:rPr>
            </w:pPr>
          </w:p>
        </w:tc>
      </w:tr>
      <w:tr w:rsidR="00EC6F5F" w:rsidRPr="00AF778E" w14:paraId="5844A3A7" w14:textId="77777777" w:rsidTr="00CB3554">
        <w:trPr>
          <w:trHeight w:val="216"/>
          <w:jc w:val="center"/>
        </w:trPr>
        <w:tc>
          <w:tcPr>
            <w:tcW w:w="4495" w:type="dxa"/>
            <w:vAlign w:val="center"/>
          </w:tcPr>
          <w:p w14:paraId="40AA0422" w14:textId="3852CE5E" w:rsidR="00EC6F5F" w:rsidRPr="00314917" w:rsidRDefault="00EC6F5F" w:rsidP="00314917">
            <w:pPr>
              <w:ind w:left="288"/>
              <w:rPr>
                <w:rFonts w:ascii="Arial" w:hAnsi="Arial" w:cs="Arial"/>
                <w:sz w:val="18"/>
                <w:szCs w:val="18"/>
              </w:rPr>
            </w:pPr>
            <w:r w:rsidRPr="00EC6F5F">
              <w:rPr>
                <w:rFonts w:ascii="Arial" w:hAnsi="Arial" w:cs="Arial"/>
                <w:sz w:val="18"/>
                <w:szCs w:val="18"/>
              </w:rPr>
              <w:t>a.</w:t>
            </w:r>
            <w:r>
              <w:rPr>
                <w:rFonts w:ascii="Arial" w:hAnsi="Arial" w:cs="Arial"/>
                <w:sz w:val="18"/>
                <w:szCs w:val="18"/>
              </w:rPr>
              <w:t xml:space="preserve"> </w:t>
            </w:r>
            <w:r w:rsidRPr="00314917">
              <w:rPr>
                <w:rFonts w:ascii="Arial" w:hAnsi="Arial" w:cs="Arial"/>
                <w:sz w:val="18"/>
                <w:szCs w:val="18"/>
              </w:rPr>
              <w:t>Foodgrains production</w:t>
            </w:r>
            <w:r>
              <w:rPr>
                <w:rFonts w:ascii="Arial" w:hAnsi="Arial" w:cs="Arial"/>
                <w:sz w:val="18"/>
                <w:szCs w:val="18"/>
              </w:rPr>
              <w:t xml:space="preserve"> (reported for 2016/17)</w:t>
            </w:r>
          </w:p>
        </w:tc>
        <w:tc>
          <w:tcPr>
            <w:tcW w:w="1907" w:type="dxa"/>
            <w:vAlign w:val="center"/>
          </w:tcPr>
          <w:p w14:paraId="556D5E8C" w14:textId="3DF14E35" w:rsidR="00EC6F5F" w:rsidRPr="00AF778E" w:rsidRDefault="00EC6F5F" w:rsidP="002323A9">
            <w:pPr>
              <w:ind w:right="288"/>
              <w:jc w:val="right"/>
              <w:rPr>
                <w:rFonts w:ascii="Arial" w:hAnsi="Arial" w:cs="Arial"/>
                <w:sz w:val="18"/>
                <w:szCs w:val="18"/>
              </w:rPr>
            </w:pPr>
            <w:r>
              <w:rPr>
                <w:rFonts w:ascii="Arial" w:hAnsi="Arial" w:cs="Arial"/>
                <w:sz w:val="18"/>
                <w:szCs w:val="18"/>
              </w:rPr>
              <w:t>8.1</w:t>
            </w:r>
          </w:p>
        </w:tc>
        <w:tc>
          <w:tcPr>
            <w:tcW w:w="1637" w:type="dxa"/>
            <w:vAlign w:val="center"/>
          </w:tcPr>
          <w:p w14:paraId="5FD104AA" w14:textId="77777777" w:rsidR="00EC6F5F" w:rsidRPr="00AF778E" w:rsidRDefault="00EC6F5F" w:rsidP="002323A9">
            <w:pPr>
              <w:ind w:right="288"/>
              <w:jc w:val="right"/>
              <w:rPr>
                <w:rFonts w:ascii="Arial" w:hAnsi="Arial" w:cs="Arial"/>
                <w:sz w:val="18"/>
                <w:szCs w:val="18"/>
              </w:rPr>
            </w:pPr>
          </w:p>
        </w:tc>
        <w:tc>
          <w:tcPr>
            <w:tcW w:w="1637" w:type="dxa"/>
            <w:vAlign w:val="center"/>
          </w:tcPr>
          <w:p w14:paraId="70ACC57F" w14:textId="77777777" w:rsidR="00EC6F5F" w:rsidRPr="00AF778E" w:rsidRDefault="00EC6F5F" w:rsidP="002323A9">
            <w:pPr>
              <w:ind w:right="288"/>
              <w:jc w:val="right"/>
              <w:rPr>
                <w:rFonts w:ascii="Arial" w:hAnsi="Arial" w:cs="Arial"/>
                <w:sz w:val="18"/>
                <w:szCs w:val="18"/>
              </w:rPr>
            </w:pPr>
          </w:p>
        </w:tc>
        <w:tc>
          <w:tcPr>
            <w:tcW w:w="1637" w:type="dxa"/>
            <w:vAlign w:val="center"/>
          </w:tcPr>
          <w:p w14:paraId="2F218DE0" w14:textId="77777777" w:rsidR="00EC6F5F" w:rsidRPr="00AF778E" w:rsidRDefault="00EC6F5F" w:rsidP="002323A9">
            <w:pPr>
              <w:ind w:right="288"/>
              <w:jc w:val="right"/>
              <w:rPr>
                <w:rFonts w:ascii="Arial" w:hAnsi="Arial" w:cs="Arial"/>
                <w:sz w:val="18"/>
                <w:szCs w:val="18"/>
              </w:rPr>
            </w:pPr>
          </w:p>
        </w:tc>
        <w:tc>
          <w:tcPr>
            <w:tcW w:w="1637" w:type="dxa"/>
            <w:vAlign w:val="center"/>
          </w:tcPr>
          <w:p w14:paraId="354CA437" w14:textId="77777777" w:rsidR="00EC6F5F" w:rsidRPr="00AF778E" w:rsidRDefault="00EC6F5F" w:rsidP="002323A9">
            <w:pPr>
              <w:ind w:right="288"/>
              <w:jc w:val="right"/>
              <w:rPr>
                <w:rFonts w:ascii="Arial" w:hAnsi="Arial" w:cs="Arial"/>
                <w:sz w:val="18"/>
                <w:szCs w:val="18"/>
              </w:rPr>
            </w:pPr>
          </w:p>
        </w:tc>
      </w:tr>
      <w:tr w:rsidR="00E343B7" w:rsidRPr="00AF778E" w14:paraId="29F09E4A" w14:textId="77777777" w:rsidTr="00CB3554">
        <w:trPr>
          <w:trHeight w:val="216"/>
          <w:jc w:val="center"/>
        </w:trPr>
        <w:tc>
          <w:tcPr>
            <w:tcW w:w="4495" w:type="dxa"/>
            <w:vAlign w:val="center"/>
          </w:tcPr>
          <w:p w14:paraId="54F13FB5" w14:textId="77777777" w:rsidR="00E343B7" w:rsidRPr="00AF778E" w:rsidRDefault="00E343B7" w:rsidP="00314917">
            <w:pPr>
              <w:ind w:left="144"/>
              <w:rPr>
                <w:rFonts w:ascii="Arial" w:hAnsi="Arial" w:cs="Arial"/>
                <w:sz w:val="18"/>
                <w:szCs w:val="18"/>
              </w:rPr>
            </w:pPr>
            <w:r w:rsidRPr="00AF778E">
              <w:rPr>
                <w:rFonts w:ascii="Arial" w:hAnsi="Arial" w:cs="Arial"/>
                <w:sz w:val="18"/>
                <w:szCs w:val="18"/>
              </w:rPr>
              <w:t>2. INDUSTRY</w:t>
            </w:r>
          </w:p>
        </w:tc>
        <w:tc>
          <w:tcPr>
            <w:tcW w:w="1907" w:type="dxa"/>
            <w:vAlign w:val="center"/>
          </w:tcPr>
          <w:p w14:paraId="4625F5C5" w14:textId="77777777" w:rsidR="00E343B7" w:rsidRPr="00AF778E" w:rsidRDefault="00E343B7" w:rsidP="002323A9">
            <w:pPr>
              <w:ind w:right="288"/>
              <w:jc w:val="right"/>
              <w:rPr>
                <w:rFonts w:ascii="Arial" w:hAnsi="Arial" w:cs="Arial"/>
                <w:sz w:val="18"/>
                <w:szCs w:val="18"/>
              </w:rPr>
            </w:pPr>
          </w:p>
        </w:tc>
        <w:tc>
          <w:tcPr>
            <w:tcW w:w="1637" w:type="dxa"/>
            <w:vAlign w:val="center"/>
          </w:tcPr>
          <w:p w14:paraId="39525970" w14:textId="77777777" w:rsidR="00E343B7" w:rsidRPr="00AF778E" w:rsidRDefault="00E343B7" w:rsidP="002323A9">
            <w:pPr>
              <w:ind w:right="288"/>
              <w:jc w:val="right"/>
              <w:rPr>
                <w:rFonts w:ascii="Arial" w:hAnsi="Arial" w:cs="Arial"/>
                <w:sz w:val="18"/>
                <w:szCs w:val="18"/>
              </w:rPr>
            </w:pPr>
          </w:p>
        </w:tc>
        <w:tc>
          <w:tcPr>
            <w:tcW w:w="1637" w:type="dxa"/>
            <w:vAlign w:val="center"/>
          </w:tcPr>
          <w:p w14:paraId="273DF37B" w14:textId="77777777" w:rsidR="00E343B7" w:rsidRPr="00AF778E" w:rsidRDefault="00E343B7" w:rsidP="002323A9">
            <w:pPr>
              <w:ind w:right="288"/>
              <w:jc w:val="right"/>
              <w:rPr>
                <w:rFonts w:ascii="Arial" w:hAnsi="Arial" w:cs="Arial"/>
                <w:sz w:val="18"/>
                <w:szCs w:val="18"/>
              </w:rPr>
            </w:pPr>
          </w:p>
        </w:tc>
        <w:tc>
          <w:tcPr>
            <w:tcW w:w="1637" w:type="dxa"/>
            <w:vAlign w:val="center"/>
          </w:tcPr>
          <w:p w14:paraId="0EB28EB4" w14:textId="77777777" w:rsidR="00E343B7" w:rsidRPr="00AF778E" w:rsidRDefault="00E343B7" w:rsidP="002323A9">
            <w:pPr>
              <w:ind w:right="288"/>
              <w:jc w:val="right"/>
              <w:rPr>
                <w:rFonts w:ascii="Arial" w:hAnsi="Arial" w:cs="Arial"/>
                <w:sz w:val="18"/>
                <w:szCs w:val="18"/>
              </w:rPr>
            </w:pPr>
          </w:p>
        </w:tc>
        <w:tc>
          <w:tcPr>
            <w:tcW w:w="1637" w:type="dxa"/>
            <w:vAlign w:val="center"/>
          </w:tcPr>
          <w:p w14:paraId="73193AC5" w14:textId="77777777" w:rsidR="00E343B7" w:rsidRPr="00AF778E" w:rsidRDefault="00E343B7" w:rsidP="002323A9">
            <w:pPr>
              <w:ind w:right="288"/>
              <w:jc w:val="right"/>
              <w:rPr>
                <w:rFonts w:ascii="Arial" w:hAnsi="Arial" w:cs="Arial"/>
                <w:sz w:val="18"/>
                <w:szCs w:val="18"/>
              </w:rPr>
            </w:pPr>
          </w:p>
        </w:tc>
      </w:tr>
      <w:tr w:rsidR="00E343B7" w:rsidRPr="00AF778E" w14:paraId="63126A47" w14:textId="77777777" w:rsidTr="00CB3554">
        <w:trPr>
          <w:trHeight w:val="216"/>
          <w:jc w:val="center"/>
        </w:trPr>
        <w:tc>
          <w:tcPr>
            <w:tcW w:w="4495" w:type="dxa"/>
            <w:vAlign w:val="center"/>
          </w:tcPr>
          <w:p w14:paraId="0EF54724" w14:textId="77777777" w:rsidR="00E343B7" w:rsidRPr="00AF778E" w:rsidRDefault="00E343B7" w:rsidP="00314917">
            <w:pPr>
              <w:ind w:left="288"/>
              <w:rPr>
                <w:rFonts w:ascii="Arial" w:hAnsi="Arial" w:cs="Arial"/>
                <w:sz w:val="18"/>
                <w:szCs w:val="18"/>
              </w:rPr>
            </w:pPr>
            <w:r w:rsidRPr="00AF778E">
              <w:rPr>
                <w:rFonts w:ascii="Arial" w:hAnsi="Arial" w:cs="Arial"/>
                <w:sz w:val="18"/>
                <w:szCs w:val="18"/>
              </w:rPr>
              <w:t>a. PMI manufacturing (index)</w:t>
            </w:r>
          </w:p>
        </w:tc>
        <w:tc>
          <w:tcPr>
            <w:tcW w:w="1907" w:type="dxa"/>
            <w:vAlign w:val="center"/>
          </w:tcPr>
          <w:p w14:paraId="72B6E3C7" w14:textId="0097B40A"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52</w:t>
            </w:r>
            <w:r w:rsidR="002323A9">
              <w:rPr>
                <w:rFonts w:ascii="Arial" w:hAnsi="Arial" w:cs="Arial"/>
                <w:sz w:val="18"/>
                <w:szCs w:val="18"/>
              </w:rPr>
              <w:t>.0</w:t>
            </w:r>
          </w:p>
        </w:tc>
        <w:tc>
          <w:tcPr>
            <w:tcW w:w="1637" w:type="dxa"/>
            <w:vAlign w:val="center"/>
          </w:tcPr>
          <w:p w14:paraId="6D4D2FDE"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54.4</w:t>
            </w:r>
          </w:p>
        </w:tc>
        <w:tc>
          <w:tcPr>
            <w:tcW w:w="1637" w:type="dxa"/>
            <w:vAlign w:val="center"/>
          </w:tcPr>
          <w:p w14:paraId="45324B1D"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52.3</w:t>
            </w:r>
          </w:p>
        </w:tc>
        <w:tc>
          <w:tcPr>
            <w:tcW w:w="1637" w:type="dxa"/>
            <w:vAlign w:val="center"/>
          </w:tcPr>
          <w:p w14:paraId="35786DEE"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49.6</w:t>
            </w:r>
          </w:p>
        </w:tc>
        <w:tc>
          <w:tcPr>
            <w:tcW w:w="1637" w:type="dxa"/>
            <w:vAlign w:val="center"/>
          </w:tcPr>
          <w:p w14:paraId="681E077E"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50.4</w:t>
            </w:r>
          </w:p>
        </w:tc>
      </w:tr>
      <w:tr w:rsidR="00E343B7" w:rsidRPr="00AF778E" w14:paraId="22DFF2C2" w14:textId="77777777" w:rsidTr="00CB3554">
        <w:trPr>
          <w:trHeight w:val="216"/>
          <w:jc w:val="center"/>
        </w:trPr>
        <w:tc>
          <w:tcPr>
            <w:tcW w:w="4495" w:type="dxa"/>
            <w:vAlign w:val="center"/>
          </w:tcPr>
          <w:p w14:paraId="54840926" w14:textId="5EF68FF2" w:rsidR="00E343B7" w:rsidRPr="00AF778E" w:rsidRDefault="00E343B7" w:rsidP="00314917">
            <w:pPr>
              <w:ind w:left="288"/>
              <w:rPr>
                <w:rFonts w:ascii="Arial" w:hAnsi="Arial" w:cs="Arial"/>
                <w:sz w:val="18"/>
                <w:szCs w:val="18"/>
              </w:rPr>
            </w:pPr>
            <w:r w:rsidRPr="00AF778E">
              <w:rPr>
                <w:rFonts w:ascii="Arial" w:hAnsi="Arial" w:cs="Arial"/>
                <w:sz w:val="18"/>
                <w:szCs w:val="18"/>
              </w:rPr>
              <w:t xml:space="preserve">b. Index of </w:t>
            </w:r>
            <w:r w:rsidR="00202E1A" w:rsidRPr="00AF778E">
              <w:rPr>
                <w:rFonts w:ascii="Arial" w:hAnsi="Arial" w:cs="Arial"/>
                <w:sz w:val="18"/>
                <w:szCs w:val="18"/>
              </w:rPr>
              <w:t xml:space="preserve">industrial </w:t>
            </w:r>
            <w:r w:rsidRPr="00AF778E">
              <w:rPr>
                <w:rFonts w:ascii="Arial" w:hAnsi="Arial" w:cs="Arial"/>
                <w:sz w:val="18"/>
                <w:szCs w:val="18"/>
              </w:rPr>
              <w:t>production (IIP)</w:t>
            </w:r>
          </w:p>
        </w:tc>
        <w:tc>
          <w:tcPr>
            <w:tcW w:w="1907" w:type="dxa"/>
            <w:vAlign w:val="center"/>
          </w:tcPr>
          <w:p w14:paraId="685FCB19" w14:textId="5AC39120"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0.3</w:t>
            </w:r>
          </w:p>
        </w:tc>
        <w:tc>
          <w:tcPr>
            <w:tcW w:w="1637" w:type="dxa"/>
            <w:vAlign w:val="center"/>
          </w:tcPr>
          <w:p w14:paraId="3DFF652F" w14:textId="1BA35A42"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1.9</w:t>
            </w:r>
          </w:p>
        </w:tc>
        <w:tc>
          <w:tcPr>
            <w:tcW w:w="1637" w:type="dxa"/>
            <w:vAlign w:val="center"/>
          </w:tcPr>
          <w:p w14:paraId="09D99385"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5.7</w:t>
            </w:r>
          </w:p>
        </w:tc>
        <w:tc>
          <w:tcPr>
            <w:tcW w:w="1637" w:type="dxa"/>
            <w:vAlign w:val="center"/>
          </w:tcPr>
          <w:p w14:paraId="7AFD07D1" w14:textId="64CA6373"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0.1</w:t>
            </w:r>
          </w:p>
        </w:tc>
        <w:tc>
          <w:tcPr>
            <w:tcW w:w="1637" w:type="dxa"/>
            <w:vAlign w:val="center"/>
          </w:tcPr>
          <w:p w14:paraId="5821C719"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2.7</w:t>
            </w:r>
          </w:p>
        </w:tc>
      </w:tr>
      <w:tr w:rsidR="00E343B7" w:rsidRPr="00AF778E" w14:paraId="245C12F2" w14:textId="77777777" w:rsidTr="00CB3554">
        <w:trPr>
          <w:trHeight w:val="233"/>
          <w:jc w:val="center"/>
        </w:trPr>
        <w:tc>
          <w:tcPr>
            <w:tcW w:w="4495" w:type="dxa"/>
            <w:vAlign w:val="center"/>
          </w:tcPr>
          <w:p w14:paraId="0470CCCE" w14:textId="77777777" w:rsidR="00E343B7" w:rsidRPr="00AF778E" w:rsidRDefault="00E343B7" w:rsidP="00314917">
            <w:pPr>
              <w:ind w:left="432"/>
              <w:rPr>
                <w:rFonts w:ascii="Arial" w:hAnsi="Arial" w:cs="Arial"/>
                <w:sz w:val="18"/>
                <w:szCs w:val="18"/>
              </w:rPr>
            </w:pPr>
            <w:r w:rsidRPr="00AF778E">
              <w:rPr>
                <w:rFonts w:ascii="Arial" w:hAnsi="Arial" w:cs="Arial"/>
                <w:sz w:val="18"/>
                <w:szCs w:val="18"/>
              </w:rPr>
              <w:t>i. Mining</w:t>
            </w:r>
          </w:p>
        </w:tc>
        <w:tc>
          <w:tcPr>
            <w:tcW w:w="1907" w:type="dxa"/>
            <w:vAlign w:val="center"/>
          </w:tcPr>
          <w:p w14:paraId="766DA385" w14:textId="43562BF0"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0.2</w:t>
            </w:r>
          </w:p>
        </w:tc>
        <w:tc>
          <w:tcPr>
            <w:tcW w:w="1637" w:type="dxa"/>
            <w:vAlign w:val="center"/>
          </w:tcPr>
          <w:p w14:paraId="6727175B" w14:textId="5BE06503"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0.9</w:t>
            </w:r>
          </w:p>
        </w:tc>
        <w:tc>
          <w:tcPr>
            <w:tcW w:w="1637" w:type="dxa"/>
            <w:vAlign w:val="center"/>
          </w:tcPr>
          <w:p w14:paraId="61B7E994"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3.7</w:t>
            </w:r>
          </w:p>
        </w:tc>
        <w:tc>
          <w:tcPr>
            <w:tcW w:w="1637" w:type="dxa"/>
            <w:vAlign w:val="center"/>
          </w:tcPr>
          <w:p w14:paraId="6788C5B4"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5.5</w:t>
            </w:r>
          </w:p>
        </w:tc>
        <w:tc>
          <w:tcPr>
            <w:tcW w:w="1637" w:type="dxa"/>
            <w:vAlign w:val="center"/>
          </w:tcPr>
          <w:p w14:paraId="05157CA9"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5.3</w:t>
            </w:r>
          </w:p>
        </w:tc>
      </w:tr>
      <w:tr w:rsidR="00E343B7" w:rsidRPr="00AF778E" w14:paraId="1AAEBA25" w14:textId="77777777" w:rsidTr="00CB3554">
        <w:trPr>
          <w:trHeight w:val="216"/>
          <w:jc w:val="center"/>
        </w:trPr>
        <w:tc>
          <w:tcPr>
            <w:tcW w:w="4495" w:type="dxa"/>
            <w:vAlign w:val="center"/>
          </w:tcPr>
          <w:p w14:paraId="7B4FA68D" w14:textId="77777777" w:rsidR="00E343B7" w:rsidRPr="00AF778E" w:rsidRDefault="00E343B7" w:rsidP="00314917">
            <w:pPr>
              <w:ind w:left="432"/>
              <w:rPr>
                <w:rFonts w:ascii="Arial" w:hAnsi="Arial" w:cs="Arial"/>
                <w:sz w:val="18"/>
                <w:szCs w:val="18"/>
              </w:rPr>
            </w:pPr>
            <w:r w:rsidRPr="00AF778E">
              <w:rPr>
                <w:rFonts w:ascii="Arial" w:hAnsi="Arial" w:cs="Arial"/>
                <w:sz w:val="18"/>
                <w:szCs w:val="18"/>
              </w:rPr>
              <w:t>ii. Manufacturing</w:t>
            </w:r>
          </w:p>
        </w:tc>
        <w:tc>
          <w:tcPr>
            <w:tcW w:w="1907" w:type="dxa"/>
            <w:vAlign w:val="center"/>
          </w:tcPr>
          <w:p w14:paraId="39B56ADB" w14:textId="4A90013A"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1</w:t>
            </w:r>
            <w:r>
              <w:rPr>
                <w:rFonts w:ascii="Arial" w:hAnsi="Arial" w:cs="Arial"/>
                <w:sz w:val="18"/>
                <w:szCs w:val="18"/>
              </w:rPr>
              <w:t>.0</w:t>
            </w:r>
          </w:p>
        </w:tc>
        <w:tc>
          <w:tcPr>
            <w:tcW w:w="1637" w:type="dxa"/>
            <w:vAlign w:val="center"/>
          </w:tcPr>
          <w:p w14:paraId="7FD1224E" w14:textId="118BDF72"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2.4</w:t>
            </w:r>
          </w:p>
        </w:tc>
        <w:tc>
          <w:tcPr>
            <w:tcW w:w="1637" w:type="dxa"/>
            <w:vAlign w:val="center"/>
          </w:tcPr>
          <w:p w14:paraId="151E06DF"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5.5</w:t>
            </w:r>
          </w:p>
        </w:tc>
        <w:tc>
          <w:tcPr>
            <w:tcW w:w="1637" w:type="dxa"/>
            <w:vAlign w:val="center"/>
          </w:tcPr>
          <w:p w14:paraId="3BFA484B" w14:textId="3E07D5EE"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1.7</w:t>
            </w:r>
          </w:p>
        </w:tc>
        <w:tc>
          <w:tcPr>
            <w:tcW w:w="1637" w:type="dxa"/>
            <w:vAlign w:val="center"/>
          </w:tcPr>
          <w:p w14:paraId="0BB43054"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2.3</w:t>
            </w:r>
          </w:p>
        </w:tc>
      </w:tr>
      <w:tr w:rsidR="00E343B7" w:rsidRPr="00AF778E" w14:paraId="38CA2B17" w14:textId="77777777" w:rsidTr="00CB3554">
        <w:trPr>
          <w:trHeight w:val="216"/>
          <w:jc w:val="center"/>
        </w:trPr>
        <w:tc>
          <w:tcPr>
            <w:tcW w:w="4495" w:type="dxa"/>
            <w:vAlign w:val="center"/>
          </w:tcPr>
          <w:p w14:paraId="3C27D6B0" w14:textId="77777777" w:rsidR="00E343B7" w:rsidRPr="00AF778E" w:rsidRDefault="00E343B7" w:rsidP="00314917">
            <w:pPr>
              <w:ind w:left="432"/>
              <w:rPr>
                <w:rFonts w:ascii="Arial" w:hAnsi="Arial" w:cs="Arial"/>
                <w:sz w:val="18"/>
                <w:szCs w:val="18"/>
              </w:rPr>
            </w:pPr>
            <w:r w:rsidRPr="00AF778E">
              <w:rPr>
                <w:rFonts w:ascii="Arial" w:hAnsi="Arial" w:cs="Arial"/>
                <w:sz w:val="18"/>
                <w:szCs w:val="18"/>
              </w:rPr>
              <w:t>iii. Electricity</w:t>
            </w:r>
          </w:p>
        </w:tc>
        <w:tc>
          <w:tcPr>
            <w:tcW w:w="1907" w:type="dxa"/>
            <w:vAlign w:val="center"/>
          </w:tcPr>
          <w:p w14:paraId="5F63EF15"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4.5</w:t>
            </w:r>
          </w:p>
        </w:tc>
        <w:tc>
          <w:tcPr>
            <w:tcW w:w="1637" w:type="dxa"/>
            <w:vAlign w:val="center"/>
          </w:tcPr>
          <w:p w14:paraId="17D7EDF8"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1.1</w:t>
            </w:r>
          </w:p>
        </w:tc>
        <w:tc>
          <w:tcPr>
            <w:tcW w:w="1637" w:type="dxa"/>
            <w:vAlign w:val="center"/>
          </w:tcPr>
          <w:p w14:paraId="51D107CD"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8.9</w:t>
            </w:r>
          </w:p>
        </w:tc>
        <w:tc>
          <w:tcPr>
            <w:tcW w:w="1637" w:type="dxa"/>
            <w:vAlign w:val="center"/>
          </w:tcPr>
          <w:p w14:paraId="5B2532F7"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6.3</w:t>
            </w:r>
          </w:p>
        </w:tc>
        <w:tc>
          <w:tcPr>
            <w:tcW w:w="1637" w:type="dxa"/>
            <w:vAlign w:val="center"/>
          </w:tcPr>
          <w:p w14:paraId="3D21125C"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3.9</w:t>
            </w:r>
          </w:p>
        </w:tc>
      </w:tr>
      <w:tr w:rsidR="00E343B7" w:rsidRPr="00AF778E" w14:paraId="1EC3CE11" w14:textId="77777777" w:rsidTr="00CB3554">
        <w:trPr>
          <w:trHeight w:val="216"/>
          <w:jc w:val="center"/>
        </w:trPr>
        <w:tc>
          <w:tcPr>
            <w:tcW w:w="4495" w:type="dxa"/>
            <w:vAlign w:val="center"/>
          </w:tcPr>
          <w:p w14:paraId="3EE3D8C3" w14:textId="77777777" w:rsidR="00E343B7" w:rsidRPr="00AF778E" w:rsidRDefault="00E343B7" w:rsidP="00314917">
            <w:pPr>
              <w:ind w:left="144"/>
              <w:rPr>
                <w:rFonts w:ascii="Arial" w:hAnsi="Arial" w:cs="Arial"/>
                <w:sz w:val="18"/>
                <w:szCs w:val="18"/>
              </w:rPr>
            </w:pPr>
            <w:r w:rsidRPr="00AF778E">
              <w:rPr>
                <w:rFonts w:ascii="Arial" w:hAnsi="Arial" w:cs="Arial"/>
                <w:sz w:val="18"/>
                <w:szCs w:val="18"/>
              </w:rPr>
              <w:t>3. SERVICES</w:t>
            </w:r>
          </w:p>
        </w:tc>
        <w:tc>
          <w:tcPr>
            <w:tcW w:w="1907" w:type="dxa"/>
            <w:vAlign w:val="center"/>
          </w:tcPr>
          <w:p w14:paraId="45FF8EA6" w14:textId="77777777" w:rsidR="00E343B7" w:rsidRPr="00AF778E" w:rsidRDefault="00E343B7" w:rsidP="002323A9">
            <w:pPr>
              <w:ind w:right="288"/>
              <w:jc w:val="right"/>
              <w:rPr>
                <w:rFonts w:ascii="Arial" w:hAnsi="Arial" w:cs="Arial"/>
                <w:sz w:val="18"/>
                <w:szCs w:val="18"/>
              </w:rPr>
            </w:pPr>
          </w:p>
        </w:tc>
        <w:tc>
          <w:tcPr>
            <w:tcW w:w="1637" w:type="dxa"/>
            <w:vAlign w:val="center"/>
          </w:tcPr>
          <w:p w14:paraId="78106007" w14:textId="77777777" w:rsidR="00E343B7" w:rsidRPr="00AF778E" w:rsidRDefault="00E343B7" w:rsidP="002323A9">
            <w:pPr>
              <w:ind w:right="288"/>
              <w:jc w:val="right"/>
              <w:rPr>
                <w:rFonts w:ascii="Arial" w:hAnsi="Arial" w:cs="Arial"/>
                <w:sz w:val="18"/>
                <w:szCs w:val="18"/>
              </w:rPr>
            </w:pPr>
          </w:p>
        </w:tc>
        <w:tc>
          <w:tcPr>
            <w:tcW w:w="1637" w:type="dxa"/>
            <w:vAlign w:val="center"/>
          </w:tcPr>
          <w:p w14:paraId="2740D1B3" w14:textId="77777777" w:rsidR="00E343B7" w:rsidRPr="00AF778E" w:rsidRDefault="00E343B7" w:rsidP="002323A9">
            <w:pPr>
              <w:ind w:right="288"/>
              <w:jc w:val="right"/>
              <w:rPr>
                <w:rFonts w:ascii="Arial" w:hAnsi="Arial" w:cs="Arial"/>
                <w:sz w:val="18"/>
                <w:szCs w:val="18"/>
              </w:rPr>
            </w:pPr>
          </w:p>
        </w:tc>
        <w:tc>
          <w:tcPr>
            <w:tcW w:w="1637" w:type="dxa"/>
            <w:vAlign w:val="center"/>
          </w:tcPr>
          <w:p w14:paraId="7CB97BE4" w14:textId="77777777" w:rsidR="00E343B7" w:rsidRPr="00AF778E" w:rsidRDefault="00E343B7" w:rsidP="002323A9">
            <w:pPr>
              <w:ind w:right="288"/>
              <w:jc w:val="right"/>
              <w:rPr>
                <w:rFonts w:ascii="Arial" w:hAnsi="Arial" w:cs="Arial"/>
                <w:sz w:val="18"/>
                <w:szCs w:val="18"/>
              </w:rPr>
            </w:pPr>
          </w:p>
        </w:tc>
        <w:tc>
          <w:tcPr>
            <w:tcW w:w="1637" w:type="dxa"/>
            <w:vAlign w:val="center"/>
          </w:tcPr>
          <w:p w14:paraId="72D2DF0C" w14:textId="77777777" w:rsidR="00E343B7" w:rsidRPr="00AF778E" w:rsidRDefault="00E343B7" w:rsidP="002323A9">
            <w:pPr>
              <w:ind w:right="288"/>
              <w:jc w:val="right"/>
              <w:rPr>
                <w:rFonts w:ascii="Arial" w:hAnsi="Arial" w:cs="Arial"/>
                <w:sz w:val="18"/>
                <w:szCs w:val="18"/>
              </w:rPr>
            </w:pPr>
          </w:p>
        </w:tc>
      </w:tr>
      <w:tr w:rsidR="00E343B7" w:rsidRPr="00AF778E" w14:paraId="42E8E1E9" w14:textId="77777777" w:rsidTr="00CB3554">
        <w:trPr>
          <w:trHeight w:val="216"/>
          <w:jc w:val="center"/>
        </w:trPr>
        <w:tc>
          <w:tcPr>
            <w:tcW w:w="4495" w:type="dxa"/>
            <w:vAlign w:val="center"/>
          </w:tcPr>
          <w:p w14:paraId="58C51BA5" w14:textId="77777777" w:rsidR="00E343B7" w:rsidRPr="00AF778E" w:rsidRDefault="00E343B7" w:rsidP="00314917">
            <w:pPr>
              <w:ind w:left="432"/>
              <w:rPr>
                <w:rFonts w:ascii="Arial" w:hAnsi="Arial" w:cs="Arial"/>
                <w:sz w:val="18"/>
                <w:szCs w:val="18"/>
              </w:rPr>
            </w:pPr>
            <w:r w:rsidRPr="00AF778E">
              <w:rPr>
                <w:rFonts w:ascii="Arial" w:hAnsi="Arial" w:cs="Arial"/>
                <w:sz w:val="18"/>
                <w:szCs w:val="18"/>
              </w:rPr>
              <w:t>i. PMI services</w:t>
            </w:r>
          </w:p>
        </w:tc>
        <w:tc>
          <w:tcPr>
            <w:tcW w:w="1907" w:type="dxa"/>
            <w:vAlign w:val="center"/>
          </w:tcPr>
          <w:p w14:paraId="1CC26EFF"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52.6</w:t>
            </w:r>
          </w:p>
        </w:tc>
        <w:tc>
          <w:tcPr>
            <w:tcW w:w="1637" w:type="dxa"/>
            <w:vAlign w:val="center"/>
          </w:tcPr>
          <w:p w14:paraId="6A28EF3F"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54.5</w:t>
            </w:r>
          </w:p>
        </w:tc>
        <w:tc>
          <w:tcPr>
            <w:tcW w:w="1637" w:type="dxa"/>
            <w:vAlign w:val="center"/>
          </w:tcPr>
          <w:p w14:paraId="3F6F3015"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46.7</w:t>
            </w:r>
          </w:p>
        </w:tc>
        <w:tc>
          <w:tcPr>
            <w:tcW w:w="1637" w:type="dxa"/>
            <w:vAlign w:val="center"/>
          </w:tcPr>
          <w:p w14:paraId="27947A8F"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46.8</w:t>
            </w:r>
          </w:p>
        </w:tc>
        <w:tc>
          <w:tcPr>
            <w:tcW w:w="1637" w:type="dxa"/>
            <w:vAlign w:val="center"/>
          </w:tcPr>
          <w:p w14:paraId="062E8D21"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48.7</w:t>
            </w:r>
          </w:p>
        </w:tc>
      </w:tr>
      <w:tr w:rsidR="00E343B7" w:rsidRPr="00AF778E" w14:paraId="01A31001" w14:textId="77777777" w:rsidTr="00CB3554">
        <w:trPr>
          <w:trHeight w:val="216"/>
          <w:jc w:val="center"/>
        </w:trPr>
        <w:tc>
          <w:tcPr>
            <w:tcW w:w="4495" w:type="dxa"/>
            <w:vAlign w:val="center"/>
          </w:tcPr>
          <w:p w14:paraId="7B2F86F3" w14:textId="77777777" w:rsidR="00E343B7" w:rsidRPr="00AF778E" w:rsidRDefault="00E343B7" w:rsidP="00314917">
            <w:pPr>
              <w:ind w:left="432"/>
              <w:rPr>
                <w:rFonts w:ascii="Arial" w:hAnsi="Arial" w:cs="Arial"/>
                <w:sz w:val="18"/>
                <w:szCs w:val="18"/>
              </w:rPr>
            </w:pPr>
            <w:r w:rsidRPr="00AF778E">
              <w:rPr>
                <w:rFonts w:ascii="Arial" w:hAnsi="Arial" w:cs="Arial"/>
                <w:sz w:val="18"/>
                <w:szCs w:val="18"/>
              </w:rPr>
              <w:t>ii. Automobile sales</w:t>
            </w:r>
          </w:p>
        </w:tc>
        <w:tc>
          <w:tcPr>
            <w:tcW w:w="1907" w:type="dxa"/>
            <w:vAlign w:val="center"/>
          </w:tcPr>
          <w:p w14:paraId="69591A47" w14:textId="6C6A592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15</w:t>
            </w:r>
            <w:r w:rsidR="002323A9">
              <w:rPr>
                <w:rFonts w:ascii="Arial" w:hAnsi="Arial" w:cs="Arial"/>
                <w:sz w:val="18"/>
                <w:szCs w:val="18"/>
              </w:rPr>
              <w:t>.0</w:t>
            </w:r>
          </w:p>
        </w:tc>
        <w:tc>
          <w:tcPr>
            <w:tcW w:w="1637" w:type="dxa"/>
            <w:vAlign w:val="center"/>
          </w:tcPr>
          <w:p w14:paraId="1A51F554"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8.1</w:t>
            </w:r>
          </w:p>
        </w:tc>
        <w:tc>
          <w:tcPr>
            <w:tcW w:w="1637" w:type="dxa"/>
            <w:vAlign w:val="center"/>
          </w:tcPr>
          <w:p w14:paraId="553D61B2" w14:textId="4DA6EA2B"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5.5</w:t>
            </w:r>
          </w:p>
        </w:tc>
        <w:tc>
          <w:tcPr>
            <w:tcW w:w="1637" w:type="dxa"/>
            <w:vAlign w:val="center"/>
          </w:tcPr>
          <w:p w14:paraId="2ED9BCC3" w14:textId="1772643E"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18.7</w:t>
            </w:r>
          </w:p>
        </w:tc>
        <w:tc>
          <w:tcPr>
            <w:tcW w:w="1637" w:type="dxa"/>
            <w:vAlign w:val="center"/>
          </w:tcPr>
          <w:p w14:paraId="722B492C" w14:textId="1A7C523A"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4.7</w:t>
            </w:r>
          </w:p>
        </w:tc>
      </w:tr>
      <w:tr w:rsidR="00E343B7" w:rsidRPr="00AF778E" w14:paraId="775A97E4" w14:textId="77777777" w:rsidTr="00CB3554">
        <w:trPr>
          <w:trHeight w:val="216"/>
          <w:jc w:val="center"/>
        </w:trPr>
        <w:tc>
          <w:tcPr>
            <w:tcW w:w="4495" w:type="dxa"/>
            <w:vAlign w:val="center"/>
          </w:tcPr>
          <w:p w14:paraId="67A9A2F2" w14:textId="77777777" w:rsidR="00E343B7" w:rsidRPr="00AF778E" w:rsidRDefault="00E343B7" w:rsidP="00314917">
            <w:pPr>
              <w:ind w:left="432"/>
              <w:rPr>
                <w:rFonts w:ascii="Arial" w:hAnsi="Arial" w:cs="Arial"/>
                <w:sz w:val="18"/>
                <w:szCs w:val="18"/>
              </w:rPr>
            </w:pPr>
            <w:r w:rsidRPr="00AF778E">
              <w:rPr>
                <w:rFonts w:ascii="Arial" w:hAnsi="Arial" w:cs="Arial"/>
                <w:sz w:val="18"/>
                <w:szCs w:val="18"/>
              </w:rPr>
              <w:t>iii. Commercial vehicle sales</w:t>
            </w:r>
          </w:p>
        </w:tc>
        <w:tc>
          <w:tcPr>
            <w:tcW w:w="1907" w:type="dxa"/>
            <w:vAlign w:val="center"/>
          </w:tcPr>
          <w:p w14:paraId="71DCFAAC"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6.9</w:t>
            </w:r>
          </w:p>
        </w:tc>
        <w:tc>
          <w:tcPr>
            <w:tcW w:w="1637" w:type="dxa"/>
            <w:vAlign w:val="center"/>
          </w:tcPr>
          <w:p w14:paraId="45899F35"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11.9</w:t>
            </w:r>
          </w:p>
        </w:tc>
        <w:tc>
          <w:tcPr>
            <w:tcW w:w="1637" w:type="dxa"/>
            <w:vAlign w:val="center"/>
          </w:tcPr>
          <w:p w14:paraId="4BAD7E82" w14:textId="2E6B3B49"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11.6</w:t>
            </w:r>
          </w:p>
        </w:tc>
        <w:tc>
          <w:tcPr>
            <w:tcW w:w="1637" w:type="dxa"/>
            <w:vAlign w:val="center"/>
          </w:tcPr>
          <w:p w14:paraId="59DB1B4A" w14:textId="62CE2C8B"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5.1</w:t>
            </w:r>
          </w:p>
        </w:tc>
        <w:tc>
          <w:tcPr>
            <w:tcW w:w="1637" w:type="dxa"/>
            <w:vAlign w:val="center"/>
          </w:tcPr>
          <w:p w14:paraId="45B2CC76" w14:textId="1A8FC636"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0.7</w:t>
            </w:r>
          </w:p>
        </w:tc>
      </w:tr>
      <w:tr w:rsidR="00E343B7" w:rsidRPr="00AF778E" w14:paraId="19A14C63" w14:textId="77777777" w:rsidTr="00CB3554">
        <w:trPr>
          <w:trHeight w:val="216"/>
          <w:jc w:val="center"/>
        </w:trPr>
        <w:tc>
          <w:tcPr>
            <w:tcW w:w="4495" w:type="dxa"/>
            <w:vAlign w:val="center"/>
          </w:tcPr>
          <w:p w14:paraId="6981FB8A" w14:textId="77777777" w:rsidR="00E343B7" w:rsidRPr="00AF778E" w:rsidRDefault="00E343B7" w:rsidP="00314917">
            <w:pPr>
              <w:ind w:left="432"/>
              <w:rPr>
                <w:rFonts w:ascii="Arial" w:hAnsi="Arial" w:cs="Arial"/>
                <w:sz w:val="18"/>
                <w:szCs w:val="18"/>
              </w:rPr>
            </w:pPr>
            <w:r w:rsidRPr="00AF778E">
              <w:rPr>
                <w:rFonts w:ascii="Arial" w:hAnsi="Arial" w:cs="Arial"/>
                <w:sz w:val="18"/>
                <w:szCs w:val="18"/>
              </w:rPr>
              <w:t>iv. Passenger vehicle sales</w:t>
            </w:r>
          </w:p>
        </w:tc>
        <w:tc>
          <w:tcPr>
            <w:tcW w:w="1907" w:type="dxa"/>
            <w:vAlign w:val="center"/>
          </w:tcPr>
          <w:p w14:paraId="3A9BC4C2" w14:textId="13892F55"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11</w:t>
            </w:r>
            <w:r w:rsidR="002323A9">
              <w:rPr>
                <w:rFonts w:ascii="Arial" w:hAnsi="Arial" w:cs="Arial"/>
                <w:sz w:val="18"/>
                <w:szCs w:val="18"/>
              </w:rPr>
              <w:t>.0</w:t>
            </w:r>
          </w:p>
        </w:tc>
        <w:tc>
          <w:tcPr>
            <w:tcW w:w="1637" w:type="dxa"/>
            <w:vAlign w:val="center"/>
          </w:tcPr>
          <w:p w14:paraId="04D82856"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4.5</w:t>
            </w:r>
          </w:p>
        </w:tc>
        <w:tc>
          <w:tcPr>
            <w:tcW w:w="1637" w:type="dxa"/>
            <w:vAlign w:val="center"/>
          </w:tcPr>
          <w:p w14:paraId="73902742"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1.8</w:t>
            </w:r>
          </w:p>
        </w:tc>
        <w:tc>
          <w:tcPr>
            <w:tcW w:w="1637" w:type="dxa"/>
            <w:vAlign w:val="center"/>
          </w:tcPr>
          <w:p w14:paraId="7C3EFBC5" w14:textId="18B3C6CF"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1.4</w:t>
            </w:r>
          </w:p>
        </w:tc>
        <w:tc>
          <w:tcPr>
            <w:tcW w:w="1637" w:type="dxa"/>
            <w:vAlign w:val="center"/>
          </w:tcPr>
          <w:p w14:paraId="174DAAE2"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14.4</w:t>
            </w:r>
          </w:p>
        </w:tc>
      </w:tr>
      <w:tr w:rsidR="00E343B7" w:rsidRPr="00AF778E" w14:paraId="035C45D3" w14:textId="77777777" w:rsidTr="00CB3554">
        <w:trPr>
          <w:trHeight w:val="216"/>
          <w:jc w:val="center"/>
        </w:trPr>
        <w:tc>
          <w:tcPr>
            <w:tcW w:w="4495" w:type="dxa"/>
            <w:vAlign w:val="center"/>
          </w:tcPr>
          <w:p w14:paraId="5BFC32DA" w14:textId="43DEA7B9" w:rsidR="00E343B7" w:rsidRPr="00AF778E" w:rsidRDefault="00E343B7" w:rsidP="00314917">
            <w:pPr>
              <w:ind w:left="432"/>
              <w:rPr>
                <w:rFonts w:ascii="Arial" w:hAnsi="Arial" w:cs="Arial"/>
                <w:sz w:val="18"/>
                <w:szCs w:val="18"/>
              </w:rPr>
            </w:pPr>
            <w:r w:rsidRPr="00AF778E">
              <w:rPr>
                <w:rFonts w:ascii="Arial" w:hAnsi="Arial" w:cs="Arial"/>
                <w:sz w:val="18"/>
                <w:szCs w:val="18"/>
              </w:rPr>
              <w:t>v. Three</w:t>
            </w:r>
            <w:r w:rsidR="00202E1A">
              <w:rPr>
                <w:rFonts w:ascii="Arial" w:hAnsi="Arial" w:cs="Arial"/>
                <w:sz w:val="18"/>
                <w:szCs w:val="18"/>
              </w:rPr>
              <w:t>-</w:t>
            </w:r>
            <w:r w:rsidRPr="00AF778E">
              <w:rPr>
                <w:rFonts w:ascii="Arial" w:hAnsi="Arial" w:cs="Arial"/>
                <w:sz w:val="18"/>
                <w:szCs w:val="18"/>
              </w:rPr>
              <w:t>wheeler sales</w:t>
            </w:r>
          </w:p>
        </w:tc>
        <w:tc>
          <w:tcPr>
            <w:tcW w:w="1907" w:type="dxa"/>
            <w:vAlign w:val="center"/>
          </w:tcPr>
          <w:p w14:paraId="7537BA92"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11.8</w:t>
            </w:r>
          </w:p>
        </w:tc>
        <w:tc>
          <w:tcPr>
            <w:tcW w:w="1637" w:type="dxa"/>
            <w:vAlign w:val="center"/>
          </w:tcPr>
          <w:p w14:paraId="75FD6A06"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4.4</w:t>
            </w:r>
          </w:p>
        </w:tc>
        <w:tc>
          <w:tcPr>
            <w:tcW w:w="1637" w:type="dxa"/>
            <w:vAlign w:val="center"/>
          </w:tcPr>
          <w:p w14:paraId="15D9531B" w14:textId="4FD54AB5"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25.9</w:t>
            </w:r>
          </w:p>
        </w:tc>
        <w:tc>
          <w:tcPr>
            <w:tcW w:w="1637" w:type="dxa"/>
            <w:vAlign w:val="center"/>
          </w:tcPr>
          <w:p w14:paraId="4D55EE14" w14:textId="449FEE2D"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36.2</w:t>
            </w:r>
          </w:p>
        </w:tc>
        <w:tc>
          <w:tcPr>
            <w:tcW w:w="1637" w:type="dxa"/>
            <w:vAlign w:val="center"/>
          </w:tcPr>
          <w:p w14:paraId="749B42BD" w14:textId="468107D1"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28.2</w:t>
            </w:r>
          </w:p>
        </w:tc>
      </w:tr>
      <w:tr w:rsidR="00E343B7" w:rsidRPr="00AF778E" w14:paraId="379AC3B3" w14:textId="77777777" w:rsidTr="00CB3554">
        <w:trPr>
          <w:trHeight w:val="216"/>
          <w:jc w:val="center"/>
        </w:trPr>
        <w:tc>
          <w:tcPr>
            <w:tcW w:w="4495" w:type="dxa"/>
            <w:vAlign w:val="center"/>
          </w:tcPr>
          <w:p w14:paraId="05EF5831" w14:textId="5F15C41A" w:rsidR="00E343B7" w:rsidRPr="00AF778E" w:rsidRDefault="00E343B7" w:rsidP="00314917">
            <w:pPr>
              <w:ind w:left="432"/>
              <w:rPr>
                <w:rFonts w:ascii="Arial" w:hAnsi="Arial" w:cs="Arial"/>
                <w:sz w:val="18"/>
                <w:szCs w:val="18"/>
              </w:rPr>
            </w:pPr>
            <w:r w:rsidRPr="00AF778E">
              <w:rPr>
                <w:rFonts w:ascii="Arial" w:hAnsi="Arial" w:cs="Arial"/>
                <w:sz w:val="18"/>
                <w:szCs w:val="18"/>
              </w:rPr>
              <w:t>vi. Two</w:t>
            </w:r>
            <w:r w:rsidR="00202E1A">
              <w:rPr>
                <w:rFonts w:ascii="Arial" w:hAnsi="Arial" w:cs="Arial"/>
                <w:sz w:val="18"/>
                <w:szCs w:val="18"/>
              </w:rPr>
              <w:t>-</w:t>
            </w:r>
            <w:r w:rsidRPr="00AF778E">
              <w:rPr>
                <w:rFonts w:ascii="Arial" w:hAnsi="Arial" w:cs="Arial"/>
                <w:sz w:val="18"/>
                <w:szCs w:val="18"/>
              </w:rPr>
              <w:t>wheeler sales</w:t>
            </w:r>
          </w:p>
        </w:tc>
        <w:tc>
          <w:tcPr>
            <w:tcW w:w="1907" w:type="dxa"/>
            <w:vAlign w:val="center"/>
          </w:tcPr>
          <w:p w14:paraId="4A170D8B" w14:textId="5818DA74"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16</w:t>
            </w:r>
            <w:r w:rsidR="002323A9">
              <w:rPr>
                <w:rFonts w:ascii="Arial" w:hAnsi="Arial" w:cs="Arial"/>
                <w:sz w:val="18"/>
                <w:szCs w:val="18"/>
              </w:rPr>
              <w:t>.0</w:t>
            </w:r>
          </w:p>
        </w:tc>
        <w:tc>
          <w:tcPr>
            <w:tcW w:w="1637" w:type="dxa"/>
            <w:vAlign w:val="center"/>
          </w:tcPr>
          <w:p w14:paraId="716F5ABF"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8.7</w:t>
            </w:r>
          </w:p>
        </w:tc>
        <w:tc>
          <w:tcPr>
            <w:tcW w:w="1637" w:type="dxa"/>
            <w:vAlign w:val="center"/>
          </w:tcPr>
          <w:p w14:paraId="57F935A4" w14:textId="6110F7DA"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5.9</w:t>
            </w:r>
          </w:p>
        </w:tc>
        <w:tc>
          <w:tcPr>
            <w:tcW w:w="1637" w:type="dxa"/>
            <w:vAlign w:val="center"/>
          </w:tcPr>
          <w:p w14:paraId="0E8BAFEB" w14:textId="6301614D"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22</w:t>
            </w:r>
            <w:r>
              <w:rPr>
                <w:rFonts w:ascii="Arial" w:hAnsi="Arial" w:cs="Arial"/>
                <w:sz w:val="18"/>
                <w:szCs w:val="18"/>
              </w:rPr>
              <w:t>.0</w:t>
            </w:r>
          </w:p>
        </w:tc>
        <w:tc>
          <w:tcPr>
            <w:tcW w:w="1637" w:type="dxa"/>
            <w:vAlign w:val="center"/>
          </w:tcPr>
          <w:p w14:paraId="1FE88DF5" w14:textId="46FEB185"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7.4</w:t>
            </w:r>
          </w:p>
        </w:tc>
      </w:tr>
      <w:tr w:rsidR="00E343B7" w:rsidRPr="00AF778E" w14:paraId="26E7006F" w14:textId="77777777" w:rsidTr="00CB3554">
        <w:trPr>
          <w:trHeight w:val="216"/>
          <w:jc w:val="center"/>
        </w:trPr>
        <w:tc>
          <w:tcPr>
            <w:tcW w:w="4495" w:type="dxa"/>
            <w:vAlign w:val="center"/>
          </w:tcPr>
          <w:p w14:paraId="47527FBF" w14:textId="77777777" w:rsidR="00E343B7" w:rsidRPr="00AF778E" w:rsidRDefault="00E343B7" w:rsidP="00314917">
            <w:pPr>
              <w:ind w:left="432"/>
              <w:rPr>
                <w:rFonts w:ascii="Arial" w:hAnsi="Arial" w:cs="Arial"/>
                <w:sz w:val="18"/>
                <w:szCs w:val="18"/>
              </w:rPr>
            </w:pPr>
            <w:r w:rsidRPr="00AF778E">
              <w:rPr>
                <w:rFonts w:ascii="Arial" w:hAnsi="Arial" w:cs="Arial"/>
                <w:sz w:val="18"/>
                <w:szCs w:val="18"/>
              </w:rPr>
              <w:t>vii. Cargo handled at major ports</w:t>
            </w:r>
          </w:p>
        </w:tc>
        <w:tc>
          <w:tcPr>
            <w:tcW w:w="1907" w:type="dxa"/>
            <w:vAlign w:val="center"/>
          </w:tcPr>
          <w:p w14:paraId="42FB946F"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6.3</w:t>
            </w:r>
          </w:p>
        </w:tc>
        <w:tc>
          <w:tcPr>
            <w:tcW w:w="1637" w:type="dxa"/>
            <w:vAlign w:val="center"/>
          </w:tcPr>
          <w:p w14:paraId="487A3C31"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13.2</w:t>
            </w:r>
          </w:p>
        </w:tc>
        <w:tc>
          <w:tcPr>
            <w:tcW w:w="1637" w:type="dxa"/>
            <w:vAlign w:val="center"/>
          </w:tcPr>
          <w:p w14:paraId="146403C9"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10.2</w:t>
            </w:r>
          </w:p>
        </w:tc>
        <w:tc>
          <w:tcPr>
            <w:tcW w:w="1637" w:type="dxa"/>
            <w:vAlign w:val="center"/>
          </w:tcPr>
          <w:p w14:paraId="5BF203A5"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12.9</w:t>
            </w:r>
          </w:p>
        </w:tc>
        <w:tc>
          <w:tcPr>
            <w:tcW w:w="1637" w:type="dxa"/>
            <w:vAlign w:val="center"/>
          </w:tcPr>
          <w:p w14:paraId="6E82B1AC"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3.6</w:t>
            </w:r>
          </w:p>
        </w:tc>
      </w:tr>
      <w:tr w:rsidR="00E343B7" w:rsidRPr="00AF778E" w14:paraId="7D6501E9" w14:textId="77777777" w:rsidTr="00CB3554">
        <w:trPr>
          <w:trHeight w:val="216"/>
          <w:jc w:val="center"/>
        </w:trPr>
        <w:tc>
          <w:tcPr>
            <w:tcW w:w="4495" w:type="dxa"/>
            <w:vAlign w:val="center"/>
          </w:tcPr>
          <w:p w14:paraId="07085A00" w14:textId="77777777" w:rsidR="00E343B7" w:rsidRPr="00AF778E" w:rsidRDefault="00E343B7" w:rsidP="00314917">
            <w:pPr>
              <w:ind w:left="432"/>
              <w:rPr>
                <w:rFonts w:ascii="Arial" w:hAnsi="Arial" w:cs="Arial"/>
                <w:sz w:val="18"/>
                <w:szCs w:val="18"/>
              </w:rPr>
            </w:pPr>
            <w:r w:rsidRPr="00AF778E">
              <w:rPr>
                <w:rFonts w:ascii="Arial" w:hAnsi="Arial" w:cs="Arial"/>
                <w:sz w:val="18"/>
                <w:szCs w:val="18"/>
              </w:rPr>
              <w:t>viii. Railway freight traffic</w:t>
            </w:r>
          </w:p>
        </w:tc>
        <w:tc>
          <w:tcPr>
            <w:tcW w:w="1907" w:type="dxa"/>
            <w:vAlign w:val="center"/>
          </w:tcPr>
          <w:p w14:paraId="667163E6" w14:textId="33ED2065"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1.7</w:t>
            </w:r>
          </w:p>
        </w:tc>
        <w:tc>
          <w:tcPr>
            <w:tcW w:w="1637" w:type="dxa"/>
            <w:vAlign w:val="center"/>
          </w:tcPr>
          <w:p w14:paraId="27126DB6" w14:textId="2B009DCE"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2.6</w:t>
            </w:r>
          </w:p>
        </w:tc>
        <w:tc>
          <w:tcPr>
            <w:tcW w:w="1637" w:type="dxa"/>
            <w:vAlign w:val="center"/>
          </w:tcPr>
          <w:p w14:paraId="09079BF6"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5.5</w:t>
            </w:r>
          </w:p>
        </w:tc>
        <w:tc>
          <w:tcPr>
            <w:tcW w:w="1637" w:type="dxa"/>
            <w:vAlign w:val="center"/>
          </w:tcPr>
          <w:p w14:paraId="03F6F2BB" w14:textId="51B2BCE1"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0.1</w:t>
            </w:r>
          </w:p>
        </w:tc>
        <w:tc>
          <w:tcPr>
            <w:tcW w:w="1637" w:type="dxa"/>
            <w:vAlign w:val="center"/>
          </w:tcPr>
          <w:p w14:paraId="33CA928D"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0.3</w:t>
            </w:r>
          </w:p>
        </w:tc>
      </w:tr>
      <w:tr w:rsidR="00E343B7" w:rsidRPr="00AF778E" w14:paraId="173728F3" w14:textId="77777777" w:rsidTr="00CB3554">
        <w:trPr>
          <w:trHeight w:val="216"/>
          <w:jc w:val="center"/>
        </w:trPr>
        <w:tc>
          <w:tcPr>
            <w:tcW w:w="4495" w:type="dxa"/>
            <w:vAlign w:val="center"/>
          </w:tcPr>
          <w:p w14:paraId="27074DEB" w14:textId="77777777" w:rsidR="00E343B7" w:rsidRPr="00AF778E" w:rsidRDefault="00E343B7" w:rsidP="00314917">
            <w:pPr>
              <w:ind w:left="432"/>
              <w:rPr>
                <w:rFonts w:ascii="Arial" w:hAnsi="Arial" w:cs="Arial"/>
                <w:sz w:val="18"/>
                <w:szCs w:val="18"/>
              </w:rPr>
            </w:pPr>
            <w:r w:rsidRPr="00AF778E">
              <w:rPr>
                <w:rFonts w:ascii="Arial" w:hAnsi="Arial" w:cs="Arial"/>
                <w:sz w:val="18"/>
                <w:szCs w:val="18"/>
              </w:rPr>
              <w:t>ix. Tourist arrivals</w:t>
            </w:r>
          </w:p>
        </w:tc>
        <w:tc>
          <w:tcPr>
            <w:tcW w:w="1907" w:type="dxa"/>
            <w:vAlign w:val="center"/>
          </w:tcPr>
          <w:p w14:paraId="5E44F707"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10.8</w:t>
            </w:r>
          </w:p>
        </w:tc>
        <w:tc>
          <w:tcPr>
            <w:tcW w:w="1637" w:type="dxa"/>
            <w:vAlign w:val="center"/>
          </w:tcPr>
          <w:p w14:paraId="16C5AC66"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10.4</w:t>
            </w:r>
          </w:p>
        </w:tc>
        <w:tc>
          <w:tcPr>
            <w:tcW w:w="1637" w:type="dxa"/>
            <w:vAlign w:val="center"/>
          </w:tcPr>
          <w:p w14:paraId="38738B43"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9.2</w:t>
            </w:r>
          </w:p>
        </w:tc>
        <w:tc>
          <w:tcPr>
            <w:tcW w:w="1637" w:type="dxa"/>
            <w:vAlign w:val="center"/>
          </w:tcPr>
          <w:p w14:paraId="43B26ABF"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13.6</w:t>
            </w:r>
          </w:p>
        </w:tc>
        <w:tc>
          <w:tcPr>
            <w:tcW w:w="1637" w:type="dxa"/>
            <w:vAlign w:val="center"/>
          </w:tcPr>
          <w:p w14:paraId="2EB60052"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16.4</w:t>
            </w:r>
          </w:p>
        </w:tc>
      </w:tr>
      <w:tr w:rsidR="00E343B7" w:rsidRPr="00AF778E" w14:paraId="30509E06" w14:textId="77777777" w:rsidTr="00CB3554">
        <w:trPr>
          <w:trHeight w:val="216"/>
          <w:jc w:val="center"/>
        </w:trPr>
        <w:tc>
          <w:tcPr>
            <w:tcW w:w="4495" w:type="dxa"/>
            <w:vAlign w:val="center"/>
          </w:tcPr>
          <w:p w14:paraId="3A2ABFFB" w14:textId="77777777" w:rsidR="00E343B7" w:rsidRPr="00AF778E" w:rsidRDefault="00E343B7" w:rsidP="00314917">
            <w:pPr>
              <w:ind w:left="432"/>
              <w:rPr>
                <w:rFonts w:ascii="Arial" w:hAnsi="Arial" w:cs="Arial"/>
                <w:sz w:val="18"/>
                <w:szCs w:val="18"/>
              </w:rPr>
            </w:pPr>
            <w:r w:rsidRPr="00AF778E">
              <w:rPr>
                <w:rFonts w:ascii="Arial" w:hAnsi="Arial" w:cs="Arial"/>
                <w:sz w:val="18"/>
                <w:szCs w:val="18"/>
              </w:rPr>
              <w:t>x. Cement production</w:t>
            </w:r>
          </w:p>
        </w:tc>
        <w:tc>
          <w:tcPr>
            <w:tcW w:w="1907" w:type="dxa"/>
            <w:vAlign w:val="center"/>
          </w:tcPr>
          <w:p w14:paraId="1513C186"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4.8</w:t>
            </w:r>
          </w:p>
        </w:tc>
        <w:tc>
          <w:tcPr>
            <w:tcW w:w="1637" w:type="dxa"/>
            <w:vAlign w:val="center"/>
          </w:tcPr>
          <w:p w14:paraId="31F3F424"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6.2</w:t>
            </w:r>
          </w:p>
        </w:tc>
        <w:tc>
          <w:tcPr>
            <w:tcW w:w="1637" w:type="dxa"/>
            <w:vAlign w:val="center"/>
          </w:tcPr>
          <w:p w14:paraId="76E9E756"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0.5</w:t>
            </w:r>
          </w:p>
        </w:tc>
        <w:tc>
          <w:tcPr>
            <w:tcW w:w="1637" w:type="dxa"/>
            <w:vAlign w:val="center"/>
          </w:tcPr>
          <w:p w14:paraId="065CBB6B" w14:textId="5104E3CC"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8.7</w:t>
            </w:r>
          </w:p>
        </w:tc>
        <w:tc>
          <w:tcPr>
            <w:tcW w:w="1637" w:type="dxa"/>
            <w:vAlign w:val="center"/>
          </w:tcPr>
          <w:p w14:paraId="2E8E9E03" w14:textId="43A3DDB4"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13.3</w:t>
            </w:r>
          </w:p>
        </w:tc>
      </w:tr>
      <w:tr w:rsidR="00E343B7" w:rsidRPr="00AF778E" w14:paraId="7EB3B753" w14:textId="77777777" w:rsidTr="00CB3554">
        <w:trPr>
          <w:trHeight w:val="216"/>
          <w:jc w:val="center"/>
        </w:trPr>
        <w:tc>
          <w:tcPr>
            <w:tcW w:w="4495" w:type="dxa"/>
            <w:vAlign w:val="center"/>
          </w:tcPr>
          <w:p w14:paraId="1FCB2A38" w14:textId="77777777" w:rsidR="00E343B7" w:rsidRPr="00AF778E" w:rsidRDefault="00E343B7" w:rsidP="00314917">
            <w:pPr>
              <w:ind w:left="432"/>
              <w:rPr>
                <w:rFonts w:ascii="Arial" w:hAnsi="Arial" w:cs="Arial"/>
                <w:sz w:val="18"/>
                <w:szCs w:val="18"/>
              </w:rPr>
            </w:pPr>
            <w:r w:rsidRPr="00AF778E">
              <w:rPr>
                <w:rFonts w:ascii="Arial" w:hAnsi="Arial" w:cs="Arial"/>
                <w:sz w:val="18"/>
                <w:szCs w:val="18"/>
              </w:rPr>
              <w:t>xi. Steel consumption</w:t>
            </w:r>
          </w:p>
        </w:tc>
        <w:tc>
          <w:tcPr>
            <w:tcW w:w="1907" w:type="dxa"/>
            <w:vAlign w:val="center"/>
          </w:tcPr>
          <w:p w14:paraId="501F583F"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2.7</w:t>
            </w:r>
          </w:p>
        </w:tc>
        <w:tc>
          <w:tcPr>
            <w:tcW w:w="1637" w:type="dxa"/>
            <w:vAlign w:val="center"/>
          </w:tcPr>
          <w:p w14:paraId="5D8941AD"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0.3</w:t>
            </w:r>
          </w:p>
        </w:tc>
        <w:tc>
          <w:tcPr>
            <w:tcW w:w="1637" w:type="dxa"/>
            <w:vAlign w:val="center"/>
          </w:tcPr>
          <w:p w14:paraId="75A96D0D" w14:textId="218C92A2"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5</w:t>
            </w:r>
            <w:r w:rsidR="002323A9">
              <w:rPr>
                <w:rFonts w:ascii="Arial" w:hAnsi="Arial" w:cs="Arial"/>
                <w:sz w:val="18"/>
                <w:szCs w:val="18"/>
              </w:rPr>
              <w:t>.0</w:t>
            </w:r>
          </w:p>
        </w:tc>
        <w:tc>
          <w:tcPr>
            <w:tcW w:w="1637" w:type="dxa"/>
            <w:vAlign w:val="center"/>
          </w:tcPr>
          <w:p w14:paraId="7FC97871"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5.3</w:t>
            </w:r>
          </w:p>
        </w:tc>
        <w:tc>
          <w:tcPr>
            <w:tcW w:w="1637" w:type="dxa"/>
            <w:vAlign w:val="center"/>
          </w:tcPr>
          <w:p w14:paraId="6F1E7677"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3.1</w:t>
            </w:r>
          </w:p>
        </w:tc>
      </w:tr>
      <w:tr w:rsidR="00E343B7" w:rsidRPr="00AF778E" w14:paraId="3ACFE9FB" w14:textId="77777777" w:rsidTr="00CB3554">
        <w:trPr>
          <w:trHeight w:val="216"/>
          <w:jc w:val="center"/>
        </w:trPr>
        <w:tc>
          <w:tcPr>
            <w:tcW w:w="4495" w:type="dxa"/>
            <w:vAlign w:val="center"/>
          </w:tcPr>
          <w:p w14:paraId="4F8CF458" w14:textId="77777777" w:rsidR="00E343B7" w:rsidRPr="00AF778E" w:rsidRDefault="00E343B7" w:rsidP="00314917">
            <w:pPr>
              <w:ind w:left="432"/>
              <w:rPr>
                <w:rFonts w:ascii="Arial" w:hAnsi="Arial" w:cs="Arial"/>
                <w:sz w:val="18"/>
                <w:szCs w:val="18"/>
              </w:rPr>
            </w:pPr>
            <w:r w:rsidRPr="00AF778E">
              <w:rPr>
                <w:rFonts w:ascii="Arial" w:hAnsi="Arial" w:cs="Arial"/>
                <w:sz w:val="18"/>
                <w:szCs w:val="18"/>
              </w:rPr>
              <w:t>xii. Civil aviation: domestic passenger traffic</w:t>
            </w:r>
          </w:p>
        </w:tc>
        <w:tc>
          <w:tcPr>
            <w:tcW w:w="1907" w:type="dxa"/>
            <w:vAlign w:val="center"/>
          </w:tcPr>
          <w:p w14:paraId="6D86C449"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22.5</w:t>
            </w:r>
          </w:p>
        </w:tc>
        <w:tc>
          <w:tcPr>
            <w:tcW w:w="1637" w:type="dxa"/>
            <w:vAlign w:val="center"/>
          </w:tcPr>
          <w:p w14:paraId="66250912"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23.6</w:t>
            </w:r>
          </w:p>
        </w:tc>
        <w:tc>
          <w:tcPr>
            <w:tcW w:w="1637" w:type="dxa"/>
            <w:vAlign w:val="center"/>
          </w:tcPr>
          <w:p w14:paraId="35D9EEC0" w14:textId="106EE91B"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22</w:t>
            </w:r>
            <w:r w:rsidR="002323A9">
              <w:rPr>
                <w:rFonts w:ascii="Arial" w:hAnsi="Arial" w:cs="Arial"/>
                <w:sz w:val="18"/>
                <w:szCs w:val="18"/>
              </w:rPr>
              <w:t>.0</w:t>
            </w:r>
          </w:p>
        </w:tc>
        <w:tc>
          <w:tcPr>
            <w:tcW w:w="1637" w:type="dxa"/>
            <w:vAlign w:val="center"/>
          </w:tcPr>
          <w:p w14:paraId="04A91538"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23.9</w:t>
            </w:r>
          </w:p>
        </w:tc>
        <w:tc>
          <w:tcPr>
            <w:tcW w:w="1637" w:type="dxa"/>
            <w:vAlign w:val="center"/>
          </w:tcPr>
          <w:p w14:paraId="659FB42C"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25.6</w:t>
            </w:r>
          </w:p>
        </w:tc>
      </w:tr>
      <w:tr w:rsidR="00E343B7" w:rsidRPr="00AF778E" w14:paraId="5584431F" w14:textId="77777777" w:rsidTr="00CB3554">
        <w:trPr>
          <w:trHeight w:val="216"/>
          <w:jc w:val="center"/>
        </w:trPr>
        <w:tc>
          <w:tcPr>
            <w:tcW w:w="4495" w:type="dxa"/>
            <w:vAlign w:val="center"/>
          </w:tcPr>
          <w:p w14:paraId="55500E89" w14:textId="77777777" w:rsidR="00E343B7" w:rsidRPr="00AF778E" w:rsidRDefault="00E343B7" w:rsidP="00314917">
            <w:pPr>
              <w:ind w:left="432"/>
              <w:rPr>
                <w:rFonts w:ascii="Arial" w:hAnsi="Arial" w:cs="Arial"/>
                <w:sz w:val="18"/>
                <w:szCs w:val="18"/>
              </w:rPr>
            </w:pPr>
            <w:r w:rsidRPr="00AF778E">
              <w:rPr>
                <w:rFonts w:ascii="Arial" w:hAnsi="Arial" w:cs="Arial"/>
                <w:sz w:val="18"/>
                <w:szCs w:val="18"/>
              </w:rPr>
              <w:t>xiii. Bank deposits growth</w:t>
            </w:r>
          </w:p>
        </w:tc>
        <w:tc>
          <w:tcPr>
            <w:tcW w:w="1907" w:type="dxa"/>
            <w:vAlign w:val="center"/>
          </w:tcPr>
          <w:p w14:paraId="7B4A7B20"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6.4</w:t>
            </w:r>
          </w:p>
        </w:tc>
        <w:tc>
          <w:tcPr>
            <w:tcW w:w="1637" w:type="dxa"/>
            <w:vAlign w:val="center"/>
          </w:tcPr>
          <w:p w14:paraId="73628743"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9.3</w:t>
            </w:r>
          </w:p>
        </w:tc>
        <w:tc>
          <w:tcPr>
            <w:tcW w:w="1637" w:type="dxa"/>
            <w:vAlign w:val="center"/>
          </w:tcPr>
          <w:p w14:paraId="25EC134C"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15.7</w:t>
            </w:r>
          </w:p>
        </w:tc>
        <w:tc>
          <w:tcPr>
            <w:tcW w:w="1637" w:type="dxa"/>
            <w:vAlign w:val="center"/>
          </w:tcPr>
          <w:p w14:paraId="6CAD0B1F"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14.9</w:t>
            </w:r>
          </w:p>
        </w:tc>
        <w:tc>
          <w:tcPr>
            <w:tcW w:w="1637" w:type="dxa"/>
            <w:vAlign w:val="center"/>
          </w:tcPr>
          <w:p w14:paraId="45908D29"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13.5</w:t>
            </w:r>
          </w:p>
        </w:tc>
      </w:tr>
      <w:tr w:rsidR="00E343B7" w:rsidRPr="00AF778E" w14:paraId="39BC8C6D" w14:textId="77777777" w:rsidTr="00CB3554">
        <w:trPr>
          <w:trHeight w:val="216"/>
          <w:jc w:val="center"/>
        </w:trPr>
        <w:tc>
          <w:tcPr>
            <w:tcW w:w="4495" w:type="dxa"/>
            <w:vAlign w:val="center"/>
          </w:tcPr>
          <w:p w14:paraId="4E0FE550" w14:textId="77777777" w:rsidR="00E343B7" w:rsidRPr="00AF778E" w:rsidRDefault="00E343B7" w:rsidP="00314917">
            <w:pPr>
              <w:ind w:left="432"/>
              <w:rPr>
                <w:rFonts w:ascii="Arial" w:hAnsi="Arial" w:cs="Arial"/>
                <w:sz w:val="18"/>
                <w:szCs w:val="18"/>
              </w:rPr>
            </w:pPr>
            <w:r w:rsidRPr="00AF778E">
              <w:rPr>
                <w:rFonts w:ascii="Arial" w:hAnsi="Arial" w:cs="Arial"/>
                <w:sz w:val="18"/>
                <w:szCs w:val="18"/>
              </w:rPr>
              <w:t>xiv. Insurance premium</w:t>
            </w:r>
          </w:p>
        </w:tc>
        <w:tc>
          <w:tcPr>
            <w:tcW w:w="1907" w:type="dxa"/>
            <w:vAlign w:val="center"/>
          </w:tcPr>
          <w:p w14:paraId="52DCFADD"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31.1</w:t>
            </w:r>
          </w:p>
        </w:tc>
        <w:tc>
          <w:tcPr>
            <w:tcW w:w="1637" w:type="dxa"/>
            <w:vAlign w:val="center"/>
          </w:tcPr>
          <w:p w14:paraId="0290D119"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22.4</w:t>
            </w:r>
          </w:p>
        </w:tc>
        <w:tc>
          <w:tcPr>
            <w:tcW w:w="1637" w:type="dxa"/>
            <w:vAlign w:val="center"/>
          </w:tcPr>
          <w:p w14:paraId="08B25346"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72.1</w:t>
            </w:r>
          </w:p>
        </w:tc>
        <w:tc>
          <w:tcPr>
            <w:tcW w:w="1637" w:type="dxa"/>
            <w:vAlign w:val="center"/>
          </w:tcPr>
          <w:p w14:paraId="3C3157D5"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21.1</w:t>
            </w:r>
          </w:p>
        </w:tc>
        <w:tc>
          <w:tcPr>
            <w:tcW w:w="1637" w:type="dxa"/>
            <w:vAlign w:val="center"/>
          </w:tcPr>
          <w:p w14:paraId="4C036813"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32.1</w:t>
            </w:r>
          </w:p>
        </w:tc>
      </w:tr>
      <w:tr w:rsidR="00E343B7" w:rsidRPr="00AF778E" w14:paraId="3FBA4AD8" w14:textId="77777777" w:rsidTr="00CB3554">
        <w:trPr>
          <w:trHeight w:val="216"/>
          <w:jc w:val="center"/>
        </w:trPr>
        <w:tc>
          <w:tcPr>
            <w:tcW w:w="4495" w:type="dxa"/>
            <w:vAlign w:val="center"/>
          </w:tcPr>
          <w:p w14:paraId="1163FE2D" w14:textId="77777777" w:rsidR="00E343B7" w:rsidRPr="00AF778E" w:rsidRDefault="00E343B7" w:rsidP="00314917">
            <w:pPr>
              <w:ind w:left="432"/>
              <w:rPr>
                <w:rFonts w:ascii="Arial" w:hAnsi="Arial" w:cs="Arial"/>
                <w:sz w:val="18"/>
                <w:szCs w:val="18"/>
              </w:rPr>
            </w:pPr>
            <w:r w:rsidRPr="00AF778E">
              <w:rPr>
                <w:rFonts w:ascii="Arial" w:hAnsi="Arial" w:cs="Arial"/>
                <w:sz w:val="18"/>
                <w:szCs w:val="18"/>
              </w:rPr>
              <w:t>xv. Merchandise exports</w:t>
            </w:r>
          </w:p>
        </w:tc>
        <w:tc>
          <w:tcPr>
            <w:tcW w:w="1907" w:type="dxa"/>
            <w:vAlign w:val="center"/>
          </w:tcPr>
          <w:p w14:paraId="441AD040"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0.2</w:t>
            </w:r>
          </w:p>
        </w:tc>
        <w:tc>
          <w:tcPr>
            <w:tcW w:w="1637" w:type="dxa"/>
            <w:vAlign w:val="center"/>
          </w:tcPr>
          <w:p w14:paraId="53B4012A" w14:textId="3DBE7C52"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9</w:t>
            </w:r>
            <w:r w:rsidR="002323A9">
              <w:rPr>
                <w:rFonts w:ascii="Arial" w:hAnsi="Arial" w:cs="Arial"/>
                <w:sz w:val="18"/>
                <w:szCs w:val="18"/>
              </w:rPr>
              <w:t>.0</w:t>
            </w:r>
          </w:p>
        </w:tc>
        <w:tc>
          <w:tcPr>
            <w:tcW w:w="1637" w:type="dxa"/>
            <w:vAlign w:val="center"/>
          </w:tcPr>
          <w:p w14:paraId="3B9D80E6"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2.4</w:t>
            </w:r>
          </w:p>
        </w:tc>
        <w:tc>
          <w:tcPr>
            <w:tcW w:w="1637" w:type="dxa"/>
            <w:vAlign w:val="center"/>
          </w:tcPr>
          <w:p w14:paraId="2466CCD3"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5.5</w:t>
            </w:r>
          </w:p>
        </w:tc>
        <w:tc>
          <w:tcPr>
            <w:tcW w:w="1637" w:type="dxa"/>
            <w:vAlign w:val="center"/>
          </w:tcPr>
          <w:p w14:paraId="16CC8941"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4.3</w:t>
            </w:r>
          </w:p>
        </w:tc>
      </w:tr>
      <w:tr w:rsidR="00E343B7" w:rsidRPr="00AF778E" w14:paraId="00AA2233" w14:textId="77777777" w:rsidTr="00CB3554">
        <w:trPr>
          <w:trHeight w:val="216"/>
          <w:jc w:val="center"/>
        </w:trPr>
        <w:tc>
          <w:tcPr>
            <w:tcW w:w="4495" w:type="dxa"/>
            <w:vAlign w:val="center"/>
          </w:tcPr>
          <w:p w14:paraId="68D61E34" w14:textId="77777777" w:rsidR="00E343B7" w:rsidRPr="00AF778E" w:rsidRDefault="00E343B7" w:rsidP="00314917">
            <w:pPr>
              <w:ind w:left="432"/>
              <w:rPr>
                <w:rFonts w:ascii="Arial" w:hAnsi="Arial" w:cs="Arial"/>
                <w:sz w:val="18"/>
                <w:szCs w:val="18"/>
              </w:rPr>
            </w:pPr>
            <w:r w:rsidRPr="00AF778E">
              <w:rPr>
                <w:rFonts w:ascii="Arial" w:hAnsi="Arial" w:cs="Arial"/>
                <w:sz w:val="18"/>
                <w:szCs w:val="18"/>
              </w:rPr>
              <w:t>xvi. Merchandise imports</w:t>
            </w:r>
          </w:p>
        </w:tc>
        <w:tc>
          <w:tcPr>
            <w:tcW w:w="1907" w:type="dxa"/>
            <w:vAlign w:val="center"/>
          </w:tcPr>
          <w:p w14:paraId="795193A5" w14:textId="007D1F02" w:rsidR="00E343B7" w:rsidRPr="00AF778E" w:rsidRDefault="002323A9" w:rsidP="002323A9">
            <w:pPr>
              <w:ind w:right="288"/>
              <w:jc w:val="right"/>
              <w:rPr>
                <w:rFonts w:ascii="Arial" w:hAnsi="Arial" w:cs="Arial"/>
                <w:sz w:val="18"/>
                <w:szCs w:val="18"/>
              </w:rPr>
            </w:pPr>
            <w:r>
              <w:rPr>
                <w:rFonts w:ascii="Arial" w:hAnsi="Arial" w:cs="Arial"/>
                <w:sz w:val="18"/>
                <w:szCs w:val="18"/>
              </w:rPr>
              <w:t>−</w:t>
            </w:r>
            <w:r w:rsidR="00E343B7" w:rsidRPr="00AF778E">
              <w:rPr>
                <w:rFonts w:ascii="Arial" w:hAnsi="Arial" w:cs="Arial"/>
                <w:sz w:val="18"/>
                <w:szCs w:val="18"/>
              </w:rPr>
              <w:t>9.8</w:t>
            </w:r>
          </w:p>
        </w:tc>
        <w:tc>
          <w:tcPr>
            <w:tcW w:w="1637" w:type="dxa"/>
            <w:vAlign w:val="center"/>
          </w:tcPr>
          <w:p w14:paraId="499A0A37"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8.3</w:t>
            </w:r>
          </w:p>
        </w:tc>
        <w:tc>
          <w:tcPr>
            <w:tcW w:w="1637" w:type="dxa"/>
            <w:vAlign w:val="center"/>
          </w:tcPr>
          <w:p w14:paraId="3586C1C3"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9.4</w:t>
            </w:r>
          </w:p>
        </w:tc>
        <w:tc>
          <w:tcPr>
            <w:tcW w:w="1637" w:type="dxa"/>
            <w:vAlign w:val="center"/>
          </w:tcPr>
          <w:p w14:paraId="0DC43141"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0.1</w:t>
            </w:r>
          </w:p>
        </w:tc>
        <w:tc>
          <w:tcPr>
            <w:tcW w:w="1637" w:type="dxa"/>
            <w:vAlign w:val="center"/>
          </w:tcPr>
          <w:p w14:paraId="3AA2552B" w14:textId="77777777" w:rsidR="00E343B7" w:rsidRPr="00AF778E" w:rsidRDefault="00E343B7" w:rsidP="002323A9">
            <w:pPr>
              <w:ind w:right="288"/>
              <w:jc w:val="right"/>
              <w:rPr>
                <w:rFonts w:ascii="Arial" w:hAnsi="Arial" w:cs="Arial"/>
                <w:sz w:val="18"/>
                <w:szCs w:val="18"/>
              </w:rPr>
            </w:pPr>
            <w:r w:rsidRPr="00AF778E">
              <w:rPr>
                <w:rFonts w:ascii="Arial" w:hAnsi="Arial" w:cs="Arial"/>
                <w:sz w:val="18"/>
                <w:szCs w:val="18"/>
              </w:rPr>
              <w:t>10.7</w:t>
            </w:r>
          </w:p>
        </w:tc>
      </w:tr>
    </w:tbl>
    <w:p w14:paraId="150BF9CE" w14:textId="77777777" w:rsidR="00DE7AF6" w:rsidRDefault="00DE7AF6" w:rsidP="00CB3554">
      <w:pPr>
        <w:pStyle w:val="Footnote"/>
      </w:pPr>
    </w:p>
    <w:p w14:paraId="212B68E7" w14:textId="02B07D1F" w:rsidR="00EC6F5F" w:rsidRDefault="00EC6F5F" w:rsidP="00FC235F">
      <w:pPr>
        <w:pStyle w:val="Footnote"/>
        <w:outlineLvl w:val="0"/>
      </w:pPr>
      <w:r>
        <w:t>Note: M3 = broad money supply</w:t>
      </w:r>
      <w:r w:rsidR="001850C3">
        <w:t>; PMI = purchasing managers’ index</w:t>
      </w:r>
    </w:p>
    <w:p w14:paraId="6671CC31" w14:textId="2EE2C707" w:rsidR="00A661F8" w:rsidRDefault="00E343B7" w:rsidP="00314917">
      <w:pPr>
        <w:pStyle w:val="Footnote"/>
        <w:outlineLvl w:val="0"/>
      </w:pPr>
      <w:r>
        <w:t xml:space="preserve">Source: </w:t>
      </w:r>
      <w:r w:rsidR="001850C3">
        <w:t xml:space="preserve">Reserve Bank of India, </w:t>
      </w:r>
      <w:r w:rsidR="00EC6F5F">
        <w:t xml:space="preserve">“Macroeconomic Impact of Demonetisation—A Preliminary Assessment,” March 10, 2017, accessed November 6, 2017, </w:t>
      </w:r>
      <w:r w:rsidR="0078162B" w:rsidRPr="0078162B">
        <w:t>https://rbi.org.in/scripts/PublicationsView.aspx?Id=17447#C</w:t>
      </w:r>
      <w:r w:rsidR="00DE7AF6">
        <w:t>.</w:t>
      </w:r>
      <w:r w:rsidR="00A661F8">
        <w:br w:type="page"/>
      </w:r>
    </w:p>
    <w:p w14:paraId="0EAECC71" w14:textId="36F7FC9F" w:rsidR="00E343B7" w:rsidRDefault="00E343B7" w:rsidP="00FC235F">
      <w:pPr>
        <w:pStyle w:val="ExhibitHeading"/>
        <w:outlineLvl w:val="0"/>
      </w:pPr>
      <w:r>
        <w:lastRenderedPageBreak/>
        <w:t xml:space="preserve">EXHIBIT </w:t>
      </w:r>
      <w:r w:rsidR="00814390">
        <w:t>7</w:t>
      </w:r>
      <w:r w:rsidRPr="00346F91">
        <w:t xml:space="preserve">: </w:t>
      </w:r>
      <w:r w:rsidR="00772DFA">
        <w:t xml:space="preserve">India’s </w:t>
      </w:r>
      <w:r w:rsidRPr="00346F91">
        <w:t>SECTORAL INDICATORS OF LIKELY CASH INTENSITY</w:t>
      </w:r>
    </w:p>
    <w:p w14:paraId="2F626508" w14:textId="77777777" w:rsidR="00DE7AF6" w:rsidRPr="00346F91" w:rsidRDefault="00DE7AF6" w:rsidP="00314917">
      <w:pPr>
        <w:pStyle w:val="ExhibitText"/>
      </w:pPr>
    </w:p>
    <w:tbl>
      <w:tblPr>
        <w:tblStyle w:val="TableGrid"/>
        <w:tblW w:w="5000" w:type="pct"/>
        <w:jc w:val="center"/>
        <w:tblLayout w:type="fixed"/>
        <w:tblLook w:val="04A0" w:firstRow="1" w:lastRow="0" w:firstColumn="1" w:lastColumn="0" w:noHBand="0" w:noVBand="1"/>
      </w:tblPr>
      <w:tblGrid>
        <w:gridCol w:w="3695"/>
        <w:gridCol w:w="3085"/>
        <w:gridCol w:w="3085"/>
        <w:gridCol w:w="3085"/>
      </w:tblGrid>
      <w:tr w:rsidR="00E343B7" w:rsidRPr="00EC6F5F" w14:paraId="09ED2BEB" w14:textId="77777777" w:rsidTr="00EC6F5F">
        <w:trPr>
          <w:trHeight w:val="216"/>
          <w:jc w:val="center"/>
        </w:trPr>
        <w:tc>
          <w:tcPr>
            <w:tcW w:w="3695" w:type="dxa"/>
            <w:vAlign w:val="center"/>
          </w:tcPr>
          <w:p w14:paraId="62E5BE86" w14:textId="63625D24" w:rsidR="00E343B7" w:rsidRPr="00EC6F5F" w:rsidRDefault="00EC6F5F" w:rsidP="00EC6F5F">
            <w:pPr>
              <w:rPr>
                <w:rFonts w:ascii="Arial" w:hAnsi="Arial" w:cs="Arial"/>
                <w:b/>
                <w:sz w:val="18"/>
                <w:szCs w:val="18"/>
              </w:rPr>
            </w:pPr>
            <w:r w:rsidRPr="00EC6F5F">
              <w:rPr>
                <w:rFonts w:ascii="Arial" w:hAnsi="Arial" w:cs="Arial"/>
                <w:b/>
                <w:sz w:val="18"/>
                <w:szCs w:val="18"/>
              </w:rPr>
              <w:t>Sector</w:t>
            </w:r>
          </w:p>
        </w:tc>
        <w:tc>
          <w:tcPr>
            <w:tcW w:w="3085" w:type="dxa"/>
            <w:vAlign w:val="center"/>
          </w:tcPr>
          <w:p w14:paraId="6669285B" w14:textId="5B1B3052" w:rsidR="00EC6F5F" w:rsidRDefault="00EC6F5F" w:rsidP="00EC6F5F">
            <w:pPr>
              <w:jc w:val="center"/>
              <w:rPr>
                <w:rFonts w:ascii="Arial" w:hAnsi="Arial" w:cs="Arial"/>
                <w:b/>
                <w:sz w:val="18"/>
                <w:szCs w:val="18"/>
              </w:rPr>
            </w:pPr>
            <w:r w:rsidRPr="00EC6F5F">
              <w:rPr>
                <w:rFonts w:ascii="Arial" w:hAnsi="Arial" w:cs="Arial"/>
                <w:b/>
                <w:sz w:val="18"/>
                <w:szCs w:val="18"/>
              </w:rPr>
              <w:t xml:space="preserve">Unorganized Sector </w:t>
            </w:r>
          </w:p>
          <w:p w14:paraId="22CB12B8" w14:textId="6B3E26C3" w:rsidR="00E343B7" w:rsidRPr="00EC6F5F" w:rsidRDefault="00EC6F5F" w:rsidP="00EC6F5F">
            <w:pPr>
              <w:jc w:val="center"/>
              <w:rPr>
                <w:rFonts w:ascii="Arial" w:hAnsi="Arial" w:cs="Arial"/>
                <w:b/>
                <w:sz w:val="18"/>
                <w:szCs w:val="18"/>
              </w:rPr>
            </w:pPr>
            <w:r w:rsidRPr="00EC6F5F">
              <w:rPr>
                <w:rFonts w:ascii="Arial" w:hAnsi="Arial" w:cs="Arial"/>
                <w:b/>
                <w:sz w:val="18"/>
                <w:szCs w:val="18"/>
              </w:rPr>
              <w:t>Share in GVA</w:t>
            </w:r>
          </w:p>
        </w:tc>
        <w:tc>
          <w:tcPr>
            <w:tcW w:w="3085" w:type="dxa"/>
            <w:vAlign w:val="center"/>
          </w:tcPr>
          <w:p w14:paraId="6399CFDE" w14:textId="5D12BFE1" w:rsidR="00E343B7" w:rsidRPr="00EC6F5F" w:rsidRDefault="00EC6F5F" w:rsidP="00EC6F5F">
            <w:pPr>
              <w:jc w:val="center"/>
              <w:rPr>
                <w:rFonts w:ascii="Arial" w:hAnsi="Arial" w:cs="Arial"/>
                <w:b/>
                <w:sz w:val="18"/>
                <w:szCs w:val="18"/>
              </w:rPr>
            </w:pPr>
            <w:r w:rsidRPr="00EC6F5F">
              <w:rPr>
                <w:rFonts w:ascii="Arial" w:hAnsi="Arial" w:cs="Arial"/>
                <w:b/>
                <w:sz w:val="18"/>
                <w:szCs w:val="18"/>
              </w:rPr>
              <w:t>Sectoral Share in Employment</w:t>
            </w:r>
          </w:p>
        </w:tc>
        <w:tc>
          <w:tcPr>
            <w:tcW w:w="3085" w:type="dxa"/>
            <w:vAlign w:val="center"/>
          </w:tcPr>
          <w:p w14:paraId="1EC86C3D" w14:textId="3D199427" w:rsidR="00E343B7" w:rsidRPr="00EC6F5F" w:rsidRDefault="00EC6F5F" w:rsidP="00EC6F5F">
            <w:pPr>
              <w:jc w:val="center"/>
              <w:rPr>
                <w:rFonts w:ascii="Arial" w:hAnsi="Arial" w:cs="Arial"/>
                <w:b/>
                <w:sz w:val="18"/>
                <w:szCs w:val="18"/>
              </w:rPr>
            </w:pPr>
            <w:r w:rsidRPr="00EC6F5F">
              <w:rPr>
                <w:rFonts w:ascii="Arial" w:hAnsi="Arial" w:cs="Arial"/>
                <w:b/>
                <w:sz w:val="18"/>
                <w:szCs w:val="18"/>
              </w:rPr>
              <w:t>Unorganized Sector Employment Share in Total Employment</w:t>
            </w:r>
          </w:p>
        </w:tc>
      </w:tr>
      <w:tr w:rsidR="00E343B7" w:rsidRPr="00346F91" w14:paraId="05798499" w14:textId="77777777" w:rsidTr="00EC6F5F">
        <w:trPr>
          <w:trHeight w:val="216"/>
          <w:jc w:val="center"/>
        </w:trPr>
        <w:tc>
          <w:tcPr>
            <w:tcW w:w="3695" w:type="dxa"/>
          </w:tcPr>
          <w:p w14:paraId="6ABA7BFC" w14:textId="00AB04BC" w:rsidR="00E343B7" w:rsidRPr="00346F91" w:rsidRDefault="00E343B7" w:rsidP="004E1154">
            <w:pPr>
              <w:rPr>
                <w:rFonts w:ascii="Arial" w:hAnsi="Arial" w:cs="Arial"/>
                <w:sz w:val="18"/>
                <w:szCs w:val="18"/>
              </w:rPr>
            </w:pPr>
            <w:r w:rsidRPr="00346F91">
              <w:rPr>
                <w:rFonts w:ascii="Arial" w:hAnsi="Arial" w:cs="Arial"/>
                <w:sz w:val="18"/>
                <w:szCs w:val="18"/>
              </w:rPr>
              <w:t xml:space="preserve">Agriculture </w:t>
            </w:r>
            <w:r w:rsidR="00EC6F5F">
              <w:rPr>
                <w:rFonts w:ascii="Arial" w:hAnsi="Arial" w:cs="Arial"/>
                <w:sz w:val="18"/>
                <w:szCs w:val="18"/>
              </w:rPr>
              <w:t>and</w:t>
            </w:r>
            <w:r w:rsidRPr="00346F91">
              <w:rPr>
                <w:rFonts w:ascii="Arial" w:hAnsi="Arial" w:cs="Arial"/>
                <w:sz w:val="18"/>
                <w:szCs w:val="18"/>
              </w:rPr>
              <w:t xml:space="preserve"> </w:t>
            </w:r>
            <w:r w:rsidR="00EC6F5F">
              <w:rPr>
                <w:rFonts w:ascii="Arial" w:hAnsi="Arial" w:cs="Arial"/>
                <w:sz w:val="18"/>
                <w:szCs w:val="18"/>
              </w:rPr>
              <w:t>a</w:t>
            </w:r>
            <w:r w:rsidRPr="00346F91">
              <w:rPr>
                <w:rFonts w:ascii="Arial" w:hAnsi="Arial" w:cs="Arial"/>
                <w:sz w:val="18"/>
                <w:szCs w:val="18"/>
              </w:rPr>
              <w:t>llied activities</w:t>
            </w:r>
          </w:p>
        </w:tc>
        <w:tc>
          <w:tcPr>
            <w:tcW w:w="3085" w:type="dxa"/>
            <w:vAlign w:val="center"/>
          </w:tcPr>
          <w:p w14:paraId="0F33536F" w14:textId="77777777" w:rsidR="00E343B7" w:rsidRPr="00346F91" w:rsidRDefault="00E343B7" w:rsidP="00B92C7B">
            <w:pPr>
              <w:ind w:right="1295"/>
              <w:jc w:val="right"/>
              <w:rPr>
                <w:rFonts w:ascii="Arial" w:hAnsi="Arial" w:cs="Arial"/>
                <w:color w:val="404040" w:themeColor="text1" w:themeTint="BF"/>
                <w:sz w:val="18"/>
                <w:szCs w:val="18"/>
                <w:lang w:eastAsia="en-US"/>
              </w:rPr>
            </w:pPr>
            <w:r w:rsidRPr="00346F91">
              <w:rPr>
                <w:rFonts w:ascii="Arial" w:hAnsi="Arial" w:cs="Arial"/>
                <w:sz w:val="18"/>
                <w:szCs w:val="18"/>
              </w:rPr>
              <w:t>94.7</w:t>
            </w:r>
          </w:p>
        </w:tc>
        <w:tc>
          <w:tcPr>
            <w:tcW w:w="3085" w:type="dxa"/>
            <w:vAlign w:val="center"/>
          </w:tcPr>
          <w:p w14:paraId="3F14777B" w14:textId="77777777" w:rsidR="00E343B7" w:rsidRPr="00346F91" w:rsidRDefault="00E343B7" w:rsidP="00B92C7B">
            <w:pPr>
              <w:ind w:right="1174"/>
              <w:jc w:val="right"/>
              <w:rPr>
                <w:rFonts w:ascii="Arial" w:hAnsi="Arial" w:cs="Arial"/>
                <w:color w:val="404040" w:themeColor="text1" w:themeTint="BF"/>
                <w:sz w:val="18"/>
                <w:szCs w:val="18"/>
                <w:lang w:eastAsia="en-US"/>
              </w:rPr>
            </w:pPr>
            <w:r w:rsidRPr="00346F91">
              <w:rPr>
                <w:rFonts w:ascii="Arial" w:hAnsi="Arial" w:cs="Arial"/>
                <w:sz w:val="18"/>
                <w:szCs w:val="18"/>
              </w:rPr>
              <w:t>45.8</w:t>
            </w:r>
          </w:p>
        </w:tc>
        <w:tc>
          <w:tcPr>
            <w:tcW w:w="3085" w:type="dxa"/>
            <w:vAlign w:val="center"/>
          </w:tcPr>
          <w:p w14:paraId="0F387F54" w14:textId="77777777" w:rsidR="00E343B7" w:rsidRPr="00346F91" w:rsidRDefault="00E343B7" w:rsidP="00B92C7B">
            <w:pPr>
              <w:tabs>
                <w:tab w:val="decimal" w:pos="2923"/>
              </w:tabs>
              <w:ind w:right="1336"/>
              <w:jc w:val="right"/>
              <w:rPr>
                <w:rFonts w:ascii="Arial" w:hAnsi="Arial" w:cs="Arial"/>
                <w:color w:val="404040" w:themeColor="text1" w:themeTint="BF"/>
                <w:sz w:val="18"/>
                <w:szCs w:val="18"/>
                <w:lang w:eastAsia="en-US"/>
              </w:rPr>
            </w:pPr>
            <w:r w:rsidRPr="00346F91">
              <w:rPr>
                <w:rFonts w:ascii="Arial" w:hAnsi="Arial" w:cs="Arial"/>
                <w:sz w:val="18"/>
                <w:szCs w:val="18"/>
              </w:rPr>
              <w:t>48.7</w:t>
            </w:r>
          </w:p>
        </w:tc>
      </w:tr>
      <w:tr w:rsidR="00E343B7" w:rsidRPr="00346F91" w14:paraId="4348B7AF" w14:textId="77777777" w:rsidTr="00EC6F5F">
        <w:trPr>
          <w:trHeight w:val="216"/>
          <w:jc w:val="center"/>
        </w:trPr>
        <w:tc>
          <w:tcPr>
            <w:tcW w:w="3695" w:type="dxa"/>
          </w:tcPr>
          <w:p w14:paraId="21E09536" w14:textId="77777777" w:rsidR="00E343B7" w:rsidRPr="00346F91" w:rsidRDefault="00E343B7" w:rsidP="004E1154">
            <w:pPr>
              <w:rPr>
                <w:rFonts w:ascii="Arial" w:hAnsi="Arial" w:cs="Arial"/>
                <w:sz w:val="18"/>
                <w:szCs w:val="18"/>
              </w:rPr>
            </w:pPr>
            <w:r w:rsidRPr="00346F91">
              <w:rPr>
                <w:rFonts w:ascii="Arial" w:hAnsi="Arial" w:cs="Arial"/>
                <w:sz w:val="18"/>
                <w:szCs w:val="18"/>
              </w:rPr>
              <w:t>Industry</w:t>
            </w:r>
          </w:p>
        </w:tc>
        <w:tc>
          <w:tcPr>
            <w:tcW w:w="3085" w:type="dxa"/>
            <w:vAlign w:val="center"/>
          </w:tcPr>
          <w:p w14:paraId="3FC8F1DD" w14:textId="6BCAD8B8" w:rsidR="00E343B7" w:rsidRPr="00346F91" w:rsidRDefault="00E343B7" w:rsidP="00B92C7B">
            <w:pPr>
              <w:ind w:right="1295"/>
              <w:jc w:val="right"/>
              <w:rPr>
                <w:rFonts w:ascii="Arial" w:hAnsi="Arial" w:cs="Arial"/>
                <w:color w:val="404040" w:themeColor="text1" w:themeTint="BF"/>
                <w:sz w:val="18"/>
                <w:szCs w:val="18"/>
                <w:lang w:eastAsia="en-US"/>
              </w:rPr>
            </w:pPr>
            <w:r w:rsidRPr="00346F91">
              <w:rPr>
                <w:rFonts w:ascii="Arial" w:hAnsi="Arial" w:cs="Arial"/>
                <w:sz w:val="18"/>
                <w:szCs w:val="18"/>
              </w:rPr>
              <w:t>15</w:t>
            </w:r>
            <w:r w:rsidR="00EC6F5F">
              <w:rPr>
                <w:rFonts w:ascii="Arial" w:hAnsi="Arial" w:cs="Arial"/>
                <w:sz w:val="18"/>
                <w:szCs w:val="18"/>
              </w:rPr>
              <w:t>.0</w:t>
            </w:r>
          </w:p>
        </w:tc>
        <w:tc>
          <w:tcPr>
            <w:tcW w:w="3085" w:type="dxa"/>
            <w:vAlign w:val="center"/>
          </w:tcPr>
          <w:p w14:paraId="1AF37C6F" w14:textId="77777777" w:rsidR="00E343B7" w:rsidRPr="00346F91" w:rsidRDefault="00E343B7" w:rsidP="00B92C7B">
            <w:pPr>
              <w:ind w:right="1174"/>
              <w:jc w:val="right"/>
              <w:rPr>
                <w:rFonts w:ascii="Arial" w:hAnsi="Arial" w:cs="Arial"/>
                <w:color w:val="404040" w:themeColor="text1" w:themeTint="BF"/>
                <w:sz w:val="18"/>
                <w:szCs w:val="18"/>
                <w:lang w:eastAsia="en-US"/>
              </w:rPr>
            </w:pPr>
            <w:r w:rsidRPr="00346F91">
              <w:rPr>
                <w:rFonts w:ascii="Arial" w:hAnsi="Arial" w:cs="Arial"/>
                <w:sz w:val="18"/>
                <w:szCs w:val="18"/>
              </w:rPr>
              <w:t>13.7</w:t>
            </w:r>
          </w:p>
        </w:tc>
        <w:tc>
          <w:tcPr>
            <w:tcW w:w="3085" w:type="dxa"/>
            <w:vAlign w:val="center"/>
          </w:tcPr>
          <w:p w14:paraId="09F97D4D" w14:textId="77777777" w:rsidR="00E343B7" w:rsidRPr="00346F91" w:rsidRDefault="00E343B7" w:rsidP="00B92C7B">
            <w:pPr>
              <w:tabs>
                <w:tab w:val="decimal" w:pos="2923"/>
              </w:tabs>
              <w:ind w:right="1336"/>
              <w:jc w:val="right"/>
              <w:rPr>
                <w:rFonts w:ascii="Arial" w:hAnsi="Arial" w:cs="Arial"/>
                <w:color w:val="404040" w:themeColor="text1" w:themeTint="BF"/>
                <w:sz w:val="18"/>
                <w:szCs w:val="18"/>
                <w:lang w:eastAsia="en-US"/>
              </w:rPr>
            </w:pPr>
            <w:r w:rsidRPr="00346F91">
              <w:rPr>
                <w:rFonts w:ascii="Arial" w:hAnsi="Arial" w:cs="Arial"/>
                <w:sz w:val="18"/>
                <w:szCs w:val="18"/>
              </w:rPr>
              <w:t>8.5</w:t>
            </w:r>
          </w:p>
        </w:tc>
      </w:tr>
      <w:tr w:rsidR="00E343B7" w:rsidRPr="00346F91" w14:paraId="62E49E06" w14:textId="77777777" w:rsidTr="00EC6F5F">
        <w:trPr>
          <w:trHeight w:val="216"/>
          <w:jc w:val="center"/>
        </w:trPr>
        <w:tc>
          <w:tcPr>
            <w:tcW w:w="3695" w:type="dxa"/>
          </w:tcPr>
          <w:p w14:paraId="57BB7DB4" w14:textId="3BE16070" w:rsidR="00E343B7" w:rsidRPr="00346F91" w:rsidRDefault="00E343B7" w:rsidP="004E1154">
            <w:pPr>
              <w:rPr>
                <w:rFonts w:ascii="Arial" w:hAnsi="Arial" w:cs="Arial"/>
                <w:sz w:val="18"/>
                <w:szCs w:val="18"/>
              </w:rPr>
            </w:pPr>
            <w:r w:rsidRPr="00346F91">
              <w:rPr>
                <w:rFonts w:ascii="Arial" w:hAnsi="Arial" w:cs="Arial"/>
                <w:sz w:val="18"/>
                <w:szCs w:val="18"/>
              </w:rPr>
              <w:t xml:space="preserve">Mining </w:t>
            </w:r>
            <w:r w:rsidR="00EC6F5F">
              <w:rPr>
                <w:rFonts w:ascii="Arial" w:hAnsi="Arial" w:cs="Arial"/>
                <w:sz w:val="18"/>
                <w:szCs w:val="18"/>
              </w:rPr>
              <w:t>and q</w:t>
            </w:r>
            <w:r w:rsidRPr="00346F91">
              <w:rPr>
                <w:rFonts w:ascii="Arial" w:hAnsi="Arial" w:cs="Arial"/>
                <w:sz w:val="18"/>
                <w:szCs w:val="18"/>
              </w:rPr>
              <w:t>uarrying</w:t>
            </w:r>
          </w:p>
        </w:tc>
        <w:tc>
          <w:tcPr>
            <w:tcW w:w="3085" w:type="dxa"/>
            <w:vAlign w:val="center"/>
          </w:tcPr>
          <w:p w14:paraId="4ED24705" w14:textId="77777777" w:rsidR="00E343B7" w:rsidRPr="00346F91" w:rsidRDefault="00E343B7" w:rsidP="00B92C7B">
            <w:pPr>
              <w:ind w:right="1295"/>
              <w:jc w:val="right"/>
              <w:rPr>
                <w:rFonts w:ascii="Arial" w:hAnsi="Arial" w:cs="Arial"/>
                <w:color w:val="404040" w:themeColor="text1" w:themeTint="BF"/>
                <w:sz w:val="18"/>
                <w:szCs w:val="18"/>
                <w:lang w:eastAsia="en-US"/>
              </w:rPr>
            </w:pPr>
            <w:r w:rsidRPr="00346F91">
              <w:rPr>
                <w:rFonts w:ascii="Arial" w:hAnsi="Arial" w:cs="Arial"/>
                <w:sz w:val="18"/>
                <w:szCs w:val="18"/>
              </w:rPr>
              <w:t>21.9</w:t>
            </w:r>
          </w:p>
        </w:tc>
        <w:tc>
          <w:tcPr>
            <w:tcW w:w="3085" w:type="dxa"/>
            <w:vAlign w:val="center"/>
          </w:tcPr>
          <w:p w14:paraId="73FB627B" w14:textId="77777777" w:rsidR="00E343B7" w:rsidRPr="00346F91" w:rsidRDefault="00E343B7" w:rsidP="00B92C7B">
            <w:pPr>
              <w:ind w:right="1174"/>
              <w:jc w:val="right"/>
              <w:rPr>
                <w:rFonts w:ascii="Arial" w:hAnsi="Arial" w:cs="Arial"/>
                <w:color w:val="404040" w:themeColor="text1" w:themeTint="BF"/>
                <w:sz w:val="18"/>
                <w:szCs w:val="18"/>
                <w:lang w:eastAsia="en-US"/>
              </w:rPr>
            </w:pPr>
            <w:r w:rsidRPr="00346F91">
              <w:rPr>
                <w:rFonts w:ascii="Arial" w:hAnsi="Arial" w:cs="Arial"/>
                <w:sz w:val="18"/>
                <w:szCs w:val="18"/>
              </w:rPr>
              <w:t>0.3</w:t>
            </w:r>
          </w:p>
        </w:tc>
        <w:tc>
          <w:tcPr>
            <w:tcW w:w="3085" w:type="dxa"/>
            <w:vAlign w:val="center"/>
          </w:tcPr>
          <w:p w14:paraId="0DFDF675" w14:textId="77777777" w:rsidR="00E343B7" w:rsidRPr="00346F91" w:rsidRDefault="00E343B7" w:rsidP="00B92C7B">
            <w:pPr>
              <w:tabs>
                <w:tab w:val="decimal" w:pos="2923"/>
              </w:tabs>
              <w:ind w:right="1336"/>
              <w:jc w:val="right"/>
              <w:rPr>
                <w:rFonts w:ascii="Arial" w:hAnsi="Arial" w:cs="Arial"/>
                <w:color w:val="404040" w:themeColor="text1" w:themeTint="BF"/>
                <w:sz w:val="18"/>
                <w:szCs w:val="18"/>
                <w:lang w:eastAsia="en-US"/>
              </w:rPr>
            </w:pPr>
            <w:r w:rsidRPr="00346F91">
              <w:rPr>
                <w:rFonts w:ascii="Arial" w:hAnsi="Arial" w:cs="Arial"/>
                <w:sz w:val="18"/>
                <w:szCs w:val="18"/>
              </w:rPr>
              <w:t>0.2</w:t>
            </w:r>
          </w:p>
        </w:tc>
      </w:tr>
      <w:tr w:rsidR="00E343B7" w:rsidRPr="00346F91" w14:paraId="63855D36" w14:textId="77777777" w:rsidTr="00EC6F5F">
        <w:trPr>
          <w:trHeight w:val="216"/>
          <w:jc w:val="center"/>
        </w:trPr>
        <w:tc>
          <w:tcPr>
            <w:tcW w:w="3695" w:type="dxa"/>
          </w:tcPr>
          <w:p w14:paraId="778F3CDE" w14:textId="77777777" w:rsidR="00E343B7" w:rsidRPr="00346F91" w:rsidRDefault="00E343B7" w:rsidP="004E1154">
            <w:pPr>
              <w:rPr>
                <w:rFonts w:ascii="Arial" w:hAnsi="Arial" w:cs="Arial"/>
                <w:sz w:val="18"/>
                <w:szCs w:val="18"/>
              </w:rPr>
            </w:pPr>
            <w:r w:rsidRPr="00346F91">
              <w:rPr>
                <w:rFonts w:ascii="Arial" w:hAnsi="Arial" w:cs="Arial"/>
                <w:sz w:val="18"/>
                <w:szCs w:val="18"/>
              </w:rPr>
              <w:t>Manufacturing</w:t>
            </w:r>
          </w:p>
        </w:tc>
        <w:tc>
          <w:tcPr>
            <w:tcW w:w="3085" w:type="dxa"/>
            <w:vAlign w:val="center"/>
          </w:tcPr>
          <w:p w14:paraId="4D1F180B" w14:textId="77777777" w:rsidR="00E343B7" w:rsidRPr="00346F91" w:rsidRDefault="00E343B7" w:rsidP="00B92C7B">
            <w:pPr>
              <w:ind w:right="1295"/>
              <w:jc w:val="right"/>
              <w:rPr>
                <w:rFonts w:ascii="Arial" w:hAnsi="Arial" w:cs="Arial"/>
                <w:color w:val="404040" w:themeColor="text1" w:themeTint="BF"/>
                <w:sz w:val="18"/>
                <w:szCs w:val="18"/>
                <w:lang w:eastAsia="en-US"/>
              </w:rPr>
            </w:pPr>
            <w:r w:rsidRPr="00346F91">
              <w:rPr>
                <w:rFonts w:ascii="Arial" w:hAnsi="Arial" w:cs="Arial"/>
                <w:sz w:val="18"/>
                <w:szCs w:val="18"/>
              </w:rPr>
              <w:t>12.1</w:t>
            </w:r>
          </w:p>
        </w:tc>
        <w:tc>
          <w:tcPr>
            <w:tcW w:w="3085" w:type="dxa"/>
            <w:vAlign w:val="center"/>
          </w:tcPr>
          <w:p w14:paraId="3CEA4087" w14:textId="77777777" w:rsidR="00E343B7" w:rsidRPr="00346F91" w:rsidRDefault="00E343B7" w:rsidP="00B92C7B">
            <w:pPr>
              <w:ind w:right="1174"/>
              <w:jc w:val="right"/>
              <w:rPr>
                <w:rFonts w:ascii="Arial" w:hAnsi="Arial" w:cs="Arial"/>
                <w:color w:val="404040" w:themeColor="text1" w:themeTint="BF"/>
                <w:sz w:val="18"/>
                <w:szCs w:val="18"/>
                <w:lang w:eastAsia="en-US"/>
              </w:rPr>
            </w:pPr>
            <w:r w:rsidRPr="00346F91">
              <w:rPr>
                <w:rFonts w:ascii="Arial" w:hAnsi="Arial" w:cs="Arial"/>
                <w:sz w:val="18"/>
                <w:szCs w:val="18"/>
              </w:rPr>
              <w:t>13.3</w:t>
            </w:r>
          </w:p>
        </w:tc>
        <w:tc>
          <w:tcPr>
            <w:tcW w:w="3085" w:type="dxa"/>
            <w:vAlign w:val="center"/>
          </w:tcPr>
          <w:p w14:paraId="01BA4F6B" w14:textId="77777777" w:rsidR="00E343B7" w:rsidRPr="00346F91" w:rsidRDefault="00E343B7" w:rsidP="00B92C7B">
            <w:pPr>
              <w:tabs>
                <w:tab w:val="decimal" w:pos="2923"/>
              </w:tabs>
              <w:ind w:right="1336"/>
              <w:jc w:val="right"/>
              <w:rPr>
                <w:rFonts w:ascii="Arial" w:hAnsi="Arial" w:cs="Arial"/>
                <w:color w:val="404040" w:themeColor="text1" w:themeTint="BF"/>
                <w:sz w:val="18"/>
                <w:szCs w:val="18"/>
                <w:lang w:eastAsia="en-US"/>
              </w:rPr>
            </w:pPr>
            <w:r w:rsidRPr="00346F91">
              <w:rPr>
                <w:rFonts w:ascii="Arial" w:hAnsi="Arial" w:cs="Arial"/>
                <w:sz w:val="18"/>
                <w:szCs w:val="18"/>
              </w:rPr>
              <w:t>8.3</w:t>
            </w:r>
          </w:p>
        </w:tc>
      </w:tr>
      <w:tr w:rsidR="00E343B7" w:rsidRPr="00346F91" w14:paraId="4900554A" w14:textId="77777777" w:rsidTr="00EC6F5F">
        <w:trPr>
          <w:trHeight w:val="216"/>
          <w:jc w:val="center"/>
        </w:trPr>
        <w:tc>
          <w:tcPr>
            <w:tcW w:w="3695" w:type="dxa"/>
          </w:tcPr>
          <w:p w14:paraId="0E55DA4E" w14:textId="77777777" w:rsidR="00E343B7" w:rsidRPr="00346F91" w:rsidRDefault="00E343B7" w:rsidP="004E1154">
            <w:pPr>
              <w:rPr>
                <w:rFonts w:ascii="Arial" w:hAnsi="Arial" w:cs="Arial"/>
                <w:sz w:val="18"/>
                <w:szCs w:val="18"/>
              </w:rPr>
            </w:pPr>
            <w:r w:rsidRPr="00346F91">
              <w:rPr>
                <w:rFonts w:ascii="Arial" w:hAnsi="Arial" w:cs="Arial"/>
                <w:sz w:val="18"/>
                <w:szCs w:val="18"/>
              </w:rPr>
              <w:t>Electricity</w:t>
            </w:r>
          </w:p>
        </w:tc>
        <w:tc>
          <w:tcPr>
            <w:tcW w:w="3085" w:type="dxa"/>
            <w:vAlign w:val="center"/>
          </w:tcPr>
          <w:p w14:paraId="0EA4AC38" w14:textId="77777777" w:rsidR="00E343B7" w:rsidRPr="00346F91" w:rsidRDefault="00E343B7" w:rsidP="00B92C7B">
            <w:pPr>
              <w:ind w:right="1295"/>
              <w:jc w:val="right"/>
              <w:rPr>
                <w:rFonts w:ascii="Arial" w:hAnsi="Arial" w:cs="Arial"/>
                <w:color w:val="404040" w:themeColor="text1" w:themeTint="BF"/>
                <w:sz w:val="18"/>
                <w:szCs w:val="18"/>
                <w:lang w:eastAsia="en-US"/>
              </w:rPr>
            </w:pPr>
            <w:r w:rsidRPr="00346F91">
              <w:rPr>
                <w:rFonts w:ascii="Arial" w:hAnsi="Arial" w:cs="Arial"/>
                <w:sz w:val="18"/>
                <w:szCs w:val="18"/>
              </w:rPr>
              <w:t>3.1</w:t>
            </w:r>
          </w:p>
        </w:tc>
        <w:tc>
          <w:tcPr>
            <w:tcW w:w="3085" w:type="dxa"/>
            <w:vAlign w:val="center"/>
          </w:tcPr>
          <w:p w14:paraId="5E6F9790" w14:textId="77777777" w:rsidR="00E343B7" w:rsidRPr="00346F91" w:rsidRDefault="00E343B7" w:rsidP="00B92C7B">
            <w:pPr>
              <w:ind w:right="1174"/>
              <w:jc w:val="right"/>
              <w:rPr>
                <w:rFonts w:ascii="Arial" w:hAnsi="Arial" w:cs="Arial"/>
                <w:color w:val="404040" w:themeColor="text1" w:themeTint="BF"/>
                <w:sz w:val="18"/>
                <w:szCs w:val="18"/>
                <w:lang w:eastAsia="en-US"/>
              </w:rPr>
            </w:pPr>
            <w:r w:rsidRPr="00346F91">
              <w:rPr>
                <w:rFonts w:ascii="Arial" w:hAnsi="Arial" w:cs="Arial"/>
                <w:sz w:val="18"/>
                <w:szCs w:val="18"/>
              </w:rPr>
              <w:t>0.1</w:t>
            </w:r>
          </w:p>
        </w:tc>
        <w:tc>
          <w:tcPr>
            <w:tcW w:w="3085" w:type="dxa"/>
            <w:vAlign w:val="center"/>
          </w:tcPr>
          <w:p w14:paraId="7A166A7E" w14:textId="77777777" w:rsidR="00E343B7" w:rsidRPr="00346F91" w:rsidRDefault="00E343B7" w:rsidP="00B92C7B">
            <w:pPr>
              <w:tabs>
                <w:tab w:val="decimal" w:pos="2923"/>
              </w:tabs>
              <w:ind w:right="1336"/>
              <w:jc w:val="right"/>
              <w:rPr>
                <w:rFonts w:ascii="Arial" w:hAnsi="Arial" w:cs="Arial"/>
                <w:color w:val="404040" w:themeColor="text1" w:themeTint="BF"/>
                <w:sz w:val="18"/>
                <w:szCs w:val="18"/>
                <w:lang w:eastAsia="en-US"/>
              </w:rPr>
            </w:pPr>
            <w:r w:rsidRPr="00346F91">
              <w:rPr>
                <w:rFonts w:ascii="Arial" w:hAnsi="Arial" w:cs="Arial"/>
                <w:sz w:val="18"/>
                <w:szCs w:val="18"/>
              </w:rPr>
              <w:t>0.1</w:t>
            </w:r>
          </w:p>
        </w:tc>
      </w:tr>
      <w:tr w:rsidR="00E343B7" w:rsidRPr="00346F91" w14:paraId="42689907" w14:textId="77777777" w:rsidTr="00EC6F5F">
        <w:trPr>
          <w:trHeight w:val="216"/>
          <w:jc w:val="center"/>
        </w:trPr>
        <w:tc>
          <w:tcPr>
            <w:tcW w:w="3695" w:type="dxa"/>
          </w:tcPr>
          <w:p w14:paraId="2CD4D8EB" w14:textId="77777777" w:rsidR="00E343B7" w:rsidRPr="00346F91" w:rsidRDefault="00E343B7" w:rsidP="004E1154">
            <w:pPr>
              <w:rPr>
                <w:rFonts w:ascii="Arial" w:hAnsi="Arial" w:cs="Arial"/>
                <w:sz w:val="18"/>
                <w:szCs w:val="18"/>
              </w:rPr>
            </w:pPr>
            <w:r w:rsidRPr="00346F91">
              <w:rPr>
                <w:rFonts w:ascii="Arial" w:hAnsi="Arial" w:cs="Arial"/>
                <w:sz w:val="18"/>
                <w:szCs w:val="18"/>
              </w:rPr>
              <w:t>Services</w:t>
            </w:r>
          </w:p>
        </w:tc>
        <w:tc>
          <w:tcPr>
            <w:tcW w:w="3085" w:type="dxa"/>
            <w:vAlign w:val="center"/>
          </w:tcPr>
          <w:p w14:paraId="7C926B76" w14:textId="77777777" w:rsidR="00E343B7" w:rsidRPr="00346F91" w:rsidRDefault="00E343B7" w:rsidP="00B92C7B">
            <w:pPr>
              <w:ind w:right="1295"/>
              <w:jc w:val="right"/>
              <w:rPr>
                <w:rFonts w:ascii="Arial" w:hAnsi="Arial" w:cs="Arial"/>
                <w:color w:val="404040" w:themeColor="text1" w:themeTint="BF"/>
                <w:sz w:val="18"/>
                <w:szCs w:val="18"/>
                <w:lang w:eastAsia="en-US"/>
              </w:rPr>
            </w:pPr>
            <w:r w:rsidRPr="00346F91">
              <w:rPr>
                <w:rFonts w:ascii="Arial" w:hAnsi="Arial" w:cs="Arial"/>
                <w:sz w:val="18"/>
                <w:szCs w:val="18"/>
              </w:rPr>
              <w:t>42.4</w:t>
            </w:r>
          </w:p>
        </w:tc>
        <w:tc>
          <w:tcPr>
            <w:tcW w:w="3085" w:type="dxa"/>
            <w:vAlign w:val="center"/>
          </w:tcPr>
          <w:p w14:paraId="183181A2" w14:textId="77777777" w:rsidR="00E343B7" w:rsidRPr="00346F91" w:rsidRDefault="00E343B7" w:rsidP="00B92C7B">
            <w:pPr>
              <w:ind w:right="1174"/>
              <w:jc w:val="right"/>
              <w:rPr>
                <w:rFonts w:ascii="Arial" w:hAnsi="Arial" w:cs="Arial"/>
                <w:color w:val="404040" w:themeColor="text1" w:themeTint="BF"/>
                <w:sz w:val="18"/>
                <w:szCs w:val="18"/>
                <w:lang w:eastAsia="en-US"/>
              </w:rPr>
            </w:pPr>
            <w:r w:rsidRPr="00346F91">
              <w:rPr>
                <w:rFonts w:ascii="Arial" w:hAnsi="Arial" w:cs="Arial"/>
                <w:sz w:val="18"/>
                <w:szCs w:val="18"/>
              </w:rPr>
              <w:t>40.5</w:t>
            </w:r>
          </w:p>
        </w:tc>
        <w:tc>
          <w:tcPr>
            <w:tcW w:w="3085" w:type="dxa"/>
            <w:vAlign w:val="center"/>
          </w:tcPr>
          <w:p w14:paraId="3E46EFC1" w14:textId="77777777" w:rsidR="00E343B7" w:rsidRPr="00346F91" w:rsidRDefault="00E343B7" w:rsidP="00B92C7B">
            <w:pPr>
              <w:tabs>
                <w:tab w:val="decimal" w:pos="2923"/>
              </w:tabs>
              <w:ind w:right="1336"/>
              <w:jc w:val="right"/>
              <w:rPr>
                <w:rFonts w:ascii="Arial" w:hAnsi="Arial" w:cs="Arial"/>
                <w:color w:val="404040" w:themeColor="text1" w:themeTint="BF"/>
                <w:sz w:val="18"/>
                <w:szCs w:val="18"/>
                <w:lang w:eastAsia="en-US"/>
              </w:rPr>
            </w:pPr>
            <w:r w:rsidRPr="00346F91">
              <w:rPr>
                <w:rFonts w:ascii="Arial" w:hAnsi="Arial" w:cs="Arial"/>
                <w:sz w:val="18"/>
                <w:szCs w:val="18"/>
              </w:rPr>
              <w:t>25.2</w:t>
            </w:r>
          </w:p>
        </w:tc>
      </w:tr>
      <w:tr w:rsidR="00E343B7" w:rsidRPr="00346F91" w14:paraId="5AC318CE" w14:textId="77777777" w:rsidTr="00EC6F5F">
        <w:trPr>
          <w:trHeight w:val="216"/>
          <w:jc w:val="center"/>
        </w:trPr>
        <w:tc>
          <w:tcPr>
            <w:tcW w:w="3695" w:type="dxa"/>
          </w:tcPr>
          <w:p w14:paraId="41C37A2F" w14:textId="77777777" w:rsidR="00E343B7" w:rsidRPr="00346F91" w:rsidRDefault="00E343B7" w:rsidP="004E1154">
            <w:pPr>
              <w:rPr>
                <w:rFonts w:ascii="Arial" w:hAnsi="Arial" w:cs="Arial"/>
                <w:sz w:val="18"/>
                <w:szCs w:val="18"/>
              </w:rPr>
            </w:pPr>
            <w:r w:rsidRPr="00346F91">
              <w:rPr>
                <w:rFonts w:ascii="Arial" w:hAnsi="Arial" w:cs="Arial"/>
                <w:sz w:val="18"/>
                <w:szCs w:val="18"/>
              </w:rPr>
              <w:t>Construction</w:t>
            </w:r>
          </w:p>
        </w:tc>
        <w:tc>
          <w:tcPr>
            <w:tcW w:w="3085" w:type="dxa"/>
            <w:vAlign w:val="center"/>
          </w:tcPr>
          <w:p w14:paraId="03333259" w14:textId="77777777" w:rsidR="00E343B7" w:rsidRPr="00346F91" w:rsidRDefault="00E343B7" w:rsidP="00B92C7B">
            <w:pPr>
              <w:ind w:right="1295"/>
              <w:jc w:val="right"/>
              <w:rPr>
                <w:rFonts w:ascii="Arial" w:hAnsi="Arial" w:cs="Arial"/>
                <w:color w:val="404040" w:themeColor="text1" w:themeTint="BF"/>
                <w:sz w:val="18"/>
                <w:szCs w:val="18"/>
                <w:lang w:eastAsia="en-US"/>
              </w:rPr>
            </w:pPr>
            <w:r w:rsidRPr="00346F91">
              <w:rPr>
                <w:rFonts w:ascii="Arial" w:hAnsi="Arial" w:cs="Arial"/>
                <w:sz w:val="18"/>
                <w:szCs w:val="18"/>
              </w:rPr>
              <w:t>75.5</w:t>
            </w:r>
          </w:p>
        </w:tc>
        <w:tc>
          <w:tcPr>
            <w:tcW w:w="3085" w:type="dxa"/>
            <w:vAlign w:val="center"/>
          </w:tcPr>
          <w:p w14:paraId="5E1F2891" w14:textId="77777777" w:rsidR="00E343B7" w:rsidRPr="00346F91" w:rsidRDefault="00E343B7" w:rsidP="00B92C7B">
            <w:pPr>
              <w:ind w:right="1174"/>
              <w:jc w:val="right"/>
              <w:rPr>
                <w:rFonts w:ascii="Arial" w:hAnsi="Arial" w:cs="Arial"/>
                <w:color w:val="404040" w:themeColor="text1" w:themeTint="BF"/>
                <w:sz w:val="18"/>
                <w:szCs w:val="18"/>
                <w:lang w:eastAsia="en-US"/>
              </w:rPr>
            </w:pPr>
            <w:r w:rsidRPr="00346F91">
              <w:rPr>
                <w:rFonts w:ascii="Arial" w:hAnsi="Arial" w:cs="Arial"/>
                <w:sz w:val="18"/>
                <w:szCs w:val="18"/>
              </w:rPr>
              <w:t>11.1</w:t>
            </w:r>
          </w:p>
        </w:tc>
        <w:tc>
          <w:tcPr>
            <w:tcW w:w="3085" w:type="dxa"/>
            <w:vAlign w:val="center"/>
          </w:tcPr>
          <w:p w14:paraId="6C643145" w14:textId="77777777" w:rsidR="00E343B7" w:rsidRPr="00346F91" w:rsidRDefault="00E343B7" w:rsidP="00B92C7B">
            <w:pPr>
              <w:tabs>
                <w:tab w:val="decimal" w:pos="2923"/>
              </w:tabs>
              <w:ind w:right="1336"/>
              <w:jc w:val="right"/>
              <w:rPr>
                <w:rFonts w:ascii="Arial" w:hAnsi="Arial" w:cs="Arial"/>
                <w:color w:val="404040" w:themeColor="text1" w:themeTint="BF"/>
                <w:sz w:val="18"/>
                <w:szCs w:val="18"/>
                <w:lang w:eastAsia="en-US"/>
              </w:rPr>
            </w:pPr>
            <w:r w:rsidRPr="00346F91">
              <w:rPr>
                <w:rFonts w:ascii="Arial" w:hAnsi="Arial" w:cs="Arial"/>
                <w:sz w:val="18"/>
                <w:szCs w:val="18"/>
              </w:rPr>
              <w:t>6.9</w:t>
            </w:r>
          </w:p>
        </w:tc>
      </w:tr>
      <w:tr w:rsidR="00E343B7" w:rsidRPr="00346F91" w14:paraId="6B98513D" w14:textId="77777777" w:rsidTr="00EC6F5F">
        <w:trPr>
          <w:trHeight w:val="216"/>
          <w:jc w:val="center"/>
        </w:trPr>
        <w:tc>
          <w:tcPr>
            <w:tcW w:w="3695" w:type="dxa"/>
          </w:tcPr>
          <w:p w14:paraId="099B70AE" w14:textId="503D6EBF" w:rsidR="00E343B7" w:rsidRPr="00346F91" w:rsidRDefault="00E343B7" w:rsidP="00EC6F5F">
            <w:pPr>
              <w:rPr>
                <w:rFonts w:ascii="Arial" w:hAnsi="Arial" w:cs="Arial"/>
                <w:sz w:val="18"/>
                <w:szCs w:val="18"/>
              </w:rPr>
            </w:pPr>
            <w:r w:rsidRPr="00346F91">
              <w:rPr>
                <w:rFonts w:ascii="Arial" w:hAnsi="Arial" w:cs="Arial"/>
                <w:sz w:val="18"/>
                <w:szCs w:val="18"/>
              </w:rPr>
              <w:t>Trade, repair, hotel</w:t>
            </w:r>
            <w:r w:rsidR="00EC6F5F">
              <w:rPr>
                <w:rFonts w:ascii="Arial" w:hAnsi="Arial" w:cs="Arial"/>
                <w:sz w:val="18"/>
                <w:szCs w:val="18"/>
              </w:rPr>
              <w:t>, and</w:t>
            </w:r>
            <w:r w:rsidRPr="00346F91">
              <w:rPr>
                <w:rFonts w:ascii="Arial" w:hAnsi="Arial" w:cs="Arial"/>
                <w:sz w:val="18"/>
                <w:szCs w:val="18"/>
              </w:rPr>
              <w:t xml:space="preserve"> restaurants</w:t>
            </w:r>
          </w:p>
        </w:tc>
        <w:tc>
          <w:tcPr>
            <w:tcW w:w="3085" w:type="dxa"/>
            <w:vAlign w:val="center"/>
          </w:tcPr>
          <w:p w14:paraId="2B3E6E85" w14:textId="77777777" w:rsidR="00E343B7" w:rsidRPr="00346F91" w:rsidRDefault="00E343B7" w:rsidP="00B92C7B">
            <w:pPr>
              <w:ind w:right="1295"/>
              <w:jc w:val="right"/>
              <w:rPr>
                <w:rFonts w:ascii="Arial" w:hAnsi="Arial" w:cs="Arial"/>
                <w:color w:val="404040" w:themeColor="text1" w:themeTint="BF"/>
                <w:sz w:val="18"/>
                <w:szCs w:val="18"/>
                <w:lang w:eastAsia="en-US"/>
              </w:rPr>
            </w:pPr>
            <w:r w:rsidRPr="00346F91">
              <w:rPr>
                <w:rFonts w:ascii="Arial" w:hAnsi="Arial" w:cs="Arial"/>
                <w:sz w:val="18"/>
                <w:szCs w:val="18"/>
              </w:rPr>
              <w:t>56.1</w:t>
            </w:r>
          </w:p>
        </w:tc>
        <w:tc>
          <w:tcPr>
            <w:tcW w:w="3085" w:type="dxa"/>
            <w:vAlign w:val="center"/>
          </w:tcPr>
          <w:p w14:paraId="1522BDB5" w14:textId="77777777" w:rsidR="00E343B7" w:rsidRPr="00346F91" w:rsidRDefault="00E343B7" w:rsidP="00B92C7B">
            <w:pPr>
              <w:ind w:right="1174"/>
              <w:jc w:val="right"/>
              <w:rPr>
                <w:rFonts w:ascii="Arial" w:hAnsi="Arial" w:cs="Arial"/>
                <w:color w:val="404040" w:themeColor="text1" w:themeTint="BF"/>
                <w:sz w:val="18"/>
                <w:szCs w:val="18"/>
                <w:lang w:eastAsia="en-US"/>
              </w:rPr>
            </w:pPr>
            <w:r w:rsidRPr="00346F91">
              <w:rPr>
                <w:rFonts w:ascii="Arial" w:hAnsi="Arial" w:cs="Arial"/>
                <w:sz w:val="18"/>
                <w:szCs w:val="18"/>
              </w:rPr>
              <w:t>16.1</w:t>
            </w:r>
          </w:p>
        </w:tc>
        <w:tc>
          <w:tcPr>
            <w:tcW w:w="3085" w:type="dxa"/>
            <w:vMerge w:val="restart"/>
            <w:vAlign w:val="center"/>
          </w:tcPr>
          <w:p w14:paraId="70D496FA" w14:textId="77777777" w:rsidR="00E343B7" w:rsidRPr="00346F91" w:rsidRDefault="00E343B7" w:rsidP="00B92C7B">
            <w:pPr>
              <w:tabs>
                <w:tab w:val="decimal" w:pos="2923"/>
              </w:tabs>
              <w:ind w:right="1336"/>
              <w:jc w:val="right"/>
              <w:rPr>
                <w:rFonts w:ascii="Arial" w:hAnsi="Arial" w:cs="Arial"/>
                <w:sz w:val="18"/>
                <w:szCs w:val="18"/>
                <w:lang w:eastAsia="en-US"/>
              </w:rPr>
            </w:pPr>
          </w:p>
          <w:p w14:paraId="26B0E6F0" w14:textId="77777777" w:rsidR="00E343B7" w:rsidRPr="00346F91" w:rsidRDefault="00E343B7" w:rsidP="00B92C7B">
            <w:pPr>
              <w:tabs>
                <w:tab w:val="decimal" w:pos="2923"/>
              </w:tabs>
              <w:ind w:right="1336"/>
              <w:jc w:val="right"/>
              <w:rPr>
                <w:rFonts w:ascii="Arial" w:hAnsi="Arial" w:cs="Arial"/>
                <w:color w:val="404040" w:themeColor="text1" w:themeTint="BF"/>
                <w:sz w:val="18"/>
                <w:szCs w:val="18"/>
                <w:lang w:eastAsia="en-US"/>
              </w:rPr>
            </w:pPr>
            <w:r w:rsidRPr="00346F91">
              <w:rPr>
                <w:rFonts w:ascii="Arial" w:hAnsi="Arial" w:cs="Arial"/>
                <w:sz w:val="18"/>
                <w:szCs w:val="18"/>
              </w:rPr>
              <w:t>13.3</w:t>
            </w:r>
          </w:p>
        </w:tc>
      </w:tr>
      <w:tr w:rsidR="00E343B7" w:rsidRPr="00346F91" w14:paraId="3A0F9C1B" w14:textId="77777777" w:rsidTr="00EC6F5F">
        <w:trPr>
          <w:trHeight w:val="216"/>
          <w:jc w:val="center"/>
        </w:trPr>
        <w:tc>
          <w:tcPr>
            <w:tcW w:w="3695" w:type="dxa"/>
          </w:tcPr>
          <w:p w14:paraId="4D717903" w14:textId="5FCE7452" w:rsidR="00E343B7" w:rsidRPr="00346F91" w:rsidRDefault="00E343B7" w:rsidP="004E1154">
            <w:pPr>
              <w:rPr>
                <w:rFonts w:ascii="Arial" w:hAnsi="Arial" w:cs="Arial"/>
                <w:sz w:val="18"/>
                <w:szCs w:val="18"/>
              </w:rPr>
            </w:pPr>
            <w:r>
              <w:rPr>
                <w:rFonts w:ascii="Arial" w:hAnsi="Arial" w:cs="Arial"/>
                <w:sz w:val="18"/>
                <w:szCs w:val="18"/>
              </w:rPr>
              <w:t xml:space="preserve">Transport </w:t>
            </w:r>
            <w:r w:rsidR="00EC6F5F">
              <w:rPr>
                <w:rFonts w:ascii="Arial" w:hAnsi="Arial" w:cs="Arial"/>
                <w:sz w:val="18"/>
                <w:szCs w:val="18"/>
              </w:rPr>
              <w:t>and</w:t>
            </w:r>
            <w:r>
              <w:rPr>
                <w:rFonts w:ascii="Arial" w:hAnsi="Arial" w:cs="Arial"/>
                <w:sz w:val="18"/>
                <w:szCs w:val="18"/>
              </w:rPr>
              <w:t xml:space="preserve"> communication</w:t>
            </w:r>
          </w:p>
        </w:tc>
        <w:tc>
          <w:tcPr>
            <w:tcW w:w="3085" w:type="dxa"/>
            <w:vAlign w:val="center"/>
          </w:tcPr>
          <w:p w14:paraId="153C38A4" w14:textId="77777777" w:rsidR="00E343B7" w:rsidRPr="00346F91" w:rsidRDefault="00E343B7" w:rsidP="00B92C7B">
            <w:pPr>
              <w:ind w:right="1295"/>
              <w:jc w:val="right"/>
              <w:rPr>
                <w:rFonts w:ascii="Arial" w:hAnsi="Arial" w:cs="Arial"/>
                <w:color w:val="404040" w:themeColor="text1" w:themeTint="BF"/>
                <w:sz w:val="18"/>
                <w:szCs w:val="18"/>
                <w:lang w:eastAsia="en-US"/>
              </w:rPr>
            </w:pPr>
            <w:r w:rsidRPr="00346F91">
              <w:rPr>
                <w:rFonts w:ascii="Arial" w:hAnsi="Arial" w:cs="Arial"/>
                <w:sz w:val="18"/>
                <w:szCs w:val="18"/>
              </w:rPr>
              <w:t>55.5</w:t>
            </w:r>
          </w:p>
        </w:tc>
        <w:tc>
          <w:tcPr>
            <w:tcW w:w="3085" w:type="dxa"/>
            <w:vAlign w:val="center"/>
          </w:tcPr>
          <w:p w14:paraId="4255A92B" w14:textId="77777777" w:rsidR="00E343B7" w:rsidRPr="00346F91" w:rsidRDefault="00E343B7" w:rsidP="00B92C7B">
            <w:pPr>
              <w:ind w:right="1174"/>
              <w:jc w:val="right"/>
              <w:rPr>
                <w:rFonts w:ascii="Arial" w:hAnsi="Arial" w:cs="Arial"/>
                <w:color w:val="404040" w:themeColor="text1" w:themeTint="BF"/>
                <w:sz w:val="18"/>
                <w:szCs w:val="18"/>
                <w:lang w:eastAsia="en-US"/>
              </w:rPr>
            </w:pPr>
            <w:r w:rsidRPr="00346F91">
              <w:rPr>
                <w:rFonts w:ascii="Arial" w:hAnsi="Arial" w:cs="Arial"/>
                <w:sz w:val="18"/>
                <w:szCs w:val="18"/>
              </w:rPr>
              <w:t>5.3</w:t>
            </w:r>
          </w:p>
        </w:tc>
        <w:tc>
          <w:tcPr>
            <w:tcW w:w="3085" w:type="dxa"/>
            <w:vMerge/>
            <w:vAlign w:val="center"/>
          </w:tcPr>
          <w:p w14:paraId="6B47BC4C" w14:textId="77777777" w:rsidR="00E343B7" w:rsidRPr="00346F91" w:rsidRDefault="00E343B7" w:rsidP="00B92C7B">
            <w:pPr>
              <w:tabs>
                <w:tab w:val="decimal" w:pos="2923"/>
              </w:tabs>
              <w:ind w:right="1336"/>
              <w:jc w:val="right"/>
              <w:rPr>
                <w:rFonts w:ascii="Arial" w:hAnsi="Arial" w:cs="Arial"/>
                <w:sz w:val="18"/>
                <w:szCs w:val="18"/>
                <w:lang w:eastAsia="en-US"/>
              </w:rPr>
            </w:pPr>
          </w:p>
        </w:tc>
      </w:tr>
      <w:tr w:rsidR="00E343B7" w:rsidRPr="00346F91" w14:paraId="11529C1F" w14:textId="77777777" w:rsidTr="00EC6F5F">
        <w:trPr>
          <w:trHeight w:val="216"/>
          <w:jc w:val="center"/>
        </w:trPr>
        <w:tc>
          <w:tcPr>
            <w:tcW w:w="3695" w:type="dxa"/>
          </w:tcPr>
          <w:p w14:paraId="03E49240" w14:textId="77777777" w:rsidR="00E343B7" w:rsidRPr="00346F91" w:rsidRDefault="00E343B7" w:rsidP="004E1154">
            <w:pPr>
              <w:rPr>
                <w:rFonts w:ascii="Arial" w:hAnsi="Arial" w:cs="Arial"/>
                <w:sz w:val="18"/>
                <w:szCs w:val="18"/>
              </w:rPr>
            </w:pPr>
            <w:r w:rsidRPr="00346F91">
              <w:rPr>
                <w:rFonts w:ascii="Arial" w:hAnsi="Arial" w:cs="Arial"/>
                <w:sz w:val="18"/>
                <w:szCs w:val="18"/>
              </w:rPr>
              <w:t>Financial services</w:t>
            </w:r>
          </w:p>
        </w:tc>
        <w:tc>
          <w:tcPr>
            <w:tcW w:w="3085" w:type="dxa"/>
            <w:vAlign w:val="center"/>
          </w:tcPr>
          <w:p w14:paraId="72CB5DF0" w14:textId="4F2BB8FA" w:rsidR="00E343B7" w:rsidRPr="00346F91" w:rsidRDefault="00E343B7" w:rsidP="00B92C7B">
            <w:pPr>
              <w:ind w:right="1295"/>
              <w:jc w:val="right"/>
              <w:rPr>
                <w:rFonts w:ascii="Arial" w:hAnsi="Arial" w:cs="Arial"/>
                <w:color w:val="404040" w:themeColor="text1" w:themeTint="BF"/>
                <w:sz w:val="18"/>
                <w:szCs w:val="18"/>
                <w:lang w:eastAsia="en-US"/>
              </w:rPr>
            </w:pPr>
            <w:r w:rsidRPr="00346F91">
              <w:rPr>
                <w:rFonts w:ascii="Arial" w:hAnsi="Arial" w:cs="Arial"/>
                <w:sz w:val="18"/>
                <w:szCs w:val="18"/>
              </w:rPr>
              <w:t>0</w:t>
            </w:r>
            <w:r w:rsidR="00EC6F5F">
              <w:rPr>
                <w:rFonts w:ascii="Arial" w:hAnsi="Arial" w:cs="Arial"/>
                <w:sz w:val="18"/>
                <w:szCs w:val="18"/>
              </w:rPr>
              <w:t>.0</w:t>
            </w:r>
          </w:p>
        </w:tc>
        <w:tc>
          <w:tcPr>
            <w:tcW w:w="3085" w:type="dxa"/>
            <w:vAlign w:val="center"/>
          </w:tcPr>
          <w:p w14:paraId="7EDFC555" w14:textId="77777777" w:rsidR="00E343B7" w:rsidRPr="00346F91" w:rsidRDefault="00E343B7" w:rsidP="00B92C7B">
            <w:pPr>
              <w:ind w:right="1174"/>
              <w:jc w:val="right"/>
              <w:rPr>
                <w:rFonts w:ascii="Arial" w:hAnsi="Arial" w:cs="Arial"/>
                <w:color w:val="404040" w:themeColor="text1" w:themeTint="BF"/>
                <w:sz w:val="18"/>
                <w:szCs w:val="18"/>
                <w:lang w:eastAsia="en-US"/>
              </w:rPr>
            </w:pPr>
            <w:r w:rsidRPr="00346F91">
              <w:rPr>
                <w:rFonts w:ascii="Arial" w:hAnsi="Arial" w:cs="Arial"/>
                <w:sz w:val="18"/>
                <w:szCs w:val="18"/>
              </w:rPr>
              <w:t>0.4</w:t>
            </w:r>
          </w:p>
        </w:tc>
        <w:tc>
          <w:tcPr>
            <w:tcW w:w="3085" w:type="dxa"/>
            <w:vMerge w:val="restart"/>
            <w:vAlign w:val="center"/>
          </w:tcPr>
          <w:p w14:paraId="69A2458A" w14:textId="77777777" w:rsidR="00E343B7" w:rsidRPr="00346F91" w:rsidRDefault="00E343B7" w:rsidP="00B92C7B">
            <w:pPr>
              <w:tabs>
                <w:tab w:val="decimal" w:pos="2923"/>
              </w:tabs>
              <w:ind w:right="1336"/>
              <w:jc w:val="right"/>
              <w:rPr>
                <w:rFonts w:ascii="Arial" w:hAnsi="Arial" w:cs="Arial"/>
                <w:color w:val="404040" w:themeColor="text1" w:themeTint="BF"/>
                <w:sz w:val="18"/>
                <w:szCs w:val="18"/>
                <w:lang w:eastAsia="en-US"/>
              </w:rPr>
            </w:pPr>
            <w:r w:rsidRPr="00346F91">
              <w:rPr>
                <w:rFonts w:ascii="Arial" w:hAnsi="Arial" w:cs="Arial"/>
                <w:sz w:val="18"/>
                <w:szCs w:val="18"/>
              </w:rPr>
              <w:t>0.8</w:t>
            </w:r>
          </w:p>
        </w:tc>
      </w:tr>
      <w:tr w:rsidR="00E343B7" w:rsidRPr="00346F91" w14:paraId="222F7519" w14:textId="77777777" w:rsidTr="00EC6F5F">
        <w:trPr>
          <w:trHeight w:val="216"/>
          <w:jc w:val="center"/>
        </w:trPr>
        <w:tc>
          <w:tcPr>
            <w:tcW w:w="3695" w:type="dxa"/>
          </w:tcPr>
          <w:p w14:paraId="293C14B3" w14:textId="0E514CF4" w:rsidR="00E343B7" w:rsidRPr="00346F91" w:rsidRDefault="00E343B7" w:rsidP="004E1154">
            <w:pPr>
              <w:rPr>
                <w:rFonts w:ascii="Arial" w:hAnsi="Arial" w:cs="Arial"/>
                <w:sz w:val="18"/>
                <w:szCs w:val="18"/>
              </w:rPr>
            </w:pPr>
            <w:r w:rsidRPr="00346F91">
              <w:rPr>
                <w:rFonts w:ascii="Arial" w:hAnsi="Arial" w:cs="Arial"/>
                <w:sz w:val="18"/>
                <w:szCs w:val="18"/>
              </w:rPr>
              <w:t xml:space="preserve">Real estate </w:t>
            </w:r>
            <w:r w:rsidR="00EC6F5F">
              <w:rPr>
                <w:rFonts w:ascii="Arial" w:hAnsi="Arial" w:cs="Arial"/>
                <w:sz w:val="18"/>
                <w:szCs w:val="18"/>
              </w:rPr>
              <w:t>and</w:t>
            </w:r>
            <w:r w:rsidRPr="00346F91">
              <w:rPr>
                <w:rFonts w:ascii="Arial" w:hAnsi="Arial" w:cs="Arial"/>
                <w:sz w:val="18"/>
                <w:szCs w:val="18"/>
              </w:rPr>
              <w:t xml:space="preserve"> professional services</w:t>
            </w:r>
          </w:p>
        </w:tc>
        <w:tc>
          <w:tcPr>
            <w:tcW w:w="3085" w:type="dxa"/>
            <w:vAlign w:val="center"/>
          </w:tcPr>
          <w:p w14:paraId="00F2DCCA" w14:textId="77777777" w:rsidR="00E343B7" w:rsidRPr="00346F91" w:rsidRDefault="00E343B7" w:rsidP="00B92C7B">
            <w:pPr>
              <w:ind w:right="1295"/>
              <w:jc w:val="right"/>
              <w:rPr>
                <w:rFonts w:ascii="Arial" w:hAnsi="Arial" w:cs="Arial"/>
                <w:color w:val="404040" w:themeColor="text1" w:themeTint="BF"/>
                <w:sz w:val="18"/>
                <w:szCs w:val="18"/>
                <w:lang w:eastAsia="en-US"/>
              </w:rPr>
            </w:pPr>
            <w:r w:rsidRPr="00346F91">
              <w:rPr>
                <w:rFonts w:ascii="Arial" w:hAnsi="Arial" w:cs="Arial"/>
                <w:sz w:val="18"/>
                <w:szCs w:val="18"/>
              </w:rPr>
              <w:t>56.2</w:t>
            </w:r>
          </w:p>
        </w:tc>
        <w:tc>
          <w:tcPr>
            <w:tcW w:w="3085" w:type="dxa"/>
            <w:vAlign w:val="center"/>
          </w:tcPr>
          <w:p w14:paraId="000CE8FC" w14:textId="77777777" w:rsidR="00E343B7" w:rsidRPr="00346F91" w:rsidRDefault="00E343B7" w:rsidP="00B92C7B">
            <w:pPr>
              <w:ind w:right="1174"/>
              <w:jc w:val="right"/>
              <w:rPr>
                <w:rFonts w:ascii="Arial" w:hAnsi="Arial" w:cs="Arial"/>
                <w:color w:val="404040" w:themeColor="text1" w:themeTint="BF"/>
                <w:sz w:val="18"/>
                <w:szCs w:val="18"/>
                <w:lang w:eastAsia="en-US"/>
              </w:rPr>
            </w:pPr>
            <w:r w:rsidRPr="00346F91">
              <w:rPr>
                <w:rFonts w:ascii="Arial" w:hAnsi="Arial" w:cs="Arial"/>
                <w:sz w:val="18"/>
                <w:szCs w:val="18"/>
              </w:rPr>
              <w:t>1.3</w:t>
            </w:r>
          </w:p>
        </w:tc>
        <w:tc>
          <w:tcPr>
            <w:tcW w:w="3085" w:type="dxa"/>
            <w:vMerge/>
            <w:vAlign w:val="center"/>
          </w:tcPr>
          <w:p w14:paraId="0A52B67C" w14:textId="77777777" w:rsidR="00E343B7" w:rsidRPr="00346F91" w:rsidRDefault="00E343B7" w:rsidP="00B92C7B">
            <w:pPr>
              <w:tabs>
                <w:tab w:val="decimal" w:pos="2923"/>
              </w:tabs>
              <w:ind w:right="1336"/>
              <w:jc w:val="right"/>
              <w:rPr>
                <w:rFonts w:ascii="Arial" w:hAnsi="Arial" w:cs="Arial"/>
                <w:sz w:val="18"/>
                <w:szCs w:val="18"/>
                <w:lang w:eastAsia="en-US"/>
              </w:rPr>
            </w:pPr>
          </w:p>
        </w:tc>
      </w:tr>
      <w:tr w:rsidR="00E343B7" w:rsidRPr="00346F91" w14:paraId="4639AAE3" w14:textId="77777777" w:rsidTr="00EC6F5F">
        <w:trPr>
          <w:trHeight w:val="216"/>
          <w:jc w:val="center"/>
        </w:trPr>
        <w:tc>
          <w:tcPr>
            <w:tcW w:w="3695" w:type="dxa"/>
          </w:tcPr>
          <w:p w14:paraId="11ABF65D" w14:textId="77777777" w:rsidR="00E343B7" w:rsidRPr="00346F91" w:rsidRDefault="00E343B7" w:rsidP="004E1154">
            <w:pPr>
              <w:rPr>
                <w:rFonts w:ascii="Arial" w:hAnsi="Arial" w:cs="Arial"/>
                <w:sz w:val="18"/>
                <w:szCs w:val="18"/>
              </w:rPr>
            </w:pPr>
            <w:r w:rsidRPr="00346F91">
              <w:rPr>
                <w:rFonts w:ascii="Arial" w:hAnsi="Arial" w:cs="Arial"/>
                <w:sz w:val="18"/>
                <w:szCs w:val="18"/>
              </w:rPr>
              <w:t>Overall</w:t>
            </w:r>
          </w:p>
        </w:tc>
        <w:tc>
          <w:tcPr>
            <w:tcW w:w="3085" w:type="dxa"/>
            <w:vAlign w:val="center"/>
          </w:tcPr>
          <w:p w14:paraId="0D16F5CD" w14:textId="77777777" w:rsidR="00E343B7" w:rsidRPr="00346F91" w:rsidRDefault="00E343B7" w:rsidP="00B92C7B">
            <w:pPr>
              <w:ind w:right="1295"/>
              <w:jc w:val="right"/>
              <w:rPr>
                <w:rFonts w:ascii="Arial" w:hAnsi="Arial" w:cs="Arial"/>
                <w:color w:val="404040" w:themeColor="text1" w:themeTint="BF"/>
                <w:sz w:val="18"/>
                <w:szCs w:val="18"/>
                <w:lang w:eastAsia="en-US"/>
              </w:rPr>
            </w:pPr>
            <w:r w:rsidRPr="00346F91">
              <w:rPr>
                <w:rFonts w:ascii="Arial" w:hAnsi="Arial" w:cs="Arial"/>
                <w:sz w:val="18"/>
                <w:szCs w:val="18"/>
              </w:rPr>
              <w:t>44.9</w:t>
            </w:r>
          </w:p>
        </w:tc>
        <w:tc>
          <w:tcPr>
            <w:tcW w:w="3085" w:type="dxa"/>
            <w:vAlign w:val="center"/>
          </w:tcPr>
          <w:p w14:paraId="44E06CCC" w14:textId="1BD98610" w:rsidR="00E343B7" w:rsidRPr="00346F91" w:rsidRDefault="00E343B7" w:rsidP="00B92C7B">
            <w:pPr>
              <w:ind w:right="1174"/>
              <w:jc w:val="right"/>
              <w:rPr>
                <w:rFonts w:ascii="Arial" w:hAnsi="Arial" w:cs="Arial"/>
                <w:color w:val="404040" w:themeColor="text1" w:themeTint="BF"/>
                <w:sz w:val="18"/>
                <w:szCs w:val="18"/>
                <w:lang w:eastAsia="en-US"/>
              </w:rPr>
            </w:pPr>
            <w:r w:rsidRPr="00346F91">
              <w:rPr>
                <w:rFonts w:ascii="Arial" w:hAnsi="Arial" w:cs="Arial"/>
                <w:sz w:val="18"/>
                <w:szCs w:val="18"/>
              </w:rPr>
              <w:t>100</w:t>
            </w:r>
            <w:r w:rsidR="00EC6F5F">
              <w:rPr>
                <w:rFonts w:ascii="Arial" w:hAnsi="Arial" w:cs="Arial"/>
                <w:sz w:val="18"/>
                <w:szCs w:val="18"/>
              </w:rPr>
              <w:t>.0</w:t>
            </w:r>
          </w:p>
        </w:tc>
        <w:tc>
          <w:tcPr>
            <w:tcW w:w="3085" w:type="dxa"/>
            <w:vAlign w:val="center"/>
          </w:tcPr>
          <w:p w14:paraId="70BAB835" w14:textId="77777777" w:rsidR="00E343B7" w:rsidRPr="00346F91" w:rsidRDefault="00E343B7" w:rsidP="00B92C7B">
            <w:pPr>
              <w:tabs>
                <w:tab w:val="decimal" w:pos="2923"/>
              </w:tabs>
              <w:ind w:right="1336"/>
              <w:jc w:val="right"/>
              <w:rPr>
                <w:rFonts w:ascii="Arial" w:hAnsi="Arial" w:cs="Arial"/>
                <w:color w:val="404040" w:themeColor="text1" w:themeTint="BF"/>
                <w:sz w:val="18"/>
                <w:szCs w:val="18"/>
                <w:lang w:eastAsia="en-US"/>
              </w:rPr>
            </w:pPr>
            <w:r w:rsidRPr="00346F91">
              <w:rPr>
                <w:rFonts w:ascii="Arial" w:hAnsi="Arial" w:cs="Arial"/>
                <w:sz w:val="18"/>
                <w:szCs w:val="18"/>
              </w:rPr>
              <w:t>82.4</w:t>
            </w:r>
          </w:p>
        </w:tc>
      </w:tr>
    </w:tbl>
    <w:p w14:paraId="7349C2E9" w14:textId="77777777" w:rsidR="00DE7AF6" w:rsidRDefault="00DE7AF6" w:rsidP="00314917">
      <w:pPr>
        <w:pStyle w:val="ExhibitText"/>
      </w:pPr>
    </w:p>
    <w:p w14:paraId="38751406" w14:textId="4B8AB64C" w:rsidR="00772DFA" w:rsidRDefault="00772DFA" w:rsidP="00FC235F">
      <w:pPr>
        <w:pStyle w:val="Footnote"/>
        <w:outlineLvl w:val="0"/>
      </w:pPr>
      <w:r>
        <w:t>Note: GVA = gross value added</w:t>
      </w:r>
    </w:p>
    <w:p w14:paraId="2D5D9404" w14:textId="4CFA1715" w:rsidR="00E343B7" w:rsidRDefault="00E343B7" w:rsidP="00FC235F">
      <w:pPr>
        <w:pStyle w:val="Footnote"/>
        <w:outlineLvl w:val="0"/>
      </w:pPr>
      <w:r>
        <w:t xml:space="preserve">Source: </w:t>
      </w:r>
      <w:r w:rsidR="0026265F">
        <w:t xml:space="preserve">Reserve Bank of India, </w:t>
      </w:r>
      <w:r w:rsidR="0084349F">
        <w:t xml:space="preserve">“Macroeconomic Impact of Demonetisation—A Preliminary Assessment,” March 10, 2017, accessed November 6, 2017, </w:t>
      </w:r>
      <w:r w:rsidRPr="00DE7AF6">
        <w:t>https://rbi.org.in/scripts/PublicationsView.aspx?Id=17447#C2</w:t>
      </w:r>
      <w:r w:rsidR="00DE7AF6">
        <w:t>.</w:t>
      </w:r>
    </w:p>
    <w:p w14:paraId="35A769A1" w14:textId="77777777" w:rsidR="00E343B7" w:rsidRDefault="00E343B7" w:rsidP="00314917">
      <w:pPr>
        <w:pStyle w:val="ExhibitText"/>
      </w:pPr>
    </w:p>
    <w:p w14:paraId="7A043737" w14:textId="77777777" w:rsidR="00E343B7" w:rsidRDefault="00E343B7" w:rsidP="00314917">
      <w:pPr>
        <w:pStyle w:val="ExhibitText"/>
      </w:pPr>
    </w:p>
    <w:p w14:paraId="3D026E8B" w14:textId="184943B5" w:rsidR="00E343B7" w:rsidRDefault="00E343B7" w:rsidP="00FC235F">
      <w:pPr>
        <w:pStyle w:val="ExhibitHeading"/>
        <w:outlineLvl w:val="0"/>
      </w:pPr>
      <w:r>
        <w:t xml:space="preserve">EXHIBIT </w:t>
      </w:r>
      <w:r w:rsidR="00814390">
        <w:t>8</w:t>
      </w:r>
      <w:r w:rsidRPr="00D0282A">
        <w:t xml:space="preserve">: EXPORT PERFORMANCE OF </w:t>
      </w:r>
      <w:r w:rsidR="0026265F">
        <w:t xml:space="preserve">india’s </w:t>
      </w:r>
      <w:r w:rsidRPr="00D0282A">
        <w:t>MAJOR LABO</w:t>
      </w:r>
      <w:r w:rsidR="0084349F">
        <w:t>u</w:t>
      </w:r>
      <w:r w:rsidRPr="00D0282A">
        <w:t>R-INTENSIVE SECTORS</w:t>
      </w:r>
    </w:p>
    <w:p w14:paraId="50A83CD1" w14:textId="77777777" w:rsidR="00DE7AF6" w:rsidRPr="00D0282A" w:rsidRDefault="00DE7AF6" w:rsidP="00314917">
      <w:pPr>
        <w:pStyle w:val="ExhibitText"/>
      </w:pPr>
    </w:p>
    <w:tbl>
      <w:tblPr>
        <w:tblStyle w:val="TableGrid"/>
        <w:tblW w:w="5000" w:type="pct"/>
        <w:jc w:val="center"/>
        <w:tblLayout w:type="fixed"/>
        <w:tblLook w:val="04A0" w:firstRow="1" w:lastRow="0" w:firstColumn="1" w:lastColumn="0" w:noHBand="0" w:noVBand="1"/>
      </w:tblPr>
      <w:tblGrid>
        <w:gridCol w:w="3269"/>
        <w:gridCol w:w="1408"/>
        <w:gridCol w:w="1584"/>
        <w:gridCol w:w="1408"/>
        <w:gridCol w:w="1320"/>
        <w:gridCol w:w="1320"/>
        <w:gridCol w:w="1320"/>
        <w:gridCol w:w="1321"/>
      </w:tblGrid>
      <w:tr w:rsidR="00E343B7" w:rsidRPr="00D0282A" w14:paraId="4BCB37AE" w14:textId="77777777" w:rsidTr="0084349F">
        <w:trPr>
          <w:trHeight w:val="216"/>
          <w:jc w:val="center"/>
        </w:trPr>
        <w:tc>
          <w:tcPr>
            <w:tcW w:w="3269" w:type="dxa"/>
            <w:vMerge w:val="restart"/>
            <w:vAlign w:val="center"/>
          </w:tcPr>
          <w:p w14:paraId="2157A86C" w14:textId="77777777" w:rsidR="00E343B7" w:rsidRPr="00D0282A" w:rsidRDefault="00E343B7" w:rsidP="004E1154">
            <w:pPr>
              <w:rPr>
                <w:rFonts w:ascii="Arial" w:hAnsi="Arial" w:cs="Arial"/>
                <w:sz w:val="18"/>
                <w:szCs w:val="18"/>
              </w:rPr>
            </w:pPr>
          </w:p>
          <w:p w14:paraId="2CC47F63" w14:textId="77777777" w:rsidR="00E343B7" w:rsidRPr="00EC6F5F" w:rsidRDefault="00E343B7" w:rsidP="004E1154">
            <w:pPr>
              <w:rPr>
                <w:rFonts w:ascii="Arial" w:hAnsi="Arial" w:cs="Arial"/>
                <w:b/>
                <w:sz w:val="18"/>
                <w:szCs w:val="18"/>
              </w:rPr>
            </w:pPr>
            <w:r w:rsidRPr="00EC6F5F">
              <w:rPr>
                <w:rFonts w:ascii="Arial" w:hAnsi="Arial" w:cs="Arial"/>
                <w:b/>
                <w:sz w:val="18"/>
                <w:szCs w:val="18"/>
              </w:rPr>
              <w:t>Sector</w:t>
            </w:r>
          </w:p>
        </w:tc>
        <w:tc>
          <w:tcPr>
            <w:tcW w:w="1408" w:type="dxa"/>
            <w:vMerge w:val="restart"/>
            <w:vAlign w:val="center"/>
          </w:tcPr>
          <w:p w14:paraId="0957C46C" w14:textId="77777777" w:rsidR="00E343B7" w:rsidRPr="00EC6F5F" w:rsidRDefault="00E343B7" w:rsidP="00EC6F5F">
            <w:pPr>
              <w:jc w:val="center"/>
              <w:rPr>
                <w:rFonts w:ascii="Arial" w:hAnsi="Arial" w:cs="Arial"/>
                <w:b/>
                <w:sz w:val="18"/>
                <w:szCs w:val="18"/>
              </w:rPr>
            </w:pPr>
          </w:p>
          <w:p w14:paraId="07171358" w14:textId="6001D3FA" w:rsidR="00E343B7" w:rsidRPr="00EC6F5F" w:rsidRDefault="00E343B7" w:rsidP="0084349F">
            <w:pPr>
              <w:jc w:val="center"/>
              <w:rPr>
                <w:rFonts w:ascii="Arial" w:hAnsi="Arial" w:cs="Arial"/>
                <w:b/>
                <w:sz w:val="18"/>
                <w:szCs w:val="18"/>
              </w:rPr>
            </w:pPr>
            <w:r w:rsidRPr="00EC6F5F">
              <w:rPr>
                <w:rFonts w:ascii="Arial" w:hAnsi="Arial" w:cs="Arial"/>
                <w:b/>
                <w:sz w:val="18"/>
                <w:szCs w:val="18"/>
              </w:rPr>
              <w:t>Workforce (millions)</w:t>
            </w:r>
          </w:p>
        </w:tc>
        <w:tc>
          <w:tcPr>
            <w:tcW w:w="1584" w:type="dxa"/>
            <w:vMerge w:val="restart"/>
            <w:vAlign w:val="center"/>
          </w:tcPr>
          <w:p w14:paraId="1B4DBB9C" w14:textId="77777777" w:rsidR="00E343B7" w:rsidRPr="00EC6F5F" w:rsidRDefault="00E343B7" w:rsidP="00EC6F5F">
            <w:pPr>
              <w:jc w:val="center"/>
              <w:rPr>
                <w:rFonts w:ascii="Arial" w:hAnsi="Arial" w:cs="Arial"/>
                <w:b/>
                <w:sz w:val="18"/>
                <w:szCs w:val="18"/>
              </w:rPr>
            </w:pPr>
          </w:p>
          <w:p w14:paraId="102322B2" w14:textId="1D96A825" w:rsidR="00E343B7" w:rsidRPr="00EC6F5F" w:rsidRDefault="00E343B7" w:rsidP="00EC6F5F">
            <w:pPr>
              <w:jc w:val="center"/>
              <w:rPr>
                <w:rFonts w:ascii="Arial" w:hAnsi="Arial" w:cs="Arial"/>
                <w:b/>
                <w:sz w:val="18"/>
                <w:szCs w:val="18"/>
              </w:rPr>
            </w:pPr>
            <w:r w:rsidRPr="00EC6F5F">
              <w:rPr>
                <w:rFonts w:ascii="Arial" w:hAnsi="Arial" w:cs="Arial"/>
                <w:b/>
                <w:sz w:val="18"/>
                <w:szCs w:val="18"/>
              </w:rPr>
              <w:t>Labo</w:t>
            </w:r>
            <w:r w:rsidR="0084349F">
              <w:rPr>
                <w:rFonts w:ascii="Arial" w:hAnsi="Arial" w:cs="Arial"/>
                <w:b/>
                <w:sz w:val="18"/>
                <w:szCs w:val="18"/>
              </w:rPr>
              <w:t>u</w:t>
            </w:r>
            <w:r w:rsidRPr="00EC6F5F">
              <w:rPr>
                <w:rFonts w:ascii="Arial" w:hAnsi="Arial" w:cs="Arial"/>
                <w:b/>
                <w:sz w:val="18"/>
                <w:szCs w:val="18"/>
              </w:rPr>
              <w:t>r</w:t>
            </w:r>
            <w:r w:rsidR="0084349F">
              <w:rPr>
                <w:rFonts w:ascii="Arial" w:hAnsi="Arial" w:cs="Arial"/>
                <w:b/>
                <w:sz w:val="18"/>
                <w:szCs w:val="18"/>
              </w:rPr>
              <w:t>:</w:t>
            </w:r>
            <w:r w:rsidRPr="00EC6F5F">
              <w:rPr>
                <w:rFonts w:ascii="Arial" w:hAnsi="Arial" w:cs="Arial"/>
                <w:b/>
                <w:sz w:val="18"/>
                <w:szCs w:val="18"/>
              </w:rPr>
              <w:t xml:space="preserve">Capital </w:t>
            </w:r>
            <w:r w:rsidR="0084349F">
              <w:rPr>
                <w:rFonts w:ascii="Arial" w:hAnsi="Arial" w:cs="Arial"/>
                <w:b/>
                <w:sz w:val="18"/>
                <w:szCs w:val="18"/>
              </w:rPr>
              <w:t>R</w:t>
            </w:r>
            <w:r w:rsidRPr="00EC6F5F">
              <w:rPr>
                <w:rFonts w:ascii="Arial" w:hAnsi="Arial" w:cs="Arial"/>
                <w:b/>
                <w:sz w:val="18"/>
                <w:szCs w:val="18"/>
              </w:rPr>
              <w:t>atio</w:t>
            </w:r>
          </w:p>
        </w:tc>
        <w:tc>
          <w:tcPr>
            <w:tcW w:w="6689" w:type="dxa"/>
            <w:gridSpan w:val="5"/>
            <w:vAlign w:val="center"/>
          </w:tcPr>
          <w:p w14:paraId="2EF6C408" w14:textId="77777777" w:rsidR="00E343B7" w:rsidRPr="00EC6F5F" w:rsidRDefault="00E343B7" w:rsidP="00EC6F5F">
            <w:pPr>
              <w:jc w:val="center"/>
              <w:rPr>
                <w:rFonts w:ascii="Arial" w:hAnsi="Arial" w:cs="Arial"/>
                <w:b/>
                <w:sz w:val="18"/>
                <w:szCs w:val="18"/>
              </w:rPr>
            </w:pPr>
            <w:r w:rsidRPr="00EC6F5F">
              <w:rPr>
                <w:rFonts w:ascii="Arial" w:hAnsi="Arial" w:cs="Arial"/>
                <w:b/>
                <w:sz w:val="18"/>
                <w:szCs w:val="18"/>
              </w:rPr>
              <w:t>Exports</w:t>
            </w:r>
          </w:p>
        </w:tc>
      </w:tr>
      <w:tr w:rsidR="00E343B7" w:rsidRPr="00D0282A" w14:paraId="61B3B835" w14:textId="77777777" w:rsidTr="0084349F">
        <w:trPr>
          <w:trHeight w:val="216"/>
          <w:jc w:val="center"/>
        </w:trPr>
        <w:tc>
          <w:tcPr>
            <w:tcW w:w="3269" w:type="dxa"/>
            <w:vMerge/>
            <w:vAlign w:val="center"/>
          </w:tcPr>
          <w:p w14:paraId="4E23E0B5" w14:textId="77777777" w:rsidR="00E343B7" w:rsidRPr="00D0282A" w:rsidRDefault="00E343B7" w:rsidP="004E1154">
            <w:pPr>
              <w:rPr>
                <w:rFonts w:ascii="Arial" w:hAnsi="Arial" w:cs="Arial"/>
                <w:sz w:val="18"/>
                <w:szCs w:val="18"/>
              </w:rPr>
            </w:pPr>
          </w:p>
        </w:tc>
        <w:tc>
          <w:tcPr>
            <w:tcW w:w="1408" w:type="dxa"/>
            <w:vMerge/>
            <w:vAlign w:val="center"/>
          </w:tcPr>
          <w:p w14:paraId="51705911" w14:textId="77777777" w:rsidR="00E343B7" w:rsidRPr="00EC6F5F" w:rsidRDefault="00E343B7" w:rsidP="00EC6F5F">
            <w:pPr>
              <w:jc w:val="center"/>
              <w:rPr>
                <w:rFonts w:ascii="Arial" w:hAnsi="Arial" w:cs="Arial"/>
                <w:b/>
                <w:sz w:val="18"/>
                <w:szCs w:val="18"/>
              </w:rPr>
            </w:pPr>
          </w:p>
        </w:tc>
        <w:tc>
          <w:tcPr>
            <w:tcW w:w="1584" w:type="dxa"/>
            <w:vMerge/>
            <w:vAlign w:val="center"/>
          </w:tcPr>
          <w:p w14:paraId="5E15CECB" w14:textId="77777777" w:rsidR="00E343B7" w:rsidRPr="00EC6F5F" w:rsidRDefault="00E343B7" w:rsidP="00EC6F5F">
            <w:pPr>
              <w:jc w:val="center"/>
              <w:rPr>
                <w:rFonts w:ascii="Arial" w:hAnsi="Arial" w:cs="Arial"/>
                <w:b/>
                <w:sz w:val="18"/>
                <w:szCs w:val="18"/>
              </w:rPr>
            </w:pPr>
          </w:p>
        </w:tc>
        <w:tc>
          <w:tcPr>
            <w:tcW w:w="1408" w:type="dxa"/>
            <w:vMerge w:val="restart"/>
            <w:vAlign w:val="center"/>
          </w:tcPr>
          <w:p w14:paraId="05AB37FD" w14:textId="74000F69" w:rsidR="00E343B7" w:rsidRPr="00EC6F5F" w:rsidRDefault="00E343B7" w:rsidP="00EC6F5F">
            <w:pPr>
              <w:jc w:val="center"/>
              <w:rPr>
                <w:rFonts w:ascii="Arial" w:hAnsi="Arial" w:cs="Arial"/>
                <w:b/>
                <w:sz w:val="18"/>
                <w:szCs w:val="18"/>
              </w:rPr>
            </w:pPr>
            <w:r w:rsidRPr="00EC6F5F">
              <w:rPr>
                <w:rFonts w:ascii="Arial" w:hAnsi="Arial" w:cs="Arial"/>
                <w:b/>
                <w:sz w:val="18"/>
                <w:szCs w:val="18"/>
              </w:rPr>
              <w:t xml:space="preserve">% </w:t>
            </w:r>
            <w:r w:rsidR="0084349F">
              <w:rPr>
                <w:rFonts w:ascii="Arial" w:hAnsi="Arial" w:cs="Arial"/>
                <w:b/>
                <w:sz w:val="18"/>
                <w:szCs w:val="18"/>
              </w:rPr>
              <w:t>S</w:t>
            </w:r>
            <w:r w:rsidRPr="00EC6F5F">
              <w:rPr>
                <w:rFonts w:ascii="Arial" w:hAnsi="Arial" w:cs="Arial"/>
                <w:b/>
                <w:sz w:val="18"/>
                <w:szCs w:val="18"/>
              </w:rPr>
              <w:t xml:space="preserve">hare in </w:t>
            </w:r>
            <w:r w:rsidR="0084349F">
              <w:rPr>
                <w:rFonts w:ascii="Arial" w:hAnsi="Arial" w:cs="Arial"/>
                <w:b/>
                <w:sz w:val="18"/>
                <w:szCs w:val="18"/>
              </w:rPr>
              <w:t>E</w:t>
            </w:r>
            <w:r w:rsidRPr="00EC6F5F">
              <w:rPr>
                <w:rFonts w:ascii="Arial" w:hAnsi="Arial" w:cs="Arial"/>
                <w:b/>
                <w:sz w:val="18"/>
                <w:szCs w:val="18"/>
              </w:rPr>
              <w:t>xports</w:t>
            </w:r>
          </w:p>
        </w:tc>
        <w:tc>
          <w:tcPr>
            <w:tcW w:w="5281" w:type="dxa"/>
            <w:gridSpan w:val="4"/>
            <w:vAlign w:val="center"/>
          </w:tcPr>
          <w:p w14:paraId="148F8A27" w14:textId="415C21EF" w:rsidR="00E343B7" w:rsidRPr="00EC6F5F" w:rsidRDefault="00E343B7" w:rsidP="0084349F">
            <w:pPr>
              <w:jc w:val="center"/>
              <w:rPr>
                <w:rFonts w:ascii="Arial" w:hAnsi="Arial" w:cs="Arial"/>
                <w:b/>
                <w:sz w:val="18"/>
                <w:szCs w:val="18"/>
              </w:rPr>
            </w:pPr>
            <w:r w:rsidRPr="00EC6F5F">
              <w:rPr>
                <w:rFonts w:ascii="Arial" w:hAnsi="Arial" w:cs="Arial"/>
                <w:b/>
                <w:sz w:val="18"/>
                <w:szCs w:val="18"/>
              </w:rPr>
              <w:t xml:space="preserve">Growth, </w:t>
            </w:r>
            <w:r w:rsidR="0084349F">
              <w:rPr>
                <w:rFonts w:ascii="Arial" w:hAnsi="Arial" w:cs="Arial"/>
                <w:b/>
                <w:sz w:val="18"/>
                <w:szCs w:val="18"/>
              </w:rPr>
              <w:t>Year-Over-Year</w:t>
            </w:r>
            <w:r w:rsidRPr="00EC6F5F">
              <w:rPr>
                <w:rFonts w:ascii="Arial" w:hAnsi="Arial" w:cs="Arial"/>
                <w:b/>
                <w:sz w:val="18"/>
                <w:szCs w:val="18"/>
              </w:rPr>
              <w:t xml:space="preserve"> (%)</w:t>
            </w:r>
          </w:p>
        </w:tc>
      </w:tr>
      <w:tr w:rsidR="00E343B7" w:rsidRPr="00D0282A" w14:paraId="40DAB546" w14:textId="77777777" w:rsidTr="0084349F">
        <w:trPr>
          <w:trHeight w:val="216"/>
          <w:jc w:val="center"/>
        </w:trPr>
        <w:tc>
          <w:tcPr>
            <w:tcW w:w="3269" w:type="dxa"/>
            <w:vMerge/>
            <w:vAlign w:val="center"/>
          </w:tcPr>
          <w:p w14:paraId="46AEB261" w14:textId="77777777" w:rsidR="00E343B7" w:rsidRPr="00D0282A" w:rsidRDefault="00E343B7" w:rsidP="004E1154">
            <w:pPr>
              <w:rPr>
                <w:rFonts w:ascii="Arial" w:hAnsi="Arial" w:cs="Arial"/>
                <w:sz w:val="18"/>
                <w:szCs w:val="18"/>
              </w:rPr>
            </w:pPr>
          </w:p>
        </w:tc>
        <w:tc>
          <w:tcPr>
            <w:tcW w:w="1408" w:type="dxa"/>
            <w:vMerge/>
            <w:vAlign w:val="center"/>
          </w:tcPr>
          <w:p w14:paraId="36FE0702" w14:textId="77777777" w:rsidR="00E343B7" w:rsidRPr="00EC6F5F" w:rsidRDefault="00E343B7" w:rsidP="00EC6F5F">
            <w:pPr>
              <w:jc w:val="center"/>
              <w:rPr>
                <w:rFonts w:ascii="Arial" w:hAnsi="Arial" w:cs="Arial"/>
                <w:b/>
                <w:sz w:val="18"/>
                <w:szCs w:val="18"/>
              </w:rPr>
            </w:pPr>
          </w:p>
        </w:tc>
        <w:tc>
          <w:tcPr>
            <w:tcW w:w="1584" w:type="dxa"/>
            <w:vMerge/>
            <w:vAlign w:val="center"/>
          </w:tcPr>
          <w:p w14:paraId="4A5FB46A" w14:textId="77777777" w:rsidR="00E343B7" w:rsidRPr="00EC6F5F" w:rsidRDefault="00E343B7" w:rsidP="00EC6F5F">
            <w:pPr>
              <w:jc w:val="center"/>
              <w:rPr>
                <w:rFonts w:ascii="Arial" w:hAnsi="Arial" w:cs="Arial"/>
                <w:b/>
                <w:sz w:val="18"/>
                <w:szCs w:val="18"/>
              </w:rPr>
            </w:pPr>
          </w:p>
        </w:tc>
        <w:tc>
          <w:tcPr>
            <w:tcW w:w="1408" w:type="dxa"/>
            <w:vMerge/>
            <w:vAlign w:val="center"/>
          </w:tcPr>
          <w:p w14:paraId="5499146F" w14:textId="77777777" w:rsidR="00E343B7" w:rsidRPr="00EC6F5F" w:rsidRDefault="00E343B7" w:rsidP="00EC6F5F">
            <w:pPr>
              <w:jc w:val="center"/>
              <w:rPr>
                <w:rFonts w:ascii="Arial" w:hAnsi="Arial" w:cs="Arial"/>
                <w:b/>
                <w:sz w:val="18"/>
                <w:szCs w:val="18"/>
              </w:rPr>
            </w:pPr>
          </w:p>
        </w:tc>
        <w:tc>
          <w:tcPr>
            <w:tcW w:w="1320" w:type="dxa"/>
            <w:vAlign w:val="center"/>
          </w:tcPr>
          <w:p w14:paraId="0FB1BC92" w14:textId="2CACB5EC" w:rsidR="00E343B7" w:rsidRPr="001D39F1" w:rsidRDefault="001D39F1" w:rsidP="00EC6F5F">
            <w:pPr>
              <w:jc w:val="center"/>
              <w:rPr>
                <w:rFonts w:ascii="Arial" w:hAnsi="Arial" w:cs="Arial"/>
                <w:b/>
                <w:sz w:val="18"/>
                <w:szCs w:val="18"/>
                <w:highlight w:val="yellow"/>
              </w:rPr>
            </w:pPr>
            <w:r w:rsidRPr="00916E8C">
              <w:rPr>
                <w:rFonts w:ascii="Arial" w:hAnsi="Arial" w:cs="Arial"/>
                <w:b/>
                <w:sz w:val="18"/>
                <w:szCs w:val="18"/>
              </w:rPr>
              <w:t xml:space="preserve">Oct. </w:t>
            </w:r>
            <w:r w:rsidR="00E343B7" w:rsidRPr="00916E8C">
              <w:rPr>
                <w:rFonts w:ascii="Arial" w:hAnsi="Arial" w:cs="Arial"/>
                <w:b/>
                <w:sz w:val="18"/>
                <w:szCs w:val="18"/>
              </w:rPr>
              <w:t>2016</w:t>
            </w:r>
          </w:p>
        </w:tc>
        <w:tc>
          <w:tcPr>
            <w:tcW w:w="1320" w:type="dxa"/>
            <w:vAlign w:val="center"/>
          </w:tcPr>
          <w:p w14:paraId="309BE323" w14:textId="35E1FD09" w:rsidR="00E343B7" w:rsidRPr="001D39F1" w:rsidRDefault="001D39F1" w:rsidP="00EC6F5F">
            <w:pPr>
              <w:jc w:val="center"/>
              <w:rPr>
                <w:rFonts w:ascii="Arial" w:hAnsi="Arial" w:cs="Arial"/>
                <w:b/>
                <w:sz w:val="18"/>
                <w:szCs w:val="18"/>
                <w:highlight w:val="yellow"/>
              </w:rPr>
            </w:pPr>
            <w:r w:rsidRPr="00916E8C">
              <w:rPr>
                <w:rFonts w:ascii="Arial" w:hAnsi="Arial" w:cs="Arial"/>
                <w:b/>
                <w:sz w:val="18"/>
                <w:szCs w:val="18"/>
              </w:rPr>
              <w:t xml:space="preserve">Nov. </w:t>
            </w:r>
            <w:r w:rsidR="00E343B7" w:rsidRPr="00916E8C">
              <w:rPr>
                <w:rFonts w:ascii="Arial" w:hAnsi="Arial" w:cs="Arial"/>
                <w:b/>
                <w:sz w:val="18"/>
                <w:szCs w:val="18"/>
              </w:rPr>
              <w:t>2016</w:t>
            </w:r>
          </w:p>
        </w:tc>
        <w:tc>
          <w:tcPr>
            <w:tcW w:w="1320" w:type="dxa"/>
            <w:vAlign w:val="center"/>
          </w:tcPr>
          <w:p w14:paraId="67659519" w14:textId="519CD727" w:rsidR="00E343B7" w:rsidRPr="001D39F1" w:rsidRDefault="001D39F1" w:rsidP="00EC6F5F">
            <w:pPr>
              <w:jc w:val="center"/>
              <w:rPr>
                <w:rFonts w:ascii="Arial" w:hAnsi="Arial" w:cs="Arial"/>
                <w:b/>
                <w:sz w:val="18"/>
                <w:szCs w:val="18"/>
                <w:highlight w:val="yellow"/>
              </w:rPr>
            </w:pPr>
            <w:r w:rsidRPr="00916E8C">
              <w:rPr>
                <w:rFonts w:ascii="Arial" w:hAnsi="Arial" w:cs="Arial"/>
                <w:b/>
                <w:sz w:val="18"/>
                <w:szCs w:val="18"/>
              </w:rPr>
              <w:t xml:space="preserve">Dec. </w:t>
            </w:r>
            <w:r w:rsidR="00E343B7" w:rsidRPr="00916E8C">
              <w:rPr>
                <w:rFonts w:ascii="Arial" w:hAnsi="Arial" w:cs="Arial"/>
                <w:b/>
                <w:sz w:val="18"/>
                <w:szCs w:val="18"/>
              </w:rPr>
              <w:t>2016</w:t>
            </w:r>
          </w:p>
        </w:tc>
        <w:tc>
          <w:tcPr>
            <w:tcW w:w="1321" w:type="dxa"/>
            <w:vAlign w:val="center"/>
          </w:tcPr>
          <w:p w14:paraId="3F15C2B0" w14:textId="15477FAF" w:rsidR="00E343B7" w:rsidRPr="001D39F1" w:rsidRDefault="001D39F1" w:rsidP="00EC6F5F">
            <w:pPr>
              <w:jc w:val="center"/>
              <w:rPr>
                <w:rFonts w:ascii="Arial" w:hAnsi="Arial" w:cs="Arial"/>
                <w:b/>
                <w:sz w:val="18"/>
                <w:szCs w:val="18"/>
                <w:highlight w:val="yellow"/>
              </w:rPr>
            </w:pPr>
            <w:r w:rsidRPr="00916E8C">
              <w:rPr>
                <w:rFonts w:ascii="Arial" w:hAnsi="Arial" w:cs="Arial"/>
                <w:b/>
                <w:sz w:val="18"/>
                <w:szCs w:val="18"/>
              </w:rPr>
              <w:t xml:space="preserve">Jan. </w:t>
            </w:r>
            <w:r w:rsidR="00E343B7" w:rsidRPr="00916E8C">
              <w:rPr>
                <w:rFonts w:ascii="Arial" w:hAnsi="Arial" w:cs="Arial"/>
                <w:b/>
                <w:sz w:val="18"/>
                <w:szCs w:val="18"/>
              </w:rPr>
              <w:t>2017</w:t>
            </w:r>
          </w:p>
        </w:tc>
      </w:tr>
      <w:tr w:rsidR="00E343B7" w:rsidRPr="00D0282A" w14:paraId="5E9F3E5A" w14:textId="77777777" w:rsidTr="0084349F">
        <w:trPr>
          <w:trHeight w:val="216"/>
          <w:jc w:val="center"/>
        </w:trPr>
        <w:tc>
          <w:tcPr>
            <w:tcW w:w="3269" w:type="dxa"/>
            <w:vAlign w:val="center"/>
          </w:tcPr>
          <w:p w14:paraId="21692861" w14:textId="6A069C49" w:rsidR="00E343B7" w:rsidRPr="00D0282A" w:rsidRDefault="00E343B7" w:rsidP="00EC6F5F">
            <w:pPr>
              <w:rPr>
                <w:rFonts w:ascii="Arial" w:hAnsi="Arial" w:cs="Arial"/>
                <w:sz w:val="18"/>
                <w:szCs w:val="18"/>
              </w:rPr>
            </w:pPr>
            <w:r w:rsidRPr="00D0282A">
              <w:rPr>
                <w:rFonts w:ascii="Arial" w:hAnsi="Arial" w:cs="Arial"/>
                <w:sz w:val="18"/>
                <w:szCs w:val="18"/>
              </w:rPr>
              <w:t xml:space="preserve">Gems </w:t>
            </w:r>
            <w:r w:rsidR="00EC6F5F">
              <w:rPr>
                <w:rFonts w:ascii="Arial" w:hAnsi="Arial" w:cs="Arial"/>
                <w:sz w:val="18"/>
                <w:szCs w:val="18"/>
              </w:rPr>
              <w:t>and</w:t>
            </w:r>
            <w:r w:rsidR="00EC6F5F" w:rsidRPr="00D0282A">
              <w:rPr>
                <w:rFonts w:ascii="Arial" w:hAnsi="Arial" w:cs="Arial"/>
                <w:sz w:val="18"/>
                <w:szCs w:val="18"/>
              </w:rPr>
              <w:t xml:space="preserve"> </w:t>
            </w:r>
            <w:r w:rsidR="00EC6F5F">
              <w:rPr>
                <w:rFonts w:ascii="Arial" w:hAnsi="Arial" w:cs="Arial"/>
                <w:sz w:val="18"/>
                <w:szCs w:val="18"/>
              </w:rPr>
              <w:t>j</w:t>
            </w:r>
            <w:r w:rsidRPr="00D0282A">
              <w:rPr>
                <w:rFonts w:ascii="Arial" w:hAnsi="Arial" w:cs="Arial"/>
                <w:sz w:val="18"/>
                <w:szCs w:val="18"/>
              </w:rPr>
              <w:t>ewellery</w:t>
            </w:r>
          </w:p>
        </w:tc>
        <w:tc>
          <w:tcPr>
            <w:tcW w:w="1408" w:type="dxa"/>
            <w:vAlign w:val="center"/>
          </w:tcPr>
          <w:p w14:paraId="5A3EE4EF"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5.2</w:t>
            </w:r>
          </w:p>
        </w:tc>
        <w:tc>
          <w:tcPr>
            <w:tcW w:w="1584" w:type="dxa"/>
            <w:vAlign w:val="center"/>
          </w:tcPr>
          <w:p w14:paraId="39E17A8B"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38.1</w:t>
            </w:r>
          </w:p>
        </w:tc>
        <w:tc>
          <w:tcPr>
            <w:tcW w:w="1408" w:type="dxa"/>
            <w:vAlign w:val="center"/>
          </w:tcPr>
          <w:p w14:paraId="1A26F88C"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15.9</w:t>
            </w:r>
          </w:p>
        </w:tc>
        <w:tc>
          <w:tcPr>
            <w:tcW w:w="1320" w:type="dxa"/>
            <w:vAlign w:val="center"/>
          </w:tcPr>
          <w:p w14:paraId="6419C25D"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21.8</w:t>
            </w:r>
          </w:p>
        </w:tc>
        <w:tc>
          <w:tcPr>
            <w:tcW w:w="1320" w:type="dxa"/>
            <w:vAlign w:val="center"/>
          </w:tcPr>
          <w:p w14:paraId="4B4249C5" w14:textId="1AA69D79" w:rsidR="00E343B7" w:rsidRPr="00D0282A" w:rsidRDefault="0084349F" w:rsidP="00EC6F5F">
            <w:pPr>
              <w:ind w:right="288"/>
              <w:jc w:val="right"/>
              <w:rPr>
                <w:rFonts w:ascii="Arial" w:hAnsi="Arial" w:cs="Arial"/>
                <w:sz w:val="18"/>
                <w:szCs w:val="18"/>
              </w:rPr>
            </w:pPr>
            <w:r>
              <w:rPr>
                <w:rFonts w:ascii="Arial" w:hAnsi="Arial" w:cs="Arial"/>
                <w:sz w:val="18"/>
                <w:szCs w:val="18"/>
              </w:rPr>
              <w:t>−</w:t>
            </w:r>
            <w:r w:rsidR="00E343B7" w:rsidRPr="00D0282A">
              <w:rPr>
                <w:rFonts w:ascii="Arial" w:hAnsi="Arial" w:cs="Arial"/>
                <w:sz w:val="18"/>
                <w:szCs w:val="18"/>
              </w:rPr>
              <w:t>12.8</w:t>
            </w:r>
          </w:p>
        </w:tc>
        <w:tc>
          <w:tcPr>
            <w:tcW w:w="1320" w:type="dxa"/>
            <w:vAlign w:val="center"/>
          </w:tcPr>
          <w:p w14:paraId="4914D831"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27.9</w:t>
            </w:r>
          </w:p>
        </w:tc>
        <w:tc>
          <w:tcPr>
            <w:tcW w:w="1321" w:type="dxa"/>
            <w:vAlign w:val="center"/>
          </w:tcPr>
          <w:p w14:paraId="3FB6B089" w14:textId="04F3F597" w:rsidR="00E343B7" w:rsidRPr="00D0282A" w:rsidRDefault="0084349F" w:rsidP="00EC6F5F">
            <w:pPr>
              <w:ind w:right="288"/>
              <w:jc w:val="right"/>
              <w:rPr>
                <w:rFonts w:ascii="Arial" w:hAnsi="Arial" w:cs="Arial"/>
                <w:sz w:val="18"/>
                <w:szCs w:val="18"/>
              </w:rPr>
            </w:pPr>
            <w:r>
              <w:rPr>
                <w:rFonts w:ascii="Arial" w:hAnsi="Arial" w:cs="Arial"/>
                <w:sz w:val="18"/>
                <w:szCs w:val="18"/>
              </w:rPr>
              <w:t>−</w:t>
            </w:r>
            <w:r w:rsidR="00E343B7" w:rsidRPr="00D0282A">
              <w:rPr>
                <w:rFonts w:ascii="Arial" w:hAnsi="Arial" w:cs="Arial"/>
                <w:sz w:val="18"/>
                <w:szCs w:val="18"/>
              </w:rPr>
              <w:t>4.5</w:t>
            </w:r>
          </w:p>
        </w:tc>
      </w:tr>
      <w:tr w:rsidR="00E343B7" w:rsidRPr="00D0282A" w14:paraId="3FC2B1E3" w14:textId="77777777" w:rsidTr="0084349F">
        <w:trPr>
          <w:trHeight w:val="216"/>
          <w:jc w:val="center"/>
        </w:trPr>
        <w:tc>
          <w:tcPr>
            <w:tcW w:w="3269" w:type="dxa"/>
            <w:vAlign w:val="center"/>
          </w:tcPr>
          <w:p w14:paraId="1E27E095" w14:textId="77777777" w:rsidR="00E343B7" w:rsidRPr="00D0282A" w:rsidRDefault="00E343B7" w:rsidP="004E1154">
            <w:pPr>
              <w:rPr>
                <w:rFonts w:ascii="Arial" w:hAnsi="Arial" w:cs="Arial"/>
                <w:sz w:val="18"/>
                <w:szCs w:val="18"/>
              </w:rPr>
            </w:pPr>
            <w:r w:rsidRPr="00D0282A">
              <w:rPr>
                <w:rFonts w:ascii="Arial" w:hAnsi="Arial" w:cs="Arial"/>
                <w:sz w:val="18"/>
                <w:szCs w:val="18"/>
              </w:rPr>
              <w:t>Readymade garments</w:t>
            </w:r>
          </w:p>
        </w:tc>
        <w:tc>
          <w:tcPr>
            <w:tcW w:w="1408" w:type="dxa"/>
            <w:vAlign w:val="center"/>
          </w:tcPr>
          <w:p w14:paraId="7ADF7E74"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0.6</w:t>
            </w:r>
          </w:p>
        </w:tc>
        <w:tc>
          <w:tcPr>
            <w:tcW w:w="1584" w:type="dxa"/>
            <w:vAlign w:val="center"/>
          </w:tcPr>
          <w:p w14:paraId="6B032F89"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41.8</w:t>
            </w:r>
          </w:p>
        </w:tc>
        <w:tc>
          <w:tcPr>
            <w:tcW w:w="1408" w:type="dxa"/>
            <w:vAlign w:val="center"/>
          </w:tcPr>
          <w:p w14:paraId="74437D4C"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6.3</w:t>
            </w:r>
          </w:p>
        </w:tc>
        <w:tc>
          <w:tcPr>
            <w:tcW w:w="1320" w:type="dxa"/>
            <w:vAlign w:val="center"/>
          </w:tcPr>
          <w:p w14:paraId="5C2AC76A"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10.7</w:t>
            </w:r>
          </w:p>
        </w:tc>
        <w:tc>
          <w:tcPr>
            <w:tcW w:w="1320" w:type="dxa"/>
            <w:vAlign w:val="center"/>
          </w:tcPr>
          <w:p w14:paraId="7031229E" w14:textId="1E215209" w:rsidR="00E343B7" w:rsidRPr="00D0282A" w:rsidRDefault="0084349F" w:rsidP="00EC6F5F">
            <w:pPr>
              <w:ind w:right="288"/>
              <w:jc w:val="right"/>
              <w:rPr>
                <w:rFonts w:ascii="Arial" w:hAnsi="Arial" w:cs="Arial"/>
                <w:sz w:val="18"/>
                <w:szCs w:val="18"/>
              </w:rPr>
            </w:pPr>
            <w:r>
              <w:rPr>
                <w:rFonts w:ascii="Arial" w:hAnsi="Arial" w:cs="Arial"/>
                <w:sz w:val="18"/>
                <w:szCs w:val="18"/>
              </w:rPr>
              <w:t>−</w:t>
            </w:r>
            <w:r w:rsidR="00E343B7" w:rsidRPr="00D0282A">
              <w:rPr>
                <w:rFonts w:ascii="Arial" w:hAnsi="Arial" w:cs="Arial"/>
                <w:sz w:val="18"/>
                <w:szCs w:val="18"/>
              </w:rPr>
              <w:t>2.9</w:t>
            </w:r>
          </w:p>
        </w:tc>
        <w:tc>
          <w:tcPr>
            <w:tcW w:w="1320" w:type="dxa"/>
            <w:vAlign w:val="center"/>
          </w:tcPr>
          <w:p w14:paraId="280A03EE" w14:textId="7F54F53D" w:rsidR="00E343B7" w:rsidRPr="00D0282A" w:rsidRDefault="0084349F" w:rsidP="00EC6F5F">
            <w:pPr>
              <w:ind w:right="288"/>
              <w:jc w:val="right"/>
              <w:rPr>
                <w:rFonts w:ascii="Arial" w:hAnsi="Arial" w:cs="Arial"/>
                <w:sz w:val="18"/>
                <w:szCs w:val="18"/>
              </w:rPr>
            </w:pPr>
            <w:r>
              <w:rPr>
                <w:rFonts w:ascii="Arial" w:hAnsi="Arial" w:cs="Arial"/>
                <w:sz w:val="18"/>
                <w:szCs w:val="18"/>
              </w:rPr>
              <w:t>−</w:t>
            </w:r>
            <w:r w:rsidR="00E343B7" w:rsidRPr="00D0282A">
              <w:rPr>
                <w:rFonts w:ascii="Arial" w:hAnsi="Arial" w:cs="Arial"/>
                <w:sz w:val="18"/>
                <w:szCs w:val="18"/>
              </w:rPr>
              <w:t>0.3</w:t>
            </w:r>
          </w:p>
        </w:tc>
        <w:tc>
          <w:tcPr>
            <w:tcW w:w="1321" w:type="dxa"/>
            <w:vAlign w:val="center"/>
          </w:tcPr>
          <w:p w14:paraId="2345971B"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2.1</w:t>
            </w:r>
          </w:p>
        </w:tc>
      </w:tr>
      <w:tr w:rsidR="00E343B7" w:rsidRPr="00D0282A" w14:paraId="14169C14" w14:textId="77777777" w:rsidTr="0084349F">
        <w:trPr>
          <w:trHeight w:val="216"/>
          <w:jc w:val="center"/>
        </w:trPr>
        <w:tc>
          <w:tcPr>
            <w:tcW w:w="3269" w:type="dxa"/>
            <w:vAlign w:val="center"/>
          </w:tcPr>
          <w:p w14:paraId="2B2F2B75" w14:textId="79511A6B" w:rsidR="00E343B7" w:rsidRPr="00D0282A" w:rsidRDefault="00E343B7" w:rsidP="00EC6F5F">
            <w:pPr>
              <w:rPr>
                <w:rFonts w:ascii="Arial" w:hAnsi="Arial" w:cs="Arial"/>
                <w:sz w:val="18"/>
                <w:szCs w:val="18"/>
              </w:rPr>
            </w:pPr>
            <w:r w:rsidRPr="00D0282A">
              <w:rPr>
                <w:rFonts w:ascii="Arial" w:hAnsi="Arial" w:cs="Arial"/>
                <w:sz w:val="18"/>
                <w:szCs w:val="18"/>
              </w:rPr>
              <w:t xml:space="preserve">Leather </w:t>
            </w:r>
            <w:r w:rsidR="00EC6F5F">
              <w:rPr>
                <w:rFonts w:ascii="Arial" w:hAnsi="Arial" w:cs="Arial"/>
                <w:sz w:val="18"/>
                <w:szCs w:val="18"/>
              </w:rPr>
              <w:t>and</w:t>
            </w:r>
            <w:r w:rsidR="00EC6F5F" w:rsidRPr="00D0282A">
              <w:rPr>
                <w:rFonts w:ascii="Arial" w:hAnsi="Arial" w:cs="Arial"/>
                <w:sz w:val="18"/>
                <w:szCs w:val="18"/>
              </w:rPr>
              <w:t xml:space="preserve"> </w:t>
            </w:r>
            <w:r w:rsidRPr="00D0282A">
              <w:rPr>
                <w:rFonts w:ascii="Arial" w:hAnsi="Arial" w:cs="Arial"/>
                <w:sz w:val="18"/>
                <w:szCs w:val="18"/>
              </w:rPr>
              <w:t>leather products</w:t>
            </w:r>
          </w:p>
        </w:tc>
        <w:tc>
          <w:tcPr>
            <w:tcW w:w="1408" w:type="dxa"/>
            <w:vAlign w:val="center"/>
          </w:tcPr>
          <w:p w14:paraId="4BA2E0C0"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0.3</w:t>
            </w:r>
          </w:p>
        </w:tc>
        <w:tc>
          <w:tcPr>
            <w:tcW w:w="1584" w:type="dxa"/>
            <w:vAlign w:val="center"/>
          </w:tcPr>
          <w:p w14:paraId="4294F6E6"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27.3</w:t>
            </w:r>
          </w:p>
        </w:tc>
        <w:tc>
          <w:tcPr>
            <w:tcW w:w="1408" w:type="dxa"/>
            <w:vAlign w:val="center"/>
          </w:tcPr>
          <w:p w14:paraId="67D0A487" w14:textId="782F8008"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2</w:t>
            </w:r>
            <w:r w:rsidR="0084349F">
              <w:rPr>
                <w:rFonts w:ascii="Arial" w:hAnsi="Arial" w:cs="Arial"/>
                <w:sz w:val="18"/>
                <w:szCs w:val="18"/>
              </w:rPr>
              <w:t>.0</w:t>
            </w:r>
          </w:p>
        </w:tc>
        <w:tc>
          <w:tcPr>
            <w:tcW w:w="1320" w:type="dxa"/>
            <w:vAlign w:val="center"/>
          </w:tcPr>
          <w:p w14:paraId="4A44BA1D" w14:textId="376F856A" w:rsidR="00E343B7" w:rsidRPr="00D0282A" w:rsidRDefault="0084349F" w:rsidP="00EC6F5F">
            <w:pPr>
              <w:ind w:right="288"/>
              <w:jc w:val="right"/>
              <w:rPr>
                <w:rFonts w:ascii="Arial" w:hAnsi="Arial" w:cs="Arial"/>
                <w:sz w:val="18"/>
                <w:szCs w:val="18"/>
              </w:rPr>
            </w:pPr>
            <w:r>
              <w:rPr>
                <w:rFonts w:ascii="Arial" w:hAnsi="Arial" w:cs="Arial"/>
                <w:sz w:val="18"/>
                <w:szCs w:val="18"/>
              </w:rPr>
              <w:t>−</w:t>
            </w:r>
            <w:r w:rsidR="00E343B7" w:rsidRPr="00D0282A">
              <w:rPr>
                <w:rFonts w:ascii="Arial" w:hAnsi="Arial" w:cs="Arial"/>
                <w:sz w:val="18"/>
                <w:szCs w:val="18"/>
              </w:rPr>
              <w:t>1.7</w:t>
            </w:r>
          </w:p>
        </w:tc>
        <w:tc>
          <w:tcPr>
            <w:tcW w:w="1320" w:type="dxa"/>
            <w:vAlign w:val="center"/>
          </w:tcPr>
          <w:p w14:paraId="49A4DA07"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6.4</w:t>
            </w:r>
          </w:p>
        </w:tc>
        <w:tc>
          <w:tcPr>
            <w:tcW w:w="1320" w:type="dxa"/>
            <w:vAlign w:val="center"/>
          </w:tcPr>
          <w:p w14:paraId="544D232C" w14:textId="4C5E07CD" w:rsidR="00E343B7" w:rsidRPr="00D0282A" w:rsidRDefault="0084349F" w:rsidP="00EC6F5F">
            <w:pPr>
              <w:ind w:right="288"/>
              <w:jc w:val="right"/>
              <w:rPr>
                <w:rFonts w:ascii="Arial" w:hAnsi="Arial" w:cs="Arial"/>
                <w:sz w:val="18"/>
                <w:szCs w:val="18"/>
              </w:rPr>
            </w:pPr>
            <w:r>
              <w:rPr>
                <w:rFonts w:ascii="Arial" w:hAnsi="Arial" w:cs="Arial"/>
                <w:sz w:val="18"/>
                <w:szCs w:val="18"/>
              </w:rPr>
              <w:t>−</w:t>
            </w:r>
            <w:r w:rsidR="00E343B7" w:rsidRPr="00D0282A">
              <w:rPr>
                <w:rFonts w:ascii="Arial" w:hAnsi="Arial" w:cs="Arial"/>
                <w:sz w:val="18"/>
                <w:szCs w:val="18"/>
              </w:rPr>
              <w:t>3.1</w:t>
            </w:r>
          </w:p>
        </w:tc>
        <w:tc>
          <w:tcPr>
            <w:tcW w:w="1321" w:type="dxa"/>
            <w:vAlign w:val="center"/>
          </w:tcPr>
          <w:p w14:paraId="2E4B26A7" w14:textId="4E5E2A93" w:rsidR="00E343B7" w:rsidRPr="00D0282A" w:rsidRDefault="0084349F" w:rsidP="00EC6F5F">
            <w:pPr>
              <w:ind w:right="288"/>
              <w:jc w:val="right"/>
              <w:rPr>
                <w:rFonts w:ascii="Arial" w:hAnsi="Arial" w:cs="Arial"/>
                <w:sz w:val="18"/>
                <w:szCs w:val="18"/>
              </w:rPr>
            </w:pPr>
            <w:r>
              <w:rPr>
                <w:rFonts w:ascii="Arial" w:hAnsi="Arial" w:cs="Arial"/>
                <w:sz w:val="18"/>
                <w:szCs w:val="18"/>
              </w:rPr>
              <w:t>−</w:t>
            </w:r>
            <w:r w:rsidR="00E343B7" w:rsidRPr="00D0282A">
              <w:rPr>
                <w:rFonts w:ascii="Arial" w:hAnsi="Arial" w:cs="Arial"/>
                <w:sz w:val="18"/>
                <w:szCs w:val="18"/>
              </w:rPr>
              <w:t>10.3</w:t>
            </w:r>
          </w:p>
        </w:tc>
      </w:tr>
      <w:tr w:rsidR="00E343B7" w:rsidRPr="00D0282A" w14:paraId="52AE3D47" w14:textId="77777777" w:rsidTr="0084349F">
        <w:trPr>
          <w:trHeight w:val="216"/>
          <w:jc w:val="center"/>
        </w:trPr>
        <w:tc>
          <w:tcPr>
            <w:tcW w:w="3269" w:type="dxa"/>
            <w:vAlign w:val="center"/>
          </w:tcPr>
          <w:p w14:paraId="426E62B6" w14:textId="0D9420D9" w:rsidR="00E343B7" w:rsidRPr="00D0282A" w:rsidRDefault="00E343B7" w:rsidP="00EC6F5F">
            <w:pPr>
              <w:rPr>
                <w:rFonts w:ascii="Arial" w:hAnsi="Arial" w:cs="Arial"/>
                <w:sz w:val="18"/>
                <w:szCs w:val="18"/>
              </w:rPr>
            </w:pPr>
            <w:r w:rsidRPr="00D0282A">
              <w:rPr>
                <w:rFonts w:ascii="Arial" w:hAnsi="Arial" w:cs="Arial"/>
                <w:sz w:val="18"/>
                <w:szCs w:val="18"/>
              </w:rPr>
              <w:t>Meat, dairy</w:t>
            </w:r>
            <w:r w:rsidR="00EC6F5F">
              <w:rPr>
                <w:rFonts w:ascii="Arial" w:hAnsi="Arial" w:cs="Arial"/>
                <w:sz w:val="18"/>
                <w:szCs w:val="18"/>
              </w:rPr>
              <w:t>, and</w:t>
            </w:r>
            <w:r w:rsidRPr="00D0282A">
              <w:rPr>
                <w:rFonts w:ascii="Arial" w:hAnsi="Arial" w:cs="Arial"/>
                <w:sz w:val="18"/>
                <w:szCs w:val="18"/>
              </w:rPr>
              <w:t xml:space="preserve"> poultry products</w:t>
            </w:r>
          </w:p>
        </w:tc>
        <w:tc>
          <w:tcPr>
            <w:tcW w:w="1408" w:type="dxa"/>
            <w:vAlign w:val="center"/>
          </w:tcPr>
          <w:p w14:paraId="1FCDC9D8"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0.1</w:t>
            </w:r>
          </w:p>
        </w:tc>
        <w:tc>
          <w:tcPr>
            <w:tcW w:w="1584" w:type="dxa"/>
            <w:vAlign w:val="center"/>
          </w:tcPr>
          <w:p w14:paraId="34C52242"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17.7</w:t>
            </w:r>
          </w:p>
        </w:tc>
        <w:tc>
          <w:tcPr>
            <w:tcW w:w="1408" w:type="dxa"/>
            <w:vAlign w:val="center"/>
          </w:tcPr>
          <w:p w14:paraId="09C02010"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1.6</w:t>
            </w:r>
          </w:p>
        </w:tc>
        <w:tc>
          <w:tcPr>
            <w:tcW w:w="1320" w:type="dxa"/>
            <w:vAlign w:val="center"/>
          </w:tcPr>
          <w:p w14:paraId="2A9AB060"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11.5</w:t>
            </w:r>
          </w:p>
        </w:tc>
        <w:tc>
          <w:tcPr>
            <w:tcW w:w="1320" w:type="dxa"/>
            <w:vAlign w:val="center"/>
          </w:tcPr>
          <w:p w14:paraId="0B6D0CF3"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0.6</w:t>
            </w:r>
          </w:p>
        </w:tc>
        <w:tc>
          <w:tcPr>
            <w:tcW w:w="1320" w:type="dxa"/>
            <w:vAlign w:val="center"/>
          </w:tcPr>
          <w:p w14:paraId="719670FC" w14:textId="06BCD756" w:rsidR="00E343B7" w:rsidRPr="00D0282A" w:rsidRDefault="0084349F" w:rsidP="00EC6F5F">
            <w:pPr>
              <w:ind w:right="288"/>
              <w:jc w:val="right"/>
              <w:rPr>
                <w:rFonts w:ascii="Arial" w:hAnsi="Arial" w:cs="Arial"/>
                <w:sz w:val="18"/>
                <w:szCs w:val="18"/>
              </w:rPr>
            </w:pPr>
            <w:r>
              <w:rPr>
                <w:rFonts w:ascii="Arial" w:hAnsi="Arial" w:cs="Arial"/>
                <w:sz w:val="18"/>
                <w:szCs w:val="18"/>
              </w:rPr>
              <w:t>−</w:t>
            </w:r>
            <w:r w:rsidR="00E343B7" w:rsidRPr="00D0282A">
              <w:rPr>
                <w:rFonts w:ascii="Arial" w:hAnsi="Arial" w:cs="Arial"/>
                <w:sz w:val="18"/>
                <w:szCs w:val="18"/>
              </w:rPr>
              <w:t>45.7</w:t>
            </w:r>
          </w:p>
        </w:tc>
        <w:tc>
          <w:tcPr>
            <w:tcW w:w="1321" w:type="dxa"/>
            <w:vAlign w:val="center"/>
          </w:tcPr>
          <w:p w14:paraId="337961EB" w14:textId="159DC20E" w:rsidR="00E343B7" w:rsidRPr="00D0282A" w:rsidRDefault="0084349F" w:rsidP="00EC6F5F">
            <w:pPr>
              <w:ind w:right="288"/>
              <w:jc w:val="right"/>
              <w:rPr>
                <w:rFonts w:ascii="Arial" w:hAnsi="Arial" w:cs="Arial"/>
                <w:sz w:val="18"/>
                <w:szCs w:val="18"/>
              </w:rPr>
            </w:pPr>
            <w:r>
              <w:rPr>
                <w:rFonts w:ascii="Arial" w:hAnsi="Arial" w:cs="Arial"/>
                <w:sz w:val="18"/>
                <w:szCs w:val="18"/>
              </w:rPr>
              <w:t>−</w:t>
            </w:r>
            <w:r w:rsidR="00E343B7" w:rsidRPr="00D0282A">
              <w:rPr>
                <w:rFonts w:ascii="Arial" w:hAnsi="Arial" w:cs="Arial"/>
                <w:sz w:val="18"/>
                <w:szCs w:val="18"/>
              </w:rPr>
              <w:t>15.4</w:t>
            </w:r>
          </w:p>
        </w:tc>
      </w:tr>
      <w:tr w:rsidR="00E343B7" w:rsidRPr="00D0282A" w14:paraId="7BF65130" w14:textId="77777777" w:rsidTr="0084349F">
        <w:trPr>
          <w:trHeight w:val="216"/>
          <w:jc w:val="center"/>
        </w:trPr>
        <w:tc>
          <w:tcPr>
            <w:tcW w:w="3269" w:type="dxa"/>
            <w:vAlign w:val="center"/>
          </w:tcPr>
          <w:p w14:paraId="01719C85" w14:textId="602A5552" w:rsidR="00E343B7" w:rsidRPr="00D0282A" w:rsidRDefault="00E343B7" w:rsidP="00EC6F5F">
            <w:pPr>
              <w:rPr>
                <w:rFonts w:ascii="Arial" w:hAnsi="Arial" w:cs="Arial"/>
                <w:sz w:val="18"/>
                <w:szCs w:val="18"/>
              </w:rPr>
            </w:pPr>
            <w:r w:rsidRPr="00D0282A">
              <w:rPr>
                <w:rFonts w:ascii="Arial" w:hAnsi="Arial" w:cs="Arial"/>
                <w:sz w:val="18"/>
                <w:szCs w:val="18"/>
              </w:rPr>
              <w:t xml:space="preserve">Handicrafts </w:t>
            </w:r>
            <w:r w:rsidR="00EC6F5F">
              <w:rPr>
                <w:rFonts w:ascii="Arial" w:hAnsi="Arial" w:cs="Arial"/>
                <w:sz w:val="18"/>
                <w:szCs w:val="18"/>
              </w:rPr>
              <w:t>and</w:t>
            </w:r>
            <w:r w:rsidRPr="00D0282A">
              <w:rPr>
                <w:rFonts w:ascii="Arial" w:hAnsi="Arial" w:cs="Arial"/>
                <w:sz w:val="18"/>
                <w:szCs w:val="18"/>
              </w:rPr>
              <w:t xml:space="preserve"> carpets</w:t>
            </w:r>
          </w:p>
        </w:tc>
        <w:tc>
          <w:tcPr>
            <w:tcW w:w="1408" w:type="dxa"/>
            <w:vAlign w:val="center"/>
          </w:tcPr>
          <w:p w14:paraId="7E8E57FB"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7.3</w:t>
            </w:r>
          </w:p>
        </w:tc>
        <w:tc>
          <w:tcPr>
            <w:tcW w:w="1584" w:type="dxa"/>
            <w:vAlign w:val="center"/>
          </w:tcPr>
          <w:p w14:paraId="35D224D5" w14:textId="77777777" w:rsidR="00E343B7" w:rsidRPr="00D0282A" w:rsidRDefault="00E343B7" w:rsidP="00EC6F5F">
            <w:pPr>
              <w:ind w:right="288"/>
              <w:jc w:val="right"/>
              <w:rPr>
                <w:rFonts w:ascii="Arial" w:hAnsi="Arial" w:cs="Arial"/>
                <w:sz w:val="18"/>
                <w:szCs w:val="18"/>
              </w:rPr>
            </w:pPr>
          </w:p>
        </w:tc>
        <w:tc>
          <w:tcPr>
            <w:tcW w:w="1408" w:type="dxa"/>
            <w:vAlign w:val="center"/>
          </w:tcPr>
          <w:p w14:paraId="59DBCCEE"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1.3</w:t>
            </w:r>
          </w:p>
        </w:tc>
        <w:tc>
          <w:tcPr>
            <w:tcW w:w="1320" w:type="dxa"/>
            <w:vAlign w:val="center"/>
          </w:tcPr>
          <w:p w14:paraId="6051A039"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14.1</w:t>
            </w:r>
          </w:p>
        </w:tc>
        <w:tc>
          <w:tcPr>
            <w:tcW w:w="1320" w:type="dxa"/>
            <w:vAlign w:val="center"/>
          </w:tcPr>
          <w:p w14:paraId="367C9BC6"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0.6</w:t>
            </w:r>
          </w:p>
        </w:tc>
        <w:tc>
          <w:tcPr>
            <w:tcW w:w="1320" w:type="dxa"/>
            <w:vAlign w:val="center"/>
          </w:tcPr>
          <w:p w14:paraId="6570D870" w14:textId="53181A82" w:rsidR="00E343B7" w:rsidRPr="00D0282A" w:rsidRDefault="0084349F" w:rsidP="00EC6F5F">
            <w:pPr>
              <w:ind w:right="288"/>
              <w:jc w:val="right"/>
              <w:rPr>
                <w:rFonts w:ascii="Arial" w:hAnsi="Arial" w:cs="Arial"/>
                <w:sz w:val="18"/>
                <w:szCs w:val="18"/>
              </w:rPr>
            </w:pPr>
            <w:r>
              <w:rPr>
                <w:rFonts w:ascii="Arial" w:hAnsi="Arial" w:cs="Arial"/>
                <w:sz w:val="18"/>
                <w:szCs w:val="18"/>
              </w:rPr>
              <w:t>−</w:t>
            </w:r>
            <w:r w:rsidR="00E343B7" w:rsidRPr="00D0282A">
              <w:rPr>
                <w:rFonts w:ascii="Arial" w:hAnsi="Arial" w:cs="Arial"/>
                <w:sz w:val="18"/>
                <w:szCs w:val="18"/>
              </w:rPr>
              <w:t>1.2</w:t>
            </w:r>
          </w:p>
        </w:tc>
        <w:tc>
          <w:tcPr>
            <w:tcW w:w="1321" w:type="dxa"/>
            <w:vAlign w:val="center"/>
          </w:tcPr>
          <w:p w14:paraId="352C34E7"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0.3</w:t>
            </w:r>
          </w:p>
        </w:tc>
      </w:tr>
      <w:tr w:rsidR="00E343B7" w:rsidRPr="00D0282A" w14:paraId="7BBA605D" w14:textId="77777777" w:rsidTr="0084349F">
        <w:trPr>
          <w:trHeight w:val="216"/>
          <w:jc w:val="center"/>
        </w:trPr>
        <w:tc>
          <w:tcPr>
            <w:tcW w:w="3269" w:type="dxa"/>
            <w:vAlign w:val="center"/>
          </w:tcPr>
          <w:p w14:paraId="3395A562" w14:textId="3B11C7AD" w:rsidR="00E343B7" w:rsidRPr="00D0282A" w:rsidRDefault="00E343B7" w:rsidP="004E1154">
            <w:pPr>
              <w:rPr>
                <w:rFonts w:ascii="Arial" w:hAnsi="Arial" w:cs="Arial"/>
                <w:sz w:val="18"/>
                <w:szCs w:val="18"/>
              </w:rPr>
            </w:pPr>
            <w:r>
              <w:rPr>
                <w:rFonts w:ascii="Arial" w:hAnsi="Arial" w:cs="Arial"/>
                <w:sz w:val="18"/>
                <w:szCs w:val="18"/>
              </w:rPr>
              <w:t>Cotton yarn</w:t>
            </w:r>
            <w:r w:rsidR="00EC6F5F">
              <w:rPr>
                <w:rFonts w:ascii="Arial" w:hAnsi="Arial" w:cs="Arial"/>
                <w:sz w:val="18"/>
                <w:szCs w:val="18"/>
              </w:rPr>
              <w:t>,</w:t>
            </w:r>
            <w:r>
              <w:rPr>
                <w:rFonts w:ascii="Arial" w:hAnsi="Arial" w:cs="Arial"/>
                <w:sz w:val="18"/>
                <w:szCs w:val="18"/>
              </w:rPr>
              <w:t xml:space="preserve"> </w:t>
            </w:r>
            <w:r w:rsidRPr="00D0282A">
              <w:rPr>
                <w:rFonts w:ascii="Arial" w:hAnsi="Arial" w:cs="Arial"/>
                <w:sz w:val="18"/>
                <w:szCs w:val="18"/>
              </w:rPr>
              <w:t>etc.</w:t>
            </w:r>
          </w:p>
        </w:tc>
        <w:tc>
          <w:tcPr>
            <w:tcW w:w="1408" w:type="dxa"/>
            <w:vAlign w:val="center"/>
          </w:tcPr>
          <w:p w14:paraId="0EF67FB0"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4.3</w:t>
            </w:r>
          </w:p>
        </w:tc>
        <w:tc>
          <w:tcPr>
            <w:tcW w:w="1584" w:type="dxa"/>
            <w:vAlign w:val="center"/>
          </w:tcPr>
          <w:p w14:paraId="218D49AC" w14:textId="77777777" w:rsidR="00E343B7" w:rsidRPr="00D0282A" w:rsidRDefault="00E343B7" w:rsidP="00EC6F5F">
            <w:pPr>
              <w:ind w:right="288"/>
              <w:jc w:val="right"/>
              <w:rPr>
                <w:rFonts w:ascii="Arial" w:hAnsi="Arial" w:cs="Arial"/>
                <w:sz w:val="18"/>
                <w:szCs w:val="18"/>
              </w:rPr>
            </w:pPr>
          </w:p>
        </w:tc>
        <w:tc>
          <w:tcPr>
            <w:tcW w:w="1408" w:type="dxa"/>
            <w:vAlign w:val="center"/>
          </w:tcPr>
          <w:p w14:paraId="445010F1"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3.7</w:t>
            </w:r>
          </w:p>
        </w:tc>
        <w:tc>
          <w:tcPr>
            <w:tcW w:w="1320" w:type="dxa"/>
            <w:vAlign w:val="center"/>
          </w:tcPr>
          <w:p w14:paraId="4EA6D600" w14:textId="5EBDC065" w:rsidR="00E343B7" w:rsidRPr="00D0282A" w:rsidRDefault="0084349F" w:rsidP="00EC6F5F">
            <w:pPr>
              <w:ind w:right="288"/>
              <w:jc w:val="right"/>
              <w:rPr>
                <w:rFonts w:ascii="Arial" w:hAnsi="Arial" w:cs="Arial"/>
                <w:sz w:val="18"/>
                <w:szCs w:val="18"/>
              </w:rPr>
            </w:pPr>
            <w:r>
              <w:rPr>
                <w:rFonts w:ascii="Arial" w:hAnsi="Arial" w:cs="Arial"/>
                <w:sz w:val="18"/>
                <w:szCs w:val="18"/>
              </w:rPr>
              <w:t>−</w:t>
            </w:r>
            <w:r w:rsidR="00E343B7" w:rsidRPr="00D0282A">
              <w:rPr>
                <w:rFonts w:ascii="Arial" w:hAnsi="Arial" w:cs="Arial"/>
                <w:sz w:val="18"/>
                <w:szCs w:val="18"/>
              </w:rPr>
              <w:t>9</w:t>
            </w:r>
            <w:r>
              <w:rPr>
                <w:rFonts w:ascii="Arial" w:hAnsi="Arial" w:cs="Arial"/>
                <w:sz w:val="18"/>
                <w:szCs w:val="18"/>
              </w:rPr>
              <w:t>.0</w:t>
            </w:r>
          </w:p>
        </w:tc>
        <w:tc>
          <w:tcPr>
            <w:tcW w:w="1320" w:type="dxa"/>
            <w:vAlign w:val="center"/>
          </w:tcPr>
          <w:p w14:paraId="716C9FC7"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0.5</w:t>
            </w:r>
          </w:p>
        </w:tc>
        <w:tc>
          <w:tcPr>
            <w:tcW w:w="1320" w:type="dxa"/>
            <w:vAlign w:val="center"/>
          </w:tcPr>
          <w:p w14:paraId="6F3A9711"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7.8</w:t>
            </w:r>
          </w:p>
        </w:tc>
        <w:tc>
          <w:tcPr>
            <w:tcW w:w="1321" w:type="dxa"/>
            <w:vAlign w:val="center"/>
          </w:tcPr>
          <w:p w14:paraId="35C25818" w14:textId="77777777" w:rsidR="00E343B7" w:rsidRPr="00D0282A" w:rsidRDefault="00E343B7" w:rsidP="00EC6F5F">
            <w:pPr>
              <w:ind w:right="288"/>
              <w:jc w:val="right"/>
              <w:rPr>
                <w:rFonts w:ascii="Arial" w:hAnsi="Arial" w:cs="Arial"/>
                <w:sz w:val="18"/>
                <w:szCs w:val="18"/>
              </w:rPr>
            </w:pPr>
            <w:r w:rsidRPr="00D0282A">
              <w:rPr>
                <w:rFonts w:ascii="Arial" w:hAnsi="Arial" w:cs="Arial"/>
                <w:sz w:val="18"/>
                <w:szCs w:val="18"/>
              </w:rPr>
              <w:t>9.8</w:t>
            </w:r>
          </w:p>
        </w:tc>
      </w:tr>
    </w:tbl>
    <w:p w14:paraId="4024DCD9" w14:textId="77777777" w:rsidR="00DE7AF6" w:rsidRPr="00DE7AF6" w:rsidRDefault="00DE7AF6" w:rsidP="00314917">
      <w:pPr>
        <w:pStyle w:val="ExhibitText"/>
      </w:pPr>
    </w:p>
    <w:p w14:paraId="16A9E5D1" w14:textId="31545BAB" w:rsidR="00DE7AF6" w:rsidRDefault="00E343B7" w:rsidP="00DE7AF6">
      <w:pPr>
        <w:pStyle w:val="Footnote"/>
        <w:rPr>
          <w:rStyle w:val="Hyperlink"/>
          <w:color w:val="auto"/>
          <w:u w:val="none"/>
        </w:rPr>
      </w:pPr>
      <w:r w:rsidRPr="00DE7AF6">
        <w:t xml:space="preserve">Source: </w:t>
      </w:r>
      <w:r w:rsidR="0026265F">
        <w:t xml:space="preserve">Reserve Bank of India, </w:t>
      </w:r>
      <w:r w:rsidR="0084349F">
        <w:t xml:space="preserve">“Macroeconomic Impact of Demonetisation—A Preliminary Assessment,” March 10, 2017, accessed November 6, 2017, </w:t>
      </w:r>
      <w:r w:rsidRPr="00314917">
        <w:t>https://rbi.org.in/scripts/PublicationsView.aspx?Id=17447#C2</w:t>
      </w:r>
      <w:r w:rsidR="00DE7AF6">
        <w:rPr>
          <w:rStyle w:val="Hyperlink"/>
          <w:color w:val="auto"/>
          <w:u w:val="none"/>
        </w:rPr>
        <w:t>.</w:t>
      </w:r>
    </w:p>
    <w:p w14:paraId="43C953A1" w14:textId="77777777" w:rsidR="0026265F" w:rsidRDefault="0026265F" w:rsidP="00DE7AF6">
      <w:pPr>
        <w:pStyle w:val="Footnote"/>
        <w:rPr>
          <w:rStyle w:val="Hyperlink"/>
          <w:color w:val="auto"/>
          <w:u w:val="none"/>
        </w:rPr>
        <w:sectPr w:rsidR="0026265F" w:rsidSect="00E343B7">
          <w:headerReference w:type="default" r:id="rId15"/>
          <w:endnotePr>
            <w:numFmt w:val="decimal"/>
          </w:endnotePr>
          <w:pgSz w:w="15840" w:h="12240" w:orient="landscape"/>
          <w:pgMar w:top="1440" w:right="1440" w:bottom="1440" w:left="1440" w:header="1080" w:footer="720" w:gutter="0"/>
          <w:cols w:space="720"/>
          <w:docGrid w:linePitch="360"/>
        </w:sectPr>
      </w:pPr>
    </w:p>
    <w:p w14:paraId="7C67D999" w14:textId="32C13FE6" w:rsidR="00A36243" w:rsidRDefault="005D3E48" w:rsidP="00FC235F">
      <w:pPr>
        <w:pStyle w:val="Casehead1"/>
        <w:outlineLvl w:val="0"/>
      </w:pPr>
      <w:r w:rsidRPr="00DE7AF6">
        <w:lastRenderedPageBreak/>
        <w:t>ENDNOTES</w:t>
      </w:r>
    </w:p>
    <w:sectPr w:rsidR="00A36243" w:rsidSect="00DE7AF6">
      <w:headerReference w:type="default" r:id="rId16"/>
      <w:endnotePr>
        <w:numFmt w:val="decimal"/>
      </w:endnotePr>
      <w:pgSz w:w="12240" w:h="15840"/>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F8755" w14:textId="77777777" w:rsidR="008451D9" w:rsidRDefault="008451D9" w:rsidP="00D75295">
      <w:r>
        <w:separator/>
      </w:r>
    </w:p>
  </w:endnote>
  <w:endnote w:type="continuationSeparator" w:id="0">
    <w:p w14:paraId="7618F95D" w14:textId="77777777" w:rsidR="008451D9" w:rsidRDefault="008451D9" w:rsidP="00D75295">
      <w:r>
        <w:continuationSeparator/>
      </w:r>
    </w:p>
  </w:endnote>
  <w:endnote w:id="1">
    <w:p w14:paraId="13C48729" w14:textId="0FABEAC9" w:rsidR="00AE3CD5" w:rsidRPr="00AE3CD5" w:rsidRDefault="00AE3CD5" w:rsidP="00AE3CD5">
      <w:pPr>
        <w:pStyle w:val="Footnote"/>
      </w:pPr>
      <w:r>
        <w:rPr>
          <w:rStyle w:val="EndnoteReference"/>
        </w:rPr>
        <w:endnoteRef/>
      </w:r>
      <w:r>
        <w:t xml:space="preserve"> </w:t>
      </w:r>
      <w:r w:rsidRPr="00443B31">
        <w:t xml:space="preserve">This case has been written on the basis of published sources only. Consequently, the interpretation and perspectives presented in this case are not necessarily those of </w:t>
      </w:r>
      <w:r>
        <w:t xml:space="preserve">the Indian government </w:t>
      </w:r>
      <w:r w:rsidRPr="00443B31">
        <w:t>or any of its employees.</w:t>
      </w:r>
    </w:p>
  </w:endnote>
  <w:endnote w:id="2">
    <w:p w14:paraId="72F9EC20" w14:textId="063356B4" w:rsidR="00317665" w:rsidRPr="00B92C7B" w:rsidRDefault="00317665" w:rsidP="00314917">
      <w:pPr>
        <w:pStyle w:val="Footnote"/>
        <w:rPr>
          <w:spacing w:val="-4"/>
        </w:rPr>
      </w:pPr>
      <w:r w:rsidRPr="00B92C7B">
        <w:rPr>
          <w:rStyle w:val="EndnoteReference"/>
          <w:spacing w:val="-4"/>
        </w:rPr>
        <w:endnoteRef/>
      </w:r>
      <w:r w:rsidRPr="00B92C7B">
        <w:rPr>
          <w:spacing w:val="-4"/>
        </w:rPr>
        <w:t xml:space="preserve"> ₹ = INR = Indian rupee; US$1 = ₹66.4 and ₹1 = US$0.0151 on November 8, 2016.</w:t>
      </w:r>
    </w:p>
  </w:endnote>
  <w:endnote w:id="3">
    <w:p w14:paraId="51C36D5D" w14:textId="7933C1D0" w:rsidR="00317665" w:rsidRPr="00B92C7B" w:rsidRDefault="00317665" w:rsidP="00025679">
      <w:pPr>
        <w:pStyle w:val="Footnote"/>
        <w:rPr>
          <w:bCs/>
          <w:spacing w:val="-4"/>
        </w:rPr>
      </w:pPr>
      <w:r w:rsidRPr="00B92C7B">
        <w:rPr>
          <w:rStyle w:val="EndnoteReference"/>
          <w:spacing w:val="-4"/>
        </w:rPr>
        <w:endnoteRef/>
      </w:r>
      <w:r w:rsidRPr="00B92C7B">
        <w:rPr>
          <w:spacing w:val="-4"/>
        </w:rPr>
        <w:t xml:space="preserve"> </w:t>
      </w:r>
      <w:r w:rsidRPr="00B92C7B">
        <w:rPr>
          <w:i/>
          <w:spacing w:val="-4"/>
        </w:rPr>
        <w:t>Huffington Post</w:t>
      </w:r>
      <w:r w:rsidRPr="00B92C7B">
        <w:rPr>
          <w:spacing w:val="-4"/>
        </w:rPr>
        <w:t xml:space="preserve">, “Here’s the Full Text of Modi’s Speech on the Discontinuation of </w:t>
      </w:r>
      <w:r w:rsidRPr="00B92C7B">
        <w:rPr>
          <w:bCs/>
          <w:spacing w:val="-4"/>
        </w:rPr>
        <w:t>₹500 and ₹1,000 Bank Notes,”</w:t>
      </w:r>
      <w:r w:rsidRPr="00B92C7B">
        <w:rPr>
          <w:spacing w:val="-4"/>
        </w:rPr>
        <w:t xml:space="preserve"> </w:t>
      </w:r>
      <w:r w:rsidRPr="00B92C7B">
        <w:rPr>
          <w:bCs/>
          <w:spacing w:val="-4"/>
        </w:rPr>
        <w:t>November 9,</w:t>
      </w:r>
      <w:r>
        <w:rPr>
          <w:bCs/>
          <w:spacing w:val="-4"/>
        </w:rPr>
        <w:t xml:space="preserve"> 2016, </w:t>
      </w:r>
      <w:r w:rsidRPr="00B92C7B">
        <w:rPr>
          <w:spacing w:val="-4"/>
        </w:rPr>
        <w:t>www.huffingtonpost.in/2016/11/08/heres-the-full-text-of-modis-speech-on-the-discontinuation-of_a_21601525.</w:t>
      </w:r>
    </w:p>
  </w:endnote>
  <w:endnote w:id="4">
    <w:p w14:paraId="51477881" w14:textId="7ABB3437"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A “helicopter drop” was an unconventional monetary tool to stimulate the economy by printing large sums of money and distributing it to the public. Government of India, “Demonetisation: To Deify or Demonize?,” chapter 3 in </w:t>
      </w:r>
      <w:r w:rsidRPr="00B92C7B">
        <w:rPr>
          <w:i/>
          <w:spacing w:val="-4"/>
        </w:rPr>
        <w:t>Economic Survey 2016–17</w:t>
      </w:r>
      <w:r w:rsidRPr="00B92C7B">
        <w:rPr>
          <w:spacing w:val="-4"/>
        </w:rPr>
        <w:t>, 2017, accessed March 15, 2017, http://indiabudget.nic.in/es2016-17/echap03.pdf; Lorenzo Bini Smaghi, “Conventional and Unconventional Monetary Policy,” European Central Bank, April 28, 2009, accessed April 2, 2017, www.ecb.europa.eu</w:t>
      </w:r>
      <w:r>
        <w:rPr>
          <w:spacing w:val="-4"/>
        </w:rPr>
        <w:t xml:space="preserve"> </w:t>
      </w:r>
      <w:r w:rsidRPr="00B92C7B">
        <w:rPr>
          <w:spacing w:val="-4"/>
        </w:rPr>
        <w:t>/press/key/date/2009/html/sp090428.en.html for a discussion on conventional versus unconventional monetary policies.</w:t>
      </w:r>
    </w:p>
  </w:endnote>
  <w:endnote w:id="5">
    <w:p w14:paraId="3DE6C009" w14:textId="27014964" w:rsidR="00317665" w:rsidRPr="00B92C7B" w:rsidRDefault="00317665" w:rsidP="00314917">
      <w:pPr>
        <w:pStyle w:val="Footnote"/>
        <w:rPr>
          <w:spacing w:val="-4"/>
        </w:rPr>
      </w:pPr>
      <w:r w:rsidRPr="00B92C7B">
        <w:rPr>
          <w:rStyle w:val="EndnoteReference"/>
          <w:spacing w:val="-4"/>
        </w:rPr>
        <w:endnoteRef/>
      </w:r>
      <w:r w:rsidRPr="00B92C7B">
        <w:rPr>
          <w:spacing w:val="-4"/>
        </w:rPr>
        <w:t xml:space="preserve"> All dollar amounts are in US$. Knoema, “World GDP Ranking 2016,” </w:t>
      </w:r>
      <w:r w:rsidRPr="00B92C7B">
        <w:rPr>
          <w:color w:val="000000"/>
          <w:spacing w:val="-4"/>
        </w:rPr>
        <w:t xml:space="preserve">accessed December 29, 2016, </w:t>
      </w:r>
      <w:r w:rsidRPr="00B92C7B">
        <w:rPr>
          <w:spacing w:val="-4"/>
        </w:rPr>
        <w:t>https://knoema.com/nwnfkne</w:t>
      </w:r>
      <w:r>
        <w:rPr>
          <w:spacing w:val="-4"/>
        </w:rPr>
        <w:t xml:space="preserve"> </w:t>
      </w:r>
      <w:r w:rsidRPr="00B92C7B">
        <w:rPr>
          <w:spacing w:val="-4"/>
        </w:rPr>
        <w:t xml:space="preserve">/world-gdp-ranking-2016-data-and-charts-forecast; Robbie Gramer, “India Overtakes Britain as the World’s Sixth-Largest Economy,” </w:t>
      </w:r>
      <w:r w:rsidRPr="00B92C7B">
        <w:rPr>
          <w:i/>
          <w:spacing w:val="-4"/>
        </w:rPr>
        <w:t>Foreign Policy</w:t>
      </w:r>
      <w:r w:rsidRPr="00B92C7B">
        <w:rPr>
          <w:spacing w:val="-4"/>
        </w:rPr>
        <w:t>, December 20, 2016, accessed January 3, 2017, http://foreignpolicy.com/2016/12/20/india-overtakes-britain-as-the-worlds-sixth-largest-economy.</w:t>
      </w:r>
    </w:p>
  </w:endnote>
  <w:endnote w:id="6">
    <w:p w14:paraId="5861E492" w14:textId="12C17019"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Indivjal Dhasmana, “At 7.6 Per Cent in FY16, India Is Now the Fastest Growing Economy,” </w:t>
      </w:r>
      <w:r w:rsidRPr="00B92C7B">
        <w:rPr>
          <w:i/>
          <w:spacing w:val="-4"/>
        </w:rPr>
        <w:t>Business Standard</w:t>
      </w:r>
      <w:r w:rsidRPr="00B92C7B">
        <w:rPr>
          <w:spacing w:val="-4"/>
        </w:rPr>
        <w:t>, June 1, 2016, accessed February 14, 2017, www.business-standard.com/article/economy-policy/at-7-6-in-fy16-india-is-now-the-fastest-growing-economy-116053101080_1.html.</w:t>
      </w:r>
    </w:p>
  </w:endnote>
  <w:endnote w:id="7">
    <w:p w14:paraId="3E8AA3EF" w14:textId="5FDD1AE7"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Reserve Bank of India, </w:t>
      </w:r>
      <w:r w:rsidRPr="00B92C7B">
        <w:rPr>
          <w:bCs/>
          <w:i/>
          <w:spacing w:val="-4"/>
        </w:rPr>
        <w:t>Macroeconomic Impact of Demonetization—A Preliminary Assessment</w:t>
      </w:r>
      <w:r w:rsidRPr="00B92C7B">
        <w:rPr>
          <w:bCs/>
          <w:spacing w:val="-4"/>
        </w:rPr>
        <w:t xml:space="preserve"> (Delhi: Reserve Bank of India, March 10, 2017), accessed March 23, 2017, https://rbidocs.rbi.org.in/rdocs/Publications/PDFs/MID10031760E85BDAFEFD</w:t>
      </w:r>
      <w:r>
        <w:rPr>
          <w:bCs/>
          <w:spacing w:val="-4"/>
        </w:rPr>
        <w:t xml:space="preserve"> </w:t>
      </w:r>
      <w:r w:rsidRPr="00B92C7B">
        <w:rPr>
          <w:bCs/>
          <w:spacing w:val="-4"/>
        </w:rPr>
        <w:t>497193995BB1B6DBE602.PDF.</w:t>
      </w:r>
    </w:p>
  </w:endnote>
  <w:endnote w:id="8">
    <w:p w14:paraId="67BFDB11" w14:textId="57059BD2"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w:t>
      </w:r>
      <w:r>
        <w:rPr>
          <w:spacing w:val="-4"/>
        </w:rPr>
        <w:t xml:space="preserve">In </w:t>
      </w:r>
      <w:r w:rsidRPr="00B92C7B">
        <w:rPr>
          <w:spacing w:val="-4"/>
        </w:rPr>
        <w:t>U.S. dollars</w:t>
      </w:r>
      <w:r>
        <w:rPr>
          <w:spacing w:val="-4"/>
        </w:rPr>
        <w:t xml:space="preserve"> this  </w:t>
      </w:r>
      <w:r w:rsidRPr="00B92C7B">
        <w:rPr>
          <w:spacing w:val="-4"/>
        </w:rPr>
        <w:t xml:space="preserve">increase in nominal GDP </w:t>
      </w:r>
      <w:r>
        <w:rPr>
          <w:spacing w:val="-4"/>
        </w:rPr>
        <w:t>was a 702%</w:t>
      </w:r>
      <w:r w:rsidRPr="00B92C7B">
        <w:rPr>
          <w:spacing w:val="-4"/>
        </w:rPr>
        <w:t xml:space="preserve"> increase over the 25-year period. Reserve Bank of India, </w:t>
      </w:r>
      <w:r w:rsidRPr="00B92C7B">
        <w:rPr>
          <w:i/>
          <w:spacing w:val="-4"/>
        </w:rPr>
        <w:t>Annual Report 2014–15</w:t>
      </w:r>
      <w:r w:rsidRPr="00B92C7B">
        <w:rPr>
          <w:spacing w:val="-4"/>
        </w:rPr>
        <w:t>, August 27, 2015, accessed March 1, 2017, https://rbi.org.in/scripts/AnnualReportPublications</w:t>
      </w:r>
      <w:r>
        <w:rPr>
          <w:spacing w:val="-4"/>
        </w:rPr>
        <w:t xml:space="preserve"> </w:t>
      </w:r>
      <w:r w:rsidRPr="00B92C7B">
        <w:rPr>
          <w:spacing w:val="-4"/>
        </w:rPr>
        <w:t>.aspx?Id=1148.</w:t>
      </w:r>
    </w:p>
  </w:endnote>
  <w:endnote w:id="9">
    <w:p w14:paraId="464413CF" w14:textId="5C8C343A"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Dhasmana, op. cit. </w:t>
      </w:r>
    </w:p>
  </w:endnote>
  <w:endnote w:id="10">
    <w:p w14:paraId="3CB8D6F9" w14:textId="309ED2C1"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Reserve Bank of India, “Appendix Tables: Growth Rates and Composition of Real GDP (2011–12 Prices),” in </w:t>
      </w:r>
      <w:r w:rsidRPr="00B92C7B">
        <w:rPr>
          <w:i/>
          <w:spacing w:val="-4"/>
        </w:rPr>
        <w:t>Annual Report 2015–16</w:t>
      </w:r>
      <w:r w:rsidRPr="00B92C7B">
        <w:rPr>
          <w:spacing w:val="-4"/>
        </w:rPr>
        <w:t>, August 29, 2016, accessed March 3, 2017, https://rbi.org.in/Scripts/AnnualReportPublications.aspx?Id=1175.</w:t>
      </w:r>
      <w:r w:rsidRPr="00B92C7B">
        <w:rPr>
          <w:b/>
          <w:spacing w:val="-4"/>
        </w:rPr>
        <w:t xml:space="preserve"> </w:t>
      </w:r>
    </w:p>
  </w:endnote>
  <w:endnote w:id="11">
    <w:p w14:paraId="1A1BE214" w14:textId="7C0D8BC9"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These were the latest data available, according to India’s Ministry of Micro, Small and Medium Enterprises.</w:t>
      </w:r>
    </w:p>
  </w:endnote>
  <w:endnote w:id="12">
    <w:p w14:paraId="363D8810" w14:textId="77777777" w:rsidR="00317665" w:rsidRPr="00B92C7B" w:rsidRDefault="00317665" w:rsidP="004D09BA">
      <w:pPr>
        <w:pStyle w:val="Footnote"/>
        <w:rPr>
          <w:spacing w:val="-4"/>
        </w:rPr>
      </w:pPr>
      <w:r w:rsidRPr="00B92C7B">
        <w:rPr>
          <w:rStyle w:val="EndnoteReference"/>
          <w:spacing w:val="-4"/>
        </w:rPr>
        <w:endnoteRef/>
      </w:r>
      <w:r w:rsidRPr="00B92C7B">
        <w:rPr>
          <w:spacing w:val="-4"/>
        </w:rPr>
        <w:t xml:space="preserve"> Ministry of Micro, Small and Medium Enterprises, Government of India, </w:t>
      </w:r>
      <w:r w:rsidRPr="00B92C7B">
        <w:rPr>
          <w:i/>
          <w:spacing w:val="-4"/>
        </w:rPr>
        <w:t>Annual Report 2015–16</w:t>
      </w:r>
      <w:r w:rsidRPr="00B92C7B">
        <w:rPr>
          <w:spacing w:val="-4"/>
        </w:rPr>
        <w:t>, February 29, 2016, accessed February 25, 2017, http://msme.gov.in/sites/default/files/MEME%20ANNUAL%20REPORT%202015-16%20ENG.pdf.</w:t>
      </w:r>
    </w:p>
  </w:endnote>
  <w:endnote w:id="13">
    <w:p w14:paraId="7F1D7096" w14:textId="1CF70884" w:rsidR="00317665" w:rsidRPr="00B92C7B" w:rsidRDefault="00317665" w:rsidP="001D39F1">
      <w:pPr>
        <w:pStyle w:val="EndnoteText"/>
        <w:jc w:val="both"/>
        <w:rPr>
          <w:rFonts w:ascii="Arial" w:hAnsi="Arial" w:cs="Arial"/>
          <w:spacing w:val="-4"/>
          <w:sz w:val="17"/>
          <w:szCs w:val="17"/>
        </w:rPr>
      </w:pPr>
      <w:r w:rsidRPr="00B92C7B">
        <w:rPr>
          <w:rStyle w:val="EndnoteReference"/>
          <w:rFonts w:ascii="Arial" w:hAnsi="Arial" w:cs="Arial"/>
          <w:spacing w:val="-4"/>
          <w:sz w:val="17"/>
          <w:szCs w:val="17"/>
        </w:rPr>
        <w:endnoteRef/>
      </w:r>
      <w:r w:rsidRPr="00B92C7B">
        <w:rPr>
          <w:rFonts w:ascii="Arial" w:hAnsi="Arial" w:cs="Arial"/>
          <w:spacing w:val="-4"/>
          <w:sz w:val="17"/>
          <w:szCs w:val="17"/>
        </w:rPr>
        <w:t xml:space="preserve"> </w:t>
      </w:r>
      <w:r w:rsidRPr="00B92C7B">
        <w:rPr>
          <w:rFonts w:ascii="Arial" w:hAnsi="Arial" w:cs="Arial"/>
          <w:i/>
          <w:spacing w:val="-4"/>
          <w:sz w:val="17"/>
          <w:szCs w:val="17"/>
          <w:lang w:val="en-US"/>
        </w:rPr>
        <w:t>SME Times</w:t>
      </w:r>
      <w:r w:rsidRPr="00B92C7B">
        <w:rPr>
          <w:rFonts w:ascii="Arial" w:hAnsi="Arial" w:cs="Arial"/>
          <w:spacing w:val="-4"/>
          <w:sz w:val="17"/>
          <w:szCs w:val="17"/>
          <w:lang w:val="en-US"/>
        </w:rPr>
        <w:t>, “</w:t>
      </w:r>
      <w:r w:rsidRPr="00B92C7B">
        <w:rPr>
          <w:rFonts w:ascii="Arial" w:hAnsi="Arial" w:cs="Arial"/>
          <w:bCs/>
          <w:spacing w:val="-4"/>
          <w:sz w:val="17"/>
          <w:szCs w:val="17"/>
        </w:rPr>
        <w:t>MSMEs’ Share in India’s Exports Near 50 pc in 2015–16,” September 2, 2016, accessed November 9, 2017,</w:t>
      </w:r>
      <w:r w:rsidRPr="00B92C7B">
        <w:rPr>
          <w:spacing w:val="-4"/>
        </w:rPr>
        <w:t xml:space="preserve"> </w:t>
      </w:r>
      <w:r w:rsidRPr="00B92C7B">
        <w:rPr>
          <w:rFonts w:ascii="Arial" w:hAnsi="Arial" w:cs="Arial"/>
          <w:bCs/>
          <w:spacing w:val="-4"/>
          <w:sz w:val="17"/>
          <w:szCs w:val="17"/>
        </w:rPr>
        <w:t>www.smetimes.in/smetimes/news/top-stories/2016/Sep/02/msmes-share-in-india-s-exports-near-50-pc-in-2015-16.html.</w:t>
      </w:r>
    </w:p>
  </w:endnote>
  <w:endnote w:id="14">
    <w:p w14:paraId="1B1A2442" w14:textId="2FA78089"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Reserve Bank of India, </w:t>
      </w:r>
      <w:r w:rsidRPr="00B92C7B">
        <w:rPr>
          <w:i/>
          <w:spacing w:val="-4"/>
        </w:rPr>
        <w:t>Handbook of Statistics on the Indian Economy</w:t>
      </w:r>
      <w:r w:rsidRPr="00B92C7B">
        <w:rPr>
          <w:spacing w:val="-4"/>
        </w:rPr>
        <w:t>, 2016, accessed January 2, 2017, https://dbie.rbi.org.in/DBIE/dbie.rbi?site=publications.</w:t>
      </w:r>
    </w:p>
  </w:endnote>
  <w:endnote w:id="15">
    <w:p w14:paraId="54EDB531" w14:textId="26FDCEC5"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Mayank Jain, “The Beginning of the End of the Parallel Economy in India?,” </w:t>
      </w:r>
      <w:r w:rsidRPr="00B92C7B">
        <w:rPr>
          <w:i/>
          <w:spacing w:val="-4"/>
        </w:rPr>
        <w:t>Bloomberg Quint</w:t>
      </w:r>
      <w:r w:rsidRPr="00B92C7B">
        <w:rPr>
          <w:spacing w:val="-4"/>
        </w:rPr>
        <w:t>, November 9, 2016, accessed February 1, 2017, www.bloombergquint.com/business/2016/11/09/the-beginning-of-the-end-of-the-parallel-economy-in-india. Such dependence on cash for India was not just higher compared with its developed-country peers such as the United States and the United Kingdom; it was also greater than the proportion of cash transactions—both by volume and value—for its emerging-economy peers such as Brazil, China, and South Africa.</w:t>
      </w:r>
    </w:p>
  </w:endnote>
  <w:endnote w:id="16">
    <w:p w14:paraId="3E4D0200" w14:textId="7997502F"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Reserve Bank of India, </w:t>
      </w:r>
      <w:r w:rsidRPr="00B92C7B">
        <w:rPr>
          <w:i/>
          <w:spacing w:val="-4"/>
        </w:rPr>
        <w:t>Handbook of Statistics on the Indian Economy</w:t>
      </w:r>
      <w:r w:rsidRPr="00B92C7B">
        <w:rPr>
          <w:spacing w:val="-4"/>
        </w:rPr>
        <w:t xml:space="preserve">, op. cit. </w:t>
      </w:r>
    </w:p>
  </w:endnote>
  <w:endnote w:id="17">
    <w:p w14:paraId="75D39F31" w14:textId="1BFD2DD7" w:rsidR="00317665" w:rsidRPr="00B92C7B" w:rsidRDefault="00317665" w:rsidP="00E018B5">
      <w:pPr>
        <w:pStyle w:val="Footnote"/>
        <w:rPr>
          <w:spacing w:val="-4"/>
        </w:rPr>
      </w:pPr>
      <w:r w:rsidRPr="00B92C7B">
        <w:rPr>
          <w:rStyle w:val="EndnoteReference"/>
          <w:spacing w:val="-4"/>
        </w:rPr>
        <w:endnoteRef/>
      </w:r>
      <w:r w:rsidRPr="00B92C7B">
        <w:rPr>
          <w:spacing w:val="-4"/>
        </w:rPr>
        <w:t xml:space="preserve"> Reserve Bank of India, </w:t>
      </w:r>
      <w:r w:rsidRPr="00B92C7B">
        <w:rPr>
          <w:i/>
          <w:spacing w:val="-4"/>
        </w:rPr>
        <w:t>Annual Report 2015–16</w:t>
      </w:r>
      <w:r w:rsidRPr="00B92C7B">
        <w:rPr>
          <w:spacing w:val="-4"/>
        </w:rPr>
        <w:t xml:space="preserve">, op. cit. </w:t>
      </w:r>
    </w:p>
  </w:endnote>
  <w:endnote w:id="18">
    <w:p w14:paraId="1A20EF3A" w14:textId="62F3AFA8"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Reserve Bank of India, </w:t>
      </w:r>
      <w:r w:rsidRPr="00B92C7B">
        <w:rPr>
          <w:bCs/>
          <w:i/>
          <w:spacing w:val="-4"/>
        </w:rPr>
        <w:t>Macroeconomic Impact of Demonetization</w:t>
      </w:r>
      <w:r w:rsidRPr="00B92C7B">
        <w:rPr>
          <w:bCs/>
          <w:spacing w:val="-4"/>
        </w:rPr>
        <w:t xml:space="preserve">, op. cit. </w:t>
      </w:r>
    </w:p>
  </w:endnote>
  <w:endnote w:id="19">
    <w:p w14:paraId="21BBA608" w14:textId="2D99F938" w:rsidR="00317665" w:rsidRPr="00B92C7B" w:rsidRDefault="00317665" w:rsidP="0074627B">
      <w:pPr>
        <w:pStyle w:val="Footnote"/>
        <w:rPr>
          <w:spacing w:val="-4"/>
        </w:rPr>
      </w:pPr>
      <w:r w:rsidRPr="00B92C7B">
        <w:rPr>
          <w:rStyle w:val="EndnoteReference"/>
          <w:spacing w:val="-4"/>
        </w:rPr>
        <w:endnoteRef/>
      </w:r>
      <w:r w:rsidRPr="00B92C7B">
        <w:rPr>
          <w:spacing w:val="-4"/>
        </w:rPr>
        <w:t xml:space="preserve"> Aprameya Rao and Kishore Kadam, “25 Years of Liberalization: A Glimpse of India’s Growth in 14 Charts,” July 7,</w:t>
      </w:r>
      <w:r>
        <w:rPr>
          <w:spacing w:val="-4"/>
        </w:rPr>
        <w:t xml:space="preserve"> 2016, </w:t>
      </w:r>
      <w:r w:rsidRPr="00B92C7B">
        <w:rPr>
          <w:spacing w:val="-4"/>
        </w:rPr>
        <w:t>www.firstpost.com/business/25-years-of-liberalisation-a-glimpse-of-indias-growth-in-14-charts-2877654.html.</w:t>
      </w:r>
    </w:p>
  </w:endnote>
  <w:endnote w:id="20">
    <w:p w14:paraId="2B4BD2C9" w14:textId="4644CCF9" w:rsidR="00317665" w:rsidRPr="00B92C7B" w:rsidRDefault="00317665" w:rsidP="0074627B">
      <w:pPr>
        <w:pStyle w:val="Footnote"/>
        <w:rPr>
          <w:spacing w:val="-4"/>
        </w:rPr>
      </w:pPr>
      <w:r w:rsidRPr="00B92C7B">
        <w:rPr>
          <w:rStyle w:val="EndnoteReference"/>
          <w:spacing w:val="-4"/>
        </w:rPr>
        <w:endnoteRef/>
      </w:r>
      <w:r w:rsidRPr="00B92C7B">
        <w:rPr>
          <w:spacing w:val="-4"/>
        </w:rPr>
        <w:t xml:space="preserve"> Ibid.; Statista, “Total Volume of Passenger Car Sales in India From 2005 to 2015,” </w:t>
      </w:r>
      <w:r w:rsidRPr="00ED192A">
        <w:rPr>
          <w:spacing w:val="-4"/>
        </w:rPr>
        <w:t>www.statista.com/statistics/606266</w:t>
      </w:r>
      <w:r>
        <w:rPr>
          <w:spacing w:val="-4"/>
        </w:rPr>
        <w:t xml:space="preserve"> </w:t>
      </w:r>
      <w:r w:rsidRPr="00B92C7B">
        <w:rPr>
          <w:spacing w:val="-4"/>
        </w:rPr>
        <w:t>/passenger-car-sales-volume-india; Saritha Rai, “</w:t>
      </w:r>
      <w:r w:rsidRPr="00B92C7B">
        <w:rPr>
          <w:spacing w:val="-4"/>
          <w:lang w:val="en-IN"/>
        </w:rPr>
        <w:t xml:space="preserve">India Just Crossed 1 Billion Mobile Subscribers Milestone and the Excitement’s Just Beginning,” </w:t>
      </w:r>
      <w:r w:rsidRPr="00B92C7B">
        <w:rPr>
          <w:i/>
          <w:spacing w:val="-4"/>
          <w:lang w:val="en-IN"/>
        </w:rPr>
        <w:t>Forbes</w:t>
      </w:r>
      <w:r w:rsidRPr="00B92C7B">
        <w:rPr>
          <w:spacing w:val="-4"/>
          <w:lang w:val="en-IN"/>
        </w:rPr>
        <w:t>, January 6, 2016</w:t>
      </w:r>
      <w:r>
        <w:rPr>
          <w:spacing w:val="-4"/>
          <w:lang w:val="en-IN"/>
        </w:rPr>
        <w:t>,</w:t>
      </w:r>
      <w:r w:rsidRPr="00B92C7B">
        <w:rPr>
          <w:spacing w:val="-4"/>
          <w:lang w:val="en-IN"/>
        </w:rPr>
        <w:t xml:space="preserve"> www.forbes.com/sites/saritharai/2016/01/06/india-just-crossed-1-billion-mobile-subscribers-milestone-and-the-excitements-just-beginning/#755d67267db0.</w:t>
      </w:r>
    </w:p>
  </w:endnote>
  <w:endnote w:id="21">
    <w:p w14:paraId="4812D93B" w14:textId="1A3D361D"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Reserve Bank of India, </w:t>
      </w:r>
      <w:r w:rsidRPr="00B92C7B">
        <w:rPr>
          <w:bCs/>
          <w:i/>
          <w:spacing w:val="-4"/>
        </w:rPr>
        <w:t>Macroeconomic Impact of Demonetization</w:t>
      </w:r>
      <w:r w:rsidRPr="00B92C7B">
        <w:rPr>
          <w:bCs/>
          <w:spacing w:val="-4"/>
        </w:rPr>
        <w:t xml:space="preserve">, op. cit. </w:t>
      </w:r>
    </w:p>
  </w:endnote>
  <w:endnote w:id="22">
    <w:p w14:paraId="16249AA8" w14:textId="6C0F19E3"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Reserve Bank of India,</w:t>
      </w:r>
      <w:r w:rsidRPr="00B92C7B">
        <w:rPr>
          <w:i/>
          <w:spacing w:val="-4"/>
        </w:rPr>
        <w:t xml:space="preserve"> Handbook of Statistics on the Indian Economy, </w:t>
      </w:r>
      <w:r w:rsidRPr="00B92C7B">
        <w:rPr>
          <w:spacing w:val="-4"/>
        </w:rPr>
        <w:t xml:space="preserve">op. cit. </w:t>
      </w:r>
    </w:p>
  </w:endnote>
  <w:endnote w:id="23">
    <w:p w14:paraId="1DA92DA5" w14:textId="593034FC"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Pay commissions referred to the administrative system set up by the Government of India to recommend salary changes for government employees for given time frames. Such pay commission awards were usually inflationary, given the large size of the public sector in India and the overall increase in consumption generated by the first-round increase in demand by government employees. The Seventh Pay Commission was established in 2014. “History of Pay Commission in India,” 7thCPC.in, accessed March 21, 2017, www.7thcpc.in/content/history-pay-commission-india.</w:t>
      </w:r>
    </w:p>
  </w:endnote>
  <w:endnote w:id="24">
    <w:p w14:paraId="66AE2A18" w14:textId="296D8DE7"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Reserve Bank of India, </w:t>
      </w:r>
      <w:r w:rsidRPr="00B92C7B">
        <w:rPr>
          <w:i/>
          <w:spacing w:val="-4"/>
        </w:rPr>
        <w:t>Annual Report 2015–16</w:t>
      </w:r>
      <w:r w:rsidRPr="00B92C7B">
        <w:rPr>
          <w:spacing w:val="-4"/>
        </w:rPr>
        <w:t>, op. cit.</w:t>
      </w:r>
    </w:p>
  </w:endnote>
  <w:endnote w:id="25">
    <w:p w14:paraId="4291C21F" w14:textId="1A6117B9"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Finance Commission India, </w:t>
      </w:r>
      <w:r w:rsidRPr="00B92C7B">
        <w:rPr>
          <w:i/>
          <w:spacing w:val="-4"/>
        </w:rPr>
        <w:t>Report of the Fourteenth Finance Commission</w:t>
      </w:r>
      <w:r w:rsidRPr="00B92C7B">
        <w:rPr>
          <w:spacing w:val="-4"/>
        </w:rPr>
        <w:t>, February 24, 2015, accessed November 3, 2017, www.thehinducentre.com//multimedia/archive/02321/14th_Finance_Commi_2321247a.pdf.</w:t>
      </w:r>
    </w:p>
  </w:endnote>
  <w:endnote w:id="26">
    <w:p w14:paraId="6CD0EC36" w14:textId="19D7CA3C"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LiveMint, “Government Achieves 3.9% Fiscal Deficit Target in 2015–16,” May 31, 2016, accessed February 5, 2017, www.livemint.com/Politics/HYphD5anY9P2GEBsMR8q5N/Government-achieves-39-fiscal-deficit-target-in-201516.html.</w:t>
      </w:r>
    </w:p>
  </w:endnote>
  <w:endnote w:id="27">
    <w:p w14:paraId="2602C25D" w14:textId="6B5D115E"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Finance Commission India, op. cit. </w:t>
      </w:r>
    </w:p>
  </w:endnote>
  <w:endnote w:id="28">
    <w:p w14:paraId="57DE19B6" w14:textId="25AA3559" w:rsidR="00317665" w:rsidRPr="00B92C7B" w:rsidRDefault="00317665" w:rsidP="00D02795">
      <w:pPr>
        <w:pStyle w:val="Footnote"/>
        <w:rPr>
          <w:spacing w:val="-4"/>
        </w:rPr>
      </w:pPr>
      <w:r w:rsidRPr="00B92C7B">
        <w:rPr>
          <w:rStyle w:val="EndnoteReference"/>
          <w:spacing w:val="-4"/>
        </w:rPr>
        <w:endnoteRef/>
      </w:r>
      <w:r w:rsidRPr="00B92C7B">
        <w:rPr>
          <w:spacing w:val="-4"/>
        </w:rPr>
        <w:t xml:space="preserve"> India used four measures of money supply: M1, M2, M3, and M4. M3, known as the “broad money supply,” included M1 (currency, demand deposits, and other deposits), M2 (post office savings deposits), and time deposits. Your Article Library, “Four Measures of Money Supply in India,” accessed November 6, 2017, www.yourarticlelibrary.com/economics/money/four-measures-of-money-supply-in-india-523-words/10993.</w:t>
      </w:r>
    </w:p>
  </w:endnote>
  <w:endnote w:id="29">
    <w:p w14:paraId="0A0C45FA" w14:textId="412C6932" w:rsidR="00317665" w:rsidRPr="00B92C7B" w:rsidRDefault="00317665" w:rsidP="00314917">
      <w:pPr>
        <w:pStyle w:val="Footnote"/>
        <w:rPr>
          <w:spacing w:val="-4"/>
        </w:rPr>
      </w:pPr>
      <w:r w:rsidRPr="00B92C7B">
        <w:rPr>
          <w:rStyle w:val="EndnoteReference"/>
          <w:spacing w:val="-4"/>
        </w:rPr>
        <w:endnoteRef/>
      </w:r>
      <w:r w:rsidRPr="00B92C7B">
        <w:rPr>
          <w:spacing w:val="-4"/>
        </w:rPr>
        <w:t xml:space="preserve"> Reserve Bank of India, </w:t>
      </w:r>
      <w:r w:rsidRPr="00B92C7B">
        <w:rPr>
          <w:i/>
          <w:spacing w:val="-4"/>
        </w:rPr>
        <w:t>Annual Report 2001</w:t>
      </w:r>
      <w:r w:rsidRPr="00B92C7B">
        <w:rPr>
          <w:spacing w:val="-4"/>
        </w:rPr>
        <w:t>, August 28, 2001, accessed March 12, 2017, https://www.rbi.org.in/scripts/AnnualReportPublications.aspx?Id=167.</w:t>
      </w:r>
    </w:p>
  </w:endnote>
  <w:endnote w:id="30">
    <w:p w14:paraId="2F135EAF" w14:textId="7EBD8C00"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Reserve Bank of India,</w:t>
      </w:r>
      <w:r w:rsidRPr="00B92C7B">
        <w:rPr>
          <w:i/>
          <w:spacing w:val="-4"/>
        </w:rPr>
        <w:t xml:space="preserve"> Handbook of Statistics on the Indian Economy, </w:t>
      </w:r>
      <w:r w:rsidRPr="00B92C7B">
        <w:rPr>
          <w:spacing w:val="-4"/>
        </w:rPr>
        <w:t xml:space="preserve">op. cit. </w:t>
      </w:r>
    </w:p>
  </w:endnote>
  <w:endnote w:id="31">
    <w:p w14:paraId="14730FF5" w14:textId="3F028F74"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w:t>
      </w:r>
      <w:r w:rsidRPr="00B92C7B">
        <w:rPr>
          <w:spacing w:val="-4"/>
          <w:kern w:val="17"/>
        </w:rPr>
        <w:t xml:space="preserve">Reserve Bank of India, “Components of Money Stock,” Table 44 in </w:t>
      </w:r>
      <w:r w:rsidRPr="00B92C7B">
        <w:rPr>
          <w:i/>
          <w:spacing w:val="-4"/>
          <w:kern w:val="17"/>
        </w:rPr>
        <w:t>Handbook of Statistics on the Indian Economy</w:t>
      </w:r>
      <w:r w:rsidRPr="00B92C7B">
        <w:rPr>
          <w:spacing w:val="-4"/>
          <w:kern w:val="17"/>
        </w:rPr>
        <w:t xml:space="preserve">, op. cit. </w:t>
      </w:r>
    </w:p>
  </w:endnote>
  <w:endnote w:id="32">
    <w:p w14:paraId="711BF5AF" w14:textId="010EF324" w:rsidR="00317665" w:rsidRPr="00B92C7B" w:rsidRDefault="00317665" w:rsidP="00D02795">
      <w:pPr>
        <w:pStyle w:val="Footnote"/>
        <w:rPr>
          <w:spacing w:val="-4"/>
        </w:rPr>
      </w:pPr>
      <w:r w:rsidRPr="00B92C7B">
        <w:rPr>
          <w:rStyle w:val="EndnoteReference"/>
          <w:spacing w:val="-4"/>
        </w:rPr>
        <w:endnoteRef/>
      </w:r>
      <w:r w:rsidRPr="00B92C7B">
        <w:rPr>
          <w:spacing w:val="-4"/>
        </w:rPr>
        <w:t xml:space="preserve"> </w:t>
      </w:r>
      <w:r w:rsidRPr="00B92C7B">
        <w:rPr>
          <w:i/>
          <w:spacing w:val="-4"/>
        </w:rPr>
        <w:t>Economic Times</w:t>
      </w:r>
      <w:r w:rsidRPr="00B92C7B">
        <w:rPr>
          <w:spacing w:val="-4"/>
        </w:rPr>
        <w:t>, “History of Indian Currency: How the Rupee Changed,” November 28, 2016, accessed February 12, 2017, http://economictimes.indiatimes.com/wealth/save/history-of-indian-currency-how-the-rupee-changed/articleshow/55635259.cms.</w:t>
      </w:r>
    </w:p>
  </w:endnote>
  <w:endnote w:id="33">
    <w:p w14:paraId="1D37F995" w14:textId="3CB0F68F"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Reserve Bank of India, “Currency Management,” in </w:t>
      </w:r>
      <w:r w:rsidRPr="00B92C7B">
        <w:rPr>
          <w:i/>
          <w:spacing w:val="-4"/>
        </w:rPr>
        <w:t>Annual Report 2015–16</w:t>
      </w:r>
      <w:r w:rsidRPr="00B92C7B">
        <w:rPr>
          <w:spacing w:val="-4"/>
        </w:rPr>
        <w:t xml:space="preserve">, op. cit. </w:t>
      </w:r>
    </w:p>
  </w:endnote>
  <w:endnote w:id="34">
    <w:p w14:paraId="0A278270" w14:textId="645620F1" w:rsidR="00317665" w:rsidRPr="00B92C7B" w:rsidRDefault="00317665" w:rsidP="005D3E48">
      <w:pPr>
        <w:pStyle w:val="Footnote"/>
        <w:rPr>
          <w:spacing w:val="-4"/>
        </w:rPr>
      </w:pPr>
      <w:r w:rsidRPr="00B92C7B">
        <w:rPr>
          <w:rStyle w:val="EndnoteReference"/>
          <w:spacing w:val="-4"/>
        </w:rPr>
        <w:endnoteRef/>
      </w:r>
      <w:r w:rsidRPr="00B92C7B">
        <w:rPr>
          <w:spacing w:val="-4"/>
        </w:rPr>
        <w:t xml:space="preserve"> </w:t>
      </w:r>
      <w:r w:rsidRPr="00B92C7B">
        <w:rPr>
          <w:i/>
          <w:spacing w:val="-4"/>
        </w:rPr>
        <w:t>Economist</w:t>
      </w:r>
      <w:r w:rsidRPr="00B92C7B">
        <w:rPr>
          <w:spacing w:val="-4"/>
        </w:rPr>
        <w:t>, “A Bad Boom,” March 15, 2014, accessed February 12, 2017, www.economist.com/news/briefing/21598967-graft-india-damaging-economy-country-needs-get-serious-about-dealing-it.</w:t>
      </w:r>
    </w:p>
  </w:endnote>
  <w:endnote w:id="35">
    <w:p w14:paraId="28680804" w14:textId="52897925" w:rsidR="00317665" w:rsidRPr="00B92C7B" w:rsidRDefault="00317665" w:rsidP="00025679">
      <w:pPr>
        <w:pStyle w:val="Footnote"/>
        <w:rPr>
          <w:spacing w:val="-4"/>
          <w:lang w:val="en-IN"/>
        </w:rPr>
      </w:pPr>
      <w:r w:rsidRPr="00B92C7B">
        <w:rPr>
          <w:rStyle w:val="EndnoteReference"/>
          <w:spacing w:val="-4"/>
        </w:rPr>
        <w:endnoteRef/>
      </w:r>
      <w:r w:rsidRPr="00B92C7B">
        <w:rPr>
          <w:spacing w:val="-4"/>
        </w:rPr>
        <w:t xml:space="preserve"> Ibid. </w:t>
      </w:r>
      <w:r w:rsidRPr="00B92C7B">
        <w:rPr>
          <w:spacing w:val="-4"/>
          <w:lang w:val="en-IN"/>
        </w:rPr>
        <w:t>Such bribes were essentially transfer payments, and not strictly part of the GDP.</w:t>
      </w:r>
    </w:p>
  </w:endnote>
  <w:endnote w:id="36">
    <w:p w14:paraId="33E2881C" w14:textId="61697987" w:rsidR="00317665" w:rsidRPr="00B92C7B" w:rsidRDefault="00317665" w:rsidP="00B661FE">
      <w:pPr>
        <w:pStyle w:val="Footnote"/>
        <w:rPr>
          <w:spacing w:val="-4"/>
        </w:rPr>
      </w:pPr>
      <w:r w:rsidRPr="00B92C7B">
        <w:rPr>
          <w:rStyle w:val="EndnoteReference"/>
          <w:spacing w:val="-4"/>
        </w:rPr>
        <w:endnoteRef/>
      </w:r>
      <w:r w:rsidRPr="00B92C7B">
        <w:rPr>
          <w:spacing w:val="-4"/>
        </w:rPr>
        <w:t xml:space="preserve"> Saumen Chattopadhyay, “Black Economy and Demonetisation,” </w:t>
      </w:r>
      <w:r w:rsidRPr="00B92C7B">
        <w:rPr>
          <w:i/>
          <w:spacing w:val="-4"/>
        </w:rPr>
        <w:t>Economic and Political Weekly</w:t>
      </w:r>
      <w:r w:rsidRPr="00B92C7B">
        <w:rPr>
          <w:spacing w:val="-4"/>
        </w:rPr>
        <w:t xml:space="preserve"> 52, no. 20 (May 20, 2017)</w:t>
      </w:r>
      <w:r>
        <w:rPr>
          <w:spacing w:val="-4"/>
        </w:rPr>
        <w:t>.</w:t>
      </w:r>
    </w:p>
  </w:endnote>
  <w:endnote w:id="37">
    <w:p w14:paraId="206844E4" w14:textId="044986FF" w:rsidR="00317665" w:rsidRPr="00B92C7B" w:rsidRDefault="00317665" w:rsidP="00025679">
      <w:pPr>
        <w:pStyle w:val="Footnote"/>
        <w:rPr>
          <w:spacing w:val="-4"/>
          <w:kern w:val="17"/>
        </w:rPr>
      </w:pPr>
      <w:r w:rsidRPr="00B92C7B">
        <w:rPr>
          <w:rStyle w:val="EndnoteReference"/>
          <w:spacing w:val="-4"/>
        </w:rPr>
        <w:endnoteRef/>
      </w:r>
      <w:r w:rsidRPr="00B92C7B">
        <w:rPr>
          <w:spacing w:val="-4"/>
          <w:kern w:val="17"/>
        </w:rPr>
        <w:t xml:space="preserve"> </w:t>
      </w:r>
      <w:r w:rsidRPr="00B92C7B">
        <w:rPr>
          <w:i/>
          <w:spacing w:val="-4"/>
          <w:kern w:val="17"/>
        </w:rPr>
        <w:t>Economist</w:t>
      </w:r>
      <w:r w:rsidRPr="00B92C7B">
        <w:rPr>
          <w:spacing w:val="-4"/>
          <w:kern w:val="17"/>
        </w:rPr>
        <w:t xml:space="preserve">, “Black Money Power,” May </w:t>
      </w:r>
      <w:r>
        <w:rPr>
          <w:spacing w:val="-4"/>
          <w:kern w:val="17"/>
        </w:rPr>
        <w:t>4, 2014,</w:t>
      </w:r>
      <w:r w:rsidRPr="00B92C7B">
        <w:rPr>
          <w:spacing w:val="-4"/>
          <w:kern w:val="17"/>
        </w:rPr>
        <w:t xml:space="preserve"> www.economist.com/blogs/banyan/2014/05/campaign-finance-india.</w:t>
      </w:r>
    </w:p>
  </w:endnote>
  <w:endnote w:id="38">
    <w:p w14:paraId="5B27AEA0" w14:textId="23AC8A9F"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w:t>
      </w:r>
      <w:r w:rsidRPr="00B92C7B">
        <w:rPr>
          <w:i/>
          <w:spacing w:val="-4"/>
        </w:rPr>
        <w:t>Economist</w:t>
      </w:r>
      <w:r w:rsidRPr="00B92C7B">
        <w:rPr>
          <w:spacing w:val="-4"/>
        </w:rPr>
        <w:t xml:space="preserve">, “A Bad Boom,” op. cit. </w:t>
      </w:r>
    </w:p>
  </w:endnote>
  <w:endnote w:id="39">
    <w:p w14:paraId="1C631B20" w14:textId="2D4EBA9F"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Transparency International, “Corruption Perceptions Index 2016,” January 25, 2017, accessed February 6, 2017, www.transparency.org/news/feature/corruption_perceptions_index_2016.</w:t>
      </w:r>
      <w:r w:rsidRPr="00B92C7B" w:rsidDel="009B405B">
        <w:rPr>
          <w:spacing w:val="-4"/>
        </w:rPr>
        <w:t xml:space="preserve"> </w:t>
      </w:r>
    </w:p>
  </w:endnote>
  <w:endnote w:id="40">
    <w:p w14:paraId="21145CCA" w14:textId="21BA9C00" w:rsidR="00317665" w:rsidRPr="00B92C7B" w:rsidRDefault="00317665" w:rsidP="005B1585">
      <w:pPr>
        <w:pStyle w:val="Footnote"/>
        <w:rPr>
          <w:spacing w:val="-4"/>
        </w:rPr>
      </w:pPr>
      <w:r w:rsidRPr="00B92C7B">
        <w:rPr>
          <w:rStyle w:val="EndnoteReference"/>
          <w:spacing w:val="-4"/>
        </w:rPr>
        <w:endnoteRef/>
      </w:r>
      <w:r w:rsidRPr="00B92C7B">
        <w:rPr>
          <w:spacing w:val="-4"/>
        </w:rPr>
        <w:t xml:space="preserve"> Sarmistha Pal, “Tackling Black Money: How Did the Current Government Fare?,” </w:t>
      </w:r>
      <w:r w:rsidRPr="00B92C7B">
        <w:rPr>
          <w:i/>
          <w:spacing w:val="-4"/>
        </w:rPr>
        <w:t>Indian Economist</w:t>
      </w:r>
      <w:r w:rsidRPr="00B92C7B">
        <w:rPr>
          <w:spacing w:val="-4"/>
        </w:rPr>
        <w:t>, December 21, 2016, accessed March 3, 2017, https://theindianeconomist.com/tackling-black-money.</w:t>
      </w:r>
    </w:p>
  </w:endnote>
  <w:endnote w:id="41">
    <w:p w14:paraId="253873C5" w14:textId="405A3CD4" w:rsidR="00317665" w:rsidRPr="00B92C7B" w:rsidRDefault="00317665" w:rsidP="00314917">
      <w:pPr>
        <w:pStyle w:val="Footnote"/>
        <w:rPr>
          <w:spacing w:val="-4"/>
        </w:rPr>
      </w:pPr>
      <w:r w:rsidRPr="00B92C7B">
        <w:rPr>
          <w:rStyle w:val="EndnoteReference"/>
          <w:spacing w:val="-4"/>
        </w:rPr>
        <w:endnoteRef/>
      </w:r>
      <w:r w:rsidRPr="00B92C7B">
        <w:rPr>
          <w:spacing w:val="-4"/>
        </w:rPr>
        <w:t xml:space="preserve"> Ira Dugal, “Demonetization Math: How Much Cash Was Part of Our Black Economy?,” </w:t>
      </w:r>
      <w:r w:rsidRPr="00B92C7B">
        <w:rPr>
          <w:i/>
          <w:spacing w:val="-4"/>
        </w:rPr>
        <w:t>Quint</w:t>
      </w:r>
      <w:r w:rsidRPr="00B92C7B">
        <w:rPr>
          <w:spacing w:val="-4"/>
        </w:rPr>
        <w:t>, November 30, 2016, accessed January 6, 2017, https://www.thequint.com/india/2016/11/30/tracking-demonetisation-math-narendra-modi-arun-jaitley-rbi-500-1000-currency-deposit-2000-jan-dhan-blackmoney.</w:t>
      </w:r>
    </w:p>
  </w:endnote>
  <w:endnote w:id="42">
    <w:p w14:paraId="01BE23DD" w14:textId="1B0AB1C7"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Ibid.; Y. V. Reddy, “Understanding Black Money in India” (Second Mahesh Buch Memorial Lecture, Bhopal, October 5, 2016), accessed February 5, 2017, www.yvreddy.com/black-money-mahesh-buch-memorial-lecture-bhopal. </w:t>
      </w:r>
    </w:p>
  </w:endnote>
  <w:endnote w:id="43">
    <w:p w14:paraId="767279D9" w14:textId="4C84BBBE"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Dugal, op. cit. </w:t>
      </w:r>
    </w:p>
  </w:endnote>
  <w:endnote w:id="44">
    <w:p w14:paraId="20B96C41" w14:textId="14210B03"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Reddy, op. cit. </w:t>
      </w:r>
    </w:p>
  </w:endnote>
  <w:endnote w:id="45">
    <w:p w14:paraId="047AABBF" w14:textId="0A2DFBD2" w:rsidR="00317665" w:rsidRPr="00B92C7B" w:rsidRDefault="00317665" w:rsidP="001D39F1">
      <w:pPr>
        <w:jc w:val="both"/>
        <w:rPr>
          <w:spacing w:val="-4"/>
          <w:lang w:eastAsia="en-GB"/>
        </w:rPr>
      </w:pPr>
      <w:r w:rsidRPr="00B92C7B">
        <w:rPr>
          <w:rStyle w:val="EndnoteReference"/>
          <w:spacing w:val="-4"/>
        </w:rPr>
        <w:endnoteRef/>
      </w:r>
      <w:r w:rsidRPr="00B92C7B">
        <w:rPr>
          <w:rFonts w:ascii="Arial" w:hAnsi="Arial" w:cs="Arial"/>
          <w:color w:val="000000"/>
          <w:spacing w:val="-4"/>
          <w:sz w:val="17"/>
          <w:szCs w:val="17"/>
        </w:rPr>
        <w:t xml:space="preserve"> Usually, tax evasion could be correlated with high tax rates. Raymond Fisman and Wei Shang-Jin, “</w:t>
      </w:r>
      <w:r w:rsidRPr="00B92C7B">
        <w:rPr>
          <w:color w:val="000000"/>
          <w:spacing w:val="-4"/>
        </w:rPr>
        <w:t xml:space="preserve">Tax Rates </w:t>
      </w:r>
      <w:r w:rsidRPr="00B92C7B">
        <w:rPr>
          <w:rFonts w:ascii="Arial" w:hAnsi="Arial" w:cs="Arial"/>
          <w:color w:val="000000"/>
          <w:spacing w:val="-4"/>
          <w:sz w:val="17"/>
          <w:szCs w:val="17"/>
        </w:rPr>
        <w:t>a</w:t>
      </w:r>
      <w:r w:rsidRPr="00B92C7B">
        <w:rPr>
          <w:color w:val="000000"/>
          <w:spacing w:val="-4"/>
        </w:rPr>
        <w:t xml:space="preserve">nd Tax Evasion: Evidence </w:t>
      </w:r>
      <w:r w:rsidRPr="00B92C7B">
        <w:rPr>
          <w:rFonts w:ascii="Arial" w:hAnsi="Arial" w:cs="Arial"/>
          <w:color w:val="000000"/>
          <w:spacing w:val="-4"/>
          <w:sz w:val="17"/>
          <w:szCs w:val="17"/>
        </w:rPr>
        <w:t>f</w:t>
      </w:r>
      <w:r w:rsidRPr="00B92C7B">
        <w:rPr>
          <w:color w:val="000000"/>
          <w:spacing w:val="-4"/>
        </w:rPr>
        <w:t xml:space="preserve">rom </w:t>
      </w:r>
      <w:r w:rsidRPr="00B92C7B">
        <w:rPr>
          <w:rFonts w:ascii="Arial" w:hAnsi="Arial" w:cs="Arial"/>
          <w:color w:val="000000"/>
          <w:spacing w:val="-4"/>
          <w:sz w:val="17"/>
          <w:szCs w:val="17"/>
        </w:rPr>
        <w:t>‘</w:t>
      </w:r>
      <w:r w:rsidRPr="00B92C7B">
        <w:rPr>
          <w:color w:val="000000"/>
          <w:spacing w:val="-4"/>
        </w:rPr>
        <w:t>Missing Imports</w:t>
      </w:r>
      <w:r w:rsidRPr="00B92C7B">
        <w:rPr>
          <w:rFonts w:ascii="Arial" w:hAnsi="Arial" w:cs="Arial"/>
          <w:color w:val="000000"/>
          <w:spacing w:val="-4"/>
          <w:sz w:val="17"/>
          <w:szCs w:val="17"/>
        </w:rPr>
        <w:t>’</w:t>
      </w:r>
      <w:r w:rsidRPr="00B92C7B">
        <w:rPr>
          <w:color w:val="000000"/>
          <w:spacing w:val="-4"/>
        </w:rPr>
        <w:t xml:space="preserve"> </w:t>
      </w:r>
      <w:r w:rsidRPr="00B92C7B">
        <w:rPr>
          <w:rFonts w:ascii="Arial" w:hAnsi="Arial" w:cs="Arial"/>
          <w:color w:val="000000"/>
          <w:spacing w:val="-4"/>
          <w:sz w:val="17"/>
          <w:szCs w:val="17"/>
        </w:rPr>
        <w:t>i</w:t>
      </w:r>
      <w:r w:rsidRPr="00B92C7B">
        <w:rPr>
          <w:color w:val="000000"/>
          <w:spacing w:val="-4"/>
        </w:rPr>
        <w:t>n China,</w:t>
      </w:r>
      <w:r w:rsidRPr="00B92C7B">
        <w:rPr>
          <w:rFonts w:ascii="Arial" w:hAnsi="Arial" w:cs="Arial"/>
          <w:color w:val="000000"/>
          <w:spacing w:val="-4"/>
          <w:sz w:val="17"/>
          <w:szCs w:val="17"/>
        </w:rPr>
        <w:t xml:space="preserve">” </w:t>
      </w:r>
      <w:r w:rsidRPr="00B92C7B">
        <w:rPr>
          <w:rFonts w:ascii="Arial" w:hAnsi="Arial" w:cs="Arial"/>
          <w:i/>
          <w:color w:val="000000"/>
          <w:spacing w:val="-4"/>
          <w:sz w:val="17"/>
          <w:szCs w:val="17"/>
        </w:rPr>
        <w:t>Journal of Political Economy</w:t>
      </w:r>
      <w:r w:rsidRPr="00B92C7B">
        <w:rPr>
          <w:rFonts w:ascii="Arial" w:hAnsi="Arial" w:cs="Arial"/>
          <w:color w:val="000000"/>
          <w:spacing w:val="-4"/>
          <w:sz w:val="17"/>
          <w:szCs w:val="17"/>
        </w:rPr>
        <w:t xml:space="preserve"> 112, no. 2: 471–496, accessed November 9, 2017, http://users.nber.org/~wei/data/fisman&amp;wei2004/fisman&amp;wei2004.pdf.</w:t>
      </w:r>
      <w:r w:rsidRPr="00B92C7B">
        <w:rPr>
          <w:rStyle w:val="apple-converted-space"/>
          <w:rFonts w:ascii="Arial" w:hAnsi="Arial" w:cs="Arial"/>
          <w:color w:val="000000"/>
          <w:spacing w:val="-4"/>
          <w:sz w:val="17"/>
          <w:szCs w:val="17"/>
        </w:rPr>
        <w:t> </w:t>
      </w:r>
    </w:p>
  </w:endnote>
  <w:endnote w:id="46">
    <w:p w14:paraId="711B5F5A" w14:textId="646DDA58"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Reddy, op. cit. </w:t>
      </w:r>
    </w:p>
  </w:endnote>
  <w:endnote w:id="47">
    <w:p w14:paraId="4225FCE7" w14:textId="62751EFC"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Government of India, “Demonetisation,” op. cit.</w:t>
      </w:r>
    </w:p>
  </w:endnote>
  <w:endnote w:id="48">
    <w:p w14:paraId="7B97B31E" w14:textId="23223FC9"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w:t>
      </w:r>
      <w:r w:rsidRPr="00B92C7B">
        <w:rPr>
          <w:spacing w:val="-4"/>
          <w:kern w:val="17"/>
        </w:rPr>
        <w:t xml:space="preserve">The World Bank, “GDP per Capita (Constant 2010 US$),” </w:t>
      </w:r>
      <w:r w:rsidRPr="00ED192A">
        <w:rPr>
          <w:spacing w:val="-4"/>
        </w:rPr>
        <w:t>http://data.worldbank.org/indicator</w:t>
      </w:r>
      <w:r w:rsidRPr="00B92C7B">
        <w:rPr>
          <w:spacing w:val="-4"/>
        </w:rPr>
        <w:t>/NY.GDP.PCAP.KD?locations=IN</w:t>
      </w:r>
      <w:r>
        <w:rPr>
          <w:spacing w:val="-4"/>
        </w:rPr>
        <w:t>. R</w:t>
      </w:r>
      <w:r w:rsidRPr="00B92C7B">
        <w:rPr>
          <w:spacing w:val="-4"/>
        </w:rPr>
        <w:t xml:space="preserve">atio calculated as 500 ÷ 309.328 = 1.616 in 1991, compared with 1,000 ÷ 1,598.529 = 0.62 in 2015. </w:t>
      </w:r>
    </w:p>
  </w:endnote>
  <w:endnote w:id="49">
    <w:p w14:paraId="060560EC" w14:textId="36FF77E1"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Government of India, “Demonetisation,” op. cit. </w:t>
      </w:r>
    </w:p>
  </w:endnote>
  <w:endnote w:id="50">
    <w:p w14:paraId="653A6CEA" w14:textId="59F7AE18" w:rsidR="00317665" w:rsidRPr="00B92C7B" w:rsidRDefault="00317665" w:rsidP="00025679">
      <w:pPr>
        <w:pStyle w:val="Footnote"/>
        <w:rPr>
          <w:spacing w:val="-4"/>
          <w:lang w:val="en-IN"/>
        </w:rPr>
      </w:pPr>
      <w:r w:rsidRPr="00B92C7B">
        <w:rPr>
          <w:rStyle w:val="EndnoteReference"/>
          <w:spacing w:val="-4"/>
        </w:rPr>
        <w:endnoteRef/>
      </w:r>
      <w:r w:rsidRPr="00B92C7B">
        <w:rPr>
          <w:spacing w:val="-4"/>
        </w:rPr>
        <w:t xml:space="preserve"> Sanjiv Shankaran, “</w:t>
      </w:r>
      <w:r w:rsidRPr="00B92C7B">
        <w:rPr>
          <w:spacing w:val="-4"/>
          <w:lang w:val="en-IN"/>
        </w:rPr>
        <w:t xml:space="preserve">Demonetization in 1946 and 1978: Stories from the Past,” </w:t>
      </w:r>
      <w:r w:rsidRPr="00B92C7B">
        <w:rPr>
          <w:i/>
          <w:spacing w:val="-4"/>
          <w:lang w:val="en-IN"/>
        </w:rPr>
        <w:t>Times of India</w:t>
      </w:r>
      <w:r w:rsidRPr="00B92C7B">
        <w:rPr>
          <w:spacing w:val="-4"/>
          <w:lang w:val="en-IN"/>
        </w:rPr>
        <w:t>, November 15, 2016, accessed April 7, 2017, http://blogs.timesofindia.indiatimes.com/cash-flow/demonetization-in-1946-and-1978-stories-from-the-past.</w:t>
      </w:r>
    </w:p>
  </w:endnote>
  <w:endnote w:id="51">
    <w:p w14:paraId="0D713F21" w14:textId="69838AD1"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w:t>
      </w:r>
      <w:r w:rsidRPr="00B92C7B">
        <w:rPr>
          <w:i/>
          <w:spacing w:val="-4"/>
        </w:rPr>
        <w:t>Times of India</w:t>
      </w:r>
      <w:r w:rsidRPr="00B92C7B">
        <w:rPr>
          <w:spacing w:val="-4"/>
        </w:rPr>
        <w:t xml:space="preserve">, “BJP Manifesto 2014: Highlights,” April 7, 2014, accessed April 2, 2017, </w:t>
      </w:r>
      <w:r w:rsidRPr="00ED192A">
        <w:rPr>
          <w:spacing w:val="-4"/>
        </w:rPr>
        <w:t>http://timesofindia.indiatimes.com/news</w:t>
      </w:r>
      <w:r>
        <w:rPr>
          <w:spacing w:val="-4"/>
        </w:rPr>
        <w:t xml:space="preserve"> </w:t>
      </w:r>
      <w:r w:rsidRPr="00B92C7B">
        <w:rPr>
          <w:spacing w:val="-4"/>
        </w:rPr>
        <w:t>/BJP-manifesto-2014-Highlights/articleshow/33386835.cms.</w:t>
      </w:r>
    </w:p>
  </w:endnote>
  <w:endnote w:id="52">
    <w:p w14:paraId="23410069" w14:textId="55659300" w:rsidR="00317665" w:rsidRPr="00B92C7B" w:rsidRDefault="00317665" w:rsidP="001D39F1">
      <w:pPr>
        <w:pStyle w:val="EndnoteText"/>
        <w:jc w:val="both"/>
        <w:rPr>
          <w:spacing w:val="-4"/>
          <w:lang w:val="en-US"/>
        </w:rPr>
      </w:pPr>
      <w:r w:rsidRPr="00B92C7B">
        <w:rPr>
          <w:rStyle w:val="EndnoteReference"/>
          <w:rFonts w:ascii="Arial" w:hAnsi="Arial" w:cs="Arial"/>
          <w:spacing w:val="-4"/>
          <w:sz w:val="17"/>
          <w:szCs w:val="17"/>
        </w:rPr>
        <w:endnoteRef/>
      </w:r>
      <w:r w:rsidRPr="00B92C7B">
        <w:rPr>
          <w:spacing w:val="-4"/>
        </w:rPr>
        <w:t xml:space="preserve"> </w:t>
      </w:r>
      <w:r w:rsidRPr="00B92C7B">
        <w:rPr>
          <w:rFonts w:ascii="Arial" w:hAnsi="Arial" w:cs="Arial"/>
          <w:spacing w:val="-4"/>
          <w:sz w:val="17"/>
          <w:szCs w:val="17"/>
        </w:rPr>
        <w:t>Government of India, “Demonetisation,” op. cit., 54.</w:t>
      </w:r>
    </w:p>
  </w:endnote>
  <w:endnote w:id="53">
    <w:p w14:paraId="2F5F7FAE" w14:textId="30E7A52F" w:rsidR="00317665" w:rsidRPr="00B92C7B" w:rsidRDefault="00317665" w:rsidP="005D3E48">
      <w:pPr>
        <w:pStyle w:val="Footnote"/>
        <w:rPr>
          <w:spacing w:val="-4"/>
        </w:rPr>
      </w:pPr>
      <w:r w:rsidRPr="00B92C7B">
        <w:rPr>
          <w:rStyle w:val="EndnoteReference"/>
          <w:spacing w:val="-4"/>
        </w:rPr>
        <w:endnoteRef/>
      </w:r>
      <w:r w:rsidRPr="00B92C7B">
        <w:rPr>
          <w:spacing w:val="-4"/>
        </w:rPr>
        <w:t xml:space="preserve"> Government of India, “Demonetisation,” op. cit. These schemes </w:t>
      </w:r>
      <w:r w:rsidRPr="00B92C7B">
        <w:rPr>
          <w:spacing w:val="-4"/>
          <w:lang w:val="en-IN"/>
        </w:rPr>
        <w:t xml:space="preserve">included the creation of a Special Investigative Team (SIT) in the 2014 budget; the </w:t>
      </w:r>
      <w:r w:rsidRPr="00B92C7B">
        <w:rPr>
          <w:i/>
          <w:spacing w:val="-4"/>
          <w:lang w:val="en-IN"/>
        </w:rPr>
        <w:t>Black Money (Undisclosed Foreign Income and Assets) and Imposition of Tax Act, 2015</w:t>
      </w:r>
      <w:r w:rsidRPr="00B92C7B">
        <w:rPr>
          <w:spacing w:val="-4"/>
          <w:lang w:val="en-IN"/>
        </w:rPr>
        <w:t>, No. 22 of 2015, Ministry of Law and Justice; and the Income Disclosure Scheme in September 2016.</w:t>
      </w:r>
    </w:p>
  </w:endnote>
  <w:endnote w:id="54">
    <w:p w14:paraId="2386E86A" w14:textId="4E76AF98"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The entire exercise was intended to last from November 8 to December 30, 2016.</w:t>
      </w:r>
    </w:p>
  </w:endnote>
  <w:endnote w:id="55">
    <w:p w14:paraId="098EF597" w14:textId="3410CCE4"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w:t>
      </w:r>
      <w:r w:rsidRPr="00B92C7B">
        <w:rPr>
          <w:i/>
          <w:spacing w:val="-4"/>
        </w:rPr>
        <w:t>Huffington Post</w:t>
      </w:r>
      <w:r w:rsidRPr="00B92C7B">
        <w:rPr>
          <w:spacing w:val="-4"/>
        </w:rPr>
        <w:t>,</w:t>
      </w:r>
      <w:r w:rsidRPr="00B92C7B">
        <w:rPr>
          <w:i/>
          <w:spacing w:val="-4"/>
        </w:rPr>
        <w:t xml:space="preserve"> </w:t>
      </w:r>
      <w:r w:rsidRPr="00B92C7B">
        <w:rPr>
          <w:spacing w:val="-4"/>
        </w:rPr>
        <w:t xml:space="preserve">“Here’s the Full Text of Modi’s Speech, op. cit. </w:t>
      </w:r>
    </w:p>
  </w:endnote>
  <w:endnote w:id="56">
    <w:p w14:paraId="4C70557B" w14:textId="69E55CCE" w:rsidR="00317665" w:rsidRPr="00B92C7B" w:rsidRDefault="00317665" w:rsidP="00025679">
      <w:pPr>
        <w:pStyle w:val="Footnote"/>
        <w:rPr>
          <w:bCs/>
          <w:spacing w:val="-4"/>
        </w:rPr>
      </w:pPr>
      <w:r w:rsidRPr="00B92C7B">
        <w:rPr>
          <w:rStyle w:val="EndnoteReference"/>
          <w:spacing w:val="-4"/>
        </w:rPr>
        <w:endnoteRef/>
      </w:r>
      <w:r w:rsidRPr="00B92C7B">
        <w:rPr>
          <w:spacing w:val="-4"/>
        </w:rPr>
        <w:t xml:space="preserve"> Reserve Bank of India, “</w:t>
      </w:r>
      <w:r w:rsidRPr="00B92C7B">
        <w:rPr>
          <w:bCs/>
          <w:spacing w:val="-4"/>
        </w:rPr>
        <w:t>Withdrawal of Legal Tender Status for ₹500 and ₹1000 Notes: RBI Notice,” p</w:t>
      </w:r>
      <w:r w:rsidRPr="00B92C7B">
        <w:rPr>
          <w:spacing w:val="-4"/>
        </w:rPr>
        <w:t xml:space="preserve">ress release, </w:t>
      </w:r>
      <w:r w:rsidRPr="00B92C7B">
        <w:rPr>
          <w:bCs/>
          <w:spacing w:val="-4"/>
        </w:rPr>
        <w:t xml:space="preserve">November 8, 2016, accessed November 25, 2016, </w:t>
      </w:r>
      <w:r w:rsidRPr="00B92C7B">
        <w:rPr>
          <w:spacing w:val="-4"/>
        </w:rPr>
        <w:t xml:space="preserve">https://rbi.org.in/Scripts/BS_PressReleaseDisplay.aspx?prid=38520; </w:t>
      </w:r>
      <w:r w:rsidRPr="00B92C7B">
        <w:rPr>
          <w:bCs/>
          <w:i/>
          <w:spacing w:val="-4"/>
        </w:rPr>
        <w:t>FirstPost</w:t>
      </w:r>
      <w:r w:rsidRPr="00B92C7B">
        <w:rPr>
          <w:bCs/>
          <w:spacing w:val="-4"/>
        </w:rPr>
        <w:t xml:space="preserve">, </w:t>
      </w:r>
      <w:r w:rsidRPr="00B92C7B">
        <w:rPr>
          <w:spacing w:val="-4"/>
        </w:rPr>
        <w:t>“</w:t>
      </w:r>
      <w:r w:rsidRPr="00B92C7B">
        <w:rPr>
          <w:bCs/>
          <w:spacing w:val="-4"/>
        </w:rPr>
        <w:t>Demonetisation 30 Days: A Timeline of PM Narendra Modi’s Grand Indian Currency Show,”</w:t>
      </w:r>
      <w:r w:rsidRPr="00B92C7B">
        <w:rPr>
          <w:bCs/>
          <w:i/>
          <w:spacing w:val="-4"/>
        </w:rPr>
        <w:t xml:space="preserve"> </w:t>
      </w:r>
      <w:r w:rsidRPr="00B92C7B">
        <w:rPr>
          <w:bCs/>
          <w:spacing w:val="-4"/>
        </w:rPr>
        <w:t xml:space="preserve">December 8, 2016, accessed November 10, 2017, </w:t>
      </w:r>
      <w:r w:rsidRPr="00B92C7B">
        <w:rPr>
          <w:spacing w:val="-4"/>
        </w:rPr>
        <w:t>www.firstpost.com/business/demonetisation-30-days-a-timeline-of-pm-narendra-modis-grand-indian-currency-show-3146334.html</w:t>
      </w:r>
      <w:r w:rsidRPr="00B92C7B">
        <w:rPr>
          <w:bCs/>
          <w:spacing w:val="-4"/>
        </w:rPr>
        <w:t xml:space="preserve">. </w:t>
      </w:r>
      <w:r w:rsidRPr="00B92C7B">
        <w:rPr>
          <w:spacing w:val="-4"/>
          <w:lang w:val="en-IN"/>
        </w:rPr>
        <w:t xml:space="preserve">Initially, these limits were set at </w:t>
      </w:r>
      <w:r w:rsidRPr="00B92C7B">
        <w:rPr>
          <w:spacing w:val="-4"/>
        </w:rPr>
        <w:t>₹</w:t>
      </w:r>
      <w:r w:rsidRPr="00B92C7B">
        <w:rPr>
          <w:spacing w:val="-4"/>
          <w:lang w:val="en-IN"/>
        </w:rPr>
        <w:t xml:space="preserve">2,000 per day per card up to November 18, 2016, and then raised to </w:t>
      </w:r>
      <w:r w:rsidRPr="00B92C7B">
        <w:rPr>
          <w:spacing w:val="-4"/>
        </w:rPr>
        <w:t>₹</w:t>
      </w:r>
      <w:r w:rsidRPr="00B92C7B">
        <w:rPr>
          <w:spacing w:val="-4"/>
          <w:lang w:val="en-IN"/>
        </w:rPr>
        <w:t>4,000 per card per day on November 19, 2016. These limits were then gradually increased.</w:t>
      </w:r>
      <w:r w:rsidRPr="00B92C7B">
        <w:rPr>
          <w:spacing w:val="-4"/>
        </w:rPr>
        <w:t xml:space="preserve"> </w:t>
      </w:r>
    </w:p>
  </w:endnote>
  <w:endnote w:id="57">
    <w:p w14:paraId="0C8C2F4C" w14:textId="2CE0844F"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Reserve Bank of India, “</w:t>
      </w:r>
      <w:r w:rsidRPr="00B92C7B">
        <w:rPr>
          <w:bCs/>
          <w:spacing w:val="-4"/>
        </w:rPr>
        <w:t>Withdrawal of Legal Tender Status for ₹500 and ₹1000 Notes: RBI Notice,” p</w:t>
      </w:r>
      <w:r w:rsidRPr="00B92C7B">
        <w:rPr>
          <w:spacing w:val="-4"/>
        </w:rPr>
        <w:t xml:space="preserve">ress release, </w:t>
      </w:r>
      <w:r w:rsidRPr="00B92C7B">
        <w:rPr>
          <w:bCs/>
          <w:spacing w:val="-4"/>
        </w:rPr>
        <w:t xml:space="preserve">November 8, 2016, accessed November 25, 2016, </w:t>
      </w:r>
      <w:r w:rsidRPr="00B92C7B">
        <w:rPr>
          <w:spacing w:val="-4"/>
        </w:rPr>
        <w:t>https://rbi.org.in/Scripts/BS_PressReleaseDisplay.aspx?prid=38520.</w:t>
      </w:r>
    </w:p>
  </w:endnote>
  <w:endnote w:id="58">
    <w:p w14:paraId="78FF2164" w14:textId="1D289CF8"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Thus, between November 9 and November 24, 2016, </w:t>
      </w:r>
      <w:r w:rsidRPr="00B92C7B">
        <w:rPr>
          <w:color w:val="1A1A1A"/>
          <w:spacing w:val="-4"/>
          <w:lang w:val="en-IN"/>
        </w:rPr>
        <w:t>cash withdrawals from bank accounts made at bank counters were restricted to ₹10,000 per day, subject to an overall limit of ₹20,000 a week.</w:t>
      </w:r>
    </w:p>
  </w:endnote>
  <w:endnote w:id="59">
    <w:p w14:paraId="6EB0EEAA" w14:textId="0DB5F7AA"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Reserve Bank of India, “</w:t>
      </w:r>
      <w:r w:rsidRPr="00B92C7B">
        <w:rPr>
          <w:bCs/>
          <w:spacing w:val="-4"/>
        </w:rPr>
        <w:t xml:space="preserve">Withdrawal of Legal Tender Status,” op. cit. </w:t>
      </w:r>
    </w:p>
  </w:endnote>
  <w:endnote w:id="60">
    <w:p w14:paraId="1A3B0F23" w14:textId="0948FB8A" w:rsidR="00317665" w:rsidRPr="00B92C7B" w:rsidRDefault="00317665" w:rsidP="004D0851">
      <w:pPr>
        <w:pStyle w:val="Footnote"/>
        <w:rPr>
          <w:spacing w:val="-4"/>
        </w:rPr>
      </w:pPr>
      <w:r w:rsidRPr="00B92C7B">
        <w:rPr>
          <w:rStyle w:val="EndnoteReference"/>
          <w:spacing w:val="-4"/>
        </w:rPr>
        <w:endnoteRef/>
      </w:r>
      <w:r w:rsidRPr="00B92C7B">
        <w:rPr>
          <w:spacing w:val="-4"/>
        </w:rPr>
        <w:t xml:space="preserve"> </w:t>
      </w:r>
      <w:r w:rsidRPr="00B92C7B">
        <w:rPr>
          <w:i/>
          <w:spacing w:val="-4"/>
        </w:rPr>
        <w:t>Business Standard</w:t>
      </w:r>
      <w:r w:rsidRPr="00B92C7B">
        <w:rPr>
          <w:spacing w:val="-4"/>
        </w:rPr>
        <w:t>, “List: You Can Use Your Old Rs 500 Note Till Dec 15 Midnight at All These Places,” December 14, 2016, accessed April 23, 2017, www.business-standard.com/article/economy-policy/list-you-can-use-your-old-rs-500-note-till-dec-15-midnight-at-all-these-places-116121400263_1.html.</w:t>
      </w:r>
    </w:p>
  </w:endnote>
  <w:endnote w:id="61">
    <w:p w14:paraId="14C0DAFC" w14:textId="4BD7CC18" w:rsidR="00317665" w:rsidRPr="00B92C7B" w:rsidRDefault="00317665" w:rsidP="00025679">
      <w:pPr>
        <w:pStyle w:val="Footnote"/>
        <w:rPr>
          <w:spacing w:val="-4"/>
          <w:lang w:val="en-IN"/>
        </w:rPr>
      </w:pPr>
      <w:r w:rsidRPr="00B92C7B">
        <w:rPr>
          <w:rStyle w:val="EndnoteReference"/>
          <w:spacing w:val="-4"/>
        </w:rPr>
        <w:endnoteRef/>
      </w:r>
      <w:r w:rsidRPr="00B92C7B">
        <w:rPr>
          <w:spacing w:val="-4"/>
        </w:rPr>
        <w:t xml:space="preserve"> Deepshikha Sikarwar, “</w:t>
      </w:r>
      <w:r w:rsidRPr="00B92C7B">
        <w:rPr>
          <w:spacing w:val="-4"/>
          <w:lang w:val="en-IN"/>
        </w:rPr>
        <w:t xml:space="preserve">Old Note Deposits in Banks to Be Allowed Only Once Till December 30 if It Exceeds Rs 5,000,” </w:t>
      </w:r>
      <w:r w:rsidRPr="00B92C7B">
        <w:rPr>
          <w:i/>
          <w:spacing w:val="-4"/>
          <w:lang w:val="en-IN"/>
        </w:rPr>
        <w:t>Economic Times</w:t>
      </w:r>
      <w:r w:rsidRPr="00B92C7B">
        <w:rPr>
          <w:spacing w:val="-4"/>
          <w:lang w:val="en-IN"/>
        </w:rPr>
        <w:t xml:space="preserve">, December 20, 2016, accessed December 30, 2016, </w:t>
      </w:r>
      <w:r w:rsidRPr="00ED192A">
        <w:rPr>
          <w:spacing w:val="-4"/>
          <w:lang w:val="en-IN"/>
        </w:rPr>
        <w:t>http://economictimes.indiatimes.com/news/economy</w:t>
      </w:r>
      <w:r>
        <w:rPr>
          <w:spacing w:val="-4"/>
          <w:lang w:val="en-IN"/>
        </w:rPr>
        <w:t xml:space="preserve"> </w:t>
      </w:r>
      <w:r w:rsidRPr="00B92C7B">
        <w:rPr>
          <w:spacing w:val="-4"/>
          <w:lang w:val="en-IN"/>
        </w:rPr>
        <w:t xml:space="preserve">/policy/old-note-deposits-in-banks-to-be-allowed-only-once-till-december-30-if-it-exceeds-rs-5000/articleshow/56060026.cms. </w:t>
      </w:r>
    </w:p>
  </w:endnote>
  <w:endnote w:id="62">
    <w:p w14:paraId="459DA653" w14:textId="7927FAA8"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w:t>
      </w:r>
      <w:r w:rsidRPr="00B92C7B">
        <w:rPr>
          <w:i/>
          <w:spacing w:val="-4"/>
        </w:rPr>
        <w:t>Indian Express</w:t>
      </w:r>
      <w:r w:rsidRPr="00B92C7B">
        <w:rPr>
          <w:spacing w:val="-4"/>
        </w:rPr>
        <w:t>, “New Currency Notes in ATMs from Friday: Government,” November 10, 2016, accessed March 1, 2017, http://indianexpress.com/article/india/india-news-india/500-1000-rupee-ban-sebi-new-currency-notes-in-atms-from-friday-government-4365745.</w:t>
      </w:r>
    </w:p>
  </w:endnote>
  <w:endnote w:id="63">
    <w:p w14:paraId="1BFACC86" w14:textId="7B526EA5"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w:t>
      </w:r>
      <w:r w:rsidRPr="00B92C7B">
        <w:rPr>
          <w:i/>
          <w:spacing w:val="-4"/>
        </w:rPr>
        <w:t>Hans India</w:t>
      </w:r>
      <w:r w:rsidRPr="00B92C7B">
        <w:rPr>
          <w:spacing w:val="-4"/>
        </w:rPr>
        <w:t>, “Serpentine Queues Still Continue,” December 17</w:t>
      </w:r>
      <w:r>
        <w:rPr>
          <w:spacing w:val="-4"/>
        </w:rPr>
        <w:t>, 2016,</w:t>
      </w:r>
      <w:r w:rsidRPr="00B92C7B">
        <w:rPr>
          <w:spacing w:val="-4"/>
        </w:rPr>
        <w:t xml:space="preserve"> </w:t>
      </w:r>
      <w:r w:rsidRPr="00ED192A">
        <w:rPr>
          <w:spacing w:val="-4"/>
        </w:rPr>
        <w:t>www.thehansindia.com/posts</w:t>
      </w:r>
      <w:r>
        <w:rPr>
          <w:spacing w:val="-4"/>
        </w:rPr>
        <w:t xml:space="preserve"> </w:t>
      </w:r>
      <w:r w:rsidRPr="00B92C7B">
        <w:rPr>
          <w:spacing w:val="-4"/>
        </w:rPr>
        <w:t>/index/Telangana/2016-12-17/Serpentine-queues-still-continue/269132; “Demonetisation: Long Queues Outside Banks, ATMs Continue,” Rajya Sabha (RS tv), November 17,</w:t>
      </w:r>
      <w:r>
        <w:rPr>
          <w:spacing w:val="-4"/>
        </w:rPr>
        <w:t xml:space="preserve"> 2016</w:t>
      </w:r>
      <w:r w:rsidRPr="00B92C7B">
        <w:rPr>
          <w:spacing w:val="-4"/>
        </w:rPr>
        <w:t>, http://rstv.nic.in/demonetisation-long-queues-outside-banks-atms-continue.html.</w:t>
      </w:r>
    </w:p>
  </w:endnote>
  <w:endnote w:id="64">
    <w:p w14:paraId="7F84F16A" w14:textId="17BDE0BD" w:rsidR="00317665" w:rsidRPr="00B92C7B" w:rsidRDefault="00317665" w:rsidP="00025679">
      <w:pPr>
        <w:pStyle w:val="Footnote"/>
        <w:rPr>
          <w:bCs/>
          <w:spacing w:val="-4"/>
        </w:rPr>
      </w:pPr>
      <w:r w:rsidRPr="00B92C7B">
        <w:rPr>
          <w:rStyle w:val="EndnoteReference"/>
          <w:spacing w:val="-4"/>
        </w:rPr>
        <w:endnoteRef/>
      </w:r>
      <w:r w:rsidRPr="00B92C7B">
        <w:rPr>
          <w:spacing w:val="-4"/>
        </w:rPr>
        <w:t xml:space="preserve"> Appu Esthose Suresh, “</w:t>
      </w:r>
      <w:r w:rsidRPr="00B92C7B">
        <w:rPr>
          <w:bCs/>
          <w:spacing w:val="-4"/>
        </w:rPr>
        <w:t xml:space="preserve">Why Govt’s Demonetisation Move May Fail to Win the War against Black Money,” </w:t>
      </w:r>
      <w:r w:rsidRPr="00B92C7B">
        <w:rPr>
          <w:bCs/>
          <w:i/>
          <w:spacing w:val="-4"/>
        </w:rPr>
        <w:t>Hindustan Times</w:t>
      </w:r>
      <w:r w:rsidRPr="00B92C7B">
        <w:rPr>
          <w:bCs/>
          <w:spacing w:val="-4"/>
        </w:rPr>
        <w:t xml:space="preserve">, February 16, 2017, accessed March 2, 2017, </w:t>
      </w:r>
      <w:r w:rsidRPr="00B92C7B">
        <w:rPr>
          <w:spacing w:val="-4"/>
        </w:rPr>
        <w:t>www.hindustantimes.com/india-news/cash-has-only-6-share-in-black-money-seizures-reveals-income-tax-data/story-JfFuTiJYtxKwJQhz2ApxlL.html.</w:t>
      </w:r>
    </w:p>
  </w:endnote>
  <w:endnote w:id="65">
    <w:p w14:paraId="714F8FC0" w14:textId="03D7C54D" w:rsidR="00317665" w:rsidRPr="00B92C7B" w:rsidRDefault="00317665" w:rsidP="001D39F1">
      <w:pPr>
        <w:pStyle w:val="EndnoteText"/>
        <w:jc w:val="both"/>
        <w:rPr>
          <w:rFonts w:ascii="Arial" w:hAnsi="Arial" w:cs="Arial"/>
          <w:bCs/>
          <w:spacing w:val="-4"/>
          <w:sz w:val="17"/>
          <w:szCs w:val="17"/>
        </w:rPr>
      </w:pPr>
      <w:r w:rsidRPr="00B92C7B">
        <w:rPr>
          <w:rStyle w:val="EndnoteReference"/>
          <w:rFonts w:ascii="Arial" w:hAnsi="Arial" w:cs="Arial"/>
          <w:spacing w:val="-4"/>
          <w:sz w:val="17"/>
          <w:szCs w:val="17"/>
        </w:rPr>
        <w:endnoteRef/>
      </w:r>
      <w:r w:rsidRPr="00B92C7B">
        <w:rPr>
          <w:rFonts w:ascii="Arial" w:hAnsi="Arial" w:cs="Arial"/>
          <w:spacing w:val="-4"/>
          <w:sz w:val="17"/>
          <w:szCs w:val="17"/>
        </w:rPr>
        <w:t xml:space="preserve"> </w:t>
      </w:r>
      <w:r w:rsidRPr="00B92C7B">
        <w:rPr>
          <w:rFonts w:ascii="Arial" w:hAnsi="Arial" w:cs="Arial"/>
          <w:spacing w:val="-4"/>
          <w:sz w:val="17"/>
          <w:szCs w:val="17"/>
          <w:lang w:val="en-US"/>
        </w:rPr>
        <w:t>The Global Economy.com, “</w:t>
      </w:r>
      <w:r w:rsidRPr="00B92C7B">
        <w:rPr>
          <w:rFonts w:ascii="Arial" w:hAnsi="Arial" w:cs="Arial"/>
          <w:bCs/>
          <w:spacing w:val="-4"/>
          <w:sz w:val="17"/>
          <w:szCs w:val="17"/>
        </w:rPr>
        <w:t>ATM Machines per 100,000 People—Country Rankings,” accessed November 9, 2017, www.theglobaleconomy.com/rankings/ATM_machines/.</w:t>
      </w:r>
    </w:p>
  </w:endnote>
  <w:endnote w:id="66">
    <w:p w14:paraId="2A2E6D50" w14:textId="63CEAA63"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Point-of-sale (POS) terminals referred to swipe machines given to merchant establishments by banks; the machines could be used by customers to pay in a cashless environment by swiping their credit, debit, or prepaid cards. Union Bank of India, “POS Overview,” accessed March 3, 2017, www.unionbankofindia.co.in/personal_pos_overview.aspx.</w:t>
      </w:r>
    </w:p>
  </w:endnote>
  <w:endnote w:id="67">
    <w:p w14:paraId="52246F00" w14:textId="109BDB0B"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Vyasa Shastry, “Short Cash, Long Queue,” </w:t>
      </w:r>
      <w:r w:rsidRPr="00B92C7B">
        <w:rPr>
          <w:i/>
          <w:spacing w:val="-4"/>
        </w:rPr>
        <w:t>Thread</w:t>
      </w:r>
      <w:r w:rsidRPr="00B92C7B">
        <w:rPr>
          <w:spacing w:val="-4"/>
        </w:rPr>
        <w:t xml:space="preserve"> (</w:t>
      </w:r>
      <w:r w:rsidRPr="00B92C7B">
        <w:rPr>
          <w:i/>
          <w:spacing w:val="-4"/>
        </w:rPr>
        <w:t>Hindu</w:t>
      </w:r>
      <w:r w:rsidRPr="00B92C7B">
        <w:rPr>
          <w:spacing w:val="-4"/>
        </w:rPr>
        <w:t>)</w:t>
      </w:r>
      <w:r w:rsidRPr="00B92C7B">
        <w:rPr>
          <w:i/>
          <w:spacing w:val="-4"/>
        </w:rPr>
        <w:t>,</w:t>
      </w:r>
      <w:r w:rsidRPr="00B92C7B">
        <w:rPr>
          <w:spacing w:val="-4"/>
        </w:rPr>
        <w:t xml:space="preserve"> November 24, 2016, accessed December 4, 2016, www.thehindu.com/thread/article16693811.ece.</w:t>
      </w:r>
    </w:p>
  </w:endnote>
  <w:endnote w:id="68">
    <w:p w14:paraId="1019FD8F" w14:textId="0A6B9566"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Reserve Bank of India, “</w:t>
      </w:r>
      <w:r w:rsidRPr="00B92C7B">
        <w:rPr>
          <w:bCs/>
          <w:spacing w:val="-4"/>
        </w:rPr>
        <w:t xml:space="preserve">Removal of Limits on Withdrawal of Cash from Saving Bank Accounts,” </w:t>
      </w:r>
      <w:r w:rsidRPr="00B92C7B">
        <w:rPr>
          <w:spacing w:val="-4"/>
        </w:rPr>
        <w:t xml:space="preserve">notification, </w:t>
      </w:r>
      <w:r w:rsidRPr="00B92C7B">
        <w:rPr>
          <w:bCs/>
          <w:spacing w:val="-4"/>
        </w:rPr>
        <w:t>February 8, 2017, accessed March 3, 2017,</w:t>
      </w:r>
      <w:r w:rsidRPr="00B92C7B">
        <w:rPr>
          <w:spacing w:val="-4"/>
        </w:rPr>
        <w:t xml:space="preserve"> www.rbi.org.in/Scripts/NotificationUser.aspx?Id=10856&amp;Mode=0.</w:t>
      </w:r>
    </w:p>
  </w:endnote>
  <w:endnote w:id="69">
    <w:p w14:paraId="502120AE" w14:textId="511866C9"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Government of India, “Demonetisation,” op. cit.; </w:t>
      </w:r>
      <w:r w:rsidRPr="00B92C7B">
        <w:rPr>
          <w:i/>
          <w:spacing w:val="-4"/>
        </w:rPr>
        <w:t>Economic Times</w:t>
      </w:r>
      <w:r w:rsidRPr="00B92C7B">
        <w:rPr>
          <w:spacing w:val="-4"/>
        </w:rPr>
        <w:t xml:space="preserve">, “Pay 50% Tax on Unaccounted Deposits, or 85% If Caught, Says Modi Government,” November 29, 2016, accessed December 30, 2016, </w:t>
      </w:r>
      <w:r w:rsidRPr="00ED192A">
        <w:rPr>
          <w:spacing w:val="-4"/>
        </w:rPr>
        <w:t>http://economictimes.indiatimes.com/news/economy</w:t>
      </w:r>
      <w:r>
        <w:rPr>
          <w:spacing w:val="-4"/>
        </w:rPr>
        <w:t xml:space="preserve"> </w:t>
      </w:r>
      <w:r w:rsidRPr="00B92C7B">
        <w:rPr>
          <w:spacing w:val="-4"/>
        </w:rPr>
        <w:t>/policy/30-tax-10-penalty-and-33-surcharge-proposed-on-undisclosed-income-under-demonetization/articleshow/55664876.cms.</w:t>
      </w:r>
    </w:p>
  </w:endnote>
  <w:endnote w:id="70">
    <w:p w14:paraId="21EF82DD" w14:textId="23A11654" w:rsidR="00317665" w:rsidRPr="00B92C7B" w:rsidRDefault="00317665" w:rsidP="00025679">
      <w:pPr>
        <w:pStyle w:val="Footnote"/>
        <w:rPr>
          <w:spacing w:val="-4"/>
          <w:lang w:val="en-IN"/>
        </w:rPr>
      </w:pPr>
      <w:r w:rsidRPr="00B92C7B">
        <w:rPr>
          <w:rStyle w:val="EndnoteReference"/>
          <w:spacing w:val="-4"/>
        </w:rPr>
        <w:endnoteRef/>
      </w:r>
      <w:r w:rsidRPr="00B92C7B">
        <w:rPr>
          <w:spacing w:val="-4"/>
        </w:rPr>
        <w:t xml:space="preserve"> Dilasha Seth, “</w:t>
      </w:r>
      <w:r w:rsidRPr="00B92C7B">
        <w:rPr>
          <w:spacing w:val="-4"/>
          <w:lang w:val="en-IN"/>
        </w:rPr>
        <w:t xml:space="preserve">Tax Plus 200% Penalty on Deposits If Income Mismatch: Hasmukh Adhia,” </w:t>
      </w:r>
      <w:r w:rsidRPr="00B92C7B">
        <w:rPr>
          <w:i/>
          <w:spacing w:val="-4"/>
          <w:lang w:val="en-IN"/>
        </w:rPr>
        <w:t>Business Standard</w:t>
      </w:r>
      <w:r w:rsidRPr="00B92C7B">
        <w:rPr>
          <w:spacing w:val="-4"/>
          <w:lang w:val="en-IN"/>
        </w:rPr>
        <w:t>, November 10, 2016, accessed January 4, 2017, www.business-standard.com/article/economy-policy/tax-plus-200-penalty-on-deposits-if-income-mismatch-hasmukh-adhia-116111000019_1.html.</w:t>
      </w:r>
    </w:p>
  </w:endnote>
  <w:endnote w:id="71">
    <w:p w14:paraId="7C7C0EFB" w14:textId="3CFA66CD" w:rsidR="00317665" w:rsidRPr="00B92C7B" w:rsidRDefault="00317665" w:rsidP="001249BB">
      <w:pPr>
        <w:pStyle w:val="Footnote"/>
        <w:rPr>
          <w:spacing w:val="-4"/>
        </w:rPr>
      </w:pPr>
      <w:r w:rsidRPr="00B92C7B">
        <w:rPr>
          <w:rStyle w:val="EndnoteReference"/>
          <w:spacing w:val="-4"/>
        </w:rPr>
        <w:endnoteRef/>
      </w:r>
      <w:r w:rsidRPr="00B92C7B">
        <w:rPr>
          <w:spacing w:val="-4"/>
        </w:rPr>
        <w:t xml:space="preserve"> </w:t>
      </w:r>
      <w:r w:rsidRPr="00B92C7B">
        <w:rPr>
          <w:i/>
          <w:spacing w:val="-4"/>
        </w:rPr>
        <w:t>Business Standard</w:t>
      </w:r>
      <w:r w:rsidRPr="00B92C7B">
        <w:rPr>
          <w:spacing w:val="-4"/>
        </w:rPr>
        <w:t>, “Temple Money From ‘Hundis’ Not to Come Under Scanner: Government,” November 10, 2016, accessed April 4, 2017, www.business-standard.com/article/news-ians/temple-money-from-hundis-not-to-come-under-scanner-government-116111000992_1.html.</w:t>
      </w:r>
    </w:p>
  </w:endnote>
  <w:endnote w:id="72">
    <w:p w14:paraId="3E57A3F3" w14:textId="5CEB3AB4" w:rsidR="00317665" w:rsidRPr="00B92C7B" w:rsidRDefault="00317665" w:rsidP="00025679">
      <w:pPr>
        <w:pStyle w:val="Footnote"/>
        <w:rPr>
          <w:bCs/>
          <w:spacing w:val="-4"/>
        </w:rPr>
      </w:pPr>
      <w:r w:rsidRPr="00B92C7B">
        <w:rPr>
          <w:rStyle w:val="EndnoteReference"/>
          <w:spacing w:val="-4"/>
        </w:rPr>
        <w:endnoteRef/>
      </w:r>
      <w:r w:rsidRPr="00B92C7B">
        <w:rPr>
          <w:spacing w:val="-4"/>
        </w:rPr>
        <w:t xml:space="preserve"> Shivam Vij, “</w:t>
      </w:r>
      <w:r w:rsidRPr="00B92C7B">
        <w:rPr>
          <w:bCs/>
          <w:spacing w:val="-4"/>
        </w:rPr>
        <w:t>13 Ways in Which Indians Will Convert Their Black Money into White Even after Demonetisation,”</w:t>
      </w:r>
      <w:r w:rsidRPr="00B92C7B">
        <w:rPr>
          <w:i/>
          <w:spacing w:val="-4"/>
        </w:rPr>
        <w:t xml:space="preserve"> Huffington Post</w:t>
      </w:r>
      <w:r w:rsidRPr="00B92C7B">
        <w:rPr>
          <w:spacing w:val="-4"/>
        </w:rPr>
        <w:t>, November 14, 2016, accessed January 12, 2017,</w:t>
      </w:r>
      <w:r w:rsidRPr="00B92C7B">
        <w:rPr>
          <w:bCs/>
          <w:spacing w:val="-4"/>
        </w:rPr>
        <w:t xml:space="preserve"> </w:t>
      </w:r>
      <w:r w:rsidRPr="00B92C7B">
        <w:rPr>
          <w:spacing w:val="-4"/>
        </w:rPr>
        <w:t>www.huffingtonpost.in/2016/11/13/13-ways-in-which-indians-will-convert-their-black-money-into-whi_a_21605148.</w:t>
      </w:r>
    </w:p>
  </w:endnote>
  <w:endnote w:id="73">
    <w:p w14:paraId="4339895A" w14:textId="6ECBF532"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Ibid. </w:t>
      </w:r>
    </w:p>
  </w:endnote>
  <w:endnote w:id="74">
    <w:p w14:paraId="5862C5AC" w14:textId="4FE1D38C" w:rsidR="00317665" w:rsidRPr="00B92C7B" w:rsidRDefault="00317665" w:rsidP="001D39F1">
      <w:pPr>
        <w:pStyle w:val="EndnoteText"/>
        <w:jc w:val="both"/>
        <w:rPr>
          <w:rFonts w:ascii="Arial" w:hAnsi="Arial" w:cs="Arial"/>
          <w:bCs/>
          <w:spacing w:val="-4"/>
          <w:sz w:val="17"/>
          <w:szCs w:val="17"/>
        </w:rPr>
      </w:pPr>
      <w:r w:rsidRPr="00B92C7B">
        <w:rPr>
          <w:rStyle w:val="EndnoteReference"/>
          <w:rFonts w:ascii="Arial" w:hAnsi="Arial" w:cs="Arial"/>
          <w:spacing w:val="-4"/>
          <w:sz w:val="17"/>
          <w:szCs w:val="17"/>
        </w:rPr>
        <w:endnoteRef/>
      </w:r>
      <w:r w:rsidRPr="00B92C7B">
        <w:rPr>
          <w:rFonts w:ascii="Arial" w:hAnsi="Arial" w:cs="Arial"/>
          <w:spacing w:val="-4"/>
          <w:sz w:val="17"/>
          <w:szCs w:val="17"/>
        </w:rPr>
        <w:t xml:space="preserve"> </w:t>
      </w:r>
      <w:r w:rsidRPr="00B92C7B">
        <w:rPr>
          <w:rFonts w:ascii="Arial" w:hAnsi="Arial" w:cs="Arial"/>
          <w:bCs/>
          <w:i/>
          <w:spacing w:val="-4"/>
          <w:sz w:val="17"/>
          <w:szCs w:val="17"/>
        </w:rPr>
        <w:t>Live Mint</w:t>
      </w:r>
      <w:r w:rsidRPr="00B92C7B">
        <w:rPr>
          <w:rFonts w:ascii="Arial" w:hAnsi="Arial" w:cs="Arial"/>
          <w:bCs/>
          <w:spacing w:val="-4"/>
          <w:sz w:val="17"/>
          <w:szCs w:val="17"/>
        </w:rPr>
        <w:t xml:space="preserve">, </w:t>
      </w:r>
      <w:r w:rsidRPr="00B92C7B">
        <w:rPr>
          <w:rFonts w:ascii="Arial" w:hAnsi="Arial" w:cs="Arial"/>
          <w:spacing w:val="-4"/>
          <w:sz w:val="17"/>
          <w:szCs w:val="17"/>
          <w:lang w:val="en-US"/>
        </w:rPr>
        <w:t>“</w:t>
      </w:r>
      <w:r w:rsidRPr="00B92C7B">
        <w:rPr>
          <w:rFonts w:ascii="Arial" w:hAnsi="Arial" w:cs="Arial"/>
          <w:bCs/>
          <w:spacing w:val="-4"/>
          <w:sz w:val="17"/>
          <w:szCs w:val="17"/>
        </w:rPr>
        <w:t>Cash Deposits up to Rs2.5 Lakh Will Not Be Questioned: CBDT,” February 6, 2017, accessed November 10, 2017, www.livemint.com/Politics/JhJ94BrGn73AC0qKeT44wO/Cash-deposits-up-to-Rs25-lakh-wont-be-questioned-CBDT.html.</w:t>
      </w:r>
    </w:p>
  </w:endnote>
  <w:endnote w:id="75">
    <w:p w14:paraId="4BE3C515" w14:textId="4A8D9AA6" w:rsidR="00317665" w:rsidRPr="00B92C7B" w:rsidRDefault="00317665" w:rsidP="00314917">
      <w:pPr>
        <w:pStyle w:val="Footnote"/>
        <w:rPr>
          <w:b/>
          <w:spacing w:val="-4"/>
        </w:rPr>
      </w:pPr>
      <w:r w:rsidRPr="00B92C7B">
        <w:rPr>
          <w:rStyle w:val="EndnoteReference"/>
          <w:spacing w:val="-4"/>
        </w:rPr>
        <w:endnoteRef/>
      </w:r>
      <w:r w:rsidRPr="00B92C7B">
        <w:rPr>
          <w:spacing w:val="-4"/>
        </w:rPr>
        <w:t xml:space="preserve"> </w:t>
      </w:r>
      <w:r w:rsidRPr="00B92C7B">
        <w:rPr>
          <w:bCs/>
          <w:i/>
          <w:spacing w:val="-4"/>
        </w:rPr>
        <w:t>Live Mint</w:t>
      </w:r>
      <w:r w:rsidRPr="00B92C7B">
        <w:rPr>
          <w:bCs/>
          <w:spacing w:val="-4"/>
        </w:rPr>
        <w:t xml:space="preserve">, </w:t>
      </w:r>
      <w:r w:rsidRPr="00B92C7B">
        <w:rPr>
          <w:spacing w:val="-4"/>
        </w:rPr>
        <w:t>“</w:t>
      </w:r>
      <w:r w:rsidRPr="00B92C7B">
        <w:rPr>
          <w:bCs/>
          <w:spacing w:val="-4"/>
        </w:rPr>
        <w:t>Demonetisation: Jan Dhan Account Deposits Double to Rs87000 Crore,” January 1, 2017, accessed January 5, 2017,</w:t>
      </w:r>
      <w:r w:rsidRPr="00B92C7B">
        <w:rPr>
          <w:spacing w:val="-4"/>
        </w:rPr>
        <w:t xml:space="preserve"> www.livemint.com/Industry/Tqd25EMjYp53bce3qOFazO/Demonetization-Jan-Dhan-account-deposits-double-to-Rs87000.html. </w:t>
      </w:r>
      <w:r w:rsidRPr="00B92C7B">
        <w:rPr>
          <w:spacing w:val="-4"/>
          <w:lang w:val="en-IN"/>
        </w:rPr>
        <w:t>These deposits could presumably be withdrawn later, in lieu of a small commission.</w:t>
      </w:r>
    </w:p>
  </w:endnote>
  <w:endnote w:id="76">
    <w:p w14:paraId="383845D9" w14:textId="45A88FB2"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w:t>
      </w:r>
      <w:r w:rsidRPr="00B92C7B">
        <w:rPr>
          <w:i/>
          <w:spacing w:val="-4"/>
        </w:rPr>
        <w:t>Business Line</w:t>
      </w:r>
      <w:r w:rsidRPr="00B92C7B">
        <w:rPr>
          <w:spacing w:val="-4"/>
        </w:rPr>
        <w:t xml:space="preserve"> (</w:t>
      </w:r>
      <w:r w:rsidRPr="00B92C7B">
        <w:rPr>
          <w:i/>
          <w:spacing w:val="-4"/>
        </w:rPr>
        <w:t>Hindu</w:t>
      </w:r>
      <w:r w:rsidRPr="00B92C7B">
        <w:rPr>
          <w:spacing w:val="-4"/>
        </w:rPr>
        <w:t>),</w:t>
      </w:r>
      <w:r w:rsidRPr="00B92C7B">
        <w:rPr>
          <w:bCs/>
          <w:spacing w:val="-4"/>
        </w:rPr>
        <w:t xml:space="preserve"> </w:t>
      </w:r>
      <w:r w:rsidRPr="00B92C7B">
        <w:rPr>
          <w:spacing w:val="-4"/>
        </w:rPr>
        <w:t>“</w:t>
      </w:r>
      <w:r w:rsidRPr="00B92C7B">
        <w:rPr>
          <w:bCs/>
          <w:spacing w:val="-4"/>
        </w:rPr>
        <w:t xml:space="preserve">Banks, POs to Report Cash Deposits of over Rs 2.5 Lakh to I-T,” November 16, 2016, accessed January 15, 2017, </w:t>
      </w:r>
      <w:r w:rsidRPr="00B92C7B">
        <w:rPr>
          <w:spacing w:val="-4"/>
        </w:rPr>
        <w:t>www.thehindubusinessline.com/economy/banks-pos-to-report-cash-deposits-of-over-rs-25-lakh-to-it/article9353947.ece; Ministry of Finance, Government of India, “Pradhan Mantri Jan Dhan Yojana (PMJDY),” accessed March 4, 2017, https://www.pmjdy.gov.in/scheme.</w:t>
      </w:r>
    </w:p>
  </w:endnote>
  <w:endnote w:id="77">
    <w:p w14:paraId="50EABC4C" w14:textId="50AE5B22"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Reserve Bank of India, </w:t>
      </w:r>
      <w:r w:rsidRPr="00B92C7B">
        <w:rPr>
          <w:bCs/>
          <w:i/>
          <w:spacing w:val="-4"/>
        </w:rPr>
        <w:t>Macroeconomic Impact of Demonetization</w:t>
      </w:r>
      <w:r w:rsidRPr="00B92C7B">
        <w:rPr>
          <w:bCs/>
          <w:spacing w:val="-4"/>
        </w:rPr>
        <w:t xml:space="preserve">, op. cit. </w:t>
      </w:r>
    </w:p>
  </w:endnote>
  <w:endnote w:id="78">
    <w:p w14:paraId="5846A000" w14:textId="0D6929BD" w:rsidR="00317665" w:rsidRPr="00B92C7B" w:rsidRDefault="00317665" w:rsidP="00025679">
      <w:pPr>
        <w:pStyle w:val="Footnote"/>
        <w:rPr>
          <w:bCs/>
          <w:spacing w:val="-4"/>
        </w:rPr>
      </w:pPr>
      <w:r w:rsidRPr="00B92C7B">
        <w:rPr>
          <w:rStyle w:val="EndnoteReference"/>
          <w:spacing w:val="-4"/>
        </w:rPr>
        <w:endnoteRef/>
      </w:r>
      <w:r w:rsidRPr="00B92C7B">
        <w:rPr>
          <w:spacing w:val="-4"/>
        </w:rPr>
        <w:t xml:space="preserve"> </w:t>
      </w:r>
      <w:r w:rsidRPr="00B92C7B">
        <w:rPr>
          <w:i/>
          <w:spacing w:val="-4"/>
        </w:rPr>
        <w:t>Live Mint</w:t>
      </w:r>
      <w:r w:rsidRPr="00B92C7B">
        <w:rPr>
          <w:spacing w:val="-4"/>
        </w:rPr>
        <w:t>, “</w:t>
      </w:r>
      <w:r w:rsidRPr="00B92C7B">
        <w:rPr>
          <w:bCs/>
          <w:spacing w:val="-4"/>
        </w:rPr>
        <w:t xml:space="preserve">Demonetisation: Jan Dhan account deposits double to Rs87000 crore,” op. cit. </w:t>
      </w:r>
    </w:p>
  </w:endnote>
  <w:endnote w:id="79">
    <w:p w14:paraId="28750B86" w14:textId="22D3F50A" w:rsidR="00317665" w:rsidRPr="00B92C7B" w:rsidRDefault="00317665" w:rsidP="00025679">
      <w:pPr>
        <w:pStyle w:val="Footnote"/>
        <w:rPr>
          <w:bCs/>
          <w:spacing w:val="-4"/>
        </w:rPr>
      </w:pPr>
      <w:r w:rsidRPr="00B92C7B">
        <w:rPr>
          <w:rStyle w:val="EndnoteReference"/>
          <w:spacing w:val="-4"/>
        </w:rPr>
        <w:endnoteRef/>
      </w:r>
      <w:r w:rsidRPr="00B92C7B">
        <w:rPr>
          <w:spacing w:val="-4"/>
        </w:rPr>
        <w:t xml:space="preserve"> Sushant Pathak, Jamshed Adil Khan and Virendra Singh Ghunawat, “</w:t>
      </w:r>
      <w:r w:rsidRPr="00B92C7B">
        <w:rPr>
          <w:bCs/>
          <w:spacing w:val="-4"/>
        </w:rPr>
        <w:t xml:space="preserve">Exposed: Banknote Mafia Profiting from Currency Crackdown,” </w:t>
      </w:r>
      <w:r w:rsidRPr="00B92C7B">
        <w:rPr>
          <w:bCs/>
          <w:i/>
          <w:spacing w:val="-4"/>
        </w:rPr>
        <w:t xml:space="preserve">India Today, </w:t>
      </w:r>
      <w:r w:rsidRPr="00B92C7B">
        <w:rPr>
          <w:bCs/>
          <w:spacing w:val="-4"/>
        </w:rPr>
        <w:t>November 9, 2016, accessed December 10, 2016,</w:t>
      </w:r>
      <w:r w:rsidRPr="00B92C7B">
        <w:rPr>
          <w:spacing w:val="-4"/>
        </w:rPr>
        <w:t xml:space="preserve"> http://indiatoday.intoday.in/story/scrapping-of-500-1000-notes-black-money-rbi-money-agents-currency-exchange-business/1/806923.html.</w:t>
      </w:r>
    </w:p>
  </w:endnote>
  <w:endnote w:id="80">
    <w:p w14:paraId="2D47E042" w14:textId="11340D84" w:rsidR="00317665" w:rsidRPr="00B92C7B" w:rsidRDefault="00317665" w:rsidP="00025679">
      <w:pPr>
        <w:pStyle w:val="Footnote"/>
        <w:rPr>
          <w:spacing w:val="-4"/>
          <w:lang w:val="en-IN"/>
        </w:rPr>
      </w:pPr>
      <w:r w:rsidRPr="00B92C7B">
        <w:rPr>
          <w:rStyle w:val="EndnoteReference"/>
          <w:spacing w:val="-4"/>
        </w:rPr>
        <w:endnoteRef/>
      </w:r>
      <w:r w:rsidRPr="00B92C7B">
        <w:rPr>
          <w:spacing w:val="-4"/>
        </w:rPr>
        <w:t xml:space="preserve"> Maninder Dabas, “</w:t>
      </w:r>
      <w:r w:rsidRPr="00B92C7B">
        <w:rPr>
          <w:spacing w:val="-4"/>
          <w:lang w:val="en-IN"/>
        </w:rPr>
        <w:t xml:space="preserve">These Are the 6 Major Cases Where Bank Officials Were Arrested for Corruption and Money Laundering Post Demonetization,” </w:t>
      </w:r>
      <w:r w:rsidRPr="00B92C7B">
        <w:rPr>
          <w:i/>
          <w:spacing w:val="-4"/>
          <w:lang w:val="en-IN"/>
        </w:rPr>
        <w:t>Indiatimes.com,</w:t>
      </w:r>
      <w:r w:rsidRPr="00B92C7B">
        <w:rPr>
          <w:spacing w:val="-4"/>
          <w:lang w:val="en-IN"/>
        </w:rPr>
        <w:t xml:space="preserve"> December 10, 2016, accessed December 23, 2016, www.indiatimes.com/news/these-are-the-6-major-cases-where-bank-officials-were-arrested-for-corruption-and-money-laundering-post-demonetisation-267126.html.</w:t>
      </w:r>
    </w:p>
  </w:endnote>
  <w:endnote w:id="81">
    <w:p w14:paraId="39730FE1" w14:textId="4F107847"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Reserve Bank of India, </w:t>
      </w:r>
      <w:r w:rsidRPr="00B92C7B">
        <w:rPr>
          <w:bCs/>
          <w:i/>
          <w:spacing w:val="-4"/>
        </w:rPr>
        <w:t>Macroeconomic Impact of Demonetization</w:t>
      </w:r>
      <w:r w:rsidRPr="00B92C7B">
        <w:rPr>
          <w:bCs/>
          <w:spacing w:val="-4"/>
        </w:rPr>
        <w:t xml:space="preserve">, op. cit. </w:t>
      </w:r>
    </w:p>
  </w:endnote>
  <w:endnote w:id="82">
    <w:p w14:paraId="31F03D89" w14:textId="7DDBF5CB"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Government of India, “Demonetisation,” op. cit. </w:t>
      </w:r>
    </w:p>
  </w:endnote>
  <w:endnote w:id="83">
    <w:p w14:paraId="2300534F" w14:textId="78935AE3"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Vij, op. cit. </w:t>
      </w:r>
    </w:p>
  </w:endnote>
  <w:endnote w:id="84">
    <w:p w14:paraId="0F1875BF" w14:textId="16B53FBC" w:rsidR="00317665" w:rsidRPr="00B92C7B" w:rsidRDefault="00317665" w:rsidP="00025679">
      <w:pPr>
        <w:pStyle w:val="Footnote"/>
        <w:rPr>
          <w:bCs/>
          <w:spacing w:val="-4"/>
        </w:rPr>
      </w:pPr>
      <w:r w:rsidRPr="00B92C7B">
        <w:rPr>
          <w:rStyle w:val="EndnoteReference"/>
          <w:spacing w:val="-4"/>
        </w:rPr>
        <w:endnoteRef/>
      </w:r>
      <w:r w:rsidRPr="00B92C7B">
        <w:rPr>
          <w:spacing w:val="-4"/>
        </w:rPr>
        <w:t xml:space="preserve"> </w:t>
      </w:r>
      <w:r w:rsidRPr="00B92C7B">
        <w:rPr>
          <w:i/>
          <w:spacing w:val="-4"/>
        </w:rPr>
        <w:t>India Today</w:t>
      </w:r>
      <w:r w:rsidRPr="00B92C7B">
        <w:rPr>
          <w:spacing w:val="-4"/>
        </w:rPr>
        <w:t>, “</w:t>
      </w:r>
      <w:r w:rsidRPr="00B92C7B">
        <w:rPr>
          <w:bCs/>
          <w:spacing w:val="-4"/>
        </w:rPr>
        <w:t>After Demonetisation, 1,000 Per Cent Rise in Rail Ticket Bookings; Airport Counter Sales Also Soar,” November 10, 20</w:t>
      </w:r>
      <w:r>
        <w:rPr>
          <w:bCs/>
          <w:spacing w:val="-4"/>
        </w:rPr>
        <w:t xml:space="preserve">16, </w:t>
      </w:r>
      <w:r w:rsidRPr="00B92C7B">
        <w:rPr>
          <w:spacing w:val="-4"/>
        </w:rPr>
        <w:t>http://indiatoday.intoday.in/story/demonetization-railway-ticket-booking-airport-flight-tickets-dgca/1/807734.html.</w:t>
      </w:r>
    </w:p>
  </w:endnote>
  <w:endnote w:id="85">
    <w:p w14:paraId="421242B2" w14:textId="07B58B7C"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Ibid. </w:t>
      </w:r>
    </w:p>
  </w:endnote>
  <w:endnote w:id="86">
    <w:p w14:paraId="51956EE5" w14:textId="7E675308" w:rsidR="00317665" w:rsidRPr="00B92C7B" w:rsidRDefault="00317665" w:rsidP="00025679">
      <w:pPr>
        <w:pStyle w:val="Footnote"/>
        <w:rPr>
          <w:spacing w:val="-4"/>
          <w:lang w:val="en-IN"/>
        </w:rPr>
      </w:pPr>
      <w:r w:rsidRPr="00B92C7B">
        <w:rPr>
          <w:rStyle w:val="EndnoteReference"/>
          <w:spacing w:val="-4"/>
        </w:rPr>
        <w:endnoteRef/>
      </w:r>
      <w:r w:rsidRPr="00B92C7B">
        <w:rPr>
          <w:spacing w:val="-4"/>
        </w:rPr>
        <w:t xml:space="preserve"> Jeanette Rodrigues, “‘How to Convert Black Money to White Money’ Query Is Popular on Google in India,”</w:t>
      </w:r>
      <w:r w:rsidRPr="00B92C7B">
        <w:rPr>
          <w:i/>
          <w:spacing w:val="-4"/>
        </w:rPr>
        <w:t xml:space="preserve"> </w:t>
      </w:r>
      <w:r w:rsidRPr="00B92C7B">
        <w:rPr>
          <w:spacing w:val="-4"/>
        </w:rPr>
        <w:t>Gadgets 360, November 10, 2016, accessed December 13, 2016, http://gadgets.ndtv.com/internet/news/how-to-convert-black-money-to-white-money-query-is-popular-on-google-india-1623</w:t>
      </w:r>
      <w:r>
        <w:rPr>
          <w:spacing w:val="-4"/>
        </w:rPr>
        <w:t>861.</w:t>
      </w:r>
    </w:p>
  </w:endnote>
  <w:endnote w:id="87">
    <w:p w14:paraId="6CCC24ED" w14:textId="07CE4E82" w:rsidR="00317665" w:rsidRPr="00B92C7B" w:rsidRDefault="00317665" w:rsidP="00025679">
      <w:pPr>
        <w:pStyle w:val="Footnote"/>
        <w:rPr>
          <w:bCs/>
          <w:spacing w:val="-4"/>
          <w:lang w:val="en-IN"/>
        </w:rPr>
      </w:pPr>
      <w:r w:rsidRPr="00B92C7B">
        <w:rPr>
          <w:rStyle w:val="EndnoteReference"/>
          <w:spacing w:val="-4"/>
        </w:rPr>
        <w:endnoteRef/>
      </w:r>
      <w:r w:rsidRPr="00B92C7B">
        <w:rPr>
          <w:spacing w:val="-4"/>
        </w:rPr>
        <w:t xml:space="preserve"> Suresh, op. cit.</w:t>
      </w:r>
      <w:r w:rsidRPr="00B92C7B">
        <w:rPr>
          <w:bCs/>
          <w:spacing w:val="-4"/>
          <w:lang w:val="en-IN"/>
        </w:rPr>
        <w:t xml:space="preserve"> In fact, with the tax department classifying currency and ornament seizures as one unit, the actual proportion of cash recovered through tax raids would have been even lower.</w:t>
      </w:r>
    </w:p>
  </w:endnote>
  <w:endnote w:id="88">
    <w:p w14:paraId="6EB17ADA" w14:textId="6E0E25AB"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Ibid. </w:t>
      </w:r>
    </w:p>
  </w:endnote>
  <w:endnote w:id="89">
    <w:p w14:paraId="29C2E69F" w14:textId="3CA486CC"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w:t>
      </w:r>
      <w:r w:rsidRPr="00B92C7B">
        <w:rPr>
          <w:i/>
          <w:spacing w:val="-4"/>
        </w:rPr>
        <w:t>Times of India</w:t>
      </w:r>
      <w:r w:rsidRPr="00B92C7B">
        <w:rPr>
          <w:spacing w:val="-4"/>
        </w:rPr>
        <w:t xml:space="preserve">, “97% of Scrapped Notes Deposited with Banks as on Dec 30: Report,” </w:t>
      </w:r>
      <w:r>
        <w:rPr>
          <w:spacing w:val="-4"/>
        </w:rPr>
        <w:t>January 5, 2017,</w:t>
      </w:r>
      <w:r w:rsidRPr="00B92C7B">
        <w:rPr>
          <w:spacing w:val="-4"/>
        </w:rPr>
        <w:t xml:space="preserve"> </w:t>
      </w:r>
      <w:r w:rsidRPr="00ED192A">
        <w:rPr>
          <w:spacing w:val="-4"/>
        </w:rPr>
        <w:t>http://timesofindia.</w:t>
      </w:r>
      <w:r>
        <w:rPr>
          <w:spacing w:val="-4"/>
        </w:rPr>
        <w:t xml:space="preserve"> </w:t>
      </w:r>
      <w:r w:rsidRPr="00ED192A">
        <w:rPr>
          <w:spacing w:val="-4"/>
        </w:rPr>
        <w:t>indiatimes.com/toi-features/business/97-of-scrapped-notes-deposited-with-banks-as-on-dec-30-report</w:t>
      </w:r>
      <w:r w:rsidRPr="00B92C7B">
        <w:rPr>
          <w:spacing w:val="-4"/>
        </w:rPr>
        <w:t>/articleshow/56344692.cms.</w:t>
      </w:r>
    </w:p>
  </w:endnote>
  <w:endnote w:id="90">
    <w:p w14:paraId="35162B1E" w14:textId="3B5CBE7B" w:rsidR="00317665" w:rsidRPr="00B92C7B" w:rsidRDefault="00317665" w:rsidP="00025679">
      <w:pPr>
        <w:pStyle w:val="Footnote"/>
        <w:rPr>
          <w:bCs/>
          <w:spacing w:val="-4"/>
        </w:rPr>
      </w:pPr>
      <w:r w:rsidRPr="00B92C7B">
        <w:rPr>
          <w:rStyle w:val="EndnoteReference"/>
          <w:spacing w:val="-4"/>
        </w:rPr>
        <w:endnoteRef/>
      </w:r>
      <w:r w:rsidRPr="00B92C7B">
        <w:rPr>
          <w:spacing w:val="-4"/>
        </w:rPr>
        <w:t xml:space="preserve"> </w:t>
      </w:r>
      <w:r w:rsidRPr="00B92C7B">
        <w:rPr>
          <w:i/>
          <w:spacing w:val="-4"/>
        </w:rPr>
        <w:t>Economic Times</w:t>
      </w:r>
      <w:r w:rsidRPr="00B92C7B">
        <w:rPr>
          <w:spacing w:val="-4"/>
        </w:rPr>
        <w:t>, “Demonetisation: RBI’s Own Figures Indicate Return of 15 Lakh Crore of Banned Notes,” January 14, 2017, accessed February 12, 2017, http://economictimes.indiatimes.com/news/economy/finance/demonetization-rbis-own-figures-indicate-return-of-15-lakh-crore-of-banned-notes/articleshow/56536621.cms; Sandeep Phukan, “</w:t>
      </w:r>
      <w:r w:rsidRPr="00B92C7B">
        <w:rPr>
          <w:bCs/>
          <w:spacing w:val="-4"/>
        </w:rPr>
        <w:t xml:space="preserve">How Much Currency Has Been Returned to Banks? RBI Says Wait for Our Figures,” NDTV, January 6, 2017, accessed February 12, 2017, </w:t>
      </w:r>
      <w:r w:rsidRPr="00B92C7B">
        <w:rPr>
          <w:spacing w:val="-4"/>
        </w:rPr>
        <w:t>www.ndtv.com/india-news/how-much-currency-has-been-returned-to-banks-rbi-says-wait-for-our-figures-1645623. The total value of the notes scrapped was about US$236.23 billion (₹15.35 lakh crores [₹15.35 trillion], at an exchange rate of US$1 = ₹65).</w:t>
      </w:r>
    </w:p>
  </w:endnote>
  <w:endnote w:id="91">
    <w:p w14:paraId="12684A2F" w14:textId="3239B572" w:rsidR="00317665" w:rsidRPr="00B92C7B" w:rsidRDefault="00317665" w:rsidP="00B91FB7">
      <w:pPr>
        <w:pStyle w:val="Footnote"/>
        <w:rPr>
          <w:spacing w:val="-4"/>
        </w:rPr>
      </w:pPr>
      <w:r w:rsidRPr="00B92C7B">
        <w:rPr>
          <w:rStyle w:val="EndnoteReference"/>
          <w:spacing w:val="-4"/>
        </w:rPr>
        <w:endnoteRef/>
      </w:r>
      <w:r w:rsidRPr="00B92C7B">
        <w:rPr>
          <w:spacing w:val="-4"/>
        </w:rPr>
        <w:t xml:space="preserve"> Government of India, “Demonetisation,” op. cit. </w:t>
      </w:r>
    </w:p>
  </w:endnote>
  <w:endnote w:id="92">
    <w:p w14:paraId="23AD0AD8" w14:textId="6AF2ADDA"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For the relationship between savings and growth, see Tulsi Jayakumar, </w:t>
      </w:r>
      <w:r w:rsidRPr="00B92C7B">
        <w:rPr>
          <w:i/>
          <w:spacing w:val="-4"/>
        </w:rPr>
        <w:t>The Indian Economy: A Macroeconomic Turnaround</w:t>
      </w:r>
      <w:r w:rsidRPr="00B92C7B">
        <w:rPr>
          <w:spacing w:val="-4"/>
        </w:rPr>
        <w:t xml:space="preserve"> (London, ON: Ivey Publishing, 2017. Available from Ivey Publishing, product no. 9B17M110.</w:t>
      </w:r>
    </w:p>
  </w:endnote>
  <w:endnote w:id="93">
    <w:p w14:paraId="4085C900" w14:textId="0DECA3E2"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Reserve Bank of India, </w:t>
      </w:r>
      <w:r w:rsidRPr="00B92C7B">
        <w:rPr>
          <w:bCs/>
          <w:i/>
          <w:spacing w:val="-4"/>
        </w:rPr>
        <w:t>Macroeconomic Impact of Demonetization</w:t>
      </w:r>
      <w:r w:rsidRPr="00B92C7B">
        <w:rPr>
          <w:bCs/>
          <w:spacing w:val="-4"/>
        </w:rPr>
        <w:t xml:space="preserve">, op. cit. </w:t>
      </w:r>
    </w:p>
  </w:endnote>
  <w:endnote w:id="94">
    <w:p w14:paraId="677CD83E" w14:textId="6E55E111"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Neha Dasgupta and Swati Verma, “</w:t>
      </w:r>
      <w:r w:rsidRPr="00B92C7B">
        <w:rPr>
          <w:spacing w:val="-4"/>
          <w:lang w:val="en-IN"/>
        </w:rPr>
        <w:t xml:space="preserve">India’s Gold Traders on Edge as Modi Fights ‘Black Money’,” Reuters, November 16, 2016, accessed December 26, 2016, http://in.reuters.com/article/india-modi-corruption-gold-idINKBN13B0ZE; </w:t>
      </w:r>
      <w:r w:rsidRPr="00B92C7B">
        <w:rPr>
          <w:i/>
          <w:spacing w:val="-4"/>
          <w:lang w:val="en-IN"/>
        </w:rPr>
        <w:t>Business Standard</w:t>
      </w:r>
      <w:r w:rsidRPr="00B92C7B">
        <w:rPr>
          <w:spacing w:val="-4"/>
          <w:lang w:val="en-IN"/>
        </w:rPr>
        <w:t xml:space="preserve">, </w:t>
      </w:r>
      <w:r w:rsidRPr="00B92C7B">
        <w:rPr>
          <w:spacing w:val="-4"/>
        </w:rPr>
        <w:t>Modi's Black Money Gambit Bold but Government Must Manage Uncertainty,”</w:t>
      </w:r>
      <w:r w:rsidRPr="00B92C7B">
        <w:rPr>
          <w:spacing w:val="-4"/>
          <w:lang w:val="en-IN"/>
        </w:rPr>
        <w:t xml:space="preserve"> </w:t>
      </w:r>
      <w:r w:rsidRPr="00B92C7B">
        <w:rPr>
          <w:spacing w:val="-4"/>
        </w:rPr>
        <w:t>November 10, 2016, accessed January 14, 2017,</w:t>
      </w:r>
      <w:r w:rsidRPr="00B92C7B">
        <w:rPr>
          <w:spacing w:val="-4"/>
          <w:lang w:val="en-IN"/>
        </w:rPr>
        <w:t xml:space="preserve"> www.business-standard.com/article/economy-policy/modi-s-black-money-gambit-bold-but-govt-must-manage-uncertainty-116110901582_1.html.</w:t>
      </w:r>
    </w:p>
  </w:endnote>
  <w:endnote w:id="95">
    <w:p w14:paraId="09972649" w14:textId="059FD727"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Reserve Bank of India, “</w:t>
      </w:r>
      <w:r w:rsidRPr="00B92C7B">
        <w:rPr>
          <w:bCs/>
          <w:spacing w:val="-4"/>
        </w:rPr>
        <w:t>Fourth Bi-monthly Monetary Policy Statement, 2016–17 Resolution of the Monetary Policy Committee (MPC), Reserve Bank of India,” p</w:t>
      </w:r>
      <w:r w:rsidRPr="00B92C7B">
        <w:rPr>
          <w:spacing w:val="-4"/>
        </w:rPr>
        <w:t xml:space="preserve">ress release, </w:t>
      </w:r>
      <w:r w:rsidRPr="00B92C7B">
        <w:rPr>
          <w:bCs/>
          <w:spacing w:val="-4"/>
        </w:rPr>
        <w:t xml:space="preserve">October 4, 2016, accessed January 15, 2017, </w:t>
      </w:r>
      <w:r w:rsidRPr="00B92C7B">
        <w:rPr>
          <w:spacing w:val="-4"/>
        </w:rPr>
        <w:t>https://rbi.org.in/Scripts/BS_PressReleaseDisplay.aspx?prid=38224.</w:t>
      </w:r>
    </w:p>
  </w:endnote>
  <w:endnote w:id="96">
    <w:p w14:paraId="06A46DA8" w14:textId="1C6EB5C9"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Reserve Bank of India, </w:t>
      </w:r>
      <w:r w:rsidRPr="00B92C7B">
        <w:rPr>
          <w:bCs/>
          <w:i/>
          <w:spacing w:val="-4"/>
        </w:rPr>
        <w:t>Macroeconomic Impact of Demonetization</w:t>
      </w:r>
      <w:r w:rsidRPr="00B92C7B">
        <w:rPr>
          <w:bCs/>
          <w:spacing w:val="-4"/>
        </w:rPr>
        <w:t xml:space="preserve">, op. cit. </w:t>
      </w:r>
    </w:p>
  </w:endnote>
  <w:endnote w:id="97">
    <w:p w14:paraId="6D0F73CD" w14:textId="7C39D8A9" w:rsidR="00317665" w:rsidRPr="00B92C7B" w:rsidRDefault="00317665" w:rsidP="00025679">
      <w:pPr>
        <w:pStyle w:val="Footnote"/>
        <w:rPr>
          <w:spacing w:val="-4"/>
        </w:rPr>
      </w:pPr>
      <w:r w:rsidRPr="00B92C7B">
        <w:rPr>
          <w:rStyle w:val="EndnoteReference"/>
          <w:spacing w:val="-4"/>
        </w:rPr>
        <w:endnoteRef/>
      </w:r>
      <w:r w:rsidRPr="00B92C7B">
        <w:rPr>
          <w:spacing w:val="-4"/>
        </w:rPr>
        <w:t xml:space="preserve"> Ibid. </w:t>
      </w:r>
    </w:p>
  </w:endnote>
  <w:endnote w:id="98">
    <w:p w14:paraId="76CF7413" w14:textId="0C484781" w:rsidR="00317665" w:rsidRPr="005A4772" w:rsidRDefault="00317665" w:rsidP="00025679">
      <w:pPr>
        <w:pStyle w:val="Footnote"/>
        <w:rPr>
          <w:lang w:val="en-IN"/>
        </w:rPr>
      </w:pPr>
      <w:r w:rsidRPr="00B92C7B">
        <w:rPr>
          <w:rStyle w:val="EndnoteReference"/>
          <w:spacing w:val="-4"/>
        </w:rPr>
        <w:endnoteRef/>
      </w:r>
      <w:r w:rsidRPr="00B92C7B">
        <w:rPr>
          <w:spacing w:val="-4"/>
        </w:rPr>
        <w:t xml:space="preserve"> Szu Ping Chan, “India to</w:t>
      </w:r>
      <w:r w:rsidRPr="00B92C7B">
        <w:rPr>
          <w:spacing w:val="-4"/>
          <w:lang w:val="en-IN"/>
        </w:rPr>
        <w:t xml:space="preserve"> Overtake China as Fastest Growing Large Economy, Says IMF,” </w:t>
      </w:r>
      <w:r w:rsidRPr="00B92C7B">
        <w:rPr>
          <w:i/>
          <w:spacing w:val="-4"/>
          <w:lang w:val="en-IN"/>
        </w:rPr>
        <w:t>Telegraph</w:t>
      </w:r>
      <w:r w:rsidRPr="00B92C7B">
        <w:rPr>
          <w:spacing w:val="-4"/>
          <w:lang w:val="en-IN"/>
        </w:rPr>
        <w:t>, March 16, 2015, accessed February 25, 2017, www.telegraph.co.uk/finance/globalbusiness/11474914/India-to-overtake-China-as-fastest-growing-large-economy-says-IMF.html.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American Typewriter Light">
    <w:charset w:val="00"/>
    <w:family w:val="roman"/>
    <w:pitch w:val="variable"/>
    <w:sig w:usb0="A000006F" w:usb1="00000019" w:usb2="00000000" w:usb3="00000000" w:csb0="0000011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869373" w14:textId="77777777" w:rsidR="008451D9" w:rsidRDefault="008451D9" w:rsidP="00D75295">
      <w:r>
        <w:separator/>
      </w:r>
    </w:p>
  </w:footnote>
  <w:footnote w:type="continuationSeparator" w:id="0">
    <w:p w14:paraId="7A12C30D" w14:textId="77777777" w:rsidR="008451D9" w:rsidRDefault="008451D9"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B02BC" w14:textId="519C6DB3" w:rsidR="00317665" w:rsidRDefault="0031766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E3CD5">
      <w:rPr>
        <w:rFonts w:ascii="Arial" w:hAnsi="Arial"/>
        <w:b/>
        <w:noProof/>
      </w:rPr>
      <w:t>8</w:t>
    </w:r>
    <w:r>
      <w:rPr>
        <w:rFonts w:ascii="Arial" w:hAnsi="Arial"/>
        <w:b/>
      </w:rPr>
      <w:fldChar w:fldCharType="end"/>
    </w:r>
    <w:r>
      <w:rPr>
        <w:rFonts w:ascii="Arial" w:hAnsi="Arial"/>
        <w:b/>
      </w:rPr>
      <w:tab/>
    </w:r>
    <w:r w:rsidR="00CF49E8">
      <w:rPr>
        <w:rFonts w:ascii="Arial" w:hAnsi="Arial"/>
        <w:b/>
      </w:rPr>
      <w:t>9B17M179</w:t>
    </w:r>
  </w:p>
  <w:p w14:paraId="0294E4DB" w14:textId="77777777" w:rsidR="00317665" w:rsidRPr="00C92CC4" w:rsidRDefault="00317665">
    <w:pPr>
      <w:pStyle w:val="Header"/>
      <w:rPr>
        <w:sz w:val="18"/>
        <w:szCs w:val="18"/>
      </w:rPr>
    </w:pPr>
  </w:p>
  <w:p w14:paraId="251C5118" w14:textId="77777777" w:rsidR="00317665" w:rsidRPr="00C92CC4" w:rsidRDefault="00317665">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6011F" w14:textId="28B9EF45" w:rsidR="00317665" w:rsidRDefault="00317665" w:rsidP="00372741">
    <w:pPr>
      <w:pBdr>
        <w:bottom w:val="single" w:sz="18" w:space="1" w:color="auto"/>
      </w:pBdr>
      <w:tabs>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E3CD5">
      <w:rPr>
        <w:rFonts w:ascii="Arial" w:hAnsi="Arial"/>
        <w:b/>
        <w:noProof/>
      </w:rPr>
      <w:t>9</w:t>
    </w:r>
    <w:r>
      <w:rPr>
        <w:rFonts w:ascii="Arial" w:hAnsi="Arial"/>
        <w:b/>
      </w:rPr>
      <w:fldChar w:fldCharType="end"/>
    </w:r>
    <w:r>
      <w:rPr>
        <w:rFonts w:ascii="Arial" w:hAnsi="Arial"/>
        <w:b/>
      </w:rPr>
      <w:tab/>
    </w:r>
    <w:r w:rsidR="00CF49E8">
      <w:rPr>
        <w:rFonts w:ascii="Arial" w:hAnsi="Arial"/>
        <w:b/>
      </w:rPr>
      <w:t>9B17M179</w:t>
    </w:r>
  </w:p>
  <w:p w14:paraId="7405E038" w14:textId="77777777" w:rsidR="00317665" w:rsidRPr="00C92CC4" w:rsidRDefault="00317665" w:rsidP="00372741">
    <w:pPr>
      <w:pStyle w:val="Header"/>
      <w:tabs>
        <w:tab w:val="clear" w:pos="4680"/>
      </w:tabs>
      <w:rPr>
        <w:sz w:val="18"/>
        <w:szCs w:val="18"/>
      </w:rPr>
    </w:pPr>
  </w:p>
  <w:p w14:paraId="2077BC02" w14:textId="77777777" w:rsidR="00317665" w:rsidRPr="00C92CC4" w:rsidRDefault="00317665" w:rsidP="00372741">
    <w:pPr>
      <w:pStyle w:val="Header"/>
      <w:tabs>
        <w:tab w:val="clear" w:pos="468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B7A97" w14:textId="4A4A359A" w:rsidR="00317665" w:rsidRDefault="00317665" w:rsidP="00E343B7">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E3CD5">
      <w:rPr>
        <w:rFonts w:ascii="Arial" w:hAnsi="Arial"/>
        <w:b/>
        <w:noProof/>
      </w:rPr>
      <w:t>12</w:t>
    </w:r>
    <w:r>
      <w:rPr>
        <w:rFonts w:ascii="Arial" w:hAnsi="Arial"/>
        <w:b/>
      </w:rPr>
      <w:fldChar w:fldCharType="end"/>
    </w:r>
    <w:r>
      <w:rPr>
        <w:rFonts w:ascii="Arial" w:hAnsi="Arial"/>
        <w:b/>
      </w:rPr>
      <w:tab/>
    </w:r>
    <w:r w:rsidR="00CF49E8">
      <w:rPr>
        <w:rFonts w:ascii="Arial" w:hAnsi="Arial"/>
        <w:b/>
      </w:rPr>
      <w:t>9B17M179</w:t>
    </w:r>
  </w:p>
  <w:p w14:paraId="7E5AC44D" w14:textId="77777777" w:rsidR="00317665" w:rsidRPr="00C92CC4" w:rsidRDefault="00317665" w:rsidP="00E343B7">
    <w:pPr>
      <w:pStyle w:val="Header"/>
      <w:tabs>
        <w:tab w:val="clear" w:pos="4680"/>
        <w:tab w:val="clear" w:pos="9360"/>
        <w:tab w:val="right" w:pos="12960"/>
      </w:tabs>
      <w:rPr>
        <w:sz w:val="18"/>
        <w:szCs w:val="18"/>
      </w:rPr>
    </w:pPr>
  </w:p>
  <w:p w14:paraId="7B29A8D1" w14:textId="77777777" w:rsidR="00317665" w:rsidRPr="00C92CC4" w:rsidRDefault="00317665" w:rsidP="00E343B7">
    <w:pPr>
      <w:pStyle w:val="Header"/>
      <w:tabs>
        <w:tab w:val="clear" w:pos="4680"/>
        <w:tab w:val="clear" w:pos="9360"/>
        <w:tab w:val="right" w:pos="12960"/>
      </w:tabs>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503D8" w14:textId="524F9859" w:rsidR="00317665" w:rsidRDefault="00317665" w:rsidP="00DE7AF6">
    <w:pPr>
      <w:pBdr>
        <w:bottom w:val="single" w:sz="18" w:space="1" w:color="auto"/>
      </w:pBdr>
      <w:tabs>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E3CD5">
      <w:rPr>
        <w:rFonts w:ascii="Arial" w:hAnsi="Arial"/>
        <w:b/>
        <w:noProof/>
      </w:rPr>
      <w:t>17</w:t>
    </w:r>
    <w:r>
      <w:rPr>
        <w:rFonts w:ascii="Arial" w:hAnsi="Arial"/>
        <w:b/>
      </w:rPr>
      <w:fldChar w:fldCharType="end"/>
    </w:r>
    <w:r>
      <w:rPr>
        <w:rFonts w:ascii="Arial" w:hAnsi="Arial"/>
        <w:b/>
      </w:rPr>
      <w:tab/>
    </w:r>
    <w:r w:rsidR="00CF49E8">
      <w:rPr>
        <w:rFonts w:ascii="Arial" w:hAnsi="Arial"/>
        <w:b/>
      </w:rPr>
      <w:t>9B17M179</w:t>
    </w:r>
  </w:p>
  <w:p w14:paraId="4C615DC5" w14:textId="77777777" w:rsidR="00317665" w:rsidRPr="00C92CC4" w:rsidRDefault="00317665" w:rsidP="00DE7AF6">
    <w:pPr>
      <w:pStyle w:val="Header"/>
      <w:tabs>
        <w:tab w:val="clear" w:pos="4680"/>
      </w:tabs>
      <w:rPr>
        <w:sz w:val="18"/>
        <w:szCs w:val="18"/>
      </w:rPr>
    </w:pPr>
  </w:p>
  <w:p w14:paraId="4E572269" w14:textId="77777777" w:rsidR="00317665" w:rsidRPr="00C92CC4" w:rsidRDefault="00317665" w:rsidP="00DE7AF6">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BD884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6C33D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2786A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ABEFCA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E7AFF6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612BB5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C6691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BC0119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D7853E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6A270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25846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11702C"/>
    <w:multiLevelType w:val="hybridMultilevel"/>
    <w:tmpl w:val="6D362D94"/>
    <w:lvl w:ilvl="0" w:tplc="21F664B8">
      <w:start w:val="1"/>
      <w:numFmt w:val="low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0"/>
  </w:num>
  <w:num w:numId="13">
    <w:abstractNumId w:val="14"/>
  </w:num>
  <w:num w:numId="14">
    <w:abstractNumId w:val="21"/>
  </w:num>
  <w:num w:numId="15">
    <w:abstractNumId w:val="22"/>
  </w:num>
  <w:num w:numId="16">
    <w:abstractNumId w:val="23"/>
  </w:num>
  <w:num w:numId="17">
    <w:abstractNumId w:val="17"/>
  </w:num>
  <w:num w:numId="18">
    <w:abstractNumId w:val="24"/>
  </w:num>
  <w:num w:numId="19">
    <w:abstractNumId w:val="13"/>
  </w:num>
  <w:num w:numId="20">
    <w:abstractNumId w:val="11"/>
  </w:num>
  <w:num w:numId="21">
    <w:abstractNumId w:val="25"/>
  </w:num>
  <w:num w:numId="22">
    <w:abstractNumId w:val="19"/>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8"/>
  </w:num>
  <w:num w:numId="28">
    <w:abstractNumId w:val="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0DC9"/>
    <w:rsid w:val="00013360"/>
    <w:rsid w:val="000216CE"/>
    <w:rsid w:val="00025679"/>
    <w:rsid w:val="00025DC7"/>
    <w:rsid w:val="00026486"/>
    <w:rsid w:val="00032D2E"/>
    <w:rsid w:val="00036BBD"/>
    <w:rsid w:val="00044ECC"/>
    <w:rsid w:val="00045ACD"/>
    <w:rsid w:val="00045F88"/>
    <w:rsid w:val="000531D3"/>
    <w:rsid w:val="0005646B"/>
    <w:rsid w:val="00076A29"/>
    <w:rsid w:val="0008102D"/>
    <w:rsid w:val="00081E4A"/>
    <w:rsid w:val="000861B7"/>
    <w:rsid w:val="00094C0E"/>
    <w:rsid w:val="000B4DE0"/>
    <w:rsid w:val="000D00CF"/>
    <w:rsid w:val="000D50ED"/>
    <w:rsid w:val="000D74E3"/>
    <w:rsid w:val="000E02C1"/>
    <w:rsid w:val="000F0C22"/>
    <w:rsid w:val="000F6B09"/>
    <w:rsid w:val="000F6FDC"/>
    <w:rsid w:val="001039DF"/>
    <w:rsid w:val="00104567"/>
    <w:rsid w:val="00104653"/>
    <w:rsid w:val="00107370"/>
    <w:rsid w:val="001079B3"/>
    <w:rsid w:val="00114E4F"/>
    <w:rsid w:val="00115E88"/>
    <w:rsid w:val="001249BB"/>
    <w:rsid w:val="0012732D"/>
    <w:rsid w:val="00154FC9"/>
    <w:rsid w:val="0017355F"/>
    <w:rsid w:val="001850C3"/>
    <w:rsid w:val="0019241A"/>
    <w:rsid w:val="00193728"/>
    <w:rsid w:val="001A04F0"/>
    <w:rsid w:val="001A5335"/>
    <w:rsid w:val="001A752D"/>
    <w:rsid w:val="001B4A53"/>
    <w:rsid w:val="001C2D87"/>
    <w:rsid w:val="001D2FC0"/>
    <w:rsid w:val="001D39F1"/>
    <w:rsid w:val="001D7576"/>
    <w:rsid w:val="001E10FC"/>
    <w:rsid w:val="001F4049"/>
    <w:rsid w:val="00202E1A"/>
    <w:rsid w:val="00203AA1"/>
    <w:rsid w:val="00206EED"/>
    <w:rsid w:val="0021082C"/>
    <w:rsid w:val="00210D88"/>
    <w:rsid w:val="00213E98"/>
    <w:rsid w:val="0021502C"/>
    <w:rsid w:val="00223BB5"/>
    <w:rsid w:val="002268EF"/>
    <w:rsid w:val="002323A9"/>
    <w:rsid w:val="00232C25"/>
    <w:rsid w:val="00236458"/>
    <w:rsid w:val="00236AC3"/>
    <w:rsid w:val="0024338B"/>
    <w:rsid w:val="0026265F"/>
    <w:rsid w:val="0026415F"/>
    <w:rsid w:val="002641B0"/>
    <w:rsid w:val="00272868"/>
    <w:rsid w:val="002744AF"/>
    <w:rsid w:val="002758C0"/>
    <w:rsid w:val="00293505"/>
    <w:rsid w:val="002A0936"/>
    <w:rsid w:val="002A63FF"/>
    <w:rsid w:val="002C2778"/>
    <w:rsid w:val="002C416F"/>
    <w:rsid w:val="002D0F37"/>
    <w:rsid w:val="002E32F0"/>
    <w:rsid w:val="002F2383"/>
    <w:rsid w:val="002F3AD8"/>
    <w:rsid w:val="002F460C"/>
    <w:rsid w:val="002F48D6"/>
    <w:rsid w:val="00300CAB"/>
    <w:rsid w:val="00301A80"/>
    <w:rsid w:val="0030627C"/>
    <w:rsid w:val="00307BDD"/>
    <w:rsid w:val="00314917"/>
    <w:rsid w:val="00317665"/>
    <w:rsid w:val="003179A7"/>
    <w:rsid w:val="00335DA1"/>
    <w:rsid w:val="00342D6B"/>
    <w:rsid w:val="00351252"/>
    <w:rsid w:val="00354899"/>
    <w:rsid w:val="00355FD6"/>
    <w:rsid w:val="00361A78"/>
    <w:rsid w:val="00361C8E"/>
    <w:rsid w:val="00364A5C"/>
    <w:rsid w:val="003651CE"/>
    <w:rsid w:val="00371663"/>
    <w:rsid w:val="00371FCB"/>
    <w:rsid w:val="00372741"/>
    <w:rsid w:val="003729B8"/>
    <w:rsid w:val="00373FB1"/>
    <w:rsid w:val="0039330A"/>
    <w:rsid w:val="003A7E2F"/>
    <w:rsid w:val="003B2D6D"/>
    <w:rsid w:val="003B30D8"/>
    <w:rsid w:val="003B3D56"/>
    <w:rsid w:val="003B3D71"/>
    <w:rsid w:val="003B4F8C"/>
    <w:rsid w:val="003B7EF2"/>
    <w:rsid w:val="003C1494"/>
    <w:rsid w:val="003C3FA4"/>
    <w:rsid w:val="003C6379"/>
    <w:rsid w:val="003D2ECD"/>
    <w:rsid w:val="003D6FA9"/>
    <w:rsid w:val="003E34F4"/>
    <w:rsid w:val="003E3708"/>
    <w:rsid w:val="003E4126"/>
    <w:rsid w:val="003E6D74"/>
    <w:rsid w:val="003E7182"/>
    <w:rsid w:val="003F2B0C"/>
    <w:rsid w:val="003F36D6"/>
    <w:rsid w:val="003F3A65"/>
    <w:rsid w:val="004035D1"/>
    <w:rsid w:val="00405408"/>
    <w:rsid w:val="00405424"/>
    <w:rsid w:val="0041242C"/>
    <w:rsid w:val="004134A8"/>
    <w:rsid w:val="004221E4"/>
    <w:rsid w:val="00423FCF"/>
    <w:rsid w:val="00424EE7"/>
    <w:rsid w:val="0043035B"/>
    <w:rsid w:val="004403EE"/>
    <w:rsid w:val="004532F0"/>
    <w:rsid w:val="00453EE3"/>
    <w:rsid w:val="00466567"/>
    <w:rsid w:val="00471088"/>
    <w:rsid w:val="004715DD"/>
    <w:rsid w:val="00476030"/>
    <w:rsid w:val="00483AF9"/>
    <w:rsid w:val="00493090"/>
    <w:rsid w:val="004A4B80"/>
    <w:rsid w:val="004B1CCB"/>
    <w:rsid w:val="004C6BD1"/>
    <w:rsid w:val="004D0851"/>
    <w:rsid w:val="004D09BA"/>
    <w:rsid w:val="004D73A5"/>
    <w:rsid w:val="004E1154"/>
    <w:rsid w:val="004F05B3"/>
    <w:rsid w:val="00507B54"/>
    <w:rsid w:val="00511748"/>
    <w:rsid w:val="0051324F"/>
    <w:rsid w:val="00516A0D"/>
    <w:rsid w:val="005202B3"/>
    <w:rsid w:val="005241F8"/>
    <w:rsid w:val="0052450F"/>
    <w:rsid w:val="005312EA"/>
    <w:rsid w:val="00532CF5"/>
    <w:rsid w:val="005367DE"/>
    <w:rsid w:val="00552404"/>
    <w:rsid w:val="005528CB"/>
    <w:rsid w:val="005572BA"/>
    <w:rsid w:val="00564E72"/>
    <w:rsid w:val="00566771"/>
    <w:rsid w:val="00577FE6"/>
    <w:rsid w:val="00581ADE"/>
    <w:rsid w:val="00581E2E"/>
    <w:rsid w:val="00584F15"/>
    <w:rsid w:val="005A2DC2"/>
    <w:rsid w:val="005A3849"/>
    <w:rsid w:val="005B1585"/>
    <w:rsid w:val="005C30B6"/>
    <w:rsid w:val="005C412A"/>
    <w:rsid w:val="005C59B4"/>
    <w:rsid w:val="005C5A20"/>
    <w:rsid w:val="005C7FA9"/>
    <w:rsid w:val="005D3E48"/>
    <w:rsid w:val="005D6B7A"/>
    <w:rsid w:val="005E59FC"/>
    <w:rsid w:val="005F1130"/>
    <w:rsid w:val="005F576D"/>
    <w:rsid w:val="005F600E"/>
    <w:rsid w:val="006032E0"/>
    <w:rsid w:val="0060493E"/>
    <w:rsid w:val="00605427"/>
    <w:rsid w:val="00611F25"/>
    <w:rsid w:val="006163F7"/>
    <w:rsid w:val="0062220B"/>
    <w:rsid w:val="006331DF"/>
    <w:rsid w:val="0063509D"/>
    <w:rsid w:val="00643F09"/>
    <w:rsid w:val="006507A2"/>
    <w:rsid w:val="00652606"/>
    <w:rsid w:val="006538B1"/>
    <w:rsid w:val="00657979"/>
    <w:rsid w:val="00682754"/>
    <w:rsid w:val="00685ED8"/>
    <w:rsid w:val="00696A46"/>
    <w:rsid w:val="006A58A9"/>
    <w:rsid w:val="006A606D"/>
    <w:rsid w:val="006B4B51"/>
    <w:rsid w:val="006B7F7A"/>
    <w:rsid w:val="006C0371"/>
    <w:rsid w:val="006C08B6"/>
    <w:rsid w:val="006C0B1A"/>
    <w:rsid w:val="006C4384"/>
    <w:rsid w:val="006C6065"/>
    <w:rsid w:val="006C7F9F"/>
    <w:rsid w:val="006E2F6D"/>
    <w:rsid w:val="006E58F6"/>
    <w:rsid w:val="006E77E1"/>
    <w:rsid w:val="006E7B74"/>
    <w:rsid w:val="006F131D"/>
    <w:rsid w:val="006F1D9E"/>
    <w:rsid w:val="006F29AA"/>
    <w:rsid w:val="006F3599"/>
    <w:rsid w:val="006F3FCC"/>
    <w:rsid w:val="006F4EDB"/>
    <w:rsid w:val="007056A5"/>
    <w:rsid w:val="007232B9"/>
    <w:rsid w:val="007255FC"/>
    <w:rsid w:val="007301F0"/>
    <w:rsid w:val="00737312"/>
    <w:rsid w:val="00741D17"/>
    <w:rsid w:val="0074627B"/>
    <w:rsid w:val="007464CD"/>
    <w:rsid w:val="00752BCD"/>
    <w:rsid w:val="0075461C"/>
    <w:rsid w:val="00766DA1"/>
    <w:rsid w:val="007719AF"/>
    <w:rsid w:val="00772DFA"/>
    <w:rsid w:val="00780771"/>
    <w:rsid w:val="0078162B"/>
    <w:rsid w:val="007819E2"/>
    <w:rsid w:val="00783CD7"/>
    <w:rsid w:val="007866A6"/>
    <w:rsid w:val="0079219C"/>
    <w:rsid w:val="007972CB"/>
    <w:rsid w:val="007A130D"/>
    <w:rsid w:val="007A496A"/>
    <w:rsid w:val="007B15E2"/>
    <w:rsid w:val="007B1C7E"/>
    <w:rsid w:val="007C5BAC"/>
    <w:rsid w:val="007D4102"/>
    <w:rsid w:val="007D447E"/>
    <w:rsid w:val="007E4C36"/>
    <w:rsid w:val="007E5921"/>
    <w:rsid w:val="007E72B2"/>
    <w:rsid w:val="007F09E6"/>
    <w:rsid w:val="007F545B"/>
    <w:rsid w:val="007F6429"/>
    <w:rsid w:val="00800E06"/>
    <w:rsid w:val="008019AF"/>
    <w:rsid w:val="008105FF"/>
    <w:rsid w:val="00812470"/>
    <w:rsid w:val="00814390"/>
    <w:rsid w:val="00816256"/>
    <w:rsid w:val="00821FFC"/>
    <w:rsid w:val="008271CA"/>
    <w:rsid w:val="00836E52"/>
    <w:rsid w:val="0084349F"/>
    <w:rsid w:val="008451D9"/>
    <w:rsid w:val="008467D5"/>
    <w:rsid w:val="0085184E"/>
    <w:rsid w:val="00856D9F"/>
    <w:rsid w:val="008648C5"/>
    <w:rsid w:val="00866F6D"/>
    <w:rsid w:val="0088568C"/>
    <w:rsid w:val="0088637F"/>
    <w:rsid w:val="008953AF"/>
    <w:rsid w:val="008953EE"/>
    <w:rsid w:val="008970E3"/>
    <w:rsid w:val="008A3BB3"/>
    <w:rsid w:val="008A4DC4"/>
    <w:rsid w:val="008B33C1"/>
    <w:rsid w:val="008C0B35"/>
    <w:rsid w:val="008D6DD6"/>
    <w:rsid w:val="008D6E0B"/>
    <w:rsid w:val="008E1864"/>
    <w:rsid w:val="008E3DBF"/>
    <w:rsid w:val="008F4BE5"/>
    <w:rsid w:val="00901A4F"/>
    <w:rsid w:val="00901D60"/>
    <w:rsid w:val="009067A4"/>
    <w:rsid w:val="0090722E"/>
    <w:rsid w:val="0090764D"/>
    <w:rsid w:val="00910089"/>
    <w:rsid w:val="009144BE"/>
    <w:rsid w:val="009166FA"/>
    <w:rsid w:val="00916E8C"/>
    <w:rsid w:val="00924330"/>
    <w:rsid w:val="00932799"/>
    <w:rsid w:val="00933165"/>
    <w:rsid w:val="009340DB"/>
    <w:rsid w:val="00937435"/>
    <w:rsid w:val="009401BA"/>
    <w:rsid w:val="00945F9E"/>
    <w:rsid w:val="009460A1"/>
    <w:rsid w:val="009531A6"/>
    <w:rsid w:val="009556CF"/>
    <w:rsid w:val="00956DD1"/>
    <w:rsid w:val="00961481"/>
    <w:rsid w:val="009644FD"/>
    <w:rsid w:val="00972498"/>
    <w:rsid w:val="00974CC6"/>
    <w:rsid w:val="00976AD4"/>
    <w:rsid w:val="009877E6"/>
    <w:rsid w:val="009A1F10"/>
    <w:rsid w:val="009A312F"/>
    <w:rsid w:val="009A5348"/>
    <w:rsid w:val="009A67BB"/>
    <w:rsid w:val="009B405B"/>
    <w:rsid w:val="009C3DE4"/>
    <w:rsid w:val="009C50A3"/>
    <w:rsid w:val="009C5212"/>
    <w:rsid w:val="009C5443"/>
    <w:rsid w:val="009C76D5"/>
    <w:rsid w:val="009C7850"/>
    <w:rsid w:val="009E18E7"/>
    <w:rsid w:val="009E4E61"/>
    <w:rsid w:val="009F7AA4"/>
    <w:rsid w:val="00A04885"/>
    <w:rsid w:val="00A0717A"/>
    <w:rsid w:val="00A146FF"/>
    <w:rsid w:val="00A15B49"/>
    <w:rsid w:val="00A20987"/>
    <w:rsid w:val="00A36243"/>
    <w:rsid w:val="00A36352"/>
    <w:rsid w:val="00A40F9D"/>
    <w:rsid w:val="00A42957"/>
    <w:rsid w:val="00A42E28"/>
    <w:rsid w:val="00A559DB"/>
    <w:rsid w:val="00A56953"/>
    <w:rsid w:val="00A62B6D"/>
    <w:rsid w:val="00A6567E"/>
    <w:rsid w:val="00A661F8"/>
    <w:rsid w:val="00A676DF"/>
    <w:rsid w:val="00A723D7"/>
    <w:rsid w:val="00A83E07"/>
    <w:rsid w:val="00A84FDA"/>
    <w:rsid w:val="00A869D0"/>
    <w:rsid w:val="00A87042"/>
    <w:rsid w:val="00A91564"/>
    <w:rsid w:val="00A91D94"/>
    <w:rsid w:val="00A9266B"/>
    <w:rsid w:val="00AA227C"/>
    <w:rsid w:val="00AA7571"/>
    <w:rsid w:val="00AB471F"/>
    <w:rsid w:val="00AB4920"/>
    <w:rsid w:val="00AC46FE"/>
    <w:rsid w:val="00AE07D7"/>
    <w:rsid w:val="00AE0E72"/>
    <w:rsid w:val="00AE3CD5"/>
    <w:rsid w:val="00AF2C5F"/>
    <w:rsid w:val="00AF35FC"/>
    <w:rsid w:val="00B02C57"/>
    <w:rsid w:val="00B03639"/>
    <w:rsid w:val="00B060D5"/>
    <w:rsid w:val="00B0652A"/>
    <w:rsid w:val="00B11597"/>
    <w:rsid w:val="00B118FF"/>
    <w:rsid w:val="00B12B33"/>
    <w:rsid w:val="00B1604B"/>
    <w:rsid w:val="00B32B6C"/>
    <w:rsid w:val="00B34134"/>
    <w:rsid w:val="00B3442B"/>
    <w:rsid w:val="00B3757D"/>
    <w:rsid w:val="00B40937"/>
    <w:rsid w:val="00B423EF"/>
    <w:rsid w:val="00B453DE"/>
    <w:rsid w:val="00B46F46"/>
    <w:rsid w:val="00B4742F"/>
    <w:rsid w:val="00B51883"/>
    <w:rsid w:val="00B6414D"/>
    <w:rsid w:val="00B64CDA"/>
    <w:rsid w:val="00B661FE"/>
    <w:rsid w:val="00B67003"/>
    <w:rsid w:val="00B71246"/>
    <w:rsid w:val="00B717E7"/>
    <w:rsid w:val="00B74DCC"/>
    <w:rsid w:val="00B901F9"/>
    <w:rsid w:val="00B91FB7"/>
    <w:rsid w:val="00B92C7B"/>
    <w:rsid w:val="00B97337"/>
    <w:rsid w:val="00BA761E"/>
    <w:rsid w:val="00BB4D3D"/>
    <w:rsid w:val="00BC2D72"/>
    <w:rsid w:val="00BC3E95"/>
    <w:rsid w:val="00BD54AA"/>
    <w:rsid w:val="00BD6EFB"/>
    <w:rsid w:val="00BD7378"/>
    <w:rsid w:val="00BF4A9C"/>
    <w:rsid w:val="00BF548F"/>
    <w:rsid w:val="00C108A3"/>
    <w:rsid w:val="00C112C3"/>
    <w:rsid w:val="00C15BE2"/>
    <w:rsid w:val="00C1636E"/>
    <w:rsid w:val="00C22219"/>
    <w:rsid w:val="00C22E02"/>
    <w:rsid w:val="00C25350"/>
    <w:rsid w:val="00C3447F"/>
    <w:rsid w:val="00C366D6"/>
    <w:rsid w:val="00C47548"/>
    <w:rsid w:val="00C47A64"/>
    <w:rsid w:val="00C51D17"/>
    <w:rsid w:val="00C5258F"/>
    <w:rsid w:val="00C6357C"/>
    <w:rsid w:val="00C80C56"/>
    <w:rsid w:val="00C80F27"/>
    <w:rsid w:val="00C81491"/>
    <w:rsid w:val="00C81676"/>
    <w:rsid w:val="00C82F3D"/>
    <w:rsid w:val="00C90656"/>
    <w:rsid w:val="00C9174A"/>
    <w:rsid w:val="00C92CC4"/>
    <w:rsid w:val="00CA0AFB"/>
    <w:rsid w:val="00CA181E"/>
    <w:rsid w:val="00CA2CE1"/>
    <w:rsid w:val="00CA3976"/>
    <w:rsid w:val="00CA757B"/>
    <w:rsid w:val="00CB3554"/>
    <w:rsid w:val="00CB6B09"/>
    <w:rsid w:val="00CB72EF"/>
    <w:rsid w:val="00CC1787"/>
    <w:rsid w:val="00CC182C"/>
    <w:rsid w:val="00CD0824"/>
    <w:rsid w:val="00CD18EF"/>
    <w:rsid w:val="00CD282A"/>
    <w:rsid w:val="00CD2908"/>
    <w:rsid w:val="00CD6945"/>
    <w:rsid w:val="00CE1213"/>
    <w:rsid w:val="00CE53E8"/>
    <w:rsid w:val="00CF13CE"/>
    <w:rsid w:val="00CF49E8"/>
    <w:rsid w:val="00D026BF"/>
    <w:rsid w:val="00D02795"/>
    <w:rsid w:val="00D02A56"/>
    <w:rsid w:val="00D03A82"/>
    <w:rsid w:val="00D0450C"/>
    <w:rsid w:val="00D07D73"/>
    <w:rsid w:val="00D15344"/>
    <w:rsid w:val="00D159F7"/>
    <w:rsid w:val="00D22660"/>
    <w:rsid w:val="00D226FD"/>
    <w:rsid w:val="00D31BEC"/>
    <w:rsid w:val="00D44B33"/>
    <w:rsid w:val="00D61376"/>
    <w:rsid w:val="00D63150"/>
    <w:rsid w:val="00D64A32"/>
    <w:rsid w:val="00D64EFC"/>
    <w:rsid w:val="00D6682B"/>
    <w:rsid w:val="00D75295"/>
    <w:rsid w:val="00D76CE9"/>
    <w:rsid w:val="00D81AA6"/>
    <w:rsid w:val="00D86960"/>
    <w:rsid w:val="00D939C0"/>
    <w:rsid w:val="00D97F12"/>
    <w:rsid w:val="00DA47B4"/>
    <w:rsid w:val="00DB42E7"/>
    <w:rsid w:val="00DC2260"/>
    <w:rsid w:val="00DD3A0E"/>
    <w:rsid w:val="00DD7506"/>
    <w:rsid w:val="00DE0013"/>
    <w:rsid w:val="00DE2711"/>
    <w:rsid w:val="00DE45DB"/>
    <w:rsid w:val="00DE7AF6"/>
    <w:rsid w:val="00DF32C2"/>
    <w:rsid w:val="00E018B5"/>
    <w:rsid w:val="00E1781D"/>
    <w:rsid w:val="00E306E6"/>
    <w:rsid w:val="00E343B7"/>
    <w:rsid w:val="00E40237"/>
    <w:rsid w:val="00E471A7"/>
    <w:rsid w:val="00E635CF"/>
    <w:rsid w:val="00E656F0"/>
    <w:rsid w:val="00E76ECD"/>
    <w:rsid w:val="00E95BE4"/>
    <w:rsid w:val="00EA12EC"/>
    <w:rsid w:val="00EA3C4C"/>
    <w:rsid w:val="00EA4A62"/>
    <w:rsid w:val="00EB5410"/>
    <w:rsid w:val="00EB71CD"/>
    <w:rsid w:val="00EC0379"/>
    <w:rsid w:val="00EC6E0A"/>
    <w:rsid w:val="00EC6F5F"/>
    <w:rsid w:val="00ED192A"/>
    <w:rsid w:val="00ED4E18"/>
    <w:rsid w:val="00ED6050"/>
    <w:rsid w:val="00EE1F37"/>
    <w:rsid w:val="00EE36F9"/>
    <w:rsid w:val="00EF6425"/>
    <w:rsid w:val="00F0159C"/>
    <w:rsid w:val="00F105B7"/>
    <w:rsid w:val="00F10B90"/>
    <w:rsid w:val="00F13634"/>
    <w:rsid w:val="00F17A21"/>
    <w:rsid w:val="00F214A7"/>
    <w:rsid w:val="00F2324E"/>
    <w:rsid w:val="00F2749F"/>
    <w:rsid w:val="00F326FD"/>
    <w:rsid w:val="00F4355E"/>
    <w:rsid w:val="00F50E91"/>
    <w:rsid w:val="00F56D5C"/>
    <w:rsid w:val="00F573FB"/>
    <w:rsid w:val="00F57D29"/>
    <w:rsid w:val="00F66E04"/>
    <w:rsid w:val="00F73325"/>
    <w:rsid w:val="00F84FFF"/>
    <w:rsid w:val="00F879B8"/>
    <w:rsid w:val="00F92A99"/>
    <w:rsid w:val="00F96201"/>
    <w:rsid w:val="00FA3F03"/>
    <w:rsid w:val="00FA6F9E"/>
    <w:rsid w:val="00FB08E8"/>
    <w:rsid w:val="00FB3D0E"/>
    <w:rsid w:val="00FC235F"/>
    <w:rsid w:val="00FC2C95"/>
    <w:rsid w:val="00FC30E9"/>
    <w:rsid w:val="00FC4039"/>
    <w:rsid w:val="00FD0B18"/>
    <w:rsid w:val="00FD0F82"/>
    <w:rsid w:val="00FD6A27"/>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C7363A7"/>
  <w15:docId w15:val="{997E961E-C29C-4C0B-B32D-360D0BC26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32B6C"/>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rsid w:val="007F545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D159F7"/>
    <w:rPr>
      <w:b w:val="0"/>
      <w:color w:val="auto"/>
      <w:vertAlign w:val="superscript"/>
    </w:rPr>
  </w:style>
  <w:style w:type="paragraph" w:customStyle="1" w:styleId="Footnote">
    <w:name w:val="Footnote"/>
    <w:basedOn w:val="FootnoteText"/>
    <w:link w:val="FootnoteChar"/>
    <w:qFormat/>
    <w:rsid w:val="00D159F7"/>
    <w:pPr>
      <w:jc w:val="both"/>
    </w:pPr>
    <w:rPr>
      <w:rFonts w:ascii="Arial" w:hAnsi="Arial" w:cs="Arial"/>
      <w:sz w:val="17"/>
      <w:szCs w:val="17"/>
    </w:rPr>
  </w:style>
  <w:style w:type="character" w:customStyle="1" w:styleId="FootnoteChar">
    <w:name w:val="Footnote Char"/>
    <w:basedOn w:val="FootnoteTextChar"/>
    <w:link w:val="Footnote"/>
    <w:rsid w:val="00D159F7"/>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qFormat/>
    <w:rsid w:val="00D159F7"/>
    <w:rPr>
      <w:b w:val="0"/>
      <w:color w:val="auto"/>
      <w:vertAlign w:val="superscript"/>
    </w:rPr>
  </w:style>
  <w:style w:type="paragraph" w:customStyle="1" w:styleId="IveyQuotes">
    <w:name w:val="Ivey Quotes"/>
    <w:basedOn w:val="Normal"/>
    <w:link w:val="IveyQuotesChar"/>
    <w:rsid w:val="004A4B80"/>
    <w:pPr>
      <w:tabs>
        <w:tab w:val="left" w:pos="-1440"/>
        <w:tab w:val="left" w:pos="-720"/>
        <w:tab w:val="left" w:pos="1"/>
        <w:tab w:val="right" w:pos="9360"/>
      </w:tabs>
      <w:ind w:left="284"/>
      <w:contextualSpacing/>
      <w:jc w:val="both"/>
    </w:pPr>
    <w:rPr>
      <w:sz w:val="22"/>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character" w:customStyle="1" w:styleId="Heading1Char">
    <w:name w:val="Heading 1 Char"/>
    <w:basedOn w:val="DefaultParagraphFont"/>
    <w:link w:val="Heading1"/>
    <w:uiPriority w:val="9"/>
    <w:rsid w:val="007F545B"/>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351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5490">
      <w:bodyDiv w:val="1"/>
      <w:marLeft w:val="0"/>
      <w:marRight w:val="0"/>
      <w:marTop w:val="0"/>
      <w:marBottom w:val="0"/>
      <w:divBdr>
        <w:top w:val="none" w:sz="0" w:space="0" w:color="auto"/>
        <w:left w:val="none" w:sz="0" w:space="0" w:color="auto"/>
        <w:bottom w:val="none" w:sz="0" w:space="0" w:color="auto"/>
        <w:right w:val="none" w:sz="0" w:space="0" w:color="auto"/>
      </w:divBdr>
    </w:div>
    <w:div w:id="117988738">
      <w:bodyDiv w:val="1"/>
      <w:marLeft w:val="0"/>
      <w:marRight w:val="0"/>
      <w:marTop w:val="0"/>
      <w:marBottom w:val="0"/>
      <w:divBdr>
        <w:top w:val="none" w:sz="0" w:space="0" w:color="auto"/>
        <w:left w:val="none" w:sz="0" w:space="0" w:color="auto"/>
        <w:bottom w:val="none" w:sz="0" w:space="0" w:color="auto"/>
        <w:right w:val="none" w:sz="0" w:space="0" w:color="auto"/>
      </w:divBdr>
    </w:div>
    <w:div w:id="135921969">
      <w:bodyDiv w:val="1"/>
      <w:marLeft w:val="0"/>
      <w:marRight w:val="0"/>
      <w:marTop w:val="0"/>
      <w:marBottom w:val="0"/>
      <w:divBdr>
        <w:top w:val="none" w:sz="0" w:space="0" w:color="auto"/>
        <w:left w:val="none" w:sz="0" w:space="0" w:color="auto"/>
        <w:bottom w:val="none" w:sz="0" w:space="0" w:color="auto"/>
        <w:right w:val="none" w:sz="0" w:space="0" w:color="auto"/>
      </w:divBdr>
    </w:div>
    <w:div w:id="231283037">
      <w:bodyDiv w:val="1"/>
      <w:marLeft w:val="0"/>
      <w:marRight w:val="0"/>
      <w:marTop w:val="0"/>
      <w:marBottom w:val="0"/>
      <w:divBdr>
        <w:top w:val="none" w:sz="0" w:space="0" w:color="auto"/>
        <w:left w:val="none" w:sz="0" w:space="0" w:color="auto"/>
        <w:bottom w:val="none" w:sz="0" w:space="0" w:color="auto"/>
        <w:right w:val="none" w:sz="0" w:space="0" w:color="auto"/>
      </w:divBdr>
    </w:div>
    <w:div w:id="272977870">
      <w:bodyDiv w:val="1"/>
      <w:marLeft w:val="0"/>
      <w:marRight w:val="0"/>
      <w:marTop w:val="0"/>
      <w:marBottom w:val="0"/>
      <w:divBdr>
        <w:top w:val="none" w:sz="0" w:space="0" w:color="auto"/>
        <w:left w:val="none" w:sz="0" w:space="0" w:color="auto"/>
        <w:bottom w:val="none" w:sz="0" w:space="0" w:color="auto"/>
        <w:right w:val="none" w:sz="0" w:space="0" w:color="auto"/>
      </w:divBdr>
    </w:div>
    <w:div w:id="286670650">
      <w:bodyDiv w:val="1"/>
      <w:marLeft w:val="0"/>
      <w:marRight w:val="0"/>
      <w:marTop w:val="0"/>
      <w:marBottom w:val="0"/>
      <w:divBdr>
        <w:top w:val="none" w:sz="0" w:space="0" w:color="auto"/>
        <w:left w:val="none" w:sz="0" w:space="0" w:color="auto"/>
        <w:bottom w:val="none" w:sz="0" w:space="0" w:color="auto"/>
        <w:right w:val="none" w:sz="0" w:space="0" w:color="auto"/>
      </w:divBdr>
    </w:div>
    <w:div w:id="582835034">
      <w:bodyDiv w:val="1"/>
      <w:marLeft w:val="0"/>
      <w:marRight w:val="0"/>
      <w:marTop w:val="0"/>
      <w:marBottom w:val="0"/>
      <w:divBdr>
        <w:top w:val="none" w:sz="0" w:space="0" w:color="auto"/>
        <w:left w:val="none" w:sz="0" w:space="0" w:color="auto"/>
        <w:bottom w:val="none" w:sz="0" w:space="0" w:color="auto"/>
        <w:right w:val="none" w:sz="0" w:space="0" w:color="auto"/>
      </w:divBdr>
      <w:divsChild>
        <w:div w:id="1208644440">
          <w:marLeft w:val="0"/>
          <w:marRight w:val="0"/>
          <w:marTop w:val="0"/>
          <w:marBottom w:val="0"/>
          <w:divBdr>
            <w:top w:val="none" w:sz="0" w:space="0" w:color="auto"/>
            <w:left w:val="none" w:sz="0" w:space="0" w:color="auto"/>
            <w:bottom w:val="none" w:sz="0" w:space="0" w:color="auto"/>
            <w:right w:val="none" w:sz="0" w:space="0" w:color="auto"/>
          </w:divBdr>
        </w:div>
      </w:divsChild>
    </w:div>
    <w:div w:id="644704976">
      <w:bodyDiv w:val="1"/>
      <w:marLeft w:val="0"/>
      <w:marRight w:val="0"/>
      <w:marTop w:val="0"/>
      <w:marBottom w:val="0"/>
      <w:divBdr>
        <w:top w:val="none" w:sz="0" w:space="0" w:color="auto"/>
        <w:left w:val="none" w:sz="0" w:space="0" w:color="auto"/>
        <w:bottom w:val="none" w:sz="0" w:space="0" w:color="auto"/>
        <w:right w:val="none" w:sz="0" w:space="0" w:color="auto"/>
      </w:divBdr>
    </w:div>
    <w:div w:id="650716035">
      <w:bodyDiv w:val="1"/>
      <w:marLeft w:val="0"/>
      <w:marRight w:val="0"/>
      <w:marTop w:val="0"/>
      <w:marBottom w:val="0"/>
      <w:divBdr>
        <w:top w:val="none" w:sz="0" w:space="0" w:color="auto"/>
        <w:left w:val="none" w:sz="0" w:space="0" w:color="auto"/>
        <w:bottom w:val="none" w:sz="0" w:space="0" w:color="auto"/>
        <w:right w:val="none" w:sz="0" w:space="0" w:color="auto"/>
      </w:divBdr>
    </w:div>
    <w:div w:id="784347850">
      <w:bodyDiv w:val="1"/>
      <w:marLeft w:val="0"/>
      <w:marRight w:val="0"/>
      <w:marTop w:val="0"/>
      <w:marBottom w:val="0"/>
      <w:divBdr>
        <w:top w:val="none" w:sz="0" w:space="0" w:color="auto"/>
        <w:left w:val="none" w:sz="0" w:space="0" w:color="auto"/>
        <w:bottom w:val="none" w:sz="0" w:space="0" w:color="auto"/>
        <w:right w:val="none" w:sz="0" w:space="0" w:color="auto"/>
      </w:divBdr>
    </w:div>
    <w:div w:id="789280621">
      <w:bodyDiv w:val="1"/>
      <w:marLeft w:val="0"/>
      <w:marRight w:val="0"/>
      <w:marTop w:val="0"/>
      <w:marBottom w:val="0"/>
      <w:divBdr>
        <w:top w:val="none" w:sz="0" w:space="0" w:color="auto"/>
        <w:left w:val="none" w:sz="0" w:space="0" w:color="auto"/>
        <w:bottom w:val="none" w:sz="0" w:space="0" w:color="auto"/>
        <w:right w:val="none" w:sz="0" w:space="0" w:color="auto"/>
      </w:divBdr>
    </w:div>
    <w:div w:id="901866677">
      <w:bodyDiv w:val="1"/>
      <w:marLeft w:val="0"/>
      <w:marRight w:val="0"/>
      <w:marTop w:val="0"/>
      <w:marBottom w:val="0"/>
      <w:divBdr>
        <w:top w:val="none" w:sz="0" w:space="0" w:color="auto"/>
        <w:left w:val="none" w:sz="0" w:space="0" w:color="auto"/>
        <w:bottom w:val="none" w:sz="0" w:space="0" w:color="auto"/>
        <w:right w:val="none" w:sz="0" w:space="0" w:color="auto"/>
      </w:divBdr>
    </w:div>
    <w:div w:id="945696213">
      <w:bodyDiv w:val="1"/>
      <w:marLeft w:val="0"/>
      <w:marRight w:val="0"/>
      <w:marTop w:val="0"/>
      <w:marBottom w:val="0"/>
      <w:divBdr>
        <w:top w:val="none" w:sz="0" w:space="0" w:color="auto"/>
        <w:left w:val="none" w:sz="0" w:space="0" w:color="auto"/>
        <w:bottom w:val="none" w:sz="0" w:space="0" w:color="auto"/>
        <w:right w:val="none" w:sz="0" w:space="0" w:color="auto"/>
      </w:divBdr>
    </w:div>
    <w:div w:id="992837197">
      <w:bodyDiv w:val="1"/>
      <w:marLeft w:val="0"/>
      <w:marRight w:val="0"/>
      <w:marTop w:val="0"/>
      <w:marBottom w:val="0"/>
      <w:divBdr>
        <w:top w:val="none" w:sz="0" w:space="0" w:color="auto"/>
        <w:left w:val="none" w:sz="0" w:space="0" w:color="auto"/>
        <w:bottom w:val="none" w:sz="0" w:space="0" w:color="auto"/>
        <w:right w:val="none" w:sz="0" w:space="0" w:color="auto"/>
      </w:divBdr>
    </w:div>
    <w:div w:id="1018317538">
      <w:bodyDiv w:val="1"/>
      <w:marLeft w:val="0"/>
      <w:marRight w:val="0"/>
      <w:marTop w:val="0"/>
      <w:marBottom w:val="0"/>
      <w:divBdr>
        <w:top w:val="none" w:sz="0" w:space="0" w:color="auto"/>
        <w:left w:val="none" w:sz="0" w:space="0" w:color="auto"/>
        <w:bottom w:val="none" w:sz="0" w:space="0" w:color="auto"/>
        <w:right w:val="none" w:sz="0" w:space="0" w:color="auto"/>
      </w:divBdr>
    </w:div>
    <w:div w:id="1058162115">
      <w:bodyDiv w:val="1"/>
      <w:marLeft w:val="0"/>
      <w:marRight w:val="0"/>
      <w:marTop w:val="0"/>
      <w:marBottom w:val="0"/>
      <w:divBdr>
        <w:top w:val="none" w:sz="0" w:space="0" w:color="auto"/>
        <w:left w:val="none" w:sz="0" w:space="0" w:color="auto"/>
        <w:bottom w:val="none" w:sz="0" w:space="0" w:color="auto"/>
        <w:right w:val="none" w:sz="0" w:space="0" w:color="auto"/>
      </w:divBdr>
    </w:div>
    <w:div w:id="1071082581">
      <w:bodyDiv w:val="1"/>
      <w:marLeft w:val="0"/>
      <w:marRight w:val="0"/>
      <w:marTop w:val="0"/>
      <w:marBottom w:val="0"/>
      <w:divBdr>
        <w:top w:val="none" w:sz="0" w:space="0" w:color="auto"/>
        <w:left w:val="none" w:sz="0" w:space="0" w:color="auto"/>
        <w:bottom w:val="none" w:sz="0" w:space="0" w:color="auto"/>
        <w:right w:val="none" w:sz="0" w:space="0" w:color="auto"/>
      </w:divBdr>
    </w:div>
    <w:div w:id="1202863092">
      <w:bodyDiv w:val="1"/>
      <w:marLeft w:val="0"/>
      <w:marRight w:val="0"/>
      <w:marTop w:val="0"/>
      <w:marBottom w:val="0"/>
      <w:divBdr>
        <w:top w:val="none" w:sz="0" w:space="0" w:color="auto"/>
        <w:left w:val="none" w:sz="0" w:space="0" w:color="auto"/>
        <w:bottom w:val="none" w:sz="0" w:space="0" w:color="auto"/>
        <w:right w:val="none" w:sz="0" w:space="0" w:color="auto"/>
      </w:divBdr>
      <w:divsChild>
        <w:div w:id="184634505">
          <w:marLeft w:val="0"/>
          <w:marRight w:val="0"/>
          <w:marTop w:val="0"/>
          <w:marBottom w:val="0"/>
          <w:divBdr>
            <w:top w:val="none" w:sz="0" w:space="0" w:color="auto"/>
            <w:left w:val="none" w:sz="0" w:space="0" w:color="auto"/>
            <w:bottom w:val="none" w:sz="0" w:space="0" w:color="auto"/>
            <w:right w:val="none" w:sz="0" w:space="0" w:color="auto"/>
          </w:divBdr>
        </w:div>
      </w:divsChild>
    </w:div>
    <w:div w:id="1212619774">
      <w:bodyDiv w:val="1"/>
      <w:marLeft w:val="0"/>
      <w:marRight w:val="0"/>
      <w:marTop w:val="0"/>
      <w:marBottom w:val="0"/>
      <w:divBdr>
        <w:top w:val="none" w:sz="0" w:space="0" w:color="auto"/>
        <w:left w:val="none" w:sz="0" w:space="0" w:color="auto"/>
        <w:bottom w:val="none" w:sz="0" w:space="0" w:color="auto"/>
        <w:right w:val="none" w:sz="0" w:space="0" w:color="auto"/>
      </w:divBdr>
    </w:div>
    <w:div w:id="1321468848">
      <w:bodyDiv w:val="1"/>
      <w:marLeft w:val="0"/>
      <w:marRight w:val="0"/>
      <w:marTop w:val="0"/>
      <w:marBottom w:val="0"/>
      <w:divBdr>
        <w:top w:val="none" w:sz="0" w:space="0" w:color="auto"/>
        <w:left w:val="none" w:sz="0" w:space="0" w:color="auto"/>
        <w:bottom w:val="none" w:sz="0" w:space="0" w:color="auto"/>
        <w:right w:val="none" w:sz="0" w:space="0" w:color="auto"/>
      </w:divBdr>
    </w:div>
    <w:div w:id="1343433420">
      <w:bodyDiv w:val="1"/>
      <w:marLeft w:val="0"/>
      <w:marRight w:val="0"/>
      <w:marTop w:val="0"/>
      <w:marBottom w:val="0"/>
      <w:divBdr>
        <w:top w:val="none" w:sz="0" w:space="0" w:color="auto"/>
        <w:left w:val="none" w:sz="0" w:space="0" w:color="auto"/>
        <w:bottom w:val="none" w:sz="0" w:space="0" w:color="auto"/>
        <w:right w:val="none" w:sz="0" w:space="0" w:color="auto"/>
      </w:divBdr>
    </w:div>
    <w:div w:id="1357001849">
      <w:bodyDiv w:val="1"/>
      <w:marLeft w:val="0"/>
      <w:marRight w:val="0"/>
      <w:marTop w:val="0"/>
      <w:marBottom w:val="0"/>
      <w:divBdr>
        <w:top w:val="none" w:sz="0" w:space="0" w:color="auto"/>
        <w:left w:val="none" w:sz="0" w:space="0" w:color="auto"/>
        <w:bottom w:val="none" w:sz="0" w:space="0" w:color="auto"/>
        <w:right w:val="none" w:sz="0" w:space="0" w:color="auto"/>
      </w:divBdr>
    </w:div>
    <w:div w:id="1367754290">
      <w:bodyDiv w:val="1"/>
      <w:marLeft w:val="0"/>
      <w:marRight w:val="0"/>
      <w:marTop w:val="0"/>
      <w:marBottom w:val="0"/>
      <w:divBdr>
        <w:top w:val="none" w:sz="0" w:space="0" w:color="auto"/>
        <w:left w:val="none" w:sz="0" w:space="0" w:color="auto"/>
        <w:bottom w:val="none" w:sz="0" w:space="0" w:color="auto"/>
        <w:right w:val="none" w:sz="0" w:space="0" w:color="auto"/>
      </w:divBdr>
    </w:div>
    <w:div w:id="1393387959">
      <w:bodyDiv w:val="1"/>
      <w:marLeft w:val="0"/>
      <w:marRight w:val="0"/>
      <w:marTop w:val="0"/>
      <w:marBottom w:val="0"/>
      <w:divBdr>
        <w:top w:val="none" w:sz="0" w:space="0" w:color="auto"/>
        <w:left w:val="none" w:sz="0" w:space="0" w:color="auto"/>
        <w:bottom w:val="none" w:sz="0" w:space="0" w:color="auto"/>
        <w:right w:val="none" w:sz="0" w:space="0" w:color="auto"/>
      </w:divBdr>
    </w:div>
    <w:div w:id="1447197148">
      <w:bodyDiv w:val="1"/>
      <w:marLeft w:val="0"/>
      <w:marRight w:val="0"/>
      <w:marTop w:val="0"/>
      <w:marBottom w:val="0"/>
      <w:divBdr>
        <w:top w:val="none" w:sz="0" w:space="0" w:color="auto"/>
        <w:left w:val="none" w:sz="0" w:space="0" w:color="auto"/>
        <w:bottom w:val="none" w:sz="0" w:space="0" w:color="auto"/>
        <w:right w:val="none" w:sz="0" w:space="0" w:color="auto"/>
      </w:divBdr>
      <w:divsChild>
        <w:div w:id="541403968">
          <w:marLeft w:val="0"/>
          <w:marRight w:val="0"/>
          <w:marTop w:val="0"/>
          <w:marBottom w:val="0"/>
          <w:divBdr>
            <w:top w:val="none" w:sz="0" w:space="0" w:color="auto"/>
            <w:left w:val="none" w:sz="0" w:space="0" w:color="auto"/>
            <w:bottom w:val="none" w:sz="0" w:space="0" w:color="auto"/>
            <w:right w:val="none" w:sz="0" w:space="0" w:color="auto"/>
          </w:divBdr>
        </w:div>
      </w:divsChild>
    </w:div>
    <w:div w:id="1562715204">
      <w:bodyDiv w:val="1"/>
      <w:marLeft w:val="0"/>
      <w:marRight w:val="0"/>
      <w:marTop w:val="0"/>
      <w:marBottom w:val="0"/>
      <w:divBdr>
        <w:top w:val="none" w:sz="0" w:space="0" w:color="auto"/>
        <w:left w:val="none" w:sz="0" w:space="0" w:color="auto"/>
        <w:bottom w:val="none" w:sz="0" w:space="0" w:color="auto"/>
        <w:right w:val="none" w:sz="0" w:space="0" w:color="auto"/>
      </w:divBdr>
    </w:div>
    <w:div w:id="1567842351">
      <w:bodyDiv w:val="1"/>
      <w:marLeft w:val="0"/>
      <w:marRight w:val="0"/>
      <w:marTop w:val="0"/>
      <w:marBottom w:val="0"/>
      <w:divBdr>
        <w:top w:val="none" w:sz="0" w:space="0" w:color="auto"/>
        <w:left w:val="none" w:sz="0" w:space="0" w:color="auto"/>
        <w:bottom w:val="none" w:sz="0" w:space="0" w:color="auto"/>
        <w:right w:val="none" w:sz="0" w:space="0" w:color="auto"/>
      </w:divBdr>
    </w:div>
    <w:div w:id="1590698278">
      <w:bodyDiv w:val="1"/>
      <w:marLeft w:val="0"/>
      <w:marRight w:val="0"/>
      <w:marTop w:val="0"/>
      <w:marBottom w:val="0"/>
      <w:divBdr>
        <w:top w:val="none" w:sz="0" w:space="0" w:color="auto"/>
        <w:left w:val="none" w:sz="0" w:space="0" w:color="auto"/>
        <w:bottom w:val="none" w:sz="0" w:space="0" w:color="auto"/>
        <w:right w:val="none" w:sz="0" w:space="0" w:color="auto"/>
      </w:divBdr>
      <w:divsChild>
        <w:div w:id="1114833636">
          <w:marLeft w:val="0"/>
          <w:marRight w:val="0"/>
          <w:marTop w:val="0"/>
          <w:marBottom w:val="0"/>
          <w:divBdr>
            <w:top w:val="none" w:sz="0" w:space="0" w:color="auto"/>
            <w:left w:val="none" w:sz="0" w:space="0" w:color="auto"/>
            <w:bottom w:val="none" w:sz="0" w:space="0" w:color="auto"/>
            <w:right w:val="none" w:sz="0" w:space="0" w:color="auto"/>
          </w:divBdr>
          <w:divsChild>
            <w:div w:id="129443444">
              <w:marLeft w:val="0"/>
              <w:marRight w:val="0"/>
              <w:marTop w:val="150"/>
              <w:marBottom w:val="0"/>
              <w:divBdr>
                <w:top w:val="none" w:sz="0" w:space="0" w:color="auto"/>
                <w:left w:val="none" w:sz="0" w:space="0" w:color="auto"/>
                <w:bottom w:val="none" w:sz="0" w:space="0" w:color="auto"/>
                <w:right w:val="none" w:sz="0" w:space="0" w:color="auto"/>
              </w:divBdr>
              <w:divsChild>
                <w:div w:id="1865483865">
                  <w:marLeft w:val="-150"/>
                  <w:marRight w:val="-150"/>
                  <w:marTop w:val="0"/>
                  <w:marBottom w:val="0"/>
                  <w:divBdr>
                    <w:top w:val="none" w:sz="0" w:space="0" w:color="auto"/>
                    <w:left w:val="none" w:sz="0" w:space="0" w:color="auto"/>
                    <w:bottom w:val="none" w:sz="0" w:space="0" w:color="auto"/>
                    <w:right w:val="none" w:sz="0" w:space="0" w:color="auto"/>
                  </w:divBdr>
                  <w:divsChild>
                    <w:div w:id="1230070420">
                      <w:marLeft w:val="0"/>
                      <w:marRight w:val="0"/>
                      <w:marTop w:val="0"/>
                      <w:marBottom w:val="0"/>
                      <w:divBdr>
                        <w:top w:val="none" w:sz="0" w:space="0" w:color="auto"/>
                        <w:left w:val="none" w:sz="0" w:space="0" w:color="auto"/>
                        <w:bottom w:val="none" w:sz="0" w:space="0" w:color="auto"/>
                        <w:right w:val="none" w:sz="0" w:space="0" w:color="auto"/>
                      </w:divBdr>
                      <w:divsChild>
                        <w:div w:id="3068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933431">
      <w:bodyDiv w:val="1"/>
      <w:marLeft w:val="0"/>
      <w:marRight w:val="0"/>
      <w:marTop w:val="0"/>
      <w:marBottom w:val="0"/>
      <w:divBdr>
        <w:top w:val="none" w:sz="0" w:space="0" w:color="auto"/>
        <w:left w:val="none" w:sz="0" w:space="0" w:color="auto"/>
        <w:bottom w:val="none" w:sz="0" w:space="0" w:color="auto"/>
        <w:right w:val="none" w:sz="0" w:space="0" w:color="auto"/>
      </w:divBdr>
      <w:divsChild>
        <w:div w:id="95947839">
          <w:marLeft w:val="0"/>
          <w:marRight w:val="0"/>
          <w:marTop w:val="0"/>
          <w:marBottom w:val="0"/>
          <w:divBdr>
            <w:top w:val="none" w:sz="0" w:space="0" w:color="auto"/>
            <w:left w:val="none" w:sz="0" w:space="0" w:color="auto"/>
            <w:bottom w:val="none" w:sz="0" w:space="0" w:color="auto"/>
            <w:right w:val="none" w:sz="0" w:space="0" w:color="auto"/>
          </w:divBdr>
        </w:div>
      </w:divsChild>
    </w:div>
    <w:div w:id="1656177492">
      <w:bodyDiv w:val="1"/>
      <w:marLeft w:val="0"/>
      <w:marRight w:val="0"/>
      <w:marTop w:val="0"/>
      <w:marBottom w:val="0"/>
      <w:divBdr>
        <w:top w:val="none" w:sz="0" w:space="0" w:color="auto"/>
        <w:left w:val="none" w:sz="0" w:space="0" w:color="auto"/>
        <w:bottom w:val="none" w:sz="0" w:space="0" w:color="auto"/>
        <w:right w:val="none" w:sz="0" w:space="0" w:color="auto"/>
      </w:divBdr>
    </w:div>
    <w:div w:id="1681083630">
      <w:bodyDiv w:val="1"/>
      <w:marLeft w:val="0"/>
      <w:marRight w:val="0"/>
      <w:marTop w:val="0"/>
      <w:marBottom w:val="0"/>
      <w:divBdr>
        <w:top w:val="none" w:sz="0" w:space="0" w:color="auto"/>
        <w:left w:val="none" w:sz="0" w:space="0" w:color="auto"/>
        <w:bottom w:val="none" w:sz="0" w:space="0" w:color="auto"/>
        <w:right w:val="none" w:sz="0" w:space="0" w:color="auto"/>
      </w:divBdr>
    </w:div>
    <w:div w:id="1704287636">
      <w:bodyDiv w:val="1"/>
      <w:marLeft w:val="0"/>
      <w:marRight w:val="0"/>
      <w:marTop w:val="0"/>
      <w:marBottom w:val="0"/>
      <w:divBdr>
        <w:top w:val="none" w:sz="0" w:space="0" w:color="auto"/>
        <w:left w:val="none" w:sz="0" w:space="0" w:color="auto"/>
        <w:bottom w:val="none" w:sz="0" w:space="0" w:color="auto"/>
        <w:right w:val="none" w:sz="0" w:space="0" w:color="auto"/>
      </w:divBdr>
    </w:div>
    <w:div w:id="1738241173">
      <w:bodyDiv w:val="1"/>
      <w:marLeft w:val="0"/>
      <w:marRight w:val="0"/>
      <w:marTop w:val="0"/>
      <w:marBottom w:val="0"/>
      <w:divBdr>
        <w:top w:val="none" w:sz="0" w:space="0" w:color="auto"/>
        <w:left w:val="none" w:sz="0" w:space="0" w:color="auto"/>
        <w:bottom w:val="none" w:sz="0" w:space="0" w:color="auto"/>
        <w:right w:val="none" w:sz="0" w:space="0" w:color="auto"/>
      </w:divBdr>
      <w:divsChild>
        <w:div w:id="1074398368">
          <w:marLeft w:val="0"/>
          <w:marRight w:val="0"/>
          <w:marTop w:val="0"/>
          <w:marBottom w:val="0"/>
          <w:divBdr>
            <w:top w:val="none" w:sz="0" w:space="0" w:color="auto"/>
            <w:left w:val="none" w:sz="0" w:space="0" w:color="auto"/>
            <w:bottom w:val="none" w:sz="0" w:space="0" w:color="auto"/>
            <w:right w:val="none" w:sz="0" w:space="0" w:color="auto"/>
          </w:divBdr>
          <w:divsChild>
            <w:div w:id="262808386">
              <w:marLeft w:val="0"/>
              <w:marRight w:val="0"/>
              <w:marTop w:val="150"/>
              <w:marBottom w:val="0"/>
              <w:divBdr>
                <w:top w:val="none" w:sz="0" w:space="0" w:color="auto"/>
                <w:left w:val="none" w:sz="0" w:space="0" w:color="auto"/>
                <w:bottom w:val="none" w:sz="0" w:space="0" w:color="auto"/>
                <w:right w:val="none" w:sz="0" w:space="0" w:color="auto"/>
              </w:divBdr>
              <w:divsChild>
                <w:div w:id="792821666">
                  <w:marLeft w:val="-150"/>
                  <w:marRight w:val="-150"/>
                  <w:marTop w:val="0"/>
                  <w:marBottom w:val="0"/>
                  <w:divBdr>
                    <w:top w:val="none" w:sz="0" w:space="0" w:color="auto"/>
                    <w:left w:val="none" w:sz="0" w:space="0" w:color="auto"/>
                    <w:bottom w:val="none" w:sz="0" w:space="0" w:color="auto"/>
                    <w:right w:val="none" w:sz="0" w:space="0" w:color="auto"/>
                  </w:divBdr>
                  <w:divsChild>
                    <w:div w:id="1705322743">
                      <w:marLeft w:val="0"/>
                      <w:marRight w:val="0"/>
                      <w:marTop w:val="0"/>
                      <w:marBottom w:val="0"/>
                      <w:divBdr>
                        <w:top w:val="none" w:sz="0" w:space="0" w:color="auto"/>
                        <w:left w:val="none" w:sz="0" w:space="0" w:color="auto"/>
                        <w:bottom w:val="none" w:sz="0" w:space="0" w:color="auto"/>
                        <w:right w:val="none" w:sz="0" w:space="0" w:color="auto"/>
                      </w:divBdr>
                      <w:divsChild>
                        <w:div w:id="2552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737550">
      <w:bodyDiv w:val="1"/>
      <w:marLeft w:val="0"/>
      <w:marRight w:val="0"/>
      <w:marTop w:val="0"/>
      <w:marBottom w:val="0"/>
      <w:divBdr>
        <w:top w:val="none" w:sz="0" w:space="0" w:color="auto"/>
        <w:left w:val="none" w:sz="0" w:space="0" w:color="auto"/>
        <w:bottom w:val="none" w:sz="0" w:space="0" w:color="auto"/>
        <w:right w:val="none" w:sz="0" w:space="0" w:color="auto"/>
      </w:divBdr>
    </w:div>
    <w:div w:id="1776171035">
      <w:bodyDiv w:val="1"/>
      <w:marLeft w:val="0"/>
      <w:marRight w:val="0"/>
      <w:marTop w:val="0"/>
      <w:marBottom w:val="0"/>
      <w:divBdr>
        <w:top w:val="none" w:sz="0" w:space="0" w:color="auto"/>
        <w:left w:val="none" w:sz="0" w:space="0" w:color="auto"/>
        <w:bottom w:val="none" w:sz="0" w:space="0" w:color="auto"/>
        <w:right w:val="none" w:sz="0" w:space="0" w:color="auto"/>
      </w:divBdr>
    </w:div>
    <w:div w:id="1833445075">
      <w:bodyDiv w:val="1"/>
      <w:marLeft w:val="0"/>
      <w:marRight w:val="0"/>
      <w:marTop w:val="0"/>
      <w:marBottom w:val="0"/>
      <w:divBdr>
        <w:top w:val="none" w:sz="0" w:space="0" w:color="auto"/>
        <w:left w:val="none" w:sz="0" w:space="0" w:color="auto"/>
        <w:bottom w:val="none" w:sz="0" w:space="0" w:color="auto"/>
        <w:right w:val="none" w:sz="0" w:space="0" w:color="auto"/>
      </w:divBdr>
    </w:div>
    <w:div w:id="1838030667">
      <w:bodyDiv w:val="1"/>
      <w:marLeft w:val="0"/>
      <w:marRight w:val="0"/>
      <w:marTop w:val="0"/>
      <w:marBottom w:val="0"/>
      <w:divBdr>
        <w:top w:val="none" w:sz="0" w:space="0" w:color="auto"/>
        <w:left w:val="none" w:sz="0" w:space="0" w:color="auto"/>
        <w:bottom w:val="none" w:sz="0" w:space="0" w:color="auto"/>
        <w:right w:val="none" w:sz="0" w:space="0" w:color="auto"/>
      </w:divBdr>
    </w:div>
    <w:div w:id="1900166851">
      <w:bodyDiv w:val="1"/>
      <w:marLeft w:val="0"/>
      <w:marRight w:val="0"/>
      <w:marTop w:val="0"/>
      <w:marBottom w:val="0"/>
      <w:divBdr>
        <w:top w:val="none" w:sz="0" w:space="0" w:color="auto"/>
        <w:left w:val="none" w:sz="0" w:space="0" w:color="auto"/>
        <w:bottom w:val="none" w:sz="0" w:space="0" w:color="auto"/>
        <w:right w:val="none" w:sz="0" w:space="0" w:color="auto"/>
      </w:divBdr>
    </w:div>
    <w:div w:id="1954047129">
      <w:bodyDiv w:val="1"/>
      <w:marLeft w:val="0"/>
      <w:marRight w:val="0"/>
      <w:marTop w:val="0"/>
      <w:marBottom w:val="0"/>
      <w:divBdr>
        <w:top w:val="none" w:sz="0" w:space="0" w:color="auto"/>
        <w:left w:val="none" w:sz="0" w:space="0" w:color="auto"/>
        <w:bottom w:val="none" w:sz="0" w:space="0" w:color="auto"/>
        <w:right w:val="none" w:sz="0" w:space="0" w:color="auto"/>
      </w:divBdr>
    </w:div>
    <w:div w:id="1969627474">
      <w:bodyDiv w:val="1"/>
      <w:marLeft w:val="0"/>
      <w:marRight w:val="0"/>
      <w:marTop w:val="0"/>
      <w:marBottom w:val="0"/>
      <w:divBdr>
        <w:top w:val="none" w:sz="0" w:space="0" w:color="auto"/>
        <w:left w:val="none" w:sz="0" w:space="0" w:color="auto"/>
        <w:bottom w:val="none" w:sz="0" w:space="0" w:color="auto"/>
        <w:right w:val="none" w:sz="0" w:space="0" w:color="auto"/>
      </w:divBdr>
    </w:div>
    <w:div w:id="1972444111">
      <w:bodyDiv w:val="1"/>
      <w:marLeft w:val="0"/>
      <w:marRight w:val="0"/>
      <w:marTop w:val="0"/>
      <w:marBottom w:val="0"/>
      <w:divBdr>
        <w:top w:val="none" w:sz="0" w:space="0" w:color="auto"/>
        <w:left w:val="none" w:sz="0" w:space="0" w:color="auto"/>
        <w:bottom w:val="none" w:sz="0" w:space="0" w:color="auto"/>
        <w:right w:val="none" w:sz="0" w:space="0" w:color="auto"/>
      </w:divBdr>
    </w:div>
    <w:div w:id="1991472980">
      <w:bodyDiv w:val="1"/>
      <w:marLeft w:val="0"/>
      <w:marRight w:val="0"/>
      <w:marTop w:val="0"/>
      <w:marBottom w:val="0"/>
      <w:divBdr>
        <w:top w:val="none" w:sz="0" w:space="0" w:color="auto"/>
        <w:left w:val="none" w:sz="0" w:space="0" w:color="auto"/>
        <w:bottom w:val="none" w:sz="0" w:space="0" w:color="auto"/>
        <w:right w:val="none" w:sz="0" w:space="0" w:color="auto"/>
      </w:divBdr>
    </w:div>
    <w:div w:id="2065105695">
      <w:bodyDiv w:val="1"/>
      <w:marLeft w:val="0"/>
      <w:marRight w:val="0"/>
      <w:marTop w:val="0"/>
      <w:marBottom w:val="0"/>
      <w:divBdr>
        <w:top w:val="none" w:sz="0" w:space="0" w:color="auto"/>
        <w:left w:val="none" w:sz="0" w:space="0" w:color="auto"/>
        <w:bottom w:val="none" w:sz="0" w:space="0" w:color="auto"/>
        <w:right w:val="none" w:sz="0" w:space="0" w:color="auto"/>
      </w:divBdr>
    </w:div>
    <w:div w:id="213490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Users\tulsi\Documents\Documents\TULSI%20FILES%20NOV%202014\FICCI-SPJIMR%20\Data%20Ficci%20repor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tulsi\Documents\Documents\TULSI%20FILES%20NOV%202014\FICCI-SPJIMR%20\Data%20Ficci%20repo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'[Data Ficci report.xlsx]Sheet14'!$B$1</c:f>
              <c:strCache>
                <c:ptCount val="1"/>
                <c:pt idx="0">
                  <c:v>SECTORAL Share in GVA</c:v>
                </c:pt>
              </c:strCache>
            </c:strRef>
          </c:tx>
          <c:dPt>
            <c:idx val="0"/>
            <c:bubble3D val="0"/>
            <c:spPr>
              <a:solidFill>
                <a:schemeClr val="dk1">
                  <a:tint val="88500"/>
                </a:schemeClr>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dk1">
                  <a:tint val="55000"/>
                </a:schemeClr>
              </a:solidFill>
              <a:ln>
                <a:noFill/>
              </a:ln>
              <a:effectLst/>
              <a:scene3d>
                <a:camera prst="orthographicFront"/>
                <a:lightRig rig="brightRoom" dir="t"/>
              </a:scene3d>
              <a:sp3d prstMaterial="flat">
                <a:bevelT w="50800" h="101600" prst="angle"/>
                <a:contourClr>
                  <a:srgbClr val="000000"/>
                </a:contourClr>
              </a:sp3d>
            </c:spPr>
          </c:dPt>
          <c:dPt>
            <c:idx val="2"/>
            <c:bubble3D val="0"/>
            <c:spPr>
              <a:solidFill>
                <a:schemeClr val="dk1">
                  <a:tint val="75000"/>
                </a:schemeClr>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'[Data Ficci report.xlsx]Sheet14'!$A$2:$A$4</c:f>
              <c:strCache>
                <c:ptCount val="3"/>
                <c:pt idx="0">
                  <c:v>Agriculture, Forestry &amp; Fishing</c:v>
                </c:pt>
                <c:pt idx="1">
                  <c:v>Industry</c:v>
                </c:pt>
                <c:pt idx="2">
                  <c:v>Services</c:v>
                </c:pt>
              </c:strCache>
            </c:strRef>
          </c:cat>
          <c:val>
            <c:numRef>
              <c:f>'[Data Ficci report.xlsx]Sheet14'!$B$2:$B$4</c:f>
              <c:numCache>
                <c:formatCode>General</c:formatCode>
                <c:ptCount val="3"/>
                <c:pt idx="0">
                  <c:v>15.4</c:v>
                </c:pt>
                <c:pt idx="1">
                  <c:v>22.7</c:v>
                </c:pt>
                <c:pt idx="2">
                  <c:v>61.9</c:v>
                </c:pt>
              </c:numCache>
            </c:numRef>
          </c:val>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Sheet14!$B$9</c:f>
              <c:strCache>
                <c:ptCount val="1"/>
                <c:pt idx="0">
                  <c:v>EXPENDITURE SIDE GDP</c:v>
                </c:pt>
              </c:strCache>
            </c:strRef>
          </c:tx>
          <c:spPr>
            <a:solidFill>
              <a:schemeClr val="dk1">
                <a:tint val="88500"/>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Sheet14!$A$10:$A$14</c:f>
              <c:strCache>
                <c:ptCount val="5"/>
                <c:pt idx="0">
                  <c:v>Private Final Consumption Expenditure ( C )</c:v>
                </c:pt>
                <c:pt idx="1">
                  <c:v>Government Final Consumption expenditure (G)</c:v>
                </c:pt>
                <c:pt idx="2">
                  <c:v>Investment (I)</c:v>
                </c:pt>
                <c:pt idx="3">
                  <c:v>Exports (X)</c:v>
                </c:pt>
                <c:pt idx="4">
                  <c:v>Imports (M)</c:v>
                </c:pt>
              </c:strCache>
            </c:strRef>
          </c:cat>
          <c:val>
            <c:numRef>
              <c:f>Sheet14!$B$10:$B$14</c:f>
              <c:numCache>
                <c:formatCode>General</c:formatCode>
                <c:ptCount val="5"/>
                <c:pt idx="0">
                  <c:v>55.5</c:v>
                </c:pt>
                <c:pt idx="1">
                  <c:v>9.9</c:v>
                </c:pt>
                <c:pt idx="2">
                  <c:v>34.5</c:v>
                </c:pt>
                <c:pt idx="3">
                  <c:v>20.9</c:v>
                </c:pt>
                <c:pt idx="4">
                  <c:v>22.8</c:v>
                </c:pt>
              </c:numCache>
            </c:numRef>
          </c:val>
        </c:ser>
        <c:dLbls>
          <c:dLblPos val="inEnd"/>
          <c:showLegendKey val="0"/>
          <c:showVal val="1"/>
          <c:showCatName val="0"/>
          <c:showSerName val="0"/>
          <c:showPercent val="0"/>
          <c:showBubbleSize val="0"/>
        </c:dLbls>
        <c:gapWidth val="80"/>
        <c:overlap val="25"/>
        <c:axId val="151964624"/>
        <c:axId val="152129176"/>
      </c:barChart>
      <c:catAx>
        <c:axId val="15196462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cap="none" spc="20" normalizeH="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2129176"/>
        <c:crosses val="autoZero"/>
        <c:auto val="1"/>
        <c:lblAlgn val="ctr"/>
        <c:lblOffset val="100"/>
        <c:noMultiLvlLbl val="0"/>
      </c:catAx>
      <c:valAx>
        <c:axId val="152129176"/>
        <c:scaling>
          <c:orientation val="minMax"/>
        </c:scaling>
        <c:delete val="0"/>
        <c:axPos val="l"/>
        <c:majorGridlines>
          <c:spPr>
            <a:ln w="95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1000" b="0" i="0" u="none" strike="noStrike" kern="1200" cap="all"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a:latin typeface="Arial" panose="020B0604020202020204" pitchFamily="34" charset="0"/>
                    <a:cs typeface="Arial" panose="020B0604020202020204" pitchFamily="34" charset="0"/>
                  </a:rPr>
                  <a:t>Percentage to GDP</a:t>
                </a:r>
              </a:p>
            </c:rich>
          </c:tx>
          <c:layout/>
          <c:overlay val="0"/>
          <c:spPr>
            <a:noFill/>
            <a:ln>
              <a:noFill/>
            </a:ln>
            <a:effectLst/>
          </c:spPr>
          <c:txPr>
            <a:bodyPr rot="-5400000" spcFirstLastPara="1" vertOverflow="ellipsis" vert="horz" wrap="square" anchor="ctr" anchorCtr="1"/>
            <a:lstStyle/>
            <a:p>
              <a:pPr>
                <a:defRPr sz="1000" b="0" i="0" u="none" strike="noStrike" kern="1200" cap="all"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spc="2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196462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16CC6-0BDE-46FD-BDB6-511CDA21B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5557</Words>
  <Characters>31680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37163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Schaeken, Charlotte</cp:lastModifiedBy>
  <cp:revision>4</cp:revision>
  <cp:lastPrinted>2017-08-17T17:28:00Z</cp:lastPrinted>
  <dcterms:created xsi:type="dcterms:W3CDTF">2017-11-28T13:27:00Z</dcterms:created>
  <dcterms:modified xsi:type="dcterms:W3CDTF">2017-11-29T16:36:00Z</dcterms:modified>
</cp:coreProperties>
</file>