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66230" w14:textId="6F5D9BA6" w:rsidR="008467D5" w:rsidRPr="005B7F92" w:rsidRDefault="002E5CD8" w:rsidP="00376B41">
      <w:pPr>
        <w:tabs>
          <w:tab w:val="left" w:pos="-1440"/>
          <w:tab w:val="left" w:pos="-720"/>
          <w:tab w:val="left" w:pos="1"/>
          <w:tab w:val="right" w:pos="9360"/>
        </w:tabs>
        <w:jc w:val="both"/>
        <w:rPr>
          <w:rFonts w:ascii="Arial" w:hAnsi="Arial"/>
          <w:sz w:val="24"/>
          <w:lang w:val="en-GB" w:eastAsia="zh-CN"/>
        </w:rPr>
      </w:pPr>
      <w:r w:rsidRPr="002E5CD8">
        <w:rPr>
          <w:rFonts w:ascii="Arial" w:hAnsi="Arial"/>
          <w:b/>
          <w:noProof/>
          <w:sz w:val="24"/>
        </w:rPr>
        <w:drawing>
          <wp:inline distT="0" distB="0" distL="0" distR="0" wp14:anchorId="75292E88" wp14:editId="47EB01B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8FAE7AA" w14:textId="77777777" w:rsidR="00856D9F" w:rsidRPr="002E5CD8" w:rsidRDefault="00856D9F" w:rsidP="008467D5">
      <w:pPr>
        <w:pBdr>
          <w:bottom w:val="single" w:sz="18" w:space="1" w:color="auto"/>
        </w:pBdr>
        <w:tabs>
          <w:tab w:val="left" w:pos="-1440"/>
          <w:tab w:val="left" w:pos="-720"/>
          <w:tab w:val="left" w:pos="1"/>
        </w:tabs>
        <w:jc w:val="both"/>
        <w:rPr>
          <w:rFonts w:ascii="Arial" w:hAnsi="Arial"/>
          <w:b/>
          <w:sz w:val="2"/>
          <w:szCs w:val="2"/>
          <w:lang w:val="en-GB"/>
        </w:rPr>
      </w:pPr>
    </w:p>
    <w:p w14:paraId="4C966376" w14:textId="4A31F376" w:rsidR="00D75295" w:rsidRPr="005B7F92" w:rsidRDefault="00D77067" w:rsidP="00444D97">
      <w:pPr>
        <w:pStyle w:val="ProductNumber"/>
        <w:outlineLvl w:val="0"/>
        <w:rPr>
          <w:lang w:val="en-GB"/>
        </w:rPr>
      </w:pPr>
      <w:r>
        <w:rPr>
          <w:lang w:val="en-GB"/>
        </w:rPr>
        <w:t>9B17M182</w:t>
      </w:r>
    </w:p>
    <w:p w14:paraId="407285B3" w14:textId="67282A4A" w:rsidR="00D75295" w:rsidRPr="005B7F92" w:rsidRDefault="00D75295" w:rsidP="009D6F38">
      <w:pPr>
        <w:rPr>
          <w:rFonts w:ascii="Arial" w:hAnsi="Arial"/>
          <w:b/>
          <w:sz w:val="28"/>
          <w:szCs w:val="28"/>
          <w:lang w:val="en-GB"/>
        </w:rPr>
      </w:pPr>
    </w:p>
    <w:p w14:paraId="04800A15" w14:textId="77777777" w:rsidR="00866F6D" w:rsidRPr="005B7F92" w:rsidRDefault="00866F6D" w:rsidP="009D6F38">
      <w:pPr>
        <w:rPr>
          <w:rFonts w:ascii="Arial" w:hAnsi="Arial"/>
          <w:b/>
          <w:sz w:val="28"/>
          <w:szCs w:val="28"/>
          <w:lang w:val="en-GB"/>
        </w:rPr>
      </w:pPr>
    </w:p>
    <w:p w14:paraId="7F200415" w14:textId="0288B7EF" w:rsidR="0048032D" w:rsidRPr="007376A3" w:rsidRDefault="009A18C7" w:rsidP="007376A3">
      <w:pPr>
        <w:pStyle w:val="CaseTitle"/>
        <w:outlineLvl w:val="0"/>
        <w:rPr>
          <w:lang w:val="en-GB"/>
        </w:rPr>
      </w:pPr>
      <w:r w:rsidRPr="005B7F92">
        <w:rPr>
          <w:lang w:val="en-GB" w:eastAsia="zh-CN"/>
        </w:rPr>
        <w:t>BAYER</w:t>
      </w:r>
      <w:r w:rsidR="0046130E" w:rsidRPr="005B7F92">
        <w:rPr>
          <w:lang w:val="en-GB" w:eastAsia="zh-CN"/>
        </w:rPr>
        <w:t>–</w:t>
      </w:r>
      <w:r w:rsidR="005A3634" w:rsidRPr="005B7F92">
        <w:rPr>
          <w:lang w:val="en-GB" w:eastAsia="zh-CN"/>
        </w:rPr>
        <w:t>MONSANTO</w:t>
      </w:r>
      <w:r w:rsidR="00EC7B40" w:rsidRPr="005B7F92">
        <w:rPr>
          <w:lang w:val="en-GB" w:eastAsia="zh-CN"/>
        </w:rPr>
        <w:t xml:space="preserve">: </w:t>
      </w:r>
      <w:r w:rsidR="00F326AC" w:rsidRPr="005B7F92">
        <w:rPr>
          <w:lang w:val="en-GB" w:eastAsia="zh-CN"/>
        </w:rPr>
        <w:t xml:space="preserve">THE CHALLENGES OF </w:t>
      </w:r>
      <w:r w:rsidR="005A3634" w:rsidRPr="005B7F92">
        <w:rPr>
          <w:lang w:val="en-GB" w:eastAsia="zh-CN"/>
        </w:rPr>
        <w:t xml:space="preserve">a </w:t>
      </w:r>
      <w:r w:rsidR="00D73113" w:rsidRPr="005B7F92">
        <w:rPr>
          <w:lang w:val="en-GB" w:eastAsia="zh-CN"/>
        </w:rPr>
        <w:t xml:space="preserve">MEGA </w:t>
      </w:r>
      <w:r w:rsidR="005A3634" w:rsidRPr="005B7F92">
        <w:rPr>
          <w:lang w:val="en-GB" w:eastAsia="zh-CN"/>
        </w:rPr>
        <w:t>merger</w:t>
      </w:r>
      <w:r w:rsidR="0048032D" w:rsidRPr="005B7F92">
        <w:rPr>
          <w:rStyle w:val="EndnoteReference"/>
          <w:lang w:val="en-GB"/>
        </w:rPr>
        <w:endnoteReference w:id="1"/>
      </w:r>
    </w:p>
    <w:p w14:paraId="0A499D48" w14:textId="401D9183" w:rsidR="0048032D" w:rsidRPr="005B7F92" w:rsidRDefault="0048032D" w:rsidP="00104567">
      <w:pPr>
        <w:pStyle w:val="StyleCopyrightStatementAfter0ptBottomSinglesolidline1"/>
        <w:rPr>
          <w:lang w:val="en-GB" w:eastAsia="zh-CN"/>
        </w:rPr>
      </w:pPr>
      <w:r w:rsidRPr="005B7F92">
        <w:rPr>
          <w:lang w:val="en-GB" w:eastAsia="zh-CN"/>
        </w:rPr>
        <w:t xml:space="preserve">Wiboon Kittilaksanawong and Gabrielle </w:t>
      </w:r>
      <w:proofErr w:type="spellStart"/>
      <w:r w:rsidRPr="005B7F92">
        <w:rPr>
          <w:lang w:val="en-GB" w:eastAsia="zh-CN"/>
        </w:rPr>
        <w:t>Gaté</w:t>
      </w:r>
      <w:proofErr w:type="spellEnd"/>
      <w:r w:rsidRPr="005B7F92">
        <w:rPr>
          <w:lang w:val="en-GB" w:eastAsia="zh-CN"/>
        </w:rPr>
        <w:t xml:space="preserve">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5238C2D" w14:textId="77777777" w:rsidR="0048032D" w:rsidRPr="005B7F92" w:rsidRDefault="0048032D" w:rsidP="00104567">
      <w:pPr>
        <w:pStyle w:val="StyleCopyrightStatementAfter0ptBottomSinglesolidline1"/>
        <w:rPr>
          <w:lang w:val="en-GB" w:eastAsia="zh-CN"/>
        </w:rPr>
      </w:pPr>
    </w:p>
    <w:p w14:paraId="01C7CE77" w14:textId="12918544" w:rsidR="002E5CD8" w:rsidRPr="0047017F" w:rsidRDefault="002E5CD8" w:rsidP="00680A14">
      <w:pPr>
        <w:pStyle w:val="StyleStyleCopyrightStatementAfter0ptBottomSinglesolid"/>
      </w:pPr>
      <w:r w:rsidRPr="0047017F">
        <w:t>This publication may not be transmitted, photocopied, digitized</w:t>
      </w:r>
      <w:r w:rsidR="00680A14">
        <w:t>,</w:t>
      </w:r>
      <w:r w:rsidRPr="0047017F">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69485F4E" w14:textId="77777777" w:rsidR="002E5CD8" w:rsidRPr="0047017F" w:rsidRDefault="002E5CD8" w:rsidP="00680A14">
      <w:pPr>
        <w:pStyle w:val="StyleStyleCopyrightStatementAfter0ptBottomSinglesolid"/>
      </w:pPr>
    </w:p>
    <w:p w14:paraId="6B2A6970" w14:textId="3CB9F560" w:rsidR="0048032D" w:rsidRPr="005B7F92" w:rsidRDefault="002E5CD8" w:rsidP="002E5CD8">
      <w:pPr>
        <w:pStyle w:val="StyleStyleCopyrightStatementAfter0ptBottomSinglesolid"/>
        <w:rPr>
          <w:lang w:val="en-GB"/>
        </w:rPr>
      </w:pPr>
      <w:r w:rsidRPr="0047017F">
        <w:t xml:space="preserve">Copyright © 2017, </w:t>
      </w:r>
      <w:r w:rsidRPr="0047017F">
        <w:rPr>
          <w:lang w:val="en-CA"/>
        </w:rPr>
        <w:t>Richard Ivey School of Business Foundation</w:t>
      </w:r>
      <w:r w:rsidR="0048032D" w:rsidRPr="005B7F92">
        <w:rPr>
          <w:lang w:val="en-GB"/>
        </w:rPr>
        <w:tab/>
        <w:t>Version: 20</w:t>
      </w:r>
      <w:r w:rsidR="00E7297C">
        <w:rPr>
          <w:lang w:val="en-GB"/>
        </w:rPr>
        <w:t>21</w:t>
      </w:r>
      <w:r w:rsidR="0048032D" w:rsidRPr="005B7F92">
        <w:rPr>
          <w:lang w:val="en-GB"/>
        </w:rPr>
        <w:t>-</w:t>
      </w:r>
      <w:r w:rsidR="00D77067">
        <w:rPr>
          <w:lang w:val="en-GB" w:eastAsia="zh-CN"/>
        </w:rPr>
        <w:t>1</w:t>
      </w:r>
      <w:r w:rsidR="00E7297C">
        <w:rPr>
          <w:lang w:val="en-GB" w:eastAsia="zh-CN"/>
        </w:rPr>
        <w:t>1</w:t>
      </w:r>
      <w:r w:rsidR="0048032D" w:rsidRPr="005B7F92">
        <w:rPr>
          <w:lang w:val="en-GB"/>
        </w:rPr>
        <w:t>-</w:t>
      </w:r>
      <w:r w:rsidR="006D26F2">
        <w:rPr>
          <w:lang w:val="en-GB" w:eastAsia="zh-CN"/>
        </w:rPr>
        <w:t>1</w:t>
      </w:r>
      <w:r w:rsidR="00E7297C">
        <w:rPr>
          <w:lang w:val="en-GB" w:eastAsia="zh-CN"/>
        </w:rPr>
        <w:t>6</w:t>
      </w:r>
    </w:p>
    <w:p w14:paraId="551BDE4E" w14:textId="77777777" w:rsidR="0048032D" w:rsidRPr="005B7F92" w:rsidRDefault="0048032D" w:rsidP="00104567">
      <w:pPr>
        <w:pStyle w:val="StyleCopyrightStatementAfter0ptBottomSinglesolidline1"/>
        <w:rPr>
          <w:rFonts w:ascii="Times New Roman" w:hAnsi="Times New Roman"/>
          <w:sz w:val="20"/>
          <w:lang w:val="en-GB"/>
        </w:rPr>
      </w:pPr>
    </w:p>
    <w:p w14:paraId="4050DDF4" w14:textId="77777777" w:rsidR="0048032D" w:rsidRPr="005B7F92" w:rsidRDefault="0048032D" w:rsidP="00974479">
      <w:pPr>
        <w:rPr>
          <w:rFonts w:eastAsia="ヒラギノ明朝 Pro W3"/>
          <w:sz w:val="22"/>
          <w:szCs w:val="22"/>
          <w:lang w:val="en-GB" w:eastAsia="ja-JP"/>
        </w:rPr>
      </w:pPr>
    </w:p>
    <w:p w14:paraId="5AB7917B" w14:textId="4AB26EE0" w:rsidR="0048032D" w:rsidRPr="005B7F92" w:rsidRDefault="0048032D" w:rsidP="005F6A0F">
      <w:pPr>
        <w:jc w:val="right"/>
        <w:rPr>
          <w:rFonts w:eastAsia="ヒラギノ明朝 Pro W3"/>
          <w:sz w:val="22"/>
          <w:szCs w:val="22"/>
          <w:lang w:val="en-GB" w:eastAsia="ja-JP"/>
        </w:rPr>
      </w:pPr>
      <w:r w:rsidRPr="005B7F92">
        <w:rPr>
          <w:rFonts w:eastAsia="ヒラギノ明朝 Pro W3"/>
          <w:sz w:val="22"/>
          <w:szCs w:val="22"/>
          <w:lang w:val="en-GB" w:eastAsia="ja-JP"/>
        </w:rPr>
        <w:t>The agriculture industry is at the heart of one of the greatest challenges of our time: how to feed an additional 3 billion people in the world by 2050 in an environmentally</w:t>
      </w:r>
      <w:r w:rsidRPr="005B7F92">
        <w:rPr>
          <w:rFonts w:eastAsia="ヒラギノ明朝 Pro W3"/>
          <w:sz w:val="22"/>
          <w:szCs w:val="22"/>
          <w:lang w:val="en-GB" w:eastAsia="zh-CN"/>
        </w:rPr>
        <w:t xml:space="preserve"> </w:t>
      </w:r>
      <w:r w:rsidRPr="005B7F92">
        <w:rPr>
          <w:rFonts w:eastAsia="ヒラギノ明朝 Pro W3"/>
          <w:sz w:val="22"/>
          <w:szCs w:val="22"/>
          <w:lang w:val="en-GB" w:eastAsia="ja-JP"/>
        </w:rPr>
        <w:t>sustainable way.</w:t>
      </w:r>
      <w:r w:rsidRPr="005B7F92">
        <w:rPr>
          <w:rStyle w:val="EndnoteReference"/>
          <w:rFonts w:eastAsia="ヒラギノ明朝 Pro W3"/>
          <w:sz w:val="22"/>
          <w:szCs w:val="22"/>
          <w:lang w:val="en-GB" w:eastAsia="ja-JP"/>
        </w:rPr>
        <w:endnoteReference w:id="2"/>
      </w:r>
    </w:p>
    <w:p w14:paraId="7F3F0219" w14:textId="7FE8EC30" w:rsidR="0048032D" w:rsidRPr="006D26F2" w:rsidRDefault="0048032D" w:rsidP="005F58F0">
      <w:pPr>
        <w:jc w:val="right"/>
        <w:rPr>
          <w:rFonts w:eastAsia="ヒラギノ明朝 Pro W3"/>
          <w:sz w:val="18"/>
          <w:szCs w:val="18"/>
          <w:lang w:val="en-GB" w:eastAsia="ja-JP"/>
        </w:rPr>
      </w:pPr>
      <w:r w:rsidRPr="006D26F2">
        <w:rPr>
          <w:rFonts w:eastAsia="ヒラギノ明朝 Pro W3"/>
          <w:sz w:val="18"/>
          <w:szCs w:val="18"/>
          <w:lang w:val="en-GB" w:eastAsia="ja-JP"/>
        </w:rPr>
        <w:t xml:space="preserve">Liam Condon, </w:t>
      </w:r>
      <w:r w:rsidR="0046130E" w:rsidRPr="006D26F2">
        <w:rPr>
          <w:rFonts w:eastAsia="ヒラギノ明朝 Pro W3"/>
          <w:sz w:val="18"/>
          <w:szCs w:val="18"/>
          <w:lang w:val="en-GB" w:eastAsia="ja-JP"/>
        </w:rPr>
        <w:t>m</w:t>
      </w:r>
      <w:r w:rsidRPr="006D26F2">
        <w:rPr>
          <w:rFonts w:eastAsia="ヒラギノ明朝 Pro W3"/>
          <w:sz w:val="18"/>
          <w:szCs w:val="18"/>
          <w:lang w:val="en-GB" w:eastAsia="ja-JP"/>
        </w:rPr>
        <w:t xml:space="preserve">ember of the </w:t>
      </w:r>
      <w:r w:rsidR="0046130E" w:rsidRPr="006D26F2">
        <w:rPr>
          <w:rFonts w:eastAsia="ヒラギノ明朝 Pro W3"/>
          <w:sz w:val="18"/>
          <w:szCs w:val="18"/>
          <w:lang w:val="en-GB" w:eastAsia="ja-JP"/>
        </w:rPr>
        <w:t>b</w:t>
      </w:r>
      <w:r w:rsidRPr="006D26F2">
        <w:rPr>
          <w:rFonts w:eastAsia="ヒラギノ明朝 Pro W3"/>
          <w:sz w:val="18"/>
          <w:szCs w:val="18"/>
          <w:lang w:val="en-GB" w:eastAsia="ja-JP"/>
        </w:rPr>
        <w:t xml:space="preserve">oard of </w:t>
      </w:r>
      <w:r w:rsidR="0046130E" w:rsidRPr="006D26F2">
        <w:rPr>
          <w:rFonts w:eastAsia="ヒラギノ明朝 Pro W3"/>
          <w:sz w:val="18"/>
          <w:szCs w:val="18"/>
          <w:lang w:val="en-GB" w:eastAsia="ja-JP"/>
        </w:rPr>
        <w:t>m</w:t>
      </w:r>
      <w:r w:rsidRPr="006D26F2">
        <w:rPr>
          <w:rFonts w:eastAsia="ヒラギノ明朝 Pro W3"/>
          <w:sz w:val="18"/>
          <w:szCs w:val="18"/>
          <w:lang w:val="en-GB" w:eastAsia="ja-JP"/>
        </w:rPr>
        <w:t xml:space="preserve">anagement and </w:t>
      </w:r>
      <w:r w:rsidR="0046130E" w:rsidRPr="006D26F2">
        <w:rPr>
          <w:rFonts w:eastAsia="ヒラギノ明朝 Pro W3"/>
          <w:sz w:val="18"/>
          <w:szCs w:val="18"/>
          <w:lang w:val="en-GB" w:eastAsia="ja-JP"/>
        </w:rPr>
        <w:t>h</w:t>
      </w:r>
      <w:r w:rsidRPr="006D26F2">
        <w:rPr>
          <w:rFonts w:eastAsia="ヒラギノ明朝 Pro W3"/>
          <w:sz w:val="18"/>
          <w:szCs w:val="18"/>
          <w:lang w:val="en-GB" w:eastAsia="ja-JP"/>
        </w:rPr>
        <w:t>ead of the Crop Science Division</w:t>
      </w:r>
      <w:r w:rsidR="0046130E" w:rsidRPr="006D26F2">
        <w:rPr>
          <w:rFonts w:eastAsia="ヒラギノ明朝 Pro W3"/>
          <w:sz w:val="18"/>
          <w:szCs w:val="18"/>
          <w:lang w:val="en-GB" w:eastAsia="ja-JP"/>
        </w:rPr>
        <w:t xml:space="preserve"> at Bayer AG</w:t>
      </w:r>
    </w:p>
    <w:p w14:paraId="2F4084F9" w14:textId="77777777" w:rsidR="0048032D" w:rsidRPr="005B7F92" w:rsidRDefault="0048032D" w:rsidP="00E45032">
      <w:pPr>
        <w:jc w:val="both"/>
        <w:rPr>
          <w:rFonts w:eastAsia="ヒラギノ明朝 Pro W3"/>
          <w:sz w:val="22"/>
          <w:szCs w:val="22"/>
          <w:lang w:val="en-GB" w:eastAsia="ja-JP"/>
        </w:rPr>
      </w:pPr>
    </w:p>
    <w:p w14:paraId="1DC954AB" w14:textId="25B9ED1E" w:rsidR="0048032D" w:rsidRPr="005B7F92" w:rsidRDefault="0048032D" w:rsidP="00E45032">
      <w:pPr>
        <w:jc w:val="right"/>
        <w:rPr>
          <w:rFonts w:eastAsia="ヒラギノ明朝 Pro W3"/>
          <w:sz w:val="22"/>
          <w:szCs w:val="22"/>
          <w:lang w:val="en-GB" w:eastAsia="ja-JP"/>
        </w:rPr>
      </w:pPr>
      <w:r w:rsidRPr="005B7F92">
        <w:rPr>
          <w:rFonts w:eastAsia="ヒラギノ明朝 Pro W3"/>
          <w:sz w:val="22"/>
          <w:szCs w:val="22"/>
          <w:lang w:val="en-GB" w:eastAsia="ja-JP"/>
        </w:rPr>
        <w:t>Genetic engineering has never been about saving the world</w:t>
      </w:r>
      <w:r w:rsidR="0046130E" w:rsidRPr="005B7F92">
        <w:rPr>
          <w:rFonts w:eastAsia="ヒラギノ明朝 Pro W3"/>
          <w:sz w:val="22"/>
          <w:szCs w:val="22"/>
          <w:lang w:val="en-GB" w:eastAsia="ja-JP"/>
        </w:rPr>
        <w:t>;</w:t>
      </w:r>
      <w:r w:rsidRPr="005B7F92">
        <w:rPr>
          <w:rFonts w:eastAsia="ヒラギノ明朝 Pro W3"/>
          <w:sz w:val="22"/>
          <w:szCs w:val="22"/>
          <w:lang w:val="en-GB" w:eastAsia="ja-JP"/>
        </w:rPr>
        <w:t xml:space="preserve"> it’s about controlling the world.</w:t>
      </w:r>
      <w:r w:rsidRPr="005B7F92">
        <w:rPr>
          <w:rStyle w:val="EndnoteReference"/>
          <w:rFonts w:eastAsia="ヒラギノ明朝 Pro W3"/>
          <w:sz w:val="22"/>
          <w:szCs w:val="22"/>
          <w:lang w:val="en-GB" w:eastAsia="ja-JP"/>
        </w:rPr>
        <w:endnoteReference w:id="3"/>
      </w:r>
    </w:p>
    <w:p w14:paraId="5B7E6E7C" w14:textId="5B1B6D44" w:rsidR="0048032D" w:rsidRPr="006D26F2" w:rsidRDefault="0048032D" w:rsidP="00E45032">
      <w:pPr>
        <w:jc w:val="right"/>
        <w:rPr>
          <w:rFonts w:eastAsia="ヒラギノ明朝 Pro W3"/>
          <w:sz w:val="18"/>
          <w:szCs w:val="18"/>
          <w:lang w:val="en-GB" w:eastAsia="ja-JP"/>
        </w:rPr>
      </w:pPr>
      <w:r w:rsidRPr="006D26F2">
        <w:rPr>
          <w:rFonts w:eastAsia="ヒラギノ明朝 Pro W3"/>
          <w:sz w:val="18"/>
          <w:szCs w:val="18"/>
          <w:lang w:val="en-GB" w:eastAsia="ja-JP"/>
        </w:rPr>
        <w:t xml:space="preserve">Vandana Shiva, Indian </w:t>
      </w:r>
      <w:r w:rsidR="0046130E" w:rsidRPr="006D26F2">
        <w:rPr>
          <w:rFonts w:eastAsia="ヒラギノ明朝 Pro W3"/>
          <w:sz w:val="18"/>
          <w:szCs w:val="18"/>
          <w:lang w:val="en-GB" w:eastAsia="ja-JP"/>
        </w:rPr>
        <w:t>s</w:t>
      </w:r>
      <w:r w:rsidRPr="006D26F2">
        <w:rPr>
          <w:rFonts w:eastAsia="ヒラギノ明朝 Pro W3"/>
          <w:sz w:val="18"/>
          <w:szCs w:val="18"/>
          <w:lang w:val="en-GB" w:eastAsia="ja-JP"/>
        </w:rPr>
        <w:t xml:space="preserve">cholar, </w:t>
      </w:r>
      <w:r w:rsidR="0046130E" w:rsidRPr="006D26F2">
        <w:rPr>
          <w:rFonts w:eastAsia="ヒラギノ明朝 Pro W3"/>
          <w:sz w:val="18"/>
          <w:szCs w:val="18"/>
          <w:lang w:val="en-GB" w:eastAsia="ja-JP"/>
        </w:rPr>
        <w:t>e</w:t>
      </w:r>
      <w:r w:rsidRPr="006D26F2">
        <w:rPr>
          <w:rFonts w:eastAsia="ヒラギノ明朝 Pro W3"/>
          <w:sz w:val="18"/>
          <w:szCs w:val="18"/>
          <w:lang w:val="en-GB" w:eastAsia="ja-JP"/>
        </w:rPr>
        <w:t xml:space="preserve">nvironmental </w:t>
      </w:r>
      <w:r w:rsidR="0046130E" w:rsidRPr="006D26F2">
        <w:rPr>
          <w:rFonts w:eastAsia="ヒラギノ明朝 Pro W3"/>
          <w:sz w:val="18"/>
          <w:szCs w:val="18"/>
          <w:lang w:val="en-GB" w:eastAsia="ja-JP"/>
        </w:rPr>
        <w:t>a</w:t>
      </w:r>
      <w:r w:rsidRPr="006D26F2">
        <w:rPr>
          <w:rFonts w:eastAsia="ヒラギノ明朝 Pro W3"/>
          <w:sz w:val="18"/>
          <w:szCs w:val="18"/>
          <w:lang w:val="en-GB" w:eastAsia="ja-JP"/>
        </w:rPr>
        <w:t>ctivist</w:t>
      </w:r>
      <w:r w:rsidR="0046130E" w:rsidRPr="006D26F2">
        <w:rPr>
          <w:rFonts w:eastAsia="ヒラギノ明朝 Pro W3"/>
          <w:sz w:val="18"/>
          <w:szCs w:val="18"/>
          <w:lang w:val="en-GB" w:eastAsia="ja-JP"/>
        </w:rPr>
        <w:t>,</w:t>
      </w:r>
      <w:r w:rsidRPr="006D26F2">
        <w:rPr>
          <w:rFonts w:eastAsia="ヒラギノ明朝 Pro W3"/>
          <w:sz w:val="18"/>
          <w:szCs w:val="18"/>
          <w:lang w:val="en-GB" w:eastAsia="ja-JP"/>
        </w:rPr>
        <w:t xml:space="preserve"> and </w:t>
      </w:r>
      <w:r w:rsidR="0046130E" w:rsidRPr="006D26F2">
        <w:rPr>
          <w:rFonts w:eastAsia="ヒラギノ明朝 Pro W3"/>
          <w:sz w:val="18"/>
          <w:szCs w:val="18"/>
          <w:lang w:val="en-GB" w:eastAsia="ja-JP"/>
        </w:rPr>
        <w:t>a</w:t>
      </w:r>
      <w:r w:rsidRPr="006D26F2">
        <w:rPr>
          <w:rFonts w:eastAsia="ヒラギノ明朝 Pro W3"/>
          <w:sz w:val="18"/>
          <w:szCs w:val="18"/>
          <w:lang w:val="en-GB" w:eastAsia="ja-JP"/>
        </w:rPr>
        <w:t>nti-</w:t>
      </w:r>
      <w:r w:rsidR="0046130E" w:rsidRPr="006D26F2">
        <w:rPr>
          <w:rFonts w:eastAsia="ヒラギノ明朝 Pro W3"/>
          <w:sz w:val="18"/>
          <w:szCs w:val="18"/>
          <w:lang w:val="en-GB" w:eastAsia="ja-JP"/>
        </w:rPr>
        <w:t>g</w:t>
      </w:r>
      <w:r w:rsidRPr="006D26F2">
        <w:rPr>
          <w:rFonts w:eastAsia="ヒラギノ明朝 Pro W3"/>
          <w:sz w:val="18"/>
          <w:szCs w:val="18"/>
          <w:lang w:val="en-GB" w:eastAsia="ja-JP"/>
        </w:rPr>
        <w:t xml:space="preserve">lobalization </w:t>
      </w:r>
      <w:r w:rsidR="0046130E" w:rsidRPr="006D26F2">
        <w:rPr>
          <w:rFonts w:eastAsia="ヒラギノ明朝 Pro W3"/>
          <w:sz w:val="18"/>
          <w:szCs w:val="18"/>
          <w:lang w:val="en-GB" w:eastAsia="ja-JP"/>
        </w:rPr>
        <w:t>a</w:t>
      </w:r>
      <w:r w:rsidRPr="006D26F2">
        <w:rPr>
          <w:rFonts w:eastAsia="ヒラギノ明朝 Pro W3"/>
          <w:sz w:val="18"/>
          <w:szCs w:val="18"/>
          <w:lang w:val="en-GB" w:eastAsia="ja-JP"/>
        </w:rPr>
        <w:t>uthor</w:t>
      </w:r>
    </w:p>
    <w:p w14:paraId="1C616D0E" w14:textId="77777777" w:rsidR="0048032D" w:rsidRPr="005B7F92" w:rsidRDefault="0048032D" w:rsidP="00E45032">
      <w:pPr>
        <w:jc w:val="both"/>
        <w:rPr>
          <w:rFonts w:eastAsia="ヒラギノ明朝 Pro W3"/>
          <w:sz w:val="22"/>
          <w:szCs w:val="22"/>
          <w:lang w:val="en-GB" w:eastAsia="ja-JP"/>
        </w:rPr>
      </w:pPr>
    </w:p>
    <w:p w14:paraId="160EE899" w14:textId="42DDA75B" w:rsidR="0048032D" w:rsidRPr="005B7F92" w:rsidRDefault="0048032D" w:rsidP="007B7E10">
      <w:pPr>
        <w:jc w:val="both"/>
        <w:rPr>
          <w:rFonts w:eastAsia="ヒラギノ明朝 Pro W3"/>
          <w:sz w:val="22"/>
          <w:szCs w:val="22"/>
          <w:lang w:val="en-GB" w:eastAsia="ja-JP"/>
        </w:rPr>
      </w:pPr>
      <w:r w:rsidRPr="005B7F92">
        <w:rPr>
          <w:rFonts w:eastAsia="ヒラギノ明朝 Pro W3"/>
          <w:sz w:val="22"/>
          <w:szCs w:val="22"/>
          <w:lang w:val="en-GB" w:eastAsia="ja-JP"/>
        </w:rPr>
        <w:t xml:space="preserve">In September 2016, Werner Baumann, </w:t>
      </w:r>
      <w:r w:rsidR="0046130E" w:rsidRPr="005B7F92">
        <w:rPr>
          <w:rFonts w:eastAsia="ヒラギノ明朝 Pro W3"/>
          <w:sz w:val="22"/>
          <w:szCs w:val="22"/>
          <w:lang w:val="en-GB" w:eastAsia="ja-JP"/>
        </w:rPr>
        <w:t>c</w:t>
      </w:r>
      <w:r w:rsidRPr="005B7F92">
        <w:rPr>
          <w:rFonts w:eastAsia="ヒラギノ明朝 Pro W3"/>
          <w:sz w:val="22"/>
          <w:szCs w:val="22"/>
          <w:lang w:val="en-GB" w:eastAsia="ja-JP"/>
        </w:rPr>
        <w:t xml:space="preserve">hief </w:t>
      </w:r>
      <w:r w:rsidR="0046130E" w:rsidRPr="005B7F92">
        <w:rPr>
          <w:rFonts w:eastAsia="ヒラギノ明朝 Pro W3"/>
          <w:sz w:val="22"/>
          <w:szCs w:val="22"/>
          <w:lang w:val="en-GB" w:eastAsia="ja-JP"/>
        </w:rPr>
        <w:t>e</w:t>
      </w:r>
      <w:r w:rsidRPr="005B7F92">
        <w:rPr>
          <w:rFonts w:eastAsia="ヒラギノ明朝 Pro W3"/>
          <w:sz w:val="22"/>
          <w:szCs w:val="22"/>
          <w:lang w:val="en-GB" w:eastAsia="ja-JP"/>
        </w:rPr>
        <w:t xml:space="preserve">xecutive </w:t>
      </w:r>
      <w:r w:rsidR="0046130E" w:rsidRPr="005B7F92">
        <w:rPr>
          <w:rFonts w:eastAsia="ヒラギノ明朝 Pro W3"/>
          <w:sz w:val="22"/>
          <w:szCs w:val="22"/>
          <w:lang w:val="en-GB" w:eastAsia="ja-JP"/>
        </w:rPr>
        <w:t>o</w:t>
      </w:r>
      <w:r w:rsidRPr="005B7F92">
        <w:rPr>
          <w:rFonts w:eastAsia="ヒラギノ明朝 Pro W3"/>
          <w:sz w:val="22"/>
          <w:szCs w:val="22"/>
          <w:lang w:val="en-GB" w:eastAsia="ja-JP"/>
        </w:rPr>
        <w:t>fficer (CEO) of German multinational Bayer AG (Bayer)</w:t>
      </w:r>
      <w:r w:rsidR="0046130E" w:rsidRPr="005B7F92">
        <w:rPr>
          <w:rFonts w:eastAsia="ヒラギノ明朝 Pro W3"/>
          <w:sz w:val="22"/>
          <w:szCs w:val="22"/>
          <w:lang w:val="en-GB" w:eastAsia="ja-JP"/>
        </w:rPr>
        <w:t>,</w:t>
      </w:r>
      <w:r w:rsidRPr="005B7F92">
        <w:rPr>
          <w:rFonts w:eastAsia="ヒラギノ明朝 Pro W3"/>
          <w:sz w:val="22"/>
          <w:szCs w:val="22"/>
          <w:lang w:val="en-GB" w:eastAsia="ja-JP"/>
        </w:rPr>
        <w:t xml:space="preserve"> and Hugh Grant, </w:t>
      </w:r>
      <w:r w:rsidR="0046130E" w:rsidRPr="005B7F92">
        <w:rPr>
          <w:rFonts w:eastAsia="ヒラギノ明朝 Pro W3"/>
          <w:sz w:val="22"/>
          <w:szCs w:val="22"/>
          <w:lang w:val="en-GB" w:eastAsia="ja-JP"/>
        </w:rPr>
        <w:t>c</w:t>
      </w:r>
      <w:r w:rsidRPr="005B7F92">
        <w:rPr>
          <w:rFonts w:eastAsia="ヒラギノ明朝 Pro W3"/>
          <w:sz w:val="22"/>
          <w:szCs w:val="22"/>
          <w:lang w:val="en-GB" w:eastAsia="ja-JP"/>
        </w:rPr>
        <w:t>hairman and CEO of U</w:t>
      </w:r>
      <w:r w:rsidR="0046130E" w:rsidRPr="005B7F92">
        <w:rPr>
          <w:rFonts w:eastAsia="ヒラギノ明朝 Pro W3"/>
          <w:sz w:val="22"/>
          <w:szCs w:val="22"/>
          <w:lang w:val="en-GB" w:eastAsia="ja-JP"/>
        </w:rPr>
        <w:t>.</w:t>
      </w:r>
      <w:r w:rsidRPr="005B7F92">
        <w:rPr>
          <w:rFonts w:eastAsia="ヒラギノ明朝 Pro W3"/>
          <w:sz w:val="22"/>
          <w:szCs w:val="22"/>
          <w:lang w:val="en-GB" w:eastAsia="ja-JP"/>
        </w:rPr>
        <w:t>S</w:t>
      </w:r>
      <w:r w:rsidR="0046130E" w:rsidRPr="005B7F92">
        <w:rPr>
          <w:rFonts w:eastAsia="ヒラギノ明朝 Pro W3"/>
          <w:sz w:val="22"/>
          <w:szCs w:val="22"/>
          <w:lang w:val="en-GB" w:eastAsia="ja-JP"/>
        </w:rPr>
        <w:t>.</w:t>
      </w:r>
      <w:r w:rsidRPr="005B7F92">
        <w:rPr>
          <w:rFonts w:eastAsia="ヒラギノ明朝 Pro W3"/>
          <w:sz w:val="22"/>
          <w:szCs w:val="22"/>
          <w:lang w:val="en-GB" w:eastAsia="ja-JP"/>
        </w:rPr>
        <w:t>-based Monsanto Company (Monsanto)</w:t>
      </w:r>
      <w:r w:rsidR="0046130E" w:rsidRPr="005B7F92">
        <w:rPr>
          <w:rFonts w:eastAsia="ヒラギノ明朝 Pro W3"/>
          <w:sz w:val="22"/>
          <w:szCs w:val="22"/>
          <w:lang w:val="en-GB" w:eastAsia="ja-JP"/>
        </w:rPr>
        <w:t>,</w:t>
      </w:r>
      <w:r w:rsidRPr="005B7F92">
        <w:rPr>
          <w:rFonts w:eastAsia="ヒラギノ明朝 Pro W3"/>
          <w:sz w:val="22"/>
          <w:szCs w:val="22"/>
          <w:lang w:val="en-GB" w:eastAsia="ja-JP"/>
        </w:rPr>
        <w:t xml:space="preserve"> signed </w:t>
      </w:r>
      <w:r w:rsidR="0046130E" w:rsidRPr="005B7F92">
        <w:rPr>
          <w:rFonts w:eastAsia="ヒラギノ明朝 Pro W3"/>
          <w:sz w:val="22"/>
          <w:szCs w:val="22"/>
          <w:lang w:val="en-GB" w:eastAsia="ja-JP"/>
        </w:rPr>
        <w:t>a</w:t>
      </w:r>
      <w:r w:rsidRPr="005B7F92">
        <w:rPr>
          <w:rFonts w:eastAsia="ヒラギノ明朝 Pro W3"/>
          <w:sz w:val="22"/>
          <w:szCs w:val="22"/>
          <w:lang w:val="en-GB" w:eastAsia="ja-JP"/>
        </w:rPr>
        <w:t xml:space="preserve"> merger agreement to create </w:t>
      </w:r>
      <w:r w:rsidR="0031702E" w:rsidRPr="005B7F92">
        <w:rPr>
          <w:rFonts w:eastAsia="ヒラギノ明朝 Pro W3"/>
          <w:sz w:val="22"/>
          <w:szCs w:val="22"/>
          <w:lang w:val="en-GB" w:eastAsia="ja-JP"/>
        </w:rPr>
        <w:t>the world’s largest integrated pesticides</w:t>
      </w:r>
      <w:r w:rsidR="00140D9F" w:rsidRPr="005B7F92">
        <w:rPr>
          <w:rFonts w:eastAsia="ヒラギノ明朝 Pro W3"/>
          <w:sz w:val="22"/>
          <w:szCs w:val="22"/>
          <w:lang w:val="en-GB" w:eastAsia="ja-JP"/>
        </w:rPr>
        <w:t xml:space="preserve"> and seeds</w:t>
      </w:r>
      <w:r w:rsidR="0031702E" w:rsidRPr="005B7F92">
        <w:rPr>
          <w:rFonts w:eastAsia="ヒラギノ明朝 Pro W3"/>
          <w:sz w:val="22"/>
          <w:szCs w:val="22"/>
          <w:lang w:val="en-GB" w:eastAsia="ja-JP"/>
        </w:rPr>
        <w:t xml:space="preserve"> company</w:t>
      </w:r>
      <w:r w:rsidRPr="005B7F92">
        <w:rPr>
          <w:rFonts w:eastAsia="ヒラギノ明朝 Pro W3"/>
          <w:sz w:val="22"/>
          <w:szCs w:val="22"/>
          <w:lang w:val="en-GB" w:eastAsia="ja-JP"/>
        </w:rPr>
        <w:t>.</w:t>
      </w:r>
      <w:r w:rsidRPr="005B7F92">
        <w:rPr>
          <w:rStyle w:val="EndnoteReference"/>
          <w:rFonts w:eastAsia="ヒラギノ明朝 Pro W3"/>
          <w:sz w:val="22"/>
          <w:szCs w:val="22"/>
          <w:lang w:val="en-GB" w:eastAsia="ja-JP"/>
        </w:rPr>
        <w:endnoteReference w:id="4"/>
      </w:r>
      <w:r w:rsidRPr="005B7F92">
        <w:rPr>
          <w:rFonts w:eastAsia="ヒラギノ明朝 Pro W3"/>
          <w:sz w:val="22"/>
          <w:szCs w:val="22"/>
          <w:lang w:val="en-GB" w:eastAsia="ja-JP"/>
        </w:rPr>
        <w:t xml:space="preserve"> The combined </w:t>
      </w:r>
      <w:r w:rsidR="005F6A0F" w:rsidRPr="005B7F92">
        <w:rPr>
          <w:rFonts w:eastAsia="ヒラギノ明朝 Pro W3"/>
          <w:sz w:val="22"/>
          <w:szCs w:val="22"/>
          <w:lang w:val="en-GB" w:eastAsia="ja-JP"/>
        </w:rPr>
        <w:t>entity</w:t>
      </w:r>
      <w:r w:rsidRPr="005B7F92">
        <w:rPr>
          <w:rFonts w:eastAsia="ヒラギノ明朝 Pro W3"/>
          <w:sz w:val="22"/>
          <w:szCs w:val="22"/>
          <w:lang w:val="en-GB" w:eastAsia="ja-JP"/>
        </w:rPr>
        <w:t xml:space="preserve"> would benefit from Monsanto’s leadership in seeds and traits a</w:t>
      </w:r>
      <w:r w:rsidR="0046130E" w:rsidRPr="005B7F92">
        <w:rPr>
          <w:rFonts w:eastAsia="ヒラギノ明朝 Pro W3"/>
          <w:sz w:val="22"/>
          <w:szCs w:val="22"/>
          <w:lang w:val="en-GB" w:eastAsia="ja-JP"/>
        </w:rPr>
        <w:t>nd from</w:t>
      </w:r>
      <w:r w:rsidRPr="005B7F92">
        <w:rPr>
          <w:rFonts w:eastAsia="ヒラギノ明朝 Pro W3"/>
          <w:sz w:val="22"/>
          <w:szCs w:val="22"/>
          <w:lang w:val="en-GB" w:eastAsia="ja-JP"/>
        </w:rPr>
        <w:t xml:space="preserve"> Bayer’s crop protection products across a wide range of indications in key </w:t>
      </w:r>
      <w:r w:rsidR="00245A7D" w:rsidRPr="005B7F92">
        <w:rPr>
          <w:rFonts w:eastAsia="ヒラギノ明朝 Pro W3"/>
          <w:sz w:val="22"/>
          <w:szCs w:val="22"/>
          <w:lang w:val="en-GB" w:eastAsia="ja-JP"/>
        </w:rPr>
        <w:t xml:space="preserve">regions </w:t>
      </w:r>
      <w:r w:rsidR="0046130E" w:rsidRPr="005B7F92">
        <w:rPr>
          <w:rFonts w:eastAsia="ヒラギノ明朝 Pro W3"/>
          <w:sz w:val="22"/>
          <w:szCs w:val="22"/>
          <w:lang w:val="en-GB" w:eastAsia="ja-JP"/>
        </w:rPr>
        <w:t>worldwide</w:t>
      </w:r>
      <w:r w:rsidRPr="005B7F92">
        <w:rPr>
          <w:rFonts w:eastAsia="ヒラギノ明朝 Pro W3"/>
          <w:sz w:val="22"/>
          <w:szCs w:val="22"/>
          <w:lang w:val="en-GB" w:eastAsia="ja-JP"/>
        </w:rPr>
        <w:t>. Bayer would acquire Monsanto for $128</w:t>
      </w:r>
      <w:r w:rsidR="009D4F7E" w:rsidRPr="005B7F92">
        <w:rPr>
          <w:rStyle w:val="EndnoteReference"/>
          <w:rFonts w:eastAsia="ヒラギノ明朝 Pro W3"/>
          <w:sz w:val="22"/>
          <w:szCs w:val="22"/>
          <w:lang w:val="en-GB" w:eastAsia="ja-JP"/>
        </w:rPr>
        <w:endnoteReference w:id="5"/>
      </w:r>
      <w:r w:rsidRPr="005B7F92">
        <w:rPr>
          <w:rFonts w:eastAsia="ヒラギノ明朝 Pro W3"/>
          <w:sz w:val="22"/>
          <w:szCs w:val="22"/>
          <w:lang w:val="en-GB" w:eastAsia="ja-JP"/>
        </w:rPr>
        <w:t xml:space="preserve"> per share in an all-cash transaction, a premium price of 44 per cent based on Monsanto’s closing price on May 9, 2016</w:t>
      </w:r>
      <w:r w:rsidR="008205FA" w:rsidRPr="005B7F92">
        <w:rPr>
          <w:rFonts w:eastAsia="ヒラギノ明朝 Pro W3"/>
          <w:sz w:val="22"/>
          <w:szCs w:val="22"/>
          <w:lang w:val="en-GB" w:eastAsia="ja-JP"/>
        </w:rPr>
        <w:t>, with a total value of $66 billion</w:t>
      </w:r>
      <w:r w:rsidRPr="005B7F92">
        <w:rPr>
          <w:rFonts w:eastAsia="ヒラギノ明朝 Pro W3"/>
          <w:sz w:val="22"/>
          <w:szCs w:val="22"/>
          <w:lang w:val="en-GB" w:eastAsia="ja-JP"/>
        </w:rPr>
        <w:t xml:space="preserve">. The merger between the two giants would initiate a massive change within Bayer, and in the global agrochemical industry. </w:t>
      </w:r>
      <w:r w:rsidRPr="005B7F92" w:rsidDel="001464C1">
        <w:rPr>
          <w:rFonts w:eastAsia="ヒラギノ明朝 Pro W3"/>
          <w:sz w:val="22"/>
          <w:szCs w:val="22"/>
          <w:lang w:val="en-GB" w:eastAsia="ja-JP"/>
        </w:rPr>
        <w:t xml:space="preserve">Had Bayer made the right decision to diversify into agrochemicals by merging with Monsanto? </w:t>
      </w:r>
      <w:r w:rsidR="001464C1">
        <w:rPr>
          <w:rFonts w:eastAsia="ヒラギノ明朝 Pro W3"/>
          <w:sz w:val="22"/>
          <w:szCs w:val="22"/>
          <w:lang w:val="en-GB" w:eastAsia="ja-JP"/>
        </w:rPr>
        <w:t xml:space="preserve">In addition to the </w:t>
      </w:r>
      <w:r w:rsidRPr="005B7F92">
        <w:rPr>
          <w:rFonts w:eastAsia="ヒラギノ明朝 Pro W3"/>
          <w:sz w:val="22"/>
          <w:szCs w:val="22"/>
          <w:lang w:val="en-GB" w:eastAsia="ja-JP"/>
        </w:rPr>
        <w:t>high acquisition premium with an all-cash transaction,</w:t>
      </w:r>
      <w:r w:rsidR="001464C1">
        <w:rPr>
          <w:rFonts w:eastAsia="ヒラギノ明朝 Pro W3"/>
          <w:sz w:val="22"/>
          <w:szCs w:val="22"/>
          <w:lang w:val="en-GB" w:eastAsia="ja-JP"/>
        </w:rPr>
        <w:t xml:space="preserve"> there were </w:t>
      </w:r>
      <w:r w:rsidRPr="005B7F92">
        <w:rPr>
          <w:rFonts w:eastAsia="ヒラギノ明朝 Pro W3"/>
          <w:sz w:val="22"/>
          <w:szCs w:val="22"/>
          <w:lang w:val="en-GB" w:eastAsia="ja-JP"/>
        </w:rPr>
        <w:t xml:space="preserve">antitrust concerns that </w:t>
      </w:r>
      <w:r w:rsidR="003A4564" w:rsidRPr="005B7F92">
        <w:rPr>
          <w:rFonts w:eastAsia="ヒラギノ明朝 Pro W3"/>
          <w:sz w:val="22"/>
          <w:szCs w:val="22"/>
          <w:lang w:val="en-GB" w:eastAsia="ja-JP"/>
        </w:rPr>
        <w:t xml:space="preserve">could </w:t>
      </w:r>
      <w:r w:rsidRPr="005B7F92">
        <w:rPr>
          <w:rFonts w:eastAsia="ヒラギノ明朝 Pro W3"/>
          <w:sz w:val="22"/>
          <w:szCs w:val="22"/>
          <w:lang w:val="en-GB" w:eastAsia="ja-JP"/>
        </w:rPr>
        <w:t>le</w:t>
      </w:r>
      <w:r w:rsidR="003A4564" w:rsidRPr="005B7F92">
        <w:rPr>
          <w:rFonts w:eastAsia="ヒラギノ明朝 Pro W3"/>
          <w:sz w:val="22"/>
          <w:szCs w:val="22"/>
          <w:lang w:val="en-GB" w:eastAsia="ja-JP"/>
        </w:rPr>
        <w:t>a</w:t>
      </w:r>
      <w:r w:rsidRPr="005B7F92">
        <w:rPr>
          <w:rFonts w:eastAsia="ヒラギノ明朝 Pro W3"/>
          <w:sz w:val="22"/>
          <w:szCs w:val="22"/>
          <w:lang w:val="en-GB" w:eastAsia="ja-JP"/>
        </w:rPr>
        <w:t>d to subsequent divestment</w:t>
      </w:r>
      <w:r w:rsidR="001464C1">
        <w:rPr>
          <w:rFonts w:eastAsia="ヒラギノ明朝 Pro W3"/>
          <w:sz w:val="22"/>
          <w:szCs w:val="22"/>
          <w:lang w:val="en-GB" w:eastAsia="ja-JP"/>
        </w:rPr>
        <w:t xml:space="preserve">s, and </w:t>
      </w:r>
      <w:r w:rsidRPr="005B7F92">
        <w:rPr>
          <w:rFonts w:eastAsia="ヒラギノ明朝 Pro W3"/>
          <w:sz w:val="22"/>
          <w:szCs w:val="22"/>
          <w:lang w:val="en-GB" w:eastAsia="ja-JP"/>
        </w:rPr>
        <w:t>Monsanto</w:t>
      </w:r>
      <w:r w:rsidR="001464C1">
        <w:rPr>
          <w:rFonts w:eastAsia="ヒラギノ明朝 Pro W3"/>
          <w:sz w:val="22"/>
          <w:szCs w:val="22"/>
          <w:lang w:val="en-GB" w:eastAsia="ja-JP"/>
        </w:rPr>
        <w:t xml:space="preserve"> had a </w:t>
      </w:r>
      <w:r w:rsidR="00245A7D" w:rsidRPr="005B7F92">
        <w:rPr>
          <w:rFonts w:eastAsia="ヒラギノ明朝 Pro W3"/>
          <w:sz w:val="22"/>
          <w:szCs w:val="22"/>
          <w:lang w:val="en-GB" w:eastAsia="ja-JP"/>
        </w:rPr>
        <w:t xml:space="preserve">negative </w:t>
      </w:r>
      <w:r w:rsidRPr="005B7F92">
        <w:rPr>
          <w:rFonts w:eastAsia="ヒラギノ明朝 Pro W3"/>
          <w:sz w:val="22"/>
          <w:szCs w:val="22"/>
          <w:lang w:val="en-GB" w:eastAsia="ja-JP"/>
        </w:rPr>
        <w:t xml:space="preserve">brand image </w:t>
      </w:r>
      <w:r w:rsidR="003A4564" w:rsidRPr="005B7F92">
        <w:rPr>
          <w:rFonts w:eastAsia="ヒラギノ明朝 Pro W3"/>
          <w:sz w:val="22"/>
          <w:szCs w:val="22"/>
          <w:lang w:val="en-GB" w:eastAsia="ja-JP"/>
        </w:rPr>
        <w:t>owing</w:t>
      </w:r>
      <w:r w:rsidRPr="005B7F92">
        <w:rPr>
          <w:rFonts w:eastAsia="ヒラギノ明朝 Pro W3"/>
          <w:sz w:val="22"/>
          <w:szCs w:val="22"/>
          <w:lang w:val="en-GB" w:eastAsia="ja-JP"/>
        </w:rPr>
        <w:t xml:space="preserve"> to its frequent involvement in controversial business operations</w:t>
      </w:r>
      <w:r w:rsidR="001464C1">
        <w:rPr>
          <w:rFonts w:eastAsia="ヒラギノ明朝 Pro W3"/>
          <w:sz w:val="22"/>
          <w:szCs w:val="22"/>
          <w:lang w:val="en-GB" w:eastAsia="ja-JP"/>
        </w:rPr>
        <w:t>. W</w:t>
      </w:r>
      <w:r w:rsidRPr="005B7F92">
        <w:rPr>
          <w:rFonts w:eastAsia="ヒラギノ明朝 Pro W3"/>
          <w:sz w:val="22"/>
          <w:szCs w:val="22"/>
          <w:lang w:val="en-GB" w:eastAsia="ja-JP"/>
        </w:rPr>
        <w:t>ould the merged entity</w:t>
      </w:r>
      <w:r w:rsidR="0061490C" w:rsidRPr="005B7F92">
        <w:rPr>
          <w:rFonts w:eastAsia="ヒラギノ明朝 Pro W3"/>
          <w:sz w:val="22"/>
          <w:szCs w:val="22"/>
          <w:lang w:val="en-GB" w:eastAsia="ja-JP"/>
        </w:rPr>
        <w:t>, if approved,</w:t>
      </w:r>
      <w:r w:rsidRPr="005B7F92">
        <w:rPr>
          <w:rFonts w:eastAsia="ヒラギノ明朝 Pro W3"/>
          <w:sz w:val="22"/>
          <w:szCs w:val="22"/>
          <w:lang w:val="en-GB" w:eastAsia="ja-JP"/>
        </w:rPr>
        <w:t xml:space="preserve"> be able to create sufficient synergies that </w:t>
      </w:r>
      <w:r w:rsidR="000F22A0" w:rsidRPr="005B7F92">
        <w:rPr>
          <w:rFonts w:eastAsia="ヒラギノ明朝 Pro W3"/>
          <w:sz w:val="22"/>
          <w:szCs w:val="22"/>
          <w:lang w:val="en-GB" w:eastAsia="ja-JP"/>
        </w:rPr>
        <w:t xml:space="preserve">would </w:t>
      </w:r>
      <w:r w:rsidRPr="005B7F92">
        <w:rPr>
          <w:rFonts w:eastAsia="ヒラギノ明朝 Pro W3"/>
          <w:sz w:val="22"/>
          <w:szCs w:val="22"/>
          <w:lang w:val="en-GB" w:eastAsia="ja-JP"/>
        </w:rPr>
        <w:t>actually deliver benefits to shareholders, while keeping its commitment to sustainable operations and addressing social and ethical responsibilities?</w:t>
      </w:r>
      <w:r w:rsidRPr="005B7F92">
        <w:rPr>
          <w:rStyle w:val="EndnoteReference"/>
          <w:rFonts w:eastAsia="ヒラギノ明朝 Pro W3"/>
          <w:sz w:val="22"/>
          <w:szCs w:val="22"/>
          <w:lang w:val="en-GB" w:eastAsia="ja-JP"/>
        </w:rPr>
        <w:endnoteReference w:id="6"/>
      </w:r>
    </w:p>
    <w:p w14:paraId="2BCE9707" w14:textId="77777777" w:rsidR="0048032D" w:rsidRPr="005B7F92" w:rsidRDefault="0048032D" w:rsidP="007B7E10">
      <w:pPr>
        <w:jc w:val="both"/>
        <w:rPr>
          <w:rFonts w:eastAsia="ヒラギノ明朝 Pro W3"/>
          <w:sz w:val="22"/>
          <w:szCs w:val="22"/>
          <w:lang w:val="en-GB" w:eastAsia="ja-JP"/>
        </w:rPr>
      </w:pPr>
    </w:p>
    <w:p w14:paraId="3DC9A2FA" w14:textId="77777777" w:rsidR="0048032D" w:rsidRPr="005B7F92" w:rsidRDefault="0048032D" w:rsidP="00CD7022">
      <w:pPr>
        <w:pStyle w:val="BodyTextMain"/>
        <w:rPr>
          <w:lang w:val="en-GB" w:eastAsia="zh-CN"/>
        </w:rPr>
      </w:pPr>
    </w:p>
    <w:p w14:paraId="5F010247" w14:textId="25706AB8" w:rsidR="0048032D" w:rsidRPr="005B7F92" w:rsidRDefault="0048032D" w:rsidP="005A3634">
      <w:pPr>
        <w:pStyle w:val="BodyTextMain"/>
        <w:keepNext/>
        <w:rPr>
          <w:rFonts w:ascii="Arial" w:hAnsi="Arial" w:cs="Arial"/>
          <w:b/>
          <w:sz w:val="20"/>
          <w:szCs w:val="20"/>
          <w:lang w:val="en-GB" w:eastAsia="zh-CN"/>
        </w:rPr>
      </w:pPr>
      <w:r w:rsidRPr="005B7F92">
        <w:rPr>
          <w:rFonts w:ascii="Arial" w:hAnsi="Arial" w:cs="Arial"/>
          <w:b/>
          <w:sz w:val="20"/>
          <w:szCs w:val="20"/>
          <w:lang w:val="en-GB" w:eastAsia="zh-CN"/>
        </w:rPr>
        <w:t>BAYER AG</w:t>
      </w:r>
    </w:p>
    <w:p w14:paraId="28405F57" w14:textId="77777777" w:rsidR="0048032D" w:rsidRPr="005B7F92" w:rsidRDefault="0048032D" w:rsidP="005A3634">
      <w:pPr>
        <w:pStyle w:val="BodyTextMain"/>
        <w:keepNext/>
        <w:rPr>
          <w:lang w:val="en-GB" w:eastAsia="zh-CN"/>
        </w:rPr>
      </w:pPr>
    </w:p>
    <w:p w14:paraId="61069481" w14:textId="77777777" w:rsidR="0048032D" w:rsidRPr="005B7F92" w:rsidRDefault="0048032D" w:rsidP="005A3634">
      <w:pPr>
        <w:pStyle w:val="BodyTextMain"/>
        <w:keepNext/>
        <w:rPr>
          <w:rFonts w:ascii="Arial" w:hAnsi="Arial" w:cs="Arial"/>
          <w:b/>
          <w:sz w:val="20"/>
          <w:szCs w:val="20"/>
          <w:lang w:val="en-GB" w:eastAsia="zh-CN"/>
        </w:rPr>
      </w:pPr>
      <w:r w:rsidRPr="005B7F92">
        <w:rPr>
          <w:rFonts w:ascii="Arial" w:hAnsi="Arial" w:cs="Arial"/>
          <w:b/>
          <w:sz w:val="20"/>
          <w:szCs w:val="20"/>
          <w:lang w:val="en-GB" w:eastAsia="zh-CN"/>
        </w:rPr>
        <w:t>The Beginning</w:t>
      </w:r>
    </w:p>
    <w:p w14:paraId="32EC8B9F" w14:textId="77777777" w:rsidR="0048032D" w:rsidRPr="005B7F92" w:rsidRDefault="0048032D" w:rsidP="005A3634">
      <w:pPr>
        <w:pStyle w:val="BodyTextMain"/>
        <w:keepNext/>
        <w:rPr>
          <w:lang w:val="en-GB" w:eastAsia="zh-CN"/>
        </w:rPr>
      </w:pPr>
    </w:p>
    <w:p w14:paraId="2E37C1A9" w14:textId="4C6A3037" w:rsidR="0048032D" w:rsidRPr="005B7F92" w:rsidRDefault="0048032D" w:rsidP="005A3634">
      <w:pPr>
        <w:pStyle w:val="BodyTextMain"/>
        <w:keepNext/>
        <w:rPr>
          <w:lang w:val="en-GB" w:eastAsia="zh-CN"/>
        </w:rPr>
      </w:pPr>
      <w:r w:rsidRPr="005B7F92">
        <w:rPr>
          <w:lang w:val="en-GB" w:eastAsia="zh-CN"/>
        </w:rPr>
        <w:t xml:space="preserve">Founded in 1863 in Barmen, Germany, Bayer initially </w:t>
      </w:r>
      <w:r w:rsidR="00340D8A" w:rsidRPr="005B7F92">
        <w:rPr>
          <w:lang w:val="en-GB" w:eastAsia="zh-CN"/>
        </w:rPr>
        <w:t>manufactured</w:t>
      </w:r>
      <w:r w:rsidRPr="005B7F92">
        <w:rPr>
          <w:lang w:val="en-GB" w:eastAsia="zh-CN"/>
        </w:rPr>
        <w:t xml:space="preserve"> synthetic dyestuffs. The firm quickly developed into a chemical company with international operations. </w:t>
      </w:r>
      <w:r w:rsidR="00340D8A" w:rsidRPr="005B7F92">
        <w:rPr>
          <w:lang w:val="en-GB" w:eastAsia="zh-CN"/>
        </w:rPr>
        <w:t>Its</w:t>
      </w:r>
      <w:r w:rsidRPr="005B7F92">
        <w:rPr>
          <w:lang w:val="en-GB" w:eastAsia="zh-CN"/>
        </w:rPr>
        <w:t xml:space="preserve"> investment in </w:t>
      </w:r>
      <w:r w:rsidR="00340D8A" w:rsidRPr="005B7F92">
        <w:rPr>
          <w:lang w:val="en-GB" w:eastAsia="zh-CN"/>
        </w:rPr>
        <w:t>r</w:t>
      </w:r>
      <w:r w:rsidR="005C0B00" w:rsidRPr="005B7F92">
        <w:rPr>
          <w:lang w:val="en-GB" w:eastAsia="zh-CN"/>
        </w:rPr>
        <w:t xml:space="preserve">esearch and </w:t>
      </w:r>
      <w:r w:rsidR="00340D8A" w:rsidRPr="005B7F92">
        <w:rPr>
          <w:lang w:val="en-GB" w:eastAsia="zh-CN"/>
        </w:rPr>
        <w:t>d</w:t>
      </w:r>
      <w:r w:rsidR="005C0B00" w:rsidRPr="005B7F92">
        <w:rPr>
          <w:lang w:val="en-GB" w:eastAsia="zh-CN"/>
        </w:rPr>
        <w:t>evelopment (</w:t>
      </w:r>
      <w:r w:rsidRPr="005B7F92">
        <w:rPr>
          <w:lang w:val="en-GB" w:eastAsia="zh-CN"/>
        </w:rPr>
        <w:t>R&amp;D</w:t>
      </w:r>
      <w:r w:rsidR="005C0B00" w:rsidRPr="005B7F92">
        <w:rPr>
          <w:lang w:val="en-GB" w:eastAsia="zh-CN"/>
        </w:rPr>
        <w:t>)</w:t>
      </w:r>
      <w:r w:rsidRPr="005B7F92">
        <w:rPr>
          <w:lang w:val="en-GB" w:eastAsia="zh-CN"/>
        </w:rPr>
        <w:t xml:space="preserve"> led to the creation of the popular Aspirin product in 1899. </w:t>
      </w:r>
      <w:r w:rsidR="005B7F92" w:rsidRPr="005B7F92">
        <w:rPr>
          <w:lang w:val="en-GB" w:eastAsia="zh-CN"/>
        </w:rPr>
        <w:t>World War I halted development</w:t>
      </w:r>
      <w:r w:rsidR="000379AA" w:rsidRPr="005B7F92">
        <w:rPr>
          <w:lang w:val="en-GB" w:eastAsia="zh-CN"/>
        </w:rPr>
        <w:t>; however, d</w:t>
      </w:r>
      <w:r w:rsidRPr="005B7F92">
        <w:rPr>
          <w:lang w:val="en-GB" w:eastAsia="zh-CN"/>
        </w:rPr>
        <w:t>uring the mid-</w:t>
      </w:r>
      <w:r w:rsidR="00340D8A" w:rsidRPr="005B7F92">
        <w:rPr>
          <w:lang w:val="en-GB" w:eastAsia="zh-CN"/>
        </w:rPr>
        <w:t>19</w:t>
      </w:r>
      <w:r w:rsidRPr="005B7F92">
        <w:rPr>
          <w:lang w:val="en-GB" w:eastAsia="zh-CN"/>
        </w:rPr>
        <w:t xml:space="preserve">20s, companies </w:t>
      </w:r>
      <w:r w:rsidR="00F3216E" w:rsidRPr="005B7F92">
        <w:rPr>
          <w:lang w:val="en-GB" w:eastAsia="zh-CN"/>
        </w:rPr>
        <w:t>including</w:t>
      </w:r>
      <w:r w:rsidRPr="005B7F92">
        <w:rPr>
          <w:lang w:val="en-GB" w:eastAsia="zh-CN"/>
        </w:rPr>
        <w:t xml:space="preserve"> Bayer, BASF</w:t>
      </w:r>
      <w:r w:rsidR="00340D8A" w:rsidRPr="005B7F92">
        <w:rPr>
          <w:lang w:val="en-GB" w:eastAsia="zh-CN"/>
        </w:rPr>
        <w:t xml:space="preserve"> </w:t>
      </w:r>
      <w:r w:rsidR="00B30E93" w:rsidRPr="005B7F92">
        <w:rPr>
          <w:lang w:val="en-GB" w:eastAsia="zh-CN"/>
        </w:rPr>
        <w:t>SE (BASF)</w:t>
      </w:r>
      <w:r w:rsidRPr="005B7F92">
        <w:rPr>
          <w:lang w:val="en-GB" w:eastAsia="zh-CN"/>
        </w:rPr>
        <w:t>, and Agfa</w:t>
      </w:r>
      <w:r w:rsidR="000C1207" w:rsidRPr="005B7F92">
        <w:rPr>
          <w:lang w:val="en-GB" w:eastAsia="zh-CN"/>
        </w:rPr>
        <w:t>-</w:t>
      </w:r>
      <w:proofErr w:type="spellStart"/>
      <w:r w:rsidR="000C1207" w:rsidRPr="005B7F92">
        <w:rPr>
          <w:lang w:val="en-GB" w:eastAsia="zh-CN"/>
        </w:rPr>
        <w:lastRenderedPageBreak/>
        <w:t>Gevaert</w:t>
      </w:r>
      <w:proofErr w:type="spellEnd"/>
      <w:r w:rsidR="000C1207" w:rsidRPr="005B7F92">
        <w:rPr>
          <w:lang w:val="en-GB" w:eastAsia="zh-CN"/>
        </w:rPr>
        <w:t xml:space="preserve"> N.V.</w:t>
      </w:r>
      <w:r w:rsidRPr="005B7F92">
        <w:rPr>
          <w:lang w:val="en-GB" w:eastAsia="zh-CN"/>
        </w:rPr>
        <w:t xml:space="preserve"> entered </w:t>
      </w:r>
      <w:r w:rsidR="00F3216E" w:rsidRPr="005B7F92">
        <w:rPr>
          <w:lang w:val="en-GB" w:eastAsia="zh-CN"/>
        </w:rPr>
        <w:t xml:space="preserve">into </w:t>
      </w:r>
      <w:r w:rsidRPr="005B7F92">
        <w:rPr>
          <w:lang w:val="en-GB" w:eastAsia="zh-CN"/>
        </w:rPr>
        <w:t>a merger in 1925 and established</w:t>
      </w:r>
      <w:r w:rsidR="005F6A0F" w:rsidRPr="005B7F92">
        <w:rPr>
          <w:lang w:val="en-GB" w:eastAsia="zh-CN"/>
        </w:rPr>
        <w:t xml:space="preserve"> IG </w:t>
      </w:r>
      <w:proofErr w:type="spellStart"/>
      <w:r w:rsidR="005F6A0F" w:rsidRPr="005B7F92">
        <w:rPr>
          <w:lang w:val="en-GB" w:eastAsia="zh-CN"/>
        </w:rPr>
        <w:t>Farbenindustrie</w:t>
      </w:r>
      <w:proofErr w:type="spellEnd"/>
      <w:r w:rsidR="005F6A0F" w:rsidRPr="005B7F92">
        <w:rPr>
          <w:lang w:val="en-GB" w:eastAsia="zh-CN"/>
        </w:rPr>
        <w:t xml:space="preserve"> AG</w:t>
      </w:r>
      <w:r w:rsidRPr="005B7F92">
        <w:rPr>
          <w:lang w:val="en-GB" w:eastAsia="zh-CN"/>
        </w:rPr>
        <w:t xml:space="preserve"> to revive German dyestuffs in the international market. In 1945, following the </w:t>
      </w:r>
      <w:r w:rsidR="00F3216E" w:rsidRPr="005B7F92">
        <w:rPr>
          <w:lang w:val="en-GB" w:eastAsia="zh-CN"/>
        </w:rPr>
        <w:t xml:space="preserve">end of </w:t>
      </w:r>
      <w:r w:rsidRPr="005B7F92">
        <w:rPr>
          <w:lang w:val="en-GB" w:eastAsia="zh-CN"/>
        </w:rPr>
        <w:t>World War II, the Allied Forces confiscated the conglomerate and dissolved it into small companies. One of the</w:t>
      </w:r>
      <w:r w:rsidR="00F3216E" w:rsidRPr="005B7F92">
        <w:rPr>
          <w:lang w:val="en-GB" w:eastAsia="zh-CN"/>
        </w:rPr>
        <w:t>se</w:t>
      </w:r>
      <w:r w:rsidRPr="005B7F92">
        <w:rPr>
          <w:lang w:val="en-GB" w:eastAsia="zh-CN"/>
        </w:rPr>
        <w:t xml:space="preserve"> became </w:t>
      </w:r>
      <w:proofErr w:type="spellStart"/>
      <w:r w:rsidRPr="005B7F92">
        <w:rPr>
          <w:lang w:val="en-GB" w:eastAsia="zh-CN"/>
        </w:rPr>
        <w:t>Farbenfabriken</w:t>
      </w:r>
      <w:proofErr w:type="spellEnd"/>
      <w:r w:rsidRPr="005B7F92">
        <w:rPr>
          <w:lang w:val="en-GB" w:eastAsia="zh-CN"/>
        </w:rPr>
        <w:t xml:space="preserve"> Bayer AG</w:t>
      </w:r>
      <w:r w:rsidR="000379AA" w:rsidRPr="005B7F92">
        <w:rPr>
          <w:lang w:val="en-GB" w:eastAsia="zh-CN"/>
        </w:rPr>
        <w:t>,</w:t>
      </w:r>
      <w:r w:rsidRPr="005B7F92">
        <w:rPr>
          <w:lang w:val="en-GB" w:eastAsia="zh-CN"/>
        </w:rPr>
        <w:t xml:space="preserve"> in 1951. </w:t>
      </w:r>
      <w:r w:rsidR="00680A14">
        <w:rPr>
          <w:lang w:val="en-GB" w:eastAsia="zh-CN"/>
        </w:rPr>
        <w:t>From</w:t>
      </w:r>
      <w:r w:rsidRPr="005B7F92">
        <w:rPr>
          <w:lang w:val="en-GB" w:eastAsia="zh-CN"/>
        </w:rPr>
        <w:t xml:space="preserve"> 1951</w:t>
      </w:r>
      <w:r w:rsidR="00F3216E" w:rsidRPr="005B7F92">
        <w:rPr>
          <w:lang w:val="en-GB" w:eastAsia="zh-CN"/>
        </w:rPr>
        <w:t>–</w:t>
      </w:r>
      <w:r w:rsidRPr="005B7F92">
        <w:rPr>
          <w:lang w:val="en-GB" w:eastAsia="zh-CN"/>
        </w:rPr>
        <w:t xml:space="preserve">1974, the company benefited from the economic miracle in Germany. </w:t>
      </w:r>
      <w:r w:rsidR="00804ACF" w:rsidRPr="005B7F92">
        <w:rPr>
          <w:lang w:val="en-GB" w:eastAsia="zh-CN"/>
        </w:rPr>
        <w:t>It was affected by the oil crisis that hit Germany in 1974, but underwent a period of consolidation over the following decade.</w:t>
      </w:r>
      <w:r w:rsidRPr="005B7F92">
        <w:rPr>
          <w:lang w:val="en-GB" w:eastAsia="zh-CN"/>
        </w:rPr>
        <w:t xml:space="preserve"> During the 1990s, the company made a major structural transformation in response to the challenge of globalization.</w:t>
      </w:r>
      <w:r w:rsidR="00FA58FD" w:rsidRPr="005B7F92">
        <w:rPr>
          <w:rStyle w:val="EndnoteReference"/>
          <w:lang w:val="en-GB" w:eastAsia="zh-CN"/>
        </w:rPr>
        <w:endnoteReference w:id="7"/>
      </w:r>
    </w:p>
    <w:p w14:paraId="1472B6A5" w14:textId="77777777" w:rsidR="0048032D" w:rsidRPr="005B7F92" w:rsidRDefault="0048032D" w:rsidP="00B073BC">
      <w:pPr>
        <w:pStyle w:val="BodyTextMain"/>
        <w:rPr>
          <w:lang w:val="en-GB" w:eastAsia="zh-CN"/>
        </w:rPr>
      </w:pPr>
    </w:p>
    <w:p w14:paraId="3A4D3A1E" w14:textId="77777777" w:rsidR="0048032D" w:rsidRPr="005B7F92" w:rsidRDefault="0048032D" w:rsidP="00B073BC">
      <w:pPr>
        <w:pStyle w:val="BodyTextMain"/>
        <w:rPr>
          <w:lang w:val="en-GB" w:eastAsia="zh-CN"/>
        </w:rPr>
      </w:pPr>
    </w:p>
    <w:p w14:paraId="1779CAD3" w14:textId="13D1E202" w:rsidR="0048032D" w:rsidRPr="005B7F92" w:rsidRDefault="005F6A0F" w:rsidP="00B073BC">
      <w:pPr>
        <w:pStyle w:val="BodyTextMain"/>
        <w:rPr>
          <w:rFonts w:ascii="Arial" w:hAnsi="Arial" w:cs="Arial"/>
          <w:b/>
          <w:sz w:val="20"/>
          <w:szCs w:val="20"/>
          <w:lang w:val="en-GB" w:eastAsia="zh-CN"/>
        </w:rPr>
      </w:pPr>
      <w:r w:rsidRPr="005B7F92">
        <w:rPr>
          <w:rFonts w:ascii="Arial" w:hAnsi="Arial" w:cs="Arial"/>
          <w:b/>
          <w:sz w:val="20"/>
          <w:szCs w:val="20"/>
          <w:lang w:val="en-GB" w:eastAsia="zh-CN"/>
        </w:rPr>
        <w:t>Reorganization</w:t>
      </w:r>
    </w:p>
    <w:p w14:paraId="0FF606AA" w14:textId="77777777" w:rsidR="0048032D" w:rsidRPr="005B7F92" w:rsidRDefault="0048032D" w:rsidP="00B073BC">
      <w:pPr>
        <w:pStyle w:val="BodyTextMain"/>
        <w:rPr>
          <w:lang w:val="en-GB" w:eastAsia="zh-CN"/>
        </w:rPr>
      </w:pPr>
    </w:p>
    <w:p w14:paraId="0EAEE581" w14:textId="78D11210" w:rsidR="0048032D" w:rsidRPr="00D35E9A" w:rsidRDefault="0048032D" w:rsidP="00B073BC">
      <w:pPr>
        <w:pStyle w:val="BodyTextMain"/>
        <w:rPr>
          <w:spacing w:val="-2"/>
          <w:lang w:val="en-GB" w:eastAsia="zh-CN"/>
        </w:rPr>
      </w:pPr>
      <w:r w:rsidRPr="00D35E9A">
        <w:rPr>
          <w:spacing w:val="-2"/>
          <w:lang w:val="en-GB" w:eastAsia="zh-CN"/>
        </w:rPr>
        <w:t xml:space="preserve">To expand its business further, Bayer acquired Aventis </w:t>
      </w:r>
      <w:proofErr w:type="spellStart"/>
      <w:r w:rsidRPr="00D35E9A">
        <w:rPr>
          <w:spacing w:val="-2"/>
          <w:lang w:val="en-GB" w:eastAsia="zh-CN"/>
        </w:rPr>
        <w:t>Crop</w:t>
      </w:r>
      <w:r w:rsidR="004E4059" w:rsidRPr="00D35E9A">
        <w:rPr>
          <w:spacing w:val="-2"/>
          <w:lang w:val="en-GB" w:eastAsia="zh-CN"/>
        </w:rPr>
        <w:t>S</w:t>
      </w:r>
      <w:r w:rsidRPr="00D35E9A">
        <w:rPr>
          <w:spacing w:val="-2"/>
          <w:lang w:val="en-GB" w:eastAsia="zh-CN"/>
        </w:rPr>
        <w:t>cience</w:t>
      </w:r>
      <w:proofErr w:type="spellEnd"/>
      <w:r w:rsidRPr="00D35E9A">
        <w:rPr>
          <w:spacing w:val="-2"/>
          <w:lang w:val="en-GB" w:eastAsia="zh-CN"/>
        </w:rPr>
        <w:t xml:space="preserve"> for €7.25 billion</w:t>
      </w:r>
      <w:r w:rsidR="00F37DC3" w:rsidRPr="00D35E9A">
        <w:rPr>
          <w:rStyle w:val="EndnoteReference"/>
          <w:spacing w:val="-2"/>
          <w:lang w:val="en-GB" w:eastAsia="zh-CN"/>
        </w:rPr>
        <w:endnoteReference w:id="8"/>
      </w:r>
      <w:r w:rsidRPr="00D35E9A">
        <w:rPr>
          <w:spacing w:val="-2"/>
          <w:lang w:val="en-GB" w:eastAsia="zh-CN"/>
        </w:rPr>
        <w:t xml:space="preserve"> in 2001 to </w:t>
      </w:r>
      <w:r w:rsidR="00A51E6F" w:rsidRPr="00D35E9A">
        <w:rPr>
          <w:spacing w:val="-2"/>
          <w:lang w:val="en-GB" w:eastAsia="zh-CN"/>
        </w:rPr>
        <w:t xml:space="preserve">manufacture </w:t>
      </w:r>
      <w:r w:rsidRPr="00D35E9A">
        <w:rPr>
          <w:spacing w:val="-2"/>
          <w:lang w:val="en-GB" w:eastAsia="zh-CN"/>
        </w:rPr>
        <w:t>crop protection products, seeds, traits, and environment</w:t>
      </w:r>
      <w:r w:rsidR="00680A14" w:rsidRPr="00D35E9A">
        <w:rPr>
          <w:spacing w:val="-2"/>
          <w:lang w:val="en-GB" w:eastAsia="zh-CN"/>
        </w:rPr>
        <w:t>al</w:t>
      </w:r>
      <w:r w:rsidRPr="00D35E9A">
        <w:rPr>
          <w:spacing w:val="-2"/>
          <w:lang w:val="en-GB" w:eastAsia="zh-CN"/>
        </w:rPr>
        <w:t xml:space="preserve"> solutions. Nevertheless, </w:t>
      </w:r>
      <w:r w:rsidR="004E4059" w:rsidRPr="00D35E9A">
        <w:rPr>
          <w:spacing w:val="-2"/>
          <w:lang w:val="en-GB" w:eastAsia="zh-CN"/>
        </w:rPr>
        <w:t>its</w:t>
      </w:r>
      <w:r w:rsidRPr="00D35E9A">
        <w:rPr>
          <w:spacing w:val="-2"/>
          <w:lang w:val="en-GB" w:eastAsia="zh-CN"/>
        </w:rPr>
        <w:t xml:space="preserve"> involvement in agriculture </w:t>
      </w:r>
      <w:r w:rsidR="004E4059" w:rsidRPr="00D35E9A">
        <w:rPr>
          <w:spacing w:val="-2"/>
          <w:lang w:val="en-GB" w:eastAsia="zh-CN"/>
        </w:rPr>
        <w:t>had been</w:t>
      </w:r>
      <w:r w:rsidRPr="00D35E9A">
        <w:rPr>
          <w:spacing w:val="-2"/>
          <w:lang w:val="en-GB" w:eastAsia="zh-CN"/>
        </w:rPr>
        <w:t xml:space="preserve"> rooted </w:t>
      </w:r>
      <w:r w:rsidR="004E4059" w:rsidRPr="00D35E9A">
        <w:rPr>
          <w:spacing w:val="-2"/>
          <w:lang w:val="en-GB" w:eastAsia="zh-CN"/>
        </w:rPr>
        <w:t xml:space="preserve">in the company </w:t>
      </w:r>
      <w:r w:rsidRPr="00D35E9A">
        <w:rPr>
          <w:spacing w:val="-2"/>
          <w:lang w:val="en-GB" w:eastAsia="zh-CN"/>
        </w:rPr>
        <w:t xml:space="preserve">since </w:t>
      </w:r>
      <w:r w:rsidR="004E4059" w:rsidRPr="00D35E9A">
        <w:rPr>
          <w:spacing w:val="-2"/>
          <w:lang w:val="en-GB" w:eastAsia="zh-CN"/>
        </w:rPr>
        <w:t>its</w:t>
      </w:r>
      <w:r w:rsidRPr="00D35E9A">
        <w:rPr>
          <w:spacing w:val="-2"/>
          <w:lang w:val="en-GB" w:eastAsia="zh-CN"/>
        </w:rPr>
        <w:t xml:space="preserve"> beginning, as in 1951 </w:t>
      </w:r>
      <w:r w:rsidR="004E4059" w:rsidRPr="00D35E9A">
        <w:rPr>
          <w:spacing w:val="-2"/>
          <w:lang w:val="en-GB" w:eastAsia="zh-CN"/>
        </w:rPr>
        <w:t xml:space="preserve">it </w:t>
      </w:r>
      <w:r w:rsidR="000379AA" w:rsidRPr="00D35E9A">
        <w:rPr>
          <w:spacing w:val="-2"/>
          <w:lang w:val="en-GB" w:eastAsia="zh-CN"/>
        </w:rPr>
        <w:t xml:space="preserve">had </w:t>
      </w:r>
      <w:r w:rsidR="004E4059" w:rsidRPr="00D35E9A">
        <w:rPr>
          <w:spacing w:val="-2"/>
          <w:lang w:val="en-GB" w:eastAsia="zh-CN"/>
        </w:rPr>
        <w:t xml:space="preserve">launched </w:t>
      </w:r>
      <w:r w:rsidRPr="00D35E9A">
        <w:rPr>
          <w:spacing w:val="-2"/>
          <w:lang w:val="en-GB" w:eastAsia="zh-CN"/>
        </w:rPr>
        <w:t>the first systemic insecticide</w:t>
      </w:r>
      <w:r w:rsidR="004E4059" w:rsidRPr="00D35E9A">
        <w:rPr>
          <w:spacing w:val="-2"/>
          <w:lang w:val="en-GB" w:eastAsia="zh-CN"/>
        </w:rPr>
        <w:t>,</w:t>
      </w:r>
      <w:r w:rsidRPr="00D35E9A">
        <w:rPr>
          <w:spacing w:val="-2"/>
          <w:lang w:val="en-GB" w:eastAsia="zh-CN"/>
        </w:rPr>
        <w:t xml:space="preserve"> </w:t>
      </w:r>
      <w:proofErr w:type="spellStart"/>
      <w:r w:rsidRPr="00D35E9A">
        <w:rPr>
          <w:spacing w:val="-2"/>
          <w:lang w:val="en-GB" w:eastAsia="zh-CN"/>
        </w:rPr>
        <w:t>Systox</w:t>
      </w:r>
      <w:proofErr w:type="spellEnd"/>
      <w:r w:rsidRPr="00D35E9A">
        <w:rPr>
          <w:spacing w:val="-2"/>
          <w:lang w:val="en-GB" w:eastAsia="zh-CN"/>
        </w:rPr>
        <w:t xml:space="preserve">. Since then, Bayer </w:t>
      </w:r>
      <w:r w:rsidR="00501D4A" w:rsidRPr="00D35E9A">
        <w:rPr>
          <w:spacing w:val="-2"/>
          <w:lang w:val="en-GB" w:eastAsia="zh-CN"/>
        </w:rPr>
        <w:t xml:space="preserve">had </w:t>
      </w:r>
      <w:r w:rsidR="000379AA" w:rsidRPr="00D35E9A">
        <w:rPr>
          <w:spacing w:val="-2"/>
          <w:lang w:val="en-GB" w:eastAsia="zh-CN"/>
        </w:rPr>
        <w:t>gr</w:t>
      </w:r>
      <w:r w:rsidR="00501D4A" w:rsidRPr="00D35E9A">
        <w:rPr>
          <w:spacing w:val="-2"/>
          <w:lang w:val="en-GB" w:eastAsia="zh-CN"/>
        </w:rPr>
        <w:t>own</w:t>
      </w:r>
      <w:r w:rsidR="000379AA" w:rsidRPr="00D35E9A">
        <w:rPr>
          <w:spacing w:val="-2"/>
          <w:lang w:val="en-GB" w:eastAsia="zh-CN"/>
        </w:rPr>
        <w:t xml:space="preserve"> to</w:t>
      </w:r>
      <w:r w:rsidRPr="00D35E9A">
        <w:rPr>
          <w:spacing w:val="-2"/>
          <w:lang w:val="en-GB" w:eastAsia="zh-CN"/>
        </w:rPr>
        <w:t xml:space="preserve"> underst</w:t>
      </w:r>
      <w:r w:rsidR="000379AA" w:rsidRPr="00D35E9A">
        <w:rPr>
          <w:spacing w:val="-2"/>
          <w:lang w:val="en-GB" w:eastAsia="zh-CN"/>
        </w:rPr>
        <w:t>and</w:t>
      </w:r>
      <w:r w:rsidRPr="00D35E9A">
        <w:rPr>
          <w:spacing w:val="-2"/>
          <w:lang w:val="en-GB" w:eastAsia="zh-CN"/>
        </w:rPr>
        <w:t xml:space="preserve"> the value of integrated biological and chemical approaches.</w:t>
      </w:r>
      <w:r w:rsidRPr="00D35E9A">
        <w:rPr>
          <w:rStyle w:val="EndnoteReference"/>
          <w:spacing w:val="-2"/>
          <w:lang w:val="en-GB" w:eastAsia="zh-CN"/>
        </w:rPr>
        <w:endnoteReference w:id="9"/>
      </w:r>
      <w:r w:rsidRPr="00D35E9A">
        <w:rPr>
          <w:spacing w:val="-2"/>
          <w:lang w:val="en-GB" w:eastAsia="zh-CN"/>
        </w:rPr>
        <w:t xml:space="preserve"> In 2005, Bayer acquired</w:t>
      </w:r>
      <w:r w:rsidR="004E4059" w:rsidRPr="00D35E9A">
        <w:rPr>
          <w:spacing w:val="-2"/>
          <w:lang w:val="en-GB" w:eastAsia="zh-CN"/>
        </w:rPr>
        <w:t xml:space="preserve"> Roche’s</w:t>
      </w:r>
      <w:r w:rsidRPr="00D35E9A">
        <w:rPr>
          <w:spacing w:val="-2"/>
          <w:lang w:val="en-GB" w:eastAsia="zh-CN"/>
        </w:rPr>
        <w:t xml:space="preserve"> Roche </w:t>
      </w:r>
      <w:r w:rsidR="004E4059" w:rsidRPr="00D35E9A">
        <w:rPr>
          <w:spacing w:val="-2"/>
          <w:lang w:val="en-GB" w:eastAsia="zh-CN"/>
        </w:rPr>
        <w:t>C</w:t>
      </w:r>
      <w:r w:rsidRPr="00D35E9A">
        <w:rPr>
          <w:spacing w:val="-2"/>
          <w:lang w:val="en-GB" w:eastAsia="zh-CN"/>
        </w:rPr>
        <w:t xml:space="preserve">onsumer </w:t>
      </w:r>
      <w:r w:rsidR="004E4059" w:rsidRPr="00D35E9A">
        <w:rPr>
          <w:spacing w:val="-2"/>
          <w:lang w:val="en-GB" w:eastAsia="zh-CN"/>
        </w:rPr>
        <w:t>H</w:t>
      </w:r>
      <w:r w:rsidRPr="00D35E9A">
        <w:rPr>
          <w:spacing w:val="-2"/>
          <w:lang w:val="en-GB" w:eastAsia="zh-CN"/>
        </w:rPr>
        <w:t>ealth business</w:t>
      </w:r>
      <w:r w:rsidR="004E4059" w:rsidRPr="00D35E9A">
        <w:rPr>
          <w:spacing w:val="-2"/>
          <w:lang w:val="en-GB" w:eastAsia="zh-CN"/>
        </w:rPr>
        <w:t>,</w:t>
      </w:r>
      <w:r w:rsidRPr="00D35E9A">
        <w:rPr>
          <w:spacing w:val="-2"/>
          <w:lang w:val="en-GB" w:eastAsia="zh-CN"/>
        </w:rPr>
        <w:t xml:space="preserve"> be</w:t>
      </w:r>
      <w:r w:rsidR="004E4059" w:rsidRPr="00D35E9A">
        <w:rPr>
          <w:spacing w:val="-2"/>
          <w:lang w:val="en-GB" w:eastAsia="zh-CN"/>
        </w:rPr>
        <w:t>coming</w:t>
      </w:r>
      <w:r w:rsidRPr="00D35E9A">
        <w:rPr>
          <w:spacing w:val="-2"/>
          <w:lang w:val="en-GB" w:eastAsia="zh-CN"/>
        </w:rPr>
        <w:t xml:space="preserve"> one of the world’s top three suppliers of non</w:t>
      </w:r>
      <w:r w:rsidR="004E4059" w:rsidRPr="00D35E9A">
        <w:rPr>
          <w:spacing w:val="-2"/>
          <w:lang w:val="en-GB" w:eastAsia="zh-CN"/>
        </w:rPr>
        <w:t>-</w:t>
      </w:r>
      <w:r w:rsidRPr="00D35E9A">
        <w:rPr>
          <w:spacing w:val="-2"/>
          <w:lang w:val="en-GB" w:eastAsia="zh-CN"/>
        </w:rPr>
        <w:t xml:space="preserve">prescription medicines. In the same year, </w:t>
      </w:r>
      <w:proofErr w:type="spellStart"/>
      <w:r w:rsidRPr="00D35E9A">
        <w:rPr>
          <w:spacing w:val="-2"/>
          <w:lang w:val="en-GB" w:eastAsia="zh-CN"/>
        </w:rPr>
        <w:t>Lanxess</w:t>
      </w:r>
      <w:proofErr w:type="spellEnd"/>
      <w:r w:rsidRPr="00D35E9A">
        <w:rPr>
          <w:spacing w:val="-2"/>
          <w:lang w:val="en-GB" w:eastAsia="zh-CN"/>
        </w:rPr>
        <w:t xml:space="preserve"> AG was spun</w:t>
      </w:r>
      <w:r w:rsidR="000379AA" w:rsidRPr="00D35E9A">
        <w:rPr>
          <w:spacing w:val="-2"/>
          <w:lang w:val="en-GB" w:eastAsia="zh-CN"/>
        </w:rPr>
        <w:t xml:space="preserve"> </w:t>
      </w:r>
      <w:r w:rsidRPr="00D35E9A">
        <w:rPr>
          <w:spacing w:val="-2"/>
          <w:lang w:val="en-GB" w:eastAsia="zh-CN"/>
        </w:rPr>
        <w:t>off</w:t>
      </w:r>
      <w:r w:rsidR="007377EA" w:rsidRPr="00D35E9A">
        <w:rPr>
          <w:spacing w:val="-2"/>
          <w:lang w:val="en-GB" w:eastAsia="zh-CN"/>
        </w:rPr>
        <w:t xml:space="preserve"> from the Bayer Group; it continued Bayer’s chemicals business and parts of its polymers business</w:t>
      </w:r>
      <w:r w:rsidRPr="00D35E9A">
        <w:rPr>
          <w:spacing w:val="-2"/>
          <w:lang w:val="en-GB" w:eastAsia="zh-CN"/>
        </w:rPr>
        <w:t xml:space="preserve">. In 2006, </w:t>
      </w:r>
      <w:r w:rsidR="007377EA" w:rsidRPr="00D35E9A">
        <w:rPr>
          <w:spacing w:val="-2"/>
          <w:lang w:val="en-GB" w:eastAsia="zh-CN"/>
        </w:rPr>
        <w:t>Bayer</w:t>
      </w:r>
      <w:r w:rsidRPr="00D35E9A">
        <w:rPr>
          <w:spacing w:val="-2"/>
          <w:lang w:val="en-GB" w:eastAsia="zh-CN"/>
        </w:rPr>
        <w:t xml:space="preserve"> took over German </w:t>
      </w:r>
      <w:r w:rsidR="007377EA" w:rsidRPr="00D35E9A">
        <w:rPr>
          <w:spacing w:val="-2"/>
          <w:lang w:val="en-GB" w:eastAsia="zh-CN"/>
        </w:rPr>
        <w:t xml:space="preserve">pharmaceutical company </w:t>
      </w:r>
      <w:r w:rsidRPr="00D35E9A">
        <w:rPr>
          <w:spacing w:val="-2"/>
          <w:lang w:val="en-GB" w:eastAsia="zh-CN"/>
        </w:rPr>
        <w:t xml:space="preserve">Schering AG. In 2009, </w:t>
      </w:r>
      <w:r w:rsidR="00AD026D" w:rsidRPr="00D35E9A">
        <w:rPr>
          <w:spacing w:val="-2"/>
          <w:lang w:val="en-GB" w:eastAsia="zh-CN"/>
        </w:rPr>
        <w:t>Bayer</w:t>
      </w:r>
      <w:r w:rsidRPr="00D35E9A">
        <w:rPr>
          <w:spacing w:val="-2"/>
          <w:lang w:val="en-GB" w:eastAsia="zh-CN"/>
        </w:rPr>
        <w:t xml:space="preserve"> </w:t>
      </w:r>
      <w:proofErr w:type="spellStart"/>
      <w:r w:rsidRPr="00D35E9A">
        <w:rPr>
          <w:spacing w:val="-2"/>
          <w:lang w:val="en-GB" w:eastAsia="zh-CN"/>
        </w:rPr>
        <w:t>CropScience</w:t>
      </w:r>
      <w:proofErr w:type="spellEnd"/>
      <w:r w:rsidRPr="00D35E9A">
        <w:rPr>
          <w:spacing w:val="-2"/>
          <w:lang w:val="en-GB" w:eastAsia="zh-CN"/>
        </w:rPr>
        <w:t xml:space="preserve"> completed the acquisition of </w:t>
      </w:r>
      <w:r w:rsidR="004E59EB" w:rsidRPr="00D35E9A">
        <w:rPr>
          <w:spacing w:val="-2"/>
          <w:lang w:val="en-GB" w:eastAsia="zh-CN"/>
        </w:rPr>
        <w:t>privately held</w:t>
      </w:r>
      <w:r w:rsidRPr="00D35E9A">
        <w:rPr>
          <w:spacing w:val="-2"/>
          <w:lang w:val="en-GB" w:eastAsia="zh-CN"/>
        </w:rPr>
        <w:t xml:space="preserve"> U.S. biotechnology company </w:t>
      </w:r>
      <w:proofErr w:type="spellStart"/>
      <w:r w:rsidRPr="00D35E9A">
        <w:rPr>
          <w:spacing w:val="-2"/>
          <w:lang w:val="en-GB" w:eastAsia="zh-CN"/>
        </w:rPr>
        <w:t>Athenix</w:t>
      </w:r>
      <w:proofErr w:type="spellEnd"/>
      <w:r w:rsidRPr="00D35E9A">
        <w:rPr>
          <w:spacing w:val="-2"/>
          <w:lang w:val="en-GB" w:eastAsia="zh-CN"/>
        </w:rPr>
        <w:t xml:space="preserve"> Corp</w:t>
      </w:r>
      <w:r w:rsidR="00AD026D" w:rsidRPr="00D35E9A">
        <w:rPr>
          <w:spacing w:val="-2"/>
          <w:lang w:val="en-GB" w:eastAsia="zh-CN"/>
        </w:rPr>
        <w:t>oration</w:t>
      </w:r>
      <w:r w:rsidRPr="00D35E9A">
        <w:rPr>
          <w:spacing w:val="-2"/>
          <w:lang w:val="en-GB" w:eastAsia="zh-CN"/>
        </w:rPr>
        <w:t xml:space="preserve">. In 2016, Baumann, </w:t>
      </w:r>
      <w:r w:rsidR="00AD026D" w:rsidRPr="00D35E9A">
        <w:rPr>
          <w:spacing w:val="-2"/>
          <w:lang w:val="en-GB" w:eastAsia="zh-CN"/>
        </w:rPr>
        <w:t xml:space="preserve">who had been a </w:t>
      </w:r>
      <w:r w:rsidRPr="00D35E9A">
        <w:rPr>
          <w:spacing w:val="-2"/>
          <w:lang w:val="en-GB" w:eastAsia="zh-CN"/>
        </w:rPr>
        <w:t xml:space="preserve">member of </w:t>
      </w:r>
      <w:r w:rsidR="00AD026D" w:rsidRPr="00D35E9A">
        <w:rPr>
          <w:spacing w:val="-2"/>
          <w:lang w:val="en-GB" w:eastAsia="zh-CN"/>
        </w:rPr>
        <w:t>Bayer’s</w:t>
      </w:r>
      <w:r w:rsidRPr="00D35E9A">
        <w:rPr>
          <w:spacing w:val="-2"/>
          <w:lang w:val="en-GB" w:eastAsia="zh-CN"/>
        </w:rPr>
        <w:t xml:space="preserve"> </w:t>
      </w:r>
      <w:r w:rsidR="00AD026D" w:rsidRPr="00D35E9A">
        <w:rPr>
          <w:spacing w:val="-2"/>
          <w:lang w:val="en-GB" w:eastAsia="zh-CN"/>
        </w:rPr>
        <w:t>b</w:t>
      </w:r>
      <w:r w:rsidRPr="00D35E9A">
        <w:rPr>
          <w:spacing w:val="-2"/>
          <w:lang w:val="en-GB" w:eastAsia="zh-CN"/>
        </w:rPr>
        <w:t xml:space="preserve">oard of </w:t>
      </w:r>
      <w:r w:rsidR="00AD026D" w:rsidRPr="00D35E9A">
        <w:rPr>
          <w:spacing w:val="-2"/>
          <w:lang w:val="en-GB" w:eastAsia="zh-CN"/>
        </w:rPr>
        <w:t>m</w:t>
      </w:r>
      <w:r w:rsidRPr="00D35E9A">
        <w:rPr>
          <w:spacing w:val="-2"/>
          <w:lang w:val="en-GB" w:eastAsia="zh-CN"/>
        </w:rPr>
        <w:t xml:space="preserve">anagement since 2010, became the </w:t>
      </w:r>
      <w:r w:rsidR="00AD026D" w:rsidRPr="00D35E9A">
        <w:rPr>
          <w:spacing w:val="-2"/>
          <w:lang w:val="en-GB" w:eastAsia="zh-CN"/>
        </w:rPr>
        <w:t>company’s</w:t>
      </w:r>
      <w:r w:rsidRPr="00D35E9A">
        <w:rPr>
          <w:spacing w:val="-2"/>
          <w:lang w:val="en-GB" w:eastAsia="zh-CN"/>
        </w:rPr>
        <w:t xml:space="preserve"> CEO. </w:t>
      </w:r>
      <w:r w:rsidR="00AD026D" w:rsidRPr="00D35E9A">
        <w:rPr>
          <w:spacing w:val="-2"/>
          <w:lang w:val="en-GB" w:eastAsia="zh-CN"/>
        </w:rPr>
        <w:t>Prior to</w:t>
      </w:r>
      <w:r w:rsidRPr="00D35E9A">
        <w:rPr>
          <w:spacing w:val="-2"/>
          <w:lang w:val="en-GB" w:eastAsia="zh-CN"/>
        </w:rPr>
        <w:t xml:space="preserve"> 2016, </w:t>
      </w:r>
      <w:r w:rsidR="00AD026D" w:rsidRPr="00D35E9A">
        <w:rPr>
          <w:spacing w:val="-2"/>
          <w:lang w:val="en-GB" w:eastAsia="zh-CN"/>
        </w:rPr>
        <w:t>Baumann</w:t>
      </w:r>
      <w:r w:rsidRPr="00D35E9A">
        <w:rPr>
          <w:spacing w:val="-2"/>
          <w:lang w:val="en-GB" w:eastAsia="zh-CN"/>
        </w:rPr>
        <w:t xml:space="preserve"> </w:t>
      </w:r>
      <w:r w:rsidR="00AD026D" w:rsidRPr="00D35E9A">
        <w:rPr>
          <w:spacing w:val="-2"/>
          <w:lang w:val="en-GB" w:eastAsia="zh-CN"/>
        </w:rPr>
        <w:t>had</w:t>
      </w:r>
      <w:r w:rsidRPr="00D35E9A">
        <w:rPr>
          <w:spacing w:val="-2"/>
          <w:lang w:val="en-GB" w:eastAsia="zh-CN"/>
        </w:rPr>
        <w:t xml:space="preserve"> manag</w:t>
      </w:r>
      <w:r w:rsidR="00AD026D" w:rsidRPr="00D35E9A">
        <w:rPr>
          <w:spacing w:val="-2"/>
          <w:lang w:val="en-GB" w:eastAsia="zh-CN"/>
        </w:rPr>
        <w:t>ed</w:t>
      </w:r>
      <w:r w:rsidRPr="00D35E9A">
        <w:rPr>
          <w:spacing w:val="-2"/>
          <w:lang w:val="en-GB" w:eastAsia="zh-CN"/>
        </w:rPr>
        <w:t xml:space="preserve"> the </w:t>
      </w:r>
      <w:r w:rsidR="00AD026D" w:rsidRPr="00D35E9A">
        <w:rPr>
          <w:spacing w:val="-2"/>
          <w:lang w:val="en-GB" w:eastAsia="zh-CN"/>
        </w:rPr>
        <w:t xml:space="preserve">company’s </w:t>
      </w:r>
      <w:r w:rsidRPr="00D35E9A">
        <w:rPr>
          <w:spacing w:val="-2"/>
          <w:lang w:val="en-GB" w:eastAsia="zh-CN"/>
        </w:rPr>
        <w:t>strategy and portfolio department.</w:t>
      </w:r>
      <w:r w:rsidR="00BF3897" w:rsidRPr="00D35E9A">
        <w:rPr>
          <w:rStyle w:val="EndnoteReference"/>
          <w:spacing w:val="-2"/>
          <w:lang w:val="en-GB" w:eastAsia="zh-CN"/>
        </w:rPr>
        <w:endnoteReference w:id="10"/>
      </w:r>
    </w:p>
    <w:p w14:paraId="3A89A11B" w14:textId="77777777" w:rsidR="0048032D" w:rsidRPr="005B7F92" w:rsidRDefault="0048032D" w:rsidP="00B073BC">
      <w:pPr>
        <w:pStyle w:val="BodyTextMain"/>
        <w:rPr>
          <w:lang w:val="en-GB" w:eastAsia="zh-CN"/>
        </w:rPr>
      </w:pPr>
    </w:p>
    <w:p w14:paraId="4CF64BDE" w14:textId="77777777" w:rsidR="0048032D" w:rsidRPr="005B7F92" w:rsidRDefault="0048032D" w:rsidP="00B073BC">
      <w:pPr>
        <w:pStyle w:val="BodyTextMain"/>
        <w:rPr>
          <w:lang w:val="en-GB" w:eastAsia="zh-CN"/>
        </w:rPr>
      </w:pPr>
    </w:p>
    <w:p w14:paraId="66A72C39" w14:textId="23BE5B25" w:rsidR="0048032D" w:rsidRPr="005B7F92" w:rsidRDefault="0048032D" w:rsidP="00B073BC">
      <w:pPr>
        <w:pStyle w:val="BodyTextMain"/>
        <w:rPr>
          <w:rFonts w:ascii="Arial" w:hAnsi="Arial" w:cs="Arial"/>
          <w:b/>
          <w:sz w:val="20"/>
          <w:szCs w:val="20"/>
          <w:lang w:val="en-GB" w:eastAsia="zh-CN"/>
        </w:rPr>
      </w:pPr>
      <w:r w:rsidRPr="005B7F92">
        <w:rPr>
          <w:rFonts w:ascii="Arial" w:hAnsi="Arial" w:cs="Arial"/>
          <w:b/>
          <w:sz w:val="20"/>
          <w:szCs w:val="20"/>
          <w:lang w:val="en-GB" w:eastAsia="zh-CN"/>
        </w:rPr>
        <w:t>The Pharmaceutical Industry</w:t>
      </w:r>
    </w:p>
    <w:p w14:paraId="1FC9734B" w14:textId="77777777" w:rsidR="0048032D" w:rsidRPr="005B7F92" w:rsidRDefault="0048032D" w:rsidP="00B073BC">
      <w:pPr>
        <w:pStyle w:val="BodyTextMain"/>
        <w:rPr>
          <w:lang w:val="en-GB" w:eastAsia="zh-CN"/>
        </w:rPr>
      </w:pPr>
    </w:p>
    <w:p w14:paraId="3CEECD5A" w14:textId="4429C2DF" w:rsidR="0048032D" w:rsidRPr="005B7F92" w:rsidRDefault="0048032D" w:rsidP="006E7EDA">
      <w:pPr>
        <w:pStyle w:val="BodyTextMain"/>
        <w:rPr>
          <w:spacing w:val="-2"/>
          <w:lang w:val="en-GB" w:eastAsia="zh-CN"/>
        </w:rPr>
      </w:pPr>
      <w:r w:rsidRPr="005B7F92">
        <w:rPr>
          <w:spacing w:val="-2"/>
          <w:lang w:val="en-GB" w:eastAsia="zh-CN"/>
        </w:rPr>
        <w:t xml:space="preserve">The pharmaceutical industry, at the heart of Bayer’s business model, represented a huge market </w:t>
      </w:r>
      <w:r w:rsidR="0028159A" w:rsidRPr="005B7F92">
        <w:rPr>
          <w:spacing w:val="-2"/>
          <w:lang w:val="en-GB" w:eastAsia="zh-CN"/>
        </w:rPr>
        <w:t>worth</w:t>
      </w:r>
      <w:r w:rsidRPr="005B7F92">
        <w:rPr>
          <w:spacing w:val="-2"/>
          <w:lang w:val="en-GB" w:eastAsia="zh-CN"/>
        </w:rPr>
        <w:t xml:space="preserve"> </w:t>
      </w:r>
      <w:r w:rsidR="00CF268B" w:rsidRPr="005B7F92">
        <w:rPr>
          <w:spacing w:val="-2"/>
          <w:lang w:val="en-GB" w:eastAsia="zh-CN"/>
        </w:rPr>
        <w:t>$</w:t>
      </w:r>
      <w:r w:rsidRPr="005B7F92">
        <w:rPr>
          <w:spacing w:val="-2"/>
          <w:lang w:val="en-GB" w:eastAsia="zh-CN"/>
        </w:rPr>
        <w:t>1.1 trillion in 2016</w:t>
      </w:r>
      <w:r w:rsidR="00680A14">
        <w:rPr>
          <w:spacing w:val="-2"/>
          <w:lang w:val="en-GB" w:eastAsia="zh-CN"/>
        </w:rPr>
        <w:t>. A</w:t>
      </w:r>
      <w:r w:rsidRPr="005B7F92">
        <w:rPr>
          <w:spacing w:val="-2"/>
          <w:lang w:val="en-GB" w:eastAsia="zh-CN"/>
        </w:rPr>
        <w:t>nnual growth of 4</w:t>
      </w:r>
      <w:r w:rsidR="00AD026D" w:rsidRPr="005B7F92">
        <w:rPr>
          <w:spacing w:val="-2"/>
          <w:lang w:val="en-GB" w:eastAsia="zh-CN"/>
        </w:rPr>
        <w:t>–</w:t>
      </w:r>
      <w:r w:rsidR="00CF268B" w:rsidRPr="005B7F92">
        <w:rPr>
          <w:spacing w:val="-2"/>
          <w:lang w:val="en-GB" w:eastAsia="zh-CN"/>
        </w:rPr>
        <w:t>7</w:t>
      </w:r>
      <w:r w:rsidRPr="005B7F92">
        <w:rPr>
          <w:spacing w:val="-2"/>
          <w:lang w:val="en-GB" w:eastAsia="zh-CN"/>
        </w:rPr>
        <w:t xml:space="preserve"> per cent </w:t>
      </w:r>
      <w:r w:rsidR="00501D4A" w:rsidRPr="005B7F92">
        <w:rPr>
          <w:spacing w:val="-2"/>
          <w:lang w:val="en-GB" w:eastAsia="zh-CN"/>
        </w:rPr>
        <w:t xml:space="preserve">was </w:t>
      </w:r>
      <w:r w:rsidRPr="005B7F92">
        <w:rPr>
          <w:spacing w:val="-2"/>
          <w:lang w:val="en-GB" w:eastAsia="zh-CN"/>
        </w:rPr>
        <w:t>expected until 202</w:t>
      </w:r>
      <w:r w:rsidR="00CF268B" w:rsidRPr="005B7F92">
        <w:rPr>
          <w:spacing w:val="-2"/>
          <w:lang w:val="en-GB" w:eastAsia="zh-CN"/>
        </w:rPr>
        <w:t>1</w:t>
      </w:r>
      <w:r w:rsidRPr="005B7F92">
        <w:rPr>
          <w:spacing w:val="-2"/>
          <w:lang w:val="en-GB" w:eastAsia="zh-CN"/>
        </w:rPr>
        <w:t xml:space="preserve">, </w:t>
      </w:r>
      <w:r w:rsidR="0028159A" w:rsidRPr="005B7F92">
        <w:rPr>
          <w:spacing w:val="-2"/>
          <w:lang w:val="en-GB" w:eastAsia="zh-CN"/>
        </w:rPr>
        <w:t>when it would be worth—</w:t>
      </w:r>
      <w:r w:rsidRPr="005B7F92">
        <w:rPr>
          <w:spacing w:val="-2"/>
          <w:lang w:val="en-GB" w:eastAsia="zh-CN"/>
        </w:rPr>
        <w:t>according to these forecasts</w:t>
      </w:r>
      <w:r w:rsidR="0028159A" w:rsidRPr="005B7F92">
        <w:rPr>
          <w:spacing w:val="-2"/>
          <w:lang w:val="en-GB" w:eastAsia="zh-CN"/>
        </w:rPr>
        <w:t>—</w:t>
      </w:r>
      <w:r w:rsidR="00CF268B" w:rsidRPr="005B7F92">
        <w:rPr>
          <w:spacing w:val="-2"/>
          <w:lang w:val="en-GB" w:eastAsia="zh-CN"/>
        </w:rPr>
        <w:t>$</w:t>
      </w:r>
      <w:r w:rsidRPr="005B7F92">
        <w:rPr>
          <w:spacing w:val="-2"/>
          <w:lang w:val="en-GB" w:eastAsia="zh-CN"/>
        </w:rPr>
        <w:t>1.</w:t>
      </w:r>
      <w:r w:rsidR="00CF268B" w:rsidRPr="005B7F92">
        <w:rPr>
          <w:spacing w:val="-2"/>
          <w:lang w:val="en-GB" w:eastAsia="zh-CN"/>
        </w:rPr>
        <w:t>5</w:t>
      </w:r>
      <w:r w:rsidR="000379AA" w:rsidRPr="005B7F92">
        <w:rPr>
          <w:spacing w:val="-2"/>
          <w:lang w:val="en-GB" w:eastAsia="zh-CN"/>
        </w:rPr>
        <w:t xml:space="preserve"> </w:t>
      </w:r>
      <w:r w:rsidRPr="005B7F92">
        <w:rPr>
          <w:spacing w:val="-2"/>
          <w:lang w:val="en-GB" w:eastAsia="zh-CN"/>
        </w:rPr>
        <w:t>trillion.</w:t>
      </w:r>
      <w:r w:rsidR="00CF268B" w:rsidRPr="005B7F92">
        <w:rPr>
          <w:rStyle w:val="EndnoteReference"/>
          <w:spacing w:val="-2"/>
          <w:lang w:val="en-GB" w:eastAsia="zh-CN"/>
        </w:rPr>
        <w:endnoteReference w:id="11"/>
      </w:r>
      <w:r w:rsidRPr="005B7F92">
        <w:rPr>
          <w:spacing w:val="-2"/>
          <w:lang w:val="en-GB" w:eastAsia="zh-CN"/>
        </w:rPr>
        <w:t xml:space="preserve"> Th</w:t>
      </w:r>
      <w:r w:rsidR="0028159A" w:rsidRPr="005B7F92">
        <w:rPr>
          <w:spacing w:val="-2"/>
          <w:lang w:val="en-GB" w:eastAsia="zh-CN"/>
        </w:rPr>
        <w:t>e main contributors to th</w:t>
      </w:r>
      <w:r w:rsidRPr="005B7F92">
        <w:rPr>
          <w:spacing w:val="-2"/>
          <w:lang w:val="en-GB" w:eastAsia="zh-CN"/>
        </w:rPr>
        <w:t>is growth w</w:t>
      </w:r>
      <w:r w:rsidR="0028159A" w:rsidRPr="005B7F92">
        <w:rPr>
          <w:spacing w:val="-2"/>
          <w:lang w:val="en-GB" w:eastAsia="zh-CN"/>
        </w:rPr>
        <w:t>ere</w:t>
      </w:r>
      <w:r w:rsidRPr="005B7F92">
        <w:rPr>
          <w:spacing w:val="-2"/>
          <w:lang w:val="en-GB" w:eastAsia="zh-CN"/>
        </w:rPr>
        <w:t xml:space="preserve"> not only emerging markets such </w:t>
      </w:r>
      <w:r w:rsidR="0028159A" w:rsidRPr="005B7F92">
        <w:rPr>
          <w:spacing w:val="-2"/>
          <w:lang w:val="en-GB" w:eastAsia="zh-CN"/>
        </w:rPr>
        <w:t xml:space="preserve">as </w:t>
      </w:r>
      <w:r w:rsidRPr="005B7F92">
        <w:rPr>
          <w:spacing w:val="-2"/>
          <w:lang w:val="en-GB" w:eastAsia="zh-CN"/>
        </w:rPr>
        <w:t>China</w:t>
      </w:r>
      <w:r w:rsidR="00516F2A" w:rsidRPr="005B7F92">
        <w:rPr>
          <w:spacing w:val="-2"/>
          <w:lang w:val="en-GB" w:eastAsia="zh-CN"/>
        </w:rPr>
        <w:t>,</w:t>
      </w:r>
      <w:r w:rsidRPr="005B7F92">
        <w:rPr>
          <w:spacing w:val="-2"/>
          <w:lang w:val="en-GB" w:eastAsia="zh-CN"/>
        </w:rPr>
        <w:t xml:space="preserve"> but also </w:t>
      </w:r>
      <w:r w:rsidR="0028159A" w:rsidRPr="005B7F92">
        <w:rPr>
          <w:spacing w:val="-2"/>
          <w:lang w:val="en-GB" w:eastAsia="zh-CN"/>
        </w:rPr>
        <w:t>a</w:t>
      </w:r>
      <w:r w:rsidRPr="005B7F92">
        <w:rPr>
          <w:spacing w:val="-2"/>
          <w:lang w:val="en-GB" w:eastAsia="zh-CN"/>
        </w:rPr>
        <w:t xml:space="preserve"> </w:t>
      </w:r>
      <w:r w:rsidR="0028159A" w:rsidRPr="005B7F92">
        <w:rPr>
          <w:spacing w:val="-2"/>
          <w:lang w:val="en-GB" w:eastAsia="zh-CN"/>
        </w:rPr>
        <w:t>growing</w:t>
      </w:r>
      <w:r w:rsidRPr="005B7F92">
        <w:rPr>
          <w:spacing w:val="-2"/>
          <w:lang w:val="en-GB" w:eastAsia="zh-CN"/>
        </w:rPr>
        <w:t xml:space="preserve"> ag</w:t>
      </w:r>
      <w:r w:rsidR="00516F2A" w:rsidRPr="005B7F92">
        <w:rPr>
          <w:spacing w:val="-2"/>
          <w:lang w:val="en-GB" w:eastAsia="zh-CN"/>
        </w:rPr>
        <w:t>ing</w:t>
      </w:r>
      <w:r w:rsidRPr="005B7F92">
        <w:rPr>
          <w:spacing w:val="-2"/>
          <w:lang w:val="en-GB" w:eastAsia="zh-CN"/>
        </w:rPr>
        <w:t xml:space="preserve"> population in mature markets. Th</w:t>
      </w:r>
      <w:r w:rsidR="00516F2A" w:rsidRPr="005B7F92">
        <w:rPr>
          <w:spacing w:val="-2"/>
          <w:lang w:val="en-GB" w:eastAsia="zh-CN"/>
        </w:rPr>
        <w:t>e</w:t>
      </w:r>
      <w:r w:rsidRPr="005B7F92">
        <w:rPr>
          <w:spacing w:val="-2"/>
          <w:lang w:val="en-GB" w:eastAsia="zh-CN"/>
        </w:rPr>
        <w:t xml:space="preserve"> industry was one of the most R&amp;D</w:t>
      </w:r>
      <w:r w:rsidR="00516F2A" w:rsidRPr="005B7F92">
        <w:rPr>
          <w:spacing w:val="-2"/>
          <w:lang w:val="en-GB" w:eastAsia="zh-CN"/>
        </w:rPr>
        <w:t>-</w:t>
      </w:r>
      <w:r w:rsidRPr="005B7F92">
        <w:rPr>
          <w:spacing w:val="-2"/>
          <w:lang w:val="en-GB" w:eastAsia="zh-CN"/>
        </w:rPr>
        <w:t>intensive sector</w:t>
      </w:r>
      <w:r w:rsidR="0028159A" w:rsidRPr="005B7F92">
        <w:rPr>
          <w:spacing w:val="-2"/>
          <w:lang w:val="en-GB" w:eastAsia="zh-CN"/>
        </w:rPr>
        <w:t>s,</w:t>
      </w:r>
      <w:r w:rsidRPr="005B7F92">
        <w:rPr>
          <w:spacing w:val="-2"/>
          <w:lang w:val="en-GB" w:eastAsia="zh-CN"/>
        </w:rPr>
        <w:t xml:space="preserve"> with a global R&amp;D ratio of roughly 13 per cent </w:t>
      </w:r>
      <w:r w:rsidR="00516F2A" w:rsidRPr="005B7F92">
        <w:rPr>
          <w:spacing w:val="-2"/>
          <w:lang w:val="en-GB" w:eastAsia="zh-CN"/>
        </w:rPr>
        <w:t>and</w:t>
      </w:r>
      <w:r w:rsidRPr="005B7F92">
        <w:rPr>
          <w:spacing w:val="-2"/>
          <w:lang w:val="en-GB" w:eastAsia="zh-CN"/>
        </w:rPr>
        <w:t xml:space="preserve"> most of the major players ha</w:t>
      </w:r>
      <w:r w:rsidR="00516F2A" w:rsidRPr="005B7F92">
        <w:rPr>
          <w:spacing w:val="-2"/>
          <w:lang w:val="en-GB" w:eastAsia="zh-CN"/>
        </w:rPr>
        <w:t>ving an</w:t>
      </w:r>
      <w:r w:rsidRPr="005B7F92">
        <w:rPr>
          <w:spacing w:val="-2"/>
          <w:lang w:val="en-GB" w:eastAsia="zh-CN"/>
        </w:rPr>
        <w:t xml:space="preserve"> even higher</w:t>
      </w:r>
      <w:r w:rsidR="00516F2A" w:rsidRPr="005B7F92">
        <w:rPr>
          <w:spacing w:val="-2"/>
          <w:lang w:val="en-GB" w:eastAsia="zh-CN"/>
        </w:rPr>
        <w:t xml:space="preserve"> ratio—</w:t>
      </w:r>
      <w:r w:rsidR="00F37DC3" w:rsidRPr="005B7F92">
        <w:rPr>
          <w:spacing w:val="-2"/>
          <w:lang w:val="en-GB" w:eastAsia="zh-CN"/>
        </w:rPr>
        <w:t>exceeding 18 per cent in 2015 (s</w:t>
      </w:r>
      <w:r w:rsidRPr="005B7F92">
        <w:rPr>
          <w:spacing w:val="-2"/>
          <w:lang w:val="en-GB" w:eastAsia="zh-CN"/>
        </w:rPr>
        <w:t xml:space="preserve">ee </w:t>
      </w:r>
      <w:r w:rsidR="00F37DC3" w:rsidRPr="005B7F92">
        <w:rPr>
          <w:spacing w:val="-2"/>
          <w:lang w:val="en-GB" w:eastAsia="zh-CN"/>
        </w:rPr>
        <w:t>Exhibit 1A</w:t>
      </w:r>
      <w:r w:rsidR="001F4B2F" w:rsidRPr="005B7F92">
        <w:rPr>
          <w:spacing w:val="-2"/>
          <w:lang w:val="en-GB" w:eastAsia="zh-CN"/>
        </w:rPr>
        <w:t>, 1</w:t>
      </w:r>
      <w:r w:rsidR="00F37DC3" w:rsidRPr="005B7F92">
        <w:rPr>
          <w:spacing w:val="-2"/>
          <w:lang w:val="en-GB" w:eastAsia="zh-CN"/>
        </w:rPr>
        <w:t>B</w:t>
      </w:r>
      <w:r w:rsidRPr="005B7F92">
        <w:rPr>
          <w:spacing w:val="-2"/>
          <w:lang w:val="en-GB" w:eastAsia="zh-CN"/>
        </w:rPr>
        <w:t>, and</w:t>
      </w:r>
      <w:r w:rsidR="001F4B2F" w:rsidRPr="005B7F92">
        <w:rPr>
          <w:spacing w:val="-2"/>
          <w:lang w:val="en-GB" w:eastAsia="zh-CN"/>
        </w:rPr>
        <w:t xml:space="preserve"> 1</w:t>
      </w:r>
      <w:r w:rsidR="00F37DC3" w:rsidRPr="005B7F92">
        <w:rPr>
          <w:spacing w:val="-2"/>
          <w:lang w:val="en-GB" w:eastAsia="zh-CN"/>
        </w:rPr>
        <w:t>C</w:t>
      </w:r>
      <w:r w:rsidRPr="005B7F92">
        <w:rPr>
          <w:spacing w:val="-2"/>
          <w:lang w:val="en-GB" w:eastAsia="zh-CN"/>
        </w:rPr>
        <w:t>)</w:t>
      </w:r>
      <w:r w:rsidR="00F37DC3" w:rsidRPr="005B7F92">
        <w:rPr>
          <w:spacing w:val="-2"/>
          <w:lang w:val="en-GB" w:eastAsia="zh-CN"/>
        </w:rPr>
        <w:t>.</w:t>
      </w:r>
    </w:p>
    <w:p w14:paraId="19902BF5" w14:textId="77777777" w:rsidR="005F6A0F" w:rsidRPr="005B7F92" w:rsidRDefault="005F6A0F" w:rsidP="006E7EDA">
      <w:pPr>
        <w:pStyle w:val="BodyTextMain"/>
        <w:rPr>
          <w:lang w:val="en-GB" w:eastAsia="zh-CN"/>
        </w:rPr>
      </w:pPr>
    </w:p>
    <w:p w14:paraId="71E7EA14" w14:textId="474E7374" w:rsidR="0048032D" w:rsidRPr="005B7F92" w:rsidRDefault="0028159A" w:rsidP="00EB6FFA">
      <w:pPr>
        <w:pStyle w:val="BodyTextMain"/>
        <w:rPr>
          <w:lang w:val="en-GB" w:eastAsia="zh-CN"/>
        </w:rPr>
      </w:pPr>
      <w:r w:rsidRPr="005B7F92">
        <w:rPr>
          <w:lang w:val="en-GB" w:eastAsia="zh-CN"/>
        </w:rPr>
        <w:t>However, t</w:t>
      </w:r>
      <w:r w:rsidR="0048032D" w:rsidRPr="005B7F92">
        <w:rPr>
          <w:lang w:val="en-GB" w:eastAsia="zh-CN"/>
        </w:rPr>
        <w:t xml:space="preserve">his lucrative industry was undergoing major regulatory reinforcements, including more prudent </w:t>
      </w:r>
      <w:r w:rsidR="00A4435D" w:rsidRPr="005B7F92">
        <w:rPr>
          <w:lang w:val="en-GB" w:eastAsia="zh-CN"/>
        </w:rPr>
        <w:t xml:space="preserve">management of government </w:t>
      </w:r>
      <w:r w:rsidR="0048032D" w:rsidRPr="005B7F92">
        <w:rPr>
          <w:lang w:val="en-GB" w:eastAsia="zh-CN"/>
        </w:rPr>
        <w:t>health</w:t>
      </w:r>
      <w:r w:rsidRPr="005B7F92">
        <w:rPr>
          <w:lang w:val="en-GB" w:eastAsia="zh-CN"/>
        </w:rPr>
        <w:t xml:space="preserve"> </w:t>
      </w:r>
      <w:r w:rsidR="0048032D" w:rsidRPr="005B7F92">
        <w:rPr>
          <w:lang w:val="en-GB" w:eastAsia="zh-CN"/>
        </w:rPr>
        <w:t xml:space="preserve">care budgets in mature markets. In emerging markets, the entry barrier was still high. More importantly, the industry </w:t>
      </w:r>
      <w:r w:rsidR="00843B65" w:rsidRPr="005B7F92">
        <w:rPr>
          <w:lang w:val="en-GB" w:eastAsia="zh-CN"/>
        </w:rPr>
        <w:t>was</w:t>
      </w:r>
      <w:r w:rsidR="0048032D" w:rsidRPr="005B7F92">
        <w:rPr>
          <w:lang w:val="en-GB" w:eastAsia="zh-CN"/>
        </w:rPr>
        <w:t xml:space="preserve"> experiencing poorer scientific productivity due to </w:t>
      </w:r>
      <w:r w:rsidR="00BE1F1E" w:rsidRPr="005B7F92">
        <w:rPr>
          <w:lang w:val="en-GB" w:eastAsia="zh-CN"/>
        </w:rPr>
        <w:t>a</w:t>
      </w:r>
      <w:r w:rsidR="0048032D" w:rsidRPr="005B7F92">
        <w:rPr>
          <w:lang w:val="en-GB" w:eastAsia="zh-CN"/>
        </w:rPr>
        <w:t xml:space="preserve"> wave of patent expiration</w:t>
      </w:r>
      <w:r w:rsidR="00BE1F1E" w:rsidRPr="005B7F92">
        <w:rPr>
          <w:lang w:val="en-GB" w:eastAsia="zh-CN"/>
        </w:rPr>
        <w:t>s</w:t>
      </w:r>
      <w:r w:rsidR="0048032D" w:rsidRPr="005B7F92">
        <w:rPr>
          <w:lang w:val="en-GB" w:eastAsia="zh-CN"/>
        </w:rPr>
        <w:t xml:space="preserve"> and </w:t>
      </w:r>
      <w:r w:rsidR="00BE1F1E" w:rsidRPr="005B7F92">
        <w:rPr>
          <w:lang w:val="en-GB" w:eastAsia="zh-CN"/>
        </w:rPr>
        <w:t>the sudden appearance</w:t>
      </w:r>
      <w:r w:rsidR="0048032D" w:rsidRPr="005B7F92">
        <w:rPr>
          <w:lang w:val="en-GB" w:eastAsia="zh-CN"/>
        </w:rPr>
        <w:t xml:space="preserve"> of generic</w:t>
      </w:r>
      <w:r w:rsidR="00BE1F1E" w:rsidRPr="005B7F92">
        <w:rPr>
          <w:lang w:val="en-GB" w:eastAsia="zh-CN"/>
        </w:rPr>
        <w:t xml:space="preserve"> medicine</w:t>
      </w:r>
      <w:r w:rsidR="0048032D" w:rsidRPr="005B7F92">
        <w:rPr>
          <w:lang w:val="en-GB" w:eastAsia="zh-CN"/>
        </w:rPr>
        <w:t>s</w:t>
      </w:r>
      <w:r w:rsidR="00BE1F1E" w:rsidRPr="005B7F92">
        <w:rPr>
          <w:lang w:val="en-GB" w:eastAsia="zh-CN"/>
        </w:rPr>
        <w:t>,</w:t>
      </w:r>
      <w:r w:rsidR="0048032D" w:rsidRPr="005B7F92">
        <w:rPr>
          <w:lang w:val="en-GB" w:eastAsia="zh-CN"/>
        </w:rPr>
        <w:t xml:space="preserve"> and </w:t>
      </w:r>
      <w:r w:rsidR="00BE1F1E" w:rsidRPr="005B7F92">
        <w:rPr>
          <w:lang w:val="en-GB" w:eastAsia="zh-CN"/>
        </w:rPr>
        <w:t>higher</w:t>
      </w:r>
      <w:r w:rsidR="0048032D" w:rsidRPr="005B7F92">
        <w:rPr>
          <w:lang w:val="en-GB" w:eastAsia="zh-CN"/>
        </w:rPr>
        <w:t xml:space="preserve"> R&amp;D costs </w:t>
      </w:r>
      <w:r w:rsidR="00516F2A" w:rsidRPr="005B7F92">
        <w:rPr>
          <w:lang w:val="en-GB" w:eastAsia="zh-CN"/>
        </w:rPr>
        <w:t>because of</w:t>
      </w:r>
      <w:r w:rsidR="0048032D" w:rsidRPr="005B7F92">
        <w:rPr>
          <w:lang w:val="en-GB" w:eastAsia="zh-CN"/>
        </w:rPr>
        <w:t xml:space="preserve"> </w:t>
      </w:r>
      <w:r w:rsidR="00516F2A" w:rsidRPr="005B7F92">
        <w:rPr>
          <w:lang w:val="en-GB" w:eastAsia="zh-CN"/>
        </w:rPr>
        <w:t>increased</w:t>
      </w:r>
      <w:r w:rsidR="0048032D" w:rsidRPr="005B7F92">
        <w:rPr>
          <w:lang w:val="en-GB" w:eastAsia="zh-CN"/>
        </w:rPr>
        <w:t xml:space="preserve"> competition. The time required for </w:t>
      </w:r>
      <w:r w:rsidR="00145599" w:rsidRPr="005B7F92">
        <w:rPr>
          <w:lang w:val="en-GB" w:eastAsia="zh-CN"/>
        </w:rPr>
        <w:t>a new drug development process</w:t>
      </w:r>
      <w:r w:rsidR="00516F2A" w:rsidRPr="005B7F92">
        <w:rPr>
          <w:lang w:val="en-GB" w:eastAsia="zh-CN"/>
        </w:rPr>
        <w:t>,</w:t>
      </w:r>
      <w:r w:rsidR="0048032D" w:rsidRPr="005B7F92">
        <w:rPr>
          <w:lang w:val="en-GB" w:eastAsia="zh-CN"/>
        </w:rPr>
        <w:t xml:space="preserve"> from R&amp;D, testing, </w:t>
      </w:r>
      <w:r w:rsidR="00BE1F1E" w:rsidRPr="005B7F92">
        <w:rPr>
          <w:lang w:val="en-GB" w:eastAsia="zh-CN"/>
        </w:rPr>
        <w:t xml:space="preserve">and </w:t>
      </w:r>
      <w:r w:rsidR="0048032D" w:rsidRPr="005B7F92">
        <w:rPr>
          <w:lang w:val="en-GB" w:eastAsia="zh-CN"/>
        </w:rPr>
        <w:t xml:space="preserve">manufacturing </w:t>
      </w:r>
      <w:r w:rsidR="00BE1F1E" w:rsidRPr="005B7F92">
        <w:rPr>
          <w:lang w:val="en-GB" w:eastAsia="zh-CN"/>
        </w:rPr>
        <w:t xml:space="preserve">to </w:t>
      </w:r>
      <w:r w:rsidR="0048032D" w:rsidRPr="005B7F92">
        <w:rPr>
          <w:lang w:val="en-GB" w:eastAsia="zh-CN"/>
        </w:rPr>
        <w:t xml:space="preserve">licensing </w:t>
      </w:r>
      <w:r w:rsidR="00BE1F1E" w:rsidRPr="005B7F92">
        <w:rPr>
          <w:lang w:val="en-GB" w:eastAsia="zh-CN"/>
        </w:rPr>
        <w:t>and</w:t>
      </w:r>
      <w:r w:rsidR="0048032D" w:rsidRPr="005B7F92">
        <w:rPr>
          <w:lang w:val="en-GB" w:eastAsia="zh-CN"/>
        </w:rPr>
        <w:t xml:space="preserve"> marketing</w:t>
      </w:r>
      <w:r w:rsidR="00516F2A" w:rsidRPr="005B7F92">
        <w:rPr>
          <w:lang w:val="en-GB" w:eastAsia="zh-CN"/>
        </w:rPr>
        <w:t>,</w:t>
      </w:r>
      <w:r w:rsidR="0048032D" w:rsidRPr="005B7F92">
        <w:rPr>
          <w:lang w:val="en-GB" w:eastAsia="zh-CN"/>
        </w:rPr>
        <w:t xml:space="preserve"> </w:t>
      </w:r>
      <w:r w:rsidR="00516F2A" w:rsidRPr="005B7F92">
        <w:rPr>
          <w:lang w:val="en-GB" w:eastAsia="zh-CN"/>
        </w:rPr>
        <w:t>was</w:t>
      </w:r>
      <w:r w:rsidR="0048032D" w:rsidRPr="005B7F92">
        <w:rPr>
          <w:lang w:val="en-GB" w:eastAsia="zh-CN"/>
        </w:rPr>
        <w:t xml:space="preserve"> about 12 years.</w:t>
      </w:r>
      <w:r w:rsidR="0048032D" w:rsidRPr="005B7F92">
        <w:rPr>
          <w:rStyle w:val="EndnoteReference"/>
          <w:lang w:val="en-GB" w:eastAsia="zh-CN"/>
        </w:rPr>
        <w:endnoteReference w:id="12"/>
      </w:r>
      <w:r w:rsidR="0048032D" w:rsidRPr="005B7F92">
        <w:rPr>
          <w:lang w:val="en-GB" w:eastAsia="zh-CN"/>
        </w:rPr>
        <w:t xml:space="preserve"> Indeed, the “patent cliff</w:t>
      </w:r>
      <w:r w:rsidRPr="005B7F92">
        <w:rPr>
          <w:lang w:val="en-GB" w:eastAsia="zh-CN"/>
        </w:rPr>
        <w:t>,</w:t>
      </w:r>
      <w:r w:rsidR="0048032D" w:rsidRPr="005B7F92">
        <w:rPr>
          <w:lang w:val="en-GB" w:eastAsia="zh-CN"/>
        </w:rPr>
        <w:t xml:space="preserve">” </w:t>
      </w:r>
      <w:r w:rsidR="005C73CF" w:rsidRPr="005B7F92">
        <w:rPr>
          <w:lang w:val="en-GB" w:eastAsia="zh-CN"/>
        </w:rPr>
        <w:t>a potential sharp decline in revenues</w:t>
      </w:r>
      <w:r w:rsidR="00EB6FFA" w:rsidRPr="005B7F92">
        <w:rPr>
          <w:lang w:val="en-GB" w:eastAsia="zh-CN"/>
        </w:rPr>
        <w:t xml:space="preserve"> of a firm</w:t>
      </w:r>
      <w:r w:rsidR="005C73CF" w:rsidRPr="005B7F92">
        <w:rPr>
          <w:lang w:val="en-GB" w:eastAsia="zh-CN"/>
        </w:rPr>
        <w:t xml:space="preserve"> </w:t>
      </w:r>
      <w:r w:rsidR="00EB6FFA" w:rsidRPr="005B7F92">
        <w:rPr>
          <w:lang w:val="en-GB" w:eastAsia="zh-CN"/>
        </w:rPr>
        <w:t>due to</w:t>
      </w:r>
      <w:r w:rsidR="005C73CF" w:rsidRPr="005B7F92">
        <w:rPr>
          <w:lang w:val="en-GB" w:eastAsia="zh-CN"/>
        </w:rPr>
        <w:t xml:space="preserve"> replication</w:t>
      </w:r>
      <w:r w:rsidR="000C2B29" w:rsidRPr="005B7F92">
        <w:rPr>
          <w:lang w:val="en-GB" w:eastAsia="zh-CN"/>
        </w:rPr>
        <w:t xml:space="preserve"> of</w:t>
      </w:r>
      <w:r w:rsidR="00EB6FFA" w:rsidRPr="005B7F92">
        <w:rPr>
          <w:lang w:val="en-GB" w:eastAsia="zh-CN"/>
        </w:rPr>
        <w:t xml:space="preserve"> its established products</w:t>
      </w:r>
      <w:r w:rsidR="000C2B29" w:rsidRPr="005B7F92">
        <w:rPr>
          <w:lang w:val="en-GB" w:eastAsia="zh-CN"/>
        </w:rPr>
        <w:t xml:space="preserve"> by competitors</w:t>
      </w:r>
      <w:r w:rsidR="00EB6FFA" w:rsidRPr="005B7F92">
        <w:rPr>
          <w:lang w:val="en-GB" w:eastAsia="zh-CN"/>
        </w:rPr>
        <w:t xml:space="preserve"> </w:t>
      </w:r>
      <w:r w:rsidR="005C73CF" w:rsidRPr="005B7F92">
        <w:rPr>
          <w:lang w:val="en-GB" w:eastAsia="zh-CN"/>
        </w:rPr>
        <w:t>upon expiry of</w:t>
      </w:r>
      <w:r w:rsidR="00EB6FFA" w:rsidRPr="005B7F92">
        <w:rPr>
          <w:lang w:val="en-GB" w:eastAsia="zh-CN"/>
        </w:rPr>
        <w:t xml:space="preserve"> their patent</w:t>
      </w:r>
      <w:r w:rsidR="00853F9C" w:rsidRPr="005B7F92">
        <w:rPr>
          <w:lang w:val="en-GB" w:eastAsia="zh-CN"/>
        </w:rPr>
        <w:t>,</w:t>
      </w:r>
      <w:r w:rsidR="0048032D" w:rsidRPr="005B7F92">
        <w:rPr>
          <w:lang w:val="en-GB" w:eastAsia="zh-CN"/>
        </w:rPr>
        <w:t xml:space="preserve"> w</w:t>
      </w:r>
      <w:r w:rsidR="005F6A0F" w:rsidRPr="005B7F92">
        <w:rPr>
          <w:lang w:val="en-GB" w:eastAsia="zh-CN"/>
        </w:rPr>
        <w:t>ould</w:t>
      </w:r>
      <w:r w:rsidR="0048032D" w:rsidRPr="005B7F92">
        <w:rPr>
          <w:lang w:val="en-GB" w:eastAsia="zh-CN"/>
        </w:rPr>
        <w:t xml:space="preserve"> prevent pharmaceutical firms from </w:t>
      </w:r>
      <w:r w:rsidR="005F6A0F" w:rsidRPr="005B7F92">
        <w:rPr>
          <w:lang w:val="en-GB" w:eastAsia="zh-CN"/>
        </w:rPr>
        <w:t>reaching</w:t>
      </w:r>
      <w:r w:rsidR="0048032D" w:rsidRPr="005B7F92">
        <w:rPr>
          <w:lang w:val="en-GB" w:eastAsia="zh-CN"/>
        </w:rPr>
        <w:t xml:space="preserve"> €132 billion revenues.</w:t>
      </w:r>
      <w:r w:rsidR="0048032D" w:rsidRPr="005B7F92">
        <w:rPr>
          <w:rStyle w:val="EndnoteReference"/>
          <w:lang w:val="en-GB" w:eastAsia="zh-CN"/>
        </w:rPr>
        <w:endnoteReference w:id="13"/>
      </w:r>
      <w:r w:rsidR="0048032D" w:rsidRPr="005B7F92">
        <w:rPr>
          <w:lang w:val="en-GB" w:eastAsia="zh-CN"/>
        </w:rPr>
        <w:t xml:space="preserve"> Moreover, developing new medicines </w:t>
      </w:r>
      <w:r w:rsidR="00501D4A" w:rsidRPr="005B7F92">
        <w:rPr>
          <w:lang w:val="en-GB" w:eastAsia="zh-CN"/>
        </w:rPr>
        <w:t xml:space="preserve">increasingly </w:t>
      </w:r>
      <w:r w:rsidR="0048032D" w:rsidRPr="005B7F92">
        <w:rPr>
          <w:lang w:val="en-GB" w:eastAsia="zh-CN"/>
        </w:rPr>
        <w:t xml:space="preserve">required </w:t>
      </w:r>
      <w:r w:rsidR="00501D4A" w:rsidRPr="005B7F92">
        <w:rPr>
          <w:lang w:val="en-GB" w:eastAsia="zh-CN"/>
        </w:rPr>
        <w:t>greater</w:t>
      </w:r>
      <w:r w:rsidR="005F6A0F" w:rsidRPr="005B7F92">
        <w:rPr>
          <w:lang w:val="en-GB" w:eastAsia="zh-CN"/>
        </w:rPr>
        <w:t xml:space="preserve"> investments.</w:t>
      </w:r>
      <w:r w:rsidR="008E15FE" w:rsidRPr="005B7F92">
        <w:rPr>
          <w:lang w:val="en-GB" w:eastAsia="zh-CN"/>
        </w:rPr>
        <w:t xml:space="preserve"> The Tufts </w:t>
      </w:r>
      <w:proofErr w:type="spellStart"/>
      <w:r w:rsidR="008E15FE" w:rsidRPr="005B7F92">
        <w:rPr>
          <w:lang w:val="en-GB" w:eastAsia="zh-CN"/>
        </w:rPr>
        <w:t>Center</w:t>
      </w:r>
      <w:proofErr w:type="spellEnd"/>
      <w:r w:rsidR="008E15FE" w:rsidRPr="005B7F92">
        <w:rPr>
          <w:lang w:val="en-GB" w:eastAsia="zh-CN"/>
        </w:rPr>
        <w:t xml:space="preserve"> for the Study of Drug Development estimated in March 2016 the cost of developing a prescription drug to the market at $2.6 billion, a 145 per cent increase from that in 2003</w:t>
      </w:r>
      <w:r w:rsidR="0048032D" w:rsidRPr="005B7F92">
        <w:rPr>
          <w:rStyle w:val="EndnoteReference"/>
          <w:lang w:val="en-GB" w:eastAsia="zh-CN"/>
        </w:rPr>
        <w:endnoteReference w:id="14"/>
      </w:r>
      <w:r w:rsidR="0048032D" w:rsidRPr="005B7F92">
        <w:rPr>
          <w:lang w:val="en-GB" w:eastAsia="zh-CN"/>
        </w:rPr>
        <w:t xml:space="preserve"> due to regulators becoming more risk</w:t>
      </w:r>
      <w:r w:rsidR="00BE1F1E" w:rsidRPr="005B7F92">
        <w:rPr>
          <w:lang w:val="en-GB" w:eastAsia="zh-CN"/>
        </w:rPr>
        <w:t>-</w:t>
      </w:r>
      <w:r w:rsidR="0048032D" w:rsidRPr="005B7F92">
        <w:rPr>
          <w:lang w:val="en-GB" w:eastAsia="zh-CN"/>
        </w:rPr>
        <w:t>adverse</w:t>
      </w:r>
      <w:r w:rsidR="000B696C" w:rsidRPr="005B7F92">
        <w:rPr>
          <w:lang w:val="en-GB" w:eastAsia="zh-CN"/>
        </w:rPr>
        <w:t>,</w:t>
      </w:r>
      <w:r w:rsidR="0048032D" w:rsidRPr="005B7F92">
        <w:rPr>
          <w:lang w:val="en-GB" w:eastAsia="zh-CN"/>
        </w:rPr>
        <w:t xml:space="preserve"> and </w:t>
      </w:r>
      <w:r w:rsidR="000B696C" w:rsidRPr="005B7F92">
        <w:rPr>
          <w:lang w:val="en-GB" w:eastAsia="zh-CN"/>
        </w:rPr>
        <w:t xml:space="preserve">to </w:t>
      </w:r>
      <w:r w:rsidR="0048032D" w:rsidRPr="005B7F92">
        <w:rPr>
          <w:lang w:val="en-GB" w:eastAsia="zh-CN"/>
        </w:rPr>
        <w:t>the industry focusing on more difficult</w:t>
      </w:r>
      <w:r w:rsidR="000B696C" w:rsidRPr="005B7F92">
        <w:rPr>
          <w:lang w:val="en-GB" w:eastAsia="zh-CN"/>
        </w:rPr>
        <w:t>—</w:t>
      </w:r>
      <w:r w:rsidR="0048032D" w:rsidRPr="005B7F92">
        <w:rPr>
          <w:lang w:val="en-GB" w:eastAsia="zh-CN"/>
        </w:rPr>
        <w:t>and thus riskier</w:t>
      </w:r>
      <w:r w:rsidR="000B696C" w:rsidRPr="005B7F92">
        <w:rPr>
          <w:lang w:val="en-GB" w:eastAsia="zh-CN"/>
        </w:rPr>
        <w:t>—</w:t>
      </w:r>
      <w:r w:rsidR="0048032D" w:rsidRPr="005B7F92">
        <w:rPr>
          <w:lang w:val="en-GB" w:eastAsia="zh-CN"/>
        </w:rPr>
        <w:t>areas of science.</w:t>
      </w:r>
      <w:r w:rsidR="0048032D" w:rsidRPr="005B7F92">
        <w:rPr>
          <w:rStyle w:val="EndnoteReference"/>
          <w:lang w:val="en-GB" w:eastAsia="zh-CN"/>
        </w:rPr>
        <w:endnoteReference w:id="15"/>
      </w:r>
    </w:p>
    <w:p w14:paraId="59BCB6A1" w14:textId="77777777" w:rsidR="00AD026D" w:rsidRPr="005B7F92" w:rsidRDefault="00AD026D" w:rsidP="006E7EDA">
      <w:pPr>
        <w:pStyle w:val="BodyTextMain"/>
        <w:rPr>
          <w:lang w:val="en-GB" w:eastAsia="zh-CN"/>
        </w:rPr>
      </w:pPr>
    </w:p>
    <w:p w14:paraId="6DDF70E7" w14:textId="001E7DD0" w:rsidR="0048032D" w:rsidRPr="005B7F92" w:rsidRDefault="0048032D" w:rsidP="006E7EDA">
      <w:pPr>
        <w:pStyle w:val="BodyTextMain"/>
        <w:rPr>
          <w:lang w:val="en-GB" w:eastAsia="zh-CN"/>
        </w:rPr>
      </w:pPr>
      <w:r w:rsidRPr="005B7F92">
        <w:rPr>
          <w:lang w:val="en-GB" w:eastAsia="zh-CN"/>
        </w:rPr>
        <w:t xml:space="preserve">Even </w:t>
      </w:r>
      <w:r w:rsidR="001C2F5F" w:rsidRPr="005B7F92">
        <w:rPr>
          <w:lang w:val="en-GB" w:eastAsia="zh-CN"/>
        </w:rPr>
        <w:t>though</w:t>
      </w:r>
      <w:r w:rsidRPr="005B7F92">
        <w:rPr>
          <w:lang w:val="en-GB" w:eastAsia="zh-CN"/>
        </w:rPr>
        <w:t xml:space="preserve"> the industry had seen waves of consolidations</w:t>
      </w:r>
      <w:r w:rsidR="001C2F5F" w:rsidRPr="005B7F92">
        <w:rPr>
          <w:lang w:val="en-GB" w:eastAsia="zh-CN"/>
        </w:rPr>
        <w:t>,</w:t>
      </w:r>
      <w:r w:rsidRPr="005B7F92">
        <w:rPr>
          <w:lang w:val="en-GB" w:eastAsia="zh-CN"/>
        </w:rPr>
        <w:t xml:space="preserve"> mostly led by Western companies, </w:t>
      </w:r>
      <w:r w:rsidR="001C2F5F" w:rsidRPr="005B7F92">
        <w:rPr>
          <w:lang w:val="en-GB" w:eastAsia="zh-CN"/>
        </w:rPr>
        <w:t>it</w:t>
      </w:r>
      <w:r w:rsidRPr="005B7F92">
        <w:rPr>
          <w:lang w:val="en-GB" w:eastAsia="zh-CN"/>
        </w:rPr>
        <w:t xml:space="preserve"> was still fragmented </w:t>
      </w:r>
      <w:r w:rsidR="001C2F5F" w:rsidRPr="005B7F92">
        <w:rPr>
          <w:lang w:val="en-GB" w:eastAsia="zh-CN"/>
        </w:rPr>
        <w:t>and highly competitive</w:t>
      </w:r>
      <w:r w:rsidRPr="005B7F92">
        <w:rPr>
          <w:lang w:val="en-GB" w:eastAsia="zh-CN"/>
        </w:rPr>
        <w:t xml:space="preserve">. The main </w:t>
      </w:r>
      <w:r w:rsidR="001C2F5F" w:rsidRPr="005B7F92">
        <w:rPr>
          <w:lang w:val="en-GB" w:eastAsia="zh-CN"/>
        </w:rPr>
        <w:t xml:space="preserve">industry </w:t>
      </w:r>
      <w:r w:rsidRPr="005B7F92">
        <w:rPr>
          <w:lang w:val="en-GB" w:eastAsia="zh-CN"/>
        </w:rPr>
        <w:t xml:space="preserve">players were </w:t>
      </w:r>
      <w:r w:rsidR="00E7297C" w:rsidRPr="005B7F92">
        <w:rPr>
          <w:lang w:val="en-GB" w:eastAsia="zh-CN"/>
        </w:rPr>
        <w:t>Johnson</w:t>
      </w:r>
      <w:r w:rsidRPr="005B7F92">
        <w:rPr>
          <w:lang w:val="en-GB" w:eastAsia="zh-CN"/>
        </w:rPr>
        <w:t xml:space="preserve"> &amp; </w:t>
      </w:r>
      <w:r w:rsidR="00E7297C" w:rsidRPr="005B7F92">
        <w:rPr>
          <w:lang w:val="en-GB" w:eastAsia="zh-CN"/>
        </w:rPr>
        <w:t>Johnson</w:t>
      </w:r>
      <w:r w:rsidRPr="005B7F92">
        <w:rPr>
          <w:lang w:val="en-GB" w:eastAsia="zh-CN"/>
        </w:rPr>
        <w:t>, Bayer, Roche, Novartis, Pfizer</w:t>
      </w:r>
      <w:r w:rsidR="001A66B0" w:rsidRPr="005B7F92">
        <w:rPr>
          <w:lang w:val="en-GB" w:eastAsia="zh-CN"/>
        </w:rPr>
        <w:t xml:space="preserve"> Inc. (Pfizer)</w:t>
      </w:r>
      <w:r w:rsidRPr="005B7F92">
        <w:rPr>
          <w:lang w:val="en-GB" w:eastAsia="zh-CN"/>
        </w:rPr>
        <w:t>, Merck &amp; Co</w:t>
      </w:r>
      <w:r w:rsidR="006A16C2" w:rsidRPr="005B7F92">
        <w:rPr>
          <w:lang w:val="en-GB" w:eastAsia="zh-CN"/>
        </w:rPr>
        <w:t>. Inc.</w:t>
      </w:r>
      <w:r w:rsidRPr="005B7F92">
        <w:rPr>
          <w:lang w:val="en-GB" w:eastAsia="zh-CN"/>
        </w:rPr>
        <w:t>, AstraZeneca, G</w:t>
      </w:r>
      <w:r w:rsidR="00B31518" w:rsidRPr="005B7F92">
        <w:rPr>
          <w:lang w:val="en-GB" w:eastAsia="zh-CN"/>
        </w:rPr>
        <w:t>laxo</w:t>
      </w:r>
      <w:r w:rsidRPr="005B7F92">
        <w:rPr>
          <w:lang w:val="en-GB" w:eastAsia="zh-CN"/>
        </w:rPr>
        <w:t>S</w:t>
      </w:r>
      <w:r w:rsidR="00B31518" w:rsidRPr="005B7F92">
        <w:rPr>
          <w:lang w:val="en-GB" w:eastAsia="zh-CN"/>
        </w:rPr>
        <w:t>mith</w:t>
      </w:r>
      <w:r w:rsidRPr="005B7F92">
        <w:rPr>
          <w:lang w:val="en-GB" w:eastAsia="zh-CN"/>
        </w:rPr>
        <w:t>K</w:t>
      </w:r>
      <w:r w:rsidR="00B31518" w:rsidRPr="005B7F92">
        <w:rPr>
          <w:lang w:val="en-GB" w:eastAsia="zh-CN"/>
        </w:rPr>
        <w:t>line Inc.</w:t>
      </w:r>
      <w:r w:rsidRPr="005B7F92">
        <w:rPr>
          <w:lang w:val="en-GB" w:eastAsia="zh-CN"/>
        </w:rPr>
        <w:t xml:space="preserve">, and Sanofi. </w:t>
      </w:r>
      <w:r w:rsidR="001C2F5F" w:rsidRPr="005B7F92">
        <w:rPr>
          <w:lang w:val="en-GB" w:eastAsia="zh-CN"/>
        </w:rPr>
        <w:t>These k</w:t>
      </w:r>
      <w:r w:rsidRPr="005B7F92">
        <w:rPr>
          <w:lang w:val="en-GB" w:eastAsia="zh-CN"/>
        </w:rPr>
        <w:t xml:space="preserve">ey players were experiencing decreasing margins due to stricter regulations, </w:t>
      </w:r>
      <w:r w:rsidR="001C2F5F" w:rsidRPr="005B7F92">
        <w:rPr>
          <w:lang w:val="en-GB" w:eastAsia="zh-CN"/>
        </w:rPr>
        <w:t xml:space="preserve">the </w:t>
      </w:r>
      <w:r w:rsidRPr="005B7F92">
        <w:rPr>
          <w:lang w:val="en-GB" w:eastAsia="zh-CN"/>
        </w:rPr>
        <w:t xml:space="preserve">expiration of patents, and </w:t>
      </w:r>
      <w:r w:rsidRPr="005B7F92">
        <w:rPr>
          <w:lang w:val="en-GB" w:eastAsia="zh-CN"/>
        </w:rPr>
        <w:lastRenderedPageBreak/>
        <w:t>rising R&amp;D costs. Most of the firms in this industry were pure player</w:t>
      </w:r>
      <w:r w:rsidR="001C2F5F" w:rsidRPr="005B7F92">
        <w:rPr>
          <w:lang w:val="en-GB" w:eastAsia="zh-CN"/>
        </w:rPr>
        <w:t>s</w:t>
      </w:r>
      <w:r w:rsidRPr="005B7F92">
        <w:rPr>
          <w:lang w:val="en-GB" w:eastAsia="zh-CN"/>
        </w:rPr>
        <w:t>, deriving revenues mainly from their pharmaceutical business</w:t>
      </w:r>
      <w:r w:rsidR="00570E06" w:rsidRPr="005B7F92">
        <w:rPr>
          <w:lang w:val="en-GB" w:eastAsia="zh-CN"/>
        </w:rPr>
        <w:t>es</w:t>
      </w:r>
      <w:r w:rsidRPr="005B7F92">
        <w:rPr>
          <w:lang w:val="en-GB" w:eastAsia="zh-CN"/>
        </w:rPr>
        <w:t>. However, the two leaders</w:t>
      </w:r>
      <w:r w:rsidR="001C2F5F" w:rsidRPr="005B7F92">
        <w:rPr>
          <w:lang w:val="en-GB" w:eastAsia="zh-CN"/>
        </w:rPr>
        <w:t>,</w:t>
      </w:r>
      <w:r w:rsidRPr="005B7F92">
        <w:rPr>
          <w:lang w:val="en-GB" w:eastAsia="zh-CN"/>
        </w:rPr>
        <w:t xml:space="preserve"> </w:t>
      </w:r>
      <w:r w:rsidR="00E7297C" w:rsidRPr="005B7F92">
        <w:rPr>
          <w:lang w:val="en-GB" w:eastAsia="zh-CN"/>
        </w:rPr>
        <w:t>Johnson</w:t>
      </w:r>
      <w:r w:rsidRPr="005B7F92">
        <w:rPr>
          <w:lang w:val="en-GB" w:eastAsia="zh-CN"/>
        </w:rPr>
        <w:t xml:space="preserve"> &amp; </w:t>
      </w:r>
      <w:r w:rsidR="00E7297C" w:rsidRPr="005B7F92">
        <w:rPr>
          <w:lang w:val="en-GB" w:eastAsia="zh-CN"/>
        </w:rPr>
        <w:t>Johnson</w:t>
      </w:r>
      <w:r w:rsidRPr="005B7F92">
        <w:rPr>
          <w:lang w:val="en-GB" w:eastAsia="zh-CN"/>
        </w:rPr>
        <w:t xml:space="preserve"> and Bayer</w:t>
      </w:r>
      <w:r w:rsidR="001C2F5F" w:rsidRPr="005B7F92">
        <w:rPr>
          <w:lang w:val="en-GB" w:eastAsia="zh-CN"/>
        </w:rPr>
        <w:t>,</w:t>
      </w:r>
      <w:r w:rsidRPr="005B7F92">
        <w:rPr>
          <w:lang w:val="en-GB" w:eastAsia="zh-CN"/>
        </w:rPr>
        <w:t xml:space="preserve"> had diversified businesses, generating over half of their revenues from non-pharmaceutical activities.</w:t>
      </w:r>
    </w:p>
    <w:p w14:paraId="3D969077" w14:textId="77777777" w:rsidR="0048032D" w:rsidRPr="005B7F92" w:rsidRDefault="0048032D" w:rsidP="00945CC2">
      <w:pPr>
        <w:pStyle w:val="BodyTextMain"/>
        <w:rPr>
          <w:b/>
          <w:lang w:val="en-GB" w:eastAsia="zh-CN"/>
        </w:rPr>
      </w:pPr>
    </w:p>
    <w:p w14:paraId="5430FA20" w14:textId="77777777" w:rsidR="0048032D" w:rsidRPr="005B7F92" w:rsidRDefault="0048032D" w:rsidP="00945CC2">
      <w:pPr>
        <w:pStyle w:val="BodyTextMain"/>
        <w:rPr>
          <w:b/>
          <w:lang w:val="en-GB" w:eastAsia="zh-CN"/>
        </w:rPr>
      </w:pPr>
    </w:p>
    <w:p w14:paraId="75F86FBE" w14:textId="4A0F4E24" w:rsidR="0048032D" w:rsidRPr="005B7F92" w:rsidRDefault="0048032D" w:rsidP="00945CC2">
      <w:pPr>
        <w:pStyle w:val="BodyTextMain"/>
        <w:rPr>
          <w:rFonts w:ascii="Arial" w:hAnsi="Arial" w:cs="Arial"/>
          <w:b/>
          <w:sz w:val="20"/>
          <w:szCs w:val="20"/>
          <w:lang w:val="en-GB" w:eastAsia="zh-CN"/>
        </w:rPr>
      </w:pPr>
      <w:r w:rsidRPr="005B7F92">
        <w:rPr>
          <w:rFonts w:ascii="Arial" w:hAnsi="Arial" w:cs="Arial"/>
          <w:b/>
          <w:sz w:val="20"/>
          <w:szCs w:val="20"/>
          <w:lang w:val="en-GB" w:eastAsia="zh-CN"/>
        </w:rPr>
        <w:t>The Company in 2016</w:t>
      </w:r>
    </w:p>
    <w:p w14:paraId="56E3CF39" w14:textId="77777777" w:rsidR="0048032D" w:rsidRPr="005B7F92" w:rsidRDefault="0048032D" w:rsidP="00945CC2">
      <w:pPr>
        <w:pStyle w:val="BodyTextMain"/>
        <w:rPr>
          <w:lang w:val="en-GB" w:eastAsia="zh-CN"/>
        </w:rPr>
      </w:pPr>
    </w:p>
    <w:p w14:paraId="4FDBF8BB" w14:textId="6FBB8701" w:rsidR="0048032D" w:rsidRPr="005B7F92" w:rsidRDefault="0048032D" w:rsidP="00110FB5">
      <w:pPr>
        <w:pStyle w:val="BodyTextMain"/>
        <w:rPr>
          <w:lang w:val="en-GB" w:eastAsia="zh-CN"/>
        </w:rPr>
      </w:pPr>
      <w:r w:rsidRPr="005B7F92">
        <w:rPr>
          <w:lang w:val="en-GB" w:eastAsia="zh-CN"/>
        </w:rPr>
        <w:t xml:space="preserve">To </w:t>
      </w:r>
      <w:r w:rsidR="00E1408B" w:rsidRPr="005B7F92">
        <w:rPr>
          <w:lang w:val="en-GB" w:eastAsia="zh-CN"/>
        </w:rPr>
        <w:t>maintain</w:t>
      </w:r>
      <w:r w:rsidR="0071594C" w:rsidRPr="005B7F92">
        <w:rPr>
          <w:lang w:val="en-GB" w:eastAsia="zh-CN"/>
        </w:rPr>
        <w:t xml:space="preserve"> its leading market position</w:t>
      </w:r>
      <w:r w:rsidRPr="005B7F92">
        <w:rPr>
          <w:lang w:val="en-GB" w:eastAsia="zh-CN"/>
        </w:rPr>
        <w:t xml:space="preserve">, Bayer </w:t>
      </w:r>
      <w:r w:rsidR="0071594C" w:rsidRPr="005B7F92">
        <w:rPr>
          <w:lang w:val="en-GB" w:eastAsia="zh-CN"/>
        </w:rPr>
        <w:t>diversified</w:t>
      </w:r>
      <w:r w:rsidRPr="005B7F92">
        <w:rPr>
          <w:lang w:val="en-GB" w:eastAsia="zh-CN"/>
        </w:rPr>
        <w:t xml:space="preserve"> its revenues </w:t>
      </w:r>
      <w:r w:rsidR="00E1408B" w:rsidRPr="005B7F92">
        <w:rPr>
          <w:lang w:val="en-GB" w:eastAsia="zh-CN"/>
        </w:rPr>
        <w:t xml:space="preserve">and </w:t>
      </w:r>
      <w:r w:rsidRPr="005B7F92">
        <w:rPr>
          <w:lang w:val="en-GB" w:eastAsia="zh-CN"/>
        </w:rPr>
        <w:t>position</w:t>
      </w:r>
      <w:r w:rsidR="00E1408B" w:rsidRPr="005B7F92">
        <w:rPr>
          <w:lang w:val="en-GB" w:eastAsia="zh-CN"/>
        </w:rPr>
        <w:t>ed</w:t>
      </w:r>
      <w:r w:rsidRPr="005B7F92">
        <w:rPr>
          <w:lang w:val="en-GB" w:eastAsia="zh-CN"/>
        </w:rPr>
        <w:t xml:space="preserve"> itself as a life science company</w:t>
      </w:r>
      <w:r w:rsidR="00E1408B" w:rsidRPr="005B7F92">
        <w:rPr>
          <w:lang w:val="en-GB" w:eastAsia="zh-CN"/>
        </w:rPr>
        <w:t>,</w:t>
      </w:r>
      <w:r w:rsidRPr="005B7F92">
        <w:rPr>
          <w:lang w:val="en-GB" w:eastAsia="zh-CN"/>
        </w:rPr>
        <w:t xml:space="preserve"> while expanding globally. By focusing o</w:t>
      </w:r>
      <w:r w:rsidR="00DE0532" w:rsidRPr="005B7F92">
        <w:rPr>
          <w:lang w:val="en-GB" w:eastAsia="zh-CN"/>
        </w:rPr>
        <w:t>n</w:t>
      </w:r>
      <w:r w:rsidRPr="005B7F92">
        <w:rPr>
          <w:lang w:val="en-GB" w:eastAsia="zh-CN"/>
        </w:rPr>
        <w:t xml:space="preserve"> life science, Bayer was looking for solutions to some major challenges</w:t>
      </w:r>
      <w:r w:rsidR="00DE0532" w:rsidRPr="005B7F92">
        <w:rPr>
          <w:lang w:val="en-GB" w:eastAsia="zh-CN"/>
        </w:rPr>
        <w:t>—</w:t>
      </w:r>
      <w:r w:rsidRPr="005B7F92">
        <w:rPr>
          <w:lang w:val="en-GB" w:eastAsia="zh-CN"/>
        </w:rPr>
        <w:t xml:space="preserve">including </w:t>
      </w:r>
      <w:r w:rsidR="00DE0532" w:rsidRPr="005B7F92">
        <w:rPr>
          <w:lang w:val="en-GB" w:eastAsia="zh-CN"/>
        </w:rPr>
        <w:t xml:space="preserve">a </w:t>
      </w:r>
      <w:r w:rsidRPr="005B7F92">
        <w:rPr>
          <w:lang w:val="en-GB" w:eastAsia="zh-CN"/>
        </w:rPr>
        <w:t>growing and aging population that demanded food supply security and improved medical care</w:t>
      </w:r>
      <w:r w:rsidR="00DE0532" w:rsidRPr="005B7F92">
        <w:rPr>
          <w:lang w:val="en-GB" w:eastAsia="zh-CN"/>
        </w:rPr>
        <w:t>—</w:t>
      </w:r>
      <w:r w:rsidRPr="005B7F92">
        <w:rPr>
          <w:lang w:val="en-GB" w:eastAsia="zh-CN"/>
        </w:rPr>
        <w:t xml:space="preserve">through </w:t>
      </w:r>
      <w:r w:rsidR="00DE0532" w:rsidRPr="005B7F92">
        <w:rPr>
          <w:lang w:val="en-GB" w:eastAsia="zh-CN"/>
        </w:rPr>
        <w:t xml:space="preserve">gaining </w:t>
      </w:r>
      <w:r w:rsidRPr="005B7F92">
        <w:rPr>
          <w:lang w:val="en-GB" w:eastAsia="zh-CN"/>
        </w:rPr>
        <w:t xml:space="preserve">a deep understanding of biochemical processes in living organisms. </w:t>
      </w:r>
      <w:r w:rsidR="00DE0532" w:rsidRPr="005B7F92">
        <w:rPr>
          <w:lang w:val="en-GB" w:eastAsia="zh-CN"/>
        </w:rPr>
        <w:t>Its</w:t>
      </w:r>
      <w:r w:rsidRPr="005B7F92">
        <w:rPr>
          <w:lang w:val="en-GB" w:eastAsia="zh-CN"/>
        </w:rPr>
        <w:t xml:space="preserve"> mission was thus “Bayer: Science for a Better Life</w:t>
      </w:r>
      <w:r w:rsidR="00DE0532" w:rsidRPr="005B7F92">
        <w:rPr>
          <w:lang w:val="en-GB" w:eastAsia="zh-CN"/>
        </w:rPr>
        <w:t>.</w:t>
      </w:r>
      <w:r w:rsidRPr="005B7F92">
        <w:rPr>
          <w:lang w:val="en-GB" w:eastAsia="zh-CN"/>
        </w:rPr>
        <w:t>”</w:t>
      </w:r>
      <w:r w:rsidR="00E1408B" w:rsidRPr="005B7F92">
        <w:rPr>
          <w:rStyle w:val="EndnoteReference"/>
          <w:lang w:val="en-GB" w:eastAsia="zh-CN"/>
        </w:rPr>
        <w:endnoteReference w:id="16"/>
      </w:r>
      <w:r w:rsidRPr="005B7F92">
        <w:rPr>
          <w:lang w:val="en-GB" w:eastAsia="zh-CN"/>
        </w:rPr>
        <w:t xml:space="preserve"> The core values </w:t>
      </w:r>
      <w:r w:rsidR="00DE0532" w:rsidRPr="005B7F92">
        <w:rPr>
          <w:lang w:val="en-GB" w:eastAsia="zh-CN"/>
        </w:rPr>
        <w:t xml:space="preserve">for the company </w:t>
      </w:r>
      <w:r w:rsidRPr="005B7F92">
        <w:rPr>
          <w:lang w:val="en-GB" w:eastAsia="zh-CN"/>
        </w:rPr>
        <w:t xml:space="preserve">were </w:t>
      </w:r>
      <w:r w:rsidR="00DE0532" w:rsidRPr="005B7F92">
        <w:rPr>
          <w:lang w:val="en-GB" w:eastAsia="zh-CN"/>
        </w:rPr>
        <w:t>l</w:t>
      </w:r>
      <w:r w:rsidRPr="005B7F92">
        <w:rPr>
          <w:lang w:val="en-GB" w:eastAsia="zh-CN"/>
        </w:rPr>
        <w:t xml:space="preserve">eadership, </w:t>
      </w:r>
      <w:r w:rsidR="00DE0532" w:rsidRPr="005B7F92">
        <w:rPr>
          <w:lang w:val="en-GB" w:eastAsia="zh-CN"/>
        </w:rPr>
        <w:t>i</w:t>
      </w:r>
      <w:r w:rsidRPr="005B7F92">
        <w:rPr>
          <w:lang w:val="en-GB" w:eastAsia="zh-CN"/>
        </w:rPr>
        <w:t xml:space="preserve">ntegrity, </w:t>
      </w:r>
      <w:r w:rsidR="00DE0532" w:rsidRPr="005B7F92">
        <w:rPr>
          <w:lang w:val="en-GB" w:eastAsia="zh-CN"/>
        </w:rPr>
        <w:t>f</w:t>
      </w:r>
      <w:r w:rsidRPr="005B7F92">
        <w:rPr>
          <w:lang w:val="en-GB" w:eastAsia="zh-CN"/>
        </w:rPr>
        <w:t>lexibility</w:t>
      </w:r>
      <w:r w:rsidR="00DE0532" w:rsidRPr="005B7F92">
        <w:rPr>
          <w:lang w:val="en-GB" w:eastAsia="zh-CN"/>
        </w:rPr>
        <w:t>,</w:t>
      </w:r>
      <w:r w:rsidRPr="005B7F92">
        <w:rPr>
          <w:lang w:val="en-GB" w:eastAsia="zh-CN"/>
        </w:rPr>
        <w:t xml:space="preserve"> and </w:t>
      </w:r>
      <w:r w:rsidR="00DE0532" w:rsidRPr="005B7F92">
        <w:rPr>
          <w:lang w:val="en-GB" w:eastAsia="zh-CN"/>
        </w:rPr>
        <w:t>e</w:t>
      </w:r>
      <w:r w:rsidRPr="005B7F92">
        <w:rPr>
          <w:lang w:val="en-GB" w:eastAsia="zh-CN"/>
        </w:rPr>
        <w:t xml:space="preserve">fficiency (LIFE). </w:t>
      </w:r>
      <w:r w:rsidR="00DE0532" w:rsidRPr="005B7F92">
        <w:rPr>
          <w:lang w:val="en-GB" w:eastAsia="zh-CN"/>
        </w:rPr>
        <w:t>To tackle these challenges a</w:t>
      </w:r>
      <w:r w:rsidRPr="005B7F92">
        <w:rPr>
          <w:lang w:val="en-GB" w:eastAsia="zh-CN"/>
        </w:rPr>
        <w:t>s a life science company</w:t>
      </w:r>
      <w:r w:rsidR="009B7628">
        <w:rPr>
          <w:lang w:val="en-GB" w:eastAsia="zh-CN"/>
        </w:rPr>
        <w:t>,</w:t>
      </w:r>
      <w:r w:rsidRPr="005B7F92">
        <w:rPr>
          <w:lang w:val="en-GB" w:eastAsia="zh-CN"/>
        </w:rPr>
        <w:t xml:space="preserve"> Bayer reorganized its businesses into five main </w:t>
      </w:r>
      <w:r w:rsidR="001D06C2" w:rsidRPr="005B7F92">
        <w:rPr>
          <w:lang w:val="en-GB" w:eastAsia="zh-CN"/>
        </w:rPr>
        <w:t>segments</w:t>
      </w:r>
      <w:r w:rsidR="00DE0532" w:rsidRPr="005B7F92">
        <w:rPr>
          <w:lang w:val="en-GB" w:eastAsia="zh-CN"/>
        </w:rPr>
        <w:t>:</w:t>
      </w:r>
      <w:r w:rsidRPr="005B7F92">
        <w:rPr>
          <w:lang w:val="en-GB" w:eastAsia="zh-CN"/>
        </w:rPr>
        <w:t xml:space="preserve"> pharmaceuticals, consumer health, crop science, Covestro, and animal health. Despite its strong positioning, revenues from </w:t>
      </w:r>
      <w:r w:rsidR="008278C5" w:rsidRPr="005B7F92">
        <w:rPr>
          <w:lang w:val="en-GB" w:eastAsia="zh-CN"/>
        </w:rPr>
        <w:t xml:space="preserve">Bayer’s </w:t>
      </w:r>
      <w:r w:rsidRPr="005B7F92">
        <w:rPr>
          <w:lang w:val="en-GB" w:eastAsia="zh-CN"/>
        </w:rPr>
        <w:t>pharmaceutical business relied on 15 drugs, which accounted for 80 per cent of its sales in 2015</w:t>
      </w:r>
      <w:r w:rsidR="00F37DC3" w:rsidRPr="005B7F92">
        <w:rPr>
          <w:lang w:val="en-GB" w:eastAsia="zh-CN"/>
        </w:rPr>
        <w:t xml:space="preserve"> </w:t>
      </w:r>
      <w:r w:rsidRPr="005B7F92">
        <w:rPr>
          <w:lang w:val="en-GB" w:eastAsia="zh-CN"/>
        </w:rPr>
        <w:t>(</w:t>
      </w:r>
      <w:r w:rsidR="00F37DC3" w:rsidRPr="005B7F92">
        <w:rPr>
          <w:lang w:val="en-GB" w:eastAsia="zh-CN"/>
        </w:rPr>
        <w:t>s</w:t>
      </w:r>
      <w:r w:rsidRPr="005B7F92">
        <w:rPr>
          <w:lang w:val="en-GB" w:eastAsia="zh-CN"/>
        </w:rPr>
        <w:t xml:space="preserve">ee </w:t>
      </w:r>
      <w:r w:rsidR="00F37DC3" w:rsidRPr="005B7F92">
        <w:rPr>
          <w:lang w:val="en-GB" w:eastAsia="zh-CN"/>
        </w:rPr>
        <w:t>Exhibit 2A, 2B, and 2C</w:t>
      </w:r>
      <w:r w:rsidRPr="005B7F92">
        <w:rPr>
          <w:lang w:val="en-GB" w:eastAsia="zh-CN"/>
        </w:rPr>
        <w:t>)</w:t>
      </w:r>
      <w:r w:rsidR="00F37DC3" w:rsidRPr="005B7F92">
        <w:rPr>
          <w:lang w:val="en-GB" w:eastAsia="zh-CN"/>
        </w:rPr>
        <w:t>.</w:t>
      </w:r>
    </w:p>
    <w:p w14:paraId="32CE8C1E" w14:textId="77777777" w:rsidR="00F37DC3" w:rsidRPr="005B7F92" w:rsidRDefault="00F37DC3" w:rsidP="00110FB5">
      <w:pPr>
        <w:pStyle w:val="BodyTextMain"/>
        <w:rPr>
          <w:lang w:val="en-GB" w:eastAsia="zh-CN"/>
        </w:rPr>
      </w:pPr>
    </w:p>
    <w:p w14:paraId="2CB0714D" w14:textId="77777777" w:rsidR="0048032D" w:rsidRPr="005B7F92" w:rsidRDefault="0048032D" w:rsidP="00110FB5">
      <w:pPr>
        <w:pStyle w:val="BodyTextMain"/>
        <w:rPr>
          <w:lang w:val="en-GB" w:eastAsia="zh-CN"/>
        </w:rPr>
      </w:pPr>
    </w:p>
    <w:p w14:paraId="3404E8E2" w14:textId="749224A1" w:rsidR="0048032D" w:rsidRPr="005B7F92" w:rsidRDefault="0048032D" w:rsidP="006E7EDA">
      <w:pPr>
        <w:jc w:val="both"/>
        <w:rPr>
          <w:rFonts w:ascii="Arial" w:hAnsi="Arial" w:cs="Arial"/>
          <w:b/>
          <w:lang w:val="en-GB" w:eastAsia="zh-CN"/>
        </w:rPr>
      </w:pPr>
      <w:r w:rsidRPr="005B7F92">
        <w:rPr>
          <w:rFonts w:ascii="Arial" w:hAnsi="Arial" w:cs="Arial"/>
          <w:b/>
          <w:lang w:val="en-GB" w:eastAsia="zh-CN"/>
        </w:rPr>
        <w:t>THE AGROCHEMICAL INDUSTRY</w:t>
      </w:r>
    </w:p>
    <w:p w14:paraId="3C82592F" w14:textId="77777777" w:rsidR="0048032D" w:rsidRPr="005B7F92" w:rsidRDefault="0048032D" w:rsidP="006E7EDA">
      <w:pPr>
        <w:jc w:val="both"/>
        <w:rPr>
          <w:sz w:val="22"/>
          <w:szCs w:val="22"/>
          <w:lang w:val="en-GB" w:eastAsia="zh-CN"/>
        </w:rPr>
      </w:pPr>
    </w:p>
    <w:p w14:paraId="7882061F" w14:textId="6881EF17" w:rsidR="0048032D" w:rsidRPr="005B7F92" w:rsidRDefault="001D06C2" w:rsidP="006E7EDA">
      <w:pPr>
        <w:jc w:val="both"/>
        <w:rPr>
          <w:sz w:val="22"/>
          <w:szCs w:val="22"/>
          <w:lang w:val="en-GB" w:eastAsia="zh-CN"/>
        </w:rPr>
      </w:pPr>
      <w:r w:rsidRPr="005B7F92">
        <w:rPr>
          <w:sz w:val="22"/>
          <w:szCs w:val="22"/>
          <w:lang w:val="en-GB" w:eastAsia="zh-CN"/>
        </w:rPr>
        <w:t>Bayer’s</w:t>
      </w:r>
      <w:r w:rsidR="0048032D" w:rsidRPr="005B7F92">
        <w:rPr>
          <w:sz w:val="22"/>
          <w:szCs w:val="22"/>
          <w:lang w:val="en-GB" w:eastAsia="zh-CN"/>
        </w:rPr>
        <w:t xml:space="preserve"> agrochemical products in</w:t>
      </w:r>
      <w:r w:rsidR="003D717F" w:rsidRPr="005B7F92">
        <w:rPr>
          <w:sz w:val="22"/>
          <w:szCs w:val="22"/>
          <w:lang w:val="en-GB" w:eastAsia="zh-CN"/>
        </w:rPr>
        <w:t>cluded</w:t>
      </w:r>
      <w:r w:rsidR="0048032D" w:rsidRPr="005B7F92">
        <w:rPr>
          <w:sz w:val="22"/>
          <w:szCs w:val="22"/>
          <w:lang w:val="en-GB" w:eastAsia="zh-CN"/>
        </w:rPr>
        <w:t xml:space="preserve"> crop protections, such as insecticides </w:t>
      </w:r>
      <w:r w:rsidRPr="005B7F92">
        <w:rPr>
          <w:sz w:val="22"/>
          <w:szCs w:val="22"/>
          <w:lang w:val="en-GB" w:eastAsia="zh-CN"/>
        </w:rPr>
        <w:t>and</w:t>
      </w:r>
      <w:r w:rsidR="0048032D" w:rsidRPr="005B7F92">
        <w:rPr>
          <w:sz w:val="22"/>
          <w:szCs w:val="22"/>
          <w:lang w:val="en-GB" w:eastAsia="zh-CN"/>
        </w:rPr>
        <w:t xml:space="preserve"> herbicides, and treatment</w:t>
      </w:r>
      <w:r w:rsidR="00C832C5" w:rsidRPr="005B7F92">
        <w:rPr>
          <w:sz w:val="22"/>
          <w:szCs w:val="22"/>
          <w:lang w:val="en-GB" w:eastAsia="zh-CN"/>
        </w:rPr>
        <w:t>s</w:t>
      </w:r>
      <w:r w:rsidR="0048032D" w:rsidRPr="005B7F92">
        <w:rPr>
          <w:sz w:val="22"/>
          <w:szCs w:val="22"/>
          <w:lang w:val="en-GB" w:eastAsia="zh-CN"/>
        </w:rPr>
        <w:t xml:space="preserve"> of new kinds of seeds. The main goal of these products was to enhance crop yields while reducing harmful influences</w:t>
      </w:r>
      <w:r w:rsidR="003D717F" w:rsidRPr="005B7F92">
        <w:rPr>
          <w:sz w:val="22"/>
          <w:szCs w:val="22"/>
          <w:lang w:val="en-GB" w:eastAsia="zh-CN"/>
        </w:rPr>
        <w:t>;</w:t>
      </w:r>
      <w:r w:rsidR="0048032D" w:rsidRPr="005B7F92">
        <w:rPr>
          <w:sz w:val="22"/>
          <w:szCs w:val="22"/>
          <w:lang w:val="en-GB" w:eastAsia="zh-CN"/>
        </w:rPr>
        <w:t xml:space="preserve"> therefore</w:t>
      </w:r>
      <w:r w:rsidR="003D717F" w:rsidRPr="005B7F92">
        <w:rPr>
          <w:sz w:val="22"/>
          <w:szCs w:val="22"/>
          <w:lang w:val="en-GB" w:eastAsia="zh-CN"/>
        </w:rPr>
        <w:t>,</w:t>
      </w:r>
      <w:r w:rsidR="0048032D" w:rsidRPr="005B7F92">
        <w:rPr>
          <w:sz w:val="22"/>
          <w:szCs w:val="22"/>
          <w:lang w:val="en-GB" w:eastAsia="zh-CN"/>
        </w:rPr>
        <w:t xml:space="preserve"> </w:t>
      </w:r>
      <w:r w:rsidR="003D717F" w:rsidRPr="005B7F92">
        <w:rPr>
          <w:sz w:val="22"/>
          <w:szCs w:val="22"/>
          <w:lang w:val="en-GB" w:eastAsia="zh-CN"/>
        </w:rPr>
        <w:t>the</w:t>
      </w:r>
      <w:r w:rsidR="0048032D" w:rsidRPr="005B7F92">
        <w:rPr>
          <w:sz w:val="22"/>
          <w:szCs w:val="22"/>
          <w:lang w:val="en-GB" w:eastAsia="zh-CN"/>
        </w:rPr>
        <w:t xml:space="preserve"> main consumers</w:t>
      </w:r>
      <w:r w:rsidR="003D717F" w:rsidRPr="005B7F92">
        <w:rPr>
          <w:sz w:val="22"/>
          <w:szCs w:val="22"/>
          <w:lang w:val="en-GB" w:eastAsia="zh-CN"/>
        </w:rPr>
        <w:t xml:space="preserve"> of these products</w:t>
      </w:r>
      <w:r w:rsidR="0048032D" w:rsidRPr="005B7F92">
        <w:rPr>
          <w:sz w:val="22"/>
          <w:szCs w:val="22"/>
          <w:lang w:val="en-GB" w:eastAsia="zh-CN"/>
        </w:rPr>
        <w:t xml:space="preserve"> were farmers.</w:t>
      </w:r>
    </w:p>
    <w:p w14:paraId="6FA44766" w14:textId="77777777" w:rsidR="0048032D" w:rsidRPr="005B7F92" w:rsidRDefault="0048032D" w:rsidP="006E7EDA">
      <w:pPr>
        <w:jc w:val="both"/>
        <w:rPr>
          <w:sz w:val="22"/>
          <w:szCs w:val="22"/>
          <w:lang w:val="en-GB" w:eastAsia="zh-CN"/>
        </w:rPr>
      </w:pPr>
    </w:p>
    <w:p w14:paraId="50E87EA3" w14:textId="77777777" w:rsidR="0048032D" w:rsidRPr="005B7F92" w:rsidRDefault="0048032D" w:rsidP="006E7EDA">
      <w:pPr>
        <w:jc w:val="both"/>
        <w:rPr>
          <w:sz w:val="22"/>
          <w:szCs w:val="22"/>
          <w:lang w:val="en-GB" w:eastAsia="zh-CN"/>
        </w:rPr>
      </w:pPr>
    </w:p>
    <w:p w14:paraId="2F31D663" w14:textId="72520DCE" w:rsidR="0048032D" w:rsidRPr="005B7F92" w:rsidRDefault="0048032D" w:rsidP="006E7EDA">
      <w:pPr>
        <w:jc w:val="both"/>
        <w:rPr>
          <w:rFonts w:ascii="Arial" w:hAnsi="Arial" w:cs="Arial"/>
          <w:b/>
          <w:lang w:val="en-GB" w:eastAsia="zh-CN"/>
        </w:rPr>
      </w:pPr>
      <w:r w:rsidRPr="005B7F92">
        <w:rPr>
          <w:rFonts w:ascii="Arial" w:hAnsi="Arial" w:cs="Arial"/>
          <w:b/>
          <w:lang w:val="en-GB" w:eastAsia="zh-CN"/>
        </w:rPr>
        <w:t>History</w:t>
      </w:r>
    </w:p>
    <w:p w14:paraId="7E7345E1" w14:textId="77777777" w:rsidR="0048032D" w:rsidRPr="005B7F92" w:rsidRDefault="0048032D" w:rsidP="006E7EDA">
      <w:pPr>
        <w:jc w:val="both"/>
        <w:rPr>
          <w:sz w:val="22"/>
          <w:szCs w:val="22"/>
          <w:lang w:val="en-GB" w:eastAsia="zh-CN"/>
        </w:rPr>
      </w:pPr>
    </w:p>
    <w:p w14:paraId="0F9043A6" w14:textId="374A2D0B" w:rsidR="0048032D" w:rsidRPr="005B7F92" w:rsidRDefault="0048032D" w:rsidP="006E7EDA">
      <w:pPr>
        <w:jc w:val="both"/>
        <w:rPr>
          <w:spacing w:val="-4"/>
          <w:sz w:val="22"/>
          <w:szCs w:val="22"/>
          <w:lang w:val="en-GB" w:eastAsia="zh-CN"/>
        </w:rPr>
      </w:pPr>
      <w:r w:rsidRPr="005B7F92">
        <w:rPr>
          <w:spacing w:val="-4"/>
          <w:sz w:val="22"/>
          <w:szCs w:val="22"/>
          <w:lang w:val="en-GB" w:eastAsia="zh-CN"/>
        </w:rPr>
        <w:t>Before the 20th century, farmers relied on their own cultivated seeds with limited commercialized quantities.</w:t>
      </w:r>
      <w:r w:rsidR="00835D4A" w:rsidRPr="005B7F92">
        <w:rPr>
          <w:rStyle w:val="EndnoteReference"/>
          <w:spacing w:val="-4"/>
          <w:sz w:val="22"/>
          <w:szCs w:val="22"/>
          <w:lang w:val="en-GB" w:eastAsia="zh-CN"/>
        </w:rPr>
        <w:endnoteReference w:id="17"/>
      </w:r>
      <w:r w:rsidRPr="005B7F92">
        <w:rPr>
          <w:spacing w:val="-4"/>
          <w:sz w:val="22"/>
          <w:szCs w:val="22"/>
          <w:lang w:val="en-GB" w:eastAsia="zh-CN"/>
        </w:rPr>
        <w:t xml:space="preserve"> </w:t>
      </w:r>
      <w:r w:rsidR="003D717F" w:rsidRPr="005B7F92">
        <w:rPr>
          <w:spacing w:val="-4"/>
          <w:sz w:val="22"/>
          <w:szCs w:val="22"/>
          <w:lang w:val="en-GB" w:eastAsia="zh-CN"/>
        </w:rPr>
        <w:t>Between</w:t>
      </w:r>
      <w:r w:rsidRPr="005B7F92">
        <w:rPr>
          <w:spacing w:val="-4"/>
          <w:sz w:val="22"/>
          <w:szCs w:val="22"/>
          <w:lang w:val="en-GB" w:eastAsia="zh-CN"/>
        </w:rPr>
        <w:t xml:space="preserve"> 1915 and 1930, seed certification programs emerged, allowing farmers to buy seeds from traders. These suppliers were </w:t>
      </w:r>
      <w:r w:rsidR="00570E06" w:rsidRPr="005B7F92">
        <w:rPr>
          <w:spacing w:val="-4"/>
          <w:sz w:val="22"/>
          <w:szCs w:val="22"/>
          <w:lang w:val="en-GB" w:eastAsia="zh-CN"/>
        </w:rPr>
        <w:t xml:space="preserve">small </w:t>
      </w:r>
      <w:r w:rsidRPr="005B7F92">
        <w:rPr>
          <w:spacing w:val="-4"/>
          <w:sz w:val="22"/>
          <w:szCs w:val="22"/>
          <w:lang w:val="en-GB" w:eastAsia="zh-CN"/>
        </w:rPr>
        <w:t xml:space="preserve">family-owned businesses. In the early 20th century, high-yield hybrid corn varieties, which outperformed traditional open pollinated </w:t>
      </w:r>
      <w:r w:rsidR="003D717F" w:rsidRPr="005B7F92">
        <w:rPr>
          <w:spacing w:val="-4"/>
          <w:sz w:val="22"/>
          <w:szCs w:val="22"/>
          <w:lang w:val="en-GB" w:eastAsia="zh-CN"/>
        </w:rPr>
        <w:t>varieties</w:t>
      </w:r>
      <w:r w:rsidR="00451135" w:rsidRPr="005B7F92">
        <w:rPr>
          <w:spacing w:val="-4"/>
          <w:sz w:val="22"/>
          <w:szCs w:val="22"/>
          <w:lang w:val="en-GB" w:eastAsia="zh-CN"/>
        </w:rPr>
        <w:t>,</w:t>
      </w:r>
      <w:r w:rsidRPr="005B7F92">
        <w:rPr>
          <w:spacing w:val="-4"/>
          <w:sz w:val="22"/>
          <w:szCs w:val="22"/>
          <w:lang w:val="en-GB" w:eastAsia="zh-CN"/>
        </w:rPr>
        <w:t xml:space="preserve"> were developed. With </w:t>
      </w:r>
      <w:r w:rsidR="0054301B" w:rsidRPr="005B7F92">
        <w:rPr>
          <w:spacing w:val="-4"/>
          <w:sz w:val="22"/>
          <w:szCs w:val="22"/>
          <w:lang w:val="en-GB" w:eastAsia="zh-CN"/>
        </w:rPr>
        <w:t>the</w:t>
      </w:r>
      <w:r w:rsidRPr="005B7F92">
        <w:rPr>
          <w:spacing w:val="-4"/>
          <w:sz w:val="22"/>
          <w:szCs w:val="22"/>
          <w:lang w:val="en-GB" w:eastAsia="zh-CN"/>
        </w:rPr>
        <w:t xml:space="preserve"> growing demand</w:t>
      </w:r>
      <w:r w:rsidR="0054301B" w:rsidRPr="005B7F92">
        <w:rPr>
          <w:spacing w:val="-4"/>
          <w:sz w:val="22"/>
          <w:szCs w:val="22"/>
          <w:lang w:val="en-GB" w:eastAsia="zh-CN"/>
        </w:rPr>
        <w:t xml:space="preserve"> for corn</w:t>
      </w:r>
      <w:r w:rsidRPr="005B7F92">
        <w:rPr>
          <w:spacing w:val="-4"/>
          <w:sz w:val="22"/>
          <w:szCs w:val="22"/>
          <w:lang w:val="en-GB" w:eastAsia="zh-CN"/>
        </w:rPr>
        <w:t>, by 1965 over 95 per cent of American corn acreage was planted with hybrid seed</w:t>
      </w:r>
      <w:r w:rsidR="00DC6F25" w:rsidRPr="005B7F92">
        <w:rPr>
          <w:spacing w:val="-4"/>
          <w:sz w:val="22"/>
          <w:szCs w:val="22"/>
          <w:lang w:val="en-GB" w:eastAsia="zh-CN"/>
        </w:rPr>
        <w:t>s</w:t>
      </w:r>
      <w:r w:rsidRPr="005B7F92">
        <w:rPr>
          <w:spacing w:val="-4"/>
          <w:sz w:val="22"/>
          <w:szCs w:val="22"/>
          <w:lang w:val="en-GB" w:eastAsia="zh-CN"/>
        </w:rPr>
        <w:t>.</w:t>
      </w:r>
    </w:p>
    <w:p w14:paraId="33C96605" w14:textId="77777777" w:rsidR="0048032D" w:rsidRPr="005B7F92" w:rsidRDefault="0048032D" w:rsidP="006E7EDA">
      <w:pPr>
        <w:jc w:val="both"/>
        <w:rPr>
          <w:sz w:val="22"/>
          <w:szCs w:val="22"/>
          <w:lang w:val="en-GB" w:eastAsia="zh-CN"/>
        </w:rPr>
      </w:pPr>
    </w:p>
    <w:p w14:paraId="30FE58A8" w14:textId="08371B8A" w:rsidR="0048032D" w:rsidRPr="005B7F92" w:rsidRDefault="0048032D" w:rsidP="006E7EDA">
      <w:pPr>
        <w:jc w:val="both"/>
        <w:rPr>
          <w:sz w:val="22"/>
          <w:szCs w:val="22"/>
          <w:lang w:val="en-GB" w:eastAsia="zh-CN"/>
        </w:rPr>
      </w:pPr>
      <w:r w:rsidRPr="005B7F92">
        <w:rPr>
          <w:sz w:val="22"/>
          <w:szCs w:val="22"/>
          <w:lang w:val="en-GB" w:eastAsia="zh-CN"/>
        </w:rPr>
        <w:t xml:space="preserve">In 1970, the </w:t>
      </w:r>
      <w:r w:rsidR="00A2626B" w:rsidRPr="005B7F92">
        <w:rPr>
          <w:sz w:val="22"/>
          <w:szCs w:val="22"/>
          <w:lang w:val="en-GB" w:eastAsia="zh-CN"/>
        </w:rPr>
        <w:t xml:space="preserve">U.S. </w:t>
      </w:r>
      <w:r w:rsidRPr="005B7F92">
        <w:rPr>
          <w:sz w:val="22"/>
          <w:szCs w:val="22"/>
          <w:lang w:val="en-GB" w:eastAsia="zh-CN"/>
        </w:rPr>
        <w:t>government strengthened property rights, encouraging private firms to enter the seeds market.</w:t>
      </w:r>
      <w:r w:rsidR="00835D4A" w:rsidRPr="005B7F92">
        <w:rPr>
          <w:rStyle w:val="EndnoteReference"/>
          <w:sz w:val="22"/>
          <w:szCs w:val="22"/>
          <w:lang w:val="en-GB" w:eastAsia="zh-CN"/>
        </w:rPr>
        <w:endnoteReference w:id="18"/>
      </w:r>
      <w:r w:rsidRPr="005B7F92">
        <w:rPr>
          <w:sz w:val="22"/>
          <w:szCs w:val="22"/>
          <w:lang w:val="en-GB" w:eastAsia="zh-CN"/>
        </w:rPr>
        <w:t xml:space="preserve"> Many mergers and acquisitions occurred during </w:t>
      </w:r>
      <w:r w:rsidR="00165369" w:rsidRPr="005B7F92">
        <w:rPr>
          <w:sz w:val="22"/>
          <w:szCs w:val="22"/>
          <w:lang w:val="en-GB" w:eastAsia="zh-CN"/>
        </w:rPr>
        <w:t>the</w:t>
      </w:r>
      <w:r w:rsidR="00183232" w:rsidRPr="005B7F92">
        <w:rPr>
          <w:sz w:val="22"/>
          <w:szCs w:val="22"/>
          <w:lang w:val="en-GB" w:eastAsia="zh-CN"/>
        </w:rPr>
        <w:t xml:space="preserve"> 1970s</w:t>
      </w:r>
      <w:r w:rsidRPr="005B7F92">
        <w:rPr>
          <w:sz w:val="22"/>
          <w:szCs w:val="22"/>
          <w:lang w:val="en-GB" w:eastAsia="zh-CN"/>
        </w:rPr>
        <w:t xml:space="preserve">, with over </w:t>
      </w:r>
      <w:r w:rsidR="009B7628">
        <w:rPr>
          <w:sz w:val="22"/>
          <w:szCs w:val="22"/>
          <w:lang w:val="en-GB" w:eastAsia="zh-CN"/>
        </w:rPr>
        <w:t>50</w:t>
      </w:r>
      <w:r w:rsidRPr="005B7F92">
        <w:rPr>
          <w:sz w:val="22"/>
          <w:szCs w:val="22"/>
          <w:lang w:val="en-GB" w:eastAsia="zh-CN"/>
        </w:rPr>
        <w:t xml:space="preserve"> seed companies being acquired by pharmaceutical, petrochemical</w:t>
      </w:r>
      <w:r w:rsidR="00570FD4" w:rsidRPr="005B7F92">
        <w:rPr>
          <w:sz w:val="22"/>
          <w:szCs w:val="22"/>
          <w:lang w:val="en-GB" w:eastAsia="zh-CN"/>
        </w:rPr>
        <w:t>,</w:t>
      </w:r>
      <w:r w:rsidRPr="005B7F92">
        <w:rPr>
          <w:sz w:val="22"/>
          <w:szCs w:val="22"/>
          <w:lang w:val="en-GB" w:eastAsia="zh-CN"/>
        </w:rPr>
        <w:t xml:space="preserve"> </w:t>
      </w:r>
      <w:r w:rsidR="00570FD4" w:rsidRPr="005B7F92">
        <w:rPr>
          <w:sz w:val="22"/>
          <w:szCs w:val="22"/>
          <w:lang w:val="en-GB" w:eastAsia="zh-CN"/>
        </w:rPr>
        <w:t>or</w:t>
      </w:r>
      <w:r w:rsidRPr="005B7F92">
        <w:rPr>
          <w:sz w:val="22"/>
          <w:szCs w:val="22"/>
          <w:lang w:val="en-GB" w:eastAsia="zh-CN"/>
        </w:rPr>
        <w:t xml:space="preserve"> food firms. </w:t>
      </w:r>
      <w:r w:rsidR="00570FD4" w:rsidRPr="005B7F92">
        <w:rPr>
          <w:sz w:val="22"/>
          <w:szCs w:val="22"/>
          <w:lang w:val="en-GB" w:eastAsia="zh-CN"/>
        </w:rPr>
        <w:t>C</w:t>
      </w:r>
      <w:r w:rsidRPr="005B7F92">
        <w:rPr>
          <w:sz w:val="22"/>
          <w:szCs w:val="22"/>
          <w:lang w:val="en-GB" w:eastAsia="zh-CN"/>
        </w:rPr>
        <w:t>hemical firms entered th</w:t>
      </w:r>
      <w:r w:rsidR="00570FD4" w:rsidRPr="005B7F92">
        <w:rPr>
          <w:sz w:val="22"/>
          <w:szCs w:val="22"/>
          <w:lang w:val="en-GB" w:eastAsia="zh-CN"/>
        </w:rPr>
        <w:t>e seeds</w:t>
      </w:r>
      <w:r w:rsidRPr="005B7F92">
        <w:rPr>
          <w:sz w:val="22"/>
          <w:szCs w:val="22"/>
          <w:lang w:val="en-GB" w:eastAsia="zh-CN"/>
        </w:rPr>
        <w:t xml:space="preserve"> market </w:t>
      </w:r>
      <w:r w:rsidR="00570FD4" w:rsidRPr="005B7F92">
        <w:rPr>
          <w:sz w:val="22"/>
          <w:szCs w:val="22"/>
          <w:lang w:val="en-GB" w:eastAsia="zh-CN"/>
        </w:rPr>
        <w:t>because of a</w:t>
      </w:r>
      <w:r w:rsidRPr="005B7F92">
        <w:rPr>
          <w:sz w:val="22"/>
          <w:szCs w:val="22"/>
          <w:lang w:val="en-GB" w:eastAsia="zh-CN"/>
        </w:rPr>
        <w:t xml:space="preserve"> decline in </w:t>
      </w:r>
      <w:r w:rsidR="00570FD4" w:rsidRPr="005B7F92">
        <w:rPr>
          <w:sz w:val="22"/>
          <w:szCs w:val="22"/>
          <w:lang w:val="en-GB" w:eastAsia="zh-CN"/>
        </w:rPr>
        <w:t xml:space="preserve">the </w:t>
      </w:r>
      <w:r w:rsidRPr="005B7F92">
        <w:rPr>
          <w:sz w:val="22"/>
          <w:szCs w:val="22"/>
          <w:lang w:val="en-GB" w:eastAsia="zh-CN"/>
        </w:rPr>
        <w:t>agricultural chemicals market. The early 1980s saw the emergence of biotechnology</w:t>
      </w:r>
      <w:r w:rsidR="00CF4420" w:rsidRPr="005B7F92">
        <w:rPr>
          <w:sz w:val="22"/>
          <w:szCs w:val="22"/>
          <w:lang w:val="en-GB" w:eastAsia="zh-CN"/>
        </w:rPr>
        <w:t>,</w:t>
      </w:r>
      <w:r w:rsidRPr="005B7F92">
        <w:rPr>
          <w:sz w:val="22"/>
          <w:szCs w:val="22"/>
          <w:lang w:val="en-GB" w:eastAsia="zh-CN"/>
        </w:rPr>
        <w:t xml:space="preserve"> </w:t>
      </w:r>
      <w:r w:rsidR="00CF4420" w:rsidRPr="005B7F92">
        <w:rPr>
          <w:sz w:val="22"/>
          <w:szCs w:val="22"/>
          <w:lang w:val="en-GB" w:eastAsia="zh-CN"/>
        </w:rPr>
        <w:t xml:space="preserve">which </w:t>
      </w:r>
      <w:r w:rsidRPr="005B7F92">
        <w:rPr>
          <w:sz w:val="22"/>
          <w:szCs w:val="22"/>
          <w:lang w:val="en-GB" w:eastAsia="zh-CN"/>
        </w:rPr>
        <w:t>provided incentive for companies to expand the</w:t>
      </w:r>
      <w:r w:rsidR="00CF4420" w:rsidRPr="005B7F92">
        <w:rPr>
          <w:sz w:val="22"/>
          <w:szCs w:val="22"/>
          <w:lang w:val="en-GB" w:eastAsia="zh-CN"/>
        </w:rPr>
        <w:t>ir</w:t>
      </w:r>
      <w:r w:rsidRPr="005B7F92">
        <w:rPr>
          <w:sz w:val="22"/>
          <w:szCs w:val="22"/>
          <w:lang w:val="en-GB" w:eastAsia="zh-CN"/>
        </w:rPr>
        <w:t xml:space="preserve"> technology into seed production. Due to high R&amp;D costs in comb</w:t>
      </w:r>
      <w:r w:rsidR="00570FD4" w:rsidRPr="005B7F92">
        <w:rPr>
          <w:sz w:val="22"/>
          <w:szCs w:val="22"/>
          <w:lang w:val="en-GB" w:eastAsia="zh-CN"/>
        </w:rPr>
        <w:t>in</w:t>
      </w:r>
      <w:r w:rsidRPr="005B7F92">
        <w:rPr>
          <w:sz w:val="22"/>
          <w:szCs w:val="22"/>
          <w:lang w:val="en-GB" w:eastAsia="zh-CN"/>
        </w:rPr>
        <w:t>ing agriculture and biotechnology, the market bec</w:t>
      </w:r>
      <w:r w:rsidR="00570FD4" w:rsidRPr="005B7F92">
        <w:rPr>
          <w:sz w:val="22"/>
          <w:szCs w:val="22"/>
          <w:lang w:val="en-GB" w:eastAsia="zh-CN"/>
        </w:rPr>
        <w:t>ame</w:t>
      </w:r>
      <w:r w:rsidRPr="005B7F92">
        <w:rPr>
          <w:sz w:val="22"/>
          <w:szCs w:val="22"/>
          <w:lang w:val="en-GB" w:eastAsia="zh-CN"/>
        </w:rPr>
        <w:t xml:space="preserve"> consolidated through mergers and acquisitions to achieve scale economies and </w:t>
      </w:r>
      <w:r w:rsidR="00570FD4" w:rsidRPr="005B7F92">
        <w:rPr>
          <w:sz w:val="22"/>
          <w:szCs w:val="22"/>
          <w:lang w:val="en-GB" w:eastAsia="zh-CN"/>
        </w:rPr>
        <w:t xml:space="preserve">the </w:t>
      </w:r>
      <w:r w:rsidRPr="005B7F92">
        <w:rPr>
          <w:sz w:val="22"/>
          <w:szCs w:val="22"/>
          <w:lang w:val="en-GB" w:eastAsia="zh-CN"/>
        </w:rPr>
        <w:t xml:space="preserve">successful development and commercialization of more complex products. </w:t>
      </w:r>
    </w:p>
    <w:p w14:paraId="0837CC8C" w14:textId="77777777" w:rsidR="0048032D" w:rsidRPr="005B7F92" w:rsidRDefault="0048032D" w:rsidP="006E7EDA">
      <w:pPr>
        <w:jc w:val="both"/>
        <w:rPr>
          <w:sz w:val="22"/>
          <w:szCs w:val="22"/>
          <w:lang w:val="en-GB" w:eastAsia="zh-CN"/>
        </w:rPr>
      </w:pPr>
    </w:p>
    <w:p w14:paraId="7FDEAD19" w14:textId="77777777" w:rsidR="0048032D" w:rsidRPr="005B7F92" w:rsidRDefault="0048032D" w:rsidP="006E7EDA">
      <w:pPr>
        <w:jc w:val="both"/>
        <w:rPr>
          <w:sz w:val="22"/>
          <w:szCs w:val="22"/>
          <w:lang w:val="en-GB" w:eastAsia="zh-CN"/>
        </w:rPr>
      </w:pPr>
    </w:p>
    <w:p w14:paraId="60728639" w14:textId="31803029" w:rsidR="0048032D" w:rsidRPr="005B7F92" w:rsidRDefault="0048032D" w:rsidP="005A3634">
      <w:pPr>
        <w:keepNext/>
        <w:jc w:val="both"/>
        <w:rPr>
          <w:rFonts w:ascii="Arial" w:hAnsi="Arial" w:cs="Arial"/>
          <w:b/>
          <w:lang w:val="en-GB" w:eastAsia="zh-CN"/>
        </w:rPr>
      </w:pPr>
      <w:r w:rsidRPr="005B7F92">
        <w:rPr>
          <w:rFonts w:ascii="Arial" w:hAnsi="Arial" w:cs="Arial"/>
          <w:b/>
          <w:lang w:val="en-GB" w:eastAsia="zh-CN"/>
        </w:rPr>
        <w:t xml:space="preserve">Important Role of Research and Development </w:t>
      </w:r>
    </w:p>
    <w:p w14:paraId="5FAECEE7" w14:textId="77777777" w:rsidR="0048032D" w:rsidRPr="005B7F92" w:rsidRDefault="0048032D" w:rsidP="005A3634">
      <w:pPr>
        <w:keepNext/>
        <w:jc w:val="both"/>
        <w:rPr>
          <w:sz w:val="22"/>
          <w:szCs w:val="22"/>
          <w:lang w:val="en-GB" w:eastAsia="zh-CN"/>
        </w:rPr>
      </w:pPr>
    </w:p>
    <w:p w14:paraId="738B4FD1" w14:textId="175AA64F" w:rsidR="0048032D" w:rsidRPr="005B7F92" w:rsidRDefault="0048032D" w:rsidP="005A3634">
      <w:pPr>
        <w:keepNext/>
        <w:jc w:val="both"/>
        <w:rPr>
          <w:sz w:val="22"/>
          <w:szCs w:val="22"/>
          <w:lang w:val="en-GB" w:eastAsia="zh-CN"/>
        </w:rPr>
      </w:pPr>
      <w:r w:rsidRPr="005B7F92">
        <w:rPr>
          <w:sz w:val="22"/>
          <w:szCs w:val="22"/>
          <w:lang w:val="en-GB" w:eastAsia="zh-CN"/>
        </w:rPr>
        <w:t xml:space="preserve">Technical development was one of the most important requirements </w:t>
      </w:r>
      <w:r w:rsidR="007775FF" w:rsidRPr="005B7F92">
        <w:rPr>
          <w:sz w:val="22"/>
          <w:szCs w:val="22"/>
          <w:lang w:val="en-GB" w:eastAsia="zh-CN"/>
        </w:rPr>
        <w:t>for</w:t>
      </w:r>
      <w:r w:rsidRPr="005B7F92">
        <w:rPr>
          <w:sz w:val="22"/>
          <w:szCs w:val="22"/>
          <w:lang w:val="en-GB" w:eastAsia="zh-CN"/>
        </w:rPr>
        <w:t xml:space="preserve"> compet</w:t>
      </w:r>
      <w:r w:rsidR="007775FF" w:rsidRPr="005B7F92">
        <w:rPr>
          <w:sz w:val="22"/>
          <w:szCs w:val="22"/>
          <w:lang w:val="en-GB" w:eastAsia="zh-CN"/>
        </w:rPr>
        <w:t>ing</w:t>
      </w:r>
      <w:r w:rsidRPr="005B7F92">
        <w:rPr>
          <w:sz w:val="22"/>
          <w:szCs w:val="22"/>
          <w:lang w:val="en-GB" w:eastAsia="zh-CN"/>
        </w:rPr>
        <w:t xml:space="preserve"> in this demanding market. While </w:t>
      </w:r>
      <w:r w:rsidR="007775FF" w:rsidRPr="005B7F92">
        <w:rPr>
          <w:sz w:val="22"/>
          <w:szCs w:val="22"/>
          <w:lang w:val="en-GB" w:eastAsia="zh-CN"/>
        </w:rPr>
        <w:t xml:space="preserve">new </w:t>
      </w:r>
      <w:r w:rsidRPr="005B7F92">
        <w:rPr>
          <w:sz w:val="22"/>
          <w:szCs w:val="22"/>
          <w:lang w:val="en-GB" w:eastAsia="zh-CN"/>
        </w:rPr>
        <w:t>technologies improved crop protection and productivity, pests continued to develop resistance to products, requiring compan</w:t>
      </w:r>
      <w:r w:rsidR="007775FF" w:rsidRPr="005B7F92">
        <w:rPr>
          <w:sz w:val="22"/>
          <w:szCs w:val="22"/>
          <w:lang w:val="en-GB" w:eastAsia="zh-CN"/>
        </w:rPr>
        <w:t>ies</w:t>
      </w:r>
      <w:r w:rsidRPr="005B7F92">
        <w:rPr>
          <w:sz w:val="22"/>
          <w:szCs w:val="22"/>
          <w:lang w:val="en-GB" w:eastAsia="zh-CN"/>
        </w:rPr>
        <w:t xml:space="preserve"> to further invest </w:t>
      </w:r>
      <w:r w:rsidR="007775FF" w:rsidRPr="005B7F92">
        <w:rPr>
          <w:sz w:val="22"/>
          <w:szCs w:val="22"/>
          <w:lang w:val="en-GB" w:eastAsia="zh-CN"/>
        </w:rPr>
        <w:t>in</w:t>
      </w:r>
      <w:r w:rsidRPr="005B7F92">
        <w:rPr>
          <w:sz w:val="22"/>
          <w:szCs w:val="22"/>
          <w:lang w:val="en-GB" w:eastAsia="zh-CN"/>
        </w:rPr>
        <w:t xml:space="preserve"> improv</w:t>
      </w:r>
      <w:r w:rsidR="007775FF" w:rsidRPr="005B7F92">
        <w:rPr>
          <w:sz w:val="22"/>
          <w:szCs w:val="22"/>
          <w:lang w:val="en-GB" w:eastAsia="zh-CN"/>
        </w:rPr>
        <w:t>ing</w:t>
      </w:r>
      <w:r w:rsidRPr="005B7F92">
        <w:rPr>
          <w:sz w:val="22"/>
          <w:szCs w:val="22"/>
          <w:lang w:val="en-GB" w:eastAsia="zh-CN"/>
        </w:rPr>
        <w:t xml:space="preserve"> technologies. R&amp;D thus ensured companies </w:t>
      </w:r>
      <w:r w:rsidR="007775FF" w:rsidRPr="005B7F92">
        <w:rPr>
          <w:sz w:val="22"/>
          <w:szCs w:val="22"/>
          <w:lang w:val="en-GB" w:eastAsia="zh-CN"/>
        </w:rPr>
        <w:t>could continue</w:t>
      </w:r>
      <w:r w:rsidRPr="005B7F92">
        <w:rPr>
          <w:sz w:val="22"/>
          <w:szCs w:val="22"/>
          <w:lang w:val="en-GB" w:eastAsia="zh-CN"/>
        </w:rPr>
        <w:t xml:space="preserve"> delivering new </w:t>
      </w:r>
      <w:r w:rsidR="007775FF" w:rsidRPr="005B7F92">
        <w:rPr>
          <w:sz w:val="22"/>
          <w:szCs w:val="22"/>
          <w:lang w:val="en-GB" w:eastAsia="zh-CN"/>
        </w:rPr>
        <w:t>and</w:t>
      </w:r>
      <w:r w:rsidRPr="005B7F92">
        <w:rPr>
          <w:sz w:val="22"/>
          <w:szCs w:val="22"/>
          <w:lang w:val="en-GB" w:eastAsia="zh-CN"/>
        </w:rPr>
        <w:t xml:space="preserve"> improved products that enhanced farmers’ production. Monsanto’s chief technology officer, Robert Fraley</w:t>
      </w:r>
      <w:r w:rsidR="007775FF" w:rsidRPr="005B7F92">
        <w:rPr>
          <w:sz w:val="22"/>
          <w:szCs w:val="22"/>
          <w:lang w:val="en-GB" w:eastAsia="zh-CN"/>
        </w:rPr>
        <w:t>,</w:t>
      </w:r>
      <w:r w:rsidRPr="005B7F92">
        <w:rPr>
          <w:sz w:val="22"/>
          <w:szCs w:val="22"/>
          <w:lang w:val="en-GB" w:eastAsia="zh-CN"/>
        </w:rPr>
        <w:t xml:space="preserve"> stated</w:t>
      </w:r>
      <w:r w:rsidR="007775FF" w:rsidRPr="005B7F92">
        <w:rPr>
          <w:sz w:val="22"/>
          <w:szCs w:val="22"/>
          <w:lang w:val="en-GB" w:eastAsia="zh-CN"/>
        </w:rPr>
        <w:t>,</w:t>
      </w:r>
      <w:r w:rsidRPr="005B7F92">
        <w:rPr>
          <w:sz w:val="22"/>
          <w:szCs w:val="22"/>
          <w:lang w:val="en-GB" w:eastAsia="zh-CN"/>
        </w:rPr>
        <w:t xml:space="preserve"> “Fifteen years ago, we spent $300 million on </w:t>
      </w:r>
      <w:r w:rsidRPr="005B7F92">
        <w:rPr>
          <w:sz w:val="22"/>
          <w:szCs w:val="22"/>
          <w:lang w:val="en-GB" w:eastAsia="zh-CN"/>
        </w:rPr>
        <w:lastRenderedPageBreak/>
        <w:t>R&amp;D. Today we spend $1.5 billion.</w:t>
      </w:r>
      <w:r w:rsidR="004E59EB" w:rsidRPr="005B7F92">
        <w:rPr>
          <w:sz w:val="22"/>
          <w:szCs w:val="22"/>
          <w:lang w:val="en-GB" w:eastAsia="zh-CN"/>
        </w:rPr>
        <w:t xml:space="preserve"> That sounds like a big number b</w:t>
      </w:r>
      <w:r w:rsidRPr="005B7F92">
        <w:rPr>
          <w:sz w:val="22"/>
          <w:szCs w:val="22"/>
          <w:lang w:val="en-GB" w:eastAsia="zh-CN"/>
        </w:rPr>
        <w:t>ut compare that against other data and life science companies like Microsoft, Apple, Pfizer</w:t>
      </w:r>
      <w:r w:rsidR="007775FF" w:rsidRPr="005B7F92">
        <w:rPr>
          <w:sz w:val="22"/>
          <w:szCs w:val="22"/>
          <w:lang w:val="en-GB" w:eastAsia="zh-CN"/>
        </w:rPr>
        <w:t>,</w:t>
      </w:r>
      <w:r w:rsidRPr="005B7F92">
        <w:rPr>
          <w:sz w:val="22"/>
          <w:szCs w:val="22"/>
          <w:lang w:val="en-GB" w:eastAsia="zh-CN"/>
        </w:rPr>
        <w:t xml:space="preserve"> and Merck who each invest over $10 billion per year in R&amp;D. To realize a step-change, agricultural companies will need to invest more.”</w:t>
      </w:r>
      <w:r w:rsidRPr="005B7F92">
        <w:rPr>
          <w:rStyle w:val="EndnoteReference"/>
          <w:sz w:val="22"/>
          <w:szCs w:val="22"/>
          <w:lang w:val="en-GB" w:eastAsia="zh-CN"/>
        </w:rPr>
        <w:endnoteReference w:id="19"/>
      </w:r>
    </w:p>
    <w:p w14:paraId="1111547B" w14:textId="77777777" w:rsidR="0048032D" w:rsidRPr="005B7F92" w:rsidRDefault="0048032D" w:rsidP="006E7EDA">
      <w:pPr>
        <w:jc w:val="both"/>
        <w:rPr>
          <w:sz w:val="22"/>
          <w:szCs w:val="22"/>
          <w:lang w:val="en-GB" w:eastAsia="zh-CN"/>
        </w:rPr>
      </w:pPr>
    </w:p>
    <w:p w14:paraId="14095872" w14:textId="3416C8BD" w:rsidR="0048032D" w:rsidRPr="005B7F92" w:rsidRDefault="0048032D" w:rsidP="006E7EDA">
      <w:pPr>
        <w:jc w:val="both"/>
        <w:rPr>
          <w:sz w:val="22"/>
          <w:szCs w:val="22"/>
          <w:lang w:val="en-GB" w:eastAsia="zh-CN"/>
        </w:rPr>
      </w:pPr>
      <w:r w:rsidRPr="005B7F92">
        <w:rPr>
          <w:sz w:val="22"/>
          <w:szCs w:val="22"/>
          <w:lang w:val="en-GB" w:eastAsia="zh-CN"/>
        </w:rPr>
        <w:t xml:space="preserve">Such </w:t>
      </w:r>
      <w:r w:rsidR="007775FF" w:rsidRPr="005B7F92">
        <w:rPr>
          <w:sz w:val="22"/>
          <w:szCs w:val="22"/>
          <w:lang w:val="en-GB" w:eastAsia="zh-CN"/>
        </w:rPr>
        <w:t xml:space="preserve">a </w:t>
      </w:r>
      <w:r w:rsidRPr="005B7F92">
        <w:rPr>
          <w:sz w:val="22"/>
          <w:szCs w:val="22"/>
          <w:lang w:val="en-GB" w:eastAsia="zh-CN"/>
        </w:rPr>
        <w:t xml:space="preserve">statement underlined the difficulty for agrochemical companies to maintain </w:t>
      </w:r>
      <w:r w:rsidR="008F3F54" w:rsidRPr="005B7F92">
        <w:rPr>
          <w:sz w:val="22"/>
          <w:szCs w:val="22"/>
          <w:lang w:val="en-GB" w:eastAsia="zh-CN"/>
        </w:rPr>
        <w:t xml:space="preserve">a </w:t>
      </w:r>
      <w:r w:rsidRPr="005B7F92">
        <w:rPr>
          <w:sz w:val="22"/>
          <w:szCs w:val="22"/>
          <w:lang w:val="en-GB" w:eastAsia="zh-CN"/>
        </w:rPr>
        <w:t xml:space="preserve">high level of R&amp;D investment, </w:t>
      </w:r>
      <w:r w:rsidR="008F3F54" w:rsidRPr="005B7F92">
        <w:rPr>
          <w:sz w:val="22"/>
          <w:szCs w:val="22"/>
          <w:lang w:val="en-GB" w:eastAsia="zh-CN"/>
        </w:rPr>
        <w:t>and helped to explain</w:t>
      </w:r>
      <w:r w:rsidRPr="005B7F92">
        <w:rPr>
          <w:sz w:val="22"/>
          <w:szCs w:val="22"/>
          <w:lang w:val="en-GB" w:eastAsia="zh-CN"/>
        </w:rPr>
        <w:t xml:space="preserve"> the increasing trend of consolidation in the industry. </w:t>
      </w:r>
      <w:r w:rsidR="008F3F54" w:rsidRPr="005B7F92">
        <w:rPr>
          <w:sz w:val="22"/>
          <w:szCs w:val="22"/>
          <w:lang w:val="en-GB" w:eastAsia="zh-CN"/>
        </w:rPr>
        <w:t>S</w:t>
      </w:r>
      <w:r w:rsidRPr="005B7F92">
        <w:rPr>
          <w:sz w:val="22"/>
          <w:szCs w:val="22"/>
          <w:lang w:val="en-GB" w:eastAsia="zh-CN"/>
        </w:rPr>
        <w:t xml:space="preserve">pending </w:t>
      </w:r>
      <w:r w:rsidR="008F3F54" w:rsidRPr="005B7F92">
        <w:rPr>
          <w:sz w:val="22"/>
          <w:szCs w:val="22"/>
          <w:lang w:val="en-GB" w:eastAsia="zh-CN"/>
        </w:rPr>
        <w:t xml:space="preserve">on R&amp;D </w:t>
      </w:r>
      <w:r w:rsidRPr="005B7F92">
        <w:rPr>
          <w:sz w:val="22"/>
          <w:szCs w:val="22"/>
          <w:lang w:val="en-GB" w:eastAsia="zh-CN"/>
        </w:rPr>
        <w:t>was already much high</w:t>
      </w:r>
      <w:r w:rsidR="008F3F54" w:rsidRPr="005B7F92">
        <w:rPr>
          <w:sz w:val="22"/>
          <w:szCs w:val="22"/>
          <w:lang w:val="en-GB" w:eastAsia="zh-CN"/>
        </w:rPr>
        <w:t>er</w:t>
      </w:r>
      <w:r w:rsidRPr="005B7F92">
        <w:rPr>
          <w:sz w:val="22"/>
          <w:szCs w:val="22"/>
          <w:lang w:val="en-GB" w:eastAsia="zh-CN"/>
        </w:rPr>
        <w:t xml:space="preserve"> than </w:t>
      </w:r>
      <w:r w:rsidR="008F3F54" w:rsidRPr="005B7F92">
        <w:rPr>
          <w:sz w:val="22"/>
          <w:szCs w:val="22"/>
          <w:lang w:val="en-GB" w:eastAsia="zh-CN"/>
        </w:rPr>
        <w:t>spending on</w:t>
      </w:r>
      <w:r w:rsidRPr="005B7F92">
        <w:rPr>
          <w:sz w:val="22"/>
          <w:szCs w:val="22"/>
          <w:lang w:val="en-GB" w:eastAsia="zh-CN"/>
        </w:rPr>
        <w:t xml:space="preserve"> public researc</w:t>
      </w:r>
      <w:r w:rsidR="009B7628">
        <w:rPr>
          <w:sz w:val="22"/>
          <w:szCs w:val="22"/>
          <w:lang w:val="en-GB" w:eastAsia="zh-CN"/>
        </w:rPr>
        <w:t>h</w:t>
      </w:r>
      <w:r w:rsidRPr="005B7F92">
        <w:rPr>
          <w:sz w:val="22"/>
          <w:szCs w:val="22"/>
          <w:lang w:val="en-GB" w:eastAsia="zh-CN"/>
        </w:rPr>
        <w:t xml:space="preserve">. Indeed, </w:t>
      </w:r>
      <w:r w:rsidR="008F3F54" w:rsidRPr="005B7F92">
        <w:rPr>
          <w:sz w:val="22"/>
          <w:szCs w:val="22"/>
          <w:lang w:val="en-GB" w:eastAsia="zh-CN"/>
        </w:rPr>
        <w:t>the U.S. Department of Agriculture</w:t>
      </w:r>
      <w:r w:rsidRPr="005B7F92">
        <w:rPr>
          <w:sz w:val="22"/>
          <w:szCs w:val="22"/>
          <w:lang w:val="en-GB" w:eastAsia="zh-CN"/>
        </w:rPr>
        <w:t xml:space="preserve">’s agricultural research arm spent around $350 million per year, while in </w:t>
      </w:r>
      <w:r w:rsidR="008F3F54" w:rsidRPr="005B7F92">
        <w:rPr>
          <w:sz w:val="22"/>
          <w:szCs w:val="22"/>
          <w:lang w:val="en-GB" w:eastAsia="zh-CN"/>
        </w:rPr>
        <w:t xml:space="preserve">the </w:t>
      </w:r>
      <w:r w:rsidRPr="005B7F92">
        <w:rPr>
          <w:sz w:val="22"/>
          <w:szCs w:val="22"/>
          <w:lang w:val="en-GB" w:eastAsia="zh-CN"/>
        </w:rPr>
        <w:t xml:space="preserve">case of </w:t>
      </w:r>
      <w:r w:rsidR="008F3F54" w:rsidRPr="005B7F92">
        <w:rPr>
          <w:sz w:val="22"/>
          <w:szCs w:val="22"/>
          <w:lang w:val="en-GB" w:eastAsia="zh-CN"/>
        </w:rPr>
        <w:t xml:space="preserve">the </w:t>
      </w:r>
      <w:r w:rsidRPr="005B7F92">
        <w:rPr>
          <w:sz w:val="22"/>
          <w:szCs w:val="22"/>
          <w:lang w:val="en-GB" w:eastAsia="zh-CN"/>
        </w:rPr>
        <w:t>merger between Bayer and Monsanto, their combined R&amp;D budget would reach $2.8 billion.</w:t>
      </w:r>
      <w:r w:rsidRPr="005B7F92">
        <w:rPr>
          <w:rStyle w:val="EndnoteReference"/>
          <w:sz w:val="22"/>
          <w:szCs w:val="22"/>
          <w:lang w:val="en-GB" w:eastAsia="zh-CN"/>
        </w:rPr>
        <w:endnoteReference w:id="20"/>
      </w:r>
      <w:r w:rsidRPr="005B7F92">
        <w:rPr>
          <w:sz w:val="22"/>
          <w:szCs w:val="22"/>
          <w:lang w:val="en-GB" w:eastAsia="zh-CN"/>
        </w:rPr>
        <w:t xml:space="preserve"> Gaining more patents was therefore an explanation for </w:t>
      </w:r>
      <w:r w:rsidR="008F3F54" w:rsidRPr="005B7F92">
        <w:rPr>
          <w:sz w:val="22"/>
          <w:szCs w:val="22"/>
          <w:lang w:val="en-GB" w:eastAsia="zh-CN"/>
        </w:rPr>
        <w:t>the</w:t>
      </w:r>
      <w:r w:rsidRPr="005B7F92">
        <w:rPr>
          <w:sz w:val="22"/>
          <w:szCs w:val="22"/>
          <w:lang w:val="en-GB" w:eastAsia="zh-CN"/>
        </w:rPr>
        <w:t xml:space="preserve"> common practice</w:t>
      </w:r>
      <w:r w:rsidR="008F3F54" w:rsidRPr="005B7F92">
        <w:rPr>
          <w:sz w:val="22"/>
          <w:szCs w:val="22"/>
          <w:lang w:val="en-GB" w:eastAsia="zh-CN"/>
        </w:rPr>
        <w:t>s</w:t>
      </w:r>
      <w:r w:rsidRPr="005B7F92">
        <w:rPr>
          <w:sz w:val="22"/>
          <w:szCs w:val="22"/>
          <w:lang w:val="en-GB" w:eastAsia="zh-CN"/>
        </w:rPr>
        <w:t xml:space="preserve"> of </w:t>
      </w:r>
      <w:r w:rsidR="008F3F54" w:rsidRPr="005B7F92">
        <w:rPr>
          <w:sz w:val="22"/>
          <w:szCs w:val="22"/>
          <w:lang w:val="en-GB" w:eastAsia="zh-CN"/>
        </w:rPr>
        <w:t xml:space="preserve">forming </w:t>
      </w:r>
      <w:r w:rsidRPr="005B7F92">
        <w:rPr>
          <w:sz w:val="22"/>
          <w:szCs w:val="22"/>
          <w:lang w:val="en-GB" w:eastAsia="zh-CN"/>
        </w:rPr>
        <w:t xml:space="preserve">partnerships and </w:t>
      </w:r>
      <w:r w:rsidR="008F3F54" w:rsidRPr="005B7F92">
        <w:rPr>
          <w:sz w:val="22"/>
          <w:szCs w:val="22"/>
          <w:lang w:val="en-GB" w:eastAsia="zh-CN"/>
        </w:rPr>
        <w:t xml:space="preserve">making </w:t>
      </w:r>
      <w:r w:rsidRPr="005B7F92">
        <w:rPr>
          <w:sz w:val="22"/>
          <w:szCs w:val="22"/>
          <w:lang w:val="en-GB" w:eastAsia="zh-CN"/>
        </w:rPr>
        <w:t xml:space="preserve">acquisitions among agrochemical competitors to achieve sufficient </w:t>
      </w:r>
      <w:r w:rsidR="008F3F54" w:rsidRPr="005B7F92">
        <w:rPr>
          <w:sz w:val="22"/>
          <w:szCs w:val="22"/>
          <w:lang w:val="en-GB" w:eastAsia="zh-CN"/>
        </w:rPr>
        <w:t>ongoing</w:t>
      </w:r>
      <w:r w:rsidRPr="005B7F92">
        <w:rPr>
          <w:sz w:val="22"/>
          <w:szCs w:val="22"/>
          <w:lang w:val="en-GB" w:eastAsia="zh-CN"/>
        </w:rPr>
        <w:t xml:space="preserve"> product developments.</w:t>
      </w:r>
    </w:p>
    <w:p w14:paraId="7AAA7170" w14:textId="77777777" w:rsidR="0048032D" w:rsidRPr="005B7F92" w:rsidRDefault="0048032D" w:rsidP="006E7EDA">
      <w:pPr>
        <w:jc w:val="both"/>
        <w:rPr>
          <w:sz w:val="22"/>
          <w:szCs w:val="22"/>
          <w:lang w:val="en-GB" w:eastAsia="zh-CN"/>
        </w:rPr>
      </w:pPr>
    </w:p>
    <w:p w14:paraId="7EF463E2" w14:textId="77777777" w:rsidR="0048032D" w:rsidRPr="005B7F92" w:rsidRDefault="0048032D" w:rsidP="006E7EDA">
      <w:pPr>
        <w:jc w:val="both"/>
        <w:rPr>
          <w:sz w:val="22"/>
          <w:szCs w:val="22"/>
          <w:lang w:val="en-GB" w:eastAsia="zh-CN"/>
        </w:rPr>
      </w:pPr>
    </w:p>
    <w:p w14:paraId="4592D3C6" w14:textId="2FB2B9B6" w:rsidR="0048032D" w:rsidRPr="005B7F92" w:rsidRDefault="0048032D" w:rsidP="006E7EDA">
      <w:pPr>
        <w:jc w:val="both"/>
        <w:rPr>
          <w:rFonts w:ascii="Arial" w:hAnsi="Arial" w:cs="Arial"/>
          <w:b/>
          <w:lang w:val="en-GB" w:eastAsia="zh-CN"/>
        </w:rPr>
      </w:pPr>
      <w:r w:rsidRPr="005B7F92">
        <w:rPr>
          <w:rFonts w:ascii="Arial" w:hAnsi="Arial" w:cs="Arial"/>
          <w:b/>
          <w:lang w:val="en-GB" w:eastAsia="zh-CN"/>
        </w:rPr>
        <w:t>Competitive Situation</w:t>
      </w:r>
    </w:p>
    <w:p w14:paraId="460101E6" w14:textId="77777777" w:rsidR="0048032D" w:rsidRPr="005B7F92" w:rsidRDefault="0048032D" w:rsidP="006E7EDA">
      <w:pPr>
        <w:jc w:val="both"/>
        <w:rPr>
          <w:sz w:val="22"/>
          <w:szCs w:val="22"/>
          <w:lang w:val="en-GB" w:eastAsia="zh-CN"/>
        </w:rPr>
      </w:pPr>
    </w:p>
    <w:p w14:paraId="591C313A" w14:textId="0C6344E8" w:rsidR="0048032D" w:rsidRPr="005B7F92" w:rsidRDefault="0048032D" w:rsidP="003B3FBF">
      <w:pPr>
        <w:jc w:val="both"/>
        <w:rPr>
          <w:sz w:val="22"/>
          <w:szCs w:val="22"/>
          <w:lang w:val="en-GB" w:eastAsia="zh-CN"/>
        </w:rPr>
      </w:pPr>
      <w:r w:rsidRPr="005B7F92">
        <w:rPr>
          <w:sz w:val="22"/>
          <w:szCs w:val="22"/>
          <w:lang w:val="en-GB" w:eastAsia="zh-CN"/>
        </w:rPr>
        <w:t xml:space="preserve">The agrochemicals market </w:t>
      </w:r>
      <w:r w:rsidR="00172224" w:rsidRPr="005B7F92">
        <w:rPr>
          <w:sz w:val="22"/>
          <w:szCs w:val="22"/>
          <w:lang w:val="en-GB" w:eastAsia="zh-CN"/>
        </w:rPr>
        <w:t>continued to</w:t>
      </w:r>
      <w:r w:rsidRPr="005B7F92">
        <w:rPr>
          <w:sz w:val="22"/>
          <w:szCs w:val="22"/>
          <w:lang w:val="en-GB" w:eastAsia="zh-CN"/>
        </w:rPr>
        <w:t xml:space="preserve"> undergo industrialization</w:t>
      </w:r>
      <w:r w:rsidR="00907543" w:rsidRPr="005B7F92">
        <w:rPr>
          <w:sz w:val="22"/>
          <w:szCs w:val="22"/>
          <w:lang w:val="en-GB" w:eastAsia="zh-CN"/>
        </w:rPr>
        <w:t>.</w:t>
      </w:r>
      <w:r w:rsidR="007D18C2" w:rsidRPr="005B7F92">
        <w:rPr>
          <w:rStyle w:val="EndnoteReference"/>
          <w:sz w:val="22"/>
          <w:szCs w:val="22"/>
          <w:lang w:val="en-GB" w:eastAsia="zh-CN"/>
        </w:rPr>
        <w:endnoteReference w:id="21"/>
      </w:r>
      <w:r w:rsidRPr="005B7F92">
        <w:rPr>
          <w:sz w:val="22"/>
          <w:szCs w:val="22"/>
          <w:lang w:val="en-GB" w:eastAsia="zh-CN"/>
        </w:rPr>
        <w:t xml:space="preserve"> </w:t>
      </w:r>
      <w:r w:rsidR="00907543" w:rsidRPr="005B7F92">
        <w:rPr>
          <w:sz w:val="22"/>
          <w:szCs w:val="22"/>
          <w:lang w:val="en-GB" w:eastAsia="zh-CN"/>
        </w:rPr>
        <w:t>Within</w:t>
      </w:r>
      <w:r w:rsidR="009B7628">
        <w:rPr>
          <w:sz w:val="22"/>
          <w:szCs w:val="22"/>
          <w:lang w:val="en-GB" w:eastAsia="zh-CN"/>
        </w:rPr>
        <w:t xml:space="preserve"> 12</w:t>
      </w:r>
      <w:r w:rsidR="00907543" w:rsidRPr="005B7F92">
        <w:rPr>
          <w:sz w:val="22"/>
          <w:szCs w:val="22"/>
          <w:lang w:val="en-GB" w:eastAsia="zh-CN"/>
        </w:rPr>
        <w:t xml:space="preserve"> years during 1964 and 1976, applications of synthetic fertilizers on crops</w:t>
      </w:r>
      <w:r w:rsidR="00C5320D" w:rsidRPr="005B7F92">
        <w:rPr>
          <w:sz w:val="22"/>
          <w:szCs w:val="22"/>
          <w:lang w:val="en-GB" w:eastAsia="zh-CN"/>
        </w:rPr>
        <w:t xml:space="preserve"> in the United States</w:t>
      </w:r>
      <w:r w:rsidR="00907543" w:rsidRPr="005B7F92">
        <w:rPr>
          <w:sz w:val="22"/>
          <w:szCs w:val="22"/>
          <w:lang w:val="en-GB" w:eastAsia="zh-CN"/>
        </w:rPr>
        <w:t xml:space="preserve"> increased nearly double, while chemical pesticides increased by 143 per</w:t>
      </w:r>
      <w:r w:rsidR="00172224" w:rsidRPr="005B7F92">
        <w:rPr>
          <w:sz w:val="22"/>
          <w:szCs w:val="22"/>
          <w:lang w:val="en-GB" w:eastAsia="zh-CN"/>
        </w:rPr>
        <w:t xml:space="preserve"> </w:t>
      </w:r>
      <w:r w:rsidR="00907543" w:rsidRPr="005B7F92">
        <w:rPr>
          <w:sz w:val="22"/>
          <w:szCs w:val="22"/>
          <w:lang w:val="en-GB" w:eastAsia="zh-CN"/>
        </w:rPr>
        <w:t>cent.</w:t>
      </w:r>
      <w:r w:rsidR="00172224" w:rsidRPr="005B7F92">
        <w:rPr>
          <w:rStyle w:val="EndnoteReference"/>
          <w:sz w:val="22"/>
          <w:szCs w:val="22"/>
          <w:lang w:val="en-GB" w:eastAsia="zh-CN"/>
        </w:rPr>
        <w:endnoteReference w:id="22"/>
      </w:r>
      <w:r w:rsidR="00172224" w:rsidRPr="005B7F92">
        <w:rPr>
          <w:sz w:val="22"/>
          <w:szCs w:val="22"/>
          <w:lang w:val="en-GB" w:eastAsia="zh-CN"/>
        </w:rPr>
        <w:t xml:space="preserve"> H</w:t>
      </w:r>
      <w:r w:rsidRPr="005B7F92">
        <w:rPr>
          <w:sz w:val="22"/>
          <w:szCs w:val="22"/>
          <w:lang w:val="en-GB" w:eastAsia="zh-CN"/>
        </w:rPr>
        <w:t>owever</w:t>
      </w:r>
      <w:r w:rsidR="007F635C" w:rsidRPr="005B7F92">
        <w:rPr>
          <w:sz w:val="22"/>
          <w:szCs w:val="22"/>
          <w:lang w:val="en-GB" w:eastAsia="zh-CN"/>
        </w:rPr>
        <w:t>,</w:t>
      </w:r>
      <w:r w:rsidRPr="005B7F92">
        <w:rPr>
          <w:sz w:val="22"/>
          <w:szCs w:val="22"/>
          <w:lang w:val="en-GB" w:eastAsia="zh-CN"/>
        </w:rPr>
        <w:t xml:space="preserve"> the market encounter</w:t>
      </w:r>
      <w:r w:rsidR="007F635C" w:rsidRPr="005B7F92">
        <w:rPr>
          <w:sz w:val="22"/>
          <w:szCs w:val="22"/>
          <w:lang w:val="en-GB" w:eastAsia="zh-CN"/>
        </w:rPr>
        <w:t>ed</w:t>
      </w:r>
      <w:r w:rsidRPr="005B7F92">
        <w:rPr>
          <w:sz w:val="22"/>
          <w:szCs w:val="22"/>
          <w:lang w:val="en-GB" w:eastAsia="zh-CN"/>
        </w:rPr>
        <w:t xml:space="preserve"> many challenges because </w:t>
      </w:r>
      <w:r w:rsidR="007F635C" w:rsidRPr="005B7F92">
        <w:rPr>
          <w:sz w:val="22"/>
          <w:szCs w:val="22"/>
          <w:lang w:val="en-GB" w:eastAsia="zh-CN"/>
        </w:rPr>
        <w:t xml:space="preserve">the availability of </w:t>
      </w:r>
      <w:r w:rsidRPr="005B7F92">
        <w:rPr>
          <w:sz w:val="22"/>
          <w:szCs w:val="22"/>
          <w:lang w:val="en-GB" w:eastAsia="zh-CN"/>
        </w:rPr>
        <w:t xml:space="preserve">arable lands did not keep growing, </w:t>
      </w:r>
      <w:r w:rsidR="007F635C" w:rsidRPr="005B7F92">
        <w:rPr>
          <w:sz w:val="22"/>
          <w:szCs w:val="22"/>
          <w:lang w:val="en-GB" w:eastAsia="zh-CN"/>
        </w:rPr>
        <w:t>in contrast</w:t>
      </w:r>
      <w:r w:rsidRPr="005B7F92">
        <w:rPr>
          <w:sz w:val="22"/>
          <w:szCs w:val="22"/>
          <w:lang w:val="en-GB" w:eastAsia="zh-CN"/>
        </w:rPr>
        <w:t xml:space="preserve"> to the population</w:t>
      </w:r>
      <w:r w:rsidR="007F635C" w:rsidRPr="005B7F92">
        <w:rPr>
          <w:sz w:val="22"/>
          <w:szCs w:val="22"/>
          <w:lang w:val="en-GB" w:eastAsia="zh-CN"/>
        </w:rPr>
        <w:t>, which did keep growing</w:t>
      </w:r>
      <w:r w:rsidRPr="005B7F92">
        <w:rPr>
          <w:sz w:val="22"/>
          <w:szCs w:val="22"/>
          <w:lang w:val="en-GB" w:eastAsia="zh-CN"/>
        </w:rPr>
        <w:t xml:space="preserve">. </w:t>
      </w:r>
      <w:r w:rsidR="009A08FD" w:rsidRPr="005B7F92">
        <w:rPr>
          <w:sz w:val="22"/>
          <w:szCs w:val="22"/>
          <w:lang w:val="en-GB" w:eastAsia="zh-CN"/>
        </w:rPr>
        <w:t>The global agrochemicals market was expected to reach $308.92 billion by 2025</w:t>
      </w:r>
      <w:r w:rsidRPr="005B7F92">
        <w:rPr>
          <w:sz w:val="22"/>
          <w:szCs w:val="22"/>
          <w:lang w:val="en-GB" w:eastAsia="zh-CN"/>
        </w:rPr>
        <w:t>.</w:t>
      </w:r>
      <w:r w:rsidRPr="005B7F92">
        <w:rPr>
          <w:rStyle w:val="EndnoteReference"/>
          <w:sz w:val="22"/>
          <w:szCs w:val="22"/>
          <w:lang w:val="en-GB" w:eastAsia="zh-CN"/>
        </w:rPr>
        <w:endnoteReference w:id="23"/>
      </w:r>
      <w:r w:rsidR="00BD1D69" w:rsidRPr="005B7F92">
        <w:rPr>
          <w:sz w:val="22"/>
          <w:szCs w:val="22"/>
          <w:lang w:val="en-GB" w:eastAsia="zh-CN"/>
        </w:rPr>
        <w:t xml:space="preserve"> </w:t>
      </w:r>
      <w:r w:rsidR="00096BAC" w:rsidRPr="005B7F92">
        <w:rPr>
          <w:sz w:val="22"/>
          <w:szCs w:val="22"/>
          <w:lang w:val="en-GB" w:eastAsia="zh-CN"/>
        </w:rPr>
        <w:t xml:space="preserve">The industry trend was shifting toward fewer and larger firms through consolidation. </w:t>
      </w:r>
      <w:r w:rsidRPr="005B7F92">
        <w:rPr>
          <w:sz w:val="22"/>
          <w:szCs w:val="22"/>
          <w:lang w:val="en-GB" w:eastAsia="zh-CN"/>
        </w:rPr>
        <w:t>Agrochemicals could be considered an oligopolistic market</w:t>
      </w:r>
      <w:r w:rsidR="007F635C" w:rsidRPr="005B7F92">
        <w:rPr>
          <w:sz w:val="22"/>
          <w:szCs w:val="22"/>
          <w:lang w:val="en-GB" w:eastAsia="zh-CN"/>
        </w:rPr>
        <w:t>,</w:t>
      </w:r>
      <w:r w:rsidRPr="005B7F92">
        <w:rPr>
          <w:sz w:val="22"/>
          <w:szCs w:val="22"/>
          <w:lang w:val="en-GB" w:eastAsia="zh-CN"/>
        </w:rPr>
        <w:t xml:space="preserve"> with six companies accounting for over 70 per cent of the global market value, </w:t>
      </w:r>
      <w:r w:rsidR="007F635C" w:rsidRPr="005B7F92">
        <w:rPr>
          <w:sz w:val="22"/>
          <w:szCs w:val="22"/>
          <w:lang w:val="en-GB" w:eastAsia="zh-CN"/>
        </w:rPr>
        <w:t>led</w:t>
      </w:r>
      <w:r w:rsidRPr="005B7F92">
        <w:rPr>
          <w:sz w:val="22"/>
          <w:szCs w:val="22"/>
          <w:lang w:val="en-GB" w:eastAsia="zh-CN"/>
        </w:rPr>
        <w:t xml:space="preserve"> by Monsanto, Syngenta</w:t>
      </w:r>
      <w:r w:rsidR="007F635C" w:rsidRPr="005B7F92">
        <w:rPr>
          <w:sz w:val="22"/>
          <w:szCs w:val="22"/>
          <w:lang w:val="en-GB" w:eastAsia="zh-CN"/>
        </w:rPr>
        <w:t xml:space="preserve"> AG (Syngenta)</w:t>
      </w:r>
      <w:r w:rsidRPr="005B7F92">
        <w:rPr>
          <w:sz w:val="22"/>
          <w:szCs w:val="22"/>
          <w:lang w:val="en-GB" w:eastAsia="zh-CN"/>
        </w:rPr>
        <w:t xml:space="preserve">, Bayer, and DuPont. However, even the leading firms were </w:t>
      </w:r>
      <w:r w:rsidRPr="005B7F92">
        <w:rPr>
          <w:sz w:val="22"/>
          <w:szCs w:val="22"/>
          <w:lang w:val="en-GB"/>
        </w:rPr>
        <w:t xml:space="preserve">struggling with this new wave of mergers and acquisitions, including the merger between </w:t>
      </w:r>
      <w:r w:rsidR="004C565F" w:rsidRPr="005B7F92">
        <w:rPr>
          <w:sz w:val="22"/>
          <w:szCs w:val="22"/>
          <w:lang w:val="en-GB"/>
        </w:rPr>
        <w:t xml:space="preserve">the </w:t>
      </w:r>
      <w:r w:rsidRPr="005B7F92">
        <w:rPr>
          <w:sz w:val="22"/>
          <w:szCs w:val="22"/>
          <w:lang w:val="en-GB"/>
        </w:rPr>
        <w:t xml:space="preserve">Dow Chemical </w:t>
      </w:r>
      <w:r w:rsidR="004C565F" w:rsidRPr="005B7F92">
        <w:rPr>
          <w:sz w:val="22"/>
          <w:szCs w:val="22"/>
          <w:lang w:val="en-GB"/>
        </w:rPr>
        <w:t xml:space="preserve">Company (Dow Chemical) </w:t>
      </w:r>
      <w:r w:rsidRPr="005B7F92">
        <w:rPr>
          <w:sz w:val="22"/>
          <w:szCs w:val="22"/>
          <w:lang w:val="en-GB"/>
        </w:rPr>
        <w:t>and DuPont in December 2015,</w:t>
      </w:r>
      <w:r w:rsidRPr="005B7F92">
        <w:rPr>
          <w:rStyle w:val="EndnoteReference"/>
          <w:sz w:val="22"/>
          <w:szCs w:val="22"/>
          <w:lang w:val="en-GB"/>
        </w:rPr>
        <w:endnoteReference w:id="24"/>
      </w:r>
      <w:r w:rsidRPr="005B7F92">
        <w:rPr>
          <w:sz w:val="22"/>
          <w:szCs w:val="22"/>
          <w:lang w:val="en-GB"/>
        </w:rPr>
        <w:t xml:space="preserve"> and the acquisition of Syngenta by ChemChina in February 2016.</w:t>
      </w:r>
      <w:r w:rsidRPr="005B7F92">
        <w:rPr>
          <w:rStyle w:val="EndnoteReference"/>
          <w:sz w:val="22"/>
          <w:szCs w:val="22"/>
          <w:lang w:val="en-GB"/>
        </w:rPr>
        <w:endnoteReference w:id="25"/>
      </w:r>
      <w:r w:rsidRPr="005B7F92">
        <w:rPr>
          <w:sz w:val="22"/>
          <w:szCs w:val="22"/>
          <w:lang w:val="en-GB"/>
        </w:rPr>
        <w:t xml:space="preserve"> In additional to Bayer and Monsanto, other major players in the market were as follows.</w:t>
      </w:r>
    </w:p>
    <w:p w14:paraId="565B0510" w14:textId="77777777" w:rsidR="0048032D" w:rsidRPr="005B7F92" w:rsidRDefault="0048032D" w:rsidP="006E7EDA">
      <w:pPr>
        <w:pStyle w:val="BodyTextMain"/>
        <w:rPr>
          <w:lang w:val="en-GB"/>
        </w:rPr>
      </w:pPr>
    </w:p>
    <w:p w14:paraId="38108917" w14:textId="77777777" w:rsidR="0048032D" w:rsidRPr="005B7F92" w:rsidRDefault="0048032D" w:rsidP="006E7EDA">
      <w:pPr>
        <w:pStyle w:val="BodyTextMain"/>
        <w:rPr>
          <w:lang w:val="en-GB"/>
        </w:rPr>
      </w:pPr>
    </w:p>
    <w:p w14:paraId="7AD1372F" w14:textId="77777777" w:rsidR="0048032D" w:rsidRPr="005B7F92" w:rsidRDefault="0048032D" w:rsidP="004E59EB">
      <w:pPr>
        <w:pStyle w:val="Casehead3"/>
        <w:rPr>
          <w:lang w:val="en-GB"/>
        </w:rPr>
      </w:pPr>
      <w:r w:rsidRPr="005B7F92">
        <w:rPr>
          <w:lang w:val="en-GB"/>
        </w:rPr>
        <w:t>Syngenta (Switzerland)</w:t>
      </w:r>
    </w:p>
    <w:p w14:paraId="24E9CAA9" w14:textId="77777777" w:rsidR="0048032D" w:rsidRPr="005B7F92" w:rsidRDefault="0048032D" w:rsidP="006E7EDA">
      <w:pPr>
        <w:pStyle w:val="BodyTextMain"/>
        <w:rPr>
          <w:lang w:val="en-GB"/>
        </w:rPr>
      </w:pPr>
    </w:p>
    <w:p w14:paraId="2CF44E90" w14:textId="3290F2E8" w:rsidR="009C35A7" w:rsidRPr="005B7F92" w:rsidRDefault="0048032D" w:rsidP="006E7EDA">
      <w:pPr>
        <w:pStyle w:val="BodyTextMain"/>
        <w:rPr>
          <w:lang w:val="en-GB"/>
        </w:rPr>
      </w:pPr>
      <w:r w:rsidRPr="005B7F92">
        <w:rPr>
          <w:lang w:val="en-GB"/>
        </w:rPr>
        <w:t xml:space="preserve">Formed in November 2000 </w:t>
      </w:r>
      <w:r w:rsidR="007F635C" w:rsidRPr="005B7F92">
        <w:rPr>
          <w:lang w:val="en-GB"/>
        </w:rPr>
        <w:t>from</w:t>
      </w:r>
      <w:r w:rsidRPr="005B7F92">
        <w:rPr>
          <w:lang w:val="en-GB"/>
        </w:rPr>
        <w:t xml:space="preserve"> the merger of Novartis and AstraZeneca, Syngenta was a Swiss agribusiness company that produced agrochemicals and seeds. It was the first global group exclusively focusing on agribusiness</w:t>
      </w:r>
      <w:r w:rsidR="007F635C" w:rsidRPr="005B7F92">
        <w:rPr>
          <w:lang w:val="en-GB"/>
        </w:rPr>
        <w:t>,</w:t>
      </w:r>
      <w:r w:rsidRPr="005B7F92">
        <w:rPr>
          <w:lang w:val="en-GB"/>
        </w:rPr>
        <w:t xml:space="preserve"> with annual sale</w:t>
      </w:r>
      <w:r w:rsidR="007F635C" w:rsidRPr="005B7F92">
        <w:rPr>
          <w:lang w:val="en-GB"/>
        </w:rPr>
        <w:t>s</w:t>
      </w:r>
      <w:r w:rsidRPr="005B7F92">
        <w:rPr>
          <w:lang w:val="en-GB"/>
        </w:rPr>
        <w:t xml:space="preserve"> in 2015 of </w:t>
      </w:r>
      <w:r w:rsidR="001A3645" w:rsidRPr="005B7F92">
        <w:rPr>
          <w:lang w:val="en-GB"/>
        </w:rPr>
        <w:t>$</w:t>
      </w:r>
      <w:r w:rsidR="005C3141" w:rsidRPr="005B7F92">
        <w:rPr>
          <w:lang w:val="en-GB"/>
        </w:rPr>
        <w:t>13</w:t>
      </w:r>
      <w:r w:rsidR="001A3645" w:rsidRPr="005B7F92">
        <w:rPr>
          <w:lang w:val="en-GB"/>
        </w:rPr>
        <w:t>.</w:t>
      </w:r>
      <w:r w:rsidR="005C3141" w:rsidRPr="005B7F92">
        <w:rPr>
          <w:lang w:val="en-GB"/>
        </w:rPr>
        <w:t>4</w:t>
      </w:r>
      <w:r w:rsidRPr="005B7F92">
        <w:rPr>
          <w:lang w:val="en-GB"/>
        </w:rPr>
        <w:t xml:space="preserve"> </w:t>
      </w:r>
      <w:r w:rsidR="007F635C" w:rsidRPr="005B7F92">
        <w:rPr>
          <w:lang w:val="en-GB"/>
        </w:rPr>
        <w:t>b</w:t>
      </w:r>
      <w:r w:rsidRPr="005B7F92">
        <w:rPr>
          <w:lang w:val="en-GB"/>
        </w:rPr>
        <w:t>illion.</w:t>
      </w:r>
      <w:r w:rsidR="009C35A7" w:rsidRPr="005B7F92">
        <w:rPr>
          <w:rStyle w:val="EndnoteReference"/>
          <w:lang w:val="en-GB"/>
        </w:rPr>
        <w:endnoteReference w:id="26"/>
      </w:r>
      <w:r w:rsidR="009C35A7" w:rsidRPr="005B7F92">
        <w:rPr>
          <w:lang w:val="en-GB"/>
        </w:rPr>
        <w:t xml:space="preserve"> As a biotechnology company, Syngenta conducted genomic research. The firm possessed R&amp;D and manufacturing facilities all over the world, including Europe, China, India, and the United States. In 2014, Monsanto tried to acquire Syngenta for a reported $40 billion, but Syngenta rejected the offer.</w:t>
      </w:r>
      <w:r w:rsidR="009C35A7" w:rsidRPr="005B7F92">
        <w:rPr>
          <w:rStyle w:val="EndnoteReference"/>
          <w:lang w:val="en-GB"/>
        </w:rPr>
        <w:endnoteReference w:id="27"/>
      </w:r>
      <w:r w:rsidR="009C35A7" w:rsidRPr="005B7F92">
        <w:rPr>
          <w:lang w:val="en-GB"/>
        </w:rPr>
        <w:t xml:space="preserve"> Monsanto repeated an acquisition attempt in April 2015, but the U.S. Department of the Treasury tried to stop the deal in its effort to clamp down on tax inversion. Syngenta’s board of directors finally rejected an even better offer by Monsanto made in August 2015. In February 2016, ChemChina offered to purchase the company for $43 billion. The deal was accepted by Syngenta’s shareholders and awaited regulatory approvals.</w:t>
      </w:r>
      <w:r w:rsidR="009C35A7" w:rsidRPr="005B7F92">
        <w:rPr>
          <w:rStyle w:val="EndnoteReference"/>
          <w:lang w:val="en-GB"/>
        </w:rPr>
        <w:endnoteReference w:id="28"/>
      </w:r>
    </w:p>
    <w:p w14:paraId="3878065A" w14:textId="77777777" w:rsidR="009C35A7" w:rsidRPr="005B7F92" w:rsidRDefault="009C35A7" w:rsidP="006E7EDA">
      <w:pPr>
        <w:pStyle w:val="BodyTextMain"/>
        <w:rPr>
          <w:lang w:val="en-GB"/>
        </w:rPr>
      </w:pPr>
    </w:p>
    <w:p w14:paraId="4BCA63F3" w14:textId="77777777" w:rsidR="009C35A7" w:rsidRPr="005B7F92" w:rsidRDefault="009C35A7" w:rsidP="006E7EDA">
      <w:pPr>
        <w:pStyle w:val="BodyTextMain"/>
        <w:rPr>
          <w:lang w:val="en-GB"/>
        </w:rPr>
      </w:pPr>
    </w:p>
    <w:p w14:paraId="3376A62E" w14:textId="54C3BA51" w:rsidR="009C35A7" w:rsidRPr="005B7F92" w:rsidRDefault="009C35A7" w:rsidP="004E59EB">
      <w:pPr>
        <w:pStyle w:val="Casehead3"/>
        <w:rPr>
          <w:lang w:val="en-GB"/>
        </w:rPr>
      </w:pPr>
      <w:r w:rsidRPr="005B7F92">
        <w:rPr>
          <w:lang w:val="en-GB"/>
        </w:rPr>
        <w:t>DuPont (United States)</w:t>
      </w:r>
    </w:p>
    <w:p w14:paraId="2E693739" w14:textId="77777777" w:rsidR="009C35A7" w:rsidRPr="005B7F92" w:rsidRDefault="009C35A7" w:rsidP="006E7EDA">
      <w:pPr>
        <w:pStyle w:val="BodyTextMain"/>
        <w:rPr>
          <w:lang w:val="en-GB"/>
        </w:rPr>
      </w:pPr>
    </w:p>
    <w:p w14:paraId="79A53741" w14:textId="57572610" w:rsidR="009C35A7" w:rsidRPr="005B7F92" w:rsidRDefault="009C35A7" w:rsidP="006E7EDA">
      <w:pPr>
        <w:pStyle w:val="BodyTextMain"/>
        <w:rPr>
          <w:lang w:val="en-GB"/>
        </w:rPr>
      </w:pPr>
      <w:r w:rsidRPr="005B7F92">
        <w:rPr>
          <w:lang w:val="en-GB"/>
        </w:rPr>
        <w:t>Created in 1802, DuPont produced gunpowder and explosives before smoothly diversifying into the chemical and agriculture industries. In 2015, agriculture represented one of the most important segments of the company, with sales value of $9.8 billion, contributing 39 per cent of its total net sales.</w:t>
      </w:r>
      <w:r w:rsidRPr="005B7F92">
        <w:rPr>
          <w:rStyle w:val="EndnoteReference"/>
          <w:lang w:val="en-GB"/>
        </w:rPr>
        <w:endnoteReference w:id="29"/>
      </w:r>
      <w:r w:rsidRPr="005B7F92">
        <w:rPr>
          <w:lang w:val="en-GB"/>
        </w:rPr>
        <w:t xml:space="preserve"> The company acquired a 20 per cent stake in Pioneer Hi-Bred International, one of the first commercial hybrid seed corn companies, to diversify into the agribusinesses in 1997, and the remaining 80 per cent stake in 1999.</w:t>
      </w:r>
      <w:r w:rsidRPr="005B7F92">
        <w:rPr>
          <w:rStyle w:val="EndnoteReference"/>
          <w:lang w:val="en-GB"/>
        </w:rPr>
        <w:endnoteReference w:id="30"/>
      </w:r>
      <w:r w:rsidRPr="005B7F92">
        <w:rPr>
          <w:lang w:val="en-GB"/>
        </w:rPr>
        <w:t xml:space="preserve"> </w:t>
      </w:r>
      <w:r w:rsidRPr="005B7F92">
        <w:rPr>
          <w:lang w:val="en-GB"/>
        </w:rPr>
        <w:lastRenderedPageBreak/>
        <w:t xml:space="preserve">DuPont thereafter specialized in not only hybrid seeds, but also genetically modified seeds. Located mostly in the United States and Canada, the company had also reached EMEA (Europe, the Middle East, and Africa) and </w:t>
      </w:r>
      <w:r w:rsidR="009B7628">
        <w:rPr>
          <w:lang w:val="en-GB"/>
        </w:rPr>
        <w:t xml:space="preserve">the </w:t>
      </w:r>
      <w:r w:rsidRPr="005B7F92">
        <w:rPr>
          <w:lang w:val="en-GB"/>
        </w:rPr>
        <w:t>Asia Pacific. The company also had production facilities in Latin America but saw relatively low revenues in this area. DuPont decided to enter a merger of equals with Dow Chemical in December 2015.</w:t>
      </w:r>
    </w:p>
    <w:p w14:paraId="6084306F" w14:textId="77777777" w:rsidR="009C35A7" w:rsidRPr="005B7F92" w:rsidRDefault="009C35A7" w:rsidP="006E7EDA">
      <w:pPr>
        <w:pStyle w:val="BodyTextMain"/>
        <w:rPr>
          <w:lang w:val="en-GB"/>
        </w:rPr>
      </w:pPr>
    </w:p>
    <w:p w14:paraId="4A42F3A8" w14:textId="77777777" w:rsidR="009C35A7" w:rsidRPr="005B7F92" w:rsidRDefault="009C35A7" w:rsidP="006E7EDA">
      <w:pPr>
        <w:pStyle w:val="BodyTextMain"/>
        <w:rPr>
          <w:lang w:val="en-GB"/>
        </w:rPr>
      </w:pPr>
    </w:p>
    <w:p w14:paraId="52459FF0" w14:textId="6AD1211F" w:rsidR="009C35A7" w:rsidRPr="005B7F92" w:rsidRDefault="009C35A7" w:rsidP="004E59EB">
      <w:pPr>
        <w:pStyle w:val="Casehead3"/>
        <w:rPr>
          <w:lang w:val="en-GB"/>
        </w:rPr>
      </w:pPr>
      <w:r w:rsidRPr="005B7F92">
        <w:rPr>
          <w:lang w:val="en-GB"/>
        </w:rPr>
        <w:t>Dow Chemical (United States)</w:t>
      </w:r>
    </w:p>
    <w:p w14:paraId="058A4C00" w14:textId="77777777" w:rsidR="009C35A7" w:rsidRPr="005B7F92" w:rsidRDefault="009C35A7" w:rsidP="006E7EDA">
      <w:pPr>
        <w:pStyle w:val="BodyTextMain"/>
        <w:rPr>
          <w:lang w:val="en-GB"/>
        </w:rPr>
      </w:pPr>
    </w:p>
    <w:p w14:paraId="2591464F" w14:textId="518F5E07" w:rsidR="009C35A7" w:rsidRPr="005B7F92" w:rsidRDefault="009C35A7" w:rsidP="006E7EDA">
      <w:pPr>
        <w:pStyle w:val="BodyTextMain"/>
        <w:rPr>
          <w:lang w:val="en-GB"/>
        </w:rPr>
      </w:pPr>
      <w:r w:rsidRPr="005B7F92">
        <w:rPr>
          <w:lang w:val="en-GB"/>
        </w:rPr>
        <w:t>Dow Chemical was founded in 1897 in the United States. The first product it manufactured was synthetic rubber, in response to the scarcity of natural rubber resources during World W</w:t>
      </w:r>
      <w:r w:rsidR="00E7297C">
        <w:rPr>
          <w:lang w:val="en-GB"/>
        </w:rPr>
        <w:t>ar</w:t>
      </w:r>
      <w:r w:rsidRPr="005B7F92">
        <w:rPr>
          <w:lang w:val="en-GB"/>
        </w:rPr>
        <w:t xml:space="preserve"> II. Its agricultural subsidiary, Dow AgroSciences, was founded in 1997 after a joint venture with the Elanco Plant Sciences Business of Eli Lilly and Company. The company was driving innovative products to address the world’s challenging problems, including the need for clean water, clean energies, and enhancing agricultural productivity. Its net sales in 2015 reached $48.8 billion, 13 per cent </w:t>
      </w:r>
      <w:r w:rsidR="009B7628">
        <w:rPr>
          <w:lang w:val="en-GB"/>
        </w:rPr>
        <w:t xml:space="preserve">of which came </w:t>
      </w:r>
      <w:r w:rsidRPr="005B7F92">
        <w:rPr>
          <w:lang w:val="en-GB"/>
        </w:rPr>
        <w:t>from the agricultural science segment, which was involved in areas such as crop protection, seeds</w:t>
      </w:r>
      <w:r w:rsidR="009B7628">
        <w:rPr>
          <w:lang w:val="en-GB"/>
        </w:rPr>
        <w:t xml:space="preserve"> </w:t>
      </w:r>
      <w:r w:rsidRPr="005B7F92">
        <w:rPr>
          <w:lang w:val="en-GB"/>
        </w:rPr>
        <w:t xml:space="preserve">(some </w:t>
      </w:r>
      <w:r w:rsidR="009B7628">
        <w:rPr>
          <w:lang w:val="en-GB"/>
        </w:rPr>
        <w:t xml:space="preserve">of which </w:t>
      </w:r>
      <w:r w:rsidRPr="005B7F92">
        <w:rPr>
          <w:lang w:val="en-GB"/>
        </w:rPr>
        <w:t>were genetically modified organisms (GMOs)), traits, and oils.</w:t>
      </w:r>
      <w:r w:rsidRPr="005B7F92">
        <w:rPr>
          <w:rStyle w:val="EndnoteReference"/>
          <w:lang w:val="en-GB"/>
        </w:rPr>
        <w:endnoteReference w:id="31"/>
      </w:r>
      <w:r w:rsidRPr="005B7F92">
        <w:rPr>
          <w:lang w:val="en-GB"/>
        </w:rPr>
        <w:t xml:space="preserve"> The company had locations in the United States, Europe, the Middle East, Africa, and India. </w:t>
      </w:r>
    </w:p>
    <w:p w14:paraId="47DEEE08" w14:textId="77777777" w:rsidR="009C35A7" w:rsidRPr="005B7F92" w:rsidRDefault="009C35A7" w:rsidP="006E7EDA">
      <w:pPr>
        <w:pStyle w:val="BodyTextMain"/>
        <w:rPr>
          <w:lang w:val="en-GB"/>
        </w:rPr>
      </w:pPr>
    </w:p>
    <w:p w14:paraId="1578464C" w14:textId="77777777" w:rsidR="009C35A7" w:rsidRPr="005B7F92" w:rsidRDefault="009C35A7" w:rsidP="006E7EDA">
      <w:pPr>
        <w:pStyle w:val="BodyTextMain"/>
        <w:rPr>
          <w:lang w:val="en-GB"/>
        </w:rPr>
      </w:pPr>
    </w:p>
    <w:p w14:paraId="51431339" w14:textId="0FA53311" w:rsidR="009C35A7" w:rsidRPr="005B7F92" w:rsidRDefault="009C35A7" w:rsidP="004E59EB">
      <w:pPr>
        <w:pStyle w:val="Casehead3"/>
        <w:rPr>
          <w:lang w:val="en-GB"/>
        </w:rPr>
      </w:pPr>
      <w:r w:rsidRPr="005B7F92">
        <w:rPr>
          <w:lang w:val="en-GB"/>
        </w:rPr>
        <w:t>BASF (Germany)</w:t>
      </w:r>
    </w:p>
    <w:p w14:paraId="1CF2923B" w14:textId="77777777" w:rsidR="009C35A7" w:rsidRPr="005B7F92" w:rsidRDefault="009C35A7" w:rsidP="006E7EDA">
      <w:pPr>
        <w:pStyle w:val="BodyTextMain"/>
        <w:rPr>
          <w:lang w:val="en-GB"/>
        </w:rPr>
      </w:pPr>
    </w:p>
    <w:p w14:paraId="31B39772" w14:textId="3EB212B8" w:rsidR="009C35A7" w:rsidRPr="005B7F92" w:rsidRDefault="009C35A7" w:rsidP="006E7EDA">
      <w:pPr>
        <w:pStyle w:val="BodyTextMain"/>
        <w:rPr>
          <w:lang w:val="en-GB"/>
        </w:rPr>
      </w:pPr>
      <w:r w:rsidRPr="005B7F92">
        <w:rPr>
          <w:lang w:val="en-GB"/>
        </w:rPr>
        <w:t>Founded in 1865, BASF achieved net sales of €57.6 billion in 2016.</w:t>
      </w:r>
      <w:r w:rsidRPr="005B7F92">
        <w:rPr>
          <w:rStyle w:val="EndnoteReference"/>
          <w:lang w:val="en-GB"/>
        </w:rPr>
        <w:endnoteReference w:id="32"/>
      </w:r>
      <w:r w:rsidRPr="005B7F92">
        <w:rPr>
          <w:lang w:val="en-GB"/>
        </w:rPr>
        <w:t xml:space="preserve"> The company was involved in the crop protection business, providing agricultural solutions in one of its segments. BASF’s main products were fungicides, herbicides, insecticides, functional crop care products, and pest control products. One of its subsidiaries, BASF Plant Science, developed GMOs in collaboration with Monsanto. Its agricultural solutions segment represented 10 per cent of total sales and 12 per cent of earnings before interest, tax, depreciation, and amortization (EBITDA). This segment operated mostly in Europe and North America, which represented 35 per cent and 32 per cent of the segment’s total sales, respectively. </w:t>
      </w:r>
      <w:r w:rsidR="009B7628">
        <w:rPr>
          <w:lang w:val="en-GB"/>
        </w:rPr>
        <w:t xml:space="preserve">The </w:t>
      </w:r>
      <w:r w:rsidRPr="005B7F92">
        <w:rPr>
          <w:lang w:val="en-GB"/>
        </w:rPr>
        <w:t>Asia Pacific represented 10 per cent; South America, Africa, and the Middle East represented 23 per cent.</w:t>
      </w:r>
    </w:p>
    <w:p w14:paraId="2A57A386" w14:textId="77777777" w:rsidR="009C35A7" w:rsidRPr="005B7F92" w:rsidRDefault="009C35A7" w:rsidP="006E7EDA">
      <w:pPr>
        <w:pStyle w:val="BodyTextMain"/>
        <w:rPr>
          <w:lang w:val="en-GB"/>
        </w:rPr>
      </w:pPr>
    </w:p>
    <w:p w14:paraId="0927F50D" w14:textId="77777777" w:rsidR="009C35A7" w:rsidRPr="005B7F92" w:rsidRDefault="009C35A7" w:rsidP="006E7EDA">
      <w:pPr>
        <w:pStyle w:val="BodyTextMain"/>
        <w:rPr>
          <w:lang w:val="en-GB"/>
        </w:rPr>
      </w:pPr>
    </w:p>
    <w:p w14:paraId="4DE4E461" w14:textId="77777777" w:rsidR="009C35A7" w:rsidRPr="005B7F92" w:rsidRDefault="009C35A7" w:rsidP="006E7EDA">
      <w:pPr>
        <w:pStyle w:val="BodyTextMain"/>
        <w:rPr>
          <w:rFonts w:ascii="Arial" w:hAnsi="Arial" w:cs="Arial"/>
          <w:b/>
          <w:sz w:val="20"/>
          <w:szCs w:val="20"/>
          <w:lang w:val="en-GB"/>
        </w:rPr>
      </w:pPr>
      <w:r w:rsidRPr="005B7F92">
        <w:rPr>
          <w:rFonts w:ascii="Arial" w:hAnsi="Arial" w:cs="Arial"/>
          <w:b/>
          <w:sz w:val="20"/>
          <w:szCs w:val="20"/>
          <w:lang w:val="en-GB"/>
        </w:rPr>
        <w:t>Controversial Issues and Challenges</w:t>
      </w:r>
    </w:p>
    <w:p w14:paraId="483DEF3A" w14:textId="77777777" w:rsidR="009C35A7" w:rsidRPr="005B7F92" w:rsidRDefault="009C35A7" w:rsidP="006E7EDA">
      <w:pPr>
        <w:pStyle w:val="BodyTextMain"/>
        <w:rPr>
          <w:lang w:val="en-GB"/>
        </w:rPr>
      </w:pPr>
    </w:p>
    <w:p w14:paraId="539F457D" w14:textId="5084E274" w:rsidR="009C35A7" w:rsidRPr="005B7F92" w:rsidRDefault="009C35A7" w:rsidP="006E7EDA">
      <w:pPr>
        <w:pStyle w:val="BodyTextMain"/>
        <w:rPr>
          <w:lang w:val="en-GB"/>
        </w:rPr>
      </w:pPr>
      <w:r w:rsidRPr="005B7F92">
        <w:rPr>
          <w:lang w:val="en-GB"/>
        </w:rPr>
        <w:t>The use of agrochemical products</w:t>
      </w:r>
      <w:r w:rsidR="009B7628">
        <w:rPr>
          <w:lang w:val="en-GB"/>
        </w:rPr>
        <w:t xml:space="preserve"> </w:t>
      </w:r>
      <w:r w:rsidRPr="005B7F92">
        <w:rPr>
          <w:lang w:val="en-GB"/>
        </w:rPr>
        <w:t>generated much criticism in the agriculture industry. Most critics pointed out the issues of unsustainability and threats to the environment posed by extended monocultures, which reduced the diversity of plants (and thus seeds); the destruction of wildlife; and the increasing dependency of local farmers on multinationals. Some activists and scholars, particularly Vandana Shiva, defended the concept of seed freedom for avoiding complete corporate control over seeds’ patents, and strongly criticized how seed chemical packaging, including pesticides, jeopardized people’s health and destroyed living ecosystems.</w:t>
      </w:r>
      <w:r w:rsidRPr="005B7F92">
        <w:rPr>
          <w:rStyle w:val="EndnoteReference"/>
          <w:lang w:val="en-GB"/>
        </w:rPr>
        <w:endnoteReference w:id="33"/>
      </w:r>
    </w:p>
    <w:p w14:paraId="0E141A8F" w14:textId="77777777" w:rsidR="009C35A7" w:rsidRPr="005B7F92" w:rsidRDefault="009C35A7" w:rsidP="006E7EDA">
      <w:pPr>
        <w:pStyle w:val="BodyTextMain"/>
        <w:rPr>
          <w:lang w:val="en-GB"/>
        </w:rPr>
      </w:pPr>
    </w:p>
    <w:p w14:paraId="05597CA7" w14:textId="14F04C2B" w:rsidR="009C35A7" w:rsidRPr="005B7F92" w:rsidRDefault="009C35A7" w:rsidP="006E7EDA">
      <w:pPr>
        <w:pStyle w:val="BodyTextMain"/>
        <w:rPr>
          <w:lang w:val="en-GB"/>
        </w:rPr>
      </w:pPr>
      <w:r w:rsidRPr="005B7F92">
        <w:rPr>
          <w:lang w:val="en-GB"/>
        </w:rPr>
        <w:t>Another major dispute was over GMOs. GMOs were organisms whose genetic material had been changed by scientists. People were afraid of prevalent use of GMOs in the seeds market to improve productivity or for disease resistance because there was insufficient knowledge for predicting the consequences of GMOs on human health and on soil conditions. These genetic materials were commonly accepted in the United States but strictly prohibited in some European countries.</w:t>
      </w:r>
    </w:p>
    <w:p w14:paraId="2AE20275" w14:textId="61A6C0CC" w:rsidR="009C35A7" w:rsidRPr="005B7F92" w:rsidRDefault="009C35A7" w:rsidP="006E7EDA">
      <w:pPr>
        <w:pStyle w:val="BodyTextMain"/>
        <w:rPr>
          <w:lang w:val="en-GB"/>
        </w:rPr>
      </w:pPr>
      <w:r w:rsidRPr="005B7F92">
        <w:rPr>
          <w:lang w:val="en-GB"/>
        </w:rPr>
        <w:t xml:space="preserve">The future challenges for this industry thus involved the recent trend in different countries of creating new agricultural techniques to avoid the negative effects resulting from agrochemicals, such as organic farming </w:t>
      </w:r>
      <w:r w:rsidRPr="005B7F92">
        <w:rPr>
          <w:lang w:val="en-GB"/>
        </w:rPr>
        <w:lastRenderedPageBreak/>
        <w:t xml:space="preserve">and applying labels certifying natural protection processes. Another obvious challenge was the evolution of legislation. While the United States was mainly using these biotechnologies, Europe was still very conservative and forbid the growing of these GMO crops. </w:t>
      </w:r>
    </w:p>
    <w:p w14:paraId="4BB9498F" w14:textId="77777777" w:rsidR="009C35A7" w:rsidRPr="005B7F92" w:rsidRDefault="009C35A7" w:rsidP="006E7EDA">
      <w:pPr>
        <w:pStyle w:val="BodyTextMain"/>
        <w:rPr>
          <w:lang w:val="en-GB"/>
        </w:rPr>
      </w:pPr>
    </w:p>
    <w:p w14:paraId="4F59A7C0" w14:textId="77777777" w:rsidR="009C35A7" w:rsidRPr="005B7F92" w:rsidRDefault="009C35A7" w:rsidP="006E7EDA">
      <w:pPr>
        <w:pStyle w:val="BodyTextMain"/>
        <w:rPr>
          <w:lang w:val="en-GB"/>
        </w:rPr>
      </w:pPr>
    </w:p>
    <w:p w14:paraId="7B529C83" w14:textId="78AF6797" w:rsidR="009C35A7" w:rsidRPr="005B7F92" w:rsidRDefault="009C35A7" w:rsidP="006E7EDA">
      <w:pPr>
        <w:pStyle w:val="BodyTextMain"/>
        <w:rPr>
          <w:rFonts w:ascii="Arial" w:hAnsi="Arial" w:cs="Arial"/>
          <w:b/>
          <w:sz w:val="20"/>
          <w:szCs w:val="20"/>
          <w:lang w:val="en-GB"/>
        </w:rPr>
      </w:pPr>
      <w:r w:rsidRPr="005B7F92">
        <w:rPr>
          <w:rFonts w:ascii="Arial" w:hAnsi="Arial" w:cs="Arial"/>
          <w:b/>
          <w:sz w:val="20"/>
          <w:szCs w:val="20"/>
          <w:lang w:val="en-GB"/>
        </w:rPr>
        <w:t>MONSANTO COMPANY</w:t>
      </w:r>
    </w:p>
    <w:p w14:paraId="68617C01" w14:textId="77777777" w:rsidR="009C35A7" w:rsidRPr="005B7F92" w:rsidRDefault="009C35A7" w:rsidP="006E7EDA">
      <w:pPr>
        <w:pStyle w:val="BodyTextMain"/>
        <w:rPr>
          <w:lang w:val="en-GB"/>
        </w:rPr>
      </w:pPr>
    </w:p>
    <w:p w14:paraId="7E254EFC" w14:textId="553F2E45" w:rsidR="009C35A7" w:rsidRPr="005B7F92" w:rsidRDefault="009C35A7" w:rsidP="006E7EDA">
      <w:pPr>
        <w:pStyle w:val="BodyTextMain"/>
        <w:rPr>
          <w:spacing w:val="-2"/>
          <w:lang w:val="en-GB"/>
        </w:rPr>
      </w:pPr>
      <w:r w:rsidRPr="005B7F92">
        <w:rPr>
          <w:spacing w:val="-2"/>
          <w:lang w:val="en-GB"/>
        </w:rPr>
        <w:t>Monsanto</w:t>
      </w:r>
      <w:r w:rsidRPr="005B7F92">
        <w:rPr>
          <w:spacing w:val="-2"/>
          <w:lang w:val="en-GB" w:eastAsia="zh-CN"/>
        </w:rPr>
        <w:t xml:space="preserve"> was a</w:t>
      </w:r>
      <w:r w:rsidRPr="005B7F92">
        <w:rPr>
          <w:spacing w:val="-2"/>
          <w:lang w:val="en-GB"/>
        </w:rPr>
        <w:t xml:space="preserve"> leading agrochemical company. It had been a chemical company from 1901 until World War II, but entered the agriculture business in the mid-1940s with an insecticide to control corn borer and other insect pests. In 1970, Monsanto produced its most famous herbicide product, Roundup, which killed not only the leaves of weeds but also down to their roots. In 1979, aspiring to be a wor</w:t>
      </w:r>
      <w:r w:rsidR="009B7628">
        <w:rPr>
          <w:spacing w:val="-2"/>
          <w:lang w:val="en-GB"/>
        </w:rPr>
        <w:t>l</w:t>
      </w:r>
      <w:r w:rsidRPr="005B7F92">
        <w:rPr>
          <w:spacing w:val="-2"/>
          <w:lang w:val="en-GB"/>
        </w:rPr>
        <w:t>d</w:t>
      </w:r>
      <w:r w:rsidR="009B7628">
        <w:rPr>
          <w:spacing w:val="-2"/>
          <w:lang w:val="en-GB"/>
        </w:rPr>
        <w:t>-</w:t>
      </w:r>
      <w:r w:rsidRPr="005B7F92">
        <w:rPr>
          <w:spacing w:val="-2"/>
          <w:lang w:val="en-GB"/>
        </w:rPr>
        <w:t>class molecular biology company, Monsanto hired professors</w:t>
      </w:r>
      <w:r w:rsidR="00695E76">
        <w:rPr>
          <w:spacing w:val="-2"/>
          <w:lang w:val="en-GB"/>
        </w:rPr>
        <w:t xml:space="preserve"> and scientists in the fiel</w:t>
      </w:r>
      <w:r w:rsidR="00695E76" w:rsidRPr="005B7F92">
        <w:rPr>
          <w:spacing w:val="-2"/>
          <w:lang w:val="en-GB"/>
        </w:rPr>
        <w:t>d</w:t>
      </w:r>
      <w:r w:rsidRPr="005B7F92">
        <w:rPr>
          <w:spacing w:val="-2"/>
          <w:lang w:val="en-GB"/>
        </w:rPr>
        <w:t>, marking the start of biotechnology in the agriculture industry.</w:t>
      </w:r>
      <w:r w:rsidRPr="005B7F92">
        <w:rPr>
          <w:rStyle w:val="EndnoteReference"/>
          <w:spacing w:val="-2"/>
          <w:lang w:val="en-GB"/>
        </w:rPr>
        <w:endnoteReference w:id="34"/>
      </w:r>
      <w:r w:rsidRPr="005B7F92">
        <w:rPr>
          <w:spacing w:val="-2"/>
          <w:lang w:val="en-GB"/>
        </w:rPr>
        <w:t xml:space="preserve"> The company aimed to develop a methodology to transfer cloned genes into plant cells to generate a better plant. In 1987, the U.S. Department of Agriculture approved field tests of Monsanto’s genetically modified tomatoes. From 1996 to 1998, the company conducted several mergers and acquisitions in the seed industry, including those involving </w:t>
      </w:r>
      <w:proofErr w:type="spellStart"/>
      <w:r w:rsidRPr="005B7F92">
        <w:rPr>
          <w:spacing w:val="-2"/>
          <w:lang w:val="en-GB"/>
        </w:rPr>
        <w:t>Agracetus</w:t>
      </w:r>
      <w:proofErr w:type="spellEnd"/>
      <w:r w:rsidRPr="005B7F92">
        <w:rPr>
          <w:spacing w:val="-2"/>
          <w:lang w:val="en-GB"/>
        </w:rPr>
        <w:t xml:space="preserve"> Inc</w:t>
      </w:r>
      <w:r w:rsidR="00695E76">
        <w:rPr>
          <w:spacing w:val="-2"/>
          <w:lang w:val="en-GB"/>
        </w:rPr>
        <w:t>.</w:t>
      </w:r>
      <w:r w:rsidRPr="005B7F92">
        <w:rPr>
          <w:spacing w:val="-2"/>
          <w:lang w:val="en-GB"/>
        </w:rPr>
        <w:t xml:space="preserve">, </w:t>
      </w:r>
      <w:proofErr w:type="spellStart"/>
      <w:r w:rsidRPr="005B7F92">
        <w:rPr>
          <w:spacing w:val="-2"/>
          <w:lang w:val="en-GB"/>
        </w:rPr>
        <w:t>Calgene</w:t>
      </w:r>
      <w:proofErr w:type="spellEnd"/>
      <w:r w:rsidRPr="005B7F92">
        <w:rPr>
          <w:spacing w:val="-2"/>
          <w:lang w:val="en-GB"/>
        </w:rPr>
        <w:t xml:space="preserve">, </w:t>
      </w:r>
      <w:proofErr w:type="spellStart"/>
      <w:r w:rsidRPr="005B7F92">
        <w:rPr>
          <w:spacing w:val="-2"/>
          <w:lang w:val="en-GB"/>
        </w:rPr>
        <w:t>Asgrow</w:t>
      </w:r>
      <w:proofErr w:type="spellEnd"/>
      <w:r w:rsidRPr="005B7F92">
        <w:rPr>
          <w:spacing w:val="-2"/>
          <w:lang w:val="en-GB"/>
        </w:rPr>
        <w:t>, Holden’s Foundation Seeds, Corn States Hybrid LLC, and DeKalb Genetics Corporation. This consolidation strategy allowed Monsanto to create more synergies while enabling the resistance of its own seeds to the Roundup herbicide. Thus, Monsanto’s seeds were also protected from insects.</w:t>
      </w:r>
      <w:r w:rsidRPr="005B7F92">
        <w:rPr>
          <w:rStyle w:val="EndnoteReference"/>
          <w:spacing w:val="-2"/>
          <w:lang w:val="en-GB"/>
        </w:rPr>
        <w:endnoteReference w:id="35"/>
      </w:r>
    </w:p>
    <w:p w14:paraId="7B6AA2B8" w14:textId="77777777" w:rsidR="009C35A7" w:rsidRPr="005B7F92" w:rsidRDefault="009C35A7" w:rsidP="006E7EDA">
      <w:pPr>
        <w:pStyle w:val="BodyTextMain"/>
        <w:rPr>
          <w:lang w:val="en-GB"/>
        </w:rPr>
      </w:pPr>
    </w:p>
    <w:p w14:paraId="64C230E8" w14:textId="30F00986" w:rsidR="009C35A7" w:rsidRPr="005B7F92" w:rsidRDefault="009C35A7" w:rsidP="006E7EDA">
      <w:pPr>
        <w:pStyle w:val="BodyTextMain"/>
        <w:rPr>
          <w:lang w:val="en-GB"/>
        </w:rPr>
      </w:pPr>
      <w:r w:rsidRPr="005B7F92">
        <w:rPr>
          <w:lang w:val="en-GB"/>
        </w:rPr>
        <w:t>In 2000, Monsanto pursued a massive merger that separated the company into three main businesses: agriculture, pharmaceutical, and chemicals. The former Monsanto was thereafter known as Pharmacia LLC and was a wholly owned subsidiary of Pfizer. Its chemicals business became a wholly owned subsidiary of Eastman Chemical Company. Monsanto</w:t>
      </w:r>
      <w:r w:rsidR="009B7628">
        <w:rPr>
          <w:lang w:val="en-GB"/>
        </w:rPr>
        <w:t>,</w:t>
      </w:r>
      <w:r w:rsidRPr="005B7F92">
        <w:rPr>
          <w:lang w:val="en-GB"/>
        </w:rPr>
        <w:t xml:space="preserve"> as </w:t>
      </w:r>
      <w:r w:rsidR="009B7628">
        <w:rPr>
          <w:lang w:val="en-GB"/>
        </w:rPr>
        <w:t>it was known</w:t>
      </w:r>
      <w:r w:rsidRPr="005B7F92">
        <w:rPr>
          <w:lang w:val="en-GB"/>
        </w:rPr>
        <w:t xml:space="preserve"> in 2016</w:t>
      </w:r>
      <w:r w:rsidR="009B7628">
        <w:rPr>
          <w:lang w:val="en-GB"/>
        </w:rPr>
        <w:t>,</w:t>
      </w:r>
      <w:r w:rsidRPr="005B7F92">
        <w:rPr>
          <w:lang w:val="en-GB"/>
        </w:rPr>
        <w:t xml:space="preserve"> operated only the agriculture business.</w:t>
      </w:r>
      <w:r w:rsidRPr="005B7F92">
        <w:rPr>
          <w:rStyle w:val="EndnoteReference"/>
          <w:lang w:val="en-GB"/>
        </w:rPr>
        <w:endnoteReference w:id="36"/>
      </w:r>
      <w:r w:rsidRPr="005B7F92">
        <w:rPr>
          <w:lang w:val="en-GB"/>
        </w:rPr>
        <w:t xml:space="preserve"> Monsanto continued its consolidation strategy by acquiring Emergent Genetics (the third-largest cotton seed company in the United States) in 2005; Delta and Pine Land Company (a major cotton seed breeder) in 2007; a Dutch seed company, De Ruiter Seeds, in 2008; Precision Planting Inc. (which produced computer hardware and software designed to enable farmers to increase yield and productivity through more precise planting) in 2012; and in 2013</w:t>
      </w:r>
      <w:r w:rsidR="009B7628">
        <w:rPr>
          <w:lang w:val="en-GB"/>
        </w:rPr>
        <w:t>,</w:t>
      </w:r>
      <w:r w:rsidRPr="005B7F92">
        <w:rPr>
          <w:lang w:val="en-GB"/>
        </w:rPr>
        <w:t xml:space="preserve"> the Climate Corporation (a digital weather forecasting company helping farmers). Through these acquisitions, Monsanto thus became a leader in research not only on GMOs but also on digitalization. In 2015, Monsanto attempted—but failed—to purchase Syngenta.</w:t>
      </w:r>
    </w:p>
    <w:p w14:paraId="25E27184" w14:textId="77777777" w:rsidR="009C35A7" w:rsidRPr="005B7F92" w:rsidRDefault="009C35A7" w:rsidP="006E7EDA">
      <w:pPr>
        <w:pStyle w:val="BodyTextMain"/>
        <w:rPr>
          <w:lang w:val="en-GB"/>
        </w:rPr>
      </w:pPr>
    </w:p>
    <w:p w14:paraId="72B8BBF0" w14:textId="03AA3313" w:rsidR="0048032D" w:rsidRPr="005B7F92" w:rsidRDefault="009C35A7" w:rsidP="006E7EDA">
      <w:pPr>
        <w:pStyle w:val="BodyTextMain"/>
        <w:rPr>
          <w:lang w:val="en-GB"/>
        </w:rPr>
      </w:pPr>
      <w:r w:rsidRPr="005B7F92">
        <w:rPr>
          <w:lang w:val="en-GB"/>
        </w:rPr>
        <w:t>In 2016, Monsanto’s product portfolio was divided into two main segments.</w:t>
      </w:r>
      <w:r w:rsidRPr="005B7F92">
        <w:rPr>
          <w:rStyle w:val="EndnoteReference"/>
          <w:lang w:val="en-GB"/>
        </w:rPr>
        <w:endnoteReference w:id="37"/>
      </w:r>
      <w:r w:rsidRPr="005B7F92">
        <w:rPr>
          <w:lang w:val="en-GB"/>
        </w:rPr>
        <w:t xml:space="preserve"> The seeds and genomics segment represented almost 74 per cent</w:t>
      </w:r>
      <w:r w:rsidRPr="005B7F92">
        <w:rPr>
          <w:rStyle w:val="EndnoteReference"/>
          <w:lang w:val="en-GB"/>
        </w:rPr>
        <w:endnoteReference w:id="38"/>
      </w:r>
      <w:r w:rsidRPr="005B7F92">
        <w:rPr>
          <w:lang w:val="en-GB"/>
        </w:rPr>
        <w:t xml:space="preserve"> of its total net sales, with two products</w:t>
      </w:r>
      <w:r w:rsidR="009B7628">
        <w:rPr>
          <w:lang w:val="en-GB"/>
        </w:rPr>
        <w:t xml:space="preserve">: </w:t>
      </w:r>
      <w:r w:rsidRPr="005B7F92">
        <w:rPr>
          <w:lang w:val="en-GB"/>
        </w:rPr>
        <w:t xml:space="preserve">germplasm (living tissue from which new plants could be grown), which was for row crop seeds such as soybean or cotton (e.g., the DEKALB and </w:t>
      </w:r>
      <w:proofErr w:type="spellStart"/>
      <w:r w:rsidRPr="005B7F92">
        <w:rPr>
          <w:lang w:val="en-GB"/>
        </w:rPr>
        <w:t>Deltapine</w:t>
      </w:r>
      <w:proofErr w:type="spellEnd"/>
      <w:r w:rsidRPr="005B7F92">
        <w:rPr>
          <w:lang w:val="en-GB"/>
        </w:rPr>
        <w:t xml:space="preserve"> brands) and vegetable seeds (e.g., the De Ruiter Seeds and </w:t>
      </w:r>
      <w:proofErr w:type="spellStart"/>
      <w:r w:rsidRPr="005B7F92">
        <w:rPr>
          <w:lang w:val="en-GB"/>
        </w:rPr>
        <w:t>Seminis</w:t>
      </w:r>
      <w:proofErr w:type="spellEnd"/>
      <w:r w:rsidRPr="005B7F92">
        <w:rPr>
          <w:lang w:val="en-GB"/>
        </w:rPr>
        <w:t xml:space="preserve"> brands), and biotechnological traits, which enabled crop protection and decreased the need for insecticides. Some products in the Roundup series enabled tolerance of the seeds to the famous herbicide. The seeds and genomics segment mainly developed biotechnology traits that assisted farmers in controlling insects and weeds. It also provided digital agricultural tools to assist farmers in making farming decisions. The agricultural productivity segment accounted for 26 per cent</w:t>
      </w:r>
      <w:r w:rsidRPr="005B7F92">
        <w:rPr>
          <w:rStyle w:val="EndnoteReference"/>
          <w:lang w:val="en-GB"/>
        </w:rPr>
        <w:endnoteReference w:id="39"/>
      </w:r>
      <w:r w:rsidRPr="005B7F92">
        <w:rPr>
          <w:lang w:val="en-GB"/>
        </w:rPr>
        <w:t xml:space="preserve"> </w:t>
      </w:r>
      <w:r w:rsidR="0048032D" w:rsidRPr="005B7F92">
        <w:rPr>
          <w:lang w:val="en-GB"/>
        </w:rPr>
        <w:t xml:space="preserve">of the total sales, </w:t>
      </w:r>
      <w:r w:rsidR="002F53EC" w:rsidRPr="005B7F92">
        <w:rPr>
          <w:lang w:val="en-GB"/>
        </w:rPr>
        <w:t xml:space="preserve">and it </w:t>
      </w:r>
      <w:r w:rsidR="0048032D" w:rsidRPr="005B7F92">
        <w:rPr>
          <w:lang w:val="en-GB"/>
        </w:rPr>
        <w:t>manufactur</w:t>
      </w:r>
      <w:r w:rsidR="002F53EC" w:rsidRPr="005B7F92">
        <w:rPr>
          <w:lang w:val="en-GB"/>
        </w:rPr>
        <w:t>ed</w:t>
      </w:r>
      <w:r w:rsidR="0048032D" w:rsidRPr="005B7F92">
        <w:rPr>
          <w:lang w:val="en-GB"/>
        </w:rPr>
        <w:t xml:space="preserve"> Roundup and other herbicides.</w:t>
      </w:r>
      <w:r w:rsidR="0018049E" w:rsidRPr="005B7F92">
        <w:rPr>
          <w:lang w:val="en-GB"/>
        </w:rPr>
        <w:t xml:space="preserve"> Monsanto</w:t>
      </w:r>
      <w:r w:rsidR="002D56E5" w:rsidRPr="005B7F92">
        <w:rPr>
          <w:lang w:val="en-GB"/>
        </w:rPr>
        <w:t xml:space="preserve"> </w:t>
      </w:r>
      <w:r w:rsidR="0018049E" w:rsidRPr="005B7F92">
        <w:rPr>
          <w:lang w:val="en-GB"/>
        </w:rPr>
        <w:t xml:space="preserve">developed two kinds of applications in this segment. The first type </w:t>
      </w:r>
      <w:r w:rsidR="009A6E87" w:rsidRPr="005B7F92">
        <w:rPr>
          <w:lang w:val="en-GB"/>
        </w:rPr>
        <w:t>was</w:t>
      </w:r>
      <w:r w:rsidR="0018049E" w:rsidRPr="005B7F92">
        <w:rPr>
          <w:lang w:val="en-GB"/>
        </w:rPr>
        <w:t xml:space="preserve"> for weed control</w:t>
      </w:r>
      <w:r w:rsidR="009A6E87" w:rsidRPr="005B7F92">
        <w:rPr>
          <w:lang w:val="en-GB"/>
        </w:rPr>
        <w:t>,</w:t>
      </w:r>
      <w:r w:rsidR="0018049E" w:rsidRPr="005B7F92">
        <w:rPr>
          <w:lang w:val="en-GB"/>
        </w:rPr>
        <w:t xml:space="preserve"> with Roundup as the main brand</w:t>
      </w:r>
      <w:r w:rsidR="002D56E5" w:rsidRPr="005B7F92">
        <w:rPr>
          <w:lang w:val="en-GB"/>
        </w:rPr>
        <w:t>, targeting professionals and individuals</w:t>
      </w:r>
      <w:r w:rsidR="0018049E" w:rsidRPr="005B7F92">
        <w:rPr>
          <w:lang w:val="en-GB"/>
        </w:rPr>
        <w:t>. The second type was the pre</w:t>
      </w:r>
      <w:r w:rsidR="009A6E87" w:rsidRPr="005B7F92">
        <w:rPr>
          <w:lang w:val="en-GB"/>
        </w:rPr>
        <w:t>-</w:t>
      </w:r>
      <w:r w:rsidR="0018049E" w:rsidRPr="005B7F92">
        <w:rPr>
          <w:lang w:val="en-GB"/>
        </w:rPr>
        <w:t>emergen</w:t>
      </w:r>
      <w:r w:rsidR="009A6E87" w:rsidRPr="005B7F92">
        <w:rPr>
          <w:lang w:val="en-GB"/>
        </w:rPr>
        <w:t>ce control of</w:t>
      </w:r>
      <w:r w:rsidR="0018049E" w:rsidRPr="005B7F92">
        <w:rPr>
          <w:lang w:val="en-GB"/>
        </w:rPr>
        <w:t xml:space="preserve"> annual grass and small</w:t>
      </w:r>
      <w:r w:rsidR="009A6E87" w:rsidRPr="005B7F92">
        <w:rPr>
          <w:lang w:val="en-GB"/>
        </w:rPr>
        <w:t>-</w:t>
      </w:r>
      <w:r w:rsidR="0018049E" w:rsidRPr="005B7F92">
        <w:rPr>
          <w:lang w:val="en-GB"/>
        </w:rPr>
        <w:t>seeded broadleaf weeds</w:t>
      </w:r>
      <w:r w:rsidR="009A6E87" w:rsidRPr="005B7F92">
        <w:rPr>
          <w:lang w:val="en-GB"/>
        </w:rPr>
        <w:t>,</w:t>
      </w:r>
      <w:r w:rsidR="0018049E" w:rsidRPr="005B7F92">
        <w:rPr>
          <w:lang w:val="en-GB"/>
        </w:rPr>
        <w:t xml:space="preserve"> with</w:t>
      </w:r>
      <w:r w:rsidR="002D56E5" w:rsidRPr="005B7F92">
        <w:rPr>
          <w:lang w:val="en-GB"/>
        </w:rPr>
        <w:t xml:space="preserve"> </w:t>
      </w:r>
      <w:r w:rsidR="0018049E" w:rsidRPr="005B7F92">
        <w:rPr>
          <w:lang w:val="en-GB"/>
        </w:rPr>
        <w:t>Harness</w:t>
      </w:r>
      <w:r w:rsidR="002D56E5" w:rsidRPr="005B7F92">
        <w:rPr>
          <w:lang w:val="en-GB"/>
        </w:rPr>
        <w:t xml:space="preserve"> as the main brand, targeting professionals </w:t>
      </w:r>
      <w:r w:rsidR="008F5829" w:rsidRPr="005B7F92">
        <w:rPr>
          <w:lang w:val="en-GB"/>
        </w:rPr>
        <w:t>(s</w:t>
      </w:r>
      <w:r w:rsidR="0048032D" w:rsidRPr="005B7F92">
        <w:rPr>
          <w:lang w:val="en-GB"/>
        </w:rPr>
        <w:t xml:space="preserve">ee </w:t>
      </w:r>
      <w:r w:rsidR="008F5829" w:rsidRPr="005B7F92">
        <w:rPr>
          <w:lang w:val="en-GB"/>
        </w:rPr>
        <w:t>Exhibit 3A and 3B</w:t>
      </w:r>
      <w:r w:rsidR="0048032D" w:rsidRPr="005B7F92">
        <w:rPr>
          <w:lang w:val="en-GB"/>
        </w:rPr>
        <w:t>)</w:t>
      </w:r>
      <w:r w:rsidR="008F5829" w:rsidRPr="005B7F92">
        <w:rPr>
          <w:lang w:val="en-GB"/>
        </w:rPr>
        <w:t>.</w:t>
      </w:r>
    </w:p>
    <w:p w14:paraId="5DB24018" w14:textId="77777777" w:rsidR="0048032D" w:rsidRPr="005B7F92" w:rsidRDefault="0048032D" w:rsidP="006E7EDA">
      <w:pPr>
        <w:pStyle w:val="BodyTextMain"/>
        <w:rPr>
          <w:lang w:val="en-GB"/>
        </w:rPr>
      </w:pPr>
    </w:p>
    <w:p w14:paraId="340ECEDD" w14:textId="4A2A26A3" w:rsidR="0048032D" w:rsidRPr="005B7F92" w:rsidRDefault="0048032D" w:rsidP="008F5829">
      <w:pPr>
        <w:pStyle w:val="BodyTextMain"/>
        <w:keepNext/>
        <w:rPr>
          <w:rFonts w:ascii="Arial" w:hAnsi="Arial" w:cs="Arial"/>
          <w:b/>
          <w:sz w:val="20"/>
          <w:szCs w:val="20"/>
          <w:lang w:val="en-GB"/>
        </w:rPr>
      </w:pPr>
      <w:r w:rsidRPr="005B7F92">
        <w:rPr>
          <w:rFonts w:ascii="Arial" w:hAnsi="Arial" w:cs="Arial"/>
          <w:b/>
          <w:sz w:val="20"/>
          <w:szCs w:val="20"/>
          <w:lang w:val="en-GB"/>
        </w:rPr>
        <w:t>A Strategic Choice for Bayer</w:t>
      </w:r>
    </w:p>
    <w:p w14:paraId="25BA0BDC" w14:textId="77777777" w:rsidR="0048032D" w:rsidRPr="005B7F92" w:rsidRDefault="0048032D" w:rsidP="008F5829">
      <w:pPr>
        <w:pStyle w:val="BodyTextMain"/>
        <w:keepNext/>
        <w:rPr>
          <w:lang w:val="en-GB"/>
        </w:rPr>
      </w:pPr>
    </w:p>
    <w:p w14:paraId="73B5A6DA" w14:textId="2CBD446C" w:rsidR="0048032D" w:rsidRPr="00695E76" w:rsidRDefault="0048032D" w:rsidP="008F5829">
      <w:pPr>
        <w:pStyle w:val="BodyTextMain"/>
        <w:keepNext/>
        <w:rPr>
          <w:spacing w:val="-2"/>
          <w:lang w:val="en-GB"/>
        </w:rPr>
      </w:pPr>
      <w:r w:rsidRPr="00695E76">
        <w:rPr>
          <w:spacing w:val="-2"/>
          <w:lang w:val="en-GB"/>
        </w:rPr>
        <w:t xml:space="preserve">In </w:t>
      </w:r>
      <w:r w:rsidR="009A6E87" w:rsidRPr="00695E76">
        <w:rPr>
          <w:spacing w:val="-2"/>
          <w:lang w:val="en-GB"/>
        </w:rPr>
        <w:t>a</w:t>
      </w:r>
      <w:r w:rsidRPr="00695E76">
        <w:rPr>
          <w:spacing w:val="-2"/>
          <w:lang w:val="en-GB"/>
        </w:rPr>
        <w:t xml:space="preserve"> highly consolidated market with only a few players, Monsanto was a good </w:t>
      </w:r>
      <w:r w:rsidR="009A6E87" w:rsidRPr="00695E76">
        <w:rPr>
          <w:spacing w:val="-2"/>
          <w:lang w:val="en-GB"/>
        </w:rPr>
        <w:t xml:space="preserve">acquisition </w:t>
      </w:r>
      <w:r w:rsidRPr="00695E76">
        <w:rPr>
          <w:spacing w:val="-2"/>
          <w:lang w:val="en-GB"/>
        </w:rPr>
        <w:t xml:space="preserve">choice for Bayer for several reasons. As a leader </w:t>
      </w:r>
      <w:r w:rsidR="009A6E87" w:rsidRPr="00695E76">
        <w:rPr>
          <w:spacing w:val="-2"/>
          <w:lang w:val="en-GB"/>
        </w:rPr>
        <w:t>in</w:t>
      </w:r>
      <w:r w:rsidRPr="00695E76">
        <w:rPr>
          <w:spacing w:val="-2"/>
          <w:lang w:val="en-GB"/>
        </w:rPr>
        <w:t xml:space="preserve"> the agrochemical industry, Monsanto had a strong R&amp;D capability and its </w:t>
      </w:r>
      <w:r w:rsidRPr="00695E76">
        <w:rPr>
          <w:spacing w:val="-2"/>
          <w:lang w:val="en-GB"/>
        </w:rPr>
        <w:lastRenderedPageBreak/>
        <w:t>operations had extensive geographical coverage. Monsanto generated most of its sales</w:t>
      </w:r>
      <w:r w:rsidR="009A6E87" w:rsidRPr="00695E76">
        <w:rPr>
          <w:spacing w:val="-2"/>
          <w:lang w:val="en-GB"/>
        </w:rPr>
        <w:t>,</w:t>
      </w:r>
      <w:r w:rsidRPr="00695E76">
        <w:rPr>
          <w:spacing w:val="-2"/>
          <w:lang w:val="en-GB"/>
        </w:rPr>
        <w:t xml:space="preserve"> 53.3 per cent</w:t>
      </w:r>
      <w:r w:rsidR="009A6E87" w:rsidRPr="00695E76">
        <w:rPr>
          <w:spacing w:val="-2"/>
          <w:lang w:val="en-GB"/>
        </w:rPr>
        <w:t>,</w:t>
      </w:r>
      <w:r w:rsidRPr="00695E76">
        <w:rPr>
          <w:spacing w:val="-2"/>
          <w:lang w:val="en-GB"/>
        </w:rPr>
        <w:t xml:space="preserve"> from its home market</w:t>
      </w:r>
      <w:r w:rsidR="009A6E87" w:rsidRPr="00695E76">
        <w:rPr>
          <w:spacing w:val="-2"/>
          <w:lang w:val="en-GB"/>
        </w:rPr>
        <w:t xml:space="preserve"> in the United States</w:t>
      </w:r>
      <w:r w:rsidRPr="00695E76">
        <w:rPr>
          <w:spacing w:val="-2"/>
          <w:lang w:val="en-GB"/>
        </w:rPr>
        <w:t>, which perfectly complemented Bayer’s deep localization in Europe. Baumann</w:t>
      </w:r>
      <w:r w:rsidR="009A6E87" w:rsidRPr="00695E76">
        <w:rPr>
          <w:spacing w:val="-2"/>
          <w:lang w:val="en-GB"/>
        </w:rPr>
        <w:t>,</w:t>
      </w:r>
      <w:r w:rsidRPr="00695E76">
        <w:rPr>
          <w:spacing w:val="-2"/>
          <w:lang w:val="en-GB"/>
        </w:rPr>
        <w:t xml:space="preserve"> in his letter to shareholders</w:t>
      </w:r>
      <w:r w:rsidR="009A6E87" w:rsidRPr="00695E76">
        <w:rPr>
          <w:spacing w:val="-2"/>
          <w:lang w:val="en-GB"/>
        </w:rPr>
        <w:t>,</w:t>
      </w:r>
      <w:r w:rsidRPr="00695E76">
        <w:rPr>
          <w:spacing w:val="-2"/>
          <w:lang w:val="en-GB"/>
        </w:rPr>
        <w:t xml:space="preserve"> expressed his view</w:t>
      </w:r>
      <w:r w:rsidR="009A6E87" w:rsidRPr="00695E76">
        <w:rPr>
          <w:spacing w:val="-2"/>
          <w:lang w:val="en-GB"/>
        </w:rPr>
        <w:t xml:space="preserve"> of the acquisition by saying</w:t>
      </w:r>
      <w:r w:rsidRPr="00695E76">
        <w:rPr>
          <w:spacing w:val="-2"/>
          <w:lang w:val="en-GB"/>
        </w:rPr>
        <w:t>, “</w:t>
      </w:r>
      <w:r w:rsidR="009B7628">
        <w:rPr>
          <w:spacing w:val="-2"/>
          <w:lang w:val="en-GB"/>
        </w:rPr>
        <w:t>…</w:t>
      </w:r>
      <w:r w:rsidRPr="00695E76">
        <w:rPr>
          <w:spacing w:val="-2"/>
          <w:lang w:val="en-GB"/>
        </w:rPr>
        <w:t xml:space="preserve">to further strengthen Bayer as a </w:t>
      </w:r>
      <w:r w:rsidR="009A6E87" w:rsidRPr="00695E76">
        <w:rPr>
          <w:spacing w:val="-2"/>
          <w:lang w:val="en-GB"/>
        </w:rPr>
        <w:t>l</w:t>
      </w:r>
      <w:r w:rsidRPr="00695E76">
        <w:rPr>
          <w:spacing w:val="-2"/>
          <w:lang w:val="en-GB"/>
        </w:rPr>
        <w:t xml:space="preserve">ife </w:t>
      </w:r>
      <w:r w:rsidR="009A6E87" w:rsidRPr="00695E76">
        <w:rPr>
          <w:spacing w:val="-2"/>
          <w:lang w:val="en-GB"/>
        </w:rPr>
        <w:t>s</w:t>
      </w:r>
      <w:r w:rsidRPr="00695E76">
        <w:rPr>
          <w:spacing w:val="-2"/>
          <w:lang w:val="en-GB"/>
        </w:rPr>
        <w:t>cience company and create substantial additional value in the long term for you, our stockholders, through more innovation, stronger growth and greater efficiency. The two businesses are highly complementary, both in terms of their geographical fit and their product portfolios.”</w:t>
      </w:r>
      <w:r w:rsidRPr="00695E76">
        <w:rPr>
          <w:rStyle w:val="EndnoteReference"/>
          <w:spacing w:val="-2"/>
          <w:lang w:val="en-GB"/>
        </w:rPr>
        <w:endnoteReference w:id="40"/>
      </w:r>
      <w:r w:rsidRPr="00695E76">
        <w:rPr>
          <w:spacing w:val="-2"/>
          <w:lang w:val="en-GB"/>
        </w:rPr>
        <w:t xml:space="preserve"> Furthermore, Bayer would benefit from Monsanto’s strong knowledge in biotechnologies and seeds, one of Bay</w:t>
      </w:r>
      <w:r w:rsidR="008F5829" w:rsidRPr="00695E76">
        <w:rPr>
          <w:spacing w:val="-2"/>
          <w:lang w:val="en-GB"/>
        </w:rPr>
        <w:t>er’s weak points in this market</w:t>
      </w:r>
      <w:r w:rsidRPr="00695E76">
        <w:rPr>
          <w:spacing w:val="-2"/>
          <w:lang w:val="en-GB"/>
        </w:rPr>
        <w:t xml:space="preserve"> (</w:t>
      </w:r>
      <w:r w:rsidR="008F5829" w:rsidRPr="00695E76">
        <w:rPr>
          <w:spacing w:val="-2"/>
          <w:lang w:val="en-GB"/>
        </w:rPr>
        <w:t>s</w:t>
      </w:r>
      <w:r w:rsidR="001F4B2F" w:rsidRPr="00695E76">
        <w:rPr>
          <w:spacing w:val="-2"/>
          <w:lang w:val="en-GB"/>
        </w:rPr>
        <w:t>ee Exhibit 4</w:t>
      </w:r>
      <w:r w:rsidRPr="00695E76">
        <w:rPr>
          <w:spacing w:val="-2"/>
          <w:lang w:val="en-GB"/>
        </w:rPr>
        <w:t>)</w:t>
      </w:r>
      <w:r w:rsidR="008F5829" w:rsidRPr="00695E76">
        <w:rPr>
          <w:spacing w:val="-2"/>
          <w:lang w:val="en-GB"/>
        </w:rPr>
        <w:t>.</w:t>
      </w:r>
      <w:r w:rsidRPr="00695E76">
        <w:rPr>
          <w:spacing w:val="-2"/>
          <w:lang w:val="en-GB"/>
        </w:rPr>
        <w:t xml:space="preserve"> Finally, the merger between these two giants would strengthen the management of agriculture information to create new solutions for farmers.</w:t>
      </w:r>
    </w:p>
    <w:p w14:paraId="71EF6C25" w14:textId="77777777" w:rsidR="0048032D" w:rsidRPr="005B7F92" w:rsidRDefault="0048032D" w:rsidP="006E7EDA">
      <w:pPr>
        <w:pStyle w:val="BodyTextMain"/>
        <w:rPr>
          <w:lang w:val="en-GB"/>
        </w:rPr>
      </w:pPr>
    </w:p>
    <w:p w14:paraId="0914AE3F" w14:textId="77777777" w:rsidR="0048032D" w:rsidRPr="005B7F92" w:rsidRDefault="0048032D" w:rsidP="006E7EDA">
      <w:pPr>
        <w:pStyle w:val="BodyTextMain"/>
        <w:rPr>
          <w:lang w:val="en-GB"/>
        </w:rPr>
      </w:pPr>
    </w:p>
    <w:p w14:paraId="1AFD87AA" w14:textId="7466E57D" w:rsidR="0048032D" w:rsidRPr="005B7F92" w:rsidRDefault="0048032D" w:rsidP="006E7EDA">
      <w:pPr>
        <w:pStyle w:val="BodyTextMain"/>
        <w:rPr>
          <w:rFonts w:ascii="Arial" w:hAnsi="Arial" w:cs="Arial"/>
          <w:b/>
          <w:sz w:val="20"/>
          <w:szCs w:val="20"/>
          <w:lang w:val="en-GB"/>
        </w:rPr>
      </w:pPr>
      <w:r w:rsidRPr="005B7F92">
        <w:rPr>
          <w:rFonts w:ascii="Arial" w:hAnsi="Arial" w:cs="Arial"/>
          <w:b/>
          <w:sz w:val="20"/>
          <w:szCs w:val="20"/>
          <w:lang w:val="en-GB"/>
        </w:rPr>
        <w:t>THE ACQUISITION</w:t>
      </w:r>
    </w:p>
    <w:p w14:paraId="2A7ED53D" w14:textId="77777777" w:rsidR="0048032D" w:rsidRPr="005B7F92" w:rsidRDefault="0048032D" w:rsidP="006E7EDA">
      <w:pPr>
        <w:pStyle w:val="BodyTextMain"/>
        <w:rPr>
          <w:lang w:val="en-GB"/>
        </w:rPr>
      </w:pPr>
    </w:p>
    <w:p w14:paraId="0B4A38B0" w14:textId="337607C4" w:rsidR="0048032D" w:rsidRPr="00695E76" w:rsidRDefault="0048032D" w:rsidP="006E7EDA">
      <w:pPr>
        <w:pStyle w:val="BodyTextMain"/>
        <w:rPr>
          <w:spacing w:val="-2"/>
          <w:lang w:val="en-GB"/>
        </w:rPr>
      </w:pPr>
      <w:r w:rsidRPr="00695E76">
        <w:rPr>
          <w:spacing w:val="-2"/>
          <w:lang w:val="en-GB"/>
        </w:rPr>
        <w:t>Bayer started the process of acquiring Monsanto in May 2016 with a</w:t>
      </w:r>
      <w:r w:rsidR="009A6E87" w:rsidRPr="00695E76">
        <w:rPr>
          <w:spacing w:val="-2"/>
          <w:lang w:val="en-GB"/>
        </w:rPr>
        <w:t>n offer of</w:t>
      </w:r>
      <w:r w:rsidRPr="00695E76">
        <w:rPr>
          <w:spacing w:val="-2"/>
          <w:lang w:val="en-GB"/>
        </w:rPr>
        <w:t xml:space="preserve"> $62 billion. Monsanto rejected this first bid, looking for a higher premium price.</w:t>
      </w:r>
      <w:r w:rsidRPr="00695E76">
        <w:rPr>
          <w:rStyle w:val="EndnoteReference"/>
          <w:spacing w:val="-2"/>
          <w:lang w:val="en-GB"/>
        </w:rPr>
        <w:endnoteReference w:id="41"/>
      </w:r>
      <w:r w:rsidRPr="00695E76">
        <w:rPr>
          <w:spacing w:val="-2"/>
          <w:lang w:val="en-GB"/>
        </w:rPr>
        <w:t xml:space="preserve"> In September 2016, the two </w:t>
      </w:r>
      <w:r w:rsidR="009A6E87" w:rsidRPr="00695E76">
        <w:rPr>
          <w:spacing w:val="-2"/>
          <w:lang w:val="en-GB"/>
        </w:rPr>
        <w:t>companies</w:t>
      </w:r>
      <w:r w:rsidRPr="00695E76">
        <w:rPr>
          <w:spacing w:val="-2"/>
          <w:lang w:val="en-GB"/>
        </w:rPr>
        <w:t xml:space="preserve"> finally concluded the deal at $66 billion, for which Bayer would pay Monsanto $128 per share in an all-cash transaction.</w:t>
      </w:r>
      <w:r w:rsidRPr="00695E76">
        <w:rPr>
          <w:rStyle w:val="EndnoteReference"/>
          <w:spacing w:val="-2"/>
          <w:lang w:val="en-GB"/>
        </w:rPr>
        <w:endnoteReference w:id="42"/>
      </w:r>
      <w:r w:rsidRPr="00695E76">
        <w:rPr>
          <w:spacing w:val="-2"/>
          <w:lang w:val="en-GB"/>
        </w:rPr>
        <w:t xml:space="preserve"> Bayer would finance th</w:t>
      </w:r>
      <w:r w:rsidR="009A6E87" w:rsidRPr="00695E76">
        <w:rPr>
          <w:spacing w:val="-2"/>
          <w:lang w:val="en-GB"/>
        </w:rPr>
        <w:t>e</w:t>
      </w:r>
      <w:r w:rsidRPr="00695E76">
        <w:rPr>
          <w:spacing w:val="-2"/>
          <w:lang w:val="en-GB"/>
        </w:rPr>
        <w:t xml:space="preserve"> deal </w:t>
      </w:r>
      <w:r w:rsidR="009A6E87" w:rsidRPr="00695E76">
        <w:rPr>
          <w:spacing w:val="-2"/>
          <w:lang w:val="en-GB"/>
        </w:rPr>
        <w:t>with</w:t>
      </w:r>
      <w:r w:rsidRPr="00695E76">
        <w:rPr>
          <w:spacing w:val="-2"/>
          <w:lang w:val="en-GB"/>
        </w:rPr>
        <w:t xml:space="preserve"> a combination of debt and equit</w:t>
      </w:r>
      <w:r w:rsidR="009A6E87" w:rsidRPr="00695E76">
        <w:rPr>
          <w:spacing w:val="-2"/>
          <w:lang w:val="en-GB"/>
        </w:rPr>
        <w:t>y</w:t>
      </w:r>
      <w:r w:rsidRPr="00695E76">
        <w:rPr>
          <w:spacing w:val="-2"/>
          <w:lang w:val="en-GB"/>
        </w:rPr>
        <w:t xml:space="preserve">. Even if Bayer had many times proven its ability to conduct large acquisitions, the acquisition of Monsanto </w:t>
      </w:r>
      <w:r w:rsidR="009A6E87" w:rsidRPr="00695E76">
        <w:rPr>
          <w:spacing w:val="-2"/>
          <w:lang w:val="en-GB"/>
        </w:rPr>
        <w:t>presented</w:t>
      </w:r>
      <w:r w:rsidRPr="00695E76">
        <w:rPr>
          <w:spacing w:val="-2"/>
          <w:lang w:val="en-GB"/>
        </w:rPr>
        <w:t xml:space="preserve"> the company </w:t>
      </w:r>
      <w:r w:rsidR="009A6E87" w:rsidRPr="00695E76">
        <w:rPr>
          <w:spacing w:val="-2"/>
          <w:lang w:val="en-GB"/>
        </w:rPr>
        <w:t>with many</w:t>
      </w:r>
      <w:r w:rsidRPr="00695E76">
        <w:rPr>
          <w:spacing w:val="-2"/>
          <w:lang w:val="en-GB"/>
        </w:rPr>
        <w:t xml:space="preserve"> different challenges, including </w:t>
      </w:r>
      <w:r w:rsidR="009A6E87" w:rsidRPr="00695E76">
        <w:rPr>
          <w:spacing w:val="-2"/>
          <w:lang w:val="en-GB"/>
        </w:rPr>
        <w:t xml:space="preserve">a </w:t>
      </w:r>
      <w:r w:rsidRPr="00695E76">
        <w:rPr>
          <w:spacing w:val="-2"/>
          <w:lang w:val="en-GB"/>
        </w:rPr>
        <w:t xml:space="preserve">high premium price, antitrust issues, </w:t>
      </w:r>
      <w:r w:rsidR="009A6E87" w:rsidRPr="00695E76">
        <w:rPr>
          <w:spacing w:val="-2"/>
          <w:lang w:val="en-GB"/>
        </w:rPr>
        <w:t>and</w:t>
      </w:r>
      <w:r w:rsidRPr="00695E76">
        <w:rPr>
          <w:spacing w:val="-2"/>
          <w:lang w:val="en-GB"/>
        </w:rPr>
        <w:t xml:space="preserve"> polemics and protests related to Monsanto’s business operations in the sensitive agrochemical industry. </w:t>
      </w:r>
    </w:p>
    <w:p w14:paraId="79F8F00B" w14:textId="77777777" w:rsidR="0048032D" w:rsidRPr="005B7F92" w:rsidRDefault="0048032D" w:rsidP="006E7EDA">
      <w:pPr>
        <w:pStyle w:val="BodyTextMain"/>
        <w:rPr>
          <w:lang w:val="en-GB"/>
        </w:rPr>
      </w:pPr>
    </w:p>
    <w:p w14:paraId="09FD2FE7" w14:textId="77777777" w:rsidR="0048032D" w:rsidRPr="005B7F92" w:rsidRDefault="0048032D" w:rsidP="006E7EDA">
      <w:pPr>
        <w:pStyle w:val="BodyTextMain"/>
        <w:rPr>
          <w:lang w:val="en-GB"/>
        </w:rPr>
      </w:pPr>
    </w:p>
    <w:p w14:paraId="47CD15FD" w14:textId="0D52CB7C" w:rsidR="0048032D" w:rsidRPr="005B7F92" w:rsidRDefault="0048032D" w:rsidP="006E7EDA">
      <w:pPr>
        <w:pStyle w:val="BodyTextMain"/>
        <w:rPr>
          <w:rFonts w:ascii="Arial" w:hAnsi="Arial" w:cs="Arial"/>
          <w:b/>
          <w:sz w:val="20"/>
          <w:szCs w:val="20"/>
          <w:lang w:val="en-GB"/>
        </w:rPr>
      </w:pPr>
      <w:r w:rsidRPr="005B7F92">
        <w:rPr>
          <w:rFonts w:ascii="Arial" w:hAnsi="Arial" w:cs="Arial"/>
          <w:b/>
          <w:sz w:val="20"/>
          <w:szCs w:val="20"/>
          <w:lang w:val="en-GB"/>
        </w:rPr>
        <w:t xml:space="preserve">High Premium Price with </w:t>
      </w:r>
      <w:r w:rsidR="009A6E87" w:rsidRPr="005B7F92">
        <w:rPr>
          <w:rFonts w:ascii="Arial" w:hAnsi="Arial" w:cs="Arial"/>
          <w:b/>
          <w:sz w:val="20"/>
          <w:szCs w:val="20"/>
          <w:lang w:val="en-GB"/>
        </w:rPr>
        <w:t xml:space="preserve">an </w:t>
      </w:r>
      <w:r w:rsidRPr="005B7F92">
        <w:rPr>
          <w:rFonts w:ascii="Arial" w:hAnsi="Arial" w:cs="Arial"/>
          <w:b/>
          <w:sz w:val="20"/>
          <w:szCs w:val="20"/>
          <w:lang w:val="en-GB"/>
        </w:rPr>
        <w:t>All-Cash Transaction</w:t>
      </w:r>
    </w:p>
    <w:p w14:paraId="512367B1" w14:textId="77777777" w:rsidR="0048032D" w:rsidRPr="005B7F92" w:rsidRDefault="0048032D" w:rsidP="006E7EDA">
      <w:pPr>
        <w:pStyle w:val="BodyTextMain"/>
        <w:rPr>
          <w:lang w:val="en-GB"/>
        </w:rPr>
      </w:pPr>
    </w:p>
    <w:p w14:paraId="5FC4014B" w14:textId="7F9543FA" w:rsidR="0048032D" w:rsidRPr="005B7F92" w:rsidRDefault="0048032D" w:rsidP="00B24376">
      <w:pPr>
        <w:pStyle w:val="BodyTextMain"/>
        <w:rPr>
          <w:lang w:val="en-GB"/>
        </w:rPr>
      </w:pPr>
      <w:r w:rsidRPr="005B7F92">
        <w:rPr>
          <w:lang w:val="en-GB"/>
        </w:rPr>
        <w:t xml:space="preserve">According to Bayer, the agreed acquisition price of $128 per share was a 44 per cent premium </w:t>
      </w:r>
      <w:r w:rsidR="0024091F" w:rsidRPr="005B7F92">
        <w:rPr>
          <w:lang w:val="en-GB"/>
        </w:rPr>
        <w:t>on</w:t>
      </w:r>
      <w:r w:rsidRPr="005B7F92">
        <w:rPr>
          <w:lang w:val="en-GB"/>
        </w:rPr>
        <w:t xml:space="preserve"> Monsanto’s share price on May 9, 2016, the day before it made its first written proposal.</w:t>
      </w:r>
      <w:r w:rsidRPr="005B7F92">
        <w:rPr>
          <w:rStyle w:val="EndnoteReference"/>
          <w:lang w:val="en-GB"/>
        </w:rPr>
        <w:endnoteReference w:id="43"/>
      </w:r>
      <w:r w:rsidRPr="005B7F92">
        <w:rPr>
          <w:lang w:val="en-GB"/>
        </w:rPr>
        <w:t xml:space="preserve"> This price was considered overvalued when compared to </w:t>
      </w:r>
      <w:r w:rsidR="007C5392" w:rsidRPr="005B7F92">
        <w:rPr>
          <w:lang w:val="en-GB"/>
        </w:rPr>
        <w:t>Monsanto’s</w:t>
      </w:r>
      <w:r w:rsidRPr="005B7F92">
        <w:rPr>
          <w:lang w:val="en-GB"/>
        </w:rPr>
        <w:t xml:space="preserve"> EBITDA of $2.42 billion in August 2016. In particular, the agreed price for the deal of $66 billion was 27 times Monsanto’s EBITDA, while its market capitalization was only around $51.7 billion. Moreover, the all-cash transaction could significantly increase the financial risks for B</w:t>
      </w:r>
      <w:r w:rsidR="00695E76">
        <w:rPr>
          <w:lang w:val="en-GB"/>
        </w:rPr>
        <w:t>ayer. In fact, in 2016, the Standard &amp; Poor’s (S&amp;P)</w:t>
      </w:r>
      <w:r w:rsidR="00176F7E">
        <w:rPr>
          <w:lang w:val="en-GB"/>
        </w:rPr>
        <w:t xml:space="preserve"> </w:t>
      </w:r>
      <w:r w:rsidRPr="005B7F92">
        <w:rPr>
          <w:lang w:val="en-GB"/>
        </w:rPr>
        <w:t xml:space="preserve">Global Ratings and Moody’s </w:t>
      </w:r>
      <w:r w:rsidR="0024091F" w:rsidRPr="005B7F92">
        <w:rPr>
          <w:lang w:val="en-GB"/>
        </w:rPr>
        <w:t>Investors Service</w:t>
      </w:r>
      <w:r w:rsidRPr="005B7F92">
        <w:rPr>
          <w:lang w:val="en-GB"/>
        </w:rPr>
        <w:t xml:space="preserve"> assigned Bayer’s long-term rating at “A-” and “A3” and </w:t>
      </w:r>
      <w:r w:rsidR="0024091F" w:rsidRPr="005B7F92">
        <w:rPr>
          <w:lang w:val="en-GB"/>
        </w:rPr>
        <w:t>its</w:t>
      </w:r>
      <w:r w:rsidRPr="005B7F92">
        <w:rPr>
          <w:lang w:val="en-GB"/>
        </w:rPr>
        <w:t xml:space="preserve"> short-term rating at “A-2” and “P-2</w:t>
      </w:r>
      <w:r w:rsidR="00BB2487" w:rsidRPr="005B7F92">
        <w:rPr>
          <w:lang w:val="en-GB"/>
        </w:rPr>
        <w:t>,</w:t>
      </w:r>
      <w:r w:rsidRPr="005B7F92">
        <w:rPr>
          <w:lang w:val="en-GB"/>
        </w:rPr>
        <w:t>” and were reviewing the possibility of a downgrade as a result of the agreed acquisition of Monsanto</w:t>
      </w:r>
      <w:r w:rsidR="009B7628">
        <w:rPr>
          <w:lang w:val="en-GB"/>
        </w:rPr>
        <w:t xml:space="preserve">, Meanwhile, </w:t>
      </w:r>
      <w:r w:rsidRPr="005B7F92">
        <w:rPr>
          <w:lang w:val="en-GB"/>
        </w:rPr>
        <w:t xml:space="preserve">Bayer continued to aim for an investment-grade credit rating and </w:t>
      </w:r>
      <w:r w:rsidR="0024091F" w:rsidRPr="005B7F92">
        <w:rPr>
          <w:lang w:val="en-GB"/>
        </w:rPr>
        <w:t>a</w:t>
      </w:r>
      <w:r w:rsidRPr="005B7F92">
        <w:rPr>
          <w:lang w:val="en-GB"/>
        </w:rPr>
        <w:t xml:space="preserve"> single “A” rating </w:t>
      </w:r>
      <w:r w:rsidR="0024091F" w:rsidRPr="005B7F92">
        <w:rPr>
          <w:lang w:val="en-GB"/>
        </w:rPr>
        <w:t>for the long term</w:t>
      </w:r>
      <w:r w:rsidR="00695E76">
        <w:rPr>
          <w:lang w:val="en-GB"/>
        </w:rPr>
        <w:t>,</w:t>
      </w:r>
      <w:r w:rsidR="0024091F" w:rsidRPr="005B7F92">
        <w:rPr>
          <w:lang w:val="en-GB"/>
        </w:rPr>
        <w:t xml:space="preserve"> following</w:t>
      </w:r>
      <w:r w:rsidRPr="005B7F92">
        <w:rPr>
          <w:lang w:val="en-GB"/>
        </w:rPr>
        <w:t xml:space="preserve"> the successful closing of the Monsanto acquisition.</w:t>
      </w:r>
      <w:r w:rsidRPr="005B7F92">
        <w:rPr>
          <w:rStyle w:val="EndnoteReference"/>
          <w:lang w:val="en-GB"/>
        </w:rPr>
        <w:endnoteReference w:id="44"/>
      </w:r>
      <w:r w:rsidRPr="005B7F92">
        <w:rPr>
          <w:lang w:val="en-GB"/>
        </w:rPr>
        <w:t xml:space="preserve"> </w:t>
      </w:r>
    </w:p>
    <w:p w14:paraId="2BD096AC" w14:textId="77777777" w:rsidR="0048032D" w:rsidRPr="005B7F92" w:rsidRDefault="0048032D" w:rsidP="00B24376">
      <w:pPr>
        <w:pStyle w:val="BodyTextMain"/>
        <w:rPr>
          <w:lang w:val="en-GB"/>
        </w:rPr>
      </w:pPr>
    </w:p>
    <w:p w14:paraId="57E86A12" w14:textId="724997AB" w:rsidR="0048032D" w:rsidRPr="00695E76" w:rsidRDefault="0024091F" w:rsidP="00B24376">
      <w:pPr>
        <w:pStyle w:val="BodyTextMain"/>
        <w:rPr>
          <w:spacing w:val="-2"/>
          <w:lang w:val="en-GB"/>
        </w:rPr>
      </w:pPr>
      <w:r w:rsidRPr="00695E76">
        <w:rPr>
          <w:spacing w:val="-2"/>
          <w:lang w:val="en-GB"/>
        </w:rPr>
        <w:t>It was possible that t</w:t>
      </w:r>
      <w:r w:rsidR="0048032D" w:rsidRPr="00695E76">
        <w:rPr>
          <w:spacing w:val="-2"/>
          <w:lang w:val="en-GB"/>
        </w:rPr>
        <w:t xml:space="preserve">he resulting increased financial leverage </w:t>
      </w:r>
      <w:r w:rsidRPr="00695E76">
        <w:rPr>
          <w:spacing w:val="-2"/>
          <w:lang w:val="en-GB"/>
        </w:rPr>
        <w:t>would</w:t>
      </w:r>
      <w:r w:rsidR="0048032D" w:rsidRPr="00695E76">
        <w:rPr>
          <w:spacing w:val="-2"/>
          <w:lang w:val="en-GB"/>
        </w:rPr>
        <w:t xml:space="preserve"> inhibit </w:t>
      </w:r>
      <w:r w:rsidRPr="00695E76">
        <w:rPr>
          <w:spacing w:val="-2"/>
          <w:lang w:val="en-GB"/>
        </w:rPr>
        <w:t>Bayer’s</w:t>
      </w:r>
      <w:r w:rsidR="0048032D" w:rsidRPr="00695E76">
        <w:rPr>
          <w:spacing w:val="-2"/>
          <w:lang w:val="en-GB"/>
        </w:rPr>
        <w:t xml:space="preserve"> future investmen</w:t>
      </w:r>
      <w:r w:rsidR="005C0B00" w:rsidRPr="00695E76">
        <w:rPr>
          <w:spacing w:val="-2"/>
          <w:lang w:val="en-GB"/>
        </w:rPr>
        <w:t>ts in R&amp;D</w:t>
      </w:r>
      <w:r w:rsidR="0048032D" w:rsidRPr="00695E76">
        <w:rPr>
          <w:spacing w:val="-2"/>
          <w:lang w:val="en-GB"/>
        </w:rPr>
        <w:t xml:space="preserve">, one of the most critical success factors for companies in </w:t>
      </w:r>
      <w:r w:rsidRPr="00695E76">
        <w:rPr>
          <w:spacing w:val="-2"/>
          <w:lang w:val="en-GB"/>
        </w:rPr>
        <w:t xml:space="preserve">the </w:t>
      </w:r>
      <w:r w:rsidR="0048032D" w:rsidRPr="00695E76">
        <w:rPr>
          <w:spacing w:val="-2"/>
          <w:lang w:val="en-GB"/>
        </w:rPr>
        <w:t>agrochemical and pharmaceutical industr</w:t>
      </w:r>
      <w:r w:rsidRPr="00695E76">
        <w:rPr>
          <w:spacing w:val="-2"/>
          <w:lang w:val="en-GB"/>
        </w:rPr>
        <w:t>ies</w:t>
      </w:r>
      <w:r w:rsidR="0048032D" w:rsidRPr="00695E76">
        <w:rPr>
          <w:spacing w:val="-2"/>
          <w:lang w:val="en-GB"/>
        </w:rPr>
        <w:t xml:space="preserve">. These high-profile acquisition figures thus </w:t>
      </w:r>
      <w:r w:rsidR="00B51C85" w:rsidRPr="00695E76">
        <w:rPr>
          <w:spacing w:val="-2"/>
          <w:lang w:val="en-GB"/>
        </w:rPr>
        <w:t>raised</w:t>
      </w:r>
      <w:r w:rsidR="0048032D" w:rsidRPr="00695E76">
        <w:rPr>
          <w:spacing w:val="-2"/>
          <w:lang w:val="en-GB"/>
        </w:rPr>
        <w:t xml:space="preserve"> </w:t>
      </w:r>
      <w:r w:rsidR="00B51C85" w:rsidRPr="00695E76">
        <w:rPr>
          <w:spacing w:val="-2"/>
          <w:lang w:val="en-GB"/>
        </w:rPr>
        <w:t>the question</w:t>
      </w:r>
      <w:r w:rsidR="0048032D" w:rsidRPr="00695E76">
        <w:rPr>
          <w:spacing w:val="-2"/>
          <w:lang w:val="en-GB"/>
        </w:rPr>
        <w:t xml:space="preserve"> of whether the deal could indeed generate sufficient synergies and a sustainable business that </w:t>
      </w:r>
      <w:r w:rsidR="00B51C85" w:rsidRPr="00695E76">
        <w:rPr>
          <w:spacing w:val="-2"/>
          <w:lang w:val="en-GB"/>
        </w:rPr>
        <w:t xml:space="preserve">would </w:t>
      </w:r>
      <w:r w:rsidR="0048032D" w:rsidRPr="00695E76">
        <w:rPr>
          <w:spacing w:val="-2"/>
          <w:lang w:val="en-GB"/>
        </w:rPr>
        <w:t>deliver economic value to shareholders.</w:t>
      </w:r>
    </w:p>
    <w:p w14:paraId="0DAAF55B" w14:textId="77777777" w:rsidR="0048032D" w:rsidRPr="005B7F92" w:rsidRDefault="0048032D" w:rsidP="00B24376">
      <w:pPr>
        <w:pStyle w:val="BodyTextMain"/>
        <w:rPr>
          <w:lang w:val="en-GB"/>
        </w:rPr>
      </w:pPr>
    </w:p>
    <w:p w14:paraId="72936638" w14:textId="77777777" w:rsidR="0048032D" w:rsidRPr="005B7F92" w:rsidRDefault="0048032D" w:rsidP="00B24376">
      <w:pPr>
        <w:pStyle w:val="BodyTextMain"/>
        <w:rPr>
          <w:lang w:val="en-GB"/>
        </w:rPr>
      </w:pPr>
    </w:p>
    <w:p w14:paraId="159E8398" w14:textId="53E49DA4" w:rsidR="0048032D" w:rsidRPr="005B7F92" w:rsidRDefault="0048032D" w:rsidP="007376A3">
      <w:pPr>
        <w:pStyle w:val="BodyTextMain"/>
        <w:keepNext/>
        <w:rPr>
          <w:rFonts w:ascii="Arial" w:hAnsi="Arial" w:cs="Arial"/>
          <w:b/>
          <w:sz w:val="20"/>
          <w:szCs w:val="20"/>
          <w:lang w:val="en-GB"/>
        </w:rPr>
      </w:pPr>
      <w:r w:rsidRPr="005B7F92">
        <w:rPr>
          <w:rFonts w:ascii="Arial" w:hAnsi="Arial" w:cs="Arial"/>
          <w:b/>
          <w:sz w:val="20"/>
          <w:szCs w:val="20"/>
          <w:lang w:val="en-GB"/>
        </w:rPr>
        <w:t>Antitrust Issues</w:t>
      </w:r>
    </w:p>
    <w:p w14:paraId="498379CE" w14:textId="77777777" w:rsidR="0048032D" w:rsidRPr="005B7F92" w:rsidRDefault="0048032D" w:rsidP="007376A3">
      <w:pPr>
        <w:pStyle w:val="BodyTextMain"/>
        <w:keepNext/>
        <w:rPr>
          <w:lang w:val="en-GB"/>
        </w:rPr>
      </w:pPr>
    </w:p>
    <w:p w14:paraId="0C3F16DC" w14:textId="6834CEAA" w:rsidR="0048032D" w:rsidRPr="005B7F92" w:rsidRDefault="0048032D" w:rsidP="007376A3">
      <w:pPr>
        <w:pStyle w:val="BodyTextMain"/>
        <w:keepNext/>
        <w:rPr>
          <w:lang w:val="en-GB"/>
        </w:rPr>
      </w:pPr>
      <w:r w:rsidRPr="005B7F92">
        <w:rPr>
          <w:lang w:val="en-GB"/>
        </w:rPr>
        <w:t xml:space="preserve">Even if the agreement between the two companies </w:t>
      </w:r>
      <w:r w:rsidR="00B51C85" w:rsidRPr="005B7F92">
        <w:rPr>
          <w:lang w:val="en-GB"/>
        </w:rPr>
        <w:t>w</w:t>
      </w:r>
      <w:r w:rsidR="009B7628">
        <w:rPr>
          <w:lang w:val="en-GB"/>
        </w:rPr>
        <w:t xml:space="preserve">ere </w:t>
      </w:r>
      <w:r w:rsidRPr="005B7F92">
        <w:rPr>
          <w:lang w:val="en-GB"/>
        </w:rPr>
        <w:t xml:space="preserve">signed, the acquisition was still subject to regulatory approvals in more than </w:t>
      </w:r>
      <w:r w:rsidR="009B7628">
        <w:rPr>
          <w:lang w:val="en-GB"/>
        </w:rPr>
        <w:t xml:space="preserve">30 </w:t>
      </w:r>
      <w:r w:rsidRPr="005B7F92">
        <w:rPr>
          <w:lang w:val="en-GB"/>
        </w:rPr>
        <w:t>countries.</w:t>
      </w:r>
      <w:r w:rsidRPr="005B7F92">
        <w:rPr>
          <w:rStyle w:val="EndnoteReference"/>
          <w:lang w:val="en-GB"/>
        </w:rPr>
        <w:endnoteReference w:id="45"/>
      </w:r>
      <w:r w:rsidRPr="005B7F92">
        <w:rPr>
          <w:lang w:val="en-GB"/>
        </w:rPr>
        <w:t xml:space="preserve"> The main concerns for this mega deal would </w:t>
      </w:r>
      <w:r w:rsidR="00B51C85" w:rsidRPr="005B7F92">
        <w:rPr>
          <w:lang w:val="en-GB"/>
        </w:rPr>
        <w:t>come</w:t>
      </w:r>
      <w:r w:rsidRPr="005B7F92">
        <w:rPr>
          <w:lang w:val="en-GB"/>
        </w:rPr>
        <w:t xml:space="preserve"> from </w:t>
      </w:r>
      <w:r w:rsidR="00B51C85" w:rsidRPr="005B7F92">
        <w:rPr>
          <w:lang w:val="en-GB"/>
        </w:rPr>
        <w:t xml:space="preserve">the </w:t>
      </w:r>
      <w:r w:rsidRPr="005B7F92">
        <w:rPr>
          <w:lang w:val="en-GB"/>
        </w:rPr>
        <w:t xml:space="preserve">European Union and the United States. Indeed, the main criticism </w:t>
      </w:r>
      <w:r w:rsidR="00B51C85" w:rsidRPr="005B7F92">
        <w:rPr>
          <w:lang w:val="en-GB"/>
        </w:rPr>
        <w:t>was</w:t>
      </w:r>
      <w:r w:rsidRPr="005B7F92">
        <w:rPr>
          <w:lang w:val="en-GB"/>
        </w:rPr>
        <w:t xml:space="preserve"> that the acquisition might increase barriers to entry that </w:t>
      </w:r>
      <w:r w:rsidR="00B51C85" w:rsidRPr="005B7F92">
        <w:rPr>
          <w:lang w:val="en-GB"/>
        </w:rPr>
        <w:t>could</w:t>
      </w:r>
      <w:r w:rsidRPr="005B7F92">
        <w:rPr>
          <w:lang w:val="en-GB"/>
        </w:rPr>
        <w:t xml:space="preserve"> lead to fewer chemical and seed choice</w:t>
      </w:r>
      <w:r w:rsidR="00B51C85" w:rsidRPr="005B7F92">
        <w:rPr>
          <w:lang w:val="en-GB"/>
        </w:rPr>
        <w:t>s</w:t>
      </w:r>
      <w:r w:rsidRPr="005B7F92">
        <w:rPr>
          <w:lang w:val="en-GB"/>
        </w:rPr>
        <w:t xml:space="preserve"> and thus jeopardize biodiversity. Farmers might have to pay for higher-price</w:t>
      </w:r>
      <w:r w:rsidR="00B51C85" w:rsidRPr="005B7F92">
        <w:rPr>
          <w:lang w:val="en-GB"/>
        </w:rPr>
        <w:t>d</w:t>
      </w:r>
      <w:r w:rsidRPr="005B7F92">
        <w:rPr>
          <w:lang w:val="en-GB"/>
        </w:rPr>
        <w:t xml:space="preserve"> products from giant firms. This industry consolidation and </w:t>
      </w:r>
      <w:r w:rsidRPr="005B7F92">
        <w:rPr>
          <w:lang w:val="en-GB"/>
        </w:rPr>
        <w:lastRenderedPageBreak/>
        <w:t>reduced competition could also inhibit research and innovation in the field.</w:t>
      </w:r>
      <w:r w:rsidR="003C336A" w:rsidRPr="005B7F92">
        <w:rPr>
          <w:lang w:val="en-GB"/>
        </w:rPr>
        <w:t xml:space="preserve"> Some activists also feared such a combination would hurt farmers, consumers, and the environment.</w:t>
      </w:r>
      <w:r w:rsidR="003C336A" w:rsidRPr="005B7F92">
        <w:rPr>
          <w:rStyle w:val="EndnoteReference"/>
          <w:lang w:val="en-GB"/>
        </w:rPr>
        <w:endnoteReference w:id="46"/>
      </w:r>
    </w:p>
    <w:p w14:paraId="4DF4EAF8" w14:textId="77777777" w:rsidR="0048032D" w:rsidRPr="005B7F92" w:rsidRDefault="0048032D" w:rsidP="0094467D">
      <w:pPr>
        <w:pStyle w:val="BodyTextMain"/>
        <w:rPr>
          <w:lang w:val="en-GB"/>
        </w:rPr>
      </w:pPr>
    </w:p>
    <w:p w14:paraId="1C6CBB17" w14:textId="44687C64" w:rsidR="006F6E27" w:rsidRPr="005B7F92" w:rsidRDefault="0048032D" w:rsidP="00AA66C2">
      <w:pPr>
        <w:pStyle w:val="BodyTextMain"/>
        <w:rPr>
          <w:lang w:val="en-GB"/>
        </w:rPr>
      </w:pPr>
      <w:r w:rsidRPr="005B7F92">
        <w:rPr>
          <w:lang w:val="en-GB"/>
        </w:rPr>
        <w:t xml:space="preserve">To ensure </w:t>
      </w:r>
      <w:r w:rsidR="003157D2" w:rsidRPr="005B7F92">
        <w:rPr>
          <w:lang w:val="en-GB"/>
        </w:rPr>
        <w:t xml:space="preserve">the </w:t>
      </w:r>
      <w:r w:rsidR="00B51C85" w:rsidRPr="005B7F92">
        <w:rPr>
          <w:lang w:val="en-GB"/>
        </w:rPr>
        <w:t xml:space="preserve">protection of consumers and </w:t>
      </w:r>
      <w:r w:rsidRPr="005B7F92">
        <w:rPr>
          <w:lang w:val="en-GB"/>
        </w:rPr>
        <w:t>competition, antitrust</w:t>
      </w:r>
      <w:r w:rsidR="00B51C85" w:rsidRPr="005B7F92">
        <w:rPr>
          <w:lang w:val="en-GB"/>
        </w:rPr>
        <w:t>-</w:t>
      </w:r>
      <w:r w:rsidRPr="005B7F92">
        <w:rPr>
          <w:lang w:val="en-GB"/>
        </w:rPr>
        <w:t>related bodies w</w:t>
      </w:r>
      <w:r w:rsidR="00B51C85" w:rsidRPr="005B7F92">
        <w:rPr>
          <w:lang w:val="en-GB"/>
        </w:rPr>
        <w:t>ould</w:t>
      </w:r>
      <w:r w:rsidRPr="005B7F92">
        <w:rPr>
          <w:lang w:val="en-GB"/>
        </w:rPr>
        <w:t xml:space="preserve"> carefully investigate th</w:t>
      </w:r>
      <w:r w:rsidR="00B51C85" w:rsidRPr="005B7F92">
        <w:rPr>
          <w:lang w:val="en-GB"/>
        </w:rPr>
        <w:t>e</w:t>
      </w:r>
      <w:r w:rsidRPr="005B7F92">
        <w:rPr>
          <w:lang w:val="en-GB"/>
        </w:rPr>
        <w:t xml:space="preserve"> acquisition deal. </w:t>
      </w:r>
      <w:r w:rsidR="006F6E27" w:rsidRPr="005B7F92">
        <w:rPr>
          <w:lang w:val="en-GB"/>
        </w:rPr>
        <w:t>Iowa senator Charles Grassley wrote</w:t>
      </w:r>
      <w:r w:rsidRPr="005B7F92">
        <w:rPr>
          <w:lang w:val="en-GB"/>
        </w:rPr>
        <w:t xml:space="preserve"> a letter press</w:t>
      </w:r>
      <w:r w:rsidR="006F6E27" w:rsidRPr="005B7F92">
        <w:rPr>
          <w:lang w:val="en-GB"/>
        </w:rPr>
        <w:t>ing</w:t>
      </w:r>
      <w:r w:rsidRPr="005B7F92">
        <w:rPr>
          <w:lang w:val="en-GB"/>
        </w:rPr>
        <w:t xml:space="preserve"> the U.S. Department of Justice to be careful about th</w:t>
      </w:r>
      <w:r w:rsidR="006F6E27" w:rsidRPr="005B7F92">
        <w:rPr>
          <w:lang w:val="en-GB"/>
        </w:rPr>
        <w:t>e</w:t>
      </w:r>
      <w:r w:rsidRPr="005B7F92">
        <w:rPr>
          <w:lang w:val="en-GB"/>
        </w:rPr>
        <w:t xml:space="preserve"> deal</w:t>
      </w:r>
      <w:r w:rsidR="00BD1D69" w:rsidRPr="005B7F92">
        <w:rPr>
          <w:lang w:val="en-GB"/>
        </w:rPr>
        <w:t>,</w:t>
      </w:r>
      <w:r w:rsidRPr="005B7F92">
        <w:rPr>
          <w:rStyle w:val="EndnoteReference"/>
          <w:lang w:val="en-GB"/>
        </w:rPr>
        <w:endnoteReference w:id="47"/>
      </w:r>
      <w:r w:rsidRPr="005B7F92">
        <w:rPr>
          <w:lang w:val="en-GB"/>
        </w:rPr>
        <w:t xml:space="preserve"> while many petitions in Europe emerg</w:t>
      </w:r>
      <w:r w:rsidR="006F6E27" w:rsidRPr="005B7F92">
        <w:rPr>
          <w:lang w:val="en-GB"/>
        </w:rPr>
        <w:t>ed</w:t>
      </w:r>
      <w:r w:rsidRPr="005B7F92">
        <w:rPr>
          <w:lang w:val="en-GB"/>
        </w:rPr>
        <w:t xml:space="preserve"> to prevent approval of the deal. Diana Moss, president of the American Antitrust Institute</w:t>
      </w:r>
      <w:r w:rsidR="006F6E27" w:rsidRPr="005B7F92">
        <w:rPr>
          <w:lang w:val="en-GB"/>
        </w:rPr>
        <w:t>,</w:t>
      </w:r>
      <w:r w:rsidRPr="005B7F92">
        <w:rPr>
          <w:lang w:val="en-GB"/>
        </w:rPr>
        <w:t xml:space="preserve"> </w:t>
      </w:r>
      <w:r w:rsidR="006F6E27" w:rsidRPr="005B7F92">
        <w:rPr>
          <w:lang w:val="en-GB"/>
        </w:rPr>
        <w:t>pointed out:</w:t>
      </w:r>
      <w:r w:rsidRPr="005B7F92">
        <w:rPr>
          <w:lang w:val="en-GB"/>
        </w:rPr>
        <w:t xml:space="preserve"> </w:t>
      </w:r>
    </w:p>
    <w:p w14:paraId="71A584AB" w14:textId="77777777" w:rsidR="006F6E27" w:rsidRPr="005B7F92" w:rsidRDefault="006F6E27" w:rsidP="00AA66C2">
      <w:pPr>
        <w:pStyle w:val="BodyTextMain"/>
        <w:rPr>
          <w:lang w:val="en-GB"/>
        </w:rPr>
      </w:pPr>
    </w:p>
    <w:p w14:paraId="1D444629" w14:textId="3740A987" w:rsidR="006F6E27" w:rsidRPr="005B7F92" w:rsidRDefault="0048032D" w:rsidP="004E59EB">
      <w:pPr>
        <w:pStyle w:val="BodyTextMain"/>
        <w:ind w:left="720"/>
        <w:rPr>
          <w:lang w:val="en-GB"/>
        </w:rPr>
      </w:pPr>
      <w:r w:rsidRPr="005B7F92">
        <w:rPr>
          <w:lang w:val="en-GB"/>
        </w:rPr>
        <w:t xml:space="preserve">The USDA </w:t>
      </w:r>
      <w:r w:rsidR="006F6E27" w:rsidRPr="005B7F92">
        <w:rPr>
          <w:lang w:val="en-GB"/>
        </w:rPr>
        <w:t xml:space="preserve">[United States Department of Agriculture] </w:t>
      </w:r>
      <w:r w:rsidRPr="005B7F92">
        <w:rPr>
          <w:lang w:val="en-GB"/>
        </w:rPr>
        <w:t xml:space="preserve">notes that the prices of farm inputs, led by crop seed, generally have risen faster over the last 20 years than the prices farmers have received for their commodities. Moreover, seed price increases have outpaced yield increases over time. </w:t>
      </w:r>
      <w:r w:rsidR="00695E76" w:rsidRPr="005B7F92">
        <w:rPr>
          <w:lang w:val="en-GB"/>
        </w:rPr>
        <w:t>Finally</w:t>
      </w:r>
      <w:r w:rsidRPr="005B7F92">
        <w:rPr>
          <w:lang w:val="en-GB"/>
        </w:rPr>
        <w:t>, the USDA has determined that increasing levels of concentration in agricultural input markets (including crop seed) are no longer generally associated with higher R&amp;D or a permanent rise in R&amp;D intensity.</w:t>
      </w:r>
      <w:r w:rsidRPr="005B7F92">
        <w:rPr>
          <w:rStyle w:val="EndnoteReference"/>
          <w:lang w:val="en-GB"/>
        </w:rPr>
        <w:endnoteReference w:id="48"/>
      </w:r>
      <w:r w:rsidRPr="005B7F92">
        <w:rPr>
          <w:lang w:val="en-GB"/>
        </w:rPr>
        <w:t xml:space="preserve"> </w:t>
      </w:r>
    </w:p>
    <w:p w14:paraId="30BAD6D1" w14:textId="77777777" w:rsidR="006F6E27" w:rsidRPr="005B7F92" w:rsidRDefault="006F6E27" w:rsidP="006F6E27">
      <w:pPr>
        <w:pStyle w:val="BodyTextMain"/>
        <w:rPr>
          <w:lang w:val="en-GB"/>
        </w:rPr>
      </w:pPr>
    </w:p>
    <w:p w14:paraId="57F98512" w14:textId="2D593895" w:rsidR="0048032D" w:rsidRPr="005B7F92" w:rsidRDefault="0048032D" w:rsidP="004C28FA">
      <w:pPr>
        <w:pStyle w:val="BodyTextMain"/>
        <w:rPr>
          <w:lang w:val="en-GB"/>
        </w:rPr>
      </w:pPr>
      <w:r w:rsidRPr="005B7F92">
        <w:rPr>
          <w:lang w:val="en-GB"/>
        </w:rPr>
        <w:t>Nevertheless, Bayer was confident that the deal would obtain regulatory approvals</w:t>
      </w:r>
      <w:r w:rsidR="004C28FA" w:rsidRPr="005B7F92">
        <w:rPr>
          <w:lang w:val="en-GB"/>
        </w:rPr>
        <w:t>,</w:t>
      </w:r>
      <w:r w:rsidRPr="005B7F92">
        <w:rPr>
          <w:lang w:val="en-GB"/>
        </w:rPr>
        <w:t xml:space="preserve"> as the company had committed a $2 billion reverse antitrust break fee.</w:t>
      </w:r>
      <w:r w:rsidRPr="005B7F92">
        <w:rPr>
          <w:rStyle w:val="EndnoteReference"/>
          <w:lang w:val="en-GB"/>
        </w:rPr>
        <w:endnoteReference w:id="49"/>
      </w:r>
      <w:r w:rsidRPr="005B7F92">
        <w:rPr>
          <w:lang w:val="en-GB"/>
        </w:rPr>
        <w:t xml:space="preserve"> </w:t>
      </w:r>
    </w:p>
    <w:p w14:paraId="049F1637" w14:textId="77777777" w:rsidR="0048032D" w:rsidRPr="005B7F92" w:rsidRDefault="0048032D" w:rsidP="0094467D">
      <w:pPr>
        <w:pStyle w:val="BodyTextMain"/>
        <w:rPr>
          <w:lang w:val="en-GB"/>
        </w:rPr>
      </w:pPr>
    </w:p>
    <w:p w14:paraId="0A4E0312" w14:textId="7B2E494E" w:rsidR="0048032D" w:rsidRPr="005B7F92" w:rsidRDefault="0048032D" w:rsidP="006E7EDA">
      <w:pPr>
        <w:pStyle w:val="BodyTextMain"/>
        <w:rPr>
          <w:lang w:val="en-GB"/>
        </w:rPr>
      </w:pPr>
      <w:r w:rsidRPr="005B7F92">
        <w:rPr>
          <w:lang w:val="en-GB"/>
        </w:rPr>
        <w:t>As part of th</w:t>
      </w:r>
      <w:r w:rsidR="004C28FA" w:rsidRPr="005B7F92">
        <w:rPr>
          <w:lang w:val="en-GB"/>
        </w:rPr>
        <w:t>e</w:t>
      </w:r>
      <w:r w:rsidRPr="005B7F92">
        <w:rPr>
          <w:lang w:val="en-GB"/>
        </w:rPr>
        <w:t xml:space="preserve"> acquisition, Bayer had to divest its Liberty herbicide and </w:t>
      </w:r>
      <w:proofErr w:type="spellStart"/>
      <w:r w:rsidRPr="005B7F92">
        <w:rPr>
          <w:lang w:val="en-GB"/>
        </w:rPr>
        <w:t>LibertyLink</w:t>
      </w:r>
      <w:proofErr w:type="spellEnd"/>
      <w:r w:rsidRPr="005B7F92">
        <w:rPr>
          <w:lang w:val="en-GB"/>
        </w:rPr>
        <w:t xml:space="preserve">-branded seed businesses to </w:t>
      </w:r>
      <w:r w:rsidR="00695E76" w:rsidRPr="005B7F92">
        <w:rPr>
          <w:lang w:val="en-GB"/>
        </w:rPr>
        <w:t>fulfil</w:t>
      </w:r>
      <w:r w:rsidRPr="005B7F92">
        <w:rPr>
          <w:lang w:val="en-GB"/>
        </w:rPr>
        <w:t xml:space="preserve"> the antitrust requirements of South Africa’s </w:t>
      </w:r>
      <w:r w:rsidR="004C28FA" w:rsidRPr="005B7F92">
        <w:rPr>
          <w:lang w:val="en-GB"/>
        </w:rPr>
        <w:t xml:space="preserve">Competition </w:t>
      </w:r>
      <w:r w:rsidRPr="005B7F92">
        <w:rPr>
          <w:lang w:val="en-GB"/>
        </w:rPr>
        <w:t>Commission.</w:t>
      </w:r>
      <w:r w:rsidRPr="005B7F92">
        <w:rPr>
          <w:rStyle w:val="EndnoteReference"/>
          <w:lang w:val="en-GB"/>
        </w:rPr>
        <w:endnoteReference w:id="50"/>
      </w:r>
      <w:r w:rsidRPr="005B7F92">
        <w:rPr>
          <w:lang w:val="en-GB"/>
        </w:rPr>
        <w:t xml:space="preserve"> Sales generated by these divestitures were estimated </w:t>
      </w:r>
      <w:r w:rsidR="003157D2" w:rsidRPr="005B7F92">
        <w:rPr>
          <w:lang w:val="en-GB"/>
        </w:rPr>
        <w:t xml:space="preserve">at </w:t>
      </w:r>
      <w:r w:rsidRPr="005B7F92">
        <w:rPr>
          <w:lang w:val="en-GB"/>
        </w:rPr>
        <w:t xml:space="preserve">$2.5 billion. </w:t>
      </w:r>
      <w:r w:rsidR="004C28FA" w:rsidRPr="005B7F92">
        <w:rPr>
          <w:lang w:val="en-GB"/>
        </w:rPr>
        <w:t>It was unclear</w:t>
      </w:r>
      <w:r w:rsidRPr="005B7F92">
        <w:rPr>
          <w:lang w:val="en-GB"/>
        </w:rPr>
        <w:t xml:space="preserve"> how many unit divestitures Bayer would have to do to </w:t>
      </w:r>
      <w:r w:rsidR="00695E76" w:rsidRPr="005B7F92">
        <w:rPr>
          <w:lang w:val="en-GB"/>
        </w:rPr>
        <w:t>fulfil</w:t>
      </w:r>
      <w:r w:rsidRPr="005B7F92">
        <w:rPr>
          <w:lang w:val="en-GB"/>
        </w:rPr>
        <w:t xml:space="preserve"> the antitrust regulations</w:t>
      </w:r>
      <w:r w:rsidR="004C28FA" w:rsidRPr="005B7F92">
        <w:rPr>
          <w:lang w:val="en-GB"/>
        </w:rPr>
        <w:t>,</w:t>
      </w:r>
      <w:r w:rsidRPr="005B7F92">
        <w:rPr>
          <w:lang w:val="en-GB"/>
        </w:rPr>
        <w:t xml:space="preserve"> and whether these divestitures would mitigate the potential synergies anticipated at the time of signing the acquisition agreement. Bayer would </w:t>
      </w:r>
      <w:r w:rsidR="004C28FA" w:rsidRPr="005B7F92">
        <w:rPr>
          <w:lang w:val="en-GB"/>
        </w:rPr>
        <w:t xml:space="preserve">also </w:t>
      </w:r>
      <w:r w:rsidRPr="005B7F92">
        <w:rPr>
          <w:lang w:val="en-GB"/>
        </w:rPr>
        <w:t xml:space="preserve">have to be prepared for other competitive strategies if the deal was eventually </w:t>
      </w:r>
      <w:r w:rsidR="004C28FA" w:rsidRPr="005B7F92">
        <w:rPr>
          <w:lang w:val="en-GB"/>
        </w:rPr>
        <w:t xml:space="preserve">not </w:t>
      </w:r>
      <w:r w:rsidRPr="005B7F92">
        <w:rPr>
          <w:lang w:val="en-GB"/>
        </w:rPr>
        <w:t>approved.</w:t>
      </w:r>
    </w:p>
    <w:p w14:paraId="6AB5DC2F" w14:textId="77777777" w:rsidR="0048032D" w:rsidRPr="005B7F92" w:rsidRDefault="0048032D" w:rsidP="006E7EDA">
      <w:pPr>
        <w:pStyle w:val="BodyTextMain"/>
        <w:rPr>
          <w:lang w:val="en-GB"/>
        </w:rPr>
      </w:pPr>
    </w:p>
    <w:p w14:paraId="5DCCED16" w14:textId="77777777" w:rsidR="0048032D" w:rsidRPr="005B7F92" w:rsidRDefault="0048032D" w:rsidP="006E7EDA">
      <w:pPr>
        <w:pStyle w:val="BodyTextMain"/>
        <w:rPr>
          <w:lang w:val="en-GB"/>
        </w:rPr>
      </w:pPr>
    </w:p>
    <w:p w14:paraId="42F1BDA0" w14:textId="7DB48EFD" w:rsidR="0048032D" w:rsidRPr="005B7F92" w:rsidRDefault="0048032D" w:rsidP="006E7EDA">
      <w:pPr>
        <w:pStyle w:val="BodyTextMain"/>
        <w:rPr>
          <w:rFonts w:ascii="Arial" w:hAnsi="Arial" w:cs="Arial"/>
          <w:b/>
          <w:sz w:val="20"/>
          <w:szCs w:val="20"/>
          <w:lang w:val="en-GB"/>
        </w:rPr>
      </w:pPr>
      <w:r w:rsidRPr="005B7F92">
        <w:rPr>
          <w:rFonts w:ascii="Arial" w:hAnsi="Arial" w:cs="Arial"/>
          <w:b/>
          <w:sz w:val="20"/>
          <w:szCs w:val="20"/>
          <w:lang w:val="en-GB"/>
        </w:rPr>
        <w:t xml:space="preserve">Stakeholders’ Concerns and </w:t>
      </w:r>
      <w:r w:rsidR="004C28FA" w:rsidRPr="005B7F92">
        <w:rPr>
          <w:rFonts w:ascii="Arial" w:hAnsi="Arial" w:cs="Arial"/>
          <w:b/>
          <w:sz w:val="20"/>
          <w:szCs w:val="20"/>
          <w:lang w:val="en-GB"/>
        </w:rPr>
        <w:t xml:space="preserve">a </w:t>
      </w:r>
      <w:r w:rsidRPr="005B7F92">
        <w:rPr>
          <w:rFonts w:ascii="Arial" w:hAnsi="Arial" w:cs="Arial"/>
          <w:b/>
          <w:sz w:val="20"/>
          <w:szCs w:val="20"/>
          <w:lang w:val="en-GB"/>
        </w:rPr>
        <w:t>Threatening Brand Image</w:t>
      </w:r>
    </w:p>
    <w:p w14:paraId="3B585655" w14:textId="77777777" w:rsidR="0048032D" w:rsidRPr="005B7F92" w:rsidRDefault="0048032D" w:rsidP="006E7EDA">
      <w:pPr>
        <w:pStyle w:val="BodyTextMain"/>
        <w:rPr>
          <w:lang w:val="en-GB"/>
        </w:rPr>
      </w:pPr>
    </w:p>
    <w:p w14:paraId="1169CA4C" w14:textId="7383D841" w:rsidR="0048032D" w:rsidRPr="00695E76" w:rsidRDefault="0048032D" w:rsidP="006E7EDA">
      <w:pPr>
        <w:pStyle w:val="BodyTextMain"/>
        <w:rPr>
          <w:spacing w:val="-4"/>
          <w:lang w:val="en-GB"/>
        </w:rPr>
      </w:pPr>
      <w:r w:rsidRPr="00695E76">
        <w:rPr>
          <w:spacing w:val="-4"/>
          <w:lang w:val="en-GB"/>
        </w:rPr>
        <w:t>Monsanto was the flagship company for GMOs</w:t>
      </w:r>
      <w:r w:rsidR="004361E3" w:rsidRPr="00695E76">
        <w:rPr>
          <w:spacing w:val="-4"/>
          <w:lang w:val="en-GB"/>
        </w:rPr>
        <w:t>,</w:t>
      </w:r>
      <w:r w:rsidRPr="00695E76">
        <w:rPr>
          <w:spacing w:val="-4"/>
          <w:lang w:val="en-GB"/>
        </w:rPr>
        <w:t xml:space="preserve"> </w:t>
      </w:r>
      <w:r w:rsidR="004361E3" w:rsidRPr="00695E76">
        <w:rPr>
          <w:spacing w:val="-4"/>
          <w:lang w:val="en-GB"/>
        </w:rPr>
        <w:t>which</w:t>
      </w:r>
      <w:r w:rsidRPr="00695E76">
        <w:rPr>
          <w:spacing w:val="-4"/>
          <w:lang w:val="en-GB"/>
        </w:rPr>
        <w:t xml:space="preserve"> historically </w:t>
      </w:r>
      <w:r w:rsidR="004361E3" w:rsidRPr="00695E76">
        <w:rPr>
          <w:spacing w:val="-4"/>
          <w:lang w:val="en-GB"/>
        </w:rPr>
        <w:t xml:space="preserve">had been </w:t>
      </w:r>
      <w:r w:rsidRPr="00695E76">
        <w:rPr>
          <w:spacing w:val="-4"/>
          <w:lang w:val="en-GB"/>
        </w:rPr>
        <w:t xml:space="preserve">often involved with most of the polemics and protests related to </w:t>
      </w:r>
      <w:r w:rsidR="004361E3" w:rsidRPr="00695E76">
        <w:rPr>
          <w:spacing w:val="-4"/>
          <w:lang w:val="en-GB"/>
        </w:rPr>
        <w:t>the company’s</w:t>
      </w:r>
      <w:r w:rsidRPr="00695E76">
        <w:rPr>
          <w:spacing w:val="-4"/>
          <w:lang w:val="en-GB"/>
        </w:rPr>
        <w:t xml:space="preserve"> agrochemical products. For example, it had </w:t>
      </w:r>
      <w:r w:rsidR="004C28FA" w:rsidRPr="00695E76">
        <w:rPr>
          <w:spacing w:val="-4"/>
          <w:lang w:val="en-GB"/>
        </w:rPr>
        <w:t>produced</w:t>
      </w:r>
      <w:r w:rsidRPr="00695E76">
        <w:rPr>
          <w:spacing w:val="-4"/>
          <w:lang w:val="en-GB"/>
        </w:rPr>
        <w:t xml:space="preserve"> misleading advertisements about the biodegradable herbicide Roundup</w:t>
      </w:r>
      <w:r w:rsidR="009B7628">
        <w:rPr>
          <w:spacing w:val="-4"/>
          <w:lang w:val="en-GB"/>
        </w:rPr>
        <w:t>.</w:t>
      </w:r>
      <w:r w:rsidRPr="00695E76">
        <w:rPr>
          <w:rStyle w:val="EndnoteReference"/>
          <w:spacing w:val="-4"/>
          <w:lang w:val="en-GB"/>
        </w:rPr>
        <w:endnoteReference w:id="51"/>
      </w:r>
      <w:r w:rsidRPr="00695E76">
        <w:rPr>
          <w:spacing w:val="-4"/>
          <w:lang w:val="en-GB"/>
        </w:rPr>
        <w:t xml:space="preserve"> </w:t>
      </w:r>
      <w:r w:rsidR="009B7628">
        <w:rPr>
          <w:spacing w:val="-4"/>
          <w:lang w:val="en-GB"/>
        </w:rPr>
        <w:t>I</w:t>
      </w:r>
      <w:r w:rsidR="004C28FA" w:rsidRPr="00695E76">
        <w:rPr>
          <w:spacing w:val="-4"/>
          <w:lang w:val="en-GB"/>
        </w:rPr>
        <w:t xml:space="preserve">t </w:t>
      </w:r>
      <w:r w:rsidRPr="00695E76">
        <w:rPr>
          <w:spacing w:val="-4"/>
          <w:lang w:val="en-GB"/>
        </w:rPr>
        <w:t xml:space="preserve">had </w:t>
      </w:r>
      <w:r w:rsidR="009B7628">
        <w:rPr>
          <w:spacing w:val="-4"/>
          <w:lang w:val="en-GB"/>
        </w:rPr>
        <w:t xml:space="preserve">also </w:t>
      </w:r>
      <w:r w:rsidRPr="00695E76">
        <w:rPr>
          <w:spacing w:val="-4"/>
          <w:lang w:val="en-GB"/>
        </w:rPr>
        <w:t>been accused of endangering health with its GMOs</w:t>
      </w:r>
      <w:r w:rsidRPr="00695E76">
        <w:rPr>
          <w:rStyle w:val="EndnoteReference"/>
          <w:spacing w:val="-4"/>
          <w:lang w:val="en-GB"/>
        </w:rPr>
        <w:endnoteReference w:id="52"/>
      </w:r>
      <w:r w:rsidRPr="00695E76">
        <w:rPr>
          <w:spacing w:val="-4"/>
          <w:lang w:val="en-GB"/>
        </w:rPr>
        <w:t xml:space="preserve"> and </w:t>
      </w:r>
      <w:r w:rsidR="004C28FA" w:rsidRPr="00695E76">
        <w:rPr>
          <w:spacing w:val="-4"/>
          <w:lang w:val="en-GB"/>
        </w:rPr>
        <w:t xml:space="preserve">of </w:t>
      </w:r>
      <w:r w:rsidRPr="00695E76">
        <w:rPr>
          <w:spacing w:val="-4"/>
          <w:lang w:val="en-GB"/>
        </w:rPr>
        <w:t>buying scientists to produce fake news in academic journals to promote its products.</w:t>
      </w:r>
      <w:r w:rsidRPr="00695E76">
        <w:rPr>
          <w:rStyle w:val="EndnoteReference"/>
          <w:spacing w:val="-4"/>
          <w:lang w:val="en-GB"/>
        </w:rPr>
        <w:endnoteReference w:id="53"/>
      </w:r>
      <w:r w:rsidRPr="00695E76">
        <w:rPr>
          <w:spacing w:val="-4"/>
          <w:lang w:val="en-GB"/>
        </w:rPr>
        <w:t xml:space="preserve"> </w:t>
      </w:r>
      <w:r w:rsidR="00591C51" w:rsidRPr="00695E76">
        <w:rPr>
          <w:spacing w:val="-4"/>
          <w:lang w:val="en-GB"/>
        </w:rPr>
        <w:t>However, despite these controversies, Monsanto’s share price had continued to perform well.</w:t>
      </w:r>
      <w:r w:rsidR="00591C51" w:rsidRPr="00695E76">
        <w:rPr>
          <w:rStyle w:val="EndnoteReference"/>
          <w:spacing w:val="-4"/>
          <w:lang w:val="en-GB"/>
        </w:rPr>
        <w:endnoteReference w:id="54"/>
      </w:r>
      <w:r w:rsidR="00591C51" w:rsidRPr="00695E76">
        <w:rPr>
          <w:spacing w:val="-4"/>
          <w:lang w:val="en-GB"/>
        </w:rPr>
        <w:t xml:space="preserve"> </w:t>
      </w:r>
      <w:r w:rsidRPr="00695E76">
        <w:rPr>
          <w:spacing w:val="-4"/>
          <w:lang w:val="en-GB"/>
        </w:rPr>
        <w:t>Th</w:t>
      </w:r>
      <w:r w:rsidR="004361E3" w:rsidRPr="00695E76">
        <w:rPr>
          <w:spacing w:val="-4"/>
          <w:lang w:val="en-GB"/>
        </w:rPr>
        <w:t>e</w:t>
      </w:r>
      <w:r w:rsidRPr="00695E76">
        <w:rPr>
          <w:spacing w:val="-4"/>
          <w:lang w:val="en-GB"/>
        </w:rPr>
        <w:t xml:space="preserve"> acquisition deal </w:t>
      </w:r>
      <w:r w:rsidR="004361E3" w:rsidRPr="00695E76">
        <w:rPr>
          <w:spacing w:val="-4"/>
          <w:lang w:val="en-GB"/>
        </w:rPr>
        <w:t>could</w:t>
      </w:r>
      <w:r w:rsidRPr="00695E76">
        <w:rPr>
          <w:spacing w:val="-4"/>
          <w:lang w:val="en-GB"/>
        </w:rPr>
        <w:t xml:space="preserve"> jeopardize Bayer’s brand image </w:t>
      </w:r>
      <w:r w:rsidR="004361E3" w:rsidRPr="00695E76">
        <w:rPr>
          <w:spacing w:val="-4"/>
          <w:lang w:val="en-GB"/>
        </w:rPr>
        <w:t>because of</w:t>
      </w:r>
      <w:r w:rsidRPr="00695E76">
        <w:rPr>
          <w:spacing w:val="-4"/>
          <w:lang w:val="en-GB"/>
        </w:rPr>
        <w:t xml:space="preserve"> Monsanto’s past controversial issues in its business operations and practices. The announcement of the deal had generated concerns </w:t>
      </w:r>
      <w:r w:rsidR="004361E3" w:rsidRPr="00695E76">
        <w:rPr>
          <w:spacing w:val="-4"/>
          <w:lang w:val="en-GB"/>
        </w:rPr>
        <w:t>from many</w:t>
      </w:r>
      <w:r w:rsidRPr="00695E76">
        <w:rPr>
          <w:spacing w:val="-4"/>
          <w:lang w:val="en-GB"/>
        </w:rPr>
        <w:t xml:space="preserve"> stakeholders at different levels</w:t>
      </w:r>
      <w:r w:rsidR="009B7628">
        <w:rPr>
          <w:spacing w:val="-4"/>
          <w:lang w:val="en-GB"/>
        </w:rPr>
        <w:t>,</w:t>
      </w:r>
      <w:r w:rsidRPr="00695E76">
        <w:rPr>
          <w:spacing w:val="-4"/>
          <w:lang w:val="en-GB"/>
        </w:rPr>
        <w:t xml:space="preserve"> including farmers, consumers, shareholders, and employees.</w:t>
      </w:r>
    </w:p>
    <w:p w14:paraId="791C4A2F" w14:textId="77777777" w:rsidR="0048032D" w:rsidRPr="005B7F92" w:rsidRDefault="0048032D" w:rsidP="006E7EDA">
      <w:pPr>
        <w:pStyle w:val="BodyTextMain"/>
        <w:rPr>
          <w:lang w:val="en-GB"/>
        </w:rPr>
      </w:pPr>
    </w:p>
    <w:p w14:paraId="4DAC99C7" w14:textId="3F1220A6" w:rsidR="0048032D" w:rsidRPr="00D35E9A" w:rsidRDefault="0048032D" w:rsidP="006E7EDA">
      <w:pPr>
        <w:pStyle w:val="BodyTextMain"/>
        <w:rPr>
          <w:spacing w:val="-2"/>
          <w:lang w:val="en-GB"/>
        </w:rPr>
      </w:pPr>
      <w:r w:rsidRPr="00D35E9A">
        <w:rPr>
          <w:spacing w:val="-2"/>
          <w:lang w:val="en-GB"/>
        </w:rPr>
        <w:t xml:space="preserve">In the pharmaceutical industry, Bayer was still a respectable brand, mostly known for Aspirin. However, following the acquisition, Anton </w:t>
      </w:r>
      <w:proofErr w:type="spellStart"/>
      <w:r w:rsidRPr="00D35E9A">
        <w:rPr>
          <w:spacing w:val="-2"/>
          <w:lang w:val="en-GB"/>
        </w:rPr>
        <w:t>Hofreiter</w:t>
      </w:r>
      <w:proofErr w:type="spellEnd"/>
      <w:r w:rsidRPr="00D35E9A">
        <w:rPr>
          <w:spacing w:val="-2"/>
          <w:lang w:val="en-GB"/>
        </w:rPr>
        <w:t xml:space="preserve">, </w:t>
      </w:r>
      <w:r w:rsidR="004361E3" w:rsidRPr="00D35E9A">
        <w:rPr>
          <w:spacing w:val="-2"/>
          <w:lang w:val="en-GB"/>
        </w:rPr>
        <w:t>a</w:t>
      </w:r>
      <w:r w:rsidRPr="00D35E9A">
        <w:rPr>
          <w:spacing w:val="-2"/>
          <w:lang w:val="en-GB"/>
        </w:rPr>
        <w:t xml:space="preserve"> German </w:t>
      </w:r>
      <w:r w:rsidR="004361E3" w:rsidRPr="00D35E9A">
        <w:rPr>
          <w:spacing w:val="-2"/>
          <w:lang w:val="en-GB"/>
        </w:rPr>
        <w:t>biologist</w:t>
      </w:r>
      <w:r w:rsidRPr="00D35E9A">
        <w:rPr>
          <w:spacing w:val="-2"/>
          <w:lang w:val="en-GB"/>
        </w:rPr>
        <w:t xml:space="preserve"> </w:t>
      </w:r>
      <w:r w:rsidR="004361E3" w:rsidRPr="00D35E9A">
        <w:rPr>
          <w:spacing w:val="-2"/>
          <w:lang w:val="en-GB"/>
        </w:rPr>
        <w:t>and head of the opposition Green Party grouping in the German parliament,</w:t>
      </w:r>
      <w:r w:rsidRPr="00D35E9A">
        <w:rPr>
          <w:spacing w:val="-2"/>
          <w:lang w:val="en-GB"/>
        </w:rPr>
        <w:t xml:space="preserve"> strongly criticized the deal</w:t>
      </w:r>
      <w:r w:rsidR="009B7628" w:rsidRPr="00D35E9A">
        <w:rPr>
          <w:spacing w:val="-2"/>
          <w:lang w:val="en-GB"/>
        </w:rPr>
        <w:t>:</w:t>
      </w:r>
      <w:r w:rsidRPr="00D35E9A">
        <w:rPr>
          <w:spacing w:val="-2"/>
          <w:lang w:val="en-GB"/>
        </w:rPr>
        <w:t xml:space="preserve"> “Monsanto represents so much of what’s wrong with agribusiness</w:t>
      </w:r>
      <w:r w:rsidR="004361E3" w:rsidRPr="00D35E9A">
        <w:rPr>
          <w:spacing w:val="-2"/>
          <w:lang w:val="en-GB"/>
        </w:rPr>
        <w:t>.</w:t>
      </w:r>
      <w:r w:rsidRPr="00D35E9A">
        <w:rPr>
          <w:spacing w:val="-2"/>
          <w:lang w:val="en-GB"/>
        </w:rPr>
        <w:t xml:space="preserve"> At the same time people are becoming more </w:t>
      </w:r>
      <w:proofErr w:type="spellStart"/>
      <w:r w:rsidRPr="00D35E9A">
        <w:rPr>
          <w:spacing w:val="-2"/>
          <w:lang w:val="en-GB"/>
        </w:rPr>
        <w:t>skeptical</w:t>
      </w:r>
      <w:proofErr w:type="spellEnd"/>
      <w:r w:rsidRPr="00D35E9A">
        <w:rPr>
          <w:spacing w:val="-2"/>
          <w:lang w:val="en-GB"/>
        </w:rPr>
        <w:t xml:space="preserve"> about the agricultural </w:t>
      </w:r>
      <w:r w:rsidR="00D35E9A" w:rsidRPr="00D35E9A">
        <w:rPr>
          <w:spacing w:val="-2"/>
          <w:lang w:val="en-GB"/>
        </w:rPr>
        <w:t>industry;</w:t>
      </w:r>
      <w:r w:rsidRPr="00D35E9A">
        <w:rPr>
          <w:spacing w:val="-2"/>
          <w:lang w:val="en-GB"/>
        </w:rPr>
        <w:t xml:space="preserve"> Bayer turns around and invests in this consumer and environmentally hostile direction</w:t>
      </w:r>
      <w:r w:rsidR="000701E2" w:rsidRPr="00D35E9A">
        <w:rPr>
          <w:spacing w:val="-2"/>
          <w:lang w:val="en-GB"/>
        </w:rPr>
        <w:t>.</w:t>
      </w:r>
      <w:r w:rsidRPr="00D35E9A">
        <w:rPr>
          <w:spacing w:val="-2"/>
          <w:lang w:val="en-GB"/>
        </w:rPr>
        <w:t>”</w:t>
      </w:r>
      <w:r w:rsidRPr="00D35E9A">
        <w:rPr>
          <w:rStyle w:val="EndnoteReference"/>
          <w:spacing w:val="-2"/>
          <w:lang w:val="en-GB"/>
        </w:rPr>
        <w:endnoteReference w:id="55"/>
      </w:r>
      <w:r w:rsidRPr="00D35E9A">
        <w:rPr>
          <w:spacing w:val="-2"/>
          <w:lang w:val="en-GB"/>
        </w:rPr>
        <w:t xml:space="preserve"> </w:t>
      </w:r>
      <w:proofErr w:type="spellStart"/>
      <w:r w:rsidR="000701E2" w:rsidRPr="00D35E9A">
        <w:rPr>
          <w:spacing w:val="-2"/>
          <w:lang w:val="en-GB"/>
        </w:rPr>
        <w:t>Hofreiter</w:t>
      </w:r>
      <w:proofErr w:type="spellEnd"/>
      <w:r w:rsidR="000701E2" w:rsidRPr="00D35E9A">
        <w:rPr>
          <w:spacing w:val="-2"/>
          <w:lang w:val="en-GB"/>
        </w:rPr>
        <w:t xml:space="preserve"> was </w:t>
      </w:r>
      <w:r w:rsidR="00B25DB3" w:rsidRPr="00D35E9A">
        <w:rPr>
          <w:spacing w:val="-2"/>
          <w:lang w:val="en-GB"/>
        </w:rPr>
        <w:t>expressing his concern</w:t>
      </w:r>
      <w:r w:rsidRPr="00D35E9A">
        <w:rPr>
          <w:spacing w:val="-2"/>
          <w:lang w:val="en-GB"/>
        </w:rPr>
        <w:t xml:space="preserve"> that the deal would reinforce starvation in the world and that the high price paid by Bayer would eventually be transferred to farmers and consumers. Moreover, th</w:t>
      </w:r>
      <w:r w:rsidR="00B25DB3" w:rsidRPr="00D35E9A">
        <w:rPr>
          <w:spacing w:val="-2"/>
          <w:lang w:val="en-GB"/>
        </w:rPr>
        <w:t>e acquisition deal</w:t>
      </w:r>
      <w:r w:rsidRPr="00D35E9A">
        <w:rPr>
          <w:spacing w:val="-2"/>
          <w:lang w:val="en-GB"/>
        </w:rPr>
        <w:t xml:space="preserve"> led to a surge of protestation all over the world, </w:t>
      </w:r>
      <w:r w:rsidR="00B25DB3" w:rsidRPr="00D35E9A">
        <w:rPr>
          <w:spacing w:val="-2"/>
          <w:lang w:val="en-GB"/>
        </w:rPr>
        <w:t>resulting in</w:t>
      </w:r>
      <w:r w:rsidRPr="00D35E9A">
        <w:rPr>
          <w:spacing w:val="-2"/>
          <w:lang w:val="en-GB"/>
        </w:rPr>
        <w:t xml:space="preserve"> petitions and </w:t>
      </w:r>
      <w:r w:rsidR="00B25DB3" w:rsidRPr="00D35E9A">
        <w:rPr>
          <w:spacing w:val="-2"/>
          <w:lang w:val="en-GB"/>
        </w:rPr>
        <w:t xml:space="preserve">the formation of </w:t>
      </w:r>
      <w:r w:rsidRPr="00D35E9A">
        <w:rPr>
          <w:spacing w:val="-2"/>
          <w:lang w:val="en-GB"/>
        </w:rPr>
        <w:t>political movements, especially in Europe where citizens were afraid of the introduction of GMO</w:t>
      </w:r>
      <w:r w:rsidR="00B25DB3" w:rsidRPr="00D35E9A">
        <w:rPr>
          <w:spacing w:val="-2"/>
          <w:lang w:val="en-GB"/>
        </w:rPr>
        <w:t>s</w:t>
      </w:r>
      <w:r w:rsidRPr="00D35E9A">
        <w:rPr>
          <w:spacing w:val="-2"/>
          <w:lang w:val="en-GB"/>
        </w:rPr>
        <w:t xml:space="preserve"> </w:t>
      </w:r>
      <w:r w:rsidR="00B25DB3" w:rsidRPr="00D35E9A">
        <w:rPr>
          <w:spacing w:val="-2"/>
          <w:lang w:val="en-GB"/>
        </w:rPr>
        <w:t>to</w:t>
      </w:r>
      <w:r w:rsidRPr="00D35E9A">
        <w:rPr>
          <w:spacing w:val="-2"/>
          <w:lang w:val="en-GB"/>
        </w:rPr>
        <w:t xml:space="preserve"> their lands.</w:t>
      </w:r>
      <w:r w:rsidRPr="00D35E9A">
        <w:rPr>
          <w:rStyle w:val="EndnoteReference"/>
          <w:spacing w:val="-2"/>
          <w:lang w:val="en-GB"/>
        </w:rPr>
        <w:endnoteReference w:id="56"/>
      </w:r>
      <w:r w:rsidRPr="00D35E9A">
        <w:rPr>
          <w:spacing w:val="-2"/>
          <w:lang w:val="en-GB"/>
        </w:rPr>
        <w:t xml:space="preserve"> </w:t>
      </w:r>
    </w:p>
    <w:p w14:paraId="5DADBCE1" w14:textId="77777777" w:rsidR="0048032D" w:rsidRPr="005B7F92" w:rsidRDefault="0048032D" w:rsidP="006E7EDA">
      <w:pPr>
        <w:pStyle w:val="BodyTextMain"/>
        <w:rPr>
          <w:lang w:val="en-GB"/>
        </w:rPr>
      </w:pPr>
    </w:p>
    <w:p w14:paraId="63585FD9" w14:textId="1E39623F" w:rsidR="0048032D" w:rsidRPr="005B7F92" w:rsidRDefault="0048032D" w:rsidP="00355C01">
      <w:pPr>
        <w:pStyle w:val="BodyTextMain"/>
        <w:rPr>
          <w:lang w:val="en-GB"/>
        </w:rPr>
      </w:pPr>
      <w:r w:rsidRPr="005B7F92">
        <w:rPr>
          <w:lang w:val="en-GB"/>
        </w:rPr>
        <w:t>Some shareholders also protest</w:t>
      </w:r>
      <w:r w:rsidR="00B25DB3" w:rsidRPr="005B7F92">
        <w:rPr>
          <w:lang w:val="en-GB"/>
        </w:rPr>
        <w:t>ed</w:t>
      </w:r>
      <w:r w:rsidRPr="005B7F92">
        <w:rPr>
          <w:lang w:val="en-GB"/>
        </w:rPr>
        <w:t xml:space="preserve"> th</w:t>
      </w:r>
      <w:r w:rsidR="00B25DB3" w:rsidRPr="005B7F92">
        <w:rPr>
          <w:lang w:val="en-GB"/>
        </w:rPr>
        <w:t>e</w:t>
      </w:r>
      <w:r w:rsidRPr="005B7F92">
        <w:rPr>
          <w:lang w:val="en-GB"/>
        </w:rPr>
        <w:t xml:space="preserve"> strategic move. For instance, </w:t>
      </w:r>
      <w:r w:rsidR="00B25DB3" w:rsidRPr="005B7F92">
        <w:rPr>
          <w:lang w:val="en-GB"/>
        </w:rPr>
        <w:t xml:space="preserve">Bayer shareholder </w:t>
      </w:r>
      <w:r w:rsidRPr="005B7F92">
        <w:rPr>
          <w:lang w:val="en-GB"/>
        </w:rPr>
        <w:t>J. Gruber stated</w:t>
      </w:r>
      <w:r w:rsidR="00B25DB3" w:rsidRPr="005B7F92">
        <w:rPr>
          <w:lang w:val="en-GB"/>
        </w:rPr>
        <w:t>,</w:t>
      </w:r>
      <w:r w:rsidRPr="005B7F92">
        <w:rPr>
          <w:lang w:val="en-GB"/>
        </w:rPr>
        <w:t xml:space="preserve"> “As a financial advisor, I oppose this merger because it centralizes food and prescription drugs so intensely that </w:t>
      </w:r>
      <w:r w:rsidRPr="005B7F92">
        <w:rPr>
          <w:lang w:val="en-GB"/>
        </w:rPr>
        <w:lastRenderedPageBreak/>
        <w:t>neither Bayer nor Monsanto will be good incubators for new ideas. It will be too big of a company and is likely to stagnate. That</w:t>
      </w:r>
      <w:r w:rsidR="000701E2">
        <w:rPr>
          <w:lang w:val="en-GB"/>
        </w:rPr>
        <w:t>’</w:t>
      </w:r>
      <w:r w:rsidRPr="005B7F92">
        <w:rPr>
          <w:lang w:val="en-GB"/>
        </w:rPr>
        <w:t>s bad for my profits.”</w:t>
      </w:r>
      <w:r w:rsidRPr="005B7F92">
        <w:rPr>
          <w:rStyle w:val="EndnoteReference"/>
          <w:lang w:val="en-GB"/>
        </w:rPr>
        <w:endnoteReference w:id="57"/>
      </w:r>
      <w:r w:rsidRPr="005B7F92">
        <w:rPr>
          <w:lang w:val="en-GB"/>
        </w:rPr>
        <w:t xml:space="preserve"> Others were worried about the sustainability of the deal and the dilution of shareholder value.</w:t>
      </w:r>
      <w:r w:rsidRPr="005B7F92">
        <w:rPr>
          <w:rStyle w:val="EndnoteReference"/>
          <w:lang w:val="en-GB"/>
        </w:rPr>
        <w:endnoteReference w:id="58"/>
      </w:r>
    </w:p>
    <w:p w14:paraId="15F5CF54" w14:textId="77777777" w:rsidR="0048032D" w:rsidRPr="005B7F92" w:rsidRDefault="0048032D" w:rsidP="00B23B88">
      <w:pPr>
        <w:pStyle w:val="BodyTextMain"/>
        <w:rPr>
          <w:lang w:val="en-GB"/>
        </w:rPr>
      </w:pPr>
    </w:p>
    <w:p w14:paraId="24B6493E" w14:textId="73704675" w:rsidR="00B23B88" w:rsidRPr="00D35E9A" w:rsidRDefault="0048032D" w:rsidP="00B23B88">
      <w:pPr>
        <w:pStyle w:val="BodyTextMain"/>
        <w:rPr>
          <w:spacing w:val="-2"/>
          <w:lang w:val="en-GB"/>
        </w:rPr>
      </w:pPr>
      <w:r w:rsidRPr="00D35E9A">
        <w:rPr>
          <w:spacing w:val="-2"/>
          <w:lang w:val="en-GB"/>
        </w:rPr>
        <w:t>As th</w:t>
      </w:r>
      <w:r w:rsidR="00B25DB3" w:rsidRPr="00D35E9A">
        <w:rPr>
          <w:spacing w:val="-2"/>
          <w:lang w:val="en-GB"/>
        </w:rPr>
        <w:t>e</w:t>
      </w:r>
      <w:r w:rsidRPr="00D35E9A">
        <w:rPr>
          <w:spacing w:val="-2"/>
          <w:lang w:val="en-GB"/>
        </w:rPr>
        <w:t xml:space="preserve"> agreement could also weaken </w:t>
      </w:r>
      <w:r w:rsidR="00B25DB3" w:rsidRPr="00D35E9A">
        <w:rPr>
          <w:spacing w:val="-2"/>
          <w:lang w:val="en-GB"/>
        </w:rPr>
        <w:t xml:space="preserve">the </w:t>
      </w:r>
      <w:r w:rsidRPr="00D35E9A">
        <w:rPr>
          <w:spacing w:val="-2"/>
          <w:lang w:val="en-GB"/>
        </w:rPr>
        <w:t xml:space="preserve">internal corporate image, Bayer’s employees, especially </w:t>
      </w:r>
      <w:r w:rsidR="00B25DB3" w:rsidRPr="00D35E9A">
        <w:rPr>
          <w:spacing w:val="-2"/>
          <w:lang w:val="en-GB"/>
        </w:rPr>
        <w:t xml:space="preserve">those </w:t>
      </w:r>
      <w:r w:rsidRPr="00D35E9A">
        <w:rPr>
          <w:spacing w:val="-2"/>
          <w:lang w:val="en-GB"/>
        </w:rPr>
        <w:t>at home in Europe</w:t>
      </w:r>
      <w:r w:rsidR="00B25DB3" w:rsidRPr="00D35E9A">
        <w:rPr>
          <w:spacing w:val="-2"/>
          <w:lang w:val="en-GB"/>
        </w:rPr>
        <w:t>,</w:t>
      </w:r>
      <w:r w:rsidRPr="00D35E9A">
        <w:rPr>
          <w:spacing w:val="-2"/>
          <w:lang w:val="en-GB"/>
        </w:rPr>
        <w:t xml:space="preserve"> might be unwilling to work with one of the most hated companies in the world.</w:t>
      </w:r>
      <w:r w:rsidRPr="00D35E9A">
        <w:rPr>
          <w:rStyle w:val="EndnoteReference"/>
          <w:spacing w:val="-2"/>
          <w:lang w:val="en-GB"/>
        </w:rPr>
        <w:endnoteReference w:id="59"/>
      </w:r>
      <w:r w:rsidRPr="00D35E9A">
        <w:rPr>
          <w:spacing w:val="-2"/>
          <w:lang w:val="en-GB"/>
        </w:rPr>
        <w:t xml:space="preserve"> </w:t>
      </w:r>
      <w:r w:rsidR="00B23B88" w:rsidRPr="00D35E9A">
        <w:rPr>
          <w:spacing w:val="-2"/>
          <w:lang w:val="en-GB"/>
        </w:rPr>
        <w:t xml:space="preserve">On top of this hurdle, the German employees might find it difficult and uncomfortable to work with a company with </w:t>
      </w:r>
      <w:r w:rsidR="00B25DB3" w:rsidRPr="00D35E9A">
        <w:rPr>
          <w:spacing w:val="-2"/>
          <w:lang w:val="en-GB"/>
        </w:rPr>
        <w:t>a</w:t>
      </w:r>
      <w:r w:rsidR="00B23B88" w:rsidRPr="00D35E9A">
        <w:rPr>
          <w:spacing w:val="-2"/>
          <w:lang w:val="en-GB"/>
        </w:rPr>
        <w:t xml:space="preserve"> culture, practice, and vision</w:t>
      </w:r>
      <w:r w:rsidR="00B25DB3" w:rsidRPr="00D35E9A">
        <w:rPr>
          <w:spacing w:val="-2"/>
          <w:lang w:val="en-GB"/>
        </w:rPr>
        <w:t xml:space="preserve"> so different from their own</w:t>
      </w:r>
      <w:r w:rsidR="00B23B88" w:rsidRPr="00D35E9A">
        <w:rPr>
          <w:spacing w:val="-2"/>
          <w:lang w:val="en-GB"/>
        </w:rPr>
        <w:t xml:space="preserve">. Further, mergers and acquisitions were often seen as a threat </w:t>
      </w:r>
      <w:r w:rsidR="00B25DB3" w:rsidRPr="00D35E9A">
        <w:rPr>
          <w:spacing w:val="-2"/>
          <w:lang w:val="en-GB"/>
        </w:rPr>
        <w:t>to</w:t>
      </w:r>
      <w:r w:rsidR="00B23B88" w:rsidRPr="00D35E9A">
        <w:rPr>
          <w:spacing w:val="-2"/>
          <w:lang w:val="en-GB"/>
        </w:rPr>
        <w:t xml:space="preserve"> employees’ job security</w:t>
      </w:r>
      <w:r w:rsidR="00B25DB3" w:rsidRPr="00D35E9A">
        <w:rPr>
          <w:spacing w:val="-2"/>
          <w:lang w:val="en-GB"/>
        </w:rPr>
        <w:t>,</w:t>
      </w:r>
      <w:r w:rsidR="00B23B88" w:rsidRPr="00D35E9A">
        <w:rPr>
          <w:spacing w:val="-2"/>
          <w:lang w:val="en-GB"/>
        </w:rPr>
        <w:t xml:space="preserve"> </w:t>
      </w:r>
      <w:r w:rsidR="000701E2" w:rsidRPr="00D35E9A">
        <w:rPr>
          <w:spacing w:val="-2"/>
          <w:lang w:val="en-GB"/>
        </w:rPr>
        <w:t xml:space="preserve">so </w:t>
      </w:r>
      <w:r w:rsidR="00B23B88" w:rsidRPr="00D35E9A">
        <w:rPr>
          <w:spacing w:val="-2"/>
          <w:lang w:val="en-GB"/>
        </w:rPr>
        <w:t>Bayer might not receive sufficient co</w:t>
      </w:r>
      <w:r w:rsidR="00B25DB3" w:rsidRPr="00D35E9A">
        <w:rPr>
          <w:spacing w:val="-2"/>
          <w:lang w:val="en-GB"/>
        </w:rPr>
        <w:t>-</w:t>
      </w:r>
      <w:r w:rsidR="00B23B88" w:rsidRPr="00D35E9A">
        <w:rPr>
          <w:spacing w:val="-2"/>
          <w:lang w:val="en-GB"/>
        </w:rPr>
        <w:t>operation f</w:t>
      </w:r>
      <w:r w:rsidR="00B25DB3" w:rsidRPr="00D35E9A">
        <w:rPr>
          <w:spacing w:val="-2"/>
          <w:lang w:val="en-GB"/>
        </w:rPr>
        <w:t>rom</w:t>
      </w:r>
      <w:r w:rsidR="00B23B88" w:rsidRPr="00D35E9A">
        <w:rPr>
          <w:spacing w:val="-2"/>
          <w:lang w:val="en-GB"/>
        </w:rPr>
        <w:t xml:space="preserve"> its employees. </w:t>
      </w:r>
    </w:p>
    <w:p w14:paraId="5E9E65E0" w14:textId="77777777" w:rsidR="006E7EDA" w:rsidRPr="005B7F92" w:rsidRDefault="006E7EDA" w:rsidP="006E7EDA">
      <w:pPr>
        <w:pStyle w:val="BodyTextMain"/>
        <w:rPr>
          <w:lang w:val="en-GB"/>
        </w:rPr>
      </w:pPr>
    </w:p>
    <w:p w14:paraId="7DB71FF5" w14:textId="77777777" w:rsidR="006E7EDA" w:rsidRPr="005B7F92" w:rsidRDefault="006E7EDA" w:rsidP="006E7EDA">
      <w:pPr>
        <w:pStyle w:val="BodyTextMain"/>
        <w:rPr>
          <w:lang w:val="en-GB"/>
        </w:rPr>
      </w:pPr>
    </w:p>
    <w:p w14:paraId="6CBCCEB4" w14:textId="7083CD5D" w:rsidR="006E7EDA" w:rsidRPr="005B7F92" w:rsidRDefault="00CB2D42" w:rsidP="006E7EDA">
      <w:pPr>
        <w:pStyle w:val="BodyTextMain"/>
        <w:rPr>
          <w:rFonts w:ascii="Arial" w:hAnsi="Arial" w:cs="Arial"/>
          <w:b/>
          <w:sz w:val="20"/>
          <w:szCs w:val="20"/>
          <w:lang w:val="en-GB"/>
        </w:rPr>
      </w:pPr>
      <w:r w:rsidRPr="005B7F92">
        <w:rPr>
          <w:rFonts w:ascii="Arial" w:hAnsi="Arial" w:cs="Arial"/>
          <w:b/>
          <w:sz w:val="20"/>
          <w:szCs w:val="20"/>
          <w:lang w:val="en-GB"/>
        </w:rPr>
        <w:t>THE BEGINNING OF A LONG JOURNEY</w:t>
      </w:r>
    </w:p>
    <w:p w14:paraId="2B213765" w14:textId="77777777" w:rsidR="007F1AE3" w:rsidRPr="005B7F92" w:rsidRDefault="007F1AE3" w:rsidP="006E7EDA">
      <w:pPr>
        <w:pStyle w:val="BodyTextMain"/>
        <w:rPr>
          <w:lang w:val="en-GB"/>
        </w:rPr>
      </w:pPr>
    </w:p>
    <w:p w14:paraId="01DF5940" w14:textId="51E1B1F4" w:rsidR="006E7EDA" w:rsidRPr="002E5CD8" w:rsidRDefault="00492197" w:rsidP="00E8070D">
      <w:pPr>
        <w:pStyle w:val="BodyTextMain"/>
        <w:rPr>
          <w:spacing w:val="-2"/>
          <w:lang w:val="en-GB"/>
        </w:rPr>
      </w:pPr>
      <w:r w:rsidRPr="002E5CD8">
        <w:rPr>
          <w:spacing w:val="-2"/>
          <w:lang w:val="en-GB"/>
        </w:rPr>
        <w:t>The merger agreement o</w:t>
      </w:r>
      <w:r w:rsidR="002154A2" w:rsidRPr="002E5CD8">
        <w:rPr>
          <w:spacing w:val="-2"/>
          <w:lang w:val="en-GB"/>
        </w:rPr>
        <w:t>f</w:t>
      </w:r>
      <w:r w:rsidRPr="002E5CD8">
        <w:rPr>
          <w:spacing w:val="-2"/>
          <w:lang w:val="en-GB"/>
        </w:rPr>
        <w:t xml:space="preserve"> September 14, 2016 was just the beginning of a long journey for Bayer</w:t>
      </w:r>
      <w:r w:rsidR="002154A2" w:rsidRPr="002E5CD8">
        <w:rPr>
          <w:spacing w:val="-2"/>
          <w:lang w:val="en-GB"/>
        </w:rPr>
        <w:t>;</w:t>
      </w:r>
      <w:r w:rsidRPr="002E5CD8">
        <w:rPr>
          <w:spacing w:val="-2"/>
          <w:lang w:val="en-GB"/>
        </w:rPr>
        <w:t xml:space="preserve"> </w:t>
      </w:r>
      <w:r w:rsidR="002154A2" w:rsidRPr="002E5CD8">
        <w:rPr>
          <w:spacing w:val="-2"/>
          <w:lang w:val="en-GB"/>
        </w:rPr>
        <w:t>t</w:t>
      </w:r>
      <w:r w:rsidR="00BA0043" w:rsidRPr="002E5CD8">
        <w:rPr>
          <w:spacing w:val="-2"/>
          <w:lang w:val="en-GB"/>
        </w:rPr>
        <w:t>he company still had to secure regulatory approval from several countries, which w</w:t>
      </w:r>
      <w:r w:rsidR="002154A2" w:rsidRPr="002E5CD8">
        <w:rPr>
          <w:spacing w:val="-2"/>
          <w:lang w:val="en-GB"/>
        </w:rPr>
        <w:t>as</w:t>
      </w:r>
      <w:r w:rsidR="00BA0043" w:rsidRPr="002E5CD8">
        <w:rPr>
          <w:spacing w:val="-2"/>
          <w:lang w:val="en-GB"/>
        </w:rPr>
        <w:t xml:space="preserve"> not </w:t>
      </w:r>
      <w:r w:rsidR="002154A2" w:rsidRPr="002E5CD8">
        <w:rPr>
          <w:spacing w:val="-2"/>
          <w:lang w:val="en-GB"/>
        </w:rPr>
        <w:t>likely in light of</w:t>
      </w:r>
      <w:r w:rsidR="00BA0043" w:rsidRPr="002E5CD8">
        <w:rPr>
          <w:spacing w:val="-2"/>
          <w:lang w:val="en-GB"/>
        </w:rPr>
        <w:t xml:space="preserve"> antitrust issues.</w:t>
      </w:r>
      <w:r w:rsidR="00927709" w:rsidRPr="002E5CD8">
        <w:rPr>
          <w:spacing w:val="-2"/>
          <w:lang w:val="en-GB"/>
        </w:rPr>
        <w:t xml:space="preserve"> </w:t>
      </w:r>
      <w:r w:rsidR="007206AD" w:rsidRPr="002E5CD8">
        <w:rPr>
          <w:spacing w:val="-2"/>
          <w:lang w:val="en-GB"/>
        </w:rPr>
        <w:t>With</w:t>
      </w:r>
      <w:r w:rsidR="00927709" w:rsidRPr="002E5CD8">
        <w:rPr>
          <w:spacing w:val="-2"/>
          <w:lang w:val="en-GB"/>
        </w:rPr>
        <w:t xml:space="preserve"> the high acquisition premium and the divestment pressure</w:t>
      </w:r>
      <w:r w:rsidR="002154A2" w:rsidRPr="002E5CD8">
        <w:rPr>
          <w:spacing w:val="-2"/>
          <w:lang w:val="en-GB"/>
        </w:rPr>
        <w:t>,</w:t>
      </w:r>
      <w:r w:rsidR="00927709" w:rsidRPr="002E5CD8">
        <w:rPr>
          <w:spacing w:val="-2"/>
          <w:lang w:val="en-GB"/>
        </w:rPr>
        <w:t xml:space="preserve"> </w:t>
      </w:r>
      <w:r w:rsidR="002154A2" w:rsidRPr="002E5CD8">
        <w:rPr>
          <w:spacing w:val="-2"/>
          <w:lang w:val="en-GB"/>
        </w:rPr>
        <w:t>in addition to</w:t>
      </w:r>
      <w:r w:rsidR="00927709" w:rsidRPr="002E5CD8">
        <w:rPr>
          <w:spacing w:val="-2"/>
          <w:lang w:val="en-GB"/>
        </w:rPr>
        <w:t xml:space="preserve"> antitrust concerns, would </w:t>
      </w:r>
      <w:r w:rsidRPr="002E5CD8">
        <w:rPr>
          <w:spacing w:val="-2"/>
          <w:lang w:val="en-GB"/>
        </w:rPr>
        <w:t xml:space="preserve">the deal </w:t>
      </w:r>
      <w:r w:rsidR="00927709" w:rsidRPr="002E5CD8">
        <w:rPr>
          <w:spacing w:val="-2"/>
          <w:lang w:val="en-GB"/>
        </w:rPr>
        <w:t>create sufficient synergies that actual</w:t>
      </w:r>
      <w:r w:rsidRPr="002E5CD8">
        <w:rPr>
          <w:spacing w:val="-2"/>
          <w:lang w:val="en-GB"/>
        </w:rPr>
        <w:t>ly increased shareholder value?</w:t>
      </w:r>
      <w:r w:rsidR="00E92667" w:rsidRPr="002E5CD8">
        <w:rPr>
          <w:spacing w:val="-2"/>
          <w:lang w:val="en-GB"/>
        </w:rPr>
        <w:t xml:space="preserve"> Given</w:t>
      </w:r>
      <w:r w:rsidR="000814C4" w:rsidRPr="002E5CD8">
        <w:rPr>
          <w:spacing w:val="-2"/>
          <w:lang w:val="en-GB"/>
        </w:rPr>
        <w:t xml:space="preserve"> Monsanto’s </w:t>
      </w:r>
      <w:r w:rsidR="00F604C6" w:rsidRPr="002E5CD8">
        <w:rPr>
          <w:spacing w:val="-2"/>
          <w:lang w:val="en-GB"/>
        </w:rPr>
        <w:t>negative</w:t>
      </w:r>
      <w:r w:rsidR="000814C4" w:rsidRPr="002E5CD8">
        <w:rPr>
          <w:spacing w:val="-2"/>
          <w:lang w:val="en-GB"/>
        </w:rPr>
        <w:t xml:space="preserve"> brand image, </w:t>
      </w:r>
      <w:r w:rsidR="007206AD" w:rsidRPr="002E5CD8">
        <w:rPr>
          <w:spacing w:val="-2"/>
          <w:lang w:val="en-GB"/>
        </w:rPr>
        <w:t>Bayer</w:t>
      </w:r>
      <w:r w:rsidR="00E92667" w:rsidRPr="002E5CD8">
        <w:rPr>
          <w:spacing w:val="-2"/>
          <w:lang w:val="en-GB"/>
        </w:rPr>
        <w:t xml:space="preserve"> also</w:t>
      </w:r>
      <w:r w:rsidR="000814C4" w:rsidRPr="002E5CD8">
        <w:rPr>
          <w:spacing w:val="-2"/>
          <w:lang w:val="en-GB"/>
        </w:rPr>
        <w:t xml:space="preserve"> </w:t>
      </w:r>
      <w:r w:rsidR="007206AD" w:rsidRPr="002E5CD8">
        <w:rPr>
          <w:spacing w:val="-2"/>
          <w:lang w:val="en-GB"/>
        </w:rPr>
        <w:t>had</w:t>
      </w:r>
      <w:r w:rsidR="000814C4" w:rsidRPr="002E5CD8">
        <w:rPr>
          <w:spacing w:val="-2"/>
          <w:lang w:val="en-GB"/>
        </w:rPr>
        <w:t xml:space="preserve"> to </w:t>
      </w:r>
      <w:r w:rsidR="006D26F2">
        <w:rPr>
          <w:spacing w:val="-2"/>
          <w:lang w:val="en-GB"/>
        </w:rPr>
        <w:t>reassure</w:t>
      </w:r>
      <w:r w:rsidR="000814C4" w:rsidRPr="002E5CD8">
        <w:rPr>
          <w:spacing w:val="-2"/>
          <w:lang w:val="en-GB"/>
        </w:rPr>
        <w:t xml:space="preserve"> </w:t>
      </w:r>
      <w:r w:rsidR="006E7EDA" w:rsidRPr="002E5CD8">
        <w:rPr>
          <w:spacing w:val="-2"/>
          <w:lang w:val="en-GB"/>
        </w:rPr>
        <w:t>its shareholders, employees</w:t>
      </w:r>
      <w:r w:rsidR="000814C4" w:rsidRPr="002E5CD8">
        <w:rPr>
          <w:spacing w:val="-2"/>
          <w:lang w:val="en-GB"/>
        </w:rPr>
        <w:t>,</w:t>
      </w:r>
      <w:r w:rsidR="006E7EDA" w:rsidRPr="002E5CD8">
        <w:rPr>
          <w:spacing w:val="-2"/>
          <w:lang w:val="en-GB"/>
        </w:rPr>
        <w:t xml:space="preserve"> and customers</w:t>
      </w:r>
      <w:r w:rsidR="006D26F2">
        <w:rPr>
          <w:spacing w:val="-2"/>
          <w:lang w:val="en-GB"/>
        </w:rPr>
        <w:t xml:space="preserve"> </w:t>
      </w:r>
      <w:r w:rsidR="000814C4" w:rsidRPr="002E5CD8">
        <w:rPr>
          <w:spacing w:val="-2"/>
          <w:lang w:val="en-GB"/>
        </w:rPr>
        <w:t>that this strategic decision was</w:t>
      </w:r>
      <w:r w:rsidR="00C71F71" w:rsidRPr="002E5CD8">
        <w:rPr>
          <w:spacing w:val="-2"/>
          <w:lang w:val="en-GB"/>
        </w:rPr>
        <w:t xml:space="preserve"> a </w:t>
      </w:r>
      <w:r w:rsidR="007206AD" w:rsidRPr="002E5CD8">
        <w:rPr>
          <w:spacing w:val="-2"/>
          <w:lang w:val="en-GB"/>
        </w:rPr>
        <w:t>good</w:t>
      </w:r>
      <w:r w:rsidR="00C71F71" w:rsidRPr="002E5CD8">
        <w:rPr>
          <w:spacing w:val="-2"/>
          <w:lang w:val="en-GB"/>
        </w:rPr>
        <w:t xml:space="preserve"> choice </w:t>
      </w:r>
      <w:r w:rsidR="007206AD" w:rsidRPr="002E5CD8">
        <w:rPr>
          <w:spacing w:val="-2"/>
          <w:lang w:val="en-GB"/>
        </w:rPr>
        <w:t xml:space="preserve">and </w:t>
      </w:r>
      <w:r w:rsidR="00F604C6" w:rsidRPr="002E5CD8">
        <w:rPr>
          <w:spacing w:val="-2"/>
          <w:lang w:val="en-GB"/>
        </w:rPr>
        <w:t xml:space="preserve">was </w:t>
      </w:r>
      <w:r w:rsidR="007206AD" w:rsidRPr="002E5CD8">
        <w:rPr>
          <w:spacing w:val="-2"/>
          <w:lang w:val="en-GB"/>
        </w:rPr>
        <w:t xml:space="preserve">relevant </w:t>
      </w:r>
      <w:r w:rsidR="00C71F71" w:rsidRPr="002E5CD8">
        <w:rPr>
          <w:spacing w:val="-2"/>
          <w:lang w:val="en-GB"/>
        </w:rPr>
        <w:t>for them</w:t>
      </w:r>
      <w:r w:rsidR="006E7EDA" w:rsidRPr="002E5CD8">
        <w:rPr>
          <w:spacing w:val="-2"/>
          <w:lang w:val="en-GB"/>
        </w:rPr>
        <w:t xml:space="preserve">. </w:t>
      </w:r>
      <w:r w:rsidR="00CB2D42" w:rsidRPr="002E5CD8">
        <w:rPr>
          <w:spacing w:val="-2"/>
          <w:lang w:val="en-GB"/>
        </w:rPr>
        <w:t>Baumann</w:t>
      </w:r>
      <w:r w:rsidR="007206AD" w:rsidRPr="002E5CD8">
        <w:rPr>
          <w:spacing w:val="-2"/>
          <w:lang w:val="en-GB"/>
        </w:rPr>
        <w:t xml:space="preserve"> had</w:t>
      </w:r>
      <w:r w:rsidR="00CB2D42" w:rsidRPr="002E5CD8">
        <w:rPr>
          <w:spacing w:val="-2"/>
          <w:lang w:val="en-GB"/>
        </w:rPr>
        <w:t xml:space="preserve"> clearly stated that pharmaceuticals and agrochemicals would become </w:t>
      </w:r>
      <w:r w:rsidR="000701E2">
        <w:rPr>
          <w:spacing w:val="-2"/>
          <w:lang w:val="en-GB"/>
        </w:rPr>
        <w:t>Bayer’s</w:t>
      </w:r>
      <w:r w:rsidR="00CB2D42" w:rsidRPr="002E5CD8">
        <w:rPr>
          <w:spacing w:val="-2"/>
          <w:lang w:val="en-GB"/>
        </w:rPr>
        <w:t xml:space="preserve"> two main businesse</w:t>
      </w:r>
      <w:r w:rsidR="000701E2">
        <w:rPr>
          <w:spacing w:val="-2"/>
          <w:lang w:val="en-GB"/>
        </w:rPr>
        <w:t>s</w:t>
      </w:r>
      <w:r w:rsidR="00F604C6" w:rsidRPr="002E5CD8">
        <w:rPr>
          <w:spacing w:val="-2"/>
          <w:lang w:val="en-GB"/>
        </w:rPr>
        <w:t>,</w:t>
      </w:r>
      <w:r w:rsidR="00CB2D42" w:rsidRPr="002E5CD8">
        <w:rPr>
          <w:spacing w:val="-2"/>
          <w:lang w:val="en-GB"/>
        </w:rPr>
        <w:t xml:space="preserve"> </w:t>
      </w:r>
      <w:r w:rsidR="00F604C6" w:rsidRPr="002E5CD8">
        <w:rPr>
          <w:spacing w:val="-2"/>
          <w:lang w:val="en-GB"/>
        </w:rPr>
        <w:t>and</w:t>
      </w:r>
      <w:r w:rsidR="00695E76" w:rsidRPr="002E5CD8">
        <w:rPr>
          <w:spacing w:val="-2"/>
          <w:lang w:val="en-GB"/>
        </w:rPr>
        <w:t xml:space="preserve"> that they</w:t>
      </w:r>
      <w:r w:rsidR="00F604C6" w:rsidRPr="002E5CD8">
        <w:rPr>
          <w:spacing w:val="-2"/>
          <w:lang w:val="en-GB"/>
        </w:rPr>
        <w:t xml:space="preserve"> would</w:t>
      </w:r>
      <w:r w:rsidR="00CB2D42" w:rsidRPr="002E5CD8">
        <w:rPr>
          <w:spacing w:val="-2"/>
          <w:lang w:val="en-GB"/>
        </w:rPr>
        <w:t xml:space="preserve"> produce inte</w:t>
      </w:r>
      <w:r w:rsidR="006D26F2">
        <w:rPr>
          <w:spacing w:val="-2"/>
          <w:lang w:val="en-GB"/>
        </w:rPr>
        <w:t xml:space="preserve">grated solutions </w:t>
      </w:r>
      <w:r w:rsidR="00CB2D42" w:rsidRPr="002E5CD8">
        <w:rPr>
          <w:spacing w:val="-2"/>
          <w:lang w:val="en-GB"/>
        </w:rPr>
        <w:t>enabl</w:t>
      </w:r>
      <w:r w:rsidR="00F604C6" w:rsidRPr="002E5CD8">
        <w:rPr>
          <w:spacing w:val="-2"/>
          <w:lang w:val="en-GB"/>
        </w:rPr>
        <w:t>ing</w:t>
      </w:r>
      <w:r w:rsidR="00CB2D42" w:rsidRPr="002E5CD8">
        <w:rPr>
          <w:spacing w:val="-2"/>
          <w:lang w:val="en-GB"/>
        </w:rPr>
        <w:t xml:space="preserve"> both businesses </w:t>
      </w:r>
      <w:r w:rsidR="00695E76" w:rsidRPr="002E5CD8">
        <w:rPr>
          <w:spacing w:val="-2"/>
          <w:lang w:val="en-GB"/>
        </w:rPr>
        <w:t>to face the competitive markets.</w:t>
      </w:r>
      <w:r w:rsidR="00CB2D42" w:rsidRPr="002E5CD8">
        <w:rPr>
          <w:spacing w:val="-2"/>
          <w:lang w:val="en-GB"/>
        </w:rPr>
        <w:t xml:space="preserve"> </w:t>
      </w:r>
      <w:r w:rsidR="00695E76" w:rsidRPr="002E5CD8">
        <w:rPr>
          <w:spacing w:val="-2"/>
          <w:lang w:val="en-GB"/>
        </w:rPr>
        <w:t>However,</w:t>
      </w:r>
      <w:r w:rsidR="007206AD" w:rsidRPr="002E5CD8">
        <w:rPr>
          <w:spacing w:val="-2"/>
          <w:lang w:val="en-GB"/>
        </w:rPr>
        <w:t xml:space="preserve"> </w:t>
      </w:r>
      <w:r w:rsidR="00CB2D42" w:rsidRPr="002E5CD8">
        <w:rPr>
          <w:spacing w:val="-2"/>
          <w:lang w:val="en-GB"/>
        </w:rPr>
        <w:t>was this bold strategic move the right decision for Bayer to ensure “a better life” for its customers?</w:t>
      </w:r>
      <w:r w:rsidR="00496253" w:rsidRPr="002E5CD8">
        <w:rPr>
          <w:spacing w:val="-2"/>
          <w:lang w:val="en-GB"/>
        </w:rPr>
        <w:t xml:space="preserve"> Bayer would have to weigh</w:t>
      </w:r>
      <w:r w:rsidR="000701E2">
        <w:rPr>
          <w:spacing w:val="-2"/>
          <w:lang w:val="en-GB"/>
        </w:rPr>
        <w:t xml:space="preserve"> </w:t>
      </w:r>
      <w:r w:rsidR="00496253" w:rsidRPr="002E5CD8">
        <w:rPr>
          <w:spacing w:val="-2"/>
          <w:lang w:val="en-GB"/>
        </w:rPr>
        <w:t>whether these complications and further concessions required by the government authorities still made the deal worthwhile.</w:t>
      </w:r>
    </w:p>
    <w:p w14:paraId="227FE2E0" w14:textId="7C48ED11" w:rsidR="003430F6" w:rsidRPr="005B7F92" w:rsidRDefault="003430F6">
      <w:pPr>
        <w:spacing w:after="200" w:line="276" w:lineRule="auto"/>
        <w:rPr>
          <w:sz w:val="22"/>
          <w:szCs w:val="22"/>
          <w:lang w:val="en-GB"/>
        </w:rPr>
      </w:pPr>
      <w:r w:rsidRPr="005B7F92">
        <w:rPr>
          <w:lang w:val="en-GB"/>
        </w:rPr>
        <w:br w:type="page"/>
      </w:r>
    </w:p>
    <w:p w14:paraId="0B5AB7E0" w14:textId="2F2F443C" w:rsidR="00D97562" w:rsidRPr="005B7F92" w:rsidRDefault="00D97562" w:rsidP="003430F6">
      <w:pPr>
        <w:pStyle w:val="NoSpacing"/>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lastRenderedPageBreak/>
        <w:t xml:space="preserve">EXHIBIT </w:t>
      </w:r>
      <w:r w:rsidR="001F4B2F" w:rsidRPr="005B7F92">
        <w:rPr>
          <w:rFonts w:ascii="Arial" w:eastAsia="Times New Roman" w:hAnsi="Arial" w:cs="Arial"/>
          <w:b/>
          <w:color w:val="1C1C1C"/>
          <w:sz w:val="20"/>
          <w:szCs w:val="20"/>
          <w:lang w:val="en-GB" w:eastAsia="zh-CN" w:bidi="ar-SA"/>
        </w:rPr>
        <w:t>1</w:t>
      </w:r>
      <w:r w:rsidRPr="005B7F92">
        <w:rPr>
          <w:rFonts w:ascii="Arial" w:eastAsia="Times New Roman" w:hAnsi="Arial" w:cs="Arial"/>
          <w:b/>
          <w:color w:val="1C1C1C"/>
          <w:sz w:val="20"/>
          <w:szCs w:val="20"/>
          <w:lang w:val="en-GB" w:eastAsia="zh-CN" w:bidi="ar-SA"/>
        </w:rPr>
        <w:t>A: GLOBAL PHARMACEUTICAL MARKET SALES</w:t>
      </w:r>
      <w:r w:rsidR="00B355C1" w:rsidRPr="005B7F92">
        <w:rPr>
          <w:lang w:val="en-GB"/>
        </w:rPr>
        <w:t xml:space="preserve"> </w:t>
      </w:r>
      <w:r w:rsidR="00B355C1" w:rsidRPr="005B7F92">
        <w:rPr>
          <w:rStyle w:val="ExhibitHeadingChar"/>
          <w:rFonts w:eastAsiaTheme="minorHAnsi"/>
          <w:lang w:val="en-GB"/>
        </w:rPr>
        <w:t>(</w:t>
      </w:r>
      <w:r w:rsidR="00F604C6" w:rsidRPr="005B7F92">
        <w:rPr>
          <w:rStyle w:val="ExhibitHeadingChar"/>
          <w:rFonts w:eastAsiaTheme="minorHAnsi"/>
          <w:lang w:val="en-GB"/>
        </w:rPr>
        <w:t xml:space="preserve">in </w:t>
      </w:r>
      <w:r w:rsidR="00B355C1" w:rsidRPr="005B7F92">
        <w:rPr>
          <w:rFonts w:ascii="Arial" w:eastAsia="Times New Roman" w:hAnsi="Arial" w:cs="Arial"/>
          <w:b/>
          <w:color w:val="1C1C1C"/>
          <w:sz w:val="20"/>
          <w:szCs w:val="20"/>
          <w:lang w:val="en-GB" w:eastAsia="zh-CN" w:bidi="ar-SA"/>
        </w:rPr>
        <w:t>B</w:t>
      </w:r>
      <w:r w:rsidR="00051209" w:rsidRPr="005B7F92">
        <w:rPr>
          <w:rFonts w:ascii="Arial" w:eastAsia="Times New Roman" w:hAnsi="Arial" w:cs="Arial"/>
          <w:b/>
          <w:color w:val="1C1C1C"/>
          <w:sz w:val="20"/>
          <w:szCs w:val="20"/>
          <w:lang w:val="en-GB" w:eastAsia="zh-CN" w:bidi="ar-SA"/>
        </w:rPr>
        <w:t>ILLION</w:t>
      </w:r>
      <w:r w:rsidR="00B355C1" w:rsidRPr="005B7F92">
        <w:rPr>
          <w:rFonts w:ascii="Arial" w:eastAsia="Times New Roman" w:hAnsi="Arial" w:cs="Arial"/>
          <w:b/>
          <w:color w:val="1C1C1C"/>
          <w:sz w:val="20"/>
          <w:szCs w:val="20"/>
          <w:lang w:val="en-GB" w:eastAsia="zh-CN" w:bidi="ar-SA"/>
        </w:rPr>
        <w:t xml:space="preserve"> </w:t>
      </w:r>
      <w:r w:rsidR="00F604C6" w:rsidRPr="005B7F92">
        <w:rPr>
          <w:rFonts w:ascii="Arial" w:eastAsia="Times New Roman" w:hAnsi="Arial" w:cs="Arial"/>
          <w:b/>
          <w:color w:val="1C1C1C"/>
          <w:sz w:val="20"/>
          <w:szCs w:val="20"/>
          <w:lang w:val="en-GB" w:eastAsia="zh-CN" w:bidi="ar-SA"/>
        </w:rPr>
        <w:t>US</w:t>
      </w:r>
      <w:r w:rsidR="00B355C1"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w:t>
      </w:r>
    </w:p>
    <w:p w14:paraId="6A5275E3" w14:textId="0446A325" w:rsidR="004A2721" w:rsidRPr="005B7F92" w:rsidRDefault="004A2721" w:rsidP="00D97562">
      <w:pPr>
        <w:pStyle w:val="BodyTextMain"/>
        <w:rPr>
          <w:lang w:val="en-GB" w:eastAsia="zh-CN"/>
        </w:rPr>
      </w:pPr>
    </w:p>
    <w:tbl>
      <w:tblPr>
        <w:tblW w:w="71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0"/>
        <w:gridCol w:w="1701"/>
        <w:gridCol w:w="3402"/>
      </w:tblGrid>
      <w:tr w:rsidR="00B355C1" w:rsidRPr="005B7F92" w14:paraId="7C345791" w14:textId="77777777" w:rsidTr="00695E76">
        <w:trPr>
          <w:trHeight w:val="300"/>
          <w:jc w:val="center"/>
        </w:trPr>
        <w:tc>
          <w:tcPr>
            <w:tcW w:w="2000" w:type="dxa"/>
            <w:shd w:val="clear" w:color="auto" w:fill="auto"/>
            <w:noWrap/>
            <w:vAlign w:val="bottom"/>
            <w:hideMark/>
          </w:tcPr>
          <w:p w14:paraId="788170D5" w14:textId="77777777" w:rsidR="004A2721" w:rsidRPr="005B7F92" w:rsidRDefault="004A2721" w:rsidP="004A2721">
            <w:pP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 xml:space="preserve">　</w:t>
            </w:r>
          </w:p>
        </w:tc>
        <w:tc>
          <w:tcPr>
            <w:tcW w:w="1701" w:type="dxa"/>
            <w:shd w:val="clear" w:color="auto" w:fill="auto"/>
            <w:noWrap/>
            <w:vAlign w:val="center"/>
            <w:hideMark/>
          </w:tcPr>
          <w:p w14:paraId="18D2A6C0" w14:textId="77777777" w:rsidR="004A2721" w:rsidRPr="005B7F92" w:rsidRDefault="004A2721" w:rsidP="00695E76">
            <w:pPr>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Sales in 2011</w:t>
            </w:r>
          </w:p>
        </w:tc>
        <w:tc>
          <w:tcPr>
            <w:tcW w:w="3402" w:type="dxa"/>
            <w:shd w:val="clear" w:color="auto" w:fill="auto"/>
            <w:noWrap/>
            <w:vAlign w:val="center"/>
            <w:hideMark/>
          </w:tcPr>
          <w:p w14:paraId="6453C188" w14:textId="77777777" w:rsidR="004A2721" w:rsidRPr="005B7F92" w:rsidRDefault="004A2721" w:rsidP="00695E76">
            <w:pPr>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Forecast Sales in 2020</w:t>
            </w:r>
          </w:p>
        </w:tc>
      </w:tr>
      <w:tr w:rsidR="00B355C1" w:rsidRPr="005B7F92" w14:paraId="58936A92" w14:textId="77777777" w:rsidTr="00695E76">
        <w:trPr>
          <w:trHeight w:val="300"/>
          <w:jc w:val="center"/>
        </w:trPr>
        <w:tc>
          <w:tcPr>
            <w:tcW w:w="2000" w:type="dxa"/>
            <w:shd w:val="clear" w:color="auto" w:fill="auto"/>
            <w:noWrap/>
            <w:vAlign w:val="bottom"/>
            <w:hideMark/>
          </w:tcPr>
          <w:p w14:paraId="7F105BB8" w14:textId="122F5B97" w:rsidR="004A2721" w:rsidRPr="005B7F92" w:rsidRDefault="004A2721" w:rsidP="004A2721">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U</w:t>
            </w:r>
            <w:r w:rsidR="003430F6" w:rsidRPr="005B7F92">
              <w:rPr>
                <w:rFonts w:ascii="Arial" w:eastAsia="SimSun" w:hAnsi="Arial" w:cs="Arial"/>
                <w:color w:val="000000"/>
                <w:kern w:val="0"/>
                <w:lang w:val="en-GB" w:eastAsia="zh-CN"/>
              </w:rPr>
              <w:t xml:space="preserve">nited </w:t>
            </w:r>
            <w:r w:rsidRPr="005B7F92">
              <w:rPr>
                <w:rFonts w:ascii="Arial" w:eastAsia="SimSun" w:hAnsi="Arial" w:cs="Arial"/>
                <w:color w:val="000000"/>
                <w:kern w:val="0"/>
                <w:lang w:val="en-GB" w:eastAsia="zh-CN"/>
              </w:rPr>
              <w:t>S</w:t>
            </w:r>
            <w:r w:rsidR="003430F6" w:rsidRPr="005B7F92">
              <w:rPr>
                <w:rFonts w:ascii="Arial" w:eastAsia="SimSun" w:hAnsi="Arial" w:cs="Arial"/>
                <w:color w:val="000000"/>
                <w:kern w:val="0"/>
                <w:lang w:val="en-GB" w:eastAsia="zh-CN"/>
              </w:rPr>
              <w:t>tates</w:t>
            </w:r>
          </w:p>
        </w:tc>
        <w:tc>
          <w:tcPr>
            <w:tcW w:w="1701" w:type="dxa"/>
            <w:shd w:val="clear" w:color="auto" w:fill="auto"/>
            <w:noWrap/>
            <w:vAlign w:val="bottom"/>
            <w:hideMark/>
          </w:tcPr>
          <w:p w14:paraId="319BA066"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337</w:t>
            </w:r>
          </w:p>
        </w:tc>
        <w:tc>
          <w:tcPr>
            <w:tcW w:w="3402" w:type="dxa"/>
            <w:shd w:val="clear" w:color="auto" w:fill="auto"/>
            <w:noWrap/>
            <w:vAlign w:val="bottom"/>
            <w:hideMark/>
          </w:tcPr>
          <w:p w14:paraId="3A653AF4"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425</w:t>
            </w:r>
          </w:p>
        </w:tc>
      </w:tr>
      <w:tr w:rsidR="00B355C1" w:rsidRPr="005B7F92" w14:paraId="6C895AEC" w14:textId="77777777" w:rsidTr="00695E76">
        <w:trPr>
          <w:trHeight w:val="300"/>
          <w:jc w:val="center"/>
        </w:trPr>
        <w:tc>
          <w:tcPr>
            <w:tcW w:w="2000" w:type="dxa"/>
            <w:shd w:val="clear" w:color="auto" w:fill="auto"/>
            <w:noWrap/>
            <w:vAlign w:val="bottom"/>
            <w:hideMark/>
          </w:tcPr>
          <w:p w14:paraId="2A6C4B44" w14:textId="77777777" w:rsidR="004A2721" w:rsidRPr="005B7F92" w:rsidRDefault="004A2721" w:rsidP="004A2721">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Canada</w:t>
            </w:r>
          </w:p>
        </w:tc>
        <w:tc>
          <w:tcPr>
            <w:tcW w:w="1701" w:type="dxa"/>
            <w:shd w:val="clear" w:color="auto" w:fill="auto"/>
            <w:noWrap/>
            <w:vAlign w:val="bottom"/>
            <w:hideMark/>
          </w:tcPr>
          <w:p w14:paraId="17903C95"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27</w:t>
            </w:r>
          </w:p>
        </w:tc>
        <w:tc>
          <w:tcPr>
            <w:tcW w:w="3402" w:type="dxa"/>
            <w:shd w:val="clear" w:color="auto" w:fill="auto"/>
            <w:noWrap/>
            <w:vAlign w:val="bottom"/>
            <w:hideMark/>
          </w:tcPr>
          <w:p w14:paraId="1370E18B"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31</w:t>
            </w:r>
          </w:p>
        </w:tc>
      </w:tr>
      <w:tr w:rsidR="00B355C1" w:rsidRPr="005B7F92" w14:paraId="6F2595EF" w14:textId="77777777" w:rsidTr="00695E76">
        <w:trPr>
          <w:trHeight w:val="300"/>
          <w:jc w:val="center"/>
        </w:trPr>
        <w:tc>
          <w:tcPr>
            <w:tcW w:w="2000" w:type="dxa"/>
            <w:shd w:val="clear" w:color="auto" w:fill="auto"/>
            <w:noWrap/>
            <w:vAlign w:val="bottom"/>
            <w:hideMark/>
          </w:tcPr>
          <w:p w14:paraId="6C72103C" w14:textId="578D4D09" w:rsidR="004A2721" w:rsidRPr="005B7F92" w:rsidRDefault="003430F6" w:rsidP="004A2721">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European Union*</w:t>
            </w:r>
          </w:p>
        </w:tc>
        <w:tc>
          <w:tcPr>
            <w:tcW w:w="1701" w:type="dxa"/>
            <w:shd w:val="clear" w:color="auto" w:fill="auto"/>
            <w:noWrap/>
            <w:vAlign w:val="bottom"/>
            <w:hideMark/>
          </w:tcPr>
          <w:p w14:paraId="6EE5BB6A"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205</w:t>
            </w:r>
          </w:p>
        </w:tc>
        <w:tc>
          <w:tcPr>
            <w:tcW w:w="3402" w:type="dxa"/>
            <w:shd w:val="clear" w:color="auto" w:fill="auto"/>
            <w:noWrap/>
            <w:vAlign w:val="bottom"/>
            <w:hideMark/>
          </w:tcPr>
          <w:p w14:paraId="7E53C7D1"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194</w:t>
            </w:r>
          </w:p>
        </w:tc>
      </w:tr>
      <w:tr w:rsidR="00B355C1" w:rsidRPr="005B7F92" w14:paraId="4223D44F" w14:textId="77777777" w:rsidTr="00695E76">
        <w:trPr>
          <w:trHeight w:val="300"/>
          <w:jc w:val="center"/>
        </w:trPr>
        <w:tc>
          <w:tcPr>
            <w:tcW w:w="2000" w:type="dxa"/>
            <w:shd w:val="clear" w:color="auto" w:fill="auto"/>
            <w:noWrap/>
            <w:vAlign w:val="bottom"/>
            <w:hideMark/>
          </w:tcPr>
          <w:p w14:paraId="0FF5D927" w14:textId="77777777" w:rsidR="004A2721" w:rsidRPr="005B7F92" w:rsidRDefault="004A2721" w:rsidP="004A2721">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Japan</w:t>
            </w:r>
          </w:p>
        </w:tc>
        <w:tc>
          <w:tcPr>
            <w:tcW w:w="1701" w:type="dxa"/>
            <w:shd w:val="clear" w:color="auto" w:fill="auto"/>
            <w:noWrap/>
            <w:vAlign w:val="bottom"/>
            <w:hideMark/>
          </w:tcPr>
          <w:p w14:paraId="65987339"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127</w:t>
            </w:r>
          </w:p>
        </w:tc>
        <w:tc>
          <w:tcPr>
            <w:tcW w:w="3402" w:type="dxa"/>
            <w:shd w:val="clear" w:color="auto" w:fill="auto"/>
            <w:noWrap/>
            <w:vAlign w:val="bottom"/>
            <w:hideMark/>
          </w:tcPr>
          <w:p w14:paraId="24894B8B"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149</w:t>
            </w:r>
          </w:p>
        </w:tc>
      </w:tr>
      <w:tr w:rsidR="00B355C1" w:rsidRPr="005B7F92" w14:paraId="54108E89" w14:textId="77777777" w:rsidTr="00695E76">
        <w:trPr>
          <w:trHeight w:val="300"/>
          <w:jc w:val="center"/>
        </w:trPr>
        <w:tc>
          <w:tcPr>
            <w:tcW w:w="2000" w:type="dxa"/>
            <w:shd w:val="clear" w:color="auto" w:fill="auto"/>
            <w:noWrap/>
            <w:vAlign w:val="bottom"/>
            <w:hideMark/>
          </w:tcPr>
          <w:p w14:paraId="7394B91B" w14:textId="4937B49C" w:rsidR="004A2721" w:rsidRPr="005B7F92" w:rsidRDefault="004A2721" w:rsidP="004A2721">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Growth Markets</w:t>
            </w:r>
            <w:r w:rsidR="00B355C1" w:rsidRPr="005B7F92">
              <w:rPr>
                <w:rFonts w:ascii="Arial" w:eastAsia="SimSun" w:hAnsi="Arial" w:cs="Arial"/>
                <w:color w:val="000000"/>
                <w:kern w:val="0"/>
                <w:vertAlign w:val="superscript"/>
                <w:lang w:val="en-GB" w:eastAsia="zh-CN"/>
              </w:rPr>
              <w:t>*</w:t>
            </w:r>
            <w:r w:rsidR="001F2EBE" w:rsidRPr="005B7F92">
              <w:rPr>
                <w:rFonts w:ascii="Arial" w:eastAsia="SimSun" w:hAnsi="Arial" w:cs="Arial"/>
                <w:color w:val="000000"/>
                <w:kern w:val="0"/>
                <w:vertAlign w:val="superscript"/>
                <w:lang w:val="en-GB" w:eastAsia="zh-CN"/>
              </w:rPr>
              <w:t>*</w:t>
            </w:r>
          </w:p>
        </w:tc>
        <w:tc>
          <w:tcPr>
            <w:tcW w:w="1701" w:type="dxa"/>
            <w:shd w:val="clear" w:color="auto" w:fill="auto"/>
            <w:noWrap/>
            <w:vAlign w:val="bottom"/>
            <w:hideMark/>
          </w:tcPr>
          <w:p w14:paraId="2B8E3BEB"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205</w:t>
            </w:r>
          </w:p>
        </w:tc>
        <w:tc>
          <w:tcPr>
            <w:tcW w:w="3402" w:type="dxa"/>
            <w:shd w:val="clear" w:color="auto" w:fill="auto"/>
            <w:noWrap/>
            <w:vAlign w:val="bottom"/>
            <w:hideMark/>
          </w:tcPr>
          <w:p w14:paraId="0A9D6AA2"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499</w:t>
            </w:r>
          </w:p>
        </w:tc>
      </w:tr>
      <w:tr w:rsidR="00B355C1" w:rsidRPr="005B7F92" w14:paraId="42FC09F1" w14:textId="77777777" w:rsidTr="00695E76">
        <w:trPr>
          <w:trHeight w:val="300"/>
          <w:jc w:val="center"/>
        </w:trPr>
        <w:tc>
          <w:tcPr>
            <w:tcW w:w="2000" w:type="dxa"/>
            <w:shd w:val="clear" w:color="auto" w:fill="auto"/>
            <w:noWrap/>
            <w:vAlign w:val="bottom"/>
            <w:hideMark/>
          </w:tcPr>
          <w:p w14:paraId="1A38F4C4" w14:textId="4D920147" w:rsidR="004A2721" w:rsidRPr="005B7F92" w:rsidRDefault="004A2721" w:rsidP="00E00F6A">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R</w:t>
            </w:r>
            <w:r w:rsidR="00E00F6A" w:rsidRPr="005B7F92">
              <w:rPr>
                <w:rFonts w:ascii="Arial" w:eastAsia="SimSun" w:hAnsi="Arial" w:cs="Arial"/>
                <w:color w:val="000000"/>
                <w:kern w:val="0"/>
                <w:lang w:val="en-GB" w:eastAsia="zh-CN"/>
              </w:rPr>
              <w:t xml:space="preserve">est of the </w:t>
            </w:r>
            <w:r w:rsidRPr="005B7F92">
              <w:rPr>
                <w:rFonts w:ascii="Arial" w:eastAsia="SimSun" w:hAnsi="Arial" w:cs="Arial"/>
                <w:color w:val="000000"/>
                <w:kern w:val="0"/>
                <w:lang w:val="en-GB" w:eastAsia="zh-CN"/>
              </w:rPr>
              <w:t>W</w:t>
            </w:r>
            <w:r w:rsidR="00E00F6A" w:rsidRPr="005B7F92">
              <w:rPr>
                <w:rFonts w:ascii="Arial" w:eastAsia="SimSun" w:hAnsi="Arial" w:cs="Arial"/>
                <w:color w:val="000000"/>
                <w:kern w:val="0"/>
                <w:lang w:val="en-GB" w:eastAsia="zh-CN"/>
              </w:rPr>
              <w:t>orld</w:t>
            </w:r>
          </w:p>
        </w:tc>
        <w:tc>
          <w:tcPr>
            <w:tcW w:w="1701" w:type="dxa"/>
            <w:shd w:val="clear" w:color="auto" w:fill="auto"/>
            <w:noWrap/>
            <w:vAlign w:val="bottom"/>
            <w:hideMark/>
          </w:tcPr>
          <w:p w14:paraId="1612B243"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183</w:t>
            </w:r>
          </w:p>
        </w:tc>
        <w:tc>
          <w:tcPr>
            <w:tcW w:w="3402" w:type="dxa"/>
            <w:shd w:val="clear" w:color="auto" w:fill="auto"/>
            <w:noWrap/>
            <w:vAlign w:val="bottom"/>
            <w:hideMark/>
          </w:tcPr>
          <w:p w14:paraId="664D6A83" w14:textId="77777777" w:rsidR="004A2721" w:rsidRPr="005B7F92" w:rsidRDefault="004A2721"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273</w:t>
            </w:r>
          </w:p>
        </w:tc>
      </w:tr>
    </w:tbl>
    <w:p w14:paraId="324CB1D7" w14:textId="79E892BE" w:rsidR="00D97562" w:rsidRPr="005B7F92" w:rsidRDefault="00D97562" w:rsidP="00D97562">
      <w:pPr>
        <w:pStyle w:val="BodyTextMain"/>
        <w:rPr>
          <w:lang w:val="en-GB" w:eastAsia="zh-CN"/>
        </w:rPr>
      </w:pPr>
    </w:p>
    <w:p w14:paraId="3F11EF2B" w14:textId="16A98A66" w:rsidR="00E71453" w:rsidRPr="005B7F92" w:rsidRDefault="003430F6" w:rsidP="00E71453">
      <w:pPr>
        <w:pStyle w:val="BodyTextMain"/>
        <w:rPr>
          <w:rFonts w:ascii="Arial" w:hAnsi="Arial" w:cs="Arial"/>
          <w:sz w:val="17"/>
          <w:szCs w:val="17"/>
          <w:lang w:val="en-GB" w:eastAsia="zh-CN"/>
        </w:rPr>
      </w:pPr>
      <w:r w:rsidRPr="005B7F92">
        <w:rPr>
          <w:rFonts w:ascii="Arial" w:hAnsi="Arial" w:cs="Arial"/>
          <w:sz w:val="17"/>
          <w:szCs w:val="17"/>
          <w:lang w:val="en-GB" w:eastAsia="zh-CN"/>
        </w:rPr>
        <w:t xml:space="preserve">Note: </w:t>
      </w:r>
      <w:r w:rsidR="00E71453" w:rsidRPr="005B7F92">
        <w:rPr>
          <w:rFonts w:ascii="Arial" w:hAnsi="Arial" w:cs="Arial"/>
          <w:sz w:val="17"/>
          <w:szCs w:val="17"/>
          <w:lang w:val="en-GB" w:eastAsia="zh-CN"/>
        </w:rPr>
        <w:t>*France, Germany, Italy, Spain</w:t>
      </w:r>
      <w:r w:rsidR="00F604C6" w:rsidRPr="005B7F92">
        <w:rPr>
          <w:rFonts w:ascii="Arial" w:hAnsi="Arial" w:cs="Arial"/>
          <w:sz w:val="17"/>
          <w:szCs w:val="17"/>
          <w:lang w:val="en-GB" w:eastAsia="zh-CN"/>
        </w:rPr>
        <w:t>,</w:t>
      </w:r>
      <w:r w:rsidR="00E71453" w:rsidRPr="005B7F92">
        <w:rPr>
          <w:rFonts w:ascii="Arial" w:hAnsi="Arial" w:cs="Arial"/>
          <w:sz w:val="17"/>
          <w:szCs w:val="17"/>
          <w:lang w:val="en-GB" w:eastAsia="zh-CN"/>
        </w:rPr>
        <w:t xml:space="preserve"> and </w:t>
      </w:r>
      <w:r w:rsidR="00F604C6" w:rsidRPr="005B7F92">
        <w:rPr>
          <w:rFonts w:ascii="Arial" w:hAnsi="Arial" w:cs="Arial"/>
          <w:sz w:val="17"/>
          <w:szCs w:val="17"/>
          <w:lang w:val="en-GB" w:eastAsia="zh-CN"/>
        </w:rPr>
        <w:t xml:space="preserve">the </w:t>
      </w:r>
      <w:r w:rsidR="00E71453" w:rsidRPr="005B7F92">
        <w:rPr>
          <w:rFonts w:ascii="Arial" w:hAnsi="Arial" w:cs="Arial"/>
          <w:sz w:val="17"/>
          <w:szCs w:val="17"/>
          <w:lang w:val="en-GB" w:eastAsia="zh-CN"/>
        </w:rPr>
        <w:t>United Kingdom</w:t>
      </w:r>
      <w:r w:rsidRPr="005B7F92">
        <w:rPr>
          <w:rFonts w:ascii="Arial" w:hAnsi="Arial" w:cs="Arial"/>
          <w:sz w:val="17"/>
          <w:szCs w:val="17"/>
          <w:lang w:val="en-GB" w:eastAsia="zh-CN"/>
        </w:rPr>
        <w:t xml:space="preserve">; </w:t>
      </w:r>
      <w:r w:rsidR="00E71453" w:rsidRPr="005B7F92">
        <w:rPr>
          <w:rFonts w:ascii="Arial" w:hAnsi="Arial" w:cs="Arial"/>
          <w:sz w:val="17"/>
          <w:szCs w:val="17"/>
          <w:lang w:val="en-GB" w:eastAsia="zh-CN"/>
        </w:rPr>
        <w:t>**China, Brazil, Russia, India, Mexico, Turkey, Poland, Venezuela, Argentina, Indonesia, South Africa, Thailand, Romania, Egypt, Ukraine, Pakistan</w:t>
      </w:r>
      <w:r w:rsidR="00F604C6" w:rsidRPr="005B7F92">
        <w:rPr>
          <w:rFonts w:ascii="Arial" w:hAnsi="Arial" w:cs="Arial"/>
          <w:sz w:val="17"/>
          <w:szCs w:val="17"/>
          <w:lang w:val="en-GB" w:eastAsia="zh-CN"/>
        </w:rPr>
        <w:t>,</w:t>
      </w:r>
      <w:r w:rsidR="00E71453" w:rsidRPr="005B7F92">
        <w:rPr>
          <w:rFonts w:ascii="Arial" w:hAnsi="Arial" w:cs="Arial"/>
          <w:sz w:val="17"/>
          <w:szCs w:val="17"/>
          <w:lang w:val="en-GB" w:eastAsia="zh-CN"/>
        </w:rPr>
        <w:t xml:space="preserve"> and Vietnam (in descending order of size)</w:t>
      </w:r>
      <w:r w:rsidR="0080221E">
        <w:rPr>
          <w:rFonts w:ascii="Arial" w:hAnsi="Arial" w:cs="Arial"/>
          <w:sz w:val="17"/>
          <w:szCs w:val="17"/>
          <w:lang w:val="en-GB" w:eastAsia="zh-CN"/>
        </w:rPr>
        <w:t>.</w:t>
      </w:r>
    </w:p>
    <w:p w14:paraId="3389709D" w14:textId="09EA30BA" w:rsidR="004A2721" w:rsidRPr="005B7F92" w:rsidRDefault="004A2721" w:rsidP="00D97562">
      <w:pPr>
        <w:pStyle w:val="BodyTextMain"/>
        <w:rPr>
          <w:rFonts w:ascii="Arial" w:hAnsi="Arial" w:cs="Arial"/>
          <w:sz w:val="17"/>
          <w:szCs w:val="17"/>
          <w:lang w:val="en-GB" w:eastAsia="zh-CN"/>
        </w:rPr>
      </w:pPr>
      <w:r w:rsidRPr="005B7F92">
        <w:rPr>
          <w:rFonts w:ascii="Arial" w:hAnsi="Arial" w:cs="Arial"/>
          <w:sz w:val="17"/>
          <w:szCs w:val="17"/>
          <w:lang w:val="en-GB" w:eastAsia="zh-CN"/>
        </w:rPr>
        <w:t xml:space="preserve">Source: </w:t>
      </w:r>
      <w:r w:rsidR="00F224E2" w:rsidRPr="005B7F92">
        <w:rPr>
          <w:rFonts w:ascii="Arial" w:hAnsi="Arial" w:cs="Arial"/>
          <w:sz w:val="17"/>
          <w:szCs w:val="17"/>
          <w:lang w:val="en-GB" w:eastAsia="zh-CN"/>
        </w:rPr>
        <w:t xml:space="preserve">Created by the case authors based on </w:t>
      </w:r>
      <w:r w:rsidR="0080221E">
        <w:rPr>
          <w:rFonts w:ascii="Arial" w:hAnsi="Arial" w:cs="Arial"/>
          <w:sz w:val="17"/>
          <w:szCs w:val="17"/>
          <w:lang w:val="en-GB" w:eastAsia="zh-CN"/>
        </w:rPr>
        <w:t>P</w:t>
      </w:r>
      <w:r w:rsidR="00CD1CCF">
        <w:rPr>
          <w:rFonts w:ascii="Arial" w:hAnsi="Arial" w:cs="Arial"/>
          <w:sz w:val="17"/>
          <w:szCs w:val="17"/>
          <w:lang w:val="en-GB" w:eastAsia="zh-CN"/>
        </w:rPr>
        <w:t>w</w:t>
      </w:r>
      <w:r w:rsidR="0080221E">
        <w:rPr>
          <w:rFonts w:ascii="Arial" w:hAnsi="Arial" w:cs="Arial"/>
          <w:sz w:val="17"/>
          <w:szCs w:val="17"/>
          <w:lang w:val="en-GB" w:eastAsia="zh-CN"/>
        </w:rPr>
        <w:t xml:space="preserve">C, </w:t>
      </w:r>
      <w:r w:rsidRPr="0074592C">
        <w:rPr>
          <w:rFonts w:ascii="Arial" w:hAnsi="Arial" w:cs="Arial"/>
          <w:i/>
          <w:sz w:val="17"/>
          <w:szCs w:val="17"/>
          <w:lang w:val="en-GB" w:eastAsia="zh-CN"/>
        </w:rPr>
        <w:t xml:space="preserve">From </w:t>
      </w:r>
      <w:r w:rsidR="00F604C6" w:rsidRPr="0074592C">
        <w:rPr>
          <w:rFonts w:ascii="Arial" w:hAnsi="Arial" w:cs="Arial"/>
          <w:i/>
          <w:sz w:val="17"/>
          <w:szCs w:val="17"/>
          <w:lang w:val="en-GB" w:eastAsia="zh-CN"/>
        </w:rPr>
        <w:t>V</w:t>
      </w:r>
      <w:r w:rsidRPr="0074592C">
        <w:rPr>
          <w:rFonts w:ascii="Arial" w:hAnsi="Arial" w:cs="Arial"/>
          <w:i/>
          <w:sz w:val="17"/>
          <w:szCs w:val="17"/>
          <w:lang w:val="en-GB" w:eastAsia="zh-CN"/>
        </w:rPr>
        <w:t xml:space="preserve">ision to </w:t>
      </w:r>
      <w:r w:rsidR="00F604C6" w:rsidRPr="0074592C">
        <w:rPr>
          <w:rFonts w:ascii="Arial" w:hAnsi="Arial" w:cs="Arial"/>
          <w:i/>
          <w:sz w:val="17"/>
          <w:szCs w:val="17"/>
          <w:lang w:val="en-GB" w:eastAsia="zh-CN"/>
        </w:rPr>
        <w:t>D</w:t>
      </w:r>
      <w:r w:rsidRPr="0074592C">
        <w:rPr>
          <w:rFonts w:ascii="Arial" w:hAnsi="Arial" w:cs="Arial"/>
          <w:i/>
          <w:sz w:val="17"/>
          <w:szCs w:val="17"/>
          <w:lang w:val="en-GB" w:eastAsia="zh-CN"/>
        </w:rPr>
        <w:t>ecision</w:t>
      </w:r>
      <w:r w:rsidR="00972346" w:rsidRPr="0074592C">
        <w:rPr>
          <w:rFonts w:ascii="Arial" w:hAnsi="Arial" w:cs="Arial"/>
          <w:i/>
          <w:sz w:val="17"/>
          <w:szCs w:val="17"/>
          <w:lang w:val="en-GB" w:eastAsia="zh-CN"/>
        </w:rPr>
        <w:t>:</w:t>
      </w:r>
      <w:r w:rsidRPr="0074592C">
        <w:rPr>
          <w:rFonts w:ascii="Arial" w:hAnsi="Arial" w:cs="Arial"/>
          <w:i/>
          <w:sz w:val="17"/>
          <w:szCs w:val="17"/>
          <w:lang w:val="en-GB" w:eastAsia="zh-CN"/>
        </w:rPr>
        <w:t xml:space="preserve"> Pharma 2020,</w:t>
      </w:r>
      <w:r w:rsidR="0080221E">
        <w:rPr>
          <w:rFonts w:ascii="Arial" w:hAnsi="Arial" w:cs="Arial"/>
          <w:sz w:val="17"/>
          <w:szCs w:val="17"/>
          <w:lang w:val="en-GB" w:eastAsia="zh-CN"/>
        </w:rPr>
        <w:t xml:space="preserve"> </w:t>
      </w:r>
      <w:r w:rsidR="001A4A52" w:rsidRPr="005B7F92">
        <w:rPr>
          <w:rFonts w:ascii="Arial" w:hAnsi="Arial" w:cs="Arial"/>
          <w:sz w:val="17"/>
          <w:szCs w:val="17"/>
          <w:lang w:val="en-GB" w:eastAsia="zh-CN"/>
        </w:rPr>
        <w:t>2012</w:t>
      </w:r>
      <w:r w:rsidR="008B1C94" w:rsidRPr="005B7F92">
        <w:rPr>
          <w:rFonts w:ascii="Arial" w:hAnsi="Arial" w:cs="Arial"/>
          <w:sz w:val="17"/>
          <w:szCs w:val="17"/>
          <w:lang w:val="en-GB" w:eastAsia="zh-CN"/>
        </w:rPr>
        <w:t>, 4, accessed July 18, 2017, https://www.pwc.com/gx/en/pharma-life-sciences/pharma2020/assets/pwc-pharma-success-strategies.pdf</w:t>
      </w:r>
      <w:r w:rsidR="001A4A52" w:rsidRPr="005B7F92">
        <w:rPr>
          <w:rFonts w:ascii="Arial" w:hAnsi="Arial" w:cs="Arial"/>
          <w:sz w:val="17"/>
          <w:szCs w:val="17"/>
          <w:lang w:val="en-GB" w:eastAsia="zh-CN"/>
        </w:rPr>
        <w:t>.</w:t>
      </w:r>
    </w:p>
    <w:p w14:paraId="434F580D" w14:textId="77777777" w:rsidR="00D97562" w:rsidRPr="005B7F92" w:rsidRDefault="00D97562" w:rsidP="00D97562">
      <w:pPr>
        <w:pStyle w:val="BodyTextMain"/>
        <w:rPr>
          <w:lang w:val="en-GB"/>
        </w:rPr>
      </w:pPr>
    </w:p>
    <w:p w14:paraId="42C94322" w14:textId="77777777" w:rsidR="007D5CA8" w:rsidRPr="005B7F92" w:rsidRDefault="007D5CA8" w:rsidP="00D97562">
      <w:pPr>
        <w:pStyle w:val="BodyTextMain"/>
        <w:rPr>
          <w:lang w:val="en-GB"/>
        </w:rPr>
      </w:pPr>
    </w:p>
    <w:p w14:paraId="377EB4F1" w14:textId="66F65F7B" w:rsidR="00D97562" w:rsidRPr="005B7F92" w:rsidRDefault="00D97562" w:rsidP="003430F6">
      <w:pPr>
        <w:pStyle w:val="NoSpacing"/>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t xml:space="preserve">EXHIBIT </w:t>
      </w:r>
      <w:r w:rsidR="001F4B2F" w:rsidRPr="005B7F92">
        <w:rPr>
          <w:rFonts w:ascii="Arial" w:eastAsia="Times New Roman" w:hAnsi="Arial" w:cs="Arial"/>
          <w:b/>
          <w:color w:val="1C1C1C"/>
          <w:sz w:val="20"/>
          <w:szCs w:val="20"/>
          <w:lang w:val="en-GB" w:eastAsia="zh-CN" w:bidi="ar-SA"/>
        </w:rPr>
        <w:t>1</w:t>
      </w:r>
      <w:r w:rsidRPr="005B7F92">
        <w:rPr>
          <w:rFonts w:ascii="Arial" w:eastAsia="Times New Roman" w:hAnsi="Arial" w:cs="Arial"/>
          <w:b/>
          <w:color w:val="1C1C1C"/>
          <w:sz w:val="20"/>
          <w:szCs w:val="20"/>
          <w:lang w:val="en-GB" w:eastAsia="zh-CN" w:bidi="ar-SA"/>
        </w:rPr>
        <w:t>B: REVENUE</w:t>
      </w:r>
      <w:r w:rsidR="00A97DDB" w:rsidRPr="005B7F92">
        <w:rPr>
          <w:rFonts w:ascii="Arial" w:eastAsia="Times New Roman" w:hAnsi="Arial" w:cs="Arial"/>
          <w:b/>
          <w:color w:val="1C1C1C"/>
          <w:sz w:val="20"/>
          <w:szCs w:val="20"/>
          <w:lang w:val="en-GB" w:eastAsia="zh-CN" w:bidi="ar-SA"/>
        </w:rPr>
        <w:t>S</w:t>
      </w:r>
      <w:r w:rsidRPr="005B7F92">
        <w:rPr>
          <w:rFonts w:ascii="Arial" w:eastAsia="Times New Roman" w:hAnsi="Arial" w:cs="Arial"/>
          <w:b/>
          <w:color w:val="1C1C1C"/>
          <w:sz w:val="20"/>
          <w:szCs w:val="20"/>
          <w:lang w:val="en-GB" w:eastAsia="zh-CN" w:bidi="ar-SA"/>
        </w:rPr>
        <w:t xml:space="preserve"> OF PHARMACEUTICAL </w:t>
      </w:r>
      <w:r w:rsidR="00A97DDB" w:rsidRPr="005B7F92">
        <w:rPr>
          <w:rFonts w:ascii="Arial" w:eastAsia="Times New Roman" w:hAnsi="Arial" w:cs="Arial"/>
          <w:b/>
          <w:color w:val="1C1C1C"/>
          <w:sz w:val="20"/>
          <w:szCs w:val="20"/>
          <w:lang w:val="en-GB" w:eastAsia="zh-CN" w:bidi="ar-SA"/>
        </w:rPr>
        <w:t>COMPANIES</w:t>
      </w:r>
      <w:r w:rsidR="005E0BEF"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2015</w:t>
      </w:r>
      <w:r w:rsidR="00051209" w:rsidRPr="005B7F92">
        <w:rPr>
          <w:rFonts w:ascii="Arial" w:eastAsia="Times New Roman" w:hAnsi="Arial" w:cs="Arial"/>
          <w:b/>
          <w:color w:val="1C1C1C"/>
          <w:sz w:val="20"/>
          <w:szCs w:val="20"/>
          <w:lang w:val="en-GB" w:eastAsia="zh-CN" w:bidi="ar-SA"/>
        </w:rPr>
        <w:t xml:space="preserve"> (</w:t>
      </w:r>
      <w:r w:rsidR="00972346" w:rsidRPr="005B7F92">
        <w:rPr>
          <w:rFonts w:ascii="Arial" w:eastAsia="Times New Roman" w:hAnsi="Arial" w:cs="Arial"/>
          <w:b/>
          <w:color w:val="1C1C1C"/>
          <w:sz w:val="20"/>
          <w:szCs w:val="20"/>
          <w:lang w:val="en-GB" w:eastAsia="zh-CN" w:bidi="ar-SA"/>
        </w:rPr>
        <w:t xml:space="preserve">IN </w:t>
      </w:r>
      <w:r w:rsidR="00051209" w:rsidRPr="005B7F92">
        <w:rPr>
          <w:rFonts w:ascii="Arial" w:eastAsia="Times New Roman" w:hAnsi="Arial" w:cs="Arial"/>
          <w:b/>
          <w:color w:val="1C1C1C"/>
          <w:sz w:val="20"/>
          <w:szCs w:val="20"/>
          <w:lang w:val="en-GB" w:eastAsia="zh-CN" w:bidi="ar-SA"/>
        </w:rPr>
        <w:t>BILLION €)</w:t>
      </w:r>
    </w:p>
    <w:p w14:paraId="3C90FB04" w14:textId="6541DEB9" w:rsidR="007D5CA8" w:rsidRPr="005B7F92" w:rsidRDefault="007D5CA8" w:rsidP="00D97562">
      <w:pPr>
        <w:pStyle w:val="BodyTextMain"/>
        <w:rPr>
          <w:lang w:val="en-GB"/>
        </w:rPr>
      </w:pPr>
    </w:p>
    <w:tbl>
      <w:tblPr>
        <w:tblW w:w="6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2770"/>
        <w:gridCol w:w="1704"/>
      </w:tblGrid>
      <w:tr w:rsidR="007D5CA8" w:rsidRPr="005B7F92" w14:paraId="491F1A9B" w14:textId="77777777" w:rsidTr="00695E76">
        <w:trPr>
          <w:trHeight w:val="315"/>
          <w:jc w:val="center"/>
        </w:trPr>
        <w:tc>
          <w:tcPr>
            <w:tcW w:w="1701" w:type="dxa"/>
            <w:shd w:val="clear" w:color="auto" w:fill="auto"/>
            <w:noWrap/>
            <w:vAlign w:val="bottom"/>
            <w:hideMark/>
          </w:tcPr>
          <w:p w14:paraId="20FAA0A5" w14:textId="14B9CEE6" w:rsidR="007D5CA8" w:rsidRPr="005B7F92" w:rsidRDefault="007D5CA8" w:rsidP="007D5CA8">
            <w:pP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Compan</w:t>
            </w:r>
            <w:r w:rsidR="00972346" w:rsidRPr="005B7F92">
              <w:rPr>
                <w:rFonts w:ascii="Arial" w:eastAsia="SimSun" w:hAnsi="Arial" w:cs="Arial"/>
                <w:b/>
                <w:color w:val="000000"/>
                <w:kern w:val="0"/>
                <w:lang w:val="en-GB" w:eastAsia="zh-CN"/>
              </w:rPr>
              <w:t>y</w:t>
            </w:r>
          </w:p>
        </w:tc>
        <w:tc>
          <w:tcPr>
            <w:tcW w:w="2770" w:type="dxa"/>
            <w:shd w:val="clear" w:color="auto" w:fill="auto"/>
            <w:noWrap/>
            <w:vAlign w:val="bottom"/>
            <w:hideMark/>
          </w:tcPr>
          <w:p w14:paraId="49F1ABC3" w14:textId="56F63178" w:rsidR="007D5CA8" w:rsidRPr="005B7F92" w:rsidRDefault="007D5CA8" w:rsidP="007D5CA8">
            <w:pPr>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Pharmaceutical Activities</w:t>
            </w:r>
          </w:p>
        </w:tc>
        <w:tc>
          <w:tcPr>
            <w:tcW w:w="1704" w:type="dxa"/>
            <w:shd w:val="clear" w:color="auto" w:fill="auto"/>
            <w:noWrap/>
            <w:vAlign w:val="bottom"/>
            <w:hideMark/>
          </w:tcPr>
          <w:p w14:paraId="57573F2A" w14:textId="3DD4B9A9" w:rsidR="007D5CA8" w:rsidRPr="005B7F92" w:rsidRDefault="007D5CA8" w:rsidP="007D5CA8">
            <w:pPr>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Other Activities</w:t>
            </w:r>
          </w:p>
        </w:tc>
      </w:tr>
      <w:tr w:rsidR="007D5CA8" w:rsidRPr="005B7F92" w14:paraId="1BBBC641" w14:textId="77777777" w:rsidTr="00695E76">
        <w:trPr>
          <w:trHeight w:val="315"/>
          <w:jc w:val="center"/>
        </w:trPr>
        <w:tc>
          <w:tcPr>
            <w:tcW w:w="1701" w:type="dxa"/>
            <w:shd w:val="clear" w:color="auto" w:fill="auto"/>
            <w:noWrap/>
            <w:vAlign w:val="bottom"/>
            <w:hideMark/>
          </w:tcPr>
          <w:p w14:paraId="494C78CF" w14:textId="2118355B"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G</w:t>
            </w:r>
            <w:r w:rsidR="003430F6" w:rsidRPr="005B7F92">
              <w:rPr>
                <w:rFonts w:ascii="Arial" w:eastAsia="SimSun" w:hAnsi="Arial" w:cs="Arial"/>
                <w:color w:val="000000"/>
                <w:kern w:val="0"/>
                <w:lang w:val="en-GB" w:eastAsia="zh-CN"/>
              </w:rPr>
              <w:t>laxo</w:t>
            </w:r>
            <w:r w:rsidRPr="005B7F92">
              <w:rPr>
                <w:rFonts w:ascii="Arial" w:eastAsia="SimSun" w:hAnsi="Arial" w:cs="Arial"/>
                <w:color w:val="000000"/>
                <w:kern w:val="0"/>
                <w:lang w:val="en-GB" w:eastAsia="zh-CN"/>
              </w:rPr>
              <w:t>S</w:t>
            </w:r>
            <w:r w:rsidR="003430F6" w:rsidRPr="005B7F92">
              <w:rPr>
                <w:rFonts w:ascii="Arial" w:eastAsia="SimSun" w:hAnsi="Arial" w:cs="Arial"/>
                <w:color w:val="000000"/>
                <w:kern w:val="0"/>
                <w:lang w:val="en-GB" w:eastAsia="zh-CN"/>
              </w:rPr>
              <w:t>mith</w:t>
            </w:r>
            <w:r w:rsidRPr="005B7F92">
              <w:rPr>
                <w:rFonts w:ascii="Arial" w:eastAsia="SimSun" w:hAnsi="Arial" w:cs="Arial"/>
                <w:color w:val="000000"/>
                <w:kern w:val="0"/>
                <w:lang w:val="en-GB" w:eastAsia="zh-CN"/>
              </w:rPr>
              <w:t>K</w:t>
            </w:r>
            <w:r w:rsidR="003430F6" w:rsidRPr="005B7F92">
              <w:rPr>
                <w:rFonts w:ascii="Arial" w:eastAsia="SimSun" w:hAnsi="Arial" w:cs="Arial"/>
                <w:color w:val="000000"/>
                <w:kern w:val="0"/>
                <w:lang w:val="en-GB" w:eastAsia="zh-CN"/>
              </w:rPr>
              <w:t>line</w:t>
            </w:r>
          </w:p>
        </w:tc>
        <w:tc>
          <w:tcPr>
            <w:tcW w:w="2770" w:type="dxa"/>
            <w:shd w:val="clear" w:color="auto" w:fill="auto"/>
            <w:noWrap/>
            <w:vAlign w:val="bottom"/>
            <w:hideMark/>
          </w:tcPr>
          <w:p w14:paraId="15C38880" w14:textId="3A8F4333"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21.4</w:t>
            </w:r>
          </w:p>
        </w:tc>
        <w:tc>
          <w:tcPr>
            <w:tcW w:w="1704" w:type="dxa"/>
            <w:shd w:val="clear" w:color="auto" w:fill="auto"/>
            <w:noWrap/>
            <w:vAlign w:val="bottom"/>
            <w:hideMark/>
          </w:tcPr>
          <w:p w14:paraId="09584E2D" w14:textId="0C662710"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14.6</w:t>
            </w:r>
          </w:p>
        </w:tc>
      </w:tr>
      <w:tr w:rsidR="007D5CA8" w:rsidRPr="005B7F92" w14:paraId="72B6AC35" w14:textId="77777777" w:rsidTr="00695E76">
        <w:trPr>
          <w:trHeight w:val="315"/>
          <w:jc w:val="center"/>
        </w:trPr>
        <w:tc>
          <w:tcPr>
            <w:tcW w:w="1701" w:type="dxa"/>
            <w:shd w:val="clear" w:color="auto" w:fill="auto"/>
            <w:noWrap/>
            <w:vAlign w:val="bottom"/>
            <w:hideMark/>
          </w:tcPr>
          <w:p w14:paraId="0DB15E0B"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AstraZeneca</w:t>
            </w:r>
          </w:p>
        </w:tc>
        <w:tc>
          <w:tcPr>
            <w:tcW w:w="2770" w:type="dxa"/>
            <w:shd w:val="clear" w:color="auto" w:fill="auto"/>
            <w:noWrap/>
            <w:vAlign w:val="bottom"/>
            <w:hideMark/>
          </w:tcPr>
          <w:p w14:paraId="687188D6" w14:textId="2511BE71" w:rsidR="007D5CA8" w:rsidRPr="005B7F92" w:rsidRDefault="007D5CA8"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34.0</w:t>
            </w:r>
          </w:p>
        </w:tc>
        <w:tc>
          <w:tcPr>
            <w:tcW w:w="1704" w:type="dxa"/>
            <w:shd w:val="clear" w:color="auto" w:fill="auto"/>
            <w:noWrap/>
            <w:vAlign w:val="bottom"/>
            <w:hideMark/>
          </w:tcPr>
          <w:p w14:paraId="669B6676" w14:textId="45F54FFA" w:rsidR="007D5CA8" w:rsidRPr="005B7F92" w:rsidRDefault="007D5CA8"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0</w:t>
            </w:r>
            <w:r w:rsidR="00051209" w:rsidRPr="005B7F92">
              <w:rPr>
                <w:rFonts w:ascii="Arial" w:eastAsia="SimSun" w:hAnsi="Arial" w:cs="Arial"/>
                <w:color w:val="000000"/>
                <w:kern w:val="0"/>
                <w:lang w:val="en-GB" w:eastAsia="zh-CN"/>
              </w:rPr>
              <w:t>.0</w:t>
            </w:r>
          </w:p>
        </w:tc>
      </w:tr>
      <w:tr w:rsidR="007D5CA8" w:rsidRPr="005B7F92" w14:paraId="43C00843" w14:textId="77777777" w:rsidTr="00695E76">
        <w:trPr>
          <w:trHeight w:val="315"/>
          <w:jc w:val="center"/>
        </w:trPr>
        <w:tc>
          <w:tcPr>
            <w:tcW w:w="1701" w:type="dxa"/>
            <w:shd w:val="clear" w:color="auto" w:fill="auto"/>
            <w:noWrap/>
            <w:vAlign w:val="bottom"/>
            <w:hideMark/>
          </w:tcPr>
          <w:p w14:paraId="64F96A4F"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Sanofi</w:t>
            </w:r>
          </w:p>
        </w:tc>
        <w:tc>
          <w:tcPr>
            <w:tcW w:w="2770" w:type="dxa"/>
            <w:shd w:val="clear" w:color="auto" w:fill="auto"/>
            <w:noWrap/>
            <w:vAlign w:val="bottom"/>
            <w:hideMark/>
          </w:tcPr>
          <w:p w14:paraId="4F7038AF" w14:textId="5179F864"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29.8</w:t>
            </w:r>
          </w:p>
        </w:tc>
        <w:tc>
          <w:tcPr>
            <w:tcW w:w="1704" w:type="dxa"/>
            <w:shd w:val="clear" w:color="auto" w:fill="auto"/>
            <w:noWrap/>
            <w:vAlign w:val="bottom"/>
            <w:hideMark/>
          </w:tcPr>
          <w:p w14:paraId="1F3B5F34" w14:textId="14D040C1"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4.7</w:t>
            </w:r>
          </w:p>
        </w:tc>
      </w:tr>
      <w:tr w:rsidR="007D5CA8" w:rsidRPr="005B7F92" w14:paraId="3D2FA463" w14:textId="77777777" w:rsidTr="00695E76">
        <w:trPr>
          <w:trHeight w:val="315"/>
          <w:jc w:val="center"/>
        </w:trPr>
        <w:tc>
          <w:tcPr>
            <w:tcW w:w="1701" w:type="dxa"/>
            <w:shd w:val="clear" w:color="auto" w:fill="auto"/>
            <w:noWrap/>
            <w:vAlign w:val="bottom"/>
            <w:hideMark/>
          </w:tcPr>
          <w:p w14:paraId="3909B8EC"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Merck</w:t>
            </w:r>
          </w:p>
        </w:tc>
        <w:tc>
          <w:tcPr>
            <w:tcW w:w="2770" w:type="dxa"/>
            <w:shd w:val="clear" w:color="auto" w:fill="auto"/>
            <w:noWrap/>
            <w:vAlign w:val="bottom"/>
            <w:hideMark/>
          </w:tcPr>
          <w:p w14:paraId="4508139F" w14:textId="6AF58F29"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32.2</w:t>
            </w:r>
          </w:p>
        </w:tc>
        <w:tc>
          <w:tcPr>
            <w:tcW w:w="1704" w:type="dxa"/>
            <w:shd w:val="clear" w:color="auto" w:fill="auto"/>
            <w:noWrap/>
            <w:vAlign w:val="bottom"/>
            <w:hideMark/>
          </w:tcPr>
          <w:p w14:paraId="61E58517" w14:textId="2CECA5AA"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3.4</w:t>
            </w:r>
          </w:p>
        </w:tc>
      </w:tr>
      <w:tr w:rsidR="007D5CA8" w:rsidRPr="005B7F92" w14:paraId="280385F2" w14:textId="77777777" w:rsidTr="00695E76">
        <w:trPr>
          <w:trHeight w:val="315"/>
          <w:jc w:val="center"/>
        </w:trPr>
        <w:tc>
          <w:tcPr>
            <w:tcW w:w="1701" w:type="dxa"/>
            <w:shd w:val="clear" w:color="auto" w:fill="auto"/>
            <w:noWrap/>
            <w:vAlign w:val="bottom"/>
            <w:hideMark/>
          </w:tcPr>
          <w:p w14:paraId="67C24C6B"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Pfizer</w:t>
            </w:r>
          </w:p>
        </w:tc>
        <w:tc>
          <w:tcPr>
            <w:tcW w:w="2770" w:type="dxa"/>
            <w:shd w:val="clear" w:color="auto" w:fill="auto"/>
            <w:noWrap/>
            <w:vAlign w:val="bottom"/>
            <w:hideMark/>
          </w:tcPr>
          <w:p w14:paraId="23FA98A3" w14:textId="6981FDA5" w:rsidR="007D5CA8" w:rsidRPr="005B7F92" w:rsidRDefault="007D5CA8"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44.0</w:t>
            </w:r>
          </w:p>
        </w:tc>
        <w:tc>
          <w:tcPr>
            <w:tcW w:w="1704" w:type="dxa"/>
            <w:shd w:val="clear" w:color="auto" w:fill="auto"/>
            <w:noWrap/>
            <w:vAlign w:val="bottom"/>
            <w:hideMark/>
          </w:tcPr>
          <w:p w14:paraId="5FBE710A" w14:textId="0D9C250E" w:rsidR="007D5CA8" w:rsidRPr="005B7F92" w:rsidRDefault="007D5CA8"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0</w:t>
            </w:r>
            <w:r w:rsidR="00051209" w:rsidRPr="005B7F92">
              <w:rPr>
                <w:rFonts w:ascii="Arial" w:eastAsia="SimSun" w:hAnsi="Arial" w:cs="Arial"/>
                <w:color w:val="000000"/>
                <w:kern w:val="0"/>
                <w:lang w:val="en-GB" w:eastAsia="zh-CN"/>
              </w:rPr>
              <w:t>.0</w:t>
            </w:r>
          </w:p>
        </w:tc>
      </w:tr>
      <w:tr w:rsidR="007D5CA8" w:rsidRPr="005B7F92" w14:paraId="6CD6FD75" w14:textId="77777777" w:rsidTr="00695E76">
        <w:trPr>
          <w:trHeight w:val="315"/>
          <w:jc w:val="center"/>
        </w:trPr>
        <w:tc>
          <w:tcPr>
            <w:tcW w:w="1701" w:type="dxa"/>
            <w:shd w:val="clear" w:color="auto" w:fill="auto"/>
            <w:noWrap/>
            <w:vAlign w:val="bottom"/>
            <w:hideMark/>
          </w:tcPr>
          <w:p w14:paraId="2A364B50"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Novartis</w:t>
            </w:r>
          </w:p>
        </w:tc>
        <w:tc>
          <w:tcPr>
            <w:tcW w:w="2770" w:type="dxa"/>
            <w:shd w:val="clear" w:color="auto" w:fill="auto"/>
            <w:noWrap/>
            <w:vAlign w:val="bottom"/>
            <w:hideMark/>
          </w:tcPr>
          <w:p w14:paraId="7FF410F4" w14:textId="6178784B"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27.4</w:t>
            </w:r>
          </w:p>
        </w:tc>
        <w:tc>
          <w:tcPr>
            <w:tcW w:w="1704" w:type="dxa"/>
            <w:shd w:val="clear" w:color="auto" w:fill="auto"/>
            <w:noWrap/>
            <w:vAlign w:val="bottom"/>
            <w:hideMark/>
          </w:tcPr>
          <w:p w14:paraId="513B5920" w14:textId="18A5B368"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17.1</w:t>
            </w:r>
          </w:p>
        </w:tc>
      </w:tr>
      <w:tr w:rsidR="007D5CA8" w:rsidRPr="005B7F92" w14:paraId="12AB258B" w14:textId="77777777" w:rsidTr="00695E76">
        <w:trPr>
          <w:trHeight w:val="315"/>
          <w:jc w:val="center"/>
        </w:trPr>
        <w:tc>
          <w:tcPr>
            <w:tcW w:w="1701" w:type="dxa"/>
            <w:shd w:val="clear" w:color="auto" w:fill="auto"/>
            <w:noWrap/>
            <w:vAlign w:val="bottom"/>
            <w:hideMark/>
          </w:tcPr>
          <w:p w14:paraId="0EC673BC"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Roche</w:t>
            </w:r>
          </w:p>
        </w:tc>
        <w:tc>
          <w:tcPr>
            <w:tcW w:w="2770" w:type="dxa"/>
            <w:shd w:val="clear" w:color="auto" w:fill="auto"/>
            <w:noWrap/>
            <w:vAlign w:val="bottom"/>
            <w:hideMark/>
          </w:tcPr>
          <w:p w14:paraId="6E529B15" w14:textId="774841F9"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35.3</w:t>
            </w:r>
          </w:p>
        </w:tc>
        <w:tc>
          <w:tcPr>
            <w:tcW w:w="1704" w:type="dxa"/>
            <w:shd w:val="clear" w:color="auto" w:fill="auto"/>
            <w:noWrap/>
            <w:vAlign w:val="bottom"/>
            <w:hideMark/>
          </w:tcPr>
          <w:p w14:paraId="72145FC6" w14:textId="45DA0033"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9.8</w:t>
            </w:r>
          </w:p>
        </w:tc>
      </w:tr>
      <w:tr w:rsidR="007D5CA8" w:rsidRPr="005B7F92" w14:paraId="162D186E" w14:textId="77777777" w:rsidTr="00695E76">
        <w:trPr>
          <w:trHeight w:val="315"/>
          <w:jc w:val="center"/>
        </w:trPr>
        <w:tc>
          <w:tcPr>
            <w:tcW w:w="1701" w:type="dxa"/>
            <w:shd w:val="clear" w:color="auto" w:fill="auto"/>
            <w:noWrap/>
            <w:vAlign w:val="bottom"/>
            <w:hideMark/>
          </w:tcPr>
          <w:p w14:paraId="4ACC0DA7"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Bayer</w:t>
            </w:r>
          </w:p>
        </w:tc>
        <w:tc>
          <w:tcPr>
            <w:tcW w:w="2770" w:type="dxa"/>
            <w:shd w:val="clear" w:color="auto" w:fill="auto"/>
            <w:noWrap/>
            <w:vAlign w:val="bottom"/>
            <w:hideMark/>
          </w:tcPr>
          <w:p w14:paraId="11349670" w14:textId="5C6DA887"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12.6</w:t>
            </w:r>
          </w:p>
        </w:tc>
        <w:tc>
          <w:tcPr>
            <w:tcW w:w="1704" w:type="dxa"/>
            <w:shd w:val="clear" w:color="auto" w:fill="auto"/>
            <w:noWrap/>
            <w:vAlign w:val="bottom"/>
            <w:hideMark/>
          </w:tcPr>
          <w:p w14:paraId="297C0734" w14:textId="782BD11F"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29.8</w:t>
            </w:r>
          </w:p>
        </w:tc>
      </w:tr>
      <w:tr w:rsidR="007D5CA8" w:rsidRPr="005B7F92" w14:paraId="38E6DF9C" w14:textId="77777777" w:rsidTr="00695E76">
        <w:trPr>
          <w:trHeight w:val="315"/>
          <w:jc w:val="center"/>
        </w:trPr>
        <w:tc>
          <w:tcPr>
            <w:tcW w:w="1701" w:type="dxa"/>
            <w:shd w:val="clear" w:color="auto" w:fill="auto"/>
            <w:noWrap/>
            <w:vAlign w:val="bottom"/>
            <w:hideMark/>
          </w:tcPr>
          <w:p w14:paraId="5B0EF2D3" w14:textId="77777777" w:rsidR="007D5CA8" w:rsidRPr="005B7F92" w:rsidRDefault="007D5CA8" w:rsidP="007D5CA8">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Johnson &amp; Johnson</w:t>
            </w:r>
          </w:p>
        </w:tc>
        <w:tc>
          <w:tcPr>
            <w:tcW w:w="2770" w:type="dxa"/>
            <w:shd w:val="clear" w:color="auto" w:fill="auto"/>
            <w:noWrap/>
            <w:vAlign w:val="bottom"/>
            <w:hideMark/>
          </w:tcPr>
          <w:p w14:paraId="678671B3" w14:textId="0C8B50EB"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28.3</w:t>
            </w:r>
          </w:p>
        </w:tc>
        <w:tc>
          <w:tcPr>
            <w:tcW w:w="1704" w:type="dxa"/>
            <w:shd w:val="clear" w:color="auto" w:fill="auto"/>
            <w:noWrap/>
            <w:vAlign w:val="bottom"/>
            <w:hideMark/>
          </w:tcPr>
          <w:p w14:paraId="2BC4D332" w14:textId="4D9FFA65" w:rsidR="007D5CA8" w:rsidRPr="005B7F92" w:rsidRDefault="00051209"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34.8</w:t>
            </w:r>
          </w:p>
        </w:tc>
      </w:tr>
    </w:tbl>
    <w:p w14:paraId="12F053AD" w14:textId="56E57A48" w:rsidR="00D97562" w:rsidRPr="005B7F92" w:rsidRDefault="00D97562" w:rsidP="00D97562">
      <w:pPr>
        <w:pStyle w:val="BodyTextMain"/>
        <w:rPr>
          <w:lang w:val="en-GB"/>
        </w:rPr>
      </w:pPr>
    </w:p>
    <w:p w14:paraId="08EB0E71" w14:textId="785C06F0" w:rsidR="00972346" w:rsidRPr="005B7F92" w:rsidRDefault="00972346" w:rsidP="003430F6">
      <w:pPr>
        <w:pStyle w:val="Footnote"/>
        <w:rPr>
          <w:lang w:val="en-GB"/>
        </w:rPr>
      </w:pPr>
      <w:r w:rsidRPr="005B7F92">
        <w:rPr>
          <w:lang w:val="en-GB"/>
        </w:rPr>
        <w:t>Note: € = EUR =</w:t>
      </w:r>
      <w:r w:rsidR="00CD1CCF">
        <w:rPr>
          <w:lang w:val="en-GB"/>
        </w:rPr>
        <w:t xml:space="preserve"> </w:t>
      </w:r>
      <w:r w:rsidRPr="005B7F92">
        <w:rPr>
          <w:lang w:val="en-GB"/>
        </w:rPr>
        <w:t>euro; US$1 = €0.92094 on December 31, 2015</w:t>
      </w:r>
      <w:r w:rsidR="0080221E">
        <w:rPr>
          <w:lang w:val="en-GB"/>
        </w:rPr>
        <w:t>.</w:t>
      </w:r>
    </w:p>
    <w:p w14:paraId="28C6CA53" w14:textId="65147D06" w:rsidR="00D97562" w:rsidRPr="00B328BA" w:rsidRDefault="007D5CA8" w:rsidP="00B328BA">
      <w:pPr>
        <w:pStyle w:val="Footnote"/>
        <w:rPr>
          <w:spacing w:val="-6"/>
          <w:lang w:val="en-GB"/>
        </w:rPr>
      </w:pPr>
      <w:r w:rsidRPr="00B328BA">
        <w:rPr>
          <w:spacing w:val="-6"/>
          <w:lang w:val="en-GB"/>
        </w:rPr>
        <w:t xml:space="preserve">Source: </w:t>
      </w:r>
      <w:r w:rsidR="00F224E2" w:rsidRPr="00B328BA">
        <w:rPr>
          <w:spacing w:val="-6"/>
          <w:lang w:val="en-GB"/>
        </w:rPr>
        <w:t xml:space="preserve">Created by the case authors based on </w:t>
      </w:r>
      <w:r w:rsidR="00972346" w:rsidRPr="00B328BA">
        <w:rPr>
          <w:spacing w:val="-6"/>
          <w:lang w:val="en-GB"/>
        </w:rPr>
        <w:t>the a</w:t>
      </w:r>
      <w:r w:rsidRPr="00B328BA">
        <w:rPr>
          <w:spacing w:val="-6"/>
          <w:lang w:val="en-GB"/>
        </w:rPr>
        <w:t xml:space="preserve">nnual </w:t>
      </w:r>
      <w:r w:rsidR="00972346" w:rsidRPr="00B328BA">
        <w:rPr>
          <w:spacing w:val="-6"/>
          <w:lang w:val="en-GB"/>
        </w:rPr>
        <w:t>r</w:t>
      </w:r>
      <w:r w:rsidRPr="00B328BA">
        <w:rPr>
          <w:spacing w:val="-6"/>
          <w:lang w:val="en-GB"/>
        </w:rPr>
        <w:t>eport</w:t>
      </w:r>
      <w:r w:rsidR="00972346" w:rsidRPr="00B328BA">
        <w:rPr>
          <w:spacing w:val="-6"/>
          <w:lang w:val="en-GB"/>
        </w:rPr>
        <w:t>s</w:t>
      </w:r>
      <w:r w:rsidRPr="00B328BA">
        <w:rPr>
          <w:spacing w:val="-6"/>
          <w:lang w:val="en-GB"/>
        </w:rPr>
        <w:t xml:space="preserve"> of G</w:t>
      </w:r>
      <w:r w:rsidR="00B31518" w:rsidRPr="00B328BA">
        <w:rPr>
          <w:spacing w:val="-6"/>
          <w:lang w:val="en-GB"/>
        </w:rPr>
        <w:t>laxo</w:t>
      </w:r>
      <w:r w:rsidRPr="00B328BA">
        <w:rPr>
          <w:spacing w:val="-6"/>
          <w:lang w:val="en-GB"/>
        </w:rPr>
        <w:t>S</w:t>
      </w:r>
      <w:r w:rsidR="00B31518" w:rsidRPr="00B328BA">
        <w:rPr>
          <w:spacing w:val="-6"/>
          <w:lang w:val="en-GB"/>
        </w:rPr>
        <w:t>mith</w:t>
      </w:r>
      <w:r w:rsidRPr="00B328BA">
        <w:rPr>
          <w:spacing w:val="-6"/>
          <w:lang w:val="en-GB"/>
        </w:rPr>
        <w:t>K</w:t>
      </w:r>
      <w:r w:rsidR="00B31518" w:rsidRPr="00B328BA">
        <w:rPr>
          <w:spacing w:val="-6"/>
          <w:lang w:val="en-GB"/>
        </w:rPr>
        <w:t>line</w:t>
      </w:r>
      <w:r w:rsidRPr="00B328BA">
        <w:rPr>
          <w:spacing w:val="-6"/>
          <w:lang w:val="en-GB"/>
        </w:rPr>
        <w:t>, AstraZeneca, Sanofi, Merck, Pfizer, Novartis, Roche, Bayer</w:t>
      </w:r>
      <w:r w:rsidR="00972346" w:rsidRPr="00B328BA">
        <w:rPr>
          <w:spacing w:val="-6"/>
          <w:lang w:val="en-GB"/>
        </w:rPr>
        <w:t>,</w:t>
      </w:r>
      <w:r w:rsidRPr="00B328BA">
        <w:rPr>
          <w:spacing w:val="-6"/>
          <w:lang w:val="en-GB"/>
        </w:rPr>
        <w:t xml:space="preserve"> and Johnson &amp; J</w:t>
      </w:r>
      <w:r w:rsidR="00C900D2" w:rsidRPr="00B328BA">
        <w:rPr>
          <w:spacing w:val="-6"/>
          <w:lang w:val="en-GB"/>
        </w:rPr>
        <w:t>ohnson</w:t>
      </w:r>
      <w:r w:rsidR="00972346" w:rsidRPr="00B328BA">
        <w:rPr>
          <w:spacing w:val="-6"/>
          <w:lang w:val="en-GB"/>
        </w:rPr>
        <w:t>,</w:t>
      </w:r>
      <w:r w:rsidR="00C900D2" w:rsidRPr="00B328BA">
        <w:rPr>
          <w:spacing w:val="-6"/>
          <w:lang w:val="en-GB"/>
        </w:rPr>
        <w:t xml:space="preserve"> </w:t>
      </w:r>
      <w:r w:rsidR="00972346" w:rsidRPr="00B328BA">
        <w:rPr>
          <w:spacing w:val="-6"/>
          <w:lang w:val="en-GB"/>
        </w:rPr>
        <w:t xml:space="preserve">all </w:t>
      </w:r>
      <w:r w:rsidR="00C900D2" w:rsidRPr="00B328BA">
        <w:rPr>
          <w:spacing w:val="-6"/>
          <w:lang w:val="en-GB"/>
        </w:rPr>
        <w:t>accessed July 18, 2017</w:t>
      </w:r>
      <w:r w:rsidR="006D26F2" w:rsidRPr="00B328BA">
        <w:rPr>
          <w:spacing w:val="-6"/>
          <w:lang w:val="en-GB"/>
        </w:rPr>
        <w:t xml:space="preserve">; </w:t>
      </w:r>
      <w:r w:rsidR="006D26F2" w:rsidRPr="00B328BA">
        <w:rPr>
          <w:spacing w:val="-6"/>
        </w:rPr>
        <w:t>https://www.gsk.com/media/2718/gsk-annual-report-2016.pdf</w:t>
      </w:r>
      <w:r w:rsidR="00C900D2" w:rsidRPr="00B328BA">
        <w:rPr>
          <w:spacing w:val="-6"/>
          <w:lang w:val="en-GB"/>
        </w:rPr>
        <w:t>;</w:t>
      </w:r>
      <w:r w:rsidR="006D26F2" w:rsidRPr="00B328BA">
        <w:rPr>
          <w:spacing w:val="-6"/>
          <w:lang w:val="en-GB"/>
        </w:rPr>
        <w:t xml:space="preserve"> https://www.astrazeneca.com/investor-relations/annual-reports/annual-report-2015.html;</w:t>
      </w:r>
      <w:r w:rsidR="00B328BA" w:rsidRPr="00B328BA">
        <w:rPr>
          <w:spacing w:val="-6"/>
          <w:lang w:val="en-GB"/>
        </w:rPr>
        <w:br/>
      </w:r>
      <w:r w:rsidR="00C900D2" w:rsidRPr="00B328BA">
        <w:rPr>
          <w:spacing w:val="-6"/>
          <w:lang w:val="en-GB"/>
        </w:rPr>
        <w:t>http://en.sanofi.com/investors/events/Results/2016-02-09_Results_2015.aspx;</w:t>
      </w:r>
      <w:r w:rsidR="00B328BA" w:rsidRPr="00B328BA">
        <w:rPr>
          <w:spacing w:val="-6"/>
          <w:lang w:val="en-GB"/>
        </w:rPr>
        <w:t xml:space="preserve"> </w:t>
      </w:r>
      <w:r w:rsidR="00695E76" w:rsidRPr="00B328BA">
        <w:rPr>
          <w:spacing w:val="-6"/>
          <w:lang w:val="en-GB"/>
        </w:rPr>
        <w:t>http://ar2015.emdgroup.com/</w:t>
      </w:r>
      <w:r w:rsidR="00C900D2" w:rsidRPr="00B328BA">
        <w:rPr>
          <w:spacing w:val="-6"/>
          <w:lang w:val="en-GB"/>
        </w:rPr>
        <w:t>;</w:t>
      </w:r>
      <w:r w:rsidR="00B328BA" w:rsidRPr="00B328BA">
        <w:rPr>
          <w:spacing w:val="-6"/>
          <w:lang w:val="en-GB"/>
        </w:rPr>
        <w:t xml:space="preserve"> h</w:t>
      </w:r>
      <w:r w:rsidR="006D26F2" w:rsidRPr="00B328BA">
        <w:rPr>
          <w:spacing w:val="-6"/>
          <w:lang w:val="en-GB"/>
        </w:rPr>
        <w:t>ttps://www.pfizer.com/</w:t>
      </w:r>
      <w:r w:rsidR="00B328BA">
        <w:rPr>
          <w:spacing w:val="-6"/>
          <w:lang w:val="en-GB"/>
        </w:rPr>
        <w:br/>
      </w:r>
      <w:r w:rsidR="006D26F2" w:rsidRPr="00B328BA">
        <w:rPr>
          <w:spacing w:val="-6"/>
          <w:lang w:val="en-GB"/>
        </w:rPr>
        <w:t>files/investors/</w:t>
      </w:r>
      <w:proofErr w:type="spellStart"/>
      <w:r w:rsidR="006D26F2" w:rsidRPr="00B328BA">
        <w:rPr>
          <w:spacing w:val="-6"/>
          <w:lang w:val="en-GB"/>
        </w:rPr>
        <w:t>financial_reports</w:t>
      </w:r>
      <w:proofErr w:type="spellEnd"/>
      <w:r w:rsidR="006D26F2" w:rsidRPr="00B328BA">
        <w:rPr>
          <w:spacing w:val="-6"/>
          <w:lang w:val="en-GB"/>
        </w:rPr>
        <w:t>/</w:t>
      </w:r>
      <w:proofErr w:type="spellStart"/>
      <w:r w:rsidR="006D26F2" w:rsidRPr="00B328BA">
        <w:rPr>
          <w:spacing w:val="-6"/>
          <w:lang w:val="en-GB"/>
        </w:rPr>
        <w:t>annual_reports</w:t>
      </w:r>
      <w:proofErr w:type="spellEnd"/>
      <w:r w:rsidR="006D26F2" w:rsidRPr="00B328BA">
        <w:rPr>
          <w:spacing w:val="-6"/>
          <w:lang w:val="en-GB"/>
        </w:rPr>
        <w:t xml:space="preserve">/2015/index.htm; https://www.novartis.com/sites/www.novartis.com/files/novartis-annual-report-2015-en.pdf; </w:t>
      </w:r>
      <w:r w:rsidR="00695E76" w:rsidRPr="00B328BA">
        <w:rPr>
          <w:spacing w:val="-6"/>
          <w:lang w:val="en-GB"/>
        </w:rPr>
        <w:t>www.roche.com/investors/ar15_highlights.htm#introduction</w:t>
      </w:r>
      <w:r w:rsidR="00C900D2" w:rsidRPr="00B328BA">
        <w:rPr>
          <w:spacing w:val="-6"/>
          <w:lang w:val="en-GB"/>
        </w:rPr>
        <w:t xml:space="preserve">; </w:t>
      </w:r>
      <w:r w:rsidR="006D26F2" w:rsidRPr="00B328BA">
        <w:rPr>
          <w:spacing w:val="-6"/>
          <w:lang w:val="en-GB"/>
        </w:rPr>
        <w:t>www.annualreport2016.bayer.com/financial-</w:t>
      </w:r>
      <w:bookmarkStart w:id="0" w:name="_GoBack"/>
      <w:bookmarkEnd w:id="0"/>
      <w:r w:rsidR="006D26F2" w:rsidRPr="00B328BA">
        <w:rPr>
          <w:spacing w:val="-6"/>
          <w:lang w:val="en-GB"/>
        </w:rPr>
        <w:t xml:space="preserve">statements/notes-to-the-consolidated-financial-statements-of-the-bayer-group/notes-to-the-statements-of-financial-position/legal-risks.html; </w:t>
      </w:r>
      <w:r w:rsidR="00C900D2" w:rsidRPr="00B328BA">
        <w:rPr>
          <w:spacing w:val="-6"/>
          <w:lang w:val="en-GB"/>
        </w:rPr>
        <w:t>www.annualreports.com/Company/johnson-johnson.</w:t>
      </w:r>
    </w:p>
    <w:p w14:paraId="6D4C87A6" w14:textId="669C81DF" w:rsidR="00D97562" w:rsidRPr="005B7F92" w:rsidRDefault="00D97562" w:rsidP="00933E4B">
      <w:pPr>
        <w:pStyle w:val="NoSpacing"/>
        <w:keepNext/>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t xml:space="preserve">EXHIBIT </w:t>
      </w:r>
      <w:r w:rsidR="001F4B2F" w:rsidRPr="005B7F92">
        <w:rPr>
          <w:rFonts w:ascii="Arial" w:eastAsia="Times New Roman" w:hAnsi="Arial" w:cs="Arial"/>
          <w:b/>
          <w:color w:val="1C1C1C"/>
          <w:sz w:val="20"/>
          <w:szCs w:val="20"/>
          <w:lang w:val="en-GB" w:eastAsia="zh-CN" w:bidi="ar-SA"/>
        </w:rPr>
        <w:t>1</w:t>
      </w:r>
      <w:r w:rsidRPr="005B7F92">
        <w:rPr>
          <w:rFonts w:ascii="Arial" w:eastAsia="Times New Roman" w:hAnsi="Arial" w:cs="Arial"/>
          <w:b/>
          <w:color w:val="1C1C1C"/>
          <w:sz w:val="20"/>
          <w:szCs w:val="20"/>
          <w:lang w:val="en-GB" w:eastAsia="zh-CN" w:bidi="ar-SA"/>
        </w:rPr>
        <w:t xml:space="preserve">C: SCIENTIFIC PRODUCTIVITY </w:t>
      </w:r>
      <w:r w:rsidR="00972346" w:rsidRPr="005B7F92">
        <w:rPr>
          <w:rFonts w:ascii="Arial" w:eastAsia="Times New Roman" w:hAnsi="Arial" w:cs="Arial"/>
          <w:b/>
          <w:color w:val="1C1C1C"/>
          <w:sz w:val="20"/>
          <w:szCs w:val="20"/>
          <w:lang w:val="en-GB" w:eastAsia="zh-CN" w:bidi="ar-SA"/>
        </w:rPr>
        <w:t>IN</w:t>
      </w:r>
      <w:r w:rsidRPr="005B7F92">
        <w:rPr>
          <w:rFonts w:ascii="Arial" w:eastAsia="Times New Roman" w:hAnsi="Arial" w:cs="Arial"/>
          <w:b/>
          <w:color w:val="1C1C1C"/>
          <w:sz w:val="20"/>
          <w:szCs w:val="20"/>
          <w:lang w:val="en-GB" w:eastAsia="zh-CN" w:bidi="ar-SA"/>
        </w:rPr>
        <w:t xml:space="preserve"> </w:t>
      </w:r>
      <w:r w:rsidR="00743EC1" w:rsidRPr="005B7F92">
        <w:rPr>
          <w:rFonts w:ascii="Arial" w:eastAsia="Times New Roman" w:hAnsi="Arial" w:cs="Arial"/>
          <w:b/>
          <w:color w:val="1C1C1C"/>
          <w:sz w:val="20"/>
          <w:szCs w:val="20"/>
          <w:lang w:val="en-GB" w:eastAsia="zh-CN" w:bidi="ar-SA"/>
        </w:rPr>
        <w:t xml:space="preserve">THE </w:t>
      </w:r>
      <w:r w:rsidRPr="005B7F92">
        <w:rPr>
          <w:rFonts w:ascii="Arial" w:eastAsia="Times New Roman" w:hAnsi="Arial" w:cs="Arial"/>
          <w:b/>
          <w:color w:val="1C1C1C"/>
          <w:sz w:val="20"/>
          <w:szCs w:val="20"/>
          <w:lang w:val="en-GB" w:eastAsia="zh-CN" w:bidi="ar-SA"/>
        </w:rPr>
        <w:t>PHARMACEUTICAL INDUSTRY</w:t>
      </w:r>
    </w:p>
    <w:p w14:paraId="2BFCDFAB" w14:textId="77777777" w:rsidR="00D97562" w:rsidRPr="005B7F92" w:rsidRDefault="00D97562" w:rsidP="00933E4B">
      <w:pPr>
        <w:pStyle w:val="BodyTextMain"/>
        <w:keepNext/>
        <w:rPr>
          <w:lang w:val="en-GB"/>
        </w:rPr>
      </w:pPr>
    </w:p>
    <w:tbl>
      <w:tblPr>
        <w:tblW w:w="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1971"/>
        <w:gridCol w:w="1868"/>
      </w:tblGrid>
      <w:tr w:rsidR="00695E76" w:rsidRPr="005B7F92" w14:paraId="3CA024C4" w14:textId="77777777" w:rsidTr="006D26F2">
        <w:trPr>
          <w:trHeight w:val="297"/>
          <w:jc w:val="center"/>
        </w:trPr>
        <w:tc>
          <w:tcPr>
            <w:tcW w:w="4992" w:type="dxa"/>
            <w:gridSpan w:val="3"/>
            <w:shd w:val="clear" w:color="auto" w:fill="auto"/>
            <w:noWrap/>
            <w:vAlign w:val="center"/>
            <w:hideMark/>
          </w:tcPr>
          <w:p w14:paraId="2EBDA643" w14:textId="5C892D50" w:rsidR="00695E76" w:rsidRPr="005B7F92" w:rsidRDefault="00695E76" w:rsidP="006D26F2">
            <w:pPr>
              <w:keepNext/>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Number of Products Approved</w:t>
            </w:r>
          </w:p>
        </w:tc>
      </w:tr>
      <w:tr w:rsidR="00D937AA" w:rsidRPr="005B7F92" w14:paraId="1D973148" w14:textId="77777777" w:rsidTr="00C549FB">
        <w:trPr>
          <w:trHeight w:val="297"/>
          <w:jc w:val="center"/>
        </w:trPr>
        <w:tc>
          <w:tcPr>
            <w:tcW w:w="1153" w:type="dxa"/>
            <w:vAlign w:val="center"/>
            <w:hideMark/>
          </w:tcPr>
          <w:p w14:paraId="66AF5788" w14:textId="4C7E79FD" w:rsidR="00D937AA" w:rsidRPr="005B7F92" w:rsidRDefault="005E0BEF" w:rsidP="004E59EB">
            <w:pPr>
              <w:keepNext/>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Year</w:t>
            </w:r>
          </w:p>
        </w:tc>
        <w:tc>
          <w:tcPr>
            <w:tcW w:w="1971" w:type="dxa"/>
            <w:shd w:val="clear" w:color="auto" w:fill="auto"/>
            <w:noWrap/>
            <w:vAlign w:val="bottom"/>
            <w:hideMark/>
          </w:tcPr>
          <w:p w14:paraId="6FBDDE8F" w14:textId="175569B2" w:rsidR="00D937AA" w:rsidRPr="005B7F92" w:rsidRDefault="00933E4B" w:rsidP="00933E4B">
            <w:pPr>
              <w:keepNext/>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New Molecular E</w:t>
            </w:r>
            <w:r w:rsidR="00D937AA" w:rsidRPr="005B7F92">
              <w:rPr>
                <w:rFonts w:ascii="Arial" w:eastAsia="SimSun" w:hAnsi="Arial" w:cs="Arial"/>
                <w:b/>
                <w:color w:val="000000"/>
                <w:kern w:val="0"/>
                <w:lang w:val="en-GB" w:eastAsia="zh-CN"/>
              </w:rPr>
              <w:t>ntities</w:t>
            </w:r>
          </w:p>
        </w:tc>
        <w:tc>
          <w:tcPr>
            <w:tcW w:w="1868" w:type="dxa"/>
            <w:shd w:val="clear" w:color="auto" w:fill="auto"/>
            <w:noWrap/>
            <w:vAlign w:val="center"/>
            <w:hideMark/>
          </w:tcPr>
          <w:p w14:paraId="62101234" w14:textId="77777777" w:rsidR="00D937AA" w:rsidRPr="005B7F92" w:rsidRDefault="00D937AA" w:rsidP="00C549FB">
            <w:pPr>
              <w:keepNext/>
              <w:jc w:val="center"/>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Biologics</w:t>
            </w:r>
          </w:p>
        </w:tc>
      </w:tr>
      <w:tr w:rsidR="00D937AA" w:rsidRPr="005B7F92" w14:paraId="3ACB4CEA" w14:textId="77777777" w:rsidTr="00695E76">
        <w:trPr>
          <w:trHeight w:val="297"/>
          <w:jc w:val="center"/>
        </w:trPr>
        <w:tc>
          <w:tcPr>
            <w:tcW w:w="1153" w:type="dxa"/>
            <w:shd w:val="clear" w:color="auto" w:fill="auto"/>
            <w:noWrap/>
            <w:vAlign w:val="bottom"/>
            <w:hideMark/>
          </w:tcPr>
          <w:p w14:paraId="4C4A4935" w14:textId="77777777" w:rsidR="00D937AA" w:rsidRPr="005B7F92" w:rsidRDefault="00D937AA" w:rsidP="00933E4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2000</w:t>
            </w:r>
          </w:p>
        </w:tc>
        <w:tc>
          <w:tcPr>
            <w:tcW w:w="1971" w:type="dxa"/>
            <w:shd w:val="clear" w:color="auto" w:fill="auto"/>
            <w:noWrap/>
            <w:vAlign w:val="bottom"/>
            <w:hideMark/>
          </w:tcPr>
          <w:p w14:paraId="58E75CFB"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27</w:t>
            </w:r>
          </w:p>
        </w:tc>
        <w:tc>
          <w:tcPr>
            <w:tcW w:w="1868" w:type="dxa"/>
            <w:shd w:val="clear" w:color="auto" w:fill="auto"/>
            <w:noWrap/>
            <w:vAlign w:val="bottom"/>
            <w:hideMark/>
          </w:tcPr>
          <w:p w14:paraId="3EE6E426"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6</w:t>
            </w:r>
          </w:p>
        </w:tc>
      </w:tr>
      <w:tr w:rsidR="00D937AA" w:rsidRPr="005B7F92" w14:paraId="39E67528" w14:textId="77777777" w:rsidTr="00695E76">
        <w:trPr>
          <w:trHeight w:val="297"/>
          <w:jc w:val="center"/>
        </w:trPr>
        <w:tc>
          <w:tcPr>
            <w:tcW w:w="1153" w:type="dxa"/>
            <w:shd w:val="clear" w:color="auto" w:fill="auto"/>
            <w:noWrap/>
            <w:vAlign w:val="bottom"/>
            <w:hideMark/>
          </w:tcPr>
          <w:p w14:paraId="24526EF2" w14:textId="77777777" w:rsidR="00D937AA" w:rsidRPr="005B7F92" w:rsidRDefault="00D937AA" w:rsidP="00933E4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2001</w:t>
            </w:r>
          </w:p>
        </w:tc>
        <w:tc>
          <w:tcPr>
            <w:tcW w:w="1971" w:type="dxa"/>
            <w:shd w:val="clear" w:color="auto" w:fill="auto"/>
            <w:noWrap/>
            <w:vAlign w:val="bottom"/>
            <w:hideMark/>
          </w:tcPr>
          <w:p w14:paraId="09770DC3"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24</w:t>
            </w:r>
          </w:p>
        </w:tc>
        <w:tc>
          <w:tcPr>
            <w:tcW w:w="1868" w:type="dxa"/>
            <w:shd w:val="clear" w:color="auto" w:fill="auto"/>
            <w:noWrap/>
            <w:vAlign w:val="bottom"/>
            <w:hideMark/>
          </w:tcPr>
          <w:p w14:paraId="3757AF22"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8</w:t>
            </w:r>
          </w:p>
        </w:tc>
      </w:tr>
      <w:tr w:rsidR="00D937AA" w:rsidRPr="005B7F92" w14:paraId="7149B9BC" w14:textId="77777777" w:rsidTr="00695E76">
        <w:trPr>
          <w:trHeight w:val="297"/>
          <w:jc w:val="center"/>
        </w:trPr>
        <w:tc>
          <w:tcPr>
            <w:tcW w:w="1153" w:type="dxa"/>
            <w:shd w:val="clear" w:color="auto" w:fill="auto"/>
            <w:noWrap/>
            <w:vAlign w:val="bottom"/>
            <w:hideMark/>
          </w:tcPr>
          <w:p w14:paraId="59295626" w14:textId="77777777" w:rsidR="00D937AA" w:rsidRPr="005B7F92" w:rsidRDefault="00D937AA" w:rsidP="00933E4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2002</w:t>
            </w:r>
          </w:p>
        </w:tc>
        <w:tc>
          <w:tcPr>
            <w:tcW w:w="1971" w:type="dxa"/>
            <w:shd w:val="clear" w:color="auto" w:fill="auto"/>
            <w:noWrap/>
            <w:vAlign w:val="bottom"/>
            <w:hideMark/>
          </w:tcPr>
          <w:p w14:paraId="21DAC8BF"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17</w:t>
            </w:r>
          </w:p>
        </w:tc>
        <w:tc>
          <w:tcPr>
            <w:tcW w:w="1868" w:type="dxa"/>
            <w:shd w:val="clear" w:color="auto" w:fill="auto"/>
            <w:noWrap/>
            <w:vAlign w:val="bottom"/>
            <w:hideMark/>
          </w:tcPr>
          <w:p w14:paraId="6154122A"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9</w:t>
            </w:r>
          </w:p>
        </w:tc>
      </w:tr>
      <w:tr w:rsidR="00D937AA" w:rsidRPr="005B7F92" w14:paraId="37C6C7A8" w14:textId="77777777" w:rsidTr="00695E76">
        <w:trPr>
          <w:trHeight w:val="297"/>
          <w:jc w:val="center"/>
        </w:trPr>
        <w:tc>
          <w:tcPr>
            <w:tcW w:w="1153" w:type="dxa"/>
            <w:shd w:val="clear" w:color="auto" w:fill="auto"/>
            <w:noWrap/>
            <w:vAlign w:val="bottom"/>
            <w:hideMark/>
          </w:tcPr>
          <w:p w14:paraId="34675164" w14:textId="77777777" w:rsidR="00D937AA" w:rsidRPr="005B7F92" w:rsidRDefault="00D937AA" w:rsidP="00933E4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2003</w:t>
            </w:r>
          </w:p>
        </w:tc>
        <w:tc>
          <w:tcPr>
            <w:tcW w:w="1971" w:type="dxa"/>
            <w:shd w:val="clear" w:color="auto" w:fill="auto"/>
            <w:noWrap/>
            <w:vAlign w:val="bottom"/>
            <w:hideMark/>
          </w:tcPr>
          <w:p w14:paraId="7AAA38F9"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21</w:t>
            </w:r>
          </w:p>
        </w:tc>
        <w:tc>
          <w:tcPr>
            <w:tcW w:w="1868" w:type="dxa"/>
            <w:shd w:val="clear" w:color="auto" w:fill="auto"/>
            <w:noWrap/>
            <w:vAlign w:val="bottom"/>
            <w:hideMark/>
          </w:tcPr>
          <w:p w14:paraId="6F58ABE1" w14:textId="77777777" w:rsidR="00D937AA" w:rsidRPr="005B7F92" w:rsidRDefault="00D937AA" w:rsidP="004E59E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14</w:t>
            </w:r>
          </w:p>
        </w:tc>
      </w:tr>
      <w:tr w:rsidR="00D937AA" w:rsidRPr="005B7F92" w14:paraId="53E57161" w14:textId="77777777" w:rsidTr="00695E76">
        <w:trPr>
          <w:trHeight w:val="297"/>
          <w:jc w:val="center"/>
        </w:trPr>
        <w:tc>
          <w:tcPr>
            <w:tcW w:w="1153" w:type="dxa"/>
            <w:shd w:val="clear" w:color="auto" w:fill="auto"/>
            <w:noWrap/>
            <w:vAlign w:val="bottom"/>
            <w:hideMark/>
          </w:tcPr>
          <w:p w14:paraId="5FE647AE"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2004</w:t>
            </w:r>
          </w:p>
        </w:tc>
        <w:tc>
          <w:tcPr>
            <w:tcW w:w="1971" w:type="dxa"/>
            <w:shd w:val="clear" w:color="auto" w:fill="auto"/>
            <w:noWrap/>
            <w:vAlign w:val="bottom"/>
            <w:hideMark/>
          </w:tcPr>
          <w:p w14:paraId="2058BB46"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31</w:t>
            </w:r>
          </w:p>
        </w:tc>
        <w:tc>
          <w:tcPr>
            <w:tcW w:w="1868" w:type="dxa"/>
            <w:shd w:val="clear" w:color="auto" w:fill="auto"/>
            <w:noWrap/>
            <w:vAlign w:val="bottom"/>
            <w:hideMark/>
          </w:tcPr>
          <w:p w14:paraId="071536D6"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7</w:t>
            </w:r>
          </w:p>
        </w:tc>
      </w:tr>
      <w:tr w:rsidR="00D937AA" w:rsidRPr="005B7F92" w14:paraId="1144D829" w14:textId="77777777" w:rsidTr="00695E76">
        <w:trPr>
          <w:trHeight w:val="297"/>
          <w:jc w:val="center"/>
        </w:trPr>
        <w:tc>
          <w:tcPr>
            <w:tcW w:w="1153" w:type="dxa"/>
            <w:shd w:val="clear" w:color="auto" w:fill="auto"/>
            <w:noWrap/>
            <w:vAlign w:val="bottom"/>
            <w:hideMark/>
          </w:tcPr>
          <w:p w14:paraId="243B7493"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2005</w:t>
            </w:r>
          </w:p>
        </w:tc>
        <w:tc>
          <w:tcPr>
            <w:tcW w:w="1971" w:type="dxa"/>
            <w:shd w:val="clear" w:color="auto" w:fill="auto"/>
            <w:noWrap/>
            <w:vAlign w:val="bottom"/>
            <w:hideMark/>
          </w:tcPr>
          <w:p w14:paraId="17F3F92E"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18</w:t>
            </w:r>
          </w:p>
        </w:tc>
        <w:tc>
          <w:tcPr>
            <w:tcW w:w="1868" w:type="dxa"/>
            <w:shd w:val="clear" w:color="auto" w:fill="auto"/>
            <w:noWrap/>
            <w:vAlign w:val="bottom"/>
            <w:hideMark/>
          </w:tcPr>
          <w:p w14:paraId="05AB2205"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w:t>
            </w:r>
          </w:p>
        </w:tc>
      </w:tr>
      <w:tr w:rsidR="00D937AA" w:rsidRPr="005B7F92" w14:paraId="00131270" w14:textId="77777777" w:rsidTr="00695E76">
        <w:trPr>
          <w:trHeight w:val="297"/>
          <w:jc w:val="center"/>
        </w:trPr>
        <w:tc>
          <w:tcPr>
            <w:tcW w:w="1153" w:type="dxa"/>
            <w:shd w:val="clear" w:color="auto" w:fill="auto"/>
            <w:noWrap/>
            <w:vAlign w:val="bottom"/>
            <w:hideMark/>
          </w:tcPr>
          <w:p w14:paraId="1925552B"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2006</w:t>
            </w:r>
          </w:p>
        </w:tc>
        <w:tc>
          <w:tcPr>
            <w:tcW w:w="1971" w:type="dxa"/>
            <w:shd w:val="clear" w:color="auto" w:fill="auto"/>
            <w:noWrap/>
            <w:vAlign w:val="bottom"/>
            <w:hideMark/>
          </w:tcPr>
          <w:p w14:paraId="484115E8"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18</w:t>
            </w:r>
          </w:p>
        </w:tc>
        <w:tc>
          <w:tcPr>
            <w:tcW w:w="1868" w:type="dxa"/>
            <w:shd w:val="clear" w:color="auto" w:fill="auto"/>
            <w:noWrap/>
            <w:vAlign w:val="bottom"/>
            <w:hideMark/>
          </w:tcPr>
          <w:p w14:paraId="03F24378"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w:t>
            </w:r>
          </w:p>
        </w:tc>
      </w:tr>
      <w:tr w:rsidR="00D937AA" w:rsidRPr="005B7F92" w14:paraId="1A49397C" w14:textId="77777777" w:rsidTr="00695E76">
        <w:trPr>
          <w:trHeight w:val="297"/>
          <w:jc w:val="center"/>
        </w:trPr>
        <w:tc>
          <w:tcPr>
            <w:tcW w:w="1153" w:type="dxa"/>
            <w:shd w:val="clear" w:color="auto" w:fill="auto"/>
            <w:noWrap/>
            <w:vAlign w:val="bottom"/>
            <w:hideMark/>
          </w:tcPr>
          <w:p w14:paraId="76B6FCDE"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2007</w:t>
            </w:r>
          </w:p>
        </w:tc>
        <w:tc>
          <w:tcPr>
            <w:tcW w:w="1971" w:type="dxa"/>
            <w:shd w:val="clear" w:color="auto" w:fill="auto"/>
            <w:noWrap/>
            <w:vAlign w:val="bottom"/>
            <w:hideMark/>
          </w:tcPr>
          <w:p w14:paraId="650FDAF7"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16</w:t>
            </w:r>
          </w:p>
        </w:tc>
        <w:tc>
          <w:tcPr>
            <w:tcW w:w="1868" w:type="dxa"/>
            <w:shd w:val="clear" w:color="auto" w:fill="auto"/>
            <w:noWrap/>
            <w:vAlign w:val="bottom"/>
            <w:hideMark/>
          </w:tcPr>
          <w:p w14:paraId="2C502932"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w:t>
            </w:r>
          </w:p>
        </w:tc>
      </w:tr>
      <w:tr w:rsidR="00D937AA" w:rsidRPr="005B7F92" w14:paraId="0EC2F92D" w14:textId="77777777" w:rsidTr="00695E76">
        <w:trPr>
          <w:trHeight w:val="297"/>
          <w:jc w:val="center"/>
        </w:trPr>
        <w:tc>
          <w:tcPr>
            <w:tcW w:w="1153" w:type="dxa"/>
            <w:shd w:val="clear" w:color="auto" w:fill="auto"/>
            <w:noWrap/>
            <w:vAlign w:val="bottom"/>
            <w:hideMark/>
          </w:tcPr>
          <w:p w14:paraId="062F071E"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2008</w:t>
            </w:r>
          </w:p>
        </w:tc>
        <w:tc>
          <w:tcPr>
            <w:tcW w:w="1971" w:type="dxa"/>
            <w:shd w:val="clear" w:color="auto" w:fill="auto"/>
            <w:noWrap/>
            <w:vAlign w:val="bottom"/>
            <w:hideMark/>
          </w:tcPr>
          <w:p w14:paraId="5530BECC"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21</w:t>
            </w:r>
          </w:p>
        </w:tc>
        <w:tc>
          <w:tcPr>
            <w:tcW w:w="1868" w:type="dxa"/>
            <w:shd w:val="clear" w:color="auto" w:fill="auto"/>
            <w:noWrap/>
            <w:vAlign w:val="bottom"/>
            <w:hideMark/>
          </w:tcPr>
          <w:p w14:paraId="4A147B17"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w:t>
            </w:r>
          </w:p>
        </w:tc>
      </w:tr>
      <w:tr w:rsidR="00D937AA" w:rsidRPr="005B7F92" w14:paraId="1CDDC98F" w14:textId="77777777" w:rsidTr="00695E76">
        <w:trPr>
          <w:trHeight w:val="297"/>
          <w:jc w:val="center"/>
        </w:trPr>
        <w:tc>
          <w:tcPr>
            <w:tcW w:w="1153" w:type="dxa"/>
            <w:shd w:val="clear" w:color="auto" w:fill="auto"/>
            <w:noWrap/>
            <w:vAlign w:val="bottom"/>
            <w:hideMark/>
          </w:tcPr>
          <w:p w14:paraId="68DDE253"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2009</w:t>
            </w:r>
          </w:p>
        </w:tc>
        <w:tc>
          <w:tcPr>
            <w:tcW w:w="1971" w:type="dxa"/>
            <w:shd w:val="clear" w:color="auto" w:fill="auto"/>
            <w:noWrap/>
            <w:vAlign w:val="bottom"/>
            <w:hideMark/>
          </w:tcPr>
          <w:p w14:paraId="23408616"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19</w:t>
            </w:r>
          </w:p>
        </w:tc>
        <w:tc>
          <w:tcPr>
            <w:tcW w:w="1868" w:type="dxa"/>
            <w:shd w:val="clear" w:color="auto" w:fill="auto"/>
            <w:noWrap/>
            <w:vAlign w:val="bottom"/>
            <w:hideMark/>
          </w:tcPr>
          <w:p w14:paraId="7D64BE19"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15</w:t>
            </w:r>
          </w:p>
        </w:tc>
      </w:tr>
      <w:tr w:rsidR="00D937AA" w:rsidRPr="005B7F92" w14:paraId="0B32B255" w14:textId="77777777" w:rsidTr="00695E76">
        <w:trPr>
          <w:trHeight w:val="297"/>
          <w:jc w:val="center"/>
        </w:trPr>
        <w:tc>
          <w:tcPr>
            <w:tcW w:w="1153" w:type="dxa"/>
            <w:shd w:val="clear" w:color="auto" w:fill="auto"/>
            <w:noWrap/>
            <w:vAlign w:val="bottom"/>
            <w:hideMark/>
          </w:tcPr>
          <w:p w14:paraId="038A2BD3"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2010</w:t>
            </w:r>
          </w:p>
        </w:tc>
        <w:tc>
          <w:tcPr>
            <w:tcW w:w="1971" w:type="dxa"/>
            <w:shd w:val="clear" w:color="auto" w:fill="auto"/>
            <w:noWrap/>
            <w:vAlign w:val="bottom"/>
            <w:hideMark/>
          </w:tcPr>
          <w:p w14:paraId="66BFEBF5"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15</w:t>
            </w:r>
          </w:p>
        </w:tc>
        <w:tc>
          <w:tcPr>
            <w:tcW w:w="1868" w:type="dxa"/>
            <w:shd w:val="clear" w:color="auto" w:fill="auto"/>
            <w:noWrap/>
            <w:vAlign w:val="bottom"/>
            <w:hideMark/>
          </w:tcPr>
          <w:p w14:paraId="6BCBF995"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w:t>
            </w:r>
          </w:p>
        </w:tc>
      </w:tr>
      <w:tr w:rsidR="00D937AA" w:rsidRPr="005B7F92" w14:paraId="0E0999D0" w14:textId="77777777" w:rsidTr="00695E76">
        <w:trPr>
          <w:trHeight w:val="297"/>
          <w:jc w:val="center"/>
        </w:trPr>
        <w:tc>
          <w:tcPr>
            <w:tcW w:w="1153" w:type="dxa"/>
            <w:shd w:val="clear" w:color="auto" w:fill="auto"/>
            <w:noWrap/>
            <w:vAlign w:val="bottom"/>
            <w:hideMark/>
          </w:tcPr>
          <w:p w14:paraId="32F01B41" w14:textId="77777777" w:rsidR="00D937AA" w:rsidRPr="005B7F92" w:rsidRDefault="00D937AA" w:rsidP="00D937AA">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2011</w:t>
            </w:r>
          </w:p>
        </w:tc>
        <w:tc>
          <w:tcPr>
            <w:tcW w:w="1971" w:type="dxa"/>
            <w:shd w:val="clear" w:color="auto" w:fill="auto"/>
            <w:noWrap/>
            <w:vAlign w:val="bottom"/>
            <w:hideMark/>
          </w:tcPr>
          <w:p w14:paraId="4052652E"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24</w:t>
            </w:r>
          </w:p>
        </w:tc>
        <w:tc>
          <w:tcPr>
            <w:tcW w:w="1868" w:type="dxa"/>
            <w:shd w:val="clear" w:color="auto" w:fill="auto"/>
            <w:noWrap/>
            <w:vAlign w:val="bottom"/>
            <w:hideMark/>
          </w:tcPr>
          <w:p w14:paraId="34006403" w14:textId="77777777" w:rsidR="00D937AA" w:rsidRPr="005B7F92" w:rsidRDefault="00D937AA" w:rsidP="004E59EB">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w:t>
            </w:r>
          </w:p>
        </w:tc>
      </w:tr>
    </w:tbl>
    <w:p w14:paraId="1F1D8069" w14:textId="3A650E61" w:rsidR="00D97562" w:rsidRPr="005B7F92" w:rsidRDefault="00D97562" w:rsidP="00D97562">
      <w:pPr>
        <w:pStyle w:val="BodyTextMain"/>
        <w:rPr>
          <w:lang w:val="en-GB"/>
        </w:rPr>
      </w:pPr>
    </w:p>
    <w:p w14:paraId="68A966C3" w14:textId="2C944FC3" w:rsidR="00A776DC" w:rsidRPr="005B7F92" w:rsidRDefault="00C900D2" w:rsidP="00C900D2">
      <w:pPr>
        <w:pStyle w:val="NoSpacing"/>
        <w:rPr>
          <w:rFonts w:ascii="Arial" w:eastAsia="Times New Roman" w:hAnsi="Arial" w:cs="Arial"/>
          <w:color w:val="1C1C1C"/>
          <w:sz w:val="17"/>
          <w:szCs w:val="17"/>
          <w:lang w:val="en-GB" w:eastAsia="zh-CN" w:bidi="ar-SA"/>
        </w:rPr>
      </w:pPr>
      <w:r w:rsidRPr="005B7F92">
        <w:rPr>
          <w:rFonts w:ascii="Arial" w:eastAsia="Times New Roman" w:hAnsi="Arial" w:cs="Arial"/>
          <w:color w:val="1C1C1C"/>
          <w:sz w:val="17"/>
          <w:szCs w:val="17"/>
          <w:lang w:val="en-GB" w:eastAsia="zh-CN" w:bidi="ar-SA"/>
        </w:rPr>
        <w:t xml:space="preserve">Source: </w:t>
      </w:r>
      <w:r w:rsidR="006A074C" w:rsidRPr="005B7F92">
        <w:rPr>
          <w:rFonts w:ascii="Arial" w:eastAsia="Times New Roman" w:hAnsi="Arial" w:cs="Arial"/>
          <w:color w:val="1C1C1C"/>
          <w:sz w:val="17"/>
          <w:szCs w:val="17"/>
          <w:lang w:val="en-GB" w:eastAsia="zh-CN" w:bidi="ar-SA"/>
        </w:rPr>
        <w:t xml:space="preserve">Created by the case authors based on </w:t>
      </w:r>
      <w:r w:rsidR="0080221E">
        <w:rPr>
          <w:rFonts w:ascii="Arial" w:eastAsia="Times New Roman" w:hAnsi="Arial" w:cs="Arial"/>
          <w:color w:val="1C1C1C"/>
          <w:sz w:val="17"/>
          <w:szCs w:val="17"/>
          <w:lang w:val="en-GB" w:eastAsia="zh-CN" w:bidi="ar-SA"/>
        </w:rPr>
        <w:t>P</w:t>
      </w:r>
      <w:r w:rsidR="00CD1CCF">
        <w:rPr>
          <w:rFonts w:ascii="Arial" w:eastAsia="Times New Roman" w:hAnsi="Arial" w:cs="Arial"/>
          <w:color w:val="1C1C1C"/>
          <w:sz w:val="17"/>
          <w:szCs w:val="17"/>
          <w:lang w:val="en-GB" w:eastAsia="zh-CN" w:bidi="ar-SA"/>
        </w:rPr>
        <w:t>w</w:t>
      </w:r>
      <w:r w:rsidR="0080221E">
        <w:rPr>
          <w:rFonts w:ascii="Arial" w:eastAsia="Times New Roman" w:hAnsi="Arial" w:cs="Arial"/>
          <w:color w:val="1C1C1C"/>
          <w:sz w:val="17"/>
          <w:szCs w:val="17"/>
          <w:lang w:val="en-GB" w:eastAsia="zh-CN" w:bidi="ar-SA"/>
        </w:rPr>
        <w:t xml:space="preserve">C, </w:t>
      </w:r>
      <w:r w:rsidRPr="0074592C">
        <w:rPr>
          <w:rFonts w:ascii="Arial" w:eastAsia="Times New Roman" w:hAnsi="Arial" w:cs="Arial"/>
          <w:i/>
          <w:color w:val="1C1C1C"/>
          <w:sz w:val="17"/>
          <w:szCs w:val="17"/>
          <w:lang w:val="en-GB" w:eastAsia="zh-CN" w:bidi="ar-SA"/>
        </w:rPr>
        <w:t xml:space="preserve">From </w:t>
      </w:r>
      <w:r w:rsidR="00972346" w:rsidRPr="0074592C">
        <w:rPr>
          <w:rFonts w:ascii="Arial" w:eastAsia="Times New Roman" w:hAnsi="Arial" w:cs="Arial"/>
          <w:i/>
          <w:color w:val="1C1C1C"/>
          <w:sz w:val="17"/>
          <w:szCs w:val="17"/>
          <w:lang w:val="en-GB" w:eastAsia="zh-CN" w:bidi="ar-SA"/>
        </w:rPr>
        <w:t>V</w:t>
      </w:r>
      <w:r w:rsidRPr="0074592C">
        <w:rPr>
          <w:rFonts w:ascii="Arial" w:eastAsia="Times New Roman" w:hAnsi="Arial" w:cs="Arial"/>
          <w:i/>
          <w:color w:val="1C1C1C"/>
          <w:sz w:val="17"/>
          <w:szCs w:val="17"/>
          <w:lang w:val="en-GB" w:eastAsia="zh-CN" w:bidi="ar-SA"/>
        </w:rPr>
        <w:t xml:space="preserve">ision to </w:t>
      </w:r>
      <w:r w:rsidR="00972346" w:rsidRPr="0074592C">
        <w:rPr>
          <w:rFonts w:ascii="Arial" w:eastAsia="Times New Roman" w:hAnsi="Arial" w:cs="Arial"/>
          <w:i/>
          <w:color w:val="1C1C1C"/>
          <w:sz w:val="17"/>
          <w:szCs w:val="17"/>
          <w:lang w:val="en-GB" w:eastAsia="zh-CN" w:bidi="ar-SA"/>
        </w:rPr>
        <w:t>D</w:t>
      </w:r>
      <w:r w:rsidRPr="0074592C">
        <w:rPr>
          <w:rFonts w:ascii="Arial" w:eastAsia="Times New Roman" w:hAnsi="Arial" w:cs="Arial"/>
          <w:i/>
          <w:color w:val="1C1C1C"/>
          <w:sz w:val="17"/>
          <w:szCs w:val="17"/>
          <w:lang w:val="en-GB" w:eastAsia="zh-CN" w:bidi="ar-SA"/>
        </w:rPr>
        <w:t>ecision</w:t>
      </w:r>
      <w:r w:rsidR="00972346" w:rsidRPr="0074592C">
        <w:rPr>
          <w:rFonts w:ascii="Arial" w:eastAsia="Times New Roman" w:hAnsi="Arial" w:cs="Arial"/>
          <w:i/>
          <w:color w:val="1C1C1C"/>
          <w:sz w:val="17"/>
          <w:szCs w:val="17"/>
          <w:lang w:val="en-GB" w:eastAsia="zh-CN" w:bidi="ar-SA"/>
        </w:rPr>
        <w:t>:</w:t>
      </w:r>
      <w:r w:rsidRPr="0074592C">
        <w:rPr>
          <w:rFonts w:ascii="Arial" w:eastAsia="Times New Roman" w:hAnsi="Arial" w:cs="Arial"/>
          <w:i/>
          <w:color w:val="1C1C1C"/>
          <w:sz w:val="17"/>
          <w:szCs w:val="17"/>
          <w:lang w:val="en-GB" w:eastAsia="zh-CN" w:bidi="ar-SA"/>
        </w:rPr>
        <w:t xml:space="preserve"> Pharma 2020,</w:t>
      </w:r>
      <w:r w:rsidRPr="005B7F92">
        <w:rPr>
          <w:rFonts w:ascii="Arial" w:eastAsia="Times New Roman" w:hAnsi="Arial" w:cs="Arial"/>
          <w:color w:val="1C1C1C"/>
          <w:sz w:val="17"/>
          <w:szCs w:val="17"/>
          <w:lang w:val="en-GB" w:eastAsia="zh-CN" w:bidi="ar-SA"/>
        </w:rPr>
        <w:t xml:space="preserve"> 2012, 5, accessed July 18, 2017, https://www.pwc.com/gx/en/pharma-life-sciences/pharma2020/assets/pwc-pharma-success-strategies.pdf.</w:t>
      </w:r>
    </w:p>
    <w:p w14:paraId="2D65CA18" w14:textId="77777777" w:rsidR="00C900D2" w:rsidRPr="005B7F92" w:rsidRDefault="00C900D2" w:rsidP="00C900D2">
      <w:pPr>
        <w:pStyle w:val="NoSpacing"/>
        <w:rPr>
          <w:rFonts w:ascii="Arial" w:eastAsia="Times New Roman" w:hAnsi="Arial" w:cs="Arial"/>
          <w:b/>
          <w:color w:val="1C1C1C"/>
          <w:sz w:val="20"/>
          <w:szCs w:val="20"/>
          <w:lang w:val="en-GB" w:eastAsia="zh-CN" w:bidi="ar-SA"/>
        </w:rPr>
      </w:pPr>
    </w:p>
    <w:p w14:paraId="46F3A85E" w14:textId="77777777" w:rsidR="00BD1D69" w:rsidRPr="005B7F92" w:rsidRDefault="00BD1D69" w:rsidP="002C7705">
      <w:pPr>
        <w:pStyle w:val="NoSpacing"/>
        <w:jc w:val="center"/>
        <w:rPr>
          <w:rFonts w:ascii="Arial" w:eastAsia="Times New Roman" w:hAnsi="Arial" w:cs="Arial"/>
          <w:b/>
          <w:color w:val="1C1C1C"/>
          <w:sz w:val="20"/>
          <w:szCs w:val="20"/>
          <w:lang w:val="en-GB" w:eastAsia="zh-CN" w:bidi="ar-SA"/>
        </w:rPr>
      </w:pPr>
    </w:p>
    <w:p w14:paraId="100B7DA5" w14:textId="7AD48ECA" w:rsidR="00A776DC" w:rsidRPr="005B7F92" w:rsidRDefault="00A776DC" w:rsidP="00933E4B">
      <w:pPr>
        <w:pStyle w:val="NoSpacing"/>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t xml:space="preserve">EXHIBIT </w:t>
      </w:r>
      <w:r w:rsidR="001F4B2F" w:rsidRPr="005B7F92">
        <w:rPr>
          <w:rFonts w:ascii="Arial" w:eastAsia="Times New Roman" w:hAnsi="Arial" w:cs="Arial"/>
          <w:b/>
          <w:color w:val="1C1C1C"/>
          <w:sz w:val="20"/>
          <w:szCs w:val="20"/>
          <w:lang w:val="en-GB" w:eastAsia="zh-CN" w:bidi="ar-SA"/>
        </w:rPr>
        <w:t>2A</w:t>
      </w:r>
      <w:r w:rsidRPr="005B7F92">
        <w:rPr>
          <w:rFonts w:ascii="Arial" w:eastAsia="Times New Roman" w:hAnsi="Arial" w:cs="Arial"/>
          <w:b/>
          <w:color w:val="1C1C1C"/>
          <w:sz w:val="20"/>
          <w:szCs w:val="20"/>
          <w:lang w:val="en-GB" w:eastAsia="zh-CN" w:bidi="ar-SA"/>
        </w:rPr>
        <w:t xml:space="preserve">: BAYER </w:t>
      </w:r>
      <w:r w:rsidR="00267151" w:rsidRPr="005B7F92">
        <w:rPr>
          <w:rFonts w:ascii="Arial" w:eastAsia="Times New Roman" w:hAnsi="Arial" w:cs="Arial"/>
          <w:b/>
          <w:color w:val="1C1C1C"/>
          <w:sz w:val="20"/>
          <w:szCs w:val="20"/>
          <w:lang w:val="en-GB" w:eastAsia="zh-CN" w:bidi="ar-SA"/>
        </w:rPr>
        <w:t xml:space="preserve">CORPORATE </w:t>
      </w:r>
      <w:r w:rsidRPr="005B7F92">
        <w:rPr>
          <w:rFonts w:ascii="Arial" w:eastAsia="Times New Roman" w:hAnsi="Arial" w:cs="Arial"/>
          <w:b/>
          <w:color w:val="1C1C1C"/>
          <w:sz w:val="20"/>
          <w:szCs w:val="20"/>
          <w:lang w:val="en-GB" w:eastAsia="zh-CN" w:bidi="ar-SA"/>
        </w:rPr>
        <w:t>STRUCTURE</w:t>
      </w:r>
      <w:r w:rsidR="005E0BEF"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2016</w:t>
      </w:r>
    </w:p>
    <w:p w14:paraId="2BA9F027" w14:textId="3BC7A12E" w:rsidR="002C4740" w:rsidRPr="005B7F92" w:rsidRDefault="002C4740" w:rsidP="00A776DC">
      <w:pPr>
        <w:pStyle w:val="BodyTextMain"/>
        <w:rPr>
          <w:lang w:val="en-GB"/>
        </w:rPr>
      </w:pPr>
    </w:p>
    <w:tbl>
      <w:tblPr>
        <w:tblW w:w="8000" w:type="dxa"/>
        <w:jc w:val="center"/>
        <w:tblLook w:val="04A0" w:firstRow="1" w:lastRow="0" w:firstColumn="1" w:lastColumn="0" w:noHBand="0" w:noVBand="1"/>
      </w:tblPr>
      <w:tblGrid>
        <w:gridCol w:w="1736"/>
        <w:gridCol w:w="222"/>
        <w:gridCol w:w="1806"/>
        <w:gridCol w:w="222"/>
        <w:gridCol w:w="1252"/>
        <w:gridCol w:w="222"/>
        <w:gridCol w:w="1313"/>
        <w:gridCol w:w="222"/>
        <w:gridCol w:w="1005"/>
      </w:tblGrid>
      <w:tr w:rsidR="002C4740" w:rsidRPr="005B7F92" w14:paraId="01DF39A5" w14:textId="77777777" w:rsidTr="00933E4B">
        <w:trPr>
          <w:trHeight w:val="680"/>
          <w:jc w:val="center"/>
        </w:trPr>
        <w:tc>
          <w:tcPr>
            <w:tcW w:w="20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16ED1C0"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Corporate Functions and Business Services</w:t>
            </w:r>
          </w:p>
        </w:tc>
        <w:tc>
          <w:tcPr>
            <w:tcW w:w="100" w:type="dxa"/>
            <w:tcBorders>
              <w:top w:val="nil"/>
              <w:left w:val="nil"/>
              <w:bottom w:val="nil"/>
              <w:right w:val="nil"/>
            </w:tcBorders>
            <w:shd w:val="clear" w:color="auto" w:fill="auto"/>
            <w:vAlign w:val="bottom"/>
            <w:hideMark/>
          </w:tcPr>
          <w:p w14:paraId="03717477" w14:textId="77777777" w:rsidR="002C4740" w:rsidRPr="005B7F92" w:rsidRDefault="002C4740" w:rsidP="002C4740">
            <w:pPr>
              <w:jc w:val="center"/>
              <w:rPr>
                <w:rFonts w:ascii="Arial" w:eastAsia="SimSun" w:hAnsi="Arial" w:cs="Arial"/>
                <w:b/>
                <w:bCs/>
                <w:color w:val="000000"/>
                <w:kern w:val="0"/>
                <w:lang w:val="en-GB" w:eastAsia="zh-CN"/>
              </w:rPr>
            </w:pPr>
          </w:p>
        </w:tc>
        <w:tc>
          <w:tcPr>
            <w:tcW w:w="5820" w:type="dxa"/>
            <w:gridSpan w:val="7"/>
            <w:tcBorders>
              <w:top w:val="single" w:sz="4" w:space="0" w:color="auto"/>
              <w:left w:val="single" w:sz="4" w:space="0" w:color="auto"/>
              <w:bottom w:val="single" w:sz="4" w:space="0" w:color="auto"/>
              <w:right w:val="single" w:sz="4" w:space="0" w:color="000000"/>
            </w:tcBorders>
            <w:shd w:val="clear" w:color="auto" w:fill="auto"/>
            <w:vAlign w:val="center"/>
            <w:hideMark/>
          </w:tcPr>
          <w:p w14:paraId="328DB82C"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Board of Management</w:t>
            </w:r>
          </w:p>
        </w:tc>
      </w:tr>
      <w:tr w:rsidR="002C4740" w:rsidRPr="005B7F92" w14:paraId="2F0D2186" w14:textId="77777777" w:rsidTr="00933E4B">
        <w:trPr>
          <w:trHeight w:val="160"/>
          <w:jc w:val="center"/>
        </w:trPr>
        <w:tc>
          <w:tcPr>
            <w:tcW w:w="2080" w:type="dxa"/>
            <w:vMerge/>
            <w:tcBorders>
              <w:top w:val="single" w:sz="4" w:space="0" w:color="auto"/>
              <w:left w:val="single" w:sz="4" w:space="0" w:color="auto"/>
              <w:bottom w:val="single" w:sz="4" w:space="0" w:color="000000"/>
              <w:right w:val="single" w:sz="4" w:space="0" w:color="auto"/>
            </w:tcBorders>
            <w:vAlign w:val="center"/>
            <w:hideMark/>
          </w:tcPr>
          <w:p w14:paraId="6BB31142" w14:textId="77777777" w:rsidR="002C4740" w:rsidRPr="005B7F92" w:rsidRDefault="002C4740" w:rsidP="002C4740">
            <w:pP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4FA9F229" w14:textId="77777777" w:rsidR="002C4740" w:rsidRPr="005B7F92" w:rsidRDefault="002C4740" w:rsidP="002C4740">
            <w:pPr>
              <w:jc w:val="center"/>
              <w:rPr>
                <w:rFonts w:ascii="Arial" w:eastAsia="SimSun" w:hAnsi="Arial" w:cs="Arial"/>
                <w:b/>
                <w:bCs/>
                <w:color w:val="000000"/>
                <w:kern w:val="0"/>
                <w:lang w:val="en-GB" w:eastAsia="zh-CN"/>
              </w:rPr>
            </w:pPr>
          </w:p>
        </w:tc>
        <w:tc>
          <w:tcPr>
            <w:tcW w:w="1640" w:type="dxa"/>
            <w:tcBorders>
              <w:top w:val="nil"/>
              <w:left w:val="nil"/>
              <w:bottom w:val="nil"/>
              <w:right w:val="nil"/>
            </w:tcBorders>
            <w:shd w:val="clear" w:color="auto" w:fill="auto"/>
            <w:vAlign w:val="bottom"/>
            <w:hideMark/>
          </w:tcPr>
          <w:p w14:paraId="45BBEFED" w14:textId="77777777" w:rsidR="002C4740" w:rsidRPr="005B7F92" w:rsidRDefault="002C4740" w:rsidP="002C4740">
            <w:pPr>
              <w:jc w:val="cente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55F0398D" w14:textId="77777777" w:rsidR="002C4740" w:rsidRPr="005B7F92" w:rsidRDefault="002C4740" w:rsidP="002C4740">
            <w:pPr>
              <w:jc w:val="center"/>
              <w:rPr>
                <w:rFonts w:eastAsia="SimSun"/>
                <w:b/>
                <w:bCs/>
                <w:color w:val="000000"/>
                <w:kern w:val="0"/>
                <w:lang w:val="en-GB" w:eastAsia="zh-CN"/>
              </w:rPr>
            </w:pPr>
          </w:p>
        </w:tc>
        <w:tc>
          <w:tcPr>
            <w:tcW w:w="1280" w:type="dxa"/>
            <w:tcBorders>
              <w:top w:val="nil"/>
              <w:left w:val="nil"/>
              <w:bottom w:val="nil"/>
              <w:right w:val="nil"/>
            </w:tcBorders>
            <w:shd w:val="clear" w:color="auto" w:fill="auto"/>
            <w:vAlign w:val="bottom"/>
            <w:hideMark/>
          </w:tcPr>
          <w:p w14:paraId="7BDCC9FC" w14:textId="77777777" w:rsidR="002C4740" w:rsidRPr="005B7F92" w:rsidRDefault="002C4740" w:rsidP="002C4740">
            <w:pPr>
              <w:jc w:val="cente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603DBABC" w14:textId="77777777" w:rsidR="002C4740" w:rsidRPr="005B7F92" w:rsidRDefault="002C4740" w:rsidP="002C4740">
            <w:pPr>
              <w:jc w:val="center"/>
              <w:rPr>
                <w:rFonts w:ascii="Arial" w:eastAsia="SimSun" w:hAnsi="Arial" w:cs="Arial"/>
                <w:b/>
                <w:bCs/>
                <w:color w:val="000000"/>
                <w:kern w:val="0"/>
                <w:lang w:val="en-GB" w:eastAsia="zh-CN"/>
              </w:rPr>
            </w:pPr>
          </w:p>
        </w:tc>
        <w:tc>
          <w:tcPr>
            <w:tcW w:w="1520" w:type="dxa"/>
            <w:tcBorders>
              <w:top w:val="nil"/>
              <w:left w:val="nil"/>
              <w:bottom w:val="nil"/>
              <w:right w:val="nil"/>
            </w:tcBorders>
            <w:shd w:val="clear" w:color="auto" w:fill="auto"/>
            <w:vAlign w:val="bottom"/>
            <w:hideMark/>
          </w:tcPr>
          <w:p w14:paraId="3B31B79B" w14:textId="77777777" w:rsidR="002C4740" w:rsidRPr="005B7F92" w:rsidRDefault="002C4740" w:rsidP="002C4740">
            <w:pPr>
              <w:jc w:val="cente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7D5D9211" w14:textId="77777777" w:rsidR="002C4740" w:rsidRPr="005B7F92" w:rsidRDefault="002C4740" w:rsidP="002C4740">
            <w:pPr>
              <w:jc w:val="center"/>
              <w:rPr>
                <w:rFonts w:ascii="Arial" w:eastAsia="SimSun" w:hAnsi="Arial" w:cs="Arial"/>
                <w:b/>
                <w:bCs/>
                <w:color w:val="000000"/>
                <w:kern w:val="0"/>
                <w:lang w:val="en-GB" w:eastAsia="zh-CN"/>
              </w:rPr>
            </w:pPr>
          </w:p>
        </w:tc>
        <w:tc>
          <w:tcPr>
            <w:tcW w:w="1080" w:type="dxa"/>
            <w:tcBorders>
              <w:top w:val="nil"/>
              <w:left w:val="nil"/>
              <w:bottom w:val="nil"/>
              <w:right w:val="nil"/>
            </w:tcBorders>
            <w:shd w:val="clear" w:color="auto" w:fill="auto"/>
            <w:vAlign w:val="bottom"/>
            <w:hideMark/>
          </w:tcPr>
          <w:p w14:paraId="09B99170" w14:textId="77777777" w:rsidR="002C4740" w:rsidRPr="005B7F92" w:rsidRDefault="002C4740" w:rsidP="002C4740">
            <w:pPr>
              <w:jc w:val="center"/>
              <w:rPr>
                <w:rFonts w:ascii="Arial" w:eastAsia="SimSun" w:hAnsi="Arial" w:cs="Arial"/>
                <w:b/>
                <w:bCs/>
                <w:color w:val="000000"/>
                <w:kern w:val="0"/>
                <w:lang w:val="en-GB" w:eastAsia="zh-CN"/>
              </w:rPr>
            </w:pPr>
          </w:p>
        </w:tc>
      </w:tr>
      <w:tr w:rsidR="002C4740" w:rsidRPr="005B7F92" w14:paraId="7F96946F" w14:textId="77777777" w:rsidTr="00933E4B">
        <w:trPr>
          <w:trHeight w:val="680"/>
          <w:jc w:val="center"/>
        </w:trPr>
        <w:tc>
          <w:tcPr>
            <w:tcW w:w="2080" w:type="dxa"/>
            <w:vMerge/>
            <w:tcBorders>
              <w:top w:val="single" w:sz="4" w:space="0" w:color="auto"/>
              <w:left w:val="single" w:sz="4" w:space="0" w:color="auto"/>
              <w:bottom w:val="single" w:sz="4" w:space="0" w:color="000000"/>
              <w:right w:val="single" w:sz="4" w:space="0" w:color="auto"/>
            </w:tcBorders>
            <w:vAlign w:val="center"/>
            <w:hideMark/>
          </w:tcPr>
          <w:p w14:paraId="25CBCF1F" w14:textId="77777777" w:rsidR="002C4740" w:rsidRPr="005B7F92" w:rsidRDefault="002C4740" w:rsidP="002C4740">
            <w:pP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16D5B001" w14:textId="77777777" w:rsidR="002C4740" w:rsidRPr="005B7F92" w:rsidRDefault="002C4740" w:rsidP="002C4740">
            <w:pPr>
              <w:jc w:val="center"/>
              <w:rPr>
                <w:rFonts w:ascii="Arial" w:eastAsia="SimSun" w:hAnsi="Arial" w:cs="Arial"/>
                <w:b/>
                <w:bCs/>
                <w:color w:val="000000"/>
                <w:kern w:val="0"/>
                <w:lang w:val="en-GB" w:eastAsia="zh-CN"/>
              </w:rPr>
            </w:pP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CDE4BE"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Pharmaceuticals</w:t>
            </w:r>
          </w:p>
        </w:tc>
        <w:tc>
          <w:tcPr>
            <w:tcW w:w="100" w:type="dxa"/>
            <w:tcBorders>
              <w:top w:val="nil"/>
              <w:left w:val="nil"/>
              <w:bottom w:val="nil"/>
              <w:right w:val="nil"/>
            </w:tcBorders>
            <w:shd w:val="clear" w:color="auto" w:fill="auto"/>
            <w:vAlign w:val="center"/>
            <w:hideMark/>
          </w:tcPr>
          <w:p w14:paraId="5BCD0059" w14:textId="77777777" w:rsidR="002C4740" w:rsidRPr="005B7F92" w:rsidRDefault="002C4740" w:rsidP="002C4740">
            <w:pPr>
              <w:jc w:val="center"/>
              <w:rPr>
                <w:rFonts w:eastAsia="SimSun"/>
                <w:b/>
                <w:bCs/>
                <w:color w:val="000000"/>
                <w:kern w:val="0"/>
                <w:lang w:val="en-GB" w:eastAsia="zh-CN"/>
              </w:rPr>
            </w:pP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3406E"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Consumer Health</w:t>
            </w:r>
          </w:p>
        </w:tc>
        <w:tc>
          <w:tcPr>
            <w:tcW w:w="100" w:type="dxa"/>
            <w:tcBorders>
              <w:top w:val="nil"/>
              <w:left w:val="nil"/>
              <w:bottom w:val="nil"/>
              <w:right w:val="nil"/>
            </w:tcBorders>
            <w:shd w:val="clear" w:color="auto" w:fill="auto"/>
            <w:vAlign w:val="center"/>
            <w:hideMark/>
          </w:tcPr>
          <w:p w14:paraId="461B9D98" w14:textId="77777777" w:rsidR="002C4740" w:rsidRPr="005B7F92" w:rsidRDefault="002C4740" w:rsidP="002C4740">
            <w:pPr>
              <w:jc w:val="center"/>
              <w:rPr>
                <w:rFonts w:ascii="Arial" w:eastAsia="SimSun" w:hAnsi="Arial" w:cs="Arial"/>
                <w:b/>
                <w:bCs/>
                <w:color w:val="000000"/>
                <w:kern w:val="0"/>
                <w:lang w:val="en-GB" w:eastAsia="zh-CN"/>
              </w:rPr>
            </w:pPr>
          </w:p>
        </w:tc>
        <w:tc>
          <w:tcPr>
            <w:tcW w:w="15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799DB2" w14:textId="244E377B" w:rsidR="002C4740" w:rsidRPr="005B7F92" w:rsidRDefault="002C4740" w:rsidP="00513835">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Crop</w:t>
            </w:r>
            <w:r w:rsidR="0080221E">
              <w:rPr>
                <w:rFonts w:ascii="Arial" w:eastAsia="SimSun" w:hAnsi="Arial" w:cs="Arial"/>
                <w:b/>
                <w:bCs/>
                <w:color w:val="000000"/>
                <w:kern w:val="0"/>
                <w:lang w:val="en-GB" w:eastAsia="zh-CN"/>
              </w:rPr>
              <w:t xml:space="preserve"> </w:t>
            </w:r>
            <w:r w:rsidR="005E0BEF" w:rsidRPr="005B7F92">
              <w:rPr>
                <w:rFonts w:ascii="Arial" w:eastAsia="SimSun" w:hAnsi="Arial" w:cs="Arial"/>
                <w:b/>
                <w:bCs/>
                <w:color w:val="000000"/>
                <w:kern w:val="0"/>
                <w:lang w:val="en-GB" w:eastAsia="zh-CN"/>
              </w:rPr>
              <w:t>S</w:t>
            </w:r>
            <w:r w:rsidRPr="005B7F92">
              <w:rPr>
                <w:rFonts w:ascii="Arial" w:eastAsia="SimSun" w:hAnsi="Arial" w:cs="Arial"/>
                <w:b/>
                <w:bCs/>
                <w:color w:val="000000"/>
                <w:kern w:val="0"/>
                <w:lang w:val="en-GB" w:eastAsia="zh-CN"/>
              </w:rPr>
              <w:t>cience</w:t>
            </w:r>
          </w:p>
        </w:tc>
        <w:tc>
          <w:tcPr>
            <w:tcW w:w="100" w:type="dxa"/>
            <w:tcBorders>
              <w:top w:val="nil"/>
              <w:left w:val="nil"/>
              <w:bottom w:val="nil"/>
              <w:right w:val="nil"/>
            </w:tcBorders>
            <w:shd w:val="clear" w:color="auto" w:fill="auto"/>
            <w:vAlign w:val="center"/>
            <w:hideMark/>
          </w:tcPr>
          <w:p w14:paraId="50A38876" w14:textId="77777777" w:rsidR="002C4740" w:rsidRPr="005B7F92" w:rsidRDefault="002C4740" w:rsidP="002C4740">
            <w:pPr>
              <w:jc w:val="center"/>
              <w:rPr>
                <w:rFonts w:ascii="Arial" w:eastAsia="SimSun" w:hAnsi="Arial" w:cs="Arial"/>
                <w:b/>
                <w:bCs/>
                <w:color w:val="000000"/>
                <w:kern w:val="0"/>
                <w:lang w:val="en-GB" w:eastAsia="zh-CN"/>
              </w:rPr>
            </w:pPr>
          </w:p>
        </w:tc>
        <w:tc>
          <w:tcPr>
            <w:tcW w:w="10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B6E5B1"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Animal Health</w:t>
            </w:r>
          </w:p>
        </w:tc>
      </w:tr>
      <w:tr w:rsidR="002C4740" w:rsidRPr="005B7F92" w14:paraId="74171677" w14:textId="77777777" w:rsidTr="00933E4B">
        <w:trPr>
          <w:trHeight w:val="160"/>
          <w:jc w:val="center"/>
        </w:trPr>
        <w:tc>
          <w:tcPr>
            <w:tcW w:w="2080" w:type="dxa"/>
            <w:vMerge/>
            <w:tcBorders>
              <w:top w:val="single" w:sz="4" w:space="0" w:color="auto"/>
              <w:left w:val="single" w:sz="4" w:space="0" w:color="auto"/>
              <w:bottom w:val="single" w:sz="4" w:space="0" w:color="000000"/>
              <w:right w:val="single" w:sz="4" w:space="0" w:color="auto"/>
            </w:tcBorders>
            <w:vAlign w:val="center"/>
            <w:hideMark/>
          </w:tcPr>
          <w:p w14:paraId="4EC95E0F" w14:textId="77777777" w:rsidR="002C4740" w:rsidRPr="005B7F92" w:rsidRDefault="002C4740" w:rsidP="002C4740">
            <w:pPr>
              <w:rPr>
                <w:rFonts w:eastAsia="SimSun"/>
                <w:b/>
                <w:bCs/>
                <w:color w:val="000000"/>
                <w:kern w:val="0"/>
                <w:lang w:val="en-GB" w:eastAsia="zh-CN"/>
              </w:rPr>
            </w:pPr>
          </w:p>
        </w:tc>
        <w:tc>
          <w:tcPr>
            <w:tcW w:w="100" w:type="dxa"/>
            <w:tcBorders>
              <w:top w:val="nil"/>
              <w:left w:val="nil"/>
              <w:bottom w:val="nil"/>
              <w:right w:val="nil"/>
            </w:tcBorders>
            <w:shd w:val="clear" w:color="auto" w:fill="auto"/>
            <w:vAlign w:val="bottom"/>
            <w:hideMark/>
          </w:tcPr>
          <w:p w14:paraId="1E2A497B" w14:textId="77777777" w:rsidR="002C4740" w:rsidRPr="005B7F92" w:rsidRDefault="002C4740" w:rsidP="002C4740">
            <w:pPr>
              <w:jc w:val="center"/>
              <w:rPr>
                <w:rFonts w:eastAsia="SimSun"/>
                <w:b/>
                <w:bCs/>
                <w:color w:val="000000"/>
                <w:kern w:val="0"/>
                <w:lang w:val="en-GB" w:eastAsia="zh-CN"/>
              </w:rPr>
            </w:pPr>
          </w:p>
        </w:tc>
        <w:tc>
          <w:tcPr>
            <w:tcW w:w="1640" w:type="dxa"/>
            <w:tcBorders>
              <w:top w:val="nil"/>
              <w:left w:val="nil"/>
              <w:bottom w:val="nil"/>
              <w:right w:val="nil"/>
            </w:tcBorders>
            <w:shd w:val="clear" w:color="auto" w:fill="auto"/>
            <w:vAlign w:val="bottom"/>
            <w:hideMark/>
          </w:tcPr>
          <w:p w14:paraId="5751B9F7" w14:textId="77777777" w:rsidR="002C4740" w:rsidRPr="005B7F92" w:rsidRDefault="002C4740" w:rsidP="002C4740">
            <w:pPr>
              <w:jc w:val="center"/>
              <w:rPr>
                <w:rFonts w:eastAsia="SimSun"/>
                <w:b/>
                <w:bCs/>
                <w:color w:val="000000"/>
                <w:kern w:val="0"/>
                <w:lang w:val="en-GB" w:eastAsia="zh-CN"/>
              </w:rPr>
            </w:pPr>
          </w:p>
        </w:tc>
        <w:tc>
          <w:tcPr>
            <w:tcW w:w="100" w:type="dxa"/>
            <w:tcBorders>
              <w:top w:val="nil"/>
              <w:left w:val="nil"/>
              <w:bottom w:val="nil"/>
              <w:right w:val="nil"/>
            </w:tcBorders>
            <w:shd w:val="clear" w:color="auto" w:fill="auto"/>
            <w:vAlign w:val="bottom"/>
            <w:hideMark/>
          </w:tcPr>
          <w:p w14:paraId="7558211A" w14:textId="77777777" w:rsidR="002C4740" w:rsidRPr="005B7F92" w:rsidRDefault="002C4740" w:rsidP="002C4740">
            <w:pPr>
              <w:jc w:val="center"/>
              <w:rPr>
                <w:rFonts w:eastAsia="SimSun"/>
                <w:b/>
                <w:bCs/>
                <w:color w:val="000000"/>
                <w:kern w:val="0"/>
                <w:lang w:val="en-GB" w:eastAsia="zh-CN"/>
              </w:rPr>
            </w:pPr>
          </w:p>
        </w:tc>
        <w:tc>
          <w:tcPr>
            <w:tcW w:w="1280" w:type="dxa"/>
            <w:tcBorders>
              <w:top w:val="nil"/>
              <w:left w:val="nil"/>
              <w:bottom w:val="nil"/>
              <w:right w:val="nil"/>
            </w:tcBorders>
            <w:shd w:val="clear" w:color="auto" w:fill="auto"/>
            <w:vAlign w:val="bottom"/>
            <w:hideMark/>
          </w:tcPr>
          <w:p w14:paraId="50FAE39F" w14:textId="77777777" w:rsidR="002C4740" w:rsidRPr="005B7F92" w:rsidRDefault="002C4740" w:rsidP="002C4740">
            <w:pPr>
              <w:jc w:val="cente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43FB2A4C" w14:textId="77777777" w:rsidR="002C4740" w:rsidRPr="005B7F92" w:rsidRDefault="002C4740" w:rsidP="002C4740">
            <w:pPr>
              <w:jc w:val="center"/>
              <w:rPr>
                <w:rFonts w:ascii="Arial" w:eastAsia="SimSun" w:hAnsi="Arial" w:cs="Arial"/>
                <w:b/>
                <w:bCs/>
                <w:color w:val="000000"/>
                <w:kern w:val="0"/>
                <w:lang w:val="en-GB" w:eastAsia="zh-CN"/>
              </w:rPr>
            </w:pPr>
          </w:p>
        </w:tc>
        <w:tc>
          <w:tcPr>
            <w:tcW w:w="1520" w:type="dxa"/>
            <w:tcBorders>
              <w:top w:val="nil"/>
              <w:left w:val="nil"/>
              <w:bottom w:val="nil"/>
              <w:right w:val="nil"/>
            </w:tcBorders>
            <w:shd w:val="clear" w:color="auto" w:fill="auto"/>
            <w:vAlign w:val="bottom"/>
            <w:hideMark/>
          </w:tcPr>
          <w:p w14:paraId="15926FCB" w14:textId="77777777" w:rsidR="002C4740" w:rsidRPr="005B7F92" w:rsidRDefault="002C4740" w:rsidP="002C4740">
            <w:pPr>
              <w:jc w:val="center"/>
              <w:rPr>
                <w:rFonts w:ascii="Arial" w:eastAsia="SimSun" w:hAnsi="Arial" w:cs="Arial"/>
                <w:b/>
                <w:bCs/>
                <w:color w:val="000000"/>
                <w:kern w:val="0"/>
                <w:lang w:val="en-GB" w:eastAsia="zh-CN"/>
              </w:rPr>
            </w:pPr>
          </w:p>
        </w:tc>
        <w:tc>
          <w:tcPr>
            <w:tcW w:w="100" w:type="dxa"/>
            <w:tcBorders>
              <w:top w:val="nil"/>
              <w:left w:val="nil"/>
              <w:bottom w:val="nil"/>
              <w:right w:val="nil"/>
            </w:tcBorders>
            <w:shd w:val="clear" w:color="auto" w:fill="auto"/>
            <w:vAlign w:val="bottom"/>
            <w:hideMark/>
          </w:tcPr>
          <w:p w14:paraId="2DD76B7B" w14:textId="77777777" w:rsidR="002C4740" w:rsidRPr="005B7F92" w:rsidRDefault="002C4740" w:rsidP="002C4740">
            <w:pPr>
              <w:jc w:val="center"/>
              <w:rPr>
                <w:rFonts w:ascii="Arial" w:eastAsia="SimSun" w:hAnsi="Arial" w:cs="Arial"/>
                <w:b/>
                <w:bCs/>
                <w:color w:val="000000"/>
                <w:kern w:val="0"/>
                <w:lang w:val="en-GB" w:eastAsia="zh-CN"/>
              </w:rPr>
            </w:pPr>
          </w:p>
        </w:tc>
        <w:tc>
          <w:tcPr>
            <w:tcW w:w="1080" w:type="dxa"/>
            <w:tcBorders>
              <w:top w:val="nil"/>
              <w:left w:val="nil"/>
              <w:bottom w:val="nil"/>
              <w:right w:val="nil"/>
            </w:tcBorders>
            <w:shd w:val="clear" w:color="auto" w:fill="auto"/>
            <w:vAlign w:val="bottom"/>
            <w:hideMark/>
          </w:tcPr>
          <w:p w14:paraId="3C431205" w14:textId="77777777" w:rsidR="002C4740" w:rsidRPr="005B7F92" w:rsidRDefault="002C4740" w:rsidP="002C4740">
            <w:pPr>
              <w:jc w:val="center"/>
              <w:rPr>
                <w:rFonts w:ascii="Arial" w:eastAsia="SimSun" w:hAnsi="Arial" w:cs="Arial"/>
                <w:b/>
                <w:bCs/>
                <w:color w:val="000000"/>
                <w:kern w:val="0"/>
                <w:lang w:val="en-GB" w:eastAsia="zh-CN"/>
              </w:rPr>
            </w:pPr>
          </w:p>
        </w:tc>
      </w:tr>
      <w:tr w:rsidR="002C4740" w:rsidRPr="005B7F92" w14:paraId="24539735" w14:textId="77777777" w:rsidTr="00933E4B">
        <w:trPr>
          <w:trHeight w:val="680"/>
          <w:jc w:val="center"/>
        </w:trPr>
        <w:tc>
          <w:tcPr>
            <w:tcW w:w="2080" w:type="dxa"/>
            <w:vMerge/>
            <w:tcBorders>
              <w:top w:val="single" w:sz="4" w:space="0" w:color="auto"/>
              <w:left w:val="single" w:sz="4" w:space="0" w:color="auto"/>
              <w:bottom w:val="single" w:sz="4" w:space="0" w:color="000000"/>
              <w:right w:val="single" w:sz="4" w:space="0" w:color="auto"/>
            </w:tcBorders>
            <w:vAlign w:val="center"/>
            <w:hideMark/>
          </w:tcPr>
          <w:p w14:paraId="34C5CC77" w14:textId="77777777" w:rsidR="002C4740" w:rsidRPr="005B7F92" w:rsidRDefault="002C4740" w:rsidP="002C4740">
            <w:pPr>
              <w:rPr>
                <w:rFonts w:eastAsia="SimSun"/>
                <w:b/>
                <w:bCs/>
                <w:color w:val="000000"/>
                <w:kern w:val="0"/>
                <w:lang w:val="en-GB" w:eastAsia="zh-CN"/>
              </w:rPr>
            </w:pPr>
          </w:p>
        </w:tc>
        <w:tc>
          <w:tcPr>
            <w:tcW w:w="100" w:type="dxa"/>
            <w:tcBorders>
              <w:top w:val="nil"/>
              <w:left w:val="nil"/>
              <w:bottom w:val="nil"/>
              <w:right w:val="nil"/>
            </w:tcBorders>
            <w:shd w:val="clear" w:color="auto" w:fill="auto"/>
            <w:vAlign w:val="bottom"/>
            <w:hideMark/>
          </w:tcPr>
          <w:p w14:paraId="2341C72D" w14:textId="77777777" w:rsidR="002C4740" w:rsidRPr="005B7F92" w:rsidRDefault="002C4740" w:rsidP="002C4740">
            <w:pPr>
              <w:jc w:val="center"/>
              <w:rPr>
                <w:rFonts w:eastAsia="SimSun"/>
                <w:b/>
                <w:bCs/>
                <w:color w:val="000000"/>
                <w:kern w:val="0"/>
                <w:lang w:val="en-GB" w:eastAsia="zh-CN"/>
              </w:rPr>
            </w:pPr>
          </w:p>
        </w:tc>
        <w:tc>
          <w:tcPr>
            <w:tcW w:w="302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2D82C9F0" w14:textId="77777777" w:rsidR="002C4740" w:rsidRPr="005B7F92" w:rsidRDefault="002C4740" w:rsidP="002C4740">
            <w:pPr>
              <w:jc w:val="center"/>
              <w:rPr>
                <w:rFonts w:ascii="Arial" w:eastAsia="SimSun" w:hAnsi="Arial" w:cs="Arial"/>
                <w:b/>
                <w:bCs/>
                <w:color w:val="000000"/>
                <w:kern w:val="0"/>
                <w:lang w:val="en-GB" w:eastAsia="zh-CN"/>
              </w:rPr>
            </w:pPr>
            <w:proofErr w:type="spellStart"/>
            <w:r w:rsidRPr="005B7F92">
              <w:rPr>
                <w:rFonts w:ascii="Arial" w:eastAsia="SimSun" w:hAnsi="Arial" w:cs="Arial"/>
                <w:b/>
                <w:bCs/>
                <w:color w:val="000000"/>
                <w:kern w:val="0"/>
                <w:lang w:val="en-GB" w:eastAsia="zh-CN"/>
              </w:rPr>
              <w:t>Currenta</w:t>
            </w:r>
            <w:proofErr w:type="spellEnd"/>
            <w:r w:rsidRPr="005B7F92">
              <w:rPr>
                <w:rFonts w:ascii="Arial" w:eastAsia="SimSun" w:hAnsi="Arial" w:cs="Arial"/>
                <w:b/>
                <w:bCs/>
                <w:color w:val="000000"/>
                <w:kern w:val="0"/>
                <w:lang w:val="en-GB" w:eastAsia="zh-CN"/>
              </w:rPr>
              <w:t xml:space="preserve"> (60%)</w:t>
            </w:r>
          </w:p>
        </w:tc>
        <w:tc>
          <w:tcPr>
            <w:tcW w:w="100" w:type="dxa"/>
            <w:tcBorders>
              <w:top w:val="nil"/>
              <w:left w:val="nil"/>
              <w:bottom w:val="nil"/>
              <w:right w:val="nil"/>
            </w:tcBorders>
            <w:shd w:val="clear" w:color="auto" w:fill="auto"/>
            <w:vAlign w:val="center"/>
            <w:hideMark/>
          </w:tcPr>
          <w:p w14:paraId="0D89C5B2" w14:textId="77777777" w:rsidR="002C4740" w:rsidRPr="005B7F92" w:rsidRDefault="002C4740" w:rsidP="002C4740">
            <w:pPr>
              <w:jc w:val="center"/>
              <w:rPr>
                <w:rFonts w:ascii="Arial" w:eastAsia="SimSun" w:hAnsi="Arial" w:cs="Arial"/>
                <w:b/>
                <w:bCs/>
                <w:color w:val="000000"/>
                <w:kern w:val="0"/>
                <w:lang w:val="en-GB" w:eastAsia="zh-CN"/>
              </w:rPr>
            </w:pPr>
          </w:p>
        </w:tc>
        <w:tc>
          <w:tcPr>
            <w:tcW w:w="270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7971F868" w14:textId="77777777" w:rsidR="002C4740" w:rsidRPr="005B7F92" w:rsidRDefault="002C4740" w:rsidP="002C4740">
            <w:pPr>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Covestro (64%)</w:t>
            </w:r>
          </w:p>
        </w:tc>
      </w:tr>
    </w:tbl>
    <w:p w14:paraId="5D095A5A" w14:textId="77777777" w:rsidR="00A776DC" w:rsidRPr="005B7F92" w:rsidRDefault="00A776DC" w:rsidP="00A776DC">
      <w:pPr>
        <w:pStyle w:val="BodyTextMain"/>
        <w:rPr>
          <w:lang w:val="en-GB"/>
        </w:rPr>
      </w:pPr>
    </w:p>
    <w:p w14:paraId="4ADC1B6A" w14:textId="3699323E" w:rsidR="00A776DC" w:rsidRPr="005B7F92" w:rsidRDefault="00A776DC" w:rsidP="00A776DC">
      <w:pPr>
        <w:pStyle w:val="BodyTextMain"/>
        <w:rPr>
          <w:rFonts w:ascii="Arial" w:hAnsi="Arial" w:cs="Arial"/>
          <w:color w:val="1C1C1C"/>
          <w:sz w:val="17"/>
          <w:szCs w:val="17"/>
          <w:lang w:val="en-GB" w:eastAsia="zh-CN"/>
        </w:rPr>
      </w:pPr>
      <w:r w:rsidRPr="005B7F92">
        <w:rPr>
          <w:rFonts w:ascii="Arial" w:hAnsi="Arial" w:cs="Arial"/>
          <w:color w:val="1C1C1C"/>
          <w:sz w:val="17"/>
          <w:szCs w:val="17"/>
          <w:lang w:val="en-GB" w:eastAsia="zh-CN"/>
        </w:rPr>
        <w:t>Source:</w:t>
      </w:r>
      <w:r w:rsidR="007C36BA" w:rsidRPr="005B7F92">
        <w:rPr>
          <w:rFonts w:ascii="Arial" w:hAnsi="Arial" w:cs="Arial"/>
          <w:color w:val="1C1C1C"/>
          <w:sz w:val="17"/>
          <w:szCs w:val="17"/>
          <w:lang w:val="en-GB" w:eastAsia="zh-CN"/>
        </w:rPr>
        <w:t xml:space="preserve"> </w:t>
      </w:r>
      <w:r w:rsidR="002C4740" w:rsidRPr="005B7F92">
        <w:rPr>
          <w:rFonts w:ascii="Arial" w:hAnsi="Arial" w:cs="Arial"/>
          <w:color w:val="1C1C1C"/>
          <w:sz w:val="17"/>
          <w:szCs w:val="17"/>
          <w:lang w:val="en-GB" w:eastAsia="zh-CN"/>
        </w:rPr>
        <w:t xml:space="preserve">Created by the case authors based on </w:t>
      </w:r>
      <w:r w:rsidR="007C36BA" w:rsidRPr="005B7F92">
        <w:rPr>
          <w:rFonts w:ascii="Arial" w:hAnsi="Arial" w:cs="Arial"/>
          <w:color w:val="1C1C1C"/>
          <w:sz w:val="17"/>
          <w:szCs w:val="17"/>
          <w:lang w:val="en-GB" w:eastAsia="zh-CN"/>
        </w:rPr>
        <w:t>“Bayer’s Annual Report 2016,” accessed July 18, 2017, www.annualreport2016.bayer.com/financial-statements/notes-to-the-consolidated-financial-statements-of-the-bayer-group/notes-to-the-statements-of-financial-position/legal-risks.html.</w:t>
      </w:r>
    </w:p>
    <w:p w14:paraId="672E6172" w14:textId="77777777" w:rsidR="00A776DC" w:rsidRPr="005B7F92" w:rsidRDefault="00A776DC" w:rsidP="002C4740">
      <w:pPr>
        <w:pStyle w:val="NoSpacing"/>
        <w:rPr>
          <w:rFonts w:ascii="Arial" w:eastAsia="Times New Roman" w:hAnsi="Arial" w:cs="Arial"/>
          <w:b/>
          <w:color w:val="1C1C1C"/>
          <w:sz w:val="20"/>
          <w:szCs w:val="20"/>
          <w:lang w:val="en-GB" w:eastAsia="zh-CN" w:bidi="ar-SA"/>
        </w:rPr>
      </w:pPr>
    </w:p>
    <w:p w14:paraId="3D127B1D" w14:textId="77777777" w:rsidR="002C4740" w:rsidRPr="005B7F92" w:rsidRDefault="002C4740" w:rsidP="002C4740">
      <w:pPr>
        <w:pStyle w:val="NoSpacing"/>
        <w:rPr>
          <w:rFonts w:ascii="Arial" w:eastAsia="Times New Roman" w:hAnsi="Arial" w:cs="Arial"/>
          <w:b/>
          <w:color w:val="1C1C1C"/>
          <w:sz w:val="20"/>
          <w:szCs w:val="20"/>
          <w:lang w:val="en-GB" w:eastAsia="zh-CN" w:bidi="ar-SA"/>
        </w:rPr>
      </w:pPr>
    </w:p>
    <w:p w14:paraId="6F6A6125" w14:textId="2E293E1B" w:rsidR="00A776DC" w:rsidRPr="005B7F92" w:rsidRDefault="00A776DC" w:rsidP="00933E4B">
      <w:pPr>
        <w:pStyle w:val="NoSpacing"/>
        <w:keepNext/>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lastRenderedPageBreak/>
        <w:t xml:space="preserve">EXHIBIT </w:t>
      </w:r>
      <w:r w:rsidR="001F4B2F" w:rsidRPr="005B7F92">
        <w:rPr>
          <w:rFonts w:ascii="Arial" w:eastAsia="Times New Roman" w:hAnsi="Arial" w:cs="Arial"/>
          <w:b/>
          <w:color w:val="1C1C1C"/>
          <w:sz w:val="20"/>
          <w:szCs w:val="20"/>
          <w:lang w:val="en-GB" w:eastAsia="zh-CN" w:bidi="ar-SA"/>
        </w:rPr>
        <w:t>2B</w:t>
      </w:r>
      <w:r w:rsidRPr="005B7F92">
        <w:rPr>
          <w:rFonts w:ascii="Arial" w:eastAsia="Times New Roman" w:hAnsi="Arial" w:cs="Arial"/>
          <w:b/>
          <w:color w:val="1C1C1C"/>
          <w:sz w:val="20"/>
          <w:szCs w:val="20"/>
          <w:lang w:val="en-GB" w:eastAsia="zh-CN" w:bidi="ar-SA"/>
        </w:rPr>
        <w:t>: BAYER GROUP INCOME STATEMENT</w:t>
      </w:r>
      <w:r w:rsidR="005E0BEF"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2016</w:t>
      </w:r>
      <w:r w:rsidR="00032410" w:rsidRPr="005B7F92">
        <w:rPr>
          <w:rFonts w:ascii="Arial" w:eastAsia="Times New Roman" w:hAnsi="Arial" w:cs="Arial"/>
          <w:b/>
          <w:color w:val="1C1C1C"/>
          <w:sz w:val="20"/>
          <w:szCs w:val="20"/>
          <w:lang w:val="en-GB" w:eastAsia="zh-CN" w:bidi="ar-SA"/>
        </w:rPr>
        <w:t xml:space="preserve"> </w:t>
      </w:r>
      <w:r w:rsidR="00032410" w:rsidRPr="005B7F92">
        <w:rPr>
          <w:rStyle w:val="ExhibitHeadingChar"/>
          <w:rFonts w:eastAsiaTheme="minorHAnsi"/>
          <w:lang w:val="en-GB"/>
        </w:rPr>
        <w:t>(</w:t>
      </w:r>
      <w:r w:rsidR="005E0BEF" w:rsidRPr="005B7F92">
        <w:rPr>
          <w:rStyle w:val="ExhibitHeadingChar"/>
          <w:rFonts w:eastAsiaTheme="minorHAnsi"/>
          <w:lang w:val="en-GB"/>
        </w:rPr>
        <w:t>IN</w:t>
      </w:r>
      <w:r w:rsidR="005E0BEF" w:rsidRPr="005B7F92">
        <w:rPr>
          <w:rFonts w:ascii="Arial" w:eastAsia="Times New Roman" w:hAnsi="Arial" w:cs="Arial"/>
          <w:b/>
          <w:color w:val="1C1C1C"/>
          <w:sz w:val="20"/>
          <w:szCs w:val="20"/>
          <w:lang w:val="en-GB" w:eastAsia="zh-CN" w:bidi="ar-SA"/>
        </w:rPr>
        <w:t xml:space="preserve"> </w:t>
      </w:r>
      <w:r w:rsidR="00032410" w:rsidRPr="005B7F92">
        <w:rPr>
          <w:rFonts w:ascii="Arial" w:eastAsia="Times New Roman" w:hAnsi="Arial" w:cs="Arial"/>
          <w:b/>
          <w:color w:val="1C1C1C"/>
          <w:sz w:val="20"/>
          <w:szCs w:val="20"/>
          <w:lang w:val="en-GB" w:eastAsia="zh-CN" w:bidi="ar-SA"/>
        </w:rPr>
        <w:t>MILLION €)</w:t>
      </w:r>
    </w:p>
    <w:p w14:paraId="499F7668" w14:textId="138AF73F" w:rsidR="00032410" w:rsidRPr="005B7F92" w:rsidRDefault="00032410" w:rsidP="00933E4B">
      <w:pPr>
        <w:pStyle w:val="BodyTextMain"/>
        <w:keepNext/>
        <w:rPr>
          <w:lang w:val="en-GB"/>
        </w:rPr>
      </w:pPr>
    </w:p>
    <w:tbl>
      <w:tblPr>
        <w:tblW w:w="35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4421"/>
        <w:gridCol w:w="1062"/>
        <w:gridCol w:w="1062"/>
      </w:tblGrid>
      <w:tr w:rsidR="00032410" w:rsidRPr="005B7F92" w14:paraId="65123545" w14:textId="77777777" w:rsidTr="00695E76">
        <w:trPr>
          <w:trHeight w:val="318"/>
          <w:jc w:val="center"/>
        </w:trPr>
        <w:tc>
          <w:tcPr>
            <w:tcW w:w="3378" w:type="pct"/>
            <w:noWrap/>
            <w:vAlign w:val="bottom"/>
            <w:hideMark/>
          </w:tcPr>
          <w:p w14:paraId="058E4CBA" w14:textId="77777777" w:rsidR="00032410" w:rsidRPr="005B7F92" w:rsidRDefault="00032410" w:rsidP="00933E4B">
            <w:pPr>
              <w:keepNext/>
              <w:rPr>
                <w:rFonts w:ascii="Arial" w:hAnsi="Arial" w:cs="Arial"/>
                <w:lang w:val="en-GB"/>
              </w:rPr>
            </w:pPr>
          </w:p>
        </w:tc>
        <w:tc>
          <w:tcPr>
            <w:tcW w:w="811" w:type="pct"/>
            <w:noWrap/>
            <w:vAlign w:val="bottom"/>
            <w:hideMark/>
          </w:tcPr>
          <w:p w14:paraId="3F221FFC" w14:textId="77777777" w:rsidR="00032410" w:rsidRPr="005B7F92" w:rsidRDefault="00032410" w:rsidP="004E59EB">
            <w:pPr>
              <w:keepNext/>
              <w:jc w:val="center"/>
              <w:rPr>
                <w:rFonts w:ascii="Arial" w:hAnsi="Arial" w:cs="Arial"/>
                <w:b/>
                <w:bCs/>
                <w:color w:val="000000"/>
                <w:lang w:val="en-GB"/>
              </w:rPr>
            </w:pPr>
            <w:r w:rsidRPr="005B7F92">
              <w:rPr>
                <w:rFonts w:ascii="Arial" w:hAnsi="Arial" w:cs="Arial"/>
                <w:b/>
                <w:bCs/>
                <w:color w:val="000000"/>
                <w:lang w:val="en-GB"/>
              </w:rPr>
              <w:t>2015</w:t>
            </w:r>
          </w:p>
        </w:tc>
        <w:tc>
          <w:tcPr>
            <w:tcW w:w="811" w:type="pct"/>
            <w:noWrap/>
            <w:vAlign w:val="bottom"/>
            <w:hideMark/>
          </w:tcPr>
          <w:p w14:paraId="1B31EB07" w14:textId="77777777" w:rsidR="00032410" w:rsidRPr="005B7F92" w:rsidRDefault="00032410" w:rsidP="004E59EB">
            <w:pPr>
              <w:keepNext/>
              <w:jc w:val="center"/>
              <w:rPr>
                <w:rFonts w:ascii="Arial" w:hAnsi="Arial" w:cs="Arial"/>
                <w:b/>
                <w:bCs/>
                <w:color w:val="000000"/>
                <w:lang w:val="en-GB"/>
              </w:rPr>
            </w:pPr>
            <w:r w:rsidRPr="005B7F92">
              <w:rPr>
                <w:rFonts w:ascii="Arial" w:hAnsi="Arial" w:cs="Arial"/>
                <w:b/>
                <w:bCs/>
                <w:color w:val="000000"/>
                <w:lang w:val="en-GB"/>
              </w:rPr>
              <w:t>2016</w:t>
            </w:r>
          </w:p>
        </w:tc>
      </w:tr>
      <w:tr w:rsidR="00032410" w:rsidRPr="005B7F92" w14:paraId="7A54815E" w14:textId="77777777" w:rsidTr="00695E76">
        <w:trPr>
          <w:trHeight w:val="302"/>
          <w:jc w:val="center"/>
        </w:trPr>
        <w:tc>
          <w:tcPr>
            <w:tcW w:w="3378" w:type="pct"/>
            <w:noWrap/>
            <w:vAlign w:val="bottom"/>
            <w:hideMark/>
          </w:tcPr>
          <w:p w14:paraId="06928E15" w14:textId="77777777" w:rsidR="00032410" w:rsidRPr="005B7F92" w:rsidRDefault="00032410" w:rsidP="00933E4B">
            <w:pPr>
              <w:keepNext/>
              <w:rPr>
                <w:rFonts w:ascii="Arial" w:hAnsi="Arial" w:cs="Arial"/>
                <w:color w:val="000000"/>
                <w:lang w:val="en-GB"/>
              </w:rPr>
            </w:pPr>
            <w:r w:rsidRPr="005B7F92">
              <w:rPr>
                <w:rFonts w:ascii="Arial" w:hAnsi="Arial" w:cs="Arial"/>
                <w:color w:val="000000"/>
                <w:lang w:val="en-GB"/>
              </w:rPr>
              <w:t>Net sales</w:t>
            </w:r>
          </w:p>
        </w:tc>
        <w:tc>
          <w:tcPr>
            <w:tcW w:w="811" w:type="pct"/>
            <w:noWrap/>
            <w:vAlign w:val="bottom"/>
            <w:hideMark/>
          </w:tcPr>
          <w:p w14:paraId="3F617254" w14:textId="77777777" w:rsidR="00032410" w:rsidRPr="005B7F92" w:rsidRDefault="00032410" w:rsidP="00933E4B">
            <w:pPr>
              <w:keepNext/>
              <w:jc w:val="right"/>
              <w:rPr>
                <w:rFonts w:ascii="Arial" w:hAnsi="Arial" w:cs="Arial"/>
                <w:color w:val="000000"/>
                <w:lang w:val="en-GB"/>
              </w:rPr>
            </w:pPr>
            <w:r w:rsidRPr="005B7F92">
              <w:rPr>
                <w:rFonts w:ascii="Arial" w:hAnsi="Arial" w:cs="Arial"/>
                <w:color w:val="000000"/>
                <w:lang w:val="en-GB"/>
              </w:rPr>
              <w:t>46,085</w:t>
            </w:r>
          </w:p>
        </w:tc>
        <w:tc>
          <w:tcPr>
            <w:tcW w:w="811" w:type="pct"/>
            <w:noWrap/>
            <w:vAlign w:val="bottom"/>
            <w:hideMark/>
          </w:tcPr>
          <w:p w14:paraId="186BCAEC" w14:textId="77777777" w:rsidR="00032410" w:rsidRPr="005B7F92" w:rsidRDefault="00032410" w:rsidP="00933E4B">
            <w:pPr>
              <w:keepNext/>
              <w:jc w:val="right"/>
              <w:rPr>
                <w:rFonts w:ascii="Arial" w:hAnsi="Arial" w:cs="Arial"/>
                <w:color w:val="000000"/>
                <w:lang w:val="en-GB"/>
              </w:rPr>
            </w:pPr>
            <w:r w:rsidRPr="005B7F92">
              <w:rPr>
                <w:rFonts w:ascii="Arial" w:hAnsi="Arial" w:cs="Arial"/>
                <w:color w:val="000000"/>
                <w:lang w:val="en-GB"/>
              </w:rPr>
              <w:t>46,769</w:t>
            </w:r>
          </w:p>
        </w:tc>
      </w:tr>
      <w:tr w:rsidR="00032410" w:rsidRPr="005B7F92" w14:paraId="5E66826A" w14:textId="77777777" w:rsidTr="00695E76">
        <w:trPr>
          <w:trHeight w:val="302"/>
          <w:jc w:val="center"/>
        </w:trPr>
        <w:tc>
          <w:tcPr>
            <w:tcW w:w="3378" w:type="pct"/>
            <w:noWrap/>
            <w:vAlign w:val="bottom"/>
            <w:hideMark/>
          </w:tcPr>
          <w:p w14:paraId="16F3F7D9" w14:textId="7547DDED" w:rsidR="00032410" w:rsidRPr="005B7F92" w:rsidRDefault="00032410" w:rsidP="00933E4B">
            <w:pPr>
              <w:keepNext/>
              <w:rPr>
                <w:rFonts w:ascii="Arial" w:hAnsi="Arial" w:cs="Arial"/>
                <w:color w:val="000000"/>
                <w:lang w:val="en-GB"/>
              </w:rPr>
            </w:pPr>
            <w:r w:rsidRPr="005B7F92">
              <w:rPr>
                <w:rFonts w:ascii="Arial" w:hAnsi="Arial" w:cs="Arial"/>
                <w:color w:val="000000"/>
                <w:lang w:val="en-GB"/>
              </w:rPr>
              <w:t>COG</w:t>
            </w:r>
            <w:r w:rsidR="00563563" w:rsidRPr="005B7F92">
              <w:rPr>
                <w:rFonts w:ascii="Arial" w:hAnsi="Arial" w:cs="Arial"/>
                <w:color w:val="000000"/>
                <w:lang w:val="en-GB"/>
              </w:rPr>
              <w:t>S</w:t>
            </w:r>
          </w:p>
        </w:tc>
        <w:tc>
          <w:tcPr>
            <w:tcW w:w="811" w:type="pct"/>
            <w:noWrap/>
            <w:vAlign w:val="bottom"/>
            <w:hideMark/>
          </w:tcPr>
          <w:p w14:paraId="28780DAF" w14:textId="7F405384"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21,040</w:t>
            </w:r>
          </w:p>
        </w:tc>
        <w:tc>
          <w:tcPr>
            <w:tcW w:w="811" w:type="pct"/>
            <w:noWrap/>
            <w:vAlign w:val="bottom"/>
            <w:hideMark/>
          </w:tcPr>
          <w:p w14:paraId="20B1C1DA" w14:textId="61D0FA9E"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20,295</w:t>
            </w:r>
          </w:p>
        </w:tc>
      </w:tr>
      <w:tr w:rsidR="00032410" w:rsidRPr="005B7F92" w14:paraId="2DCD3155" w14:textId="77777777" w:rsidTr="00695E76">
        <w:trPr>
          <w:trHeight w:val="302"/>
          <w:jc w:val="center"/>
        </w:trPr>
        <w:tc>
          <w:tcPr>
            <w:tcW w:w="3378" w:type="pct"/>
            <w:noWrap/>
            <w:vAlign w:val="bottom"/>
            <w:hideMark/>
          </w:tcPr>
          <w:p w14:paraId="1DA5FB85" w14:textId="77777777" w:rsidR="00032410" w:rsidRPr="005B7F92" w:rsidRDefault="00032410" w:rsidP="00933E4B">
            <w:pPr>
              <w:keepNext/>
              <w:rPr>
                <w:rFonts w:ascii="Arial" w:hAnsi="Arial" w:cs="Arial"/>
                <w:b/>
                <w:bCs/>
                <w:color w:val="000000"/>
                <w:lang w:val="en-GB"/>
              </w:rPr>
            </w:pPr>
            <w:r w:rsidRPr="005B7F92">
              <w:rPr>
                <w:rFonts w:ascii="Arial" w:hAnsi="Arial" w:cs="Arial"/>
                <w:b/>
                <w:bCs/>
                <w:color w:val="000000"/>
                <w:lang w:val="en-GB"/>
              </w:rPr>
              <w:t>Gross Margin</w:t>
            </w:r>
          </w:p>
        </w:tc>
        <w:tc>
          <w:tcPr>
            <w:tcW w:w="811" w:type="pct"/>
            <w:noWrap/>
            <w:vAlign w:val="bottom"/>
            <w:hideMark/>
          </w:tcPr>
          <w:p w14:paraId="03AEDD16" w14:textId="77777777" w:rsidR="00032410" w:rsidRPr="005B7F92" w:rsidRDefault="00032410" w:rsidP="00933E4B">
            <w:pPr>
              <w:keepNext/>
              <w:jc w:val="right"/>
              <w:rPr>
                <w:rFonts w:ascii="Arial" w:hAnsi="Arial" w:cs="Arial"/>
                <w:b/>
                <w:bCs/>
                <w:color w:val="000000"/>
                <w:lang w:val="en-GB"/>
              </w:rPr>
            </w:pPr>
            <w:r w:rsidRPr="005B7F92">
              <w:rPr>
                <w:rFonts w:ascii="Arial" w:hAnsi="Arial" w:cs="Arial"/>
                <w:b/>
                <w:bCs/>
                <w:color w:val="000000"/>
                <w:lang w:val="en-GB"/>
              </w:rPr>
              <w:t>25,045</w:t>
            </w:r>
          </w:p>
        </w:tc>
        <w:tc>
          <w:tcPr>
            <w:tcW w:w="811" w:type="pct"/>
            <w:noWrap/>
            <w:vAlign w:val="bottom"/>
            <w:hideMark/>
          </w:tcPr>
          <w:p w14:paraId="66643835" w14:textId="77777777" w:rsidR="00032410" w:rsidRPr="005B7F92" w:rsidRDefault="00032410" w:rsidP="00933E4B">
            <w:pPr>
              <w:keepNext/>
              <w:jc w:val="right"/>
              <w:rPr>
                <w:rFonts w:ascii="Arial" w:hAnsi="Arial" w:cs="Arial"/>
                <w:b/>
                <w:bCs/>
                <w:color w:val="000000"/>
                <w:lang w:val="en-GB"/>
              </w:rPr>
            </w:pPr>
            <w:r w:rsidRPr="005B7F92">
              <w:rPr>
                <w:rFonts w:ascii="Arial" w:hAnsi="Arial" w:cs="Arial"/>
                <w:b/>
                <w:bCs/>
                <w:color w:val="000000"/>
                <w:lang w:val="en-GB"/>
              </w:rPr>
              <w:t>26,474</w:t>
            </w:r>
          </w:p>
        </w:tc>
      </w:tr>
      <w:tr w:rsidR="00032410" w:rsidRPr="005B7F92" w14:paraId="284C7567" w14:textId="77777777" w:rsidTr="00695E76">
        <w:trPr>
          <w:trHeight w:val="302"/>
          <w:jc w:val="center"/>
        </w:trPr>
        <w:tc>
          <w:tcPr>
            <w:tcW w:w="3378" w:type="pct"/>
            <w:noWrap/>
            <w:vAlign w:val="bottom"/>
            <w:hideMark/>
          </w:tcPr>
          <w:p w14:paraId="33EA48D2" w14:textId="77777777" w:rsidR="00032410" w:rsidRPr="005B7F92" w:rsidRDefault="00032410" w:rsidP="00933E4B">
            <w:pPr>
              <w:keepNext/>
              <w:rPr>
                <w:rFonts w:ascii="Arial" w:hAnsi="Arial" w:cs="Arial"/>
                <w:color w:val="000000"/>
                <w:lang w:val="en-GB"/>
              </w:rPr>
            </w:pPr>
            <w:r w:rsidRPr="005B7F92">
              <w:rPr>
                <w:rFonts w:ascii="Arial" w:hAnsi="Arial" w:cs="Arial"/>
                <w:color w:val="000000"/>
                <w:lang w:val="en-GB"/>
              </w:rPr>
              <w:t>Selling expenses</w:t>
            </w:r>
          </w:p>
        </w:tc>
        <w:tc>
          <w:tcPr>
            <w:tcW w:w="811" w:type="pct"/>
            <w:noWrap/>
            <w:vAlign w:val="bottom"/>
            <w:hideMark/>
          </w:tcPr>
          <w:p w14:paraId="3DF869F2" w14:textId="292B6F6B"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12,272</w:t>
            </w:r>
          </w:p>
        </w:tc>
        <w:tc>
          <w:tcPr>
            <w:tcW w:w="811" w:type="pct"/>
            <w:noWrap/>
            <w:vAlign w:val="bottom"/>
            <w:hideMark/>
          </w:tcPr>
          <w:p w14:paraId="7E053197" w14:textId="025E248E"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12,474</w:t>
            </w:r>
          </w:p>
        </w:tc>
      </w:tr>
      <w:tr w:rsidR="00032410" w:rsidRPr="005B7F92" w14:paraId="0540F450" w14:textId="77777777" w:rsidTr="00695E76">
        <w:trPr>
          <w:trHeight w:val="302"/>
          <w:jc w:val="center"/>
        </w:trPr>
        <w:tc>
          <w:tcPr>
            <w:tcW w:w="3378" w:type="pct"/>
            <w:noWrap/>
            <w:vAlign w:val="bottom"/>
            <w:hideMark/>
          </w:tcPr>
          <w:p w14:paraId="1840BA86" w14:textId="77777777" w:rsidR="00032410" w:rsidRPr="005B7F92" w:rsidRDefault="00032410" w:rsidP="00933E4B">
            <w:pPr>
              <w:keepNext/>
              <w:rPr>
                <w:rFonts w:ascii="Arial" w:hAnsi="Arial" w:cs="Arial"/>
                <w:color w:val="000000"/>
                <w:lang w:val="en-GB"/>
              </w:rPr>
            </w:pPr>
            <w:r w:rsidRPr="005B7F92">
              <w:rPr>
                <w:rFonts w:ascii="Arial" w:hAnsi="Arial" w:cs="Arial"/>
                <w:color w:val="000000"/>
                <w:lang w:val="en-GB"/>
              </w:rPr>
              <w:t>R&amp;D expenses</w:t>
            </w:r>
          </w:p>
        </w:tc>
        <w:tc>
          <w:tcPr>
            <w:tcW w:w="811" w:type="pct"/>
            <w:noWrap/>
            <w:vAlign w:val="bottom"/>
            <w:hideMark/>
          </w:tcPr>
          <w:p w14:paraId="064072D0" w14:textId="70AD1667"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4,274</w:t>
            </w:r>
          </w:p>
        </w:tc>
        <w:tc>
          <w:tcPr>
            <w:tcW w:w="811" w:type="pct"/>
            <w:noWrap/>
            <w:vAlign w:val="bottom"/>
            <w:hideMark/>
          </w:tcPr>
          <w:p w14:paraId="718137A7" w14:textId="3B415DD0"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4,666</w:t>
            </w:r>
          </w:p>
        </w:tc>
      </w:tr>
      <w:tr w:rsidR="00032410" w:rsidRPr="005B7F92" w14:paraId="7C67E95F" w14:textId="77777777" w:rsidTr="00695E76">
        <w:trPr>
          <w:trHeight w:val="302"/>
          <w:jc w:val="center"/>
        </w:trPr>
        <w:tc>
          <w:tcPr>
            <w:tcW w:w="3378" w:type="pct"/>
            <w:noWrap/>
            <w:vAlign w:val="bottom"/>
            <w:hideMark/>
          </w:tcPr>
          <w:p w14:paraId="27E9513E" w14:textId="6B190096" w:rsidR="00032410" w:rsidRPr="005B7F92" w:rsidRDefault="00032410" w:rsidP="00933E4B">
            <w:pPr>
              <w:keepNext/>
              <w:rPr>
                <w:rFonts w:ascii="Arial" w:hAnsi="Arial" w:cs="Arial"/>
                <w:color w:val="000000"/>
                <w:lang w:val="en-GB"/>
              </w:rPr>
            </w:pPr>
            <w:r w:rsidRPr="005B7F92">
              <w:rPr>
                <w:rFonts w:ascii="Arial" w:hAnsi="Arial" w:cs="Arial"/>
                <w:color w:val="000000"/>
                <w:lang w:val="en-GB"/>
              </w:rPr>
              <w:t xml:space="preserve">SGA </w:t>
            </w:r>
            <w:r w:rsidR="0080221E">
              <w:rPr>
                <w:rFonts w:ascii="Arial" w:hAnsi="Arial" w:cs="Arial"/>
                <w:color w:val="000000"/>
                <w:lang w:val="en-GB"/>
              </w:rPr>
              <w:t>e</w:t>
            </w:r>
            <w:r w:rsidRPr="005B7F92">
              <w:rPr>
                <w:rFonts w:ascii="Arial" w:hAnsi="Arial" w:cs="Arial"/>
                <w:color w:val="000000"/>
                <w:lang w:val="en-GB"/>
              </w:rPr>
              <w:t>xpenses</w:t>
            </w:r>
          </w:p>
        </w:tc>
        <w:tc>
          <w:tcPr>
            <w:tcW w:w="811" w:type="pct"/>
            <w:noWrap/>
            <w:vAlign w:val="bottom"/>
            <w:hideMark/>
          </w:tcPr>
          <w:p w14:paraId="3CDE897F" w14:textId="55B8D0CC"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2,092</w:t>
            </w:r>
          </w:p>
        </w:tc>
        <w:tc>
          <w:tcPr>
            <w:tcW w:w="811" w:type="pct"/>
            <w:noWrap/>
            <w:vAlign w:val="bottom"/>
            <w:hideMark/>
          </w:tcPr>
          <w:p w14:paraId="404D9C09" w14:textId="2E2F12F4" w:rsidR="00032410" w:rsidRPr="005B7F92" w:rsidRDefault="005E0BEF" w:rsidP="00933E4B">
            <w:pPr>
              <w:keepNext/>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2,256</w:t>
            </w:r>
          </w:p>
        </w:tc>
      </w:tr>
      <w:tr w:rsidR="00032410" w:rsidRPr="005B7F92" w14:paraId="07BF6401" w14:textId="77777777" w:rsidTr="00695E76">
        <w:trPr>
          <w:trHeight w:val="302"/>
          <w:jc w:val="center"/>
        </w:trPr>
        <w:tc>
          <w:tcPr>
            <w:tcW w:w="3378" w:type="pct"/>
            <w:noWrap/>
            <w:vAlign w:val="bottom"/>
            <w:hideMark/>
          </w:tcPr>
          <w:p w14:paraId="3970D520" w14:textId="77777777" w:rsidR="00032410" w:rsidRPr="005B7F92" w:rsidRDefault="00032410" w:rsidP="00F93E64">
            <w:pPr>
              <w:rPr>
                <w:rFonts w:ascii="Arial" w:hAnsi="Arial" w:cs="Arial"/>
                <w:color w:val="000000"/>
                <w:lang w:val="en-GB"/>
              </w:rPr>
            </w:pPr>
            <w:r w:rsidRPr="005B7F92">
              <w:rPr>
                <w:rFonts w:ascii="Arial" w:hAnsi="Arial" w:cs="Arial"/>
                <w:color w:val="000000"/>
                <w:lang w:val="en-GB"/>
              </w:rPr>
              <w:t>Other operating income and expenses</w:t>
            </w:r>
          </w:p>
        </w:tc>
        <w:tc>
          <w:tcPr>
            <w:tcW w:w="811" w:type="pct"/>
            <w:noWrap/>
            <w:vAlign w:val="bottom"/>
            <w:hideMark/>
          </w:tcPr>
          <w:p w14:paraId="38AD10F4" w14:textId="5EF6E33F"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166</w:t>
            </w:r>
          </w:p>
        </w:tc>
        <w:tc>
          <w:tcPr>
            <w:tcW w:w="811" w:type="pct"/>
            <w:noWrap/>
            <w:vAlign w:val="bottom"/>
            <w:hideMark/>
          </w:tcPr>
          <w:p w14:paraId="627042CB" w14:textId="4078C21A"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36</w:t>
            </w:r>
          </w:p>
        </w:tc>
      </w:tr>
      <w:tr w:rsidR="00032410" w:rsidRPr="005B7F92" w14:paraId="49256F7E" w14:textId="77777777" w:rsidTr="00695E76">
        <w:trPr>
          <w:trHeight w:val="302"/>
          <w:jc w:val="center"/>
        </w:trPr>
        <w:tc>
          <w:tcPr>
            <w:tcW w:w="3378" w:type="pct"/>
            <w:noWrap/>
            <w:vAlign w:val="bottom"/>
            <w:hideMark/>
          </w:tcPr>
          <w:p w14:paraId="546C3050" w14:textId="77777777" w:rsidR="00032410" w:rsidRPr="005B7F92" w:rsidRDefault="00032410" w:rsidP="00F93E64">
            <w:pPr>
              <w:rPr>
                <w:rFonts w:ascii="Arial" w:hAnsi="Arial" w:cs="Arial"/>
                <w:b/>
                <w:bCs/>
                <w:color w:val="000000"/>
                <w:lang w:val="en-GB"/>
              </w:rPr>
            </w:pPr>
            <w:r w:rsidRPr="005B7F92">
              <w:rPr>
                <w:rFonts w:ascii="Arial" w:hAnsi="Arial" w:cs="Arial"/>
                <w:b/>
                <w:bCs/>
                <w:color w:val="000000"/>
                <w:lang w:val="en-GB"/>
              </w:rPr>
              <w:t xml:space="preserve">EBIT </w:t>
            </w:r>
          </w:p>
        </w:tc>
        <w:tc>
          <w:tcPr>
            <w:tcW w:w="811" w:type="pct"/>
            <w:noWrap/>
            <w:vAlign w:val="bottom"/>
            <w:hideMark/>
          </w:tcPr>
          <w:p w14:paraId="55863E82"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6,241</w:t>
            </w:r>
          </w:p>
        </w:tc>
        <w:tc>
          <w:tcPr>
            <w:tcW w:w="811" w:type="pct"/>
            <w:noWrap/>
            <w:vAlign w:val="bottom"/>
            <w:hideMark/>
          </w:tcPr>
          <w:p w14:paraId="1A18EC14"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7,042</w:t>
            </w:r>
          </w:p>
        </w:tc>
      </w:tr>
      <w:tr w:rsidR="00032410" w:rsidRPr="005B7F92" w14:paraId="307A9382" w14:textId="77777777" w:rsidTr="00695E76">
        <w:trPr>
          <w:trHeight w:val="302"/>
          <w:jc w:val="center"/>
        </w:trPr>
        <w:tc>
          <w:tcPr>
            <w:tcW w:w="3378" w:type="pct"/>
            <w:noWrap/>
            <w:vAlign w:val="bottom"/>
            <w:hideMark/>
          </w:tcPr>
          <w:p w14:paraId="3C32FF67" w14:textId="77777777" w:rsidR="00032410" w:rsidRPr="005B7F92" w:rsidRDefault="00032410" w:rsidP="00F93E64">
            <w:pPr>
              <w:rPr>
                <w:rFonts w:ascii="Arial" w:hAnsi="Arial" w:cs="Arial"/>
                <w:color w:val="000000"/>
                <w:lang w:val="en-GB"/>
              </w:rPr>
            </w:pPr>
            <w:r w:rsidRPr="005B7F92">
              <w:rPr>
                <w:rFonts w:ascii="Arial" w:hAnsi="Arial" w:cs="Arial"/>
                <w:color w:val="000000"/>
                <w:lang w:val="en-GB"/>
              </w:rPr>
              <w:t>Financial result</w:t>
            </w:r>
          </w:p>
        </w:tc>
        <w:tc>
          <w:tcPr>
            <w:tcW w:w="811" w:type="pct"/>
            <w:noWrap/>
            <w:vAlign w:val="bottom"/>
            <w:hideMark/>
          </w:tcPr>
          <w:p w14:paraId="0B7CE8F7" w14:textId="73BB2D98"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1,005</w:t>
            </w:r>
          </w:p>
        </w:tc>
        <w:tc>
          <w:tcPr>
            <w:tcW w:w="811" w:type="pct"/>
            <w:noWrap/>
            <w:vAlign w:val="bottom"/>
            <w:hideMark/>
          </w:tcPr>
          <w:p w14:paraId="5201F757" w14:textId="6ED10B5D"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1,155</w:t>
            </w:r>
          </w:p>
        </w:tc>
      </w:tr>
      <w:tr w:rsidR="00032410" w:rsidRPr="005B7F92" w14:paraId="79B4B40B" w14:textId="77777777" w:rsidTr="00695E76">
        <w:trPr>
          <w:trHeight w:val="302"/>
          <w:jc w:val="center"/>
        </w:trPr>
        <w:tc>
          <w:tcPr>
            <w:tcW w:w="3378" w:type="pct"/>
            <w:noWrap/>
            <w:vAlign w:val="bottom"/>
            <w:hideMark/>
          </w:tcPr>
          <w:p w14:paraId="69799FF7" w14:textId="77777777" w:rsidR="00032410" w:rsidRPr="005B7F92" w:rsidRDefault="00032410" w:rsidP="00F93E64">
            <w:pPr>
              <w:rPr>
                <w:rFonts w:ascii="Arial" w:hAnsi="Arial" w:cs="Arial"/>
                <w:b/>
                <w:bCs/>
                <w:color w:val="000000"/>
                <w:lang w:val="en-GB"/>
              </w:rPr>
            </w:pPr>
            <w:r w:rsidRPr="005B7F92">
              <w:rPr>
                <w:rFonts w:ascii="Arial" w:hAnsi="Arial" w:cs="Arial"/>
                <w:b/>
                <w:bCs/>
                <w:color w:val="000000"/>
                <w:lang w:val="en-GB"/>
              </w:rPr>
              <w:t>EBITDA</w:t>
            </w:r>
          </w:p>
        </w:tc>
        <w:tc>
          <w:tcPr>
            <w:tcW w:w="811" w:type="pct"/>
            <w:noWrap/>
            <w:vAlign w:val="bottom"/>
            <w:hideMark/>
          </w:tcPr>
          <w:p w14:paraId="79FABA57"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5,236</w:t>
            </w:r>
          </w:p>
        </w:tc>
        <w:tc>
          <w:tcPr>
            <w:tcW w:w="811" w:type="pct"/>
            <w:noWrap/>
            <w:vAlign w:val="bottom"/>
            <w:hideMark/>
          </w:tcPr>
          <w:p w14:paraId="22CBA63A"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5,887</w:t>
            </w:r>
          </w:p>
        </w:tc>
      </w:tr>
      <w:tr w:rsidR="00032410" w:rsidRPr="005B7F92" w14:paraId="494E0E28" w14:textId="77777777" w:rsidTr="00695E76">
        <w:trPr>
          <w:trHeight w:val="302"/>
          <w:jc w:val="center"/>
        </w:trPr>
        <w:tc>
          <w:tcPr>
            <w:tcW w:w="3378" w:type="pct"/>
            <w:noWrap/>
            <w:vAlign w:val="bottom"/>
            <w:hideMark/>
          </w:tcPr>
          <w:p w14:paraId="246BF3F2" w14:textId="77777777" w:rsidR="00032410" w:rsidRPr="005B7F92" w:rsidRDefault="00032410" w:rsidP="00F93E64">
            <w:pPr>
              <w:rPr>
                <w:rFonts w:ascii="Arial" w:hAnsi="Arial" w:cs="Arial"/>
                <w:color w:val="000000"/>
                <w:lang w:val="en-GB"/>
              </w:rPr>
            </w:pPr>
            <w:r w:rsidRPr="005B7F92">
              <w:rPr>
                <w:rFonts w:ascii="Arial" w:hAnsi="Arial" w:cs="Arial"/>
                <w:color w:val="000000"/>
                <w:lang w:val="en-GB"/>
              </w:rPr>
              <w:t>Income taxes</w:t>
            </w:r>
          </w:p>
        </w:tc>
        <w:tc>
          <w:tcPr>
            <w:tcW w:w="811" w:type="pct"/>
            <w:noWrap/>
            <w:vAlign w:val="bottom"/>
            <w:hideMark/>
          </w:tcPr>
          <w:p w14:paraId="5C7A5EC2" w14:textId="64ADE565"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1,223</w:t>
            </w:r>
          </w:p>
        </w:tc>
        <w:tc>
          <w:tcPr>
            <w:tcW w:w="811" w:type="pct"/>
            <w:noWrap/>
            <w:vAlign w:val="bottom"/>
            <w:hideMark/>
          </w:tcPr>
          <w:p w14:paraId="5D921C21" w14:textId="7E464235" w:rsidR="00032410" w:rsidRPr="005B7F92" w:rsidRDefault="005E0BEF" w:rsidP="00F93E64">
            <w:pPr>
              <w:jc w:val="right"/>
              <w:rPr>
                <w:rFonts w:ascii="Arial" w:hAnsi="Arial" w:cs="Arial"/>
                <w:color w:val="000000"/>
                <w:lang w:val="en-GB"/>
              </w:rPr>
            </w:pPr>
            <w:r w:rsidRPr="005B7F92">
              <w:rPr>
                <w:rFonts w:ascii="Arial" w:hAnsi="Arial" w:cs="Arial"/>
                <w:color w:val="000000"/>
                <w:lang w:val="en-GB"/>
              </w:rPr>
              <w:t>−</w:t>
            </w:r>
            <w:r w:rsidR="00032410" w:rsidRPr="005B7F92">
              <w:rPr>
                <w:rFonts w:ascii="Arial" w:hAnsi="Arial" w:cs="Arial"/>
                <w:color w:val="000000"/>
                <w:lang w:val="en-GB"/>
              </w:rPr>
              <w:t>1,329</w:t>
            </w:r>
          </w:p>
        </w:tc>
      </w:tr>
      <w:tr w:rsidR="00032410" w:rsidRPr="005B7F92" w14:paraId="536CA2BC" w14:textId="77777777" w:rsidTr="00695E76">
        <w:trPr>
          <w:trHeight w:val="302"/>
          <w:jc w:val="center"/>
        </w:trPr>
        <w:tc>
          <w:tcPr>
            <w:tcW w:w="3378" w:type="pct"/>
            <w:noWrap/>
            <w:vAlign w:val="bottom"/>
            <w:hideMark/>
          </w:tcPr>
          <w:p w14:paraId="5281EB26" w14:textId="77777777" w:rsidR="00032410" w:rsidRPr="005B7F92" w:rsidRDefault="00032410" w:rsidP="00F93E64">
            <w:pPr>
              <w:rPr>
                <w:rFonts w:ascii="Arial" w:hAnsi="Arial" w:cs="Arial"/>
                <w:b/>
                <w:bCs/>
                <w:color w:val="000000"/>
                <w:lang w:val="en-GB"/>
              </w:rPr>
            </w:pPr>
            <w:r w:rsidRPr="005B7F92">
              <w:rPr>
                <w:rFonts w:ascii="Arial" w:hAnsi="Arial" w:cs="Arial"/>
                <w:b/>
                <w:bCs/>
                <w:color w:val="000000"/>
                <w:lang w:val="en-GB"/>
              </w:rPr>
              <w:t>Net Income</w:t>
            </w:r>
          </w:p>
        </w:tc>
        <w:tc>
          <w:tcPr>
            <w:tcW w:w="811" w:type="pct"/>
            <w:noWrap/>
            <w:vAlign w:val="bottom"/>
            <w:hideMark/>
          </w:tcPr>
          <w:p w14:paraId="5D26E9BE"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4,098</w:t>
            </w:r>
          </w:p>
        </w:tc>
        <w:tc>
          <w:tcPr>
            <w:tcW w:w="811" w:type="pct"/>
            <w:noWrap/>
            <w:vAlign w:val="bottom"/>
            <w:hideMark/>
          </w:tcPr>
          <w:p w14:paraId="38E20F2A" w14:textId="77777777" w:rsidR="00032410" w:rsidRPr="005B7F92" w:rsidRDefault="00032410" w:rsidP="00F93E64">
            <w:pPr>
              <w:jc w:val="right"/>
              <w:rPr>
                <w:rFonts w:ascii="Arial" w:hAnsi="Arial" w:cs="Arial"/>
                <w:b/>
                <w:bCs/>
                <w:color w:val="000000"/>
                <w:lang w:val="en-GB"/>
              </w:rPr>
            </w:pPr>
            <w:r w:rsidRPr="005B7F92">
              <w:rPr>
                <w:rFonts w:ascii="Arial" w:hAnsi="Arial" w:cs="Arial"/>
                <w:b/>
                <w:bCs/>
                <w:color w:val="000000"/>
                <w:lang w:val="en-GB"/>
              </w:rPr>
              <w:t>4,826</w:t>
            </w:r>
          </w:p>
        </w:tc>
      </w:tr>
    </w:tbl>
    <w:p w14:paraId="2F02EAFE" w14:textId="77777777" w:rsidR="00A776DC" w:rsidRPr="005B7F92" w:rsidRDefault="00A776DC" w:rsidP="00A776DC">
      <w:pPr>
        <w:pStyle w:val="BodyTextMain"/>
        <w:rPr>
          <w:lang w:val="en-GB"/>
        </w:rPr>
      </w:pPr>
    </w:p>
    <w:p w14:paraId="48160663" w14:textId="7CA2E7E9" w:rsidR="005E0BEF" w:rsidRPr="005B7F92" w:rsidRDefault="005E0BEF" w:rsidP="005E0BEF">
      <w:pPr>
        <w:pStyle w:val="Footnote"/>
        <w:rPr>
          <w:lang w:val="en-GB"/>
        </w:rPr>
      </w:pPr>
      <w:r w:rsidRPr="005B7F92">
        <w:rPr>
          <w:lang w:val="en-GB"/>
        </w:rPr>
        <w:t>Note: € = EUR =</w:t>
      </w:r>
      <w:r w:rsidR="0080221E">
        <w:rPr>
          <w:lang w:val="en-GB"/>
        </w:rPr>
        <w:t xml:space="preserve"> </w:t>
      </w:r>
      <w:r w:rsidRPr="005B7F92">
        <w:rPr>
          <w:lang w:val="en-GB"/>
        </w:rPr>
        <w:t>euro; US$1 = €0.92094 on December 31, 2015; COG</w:t>
      </w:r>
      <w:r w:rsidR="00563563" w:rsidRPr="005B7F92">
        <w:rPr>
          <w:lang w:val="en-GB"/>
        </w:rPr>
        <w:t>S</w:t>
      </w:r>
      <w:r w:rsidRPr="005B7F92">
        <w:rPr>
          <w:lang w:val="en-GB"/>
        </w:rPr>
        <w:t xml:space="preserve"> = </w:t>
      </w:r>
      <w:r w:rsidR="00563563" w:rsidRPr="005B7F92">
        <w:rPr>
          <w:lang w:val="en-GB"/>
        </w:rPr>
        <w:t>cost of goods sold</w:t>
      </w:r>
      <w:r w:rsidRPr="005B7F92">
        <w:rPr>
          <w:lang w:val="en-GB"/>
        </w:rPr>
        <w:t>; R&amp;D = research and development; SGA = selling, general, and administrative expenses; EBIT = earnings before interest and taxes; EBITDA = earnings before interest, tax, depreciation, and amortization</w:t>
      </w:r>
      <w:r w:rsidR="0080221E">
        <w:rPr>
          <w:lang w:val="en-GB"/>
        </w:rPr>
        <w:t>.</w:t>
      </w:r>
    </w:p>
    <w:p w14:paraId="1DFDE093" w14:textId="6866E862" w:rsidR="00A776DC" w:rsidRPr="005B7F92" w:rsidRDefault="00A776DC" w:rsidP="00A776DC">
      <w:pPr>
        <w:pStyle w:val="BodyTextMain"/>
        <w:rPr>
          <w:rFonts w:ascii="Arial" w:hAnsi="Arial" w:cs="Arial"/>
          <w:color w:val="1C1C1C"/>
          <w:sz w:val="17"/>
          <w:szCs w:val="17"/>
          <w:lang w:val="en-GB" w:eastAsia="zh-CN"/>
        </w:rPr>
      </w:pPr>
      <w:r w:rsidRPr="005B7F92">
        <w:rPr>
          <w:rFonts w:ascii="Arial" w:hAnsi="Arial" w:cs="Arial"/>
          <w:color w:val="1C1C1C"/>
          <w:sz w:val="17"/>
          <w:szCs w:val="17"/>
          <w:lang w:val="en-GB" w:eastAsia="zh-CN"/>
        </w:rPr>
        <w:t xml:space="preserve">Source: </w:t>
      </w:r>
      <w:r w:rsidR="00BE318E" w:rsidRPr="005B7F92">
        <w:rPr>
          <w:rFonts w:ascii="Arial" w:hAnsi="Arial" w:cs="Arial"/>
          <w:color w:val="1C1C1C"/>
          <w:sz w:val="17"/>
          <w:szCs w:val="17"/>
          <w:lang w:val="en-GB" w:eastAsia="zh-CN"/>
        </w:rPr>
        <w:t xml:space="preserve">Created by the case authors based on “Bayer’s Annual Report 2016,” accessed July 18, 2017, </w:t>
      </w:r>
      <w:r w:rsidR="00BE318E" w:rsidRPr="005B7F92">
        <w:rPr>
          <w:rStyle w:val="FootnoteChar"/>
          <w:lang w:val="en-GB"/>
        </w:rPr>
        <w:t>www.annualreport2016.bayer.com/financial-statements/notes-to-the-consolidated-financial-statements-of-the-bayer-group/notes-to-the-statements-of-financial-position/legal-risks.html.</w:t>
      </w:r>
    </w:p>
    <w:p w14:paraId="489840F1" w14:textId="77777777" w:rsidR="00A776DC" w:rsidRPr="005B7F92" w:rsidRDefault="00A776DC" w:rsidP="00933E4B">
      <w:pPr>
        <w:pStyle w:val="BodyTextMain"/>
        <w:rPr>
          <w:lang w:val="en-GB" w:eastAsia="zh-CN"/>
        </w:rPr>
      </w:pPr>
    </w:p>
    <w:p w14:paraId="14002E8D" w14:textId="77777777" w:rsidR="00A776DC" w:rsidRPr="005B7F92" w:rsidRDefault="00A776DC" w:rsidP="00933E4B">
      <w:pPr>
        <w:pStyle w:val="BodyTextMain"/>
        <w:rPr>
          <w:lang w:val="en-GB" w:eastAsia="zh-CN"/>
        </w:rPr>
      </w:pPr>
    </w:p>
    <w:p w14:paraId="2D3EADF8" w14:textId="4EEDDEA1" w:rsidR="00BE318E" w:rsidRPr="005B7F92" w:rsidRDefault="00BE318E" w:rsidP="00BE318E">
      <w:pPr>
        <w:pStyle w:val="NoSpacing"/>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t xml:space="preserve">EXHIBIT 2C: BAYER GROUP </w:t>
      </w:r>
      <w:r w:rsidR="001D7235" w:rsidRPr="005B7F92">
        <w:rPr>
          <w:rFonts w:ascii="Arial" w:eastAsia="Times New Roman" w:hAnsi="Arial" w:cs="Arial"/>
          <w:b/>
          <w:color w:val="1C1C1C"/>
          <w:sz w:val="20"/>
          <w:szCs w:val="20"/>
          <w:lang w:val="en-GB" w:eastAsia="zh-CN" w:bidi="ar-SA"/>
        </w:rPr>
        <w:t>STATEMENT OF FINANCIAL POSITION</w:t>
      </w:r>
      <w:r w:rsidR="005E0BEF"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2016 (</w:t>
      </w:r>
      <w:r w:rsidR="005E0BEF" w:rsidRPr="005B7F92">
        <w:rPr>
          <w:rFonts w:ascii="Arial" w:eastAsia="Times New Roman" w:hAnsi="Arial" w:cs="Arial"/>
          <w:b/>
          <w:color w:val="1C1C1C"/>
          <w:sz w:val="20"/>
          <w:szCs w:val="20"/>
          <w:lang w:val="en-GB" w:eastAsia="zh-CN" w:bidi="ar-SA"/>
        </w:rPr>
        <w:t xml:space="preserve">IN </w:t>
      </w:r>
      <w:r w:rsidRPr="005B7F92">
        <w:rPr>
          <w:rFonts w:ascii="Arial" w:eastAsia="Times New Roman" w:hAnsi="Arial" w:cs="Arial"/>
          <w:b/>
          <w:color w:val="1C1C1C"/>
          <w:sz w:val="20"/>
          <w:szCs w:val="20"/>
          <w:lang w:val="en-GB" w:eastAsia="zh-CN" w:bidi="ar-SA"/>
        </w:rPr>
        <w:t>MILLION €)</w:t>
      </w:r>
    </w:p>
    <w:p w14:paraId="66069842" w14:textId="77777777" w:rsidR="00A776DC" w:rsidRPr="00695E76" w:rsidRDefault="00A776DC" w:rsidP="002C7705">
      <w:pPr>
        <w:pStyle w:val="NoSpacing"/>
        <w:jc w:val="center"/>
        <w:rPr>
          <w:rFonts w:ascii="Arial" w:eastAsia="Times New Roman" w:hAnsi="Arial" w:cs="Arial"/>
          <w:b/>
          <w:color w:val="1C1C1C"/>
          <w:sz w:val="18"/>
          <w:szCs w:val="18"/>
          <w:lang w:val="en-GB" w:eastAsia="zh-CN" w:bidi="ar-SA"/>
        </w:rPr>
      </w:pPr>
    </w:p>
    <w:tbl>
      <w:tblPr>
        <w:tblW w:w="378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4638"/>
        <w:gridCol w:w="1220"/>
        <w:gridCol w:w="1218"/>
      </w:tblGrid>
      <w:tr w:rsidR="00D51BC1" w:rsidRPr="005B7F92" w14:paraId="0390C205" w14:textId="77777777" w:rsidTr="00695E76">
        <w:trPr>
          <w:trHeight w:val="318"/>
          <w:jc w:val="center"/>
        </w:trPr>
        <w:tc>
          <w:tcPr>
            <w:tcW w:w="3277" w:type="pct"/>
            <w:noWrap/>
            <w:vAlign w:val="bottom"/>
            <w:hideMark/>
          </w:tcPr>
          <w:p w14:paraId="28C039A2" w14:textId="77777777" w:rsidR="00D51BC1" w:rsidRPr="005B7F92" w:rsidRDefault="00D51BC1" w:rsidP="00F93E64">
            <w:pPr>
              <w:rPr>
                <w:rFonts w:ascii="Arial" w:hAnsi="Arial" w:cs="Arial"/>
                <w:lang w:val="en-GB"/>
              </w:rPr>
            </w:pPr>
          </w:p>
        </w:tc>
        <w:tc>
          <w:tcPr>
            <w:tcW w:w="862" w:type="pct"/>
            <w:noWrap/>
            <w:vAlign w:val="bottom"/>
            <w:hideMark/>
          </w:tcPr>
          <w:p w14:paraId="716FB8D7" w14:textId="2AF1B62B" w:rsidR="00D51BC1" w:rsidRPr="005B7F92" w:rsidRDefault="00D51BC1" w:rsidP="004E59EB">
            <w:pPr>
              <w:jc w:val="center"/>
              <w:rPr>
                <w:rFonts w:ascii="Arial" w:hAnsi="Arial" w:cs="Arial"/>
                <w:b/>
                <w:bCs/>
                <w:color w:val="000000"/>
                <w:lang w:val="en-GB"/>
              </w:rPr>
            </w:pPr>
            <w:r w:rsidRPr="005B7F92">
              <w:rPr>
                <w:rFonts w:ascii="Arial" w:hAnsi="Arial" w:cs="Arial"/>
                <w:b/>
                <w:bCs/>
                <w:color w:val="000000"/>
                <w:lang w:val="en-GB"/>
              </w:rPr>
              <w:t>2015</w:t>
            </w:r>
          </w:p>
        </w:tc>
        <w:tc>
          <w:tcPr>
            <w:tcW w:w="862" w:type="pct"/>
            <w:noWrap/>
            <w:vAlign w:val="bottom"/>
            <w:hideMark/>
          </w:tcPr>
          <w:p w14:paraId="66130AC3" w14:textId="15E66438" w:rsidR="00D51BC1" w:rsidRPr="005B7F92" w:rsidRDefault="00D51BC1" w:rsidP="004E59EB">
            <w:pPr>
              <w:jc w:val="center"/>
              <w:rPr>
                <w:rFonts w:ascii="Arial" w:hAnsi="Arial" w:cs="Arial"/>
                <w:b/>
                <w:bCs/>
                <w:color w:val="000000"/>
                <w:lang w:val="en-GB"/>
              </w:rPr>
            </w:pPr>
            <w:r w:rsidRPr="005B7F92">
              <w:rPr>
                <w:rFonts w:ascii="Arial" w:hAnsi="Arial" w:cs="Arial"/>
                <w:b/>
                <w:bCs/>
                <w:color w:val="000000"/>
                <w:lang w:val="en-GB"/>
              </w:rPr>
              <w:t>2016</w:t>
            </w:r>
          </w:p>
        </w:tc>
      </w:tr>
      <w:tr w:rsidR="00D51BC1" w:rsidRPr="005B7F92" w14:paraId="1ABF9270" w14:textId="77777777" w:rsidTr="00695E76">
        <w:trPr>
          <w:trHeight w:val="303"/>
          <w:jc w:val="center"/>
        </w:trPr>
        <w:tc>
          <w:tcPr>
            <w:tcW w:w="3277" w:type="pct"/>
            <w:noWrap/>
            <w:vAlign w:val="bottom"/>
            <w:hideMark/>
          </w:tcPr>
          <w:p w14:paraId="636FF1DC" w14:textId="168296F7" w:rsidR="00D51BC1" w:rsidRPr="005B7F92" w:rsidRDefault="00D51BC1" w:rsidP="00513835">
            <w:pPr>
              <w:rPr>
                <w:rFonts w:ascii="Arial" w:hAnsi="Arial" w:cs="Arial"/>
                <w:iCs/>
                <w:color w:val="000000"/>
                <w:lang w:val="en-GB"/>
              </w:rPr>
            </w:pPr>
            <w:r w:rsidRPr="005B7F92">
              <w:rPr>
                <w:rFonts w:ascii="Arial" w:hAnsi="Arial" w:cs="Arial"/>
                <w:iCs/>
                <w:color w:val="000000"/>
                <w:lang w:val="en-GB"/>
              </w:rPr>
              <w:t>Noncurrent assets</w:t>
            </w:r>
          </w:p>
        </w:tc>
        <w:tc>
          <w:tcPr>
            <w:tcW w:w="862" w:type="pct"/>
            <w:noWrap/>
            <w:vAlign w:val="bottom"/>
            <w:hideMark/>
          </w:tcPr>
          <w:p w14:paraId="589E8007"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50,096</w:t>
            </w:r>
          </w:p>
        </w:tc>
        <w:tc>
          <w:tcPr>
            <w:tcW w:w="862" w:type="pct"/>
            <w:noWrap/>
            <w:vAlign w:val="bottom"/>
            <w:hideMark/>
          </w:tcPr>
          <w:p w14:paraId="53A27717"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51,791</w:t>
            </w:r>
          </w:p>
        </w:tc>
      </w:tr>
      <w:tr w:rsidR="00D51BC1" w:rsidRPr="005B7F92" w14:paraId="1794FDDF" w14:textId="77777777" w:rsidTr="00695E76">
        <w:trPr>
          <w:trHeight w:val="303"/>
          <w:jc w:val="center"/>
        </w:trPr>
        <w:tc>
          <w:tcPr>
            <w:tcW w:w="3277" w:type="pct"/>
            <w:noWrap/>
            <w:vAlign w:val="bottom"/>
            <w:hideMark/>
          </w:tcPr>
          <w:p w14:paraId="42618770" w14:textId="77777777" w:rsidR="00D51BC1" w:rsidRPr="005B7F92" w:rsidRDefault="00D51BC1" w:rsidP="00F93E64">
            <w:pPr>
              <w:rPr>
                <w:rFonts w:ascii="Arial" w:hAnsi="Arial" w:cs="Arial"/>
                <w:color w:val="000000"/>
                <w:lang w:val="en-GB"/>
              </w:rPr>
            </w:pPr>
            <w:r w:rsidRPr="005B7F92">
              <w:rPr>
                <w:rFonts w:ascii="Arial" w:hAnsi="Arial" w:cs="Arial"/>
                <w:color w:val="000000"/>
                <w:lang w:val="en-GB"/>
              </w:rPr>
              <w:t>Current assets</w:t>
            </w:r>
          </w:p>
        </w:tc>
        <w:tc>
          <w:tcPr>
            <w:tcW w:w="862" w:type="pct"/>
            <w:noWrap/>
            <w:vAlign w:val="bottom"/>
            <w:hideMark/>
          </w:tcPr>
          <w:p w14:paraId="3295A8BB"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23,624</w:t>
            </w:r>
          </w:p>
        </w:tc>
        <w:tc>
          <w:tcPr>
            <w:tcW w:w="862" w:type="pct"/>
            <w:noWrap/>
            <w:vAlign w:val="bottom"/>
            <w:hideMark/>
          </w:tcPr>
          <w:p w14:paraId="3276EDFE"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30,437</w:t>
            </w:r>
          </w:p>
        </w:tc>
      </w:tr>
      <w:tr w:rsidR="00D51BC1" w:rsidRPr="005B7F92" w14:paraId="2F61A08C" w14:textId="77777777" w:rsidTr="00695E76">
        <w:trPr>
          <w:trHeight w:val="303"/>
          <w:jc w:val="center"/>
        </w:trPr>
        <w:tc>
          <w:tcPr>
            <w:tcW w:w="3277" w:type="pct"/>
            <w:noWrap/>
            <w:vAlign w:val="bottom"/>
            <w:hideMark/>
          </w:tcPr>
          <w:p w14:paraId="49DC0A42" w14:textId="77777777" w:rsidR="00D51BC1" w:rsidRPr="005B7F92" w:rsidRDefault="00D51BC1" w:rsidP="00F93E64">
            <w:pPr>
              <w:rPr>
                <w:rFonts w:ascii="Arial" w:hAnsi="Arial" w:cs="Arial"/>
                <w:color w:val="000000"/>
                <w:lang w:val="en-GB"/>
              </w:rPr>
            </w:pPr>
            <w:r w:rsidRPr="005B7F92">
              <w:rPr>
                <w:rFonts w:ascii="Arial" w:hAnsi="Arial" w:cs="Arial"/>
                <w:color w:val="000000"/>
                <w:lang w:val="en-GB"/>
              </w:rPr>
              <w:t>Assets held for sale</w:t>
            </w:r>
          </w:p>
        </w:tc>
        <w:tc>
          <w:tcPr>
            <w:tcW w:w="862" w:type="pct"/>
            <w:noWrap/>
            <w:vAlign w:val="bottom"/>
            <w:hideMark/>
          </w:tcPr>
          <w:p w14:paraId="1982734D"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197</w:t>
            </w:r>
          </w:p>
        </w:tc>
        <w:tc>
          <w:tcPr>
            <w:tcW w:w="862" w:type="pct"/>
            <w:noWrap/>
            <w:vAlign w:val="bottom"/>
            <w:hideMark/>
          </w:tcPr>
          <w:p w14:paraId="3C8E04F9"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10</w:t>
            </w:r>
          </w:p>
        </w:tc>
      </w:tr>
      <w:tr w:rsidR="00D51BC1" w:rsidRPr="005B7F92" w14:paraId="6C105BD0" w14:textId="77777777" w:rsidTr="00695E76">
        <w:trPr>
          <w:trHeight w:val="303"/>
          <w:jc w:val="center"/>
        </w:trPr>
        <w:tc>
          <w:tcPr>
            <w:tcW w:w="3277" w:type="pct"/>
            <w:noWrap/>
            <w:vAlign w:val="bottom"/>
            <w:hideMark/>
          </w:tcPr>
          <w:p w14:paraId="4F58D767" w14:textId="77777777" w:rsidR="00D51BC1" w:rsidRPr="005B7F92" w:rsidRDefault="00D51BC1" w:rsidP="00F93E64">
            <w:pPr>
              <w:rPr>
                <w:rFonts w:ascii="Arial" w:hAnsi="Arial" w:cs="Arial"/>
                <w:iCs/>
                <w:color w:val="000000"/>
                <w:lang w:val="en-GB"/>
              </w:rPr>
            </w:pPr>
            <w:r w:rsidRPr="005B7F92">
              <w:rPr>
                <w:rFonts w:ascii="Arial" w:hAnsi="Arial" w:cs="Arial"/>
                <w:iCs/>
                <w:color w:val="000000"/>
                <w:lang w:val="en-GB"/>
              </w:rPr>
              <w:t>Total current assets</w:t>
            </w:r>
          </w:p>
        </w:tc>
        <w:tc>
          <w:tcPr>
            <w:tcW w:w="862" w:type="pct"/>
            <w:noWrap/>
            <w:vAlign w:val="bottom"/>
            <w:hideMark/>
          </w:tcPr>
          <w:p w14:paraId="1E4C5B45"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23,821</w:t>
            </w:r>
          </w:p>
        </w:tc>
        <w:tc>
          <w:tcPr>
            <w:tcW w:w="862" w:type="pct"/>
            <w:noWrap/>
            <w:vAlign w:val="bottom"/>
            <w:hideMark/>
          </w:tcPr>
          <w:p w14:paraId="7256192A"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30,447</w:t>
            </w:r>
          </w:p>
        </w:tc>
      </w:tr>
      <w:tr w:rsidR="00D51BC1" w:rsidRPr="005B7F92" w14:paraId="20E11A40" w14:textId="77777777" w:rsidTr="00695E76">
        <w:trPr>
          <w:trHeight w:val="303"/>
          <w:jc w:val="center"/>
        </w:trPr>
        <w:tc>
          <w:tcPr>
            <w:tcW w:w="3277" w:type="pct"/>
            <w:noWrap/>
            <w:vAlign w:val="bottom"/>
            <w:hideMark/>
          </w:tcPr>
          <w:p w14:paraId="4A9F28A2" w14:textId="77777777" w:rsidR="00D51BC1" w:rsidRPr="005B7F92" w:rsidRDefault="00D51BC1" w:rsidP="00F93E64">
            <w:pPr>
              <w:rPr>
                <w:rFonts w:ascii="Arial" w:hAnsi="Arial" w:cs="Arial"/>
                <w:b/>
                <w:bCs/>
                <w:color w:val="000000"/>
                <w:lang w:val="en-GB"/>
              </w:rPr>
            </w:pPr>
            <w:r w:rsidRPr="005B7F92">
              <w:rPr>
                <w:rFonts w:ascii="Arial" w:hAnsi="Arial" w:cs="Arial"/>
                <w:b/>
                <w:bCs/>
                <w:color w:val="000000"/>
                <w:lang w:val="en-GB"/>
              </w:rPr>
              <w:t>Total assets</w:t>
            </w:r>
          </w:p>
        </w:tc>
        <w:tc>
          <w:tcPr>
            <w:tcW w:w="862" w:type="pct"/>
            <w:noWrap/>
            <w:vAlign w:val="bottom"/>
            <w:hideMark/>
          </w:tcPr>
          <w:p w14:paraId="56E6A23F" w14:textId="77777777" w:rsidR="00D51BC1" w:rsidRPr="005B7F92" w:rsidRDefault="00D51BC1" w:rsidP="00D51BC1">
            <w:pPr>
              <w:jc w:val="right"/>
              <w:rPr>
                <w:rFonts w:ascii="Arial" w:hAnsi="Arial" w:cs="Arial"/>
                <w:b/>
                <w:bCs/>
                <w:color w:val="000000"/>
                <w:lang w:val="en-GB"/>
              </w:rPr>
            </w:pPr>
            <w:r w:rsidRPr="005B7F92">
              <w:rPr>
                <w:rFonts w:ascii="Arial" w:hAnsi="Arial" w:cs="Arial"/>
                <w:b/>
                <w:bCs/>
                <w:color w:val="000000"/>
                <w:lang w:val="en-GB"/>
              </w:rPr>
              <w:t>73,917</w:t>
            </w:r>
          </w:p>
        </w:tc>
        <w:tc>
          <w:tcPr>
            <w:tcW w:w="862" w:type="pct"/>
            <w:noWrap/>
            <w:vAlign w:val="bottom"/>
            <w:hideMark/>
          </w:tcPr>
          <w:p w14:paraId="68EB2B18" w14:textId="77777777" w:rsidR="00D51BC1" w:rsidRPr="005B7F92" w:rsidRDefault="00D51BC1" w:rsidP="00D51BC1">
            <w:pPr>
              <w:jc w:val="right"/>
              <w:rPr>
                <w:rFonts w:ascii="Arial" w:hAnsi="Arial" w:cs="Arial"/>
                <w:b/>
                <w:bCs/>
                <w:color w:val="000000"/>
                <w:lang w:val="en-GB"/>
              </w:rPr>
            </w:pPr>
            <w:r w:rsidRPr="005B7F92">
              <w:rPr>
                <w:rFonts w:ascii="Arial" w:hAnsi="Arial" w:cs="Arial"/>
                <w:b/>
                <w:bCs/>
                <w:color w:val="000000"/>
                <w:lang w:val="en-GB"/>
              </w:rPr>
              <w:t>82,238</w:t>
            </w:r>
          </w:p>
        </w:tc>
      </w:tr>
      <w:tr w:rsidR="00D51BC1" w:rsidRPr="005B7F92" w14:paraId="6868A41E" w14:textId="77777777" w:rsidTr="00695E76">
        <w:trPr>
          <w:trHeight w:val="303"/>
          <w:jc w:val="center"/>
        </w:trPr>
        <w:tc>
          <w:tcPr>
            <w:tcW w:w="3277" w:type="pct"/>
            <w:noWrap/>
            <w:vAlign w:val="bottom"/>
            <w:hideMark/>
          </w:tcPr>
          <w:p w14:paraId="76B8DD9E" w14:textId="77777777" w:rsidR="00D51BC1" w:rsidRPr="005B7F92" w:rsidRDefault="00D51BC1" w:rsidP="00F93E64">
            <w:pPr>
              <w:rPr>
                <w:rFonts w:ascii="Arial" w:hAnsi="Arial" w:cs="Arial"/>
                <w:iCs/>
                <w:color w:val="000000"/>
                <w:lang w:val="en-GB"/>
              </w:rPr>
            </w:pPr>
            <w:r w:rsidRPr="005B7F92">
              <w:rPr>
                <w:rFonts w:ascii="Arial" w:hAnsi="Arial" w:cs="Arial"/>
                <w:iCs/>
                <w:color w:val="000000"/>
                <w:lang w:val="en-GB"/>
              </w:rPr>
              <w:t>Equity</w:t>
            </w:r>
          </w:p>
        </w:tc>
        <w:tc>
          <w:tcPr>
            <w:tcW w:w="862" w:type="pct"/>
            <w:noWrap/>
            <w:vAlign w:val="bottom"/>
            <w:hideMark/>
          </w:tcPr>
          <w:p w14:paraId="2D1AE478"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25,445</w:t>
            </w:r>
          </w:p>
        </w:tc>
        <w:tc>
          <w:tcPr>
            <w:tcW w:w="862" w:type="pct"/>
            <w:noWrap/>
            <w:vAlign w:val="bottom"/>
            <w:hideMark/>
          </w:tcPr>
          <w:p w14:paraId="7BBBA2FC"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31,897</w:t>
            </w:r>
          </w:p>
        </w:tc>
      </w:tr>
      <w:tr w:rsidR="00D51BC1" w:rsidRPr="005B7F92" w14:paraId="409CDAD0" w14:textId="77777777" w:rsidTr="00695E76">
        <w:trPr>
          <w:trHeight w:val="303"/>
          <w:jc w:val="center"/>
        </w:trPr>
        <w:tc>
          <w:tcPr>
            <w:tcW w:w="3277" w:type="pct"/>
            <w:noWrap/>
            <w:vAlign w:val="bottom"/>
            <w:hideMark/>
          </w:tcPr>
          <w:p w14:paraId="116CF56F" w14:textId="77777777" w:rsidR="00D51BC1" w:rsidRPr="005B7F92" w:rsidRDefault="00D51BC1" w:rsidP="00F93E64">
            <w:pPr>
              <w:rPr>
                <w:rFonts w:ascii="Arial" w:hAnsi="Arial" w:cs="Arial"/>
                <w:color w:val="000000"/>
                <w:lang w:val="en-GB"/>
              </w:rPr>
            </w:pPr>
            <w:r w:rsidRPr="005B7F92">
              <w:rPr>
                <w:rFonts w:ascii="Arial" w:hAnsi="Arial" w:cs="Arial"/>
                <w:color w:val="000000"/>
                <w:lang w:val="en-GB"/>
              </w:rPr>
              <w:t>Noncurrent liabilities</w:t>
            </w:r>
          </w:p>
        </w:tc>
        <w:tc>
          <w:tcPr>
            <w:tcW w:w="862" w:type="pct"/>
            <w:noWrap/>
            <w:vAlign w:val="bottom"/>
            <w:hideMark/>
          </w:tcPr>
          <w:p w14:paraId="1C105155"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31,492</w:t>
            </w:r>
          </w:p>
        </w:tc>
        <w:tc>
          <w:tcPr>
            <w:tcW w:w="862" w:type="pct"/>
            <w:noWrap/>
            <w:vAlign w:val="bottom"/>
            <w:hideMark/>
          </w:tcPr>
          <w:p w14:paraId="390CF196"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31,804</w:t>
            </w:r>
          </w:p>
        </w:tc>
      </w:tr>
      <w:tr w:rsidR="00D51BC1" w:rsidRPr="005B7F92" w14:paraId="0B8846FE" w14:textId="77777777" w:rsidTr="00695E76">
        <w:trPr>
          <w:trHeight w:val="303"/>
          <w:jc w:val="center"/>
        </w:trPr>
        <w:tc>
          <w:tcPr>
            <w:tcW w:w="3277" w:type="pct"/>
            <w:noWrap/>
            <w:vAlign w:val="bottom"/>
            <w:hideMark/>
          </w:tcPr>
          <w:p w14:paraId="5C8336CD" w14:textId="77777777" w:rsidR="00D51BC1" w:rsidRPr="005B7F92" w:rsidRDefault="00D51BC1" w:rsidP="00F93E64">
            <w:pPr>
              <w:rPr>
                <w:rFonts w:ascii="Arial" w:hAnsi="Arial" w:cs="Arial"/>
                <w:color w:val="000000"/>
                <w:lang w:val="en-GB"/>
              </w:rPr>
            </w:pPr>
            <w:r w:rsidRPr="005B7F92">
              <w:rPr>
                <w:rFonts w:ascii="Arial" w:hAnsi="Arial" w:cs="Arial"/>
                <w:color w:val="000000"/>
                <w:lang w:val="en-GB"/>
              </w:rPr>
              <w:t>Current liabilities</w:t>
            </w:r>
          </w:p>
        </w:tc>
        <w:tc>
          <w:tcPr>
            <w:tcW w:w="862" w:type="pct"/>
            <w:noWrap/>
            <w:vAlign w:val="bottom"/>
            <w:hideMark/>
          </w:tcPr>
          <w:p w14:paraId="30DA3D20"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16,868</w:t>
            </w:r>
          </w:p>
        </w:tc>
        <w:tc>
          <w:tcPr>
            <w:tcW w:w="862" w:type="pct"/>
            <w:noWrap/>
            <w:vAlign w:val="bottom"/>
            <w:hideMark/>
          </w:tcPr>
          <w:p w14:paraId="3F67C89F" w14:textId="77777777" w:rsidR="00D51BC1" w:rsidRPr="005B7F92" w:rsidRDefault="00D51BC1" w:rsidP="00D51BC1">
            <w:pPr>
              <w:jc w:val="right"/>
              <w:rPr>
                <w:rFonts w:ascii="Arial" w:hAnsi="Arial" w:cs="Arial"/>
                <w:color w:val="000000"/>
                <w:lang w:val="en-GB"/>
              </w:rPr>
            </w:pPr>
          </w:p>
        </w:tc>
      </w:tr>
      <w:tr w:rsidR="00D51BC1" w:rsidRPr="005B7F92" w14:paraId="48CF1A8C" w14:textId="77777777" w:rsidTr="00695E76">
        <w:trPr>
          <w:trHeight w:val="303"/>
          <w:jc w:val="center"/>
        </w:trPr>
        <w:tc>
          <w:tcPr>
            <w:tcW w:w="3277" w:type="pct"/>
            <w:noWrap/>
            <w:vAlign w:val="bottom"/>
            <w:hideMark/>
          </w:tcPr>
          <w:p w14:paraId="06183FD7" w14:textId="77777777" w:rsidR="00D51BC1" w:rsidRPr="005B7F92" w:rsidRDefault="00D51BC1" w:rsidP="00F93E64">
            <w:pPr>
              <w:rPr>
                <w:rFonts w:ascii="Arial" w:hAnsi="Arial" w:cs="Arial"/>
                <w:color w:val="000000"/>
                <w:lang w:val="en-GB"/>
              </w:rPr>
            </w:pPr>
            <w:r w:rsidRPr="005B7F92">
              <w:rPr>
                <w:rFonts w:ascii="Arial" w:hAnsi="Arial" w:cs="Arial"/>
                <w:color w:val="000000"/>
                <w:lang w:val="en-GB"/>
              </w:rPr>
              <w:t>Provision directly related to assets held for sales</w:t>
            </w:r>
          </w:p>
        </w:tc>
        <w:tc>
          <w:tcPr>
            <w:tcW w:w="862" w:type="pct"/>
            <w:noWrap/>
            <w:vAlign w:val="bottom"/>
            <w:hideMark/>
          </w:tcPr>
          <w:p w14:paraId="6B55CC1B"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112</w:t>
            </w:r>
          </w:p>
        </w:tc>
        <w:tc>
          <w:tcPr>
            <w:tcW w:w="862" w:type="pct"/>
            <w:noWrap/>
            <w:vAlign w:val="bottom"/>
            <w:hideMark/>
          </w:tcPr>
          <w:p w14:paraId="55842011" w14:textId="77777777" w:rsidR="00D51BC1" w:rsidRPr="005B7F92" w:rsidRDefault="00D51BC1" w:rsidP="00D51BC1">
            <w:pPr>
              <w:jc w:val="right"/>
              <w:rPr>
                <w:rFonts w:ascii="Arial" w:hAnsi="Arial" w:cs="Arial"/>
                <w:color w:val="000000"/>
                <w:lang w:val="en-GB"/>
              </w:rPr>
            </w:pPr>
            <w:r w:rsidRPr="005B7F92">
              <w:rPr>
                <w:rFonts w:ascii="Arial" w:hAnsi="Arial" w:cs="Arial"/>
                <w:color w:val="000000"/>
                <w:lang w:val="en-GB"/>
              </w:rPr>
              <w:t>18,537</w:t>
            </w:r>
          </w:p>
        </w:tc>
      </w:tr>
      <w:tr w:rsidR="00D51BC1" w:rsidRPr="005B7F92" w14:paraId="176A5739" w14:textId="77777777" w:rsidTr="00695E76">
        <w:trPr>
          <w:trHeight w:val="303"/>
          <w:jc w:val="center"/>
        </w:trPr>
        <w:tc>
          <w:tcPr>
            <w:tcW w:w="3277" w:type="pct"/>
            <w:noWrap/>
            <w:vAlign w:val="bottom"/>
            <w:hideMark/>
          </w:tcPr>
          <w:p w14:paraId="4C3A35B0" w14:textId="77777777" w:rsidR="00D51BC1" w:rsidRPr="005B7F92" w:rsidRDefault="00D51BC1" w:rsidP="00F93E64">
            <w:pPr>
              <w:rPr>
                <w:rFonts w:ascii="Arial" w:hAnsi="Arial" w:cs="Arial"/>
                <w:iCs/>
                <w:color w:val="000000"/>
                <w:lang w:val="en-GB"/>
              </w:rPr>
            </w:pPr>
            <w:r w:rsidRPr="005B7F92">
              <w:rPr>
                <w:rFonts w:ascii="Arial" w:hAnsi="Arial" w:cs="Arial"/>
                <w:iCs/>
                <w:color w:val="000000"/>
                <w:lang w:val="en-GB"/>
              </w:rPr>
              <w:t>Total current liabilities</w:t>
            </w:r>
          </w:p>
        </w:tc>
        <w:tc>
          <w:tcPr>
            <w:tcW w:w="862" w:type="pct"/>
            <w:noWrap/>
            <w:vAlign w:val="bottom"/>
            <w:hideMark/>
          </w:tcPr>
          <w:p w14:paraId="702A900E"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16,980</w:t>
            </w:r>
          </w:p>
        </w:tc>
        <w:tc>
          <w:tcPr>
            <w:tcW w:w="862" w:type="pct"/>
            <w:noWrap/>
            <w:vAlign w:val="bottom"/>
            <w:hideMark/>
          </w:tcPr>
          <w:p w14:paraId="2BE5513D"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18,537</w:t>
            </w:r>
          </w:p>
        </w:tc>
      </w:tr>
      <w:tr w:rsidR="00D51BC1" w:rsidRPr="005B7F92" w14:paraId="19649049" w14:textId="77777777" w:rsidTr="00695E76">
        <w:trPr>
          <w:trHeight w:val="303"/>
          <w:jc w:val="center"/>
        </w:trPr>
        <w:tc>
          <w:tcPr>
            <w:tcW w:w="3277" w:type="pct"/>
            <w:noWrap/>
            <w:vAlign w:val="bottom"/>
            <w:hideMark/>
          </w:tcPr>
          <w:p w14:paraId="65A0D2D0" w14:textId="77777777" w:rsidR="00D51BC1" w:rsidRPr="005B7F92" w:rsidRDefault="00D51BC1" w:rsidP="00F93E64">
            <w:pPr>
              <w:rPr>
                <w:rFonts w:ascii="Arial" w:hAnsi="Arial" w:cs="Arial"/>
                <w:iCs/>
                <w:color w:val="000000"/>
                <w:lang w:val="en-GB"/>
              </w:rPr>
            </w:pPr>
            <w:r w:rsidRPr="005B7F92">
              <w:rPr>
                <w:rFonts w:ascii="Arial" w:hAnsi="Arial" w:cs="Arial"/>
                <w:iCs/>
                <w:color w:val="000000"/>
                <w:lang w:val="en-GB"/>
              </w:rPr>
              <w:t>Liabilities</w:t>
            </w:r>
          </w:p>
        </w:tc>
        <w:tc>
          <w:tcPr>
            <w:tcW w:w="862" w:type="pct"/>
            <w:noWrap/>
            <w:vAlign w:val="bottom"/>
            <w:hideMark/>
          </w:tcPr>
          <w:p w14:paraId="65C45CBD"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48,472</w:t>
            </w:r>
          </w:p>
        </w:tc>
        <w:tc>
          <w:tcPr>
            <w:tcW w:w="862" w:type="pct"/>
            <w:noWrap/>
            <w:vAlign w:val="bottom"/>
            <w:hideMark/>
          </w:tcPr>
          <w:p w14:paraId="39269D12" w14:textId="77777777" w:rsidR="00D51BC1" w:rsidRPr="005B7F92" w:rsidRDefault="00D51BC1" w:rsidP="00D51BC1">
            <w:pPr>
              <w:jc w:val="right"/>
              <w:rPr>
                <w:rFonts w:ascii="Arial" w:hAnsi="Arial" w:cs="Arial"/>
                <w:iCs/>
                <w:color w:val="000000"/>
                <w:lang w:val="en-GB"/>
              </w:rPr>
            </w:pPr>
            <w:r w:rsidRPr="005B7F92">
              <w:rPr>
                <w:rFonts w:ascii="Arial" w:hAnsi="Arial" w:cs="Arial"/>
                <w:iCs/>
                <w:color w:val="000000"/>
                <w:lang w:val="en-GB"/>
              </w:rPr>
              <w:t>50,341</w:t>
            </w:r>
          </w:p>
        </w:tc>
      </w:tr>
      <w:tr w:rsidR="00D51BC1" w:rsidRPr="005B7F92" w14:paraId="057314CD" w14:textId="77777777" w:rsidTr="00695E76">
        <w:trPr>
          <w:trHeight w:val="303"/>
          <w:jc w:val="center"/>
        </w:trPr>
        <w:tc>
          <w:tcPr>
            <w:tcW w:w="3277" w:type="pct"/>
            <w:noWrap/>
            <w:vAlign w:val="bottom"/>
            <w:hideMark/>
          </w:tcPr>
          <w:p w14:paraId="420004B4" w14:textId="77777777" w:rsidR="00D51BC1" w:rsidRPr="005B7F92" w:rsidRDefault="00D51BC1" w:rsidP="00F93E64">
            <w:pPr>
              <w:rPr>
                <w:rFonts w:ascii="Arial" w:hAnsi="Arial" w:cs="Arial"/>
                <w:b/>
                <w:bCs/>
                <w:color w:val="000000"/>
                <w:lang w:val="en-GB"/>
              </w:rPr>
            </w:pPr>
            <w:r w:rsidRPr="005B7F92">
              <w:rPr>
                <w:rFonts w:ascii="Arial" w:hAnsi="Arial" w:cs="Arial"/>
                <w:b/>
                <w:bCs/>
                <w:color w:val="000000"/>
                <w:lang w:val="en-GB"/>
              </w:rPr>
              <w:t>Total equity and liabilities</w:t>
            </w:r>
          </w:p>
        </w:tc>
        <w:tc>
          <w:tcPr>
            <w:tcW w:w="862" w:type="pct"/>
            <w:noWrap/>
            <w:vAlign w:val="bottom"/>
            <w:hideMark/>
          </w:tcPr>
          <w:p w14:paraId="15C15279" w14:textId="77777777" w:rsidR="00D51BC1" w:rsidRPr="005B7F92" w:rsidRDefault="00D51BC1" w:rsidP="00D51BC1">
            <w:pPr>
              <w:jc w:val="right"/>
              <w:rPr>
                <w:rFonts w:ascii="Arial" w:hAnsi="Arial" w:cs="Arial"/>
                <w:b/>
                <w:bCs/>
                <w:color w:val="000000"/>
                <w:lang w:val="en-GB"/>
              </w:rPr>
            </w:pPr>
            <w:r w:rsidRPr="005B7F92">
              <w:rPr>
                <w:rFonts w:ascii="Arial" w:hAnsi="Arial" w:cs="Arial"/>
                <w:b/>
                <w:bCs/>
                <w:color w:val="000000"/>
                <w:lang w:val="en-GB"/>
              </w:rPr>
              <w:t>73,917</w:t>
            </w:r>
          </w:p>
        </w:tc>
        <w:tc>
          <w:tcPr>
            <w:tcW w:w="862" w:type="pct"/>
            <w:noWrap/>
            <w:vAlign w:val="bottom"/>
            <w:hideMark/>
          </w:tcPr>
          <w:p w14:paraId="3485A0B5" w14:textId="77777777" w:rsidR="00D51BC1" w:rsidRPr="005B7F92" w:rsidRDefault="00D51BC1" w:rsidP="00D51BC1">
            <w:pPr>
              <w:jc w:val="right"/>
              <w:rPr>
                <w:rFonts w:ascii="Arial" w:hAnsi="Arial" w:cs="Arial"/>
                <w:b/>
                <w:bCs/>
                <w:color w:val="000000"/>
                <w:lang w:val="en-GB"/>
              </w:rPr>
            </w:pPr>
            <w:r w:rsidRPr="005B7F92">
              <w:rPr>
                <w:rFonts w:ascii="Arial" w:hAnsi="Arial" w:cs="Arial"/>
                <w:b/>
                <w:bCs/>
                <w:color w:val="000000"/>
                <w:lang w:val="en-GB"/>
              </w:rPr>
              <w:t>82,238</w:t>
            </w:r>
          </w:p>
        </w:tc>
      </w:tr>
    </w:tbl>
    <w:p w14:paraId="260C0F4B" w14:textId="77777777" w:rsidR="00A776DC" w:rsidRPr="00695E76" w:rsidRDefault="00A776DC" w:rsidP="002C7705">
      <w:pPr>
        <w:pStyle w:val="NoSpacing"/>
        <w:jc w:val="center"/>
        <w:rPr>
          <w:rFonts w:ascii="Arial" w:eastAsia="Times New Roman" w:hAnsi="Arial" w:cs="Arial"/>
          <w:b/>
          <w:color w:val="1C1C1C"/>
          <w:sz w:val="18"/>
          <w:szCs w:val="18"/>
          <w:lang w:val="en-GB" w:eastAsia="zh-CN" w:bidi="ar-SA"/>
        </w:rPr>
      </w:pPr>
    </w:p>
    <w:p w14:paraId="37B378A1" w14:textId="3F33FEB5" w:rsidR="00A776DC" w:rsidRPr="00695E76" w:rsidRDefault="00D51BC1" w:rsidP="00695E76">
      <w:pPr>
        <w:pStyle w:val="BodyTextMain"/>
        <w:rPr>
          <w:rFonts w:ascii="Arial" w:hAnsi="Arial" w:cs="Arial"/>
          <w:color w:val="1C1C1C"/>
          <w:sz w:val="17"/>
          <w:szCs w:val="17"/>
          <w:lang w:val="en-GB" w:eastAsia="zh-CN"/>
        </w:rPr>
      </w:pPr>
      <w:r w:rsidRPr="005B7F92">
        <w:rPr>
          <w:rFonts w:ascii="Arial" w:hAnsi="Arial" w:cs="Arial"/>
          <w:color w:val="1C1C1C"/>
          <w:sz w:val="17"/>
          <w:szCs w:val="17"/>
          <w:lang w:val="en-GB" w:eastAsia="zh-CN"/>
        </w:rPr>
        <w:t xml:space="preserve">Source: Created by the case authors based on “Bayer’s Annual Report 2016,” accessed July 18, 2017, </w:t>
      </w:r>
      <w:r w:rsidR="00610C31" w:rsidRPr="005B7F92">
        <w:rPr>
          <w:rFonts w:ascii="Arial" w:hAnsi="Arial" w:cs="Arial"/>
          <w:color w:val="1C1C1C"/>
          <w:sz w:val="17"/>
          <w:szCs w:val="17"/>
          <w:lang w:val="en-GB" w:eastAsia="zh-CN"/>
        </w:rPr>
        <w:t>www.annualreport2016.bayer.com/financial-statements/notes-to-the-consolidated-financial-statements-of-the-bayer-group/notes-to-the-statements-of-financial-position/legal-risks.html.</w:t>
      </w:r>
    </w:p>
    <w:p w14:paraId="08EB5F6F" w14:textId="34A10369" w:rsidR="00E717CB" w:rsidRPr="005B7F92" w:rsidRDefault="00E717CB" w:rsidP="00933E4B">
      <w:pPr>
        <w:pStyle w:val="NoSpacing"/>
        <w:keepNext/>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lastRenderedPageBreak/>
        <w:t xml:space="preserve">EXHIBIT </w:t>
      </w:r>
      <w:r w:rsidR="001F4B2F" w:rsidRPr="005B7F92">
        <w:rPr>
          <w:rFonts w:ascii="Arial" w:eastAsia="Times New Roman" w:hAnsi="Arial" w:cs="Arial"/>
          <w:b/>
          <w:color w:val="1C1C1C"/>
          <w:sz w:val="20"/>
          <w:szCs w:val="20"/>
          <w:lang w:val="en-GB" w:eastAsia="zh-CN" w:bidi="ar-SA"/>
        </w:rPr>
        <w:t>3</w:t>
      </w:r>
      <w:r w:rsidR="006E4825" w:rsidRPr="005B7F92">
        <w:rPr>
          <w:rFonts w:ascii="Arial" w:eastAsia="Times New Roman" w:hAnsi="Arial" w:cs="Arial"/>
          <w:b/>
          <w:color w:val="1C1C1C"/>
          <w:sz w:val="20"/>
          <w:szCs w:val="20"/>
          <w:lang w:val="en-GB" w:eastAsia="zh-CN" w:bidi="ar-SA"/>
        </w:rPr>
        <w:t>A</w:t>
      </w:r>
      <w:r w:rsidRPr="005B7F92">
        <w:rPr>
          <w:rFonts w:ascii="Arial" w:eastAsia="Times New Roman" w:hAnsi="Arial" w:cs="Arial"/>
          <w:b/>
          <w:color w:val="1C1C1C"/>
          <w:sz w:val="20"/>
          <w:szCs w:val="20"/>
          <w:lang w:val="en-GB" w:eastAsia="zh-CN" w:bidi="ar-SA"/>
        </w:rPr>
        <w:t>: MONSANTO GROUP INCOME STATEMENT</w:t>
      </w:r>
      <w:r w:rsidR="00CE0F7C"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2016</w:t>
      </w:r>
      <w:r w:rsidR="00ED61C3" w:rsidRPr="005B7F92">
        <w:rPr>
          <w:rFonts w:ascii="Arial" w:eastAsia="Times New Roman" w:hAnsi="Arial" w:cs="Arial"/>
          <w:b/>
          <w:color w:val="1C1C1C"/>
          <w:sz w:val="20"/>
          <w:szCs w:val="20"/>
          <w:lang w:val="en-GB" w:eastAsia="zh-CN" w:bidi="ar-SA"/>
        </w:rPr>
        <w:t xml:space="preserve"> (</w:t>
      </w:r>
      <w:r w:rsidR="00CE0F7C" w:rsidRPr="005B7F92">
        <w:rPr>
          <w:rFonts w:ascii="Arial" w:eastAsia="Times New Roman" w:hAnsi="Arial" w:cs="Arial"/>
          <w:b/>
          <w:color w:val="1C1C1C"/>
          <w:sz w:val="20"/>
          <w:szCs w:val="20"/>
          <w:lang w:val="en-GB" w:eastAsia="zh-CN" w:bidi="ar-SA"/>
        </w:rPr>
        <w:t xml:space="preserve">IN </w:t>
      </w:r>
      <w:r w:rsidR="0014630D" w:rsidRPr="005B7F92">
        <w:rPr>
          <w:rFonts w:ascii="Arial" w:eastAsia="Times New Roman" w:hAnsi="Arial" w:cs="Arial"/>
          <w:b/>
          <w:color w:val="1C1C1C"/>
          <w:sz w:val="20"/>
          <w:szCs w:val="20"/>
          <w:lang w:val="en-GB" w:eastAsia="zh-CN" w:bidi="ar-SA"/>
        </w:rPr>
        <w:t xml:space="preserve">MILLION </w:t>
      </w:r>
      <w:r w:rsidR="00CE0F7C" w:rsidRPr="005B7F92">
        <w:rPr>
          <w:rFonts w:ascii="Arial" w:eastAsia="Times New Roman" w:hAnsi="Arial" w:cs="Arial"/>
          <w:b/>
          <w:color w:val="1C1C1C"/>
          <w:sz w:val="20"/>
          <w:szCs w:val="20"/>
          <w:lang w:val="en-GB" w:eastAsia="zh-CN" w:bidi="ar-SA"/>
        </w:rPr>
        <w:t>US</w:t>
      </w:r>
      <w:r w:rsidR="00ED61C3" w:rsidRPr="005B7F92">
        <w:rPr>
          <w:rFonts w:ascii="Arial" w:eastAsia="Times New Roman" w:hAnsi="Arial" w:cs="Arial"/>
          <w:b/>
          <w:color w:val="1C1C1C"/>
          <w:sz w:val="20"/>
          <w:szCs w:val="20"/>
          <w:lang w:val="en-GB" w:eastAsia="zh-CN" w:bidi="ar-SA"/>
        </w:rPr>
        <w:t>$)</w:t>
      </w:r>
    </w:p>
    <w:p w14:paraId="34CBBA15" w14:textId="6F524D30" w:rsidR="00CB35DA" w:rsidRPr="005B7F92" w:rsidRDefault="00CB35DA" w:rsidP="00933E4B">
      <w:pPr>
        <w:pStyle w:val="BodyTextMain"/>
        <w:keepNext/>
        <w:rPr>
          <w:rFonts w:ascii="Arial" w:hAnsi="Arial" w:cs="Arial"/>
          <w:sz w:val="20"/>
          <w:szCs w:val="20"/>
          <w:lang w:val="en-GB"/>
        </w:rPr>
      </w:pPr>
    </w:p>
    <w:tbl>
      <w:tblPr>
        <w:tblW w:w="484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4072"/>
        <w:gridCol w:w="1663"/>
        <w:gridCol w:w="1662"/>
        <w:gridCol w:w="1663"/>
      </w:tblGrid>
      <w:tr w:rsidR="00CB35DA" w:rsidRPr="005B7F92" w14:paraId="4B0BBB29" w14:textId="77777777" w:rsidTr="00911AB1">
        <w:trPr>
          <w:trHeight w:val="315"/>
          <w:jc w:val="center"/>
        </w:trPr>
        <w:tc>
          <w:tcPr>
            <w:tcW w:w="2185" w:type="pct"/>
            <w:shd w:val="clear" w:color="000000" w:fill="FFFFFF"/>
            <w:noWrap/>
            <w:vAlign w:val="bottom"/>
            <w:hideMark/>
          </w:tcPr>
          <w:p w14:paraId="06AE89AE" w14:textId="77777777" w:rsidR="00CB35DA" w:rsidRPr="005B7F92" w:rsidRDefault="00CB35DA" w:rsidP="00933E4B">
            <w:pPr>
              <w:keepNext/>
              <w:rPr>
                <w:rFonts w:ascii="Arial" w:hAnsi="Arial" w:cs="Arial"/>
                <w:lang w:val="en-GB"/>
              </w:rPr>
            </w:pPr>
          </w:p>
        </w:tc>
        <w:tc>
          <w:tcPr>
            <w:tcW w:w="939" w:type="pct"/>
            <w:shd w:val="clear" w:color="000000" w:fill="FFFFFF"/>
            <w:noWrap/>
            <w:vAlign w:val="bottom"/>
            <w:hideMark/>
          </w:tcPr>
          <w:p w14:paraId="70E487B6" w14:textId="77777777" w:rsidR="00CB35DA" w:rsidRPr="005B7F92" w:rsidRDefault="00CB35DA" w:rsidP="0074592C">
            <w:pPr>
              <w:keepNext/>
              <w:jc w:val="center"/>
              <w:rPr>
                <w:rFonts w:ascii="Arial" w:hAnsi="Arial" w:cs="Arial"/>
                <w:b/>
                <w:bCs/>
                <w:color w:val="000000"/>
                <w:lang w:val="en-GB"/>
              </w:rPr>
            </w:pPr>
            <w:r w:rsidRPr="005B7F92">
              <w:rPr>
                <w:rFonts w:ascii="Arial" w:hAnsi="Arial" w:cs="Arial"/>
                <w:b/>
                <w:bCs/>
                <w:color w:val="000000"/>
                <w:lang w:val="en-GB"/>
              </w:rPr>
              <w:t>2014</w:t>
            </w:r>
          </w:p>
        </w:tc>
        <w:tc>
          <w:tcPr>
            <w:tcW w:w="938" w:type="pct"/>
            <w:shd w:val="clear" w:color="000000" w:fill="FFFFFF"/>
            <w:noWrap/>
            <w:vAlign w:val="bottom"/>
            <w:hideMark/>
          </w:tcPr>
          <w:p w14:paraId="0A375778" w14:textId="77777777" w:rsidR="00CB35DA" w:rsidRPr="005B7F92" w:rsidRDefault="00CB35DA" w:rsidP="0074592C">
            <w:pPr>
              <w:keepNext/>
              <w:jc w:val="center"/>
              <w:rPr>
                <w:rFonts w:ascii="Arial" w:hAnsi="Arial" w:cs="Arial"/>
                <w:b/>
                <w:bCs/>
                <w:color w:val="000000"/>
                <w:lang w:val="en-GB"/>
              </w:rPr>
            </w:pPr>
            <w:r w:rsidRPr="005B7F92">
              <w:rPr>
                <w:rFonts w:ascii="Arial" w:hAnsi="Arial" w:cs="Arial"/>
                <w:b/>
                <w:bCs/>
                <w:color w:val="000000"/>
                <w:lang w:val="en-GB"/>
              </w:rPr>
              <w:t>2015</w:t>
            </w:r>
          </w:p>
        </w:tc>
        <w:tc>
          <w:tcPr>
            <w:tcW w:w="938" w:type="pct"/>
            <w:shd w:val="clear" w:color="000000" w:fill="FFFFFF"/>
            <w:noWrap/>
            <w:vAlign w:val="bottom"/>
            <w:hideMark/>
          </w:tcPr>
          <w:p w14:paraId="08233DEF" w14:textId="77777777" w:rsidR="00CB35DA" w:rsidRPr="005B7F92" w:rsidRDefault="00CB35DA" w:rsidP="0074592C">
            <w:pPr>
              <w:keepNext/>
              <w:jc w:val="center"/>
              <w:rPr>
                <w:rFonts w:ascii="Arial" w:hAnsi="Arial" w:cs="Arial"/>
                <w:b/>
                <w:bCs/>
                <w:color w:val="000000"/>
                <w:lang w:val="en-GB"/>
              </w:rPr>
            </w:pPr>
            <w:r w:rsidRPr="005B7F92">
              <w:rPr>
                <w:rFonts w:ascii="Arial" w:hAnsi="Arial" w:cs="Arial"/>
                <w:b/>
                <w:bCs/>
                <w:color w:val="000000"/>
                <w:lang w:val="en-GB"/>
              </w:rPr>
              <w:t>2016</w:t>
            </w:r>
          </w:p>
        </w:tc>
      </w:tr>
      <w:tr w:rsidR="00CB35DA" w:rsidRPr="005B7F92" w14:paraId="13AC4AFC" w14:textId="77777777" w:rsidTr="00911AB1">
        <w:trPr>
          <w:trHeight w:val="300"/>
          <w:jc w:val="center"/>
        </w:trPr>
        <w:tc>
          <w:tcPr>
            <w:tcW w:w="2185" w:type="pct"/>
            <w:shd w:val="clear" w:color="000000" w:fill="FFFFFF"/>
            <w:noWrap/>
            <w:vAlign w:val="bottom"/>
            <w:hideMark/>
          </w:tcPr>
          <w:p w14:paraId="1C17FCB9" w14:textId="77777777" w:rsidR="00CB35DA" w:rsidRPr="005B7F92" w:rsidRDefault="00CB35DA" w:rsidP="00933E4B">
            <w:pPr>
              <w:keepNext/>
              <w:rPr>
                <w:rFonts w:ascii="Arial" w:hAnsi="Arial" w:cs="Arial"/>
                <w:color w:val="000000"/>
                <w:lang w:val="en-GB"/>
              </w:rPr>
            </w:pPr>
            <w:r w:rsidRPr="005B7F92">
              <w:rPr>
                <w:rFonts w:ascii="Arial" w:hAnsi="Arial" w:cs="Arial"/>
                <w:color w:val="000000"/>
                <w:lang w:val="en-GB"/>
              </w:rPr>
              <w:t>Total Revenue</w:t>
            </w:r>
          </w:p>
        </w:tc>
        <w:tc>
          <w:tcPr>
            <w:tcW w:w="939" w:type="pct"/>
            <w:shd w:val="clear" w:color="000000" w:fill="FFFFFF"/>
            <w:noWrap/>
            <w:vAlign w:val="bottom"/>
            <w:hideMark/>
          </w:tcPr>
          <w:p w14:paraId="5F46FD1A" w14:textId="200C996E" w:rsidR="00CB35DA" w:rsidRPr="005B7F92" w:rsidRDefault="00CB35DA" w:rsidP="0014630D">
            <w:pPr>
              <w:keepNext/>
              <w:jc w:val="right"/>
              <w:rPr>
                <w:rFonts w:ascii="Arial" w:hAnsi="Arial" w:cs="Arial"/>
                <w:color w:val="000000"/>
                <w:lang w:val="en-GB"/>
              </w:rPr>
            </w:pPr>
            <w:r w:rsidRPr="005B7F92">
              <w:rPr>
                <w:rFonts w:ascii="Arial" w:hAnsi="Arial" w:cs="Arial"/>
                <w:color w:val="000000"/>
                <w:lang w:val="en-GB"/>
              </w:rPr>
              <w:t>15,855</w:t>
            </w:r>
          </w:p>
        </w:tc>
        <w:tc>
          <w:tcPr>
            <w:tcW w:w="938" w:type="pct"/>
            <w:shd w:val="clear" w:color="000000" w:fill="FFFFFF"/>
            <w:noWrap/>
            <w:vAlign w:val="bottom"/>
            <w:hideMark/>
          </w:tcPr>
          <w:p w14:paraId="4168BB9E" w14:textId="1E66D2FA" w:rsidR="00CB35DA" w:rsidRPr="005B7F92" w:rsidRDefault="00CB35DA" w:rsidP="00322523">
            <w:pPr>
              <w:keepNext/>
              <w:jc w:val="right"/>
              <w:rPr>
                <w:rFonts w:ascii="Arial" w:hAnsi="Arial" w:cs="Arial"/>
                <w:color w:val="000000"/>
                <w:lang w:val="en-GB"/>
              </w:rPr>
            </w:pPr>
            <w:r w:rsidRPr="005B7F92">
              <w:rPr>
                <w:rFonts w:ascii="Arial" w:hAnsi="Arial" w:cs="Arial"/>
                <w:color w:val="000000"/>
                <w:lang w:val="en-GB"/>
              </w:rPr>
              <w:t>15,001</w:t>
            </w:r>
          </w:p>
        </w:tc>
        <w:tc>
          <w:tcPr>
            <w:tcW w:w="938" w:type="pct"/>
            <w:shd w:val="clear" w:color="000000" w:fill="FFFFFF"/>
            <w:noWrap/>
            <w:vAlign w:val="bottom"/>
            <w:hideMark/>
          </w:tcPr>
          <w:p w14:paraId="69F268D3" w14:textId="69B87545" w:rsidR="00CB35DA" w:rsidRPr="005B7F92" w:rsidRDefault="00CB35DA" w:rsidP="00322523">
            <w:pPr>
              <w:keepNext/>
              <w:jc w:val="right"/>
              <w:rPr>
                <w:rFonts w:ascii="Arial" w:hAnsi="Arial" w:cs="Arial"/>
                <w:color w:val="000000"/>
                <w:lang w:val="en-GB"/>
              </w:rPr>
            </w:pPr>
            <w:r w:rsidRPr="005B7F92">
              <w:rPr>
                <w:rFonts w:ascii="Arial" w:hAnsi="Arial" w:cs="Arial"/>
                <w:color w:val="000000"/>
                <w:lang w:val="en-GB"/>
              </w:rPr>
              <w:t>13,502</w:t>
            </w:r>
          </w:p>
        </w:tc>
      </w:tr>
      <w:tr w:rsidR="00CB35DA" w:rsidRPr="005B7F92" w14:paraId="7EC0C88D" w14:textId="77777777" w:rsidTr="00911AB1">
        <w:trPr>
          <w:trHeight w:val="300"/>
          <w:jc w:val="center"/>
        </w:trPr>
        <w:tc>
          <w:tcPr>
            <w:tcW w:w="2185" w:type="pct"/>
            <w:shd w:val="clear" w:color="000000" w:fill="FFFFFF"/>
            <w:noWrap/>
            <w:vAlign w:val="bottom"/>
            <w:hideMark/>
          </w:tcPr>
          <w:p w14:paraId="53C56157" w14:textId="77777777" w:rsidR="00CB35DA" w:rsidRPr="005B7F92" w:rsidRDefault="00CB35DA" w:rsidP="00933E4B">
            <w:pPr>
              <w:keepNext/>
              <w:rPr>
                <w:rFonts w:ascii="Arial" w:hAnsi="Arial" w:cs="Arial"/>
                <w:color w:val="000000"/>
                <w:lang w:val="en-GB"/>
              </w:rPr>
            </w:pPr>
            <w:r w:rsidRPr="005B7F92">
              <w:rPr>
                <w:rFonts w:ascii="Arial" w:hAnsi="Arial" w:cs="Arial"/>
                <w:color w:val="000000"/>
                <w:lang w:val="en-GB"/>
              </w:rPr>
              <w:t>Cost of Revenue</w:t>
            </w:r>
          </w:p>
        </w:tc>
        <w:tc>
          <w:tcPr>
            <w:tcW w:w="939" w:type="pct"/>
            <w:shd w:val="clear" w:color="000000" w:fill="FFFFFF"/>
            <w:noWrap/>
            <w:vAlign w:val="bottom"/>
            <w:hideMark/>
          </w:tcPr>
          <w:p w14:paraId="56341E7F" w14:textId="6477B799" w:rsidR="00CB35DA" w:rsidRPr="005B7F92" w:rsidRDefault="00CB35DA" w:rsidP="0014630D">
            <w:pPr>
              <w:keepNext/>
              <w:jc w:val="right"/>
              <w:rPr>
                <w:rFonts w:ascii="Arial" w:hAnsi="Arial" w:cs="Arial"/>
                <w:color w:val="000000"/>
                <w:lang w:val="en-GB"/>
              </w:rPr>
            </w:pPr>
            <w:r w:rsidRPr="005B7F92">
              <w:rPr>
                <w:rFonts w:ascii="Arial" w:hAnsi="Arial" w:cs="Arial"/>
                <w:color w:val="000000"/>
                <w:lang w:val="en-GB"/>
              </w:rPr>
              <w:t>7,281</w:t>
            </w:r>
          </w:p>
        </w:tc>
        <w:tc>
          <w:tcPr>
            <w:tcW w:w="938" w:type="pct"/>
            <w:shd w:val="clear" w:color="000000" w:fill="FFFFFF"/>
            <w:noWrap/>
            <w:vAlign w:val="bottom"/>
            <w:hideMark/>
          </w:tcPr>
          <w:p w14:paraId="2882CA73" w14:textId="5FCB591F" w:rsidR="00CB35DA" w:rsidRPr="005B7F92" w:rsidRDefault="00CB35DA" w:rsidP="00322523">
            <w:pPr>
              <w:keepNext/>
              <w:jc w:val="right"/>
              <w:rPr>
                <w:rFonts w:ascii="Arial" w:hAnsi="Arial" w:cs="Arial"/>
                <w:color w:val="000000"/>
                <w:lang w:val="en-GB"/>
              </w:rPr>
            </w:pPr>
            <w:r w:rsidRPr="005B7F92">
              <w:rPr>
                <w:rFonts w:ascii="Arial" w:hAnsi="Arial" w:cs="Arial"/>
                <w:color w:val="000000"/>
                <w:lang w:val="en-GB"/>
              </w:rPr>
              <w:t>6,819</w:t>
            </w:r>
          </w:p>
        </w:tc>
        <w:tc>
          <w:tcPr>
            <w:tcW w:w="938" w:type="pct"/>
            <w:shd w:val="clear" w:color="000000" w:fill="FFFFFF"/>
            <w:noWrap/>
            <w:vAlign w:val="bottom"/>
            <w:hideMark/>
          </w:tcPr>
          <w:p w14:paraId="3C9D6F3A" w14:textId="1726F3B9" w:rsidR="00CB35DA" w:rsidRPr="005B7F92" w:rsidRDefault="00CB35DA" w:rsidP="00322523">
            <w:pPr>
              <w:keepNext/>
              <w:jc w:val="right"/>
              <w:rPr>
                <w:rFonts w:ascii="Arial" w:hAnsi="Arial" w:cs="Arial"/>
                <w:color w:val="000000"/>
                <w:lang w:val="en-GB"/>
              </w:rPr>
            </w:pPr>
            <w:r w:rsidRPr="005B7F92">
              <w:rPr>
                <w:rFonts w:ascii="Arial" w:hAnsi="Arial" w:cs="Arial"/>
                <w:color w:val="000000"/>
                <w:lang w:val="en-GB"/>
              </w:rPr>
              <w:t>6,485</w:t>
            </w:r>
          </w:p>
        </w:tc>
      </w:tr>
      <w:tr w:rsidR="00CB35DA" w:rsidRPr="005B7F92" w14:paraId="3FB25594" w14:textId="77777777" w:rsidTr="00911AB1">
        <w:trPr>
          <w:trHeight w:val="300"/>
          <w:jc w:val="center"/>
        </w:trPr>
        <w:tc>
          <w:tcPr>
            <w:tcW w:w="2185" w:type="pct"/>
            <w:shd w:val="clear" w:color="000000" w:fill="FFFFFF"/>
            <w:noWrap/>
            <w:vAlign w:val="bottom"/>
            <w:hideMark/>
          </w:tcPr>
          <w:p w14:paraId="44DACA2D" w14:textId="77777777"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Gross Profit</w:t>
            </w:r>
          </w:p>
        </w:tc>
        <w:tc>
          <w:tcPr>
            <w:tcW w:w="939" w:type="pct"/>
            <w:shd w:val="clear" w:color="000000" w:fill="FFFFFF"/>
            <w:noWrap/>
            <w:vAlign w:val="bottom"/>
            <w:hideMark/>
          </w:tcPr>
          <w:p w14:paraId="188AEB0E" w14:textId="4C60C48B" w:rsidR="00CB35DA" w:rsidRPr="005B7F92" w:rsidRDefault="00CB35DA" w:rsidP="0014630D">
            <w:pPr>
              <w:jc w:val="right"/>
              <w:rPr>
                <w:rFonts w:ascii="Arial" w:hAnsi="Arial" w:cs="Arial"/>
                <w:b/>
                <w:bCs/>
                <w:color w:val="000000"/>
                <w:lang w:val="en-GB"/>
              </w:rPr>
            </w:pPr>
            <w:r w:rsidRPr="005B7F92">
              <w:rPr>
                <w:rFonts w:ascii="Arial" w:hAnsi="Arial" w:cs="Arial"/>
                <w:b/>
                <w:bCs/>
                <w:color w:val="000000"/>
                <w:lang w:val="en-GB"/>
              </w:rPr>
              <w:t>8,574</w:t>
            </w:r>
          </w:p>
        </w:tc>
        <w:tc>
          <w:tcPr>
            <w:tcW w:w="938" w:type="pct"/>
            <w:shd w:val="clear" w:color="000000" w:fill="FFFFFF"/>
            <w:noWrap/>
            <w:vAlign w:val="bottom"/>
            <w:hideMark/>
          </w:tcPr>
          <w:p w14:paraId="24682F3C" w14:textId="3760D526"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8,182</w:t>
            </w:r>
          </w:p>
        </w:tc>
        <w:tc>
          <w:tcPr>
            <w:tcW w:w="938" w:type="pct"/>
            <w:shd w:val="clear" w:color="000000" w:fill="FFFFFF"/>
            <w:noWrap/>
            <w:vAlign w:val="bottom"/>
            <w:hideMark/>
          </w:tcPr>
          <w:p w14:paraId="4BE8DEA6" w14:textId="18DDE5AE"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7,017</w:t>
            </w:r>
          </w:p>
        </w:tc>
      </w:tr>
      <w:tr w:rsidR="00CB35DA" w:rsidRPr="005B7F92" w14:paraId="31ED4974" w14:textId="77777777" w:rsidTr="00911AB1">
        <w:trPr>
          <w:trHeight w:val="300"/>
          <w:jc w:val="center"/>
        </w:trPr>
        <w:tc>
          <w:tcPr>
            <w:tcW w:w="2185" w:type="pct"/>
            <w:shd w:val="clear" w:color="000000" w:fill="FFFFFF"/>
            <w:noWrap/>
            <w:vAlign w:val="bottom"/>
            <w:hideMark/>
          </w:tcPr>
          <w:p w14:paraId="3789EF59"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Research Development</w:t>
            </w:r>
          </w:p>
        </w:tc>
        <w:tc>
          <w:tcPr>
            <w:tcW w:w="939" w:type="pct"/>
            <w:shd w:val="clear" w:color="000000" w:fill="FFFFFF"/>
            <w:noWrap/>
            <w:vAlign w:val="bottom"/>
            <w:hideMark/>
          </w:tcPr>
          <w:p w14:paraId="41B00857" w14:textId="13C0F3A5"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1,725</w:t>
            </w:r>
          </w:p>
        </w:tc>
        <w:tc>
          <w:tcPr>
            <w:tcW w:w="938" w:type="pct"/>
            <w:shd w:val="clear" w:color="000000" w:fill="FFFFFF"/>
            <w:noWrap/>
            <w:vAlign w:val="bottom"/>
            <w:hideMark/>
          </w:tcPr>
          <w:p w14:paraId="193CD7BC" w14:textId="6C4FB397"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1,580</w:t>
            </w:r>
          </w:p>
        </w:tc>
        <w:tc>
          <w:tcPr>
            <w:tcW w:w="938" w:type="pct"/>
            <w:shd w:val="clear" w:color="000000" w:fill="FFFFFF"/>
            <w:noWrap/>
            <w:vAlign w:val="bottom"/>
            <w:hideMark/>
          </w:tcPr>
          <w:p w14:paraId="4E2D10E0" w14:textId="48A99FF7"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1,512</w:t>
            </w:r>
          </w:p>
        </w:tc>
      </w:tr>
      <w:tr w:rsidR="00CB35DA" w:rsidRPr="005B7F92" w14:paraId="2E063D30" w14:textId="77777777" w:rsidTr="00911AB1">
        <w:trPr>
          <w:trHeight w:val="300"/>
          <w:jc w:val="center"/>
        </w:trPr>
        <w:tc>
          <w:tcPr>
            <w:tcW w:w="2185" w:type="pct"/>
            <w:shd w:val="clear" w:color="000000" w:fill="FFFFFF"/>
            <w:noWrap/>
            <w:vAlign w:val="bottom"/>
            <w:hideMark/>
          </w:tcPr>
          <w:p w14:paraId="7727A614" w14:textId="10006BF6" w:rsidR="00CB35DA" w:rsidRPr="005B7F92" w:rsidRDefault="00CB35DA" w:rsidP="00A1066D">
            <w:pPr>
              <w:rPr>
                <w:rFonts w:ascii="Arial" w:hAnsi="Arial" w:cs="Arial"/>
                <w:color w:val="000000"/>
                <w:lang w:val="en-GB"/>
              </w:rPr>
            </w:pPr>
            <w:r w:rsidRPr="005B7F92">
              <w:rPr>
                <w:rFonts w:ascii="Arial" w:hAnsi="Arial" w:cs="Arial"/>
                <w:color w:val="000000"/>
                <w:lang w:val="en-GB"/>
              </w:rPr>
              <w:t>Selling</w:t>
            </w:r>
            <w:r w:rsidR="0080221E">
              <w:rPr>
                <w:rFonts w:ascii="Arial" w:hAnsi="Arial" w:cs="Arial"/>
                <w:color w:val="000000"/>
                <w:lang w:val="en-GB"/>
              </w:rPr>
              <w:t>,</w:t>
            </w:r>
            <w:r w:rsidRPr="005B7F92">
              <w:rPr>
                <w:rFonts w:ascii="Arial" w:hAnsi="Arial" w:cs="Arial"/>
                <w:color w:val="000000"/>
                <w:lang w:val="en-GB"/>
              </w:rPr>
              <w:t xml:space="preserve"> General</w:t>
            </w:r>
            <w:r w:rsidR="0080221E">
              <w:rPr>
                <w:rFonts w:ascii="Arial" w:hAnsi="Arial" w:cs="Arial"/>
                <w:color w:val="000000"/>
                <w:lang w:val="en-GB"/>
              </w:rPr>
              <w:t>,</w:t>
            </w:r>
            <w:r w:rsidRPr="005B7F92">
              <w:rPr>
                <w:rFonts w:ascii="Arial" w:hAnsi="Arial" w:cs="Arial"/>
                <w:color w:val="000000"/>
                <w:lang w:val="en-GB"/>
              </w:rPr>
              <w:t xml:space="preserve"> and Administrative</w:t>
            </w:r>
          </w:p>
        </w:tc>
        <w:tc>
          <w:tcPr>
            <w:tcW w:w="939" w:type="pct"/>
            <w:shd w:val="clear" w:color="000000" w:fill="FFFFFF"/>
            <w:noWrap/>
            <w:vAlign w:val="bottom"/>
            <w:hideMark/>
          </w:tcPr>
          <w:p w14:paraId="471B3D49" w14:textId="2E6AA72A"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2,774</w:t>
            </w:r>
          </w:p>
        </w:tc>
        <w:tc>
          <w:tcPr>
            <w:tcW w:w="938" w:type="pct"/>
            <w:shd w:val="clear" w:color="000000" w:fill="FFFFFF"/>
            <w:noWrap/>
            <w:vAlign w:val="bottom"/>
            <w:hideMark/>
          </w:tcPr>
          <w:p w14:paraId="7B0AE246" w14:textId="4C9BC754"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2,686</w:t>
            </w:r>
          </w:p>
        </w:tc>
        <w:tc>
          <w:tcPr>
            <w:tcW w:w="938" w:type="pct"/>
            <w:shd w:val="clear" w:color="000000" w:fill="FFFFFF"/>
            <w:noWrap/>
            <w:vAlign w:val="bottom"/>
            <w:hideMark/>
          </w:tcPr>
          <w:p w14:paraId="6B977F94" w14:textId="0F3ACFE3"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2,833</w:t>
            </w:r>
          </w:p>
        </w:tc>
      </w:tr>
      <w:tr w:rsidR="00CB35DA" w:rsidRPr="005B7F92" w14:paraId="7A66E2AA" w14:textId="77777777" w:rsidTr="00911AB1">
        <w:trPr>
          <w:trHeight w:val="300"/>
          <w:jc w:val="center"/>
        </w:trPr>
        <w:tc>
          <w:tcPr>
            <w:tcW w:w="2185" w:type="pct"/>
            <w:shd w:val="clear" w:color="000000" w:fill="FFFFFF"/>
            <w:noWrap/>
            <w:vAlign w:val="bottom"/>
            <w:hideMark/>
          </w:tcPr>
          <w:p w14:paraId="40662DFC" w14:textId="77777777" w:rsidR="00CB35DA" w:rsidRPr="005B7F92" w:rsidRDefault="00CB35DA" w:rsidP="00A1066D">
            <w:pPr>
              <w:rPr>
                <w:rFonts w:ascii="Arial" w:hAnsi="Arial" w:cs="Arial"/>
                <w:color w:val="000000"/>
                <w:lang w:val="en-GB"/>
              </w:rPr>
            </w:pPr>
            <w:proofErr w:type="gramStart"/>
            <w:r w:rsidRPr="005B7F92">
              <w:rPr>
                <w:rFonts w:ascii="Arial" w:hAnsi="Arial" w:cs="Arial"/>
                <w:color w:val="000000"/>
                <w:lang w:val="en-GB"/>
              </w:rPr>
              <w:t>Non Recurring</w:t>
            </w:r>
            <w:proofErr w:type="gramEnd"/>
          </w:p>
        </w:tc>
        <w:tc>
          <w:tcPr>
            <w:tcW w:w="939" w:type="pct"/>
            <w:shd w:val="clear" w:color="000000" w:fill="FFFFFF"/>
            <w:noWrap/>
            <w:vAlign w:val="bottom"/>
            <w:hideMark/>
          </w:tcPr>
          <w:p w14:paraId="2AFEE454" w14:textId="5E46004B"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393</w:t>
            </w:r>
          </w:p>
        </w:tc>
        <w:tc>
          <w:tcPr>
            <w:tcW w:w="938" w:type="pct"/>
            <w:shd w:val="clear" w:color="000000" w:fill="FFFFFF"/>
            <w:noWrap/>
            <w:vAlign w:val="bottom"/>
            <w:hideMark/>
          </w:tcPr>
          <w:p w14:paraId="0F8A44CF" w14:textId="3E862C5D"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393</w:t>
            </w:r>
          </w:p>
        </w:tc>
        <w:tc>
          <w:tcPr>
            <w:tcW w:w="938" w:type="pct"/>
            <w:shd w:val="clear" w:color="000000" w:fill="FFFFFF"/>
            <w:noWrap/>
            <w:vAlign w:val="bottom"/>
            <w:hideMark/>
          </w:tcPr>
          <w:p w14:paraId="467E67F4" w14:textId="3C60D3F0"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297</w:t>
            </w:r>
          </w:p>
        </w:tc>
      </w:tr>
      <w:tr w:rsidR="00CB35DA" w:rsidRPr="005B7F92" w14:paraId="54D68BD0" w14:textId="77777777" w:rsidTr="00911AB1">
        <w:trPr>
          <w:trHeight w:val="300"/>
          <w:jc w:val="center"/>
        </w:trPr>
        <w:tc>
          <w:tcPr>
            <w:tcW w:w="2185" w:type="pct"/>
            <w:shd w:val="clear" w:color="000000" w:fill="FFFFFF"/>
            <w:noWrap/>
            <w:vAlign w:val="bottom"/>
            <w:hideMark/>
          </w:tcPr>
          <w:p w14:paraId="58128A98" w14:textId="77777777"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Operating Income or Loss</w:t>
            </w:r>
          </w:p>
        </w:tc>
        <w:tc>
          <w:tcPr>
            <w:tcW w:w="939" w:type="pct"/>
            <w:shd w:val="clear" w:color="000000" w:fill="FFFFFF"/>
            <w:noWrap/>
            <w:vAlign w:val="bottom"/>
            <w:hideMark/>
          </w:tcPr>
          <w:p w14:paraId="5A5BC65A" w14:textId="69AF6418" w:rsidR="00CB35DA" w:rsidRPr="005B7F92" w:rsidRDefault="00CB35DA" w:rsidP="00A1066D">
            <w:pPr>
              <w:jc w:val="right"/>
              <w:rPr>
                <w:rFonts w:ascii="Arial" w:hAnsi="Arial" w:cs="Arial"/>
                <w:b/>
                <w:bCs/>
                <w:color w:val="000000"/>
                <w:lang w:val="en-GB"/>
              </w:rPr>
            </w:pPr>
            <w:r w:rsidRPr="005B7F92">
              <w:rPr>
                <w:rFonts w:ascii="Arial" w:hAnsi="Arial" w:cs="Arial"/>
                <w:b/>
                <w:bCs/>
                <w:color w:val="000000"/>
                <w:lang w:val="en-GB"/>
              </w:rPr>
              <w:t>4,075</w:t>
            </w:r>
          </w:p>
        </w:tc>
        <w:tc>
          <w:tcPr>
            <w:tcW w:w="938" w:type="pct"/>
            <w:shd w:val="clear" w:color="000000" w:fill="FFFFFF"/>
            <w:noWrap/>
            <w:vAlign w:val="bottom"/>
            <w:hideMark/>
          </w:tcPr>
          <w:p w14:paraId="0DD5626F" w14:textId="089FD89F"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3,523</w:t>
            </w:r>
          </w:p>
        </w:tc>
        <w:tc>
          <w:tcPr>
            <w:tcW w:w="938" w:type="pct"/>
            <w:shd w:val="clear" w:color="000000" w:fill="FFFFFF"/>
            <w:noWrap/>
            <w:vAlign w:val="bottom"/>
            <w:hideMark/>
          </w:tcPr>
          <w:p w14:paraId="4E2DF9D7" w14:textId="7745EE73"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2,375</w:t>
            </w:r>
          </w:p>
        </w:tc>
      </w:tr>
      <w:tr w:rsidR="00CB35DA" w:rsidRPr="005B7F92" w14:paraId="7F8397F5" w14:textId="77777777" w:rsidTr="00911AB1">
        <w:trPr>
          <w:trHeight w:val="300"/>
          <w:jc w:val="center"/>
        </w:trPr>
        <w:tc>
          <w:tcPr>
            <w:tcW w:w="2185" w:type="pct"/>
            <w:shd w:val="clear" w:color="000000" w:fill="FFFFFF"/>
            <w:noWrap/>
            <w:vAlign w:val="bottom"/>
            <w:hideMark/>
          </w:tcPr>
          <w:p w14:paraId="45BE9B2E"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Total Other Income/Expenses Net</w:t>
            </w:r>
          </w:p>
        </w:tc>
        <w:tc>
          <w:tcPr>
            <w:tcW w:w="939" w:type="pct"/>
            <w:shd w:val="clear" w:color="000000" w:fill="FFFFFF"/>
            <w:noWrap/>
            <w:vAlign w:val="bottom"/>
            <w:hideMark/>
          </w:tcPr>
          <w:p w14:paraId="3C540DC6" w14:textId="50D9B5CD"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71</w:t>
            </w:r>
          </w:p>
        </w:tc>
        <w:tc>
          <w:tcPr>
            <w:tcW w:w="938" w:type="pct"/>
            <w:shd w:val="clear" w:color="000000" w:fill="FFFFFF"/>
            <w:noWrap/>
            <w:vAlign w:val="bottom"/>
            <w:hideMark/>
          </w:tcPr>
          <w:p w14:paraId="7FA14B81" w14:textId="4B205569"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71</w:t>
            </w:r>
          </w:p>
        </w:tc>
        <w:tc>
          <w:tcPr>
            <w:tcW w:w="938" w:type="pct"/>
            <w:shd w:val="clear" w:color="000000" w:fill="FFFFFF"/>
            <w:noWrap/>
            <w:vAlign w:val="bottom"/>
            <w:hideMark/>
          </w:tcPr>
          <w:p w14:paraId="69DA8740" w14:textId="3279721D"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52</w:t>
            </w:r>
          </w:p>
        </w:tc>
      </w:tr>
      <w:tr w:rsidR="00CB35DA" w:rsidRPr="005B7F92" w14:paraId="5150FDCA" w14:textId="77777777" w:rsidTr="00911AB1">
        <w:trPr>
          <w:trHeight w:val="315"/>
          <w:jc w:val="center"/>
        </w:trPr>
        <w:tc>
          <w:tcPr>
            <w:tcW w:w="2185" w:type="pct"/>
            <w:shd w:val="clear" w:color="000000" w:fill="FFFFFF"/>
            <w:noWrap/>
            <w:vAlign w:val="bottom"/>
            <w:hideMark/>
          </w:tcPr>
          <w:p w14:paraId="76699FEA" w14:textId="77777777"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EBIT</w:t>
            </w:r>
          </w:p>
        </w:tc>
        <w:tc>
          <w:tcPr>
            <w:tcW w:w="939" w:type="pct"/>
            <w:shd w:val="clear" w:color="000000" w:fill="FFFFFF"/>
            <w:noWrap/>
            <w:vAlign w:val="bottom"/>
            <w:hideMark/>
          </w:tcPr>
          <w:p w14:paraId="4D28D569" w14:textId="781B9B9F" w:rsidR="00CB35DA" w:rsidRPr="005B7F92" w:rsidRDefault="00CB35DA" w:rsidP="0014630D">
            <w:pPr>
              <w:jc w:val="right"/>
              <w:rPr>
                <w:rFonts w:ascii="Arial" w:hAnsi="Arial" w:cs="Arial"/>
                <w:b/>
                <w:bCs/>
                <w:color w:val="000000"/>
                <w:lang w:val="en-GB"/>
              </w:rPr>
            </w:pPr>
            <w:r w:rsidRPr="005B7F92">
              <w:rPr>
                <w:rFonts w:ascii="Arial" w:hAnsi="Arial" w:cs="Arial"/>
                <w:b/>
                <w:bCs/>
                <w:color w:val="000000"/>
                <w:lang w:val="en-GB"/>
              </w:rPr>
              <w:t>4,075</w:t>
            </w:r>
          </w:p>
        </w:tc>
        <w:tc>
          <w:tcPr>
            <w:tcW w:w="938" w:type="pct"/>
            <w:shd w:val="clear" w:color="000000" w:fill="FFFFFF"/>
            <w:noWrap/>
            <w:vAlign w:val="bottom"/>
            <w:hideMark/>
          </w:tcPr>
          <w:p w14:paraId="328FEB4C" w14:textId="562E21D7"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3,594</w:t>
            </w:r>
          </w:p>
        </w:tc>
        <w:tc>
          <w:tcPr>
            <w:tcW w:w="938" w:type="pct"/>
            <w:shd w:val="clear" w:color="000000" w:fill="FFFFFF"/>
            <w:noWrap/>
            <w:vAlign w:val="bottom"/>
            <w:hideMark/>
          </w:tcPr>
          <w:p w14:paraId="56428764" w14:textId="42D51158"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2,427</w:t>
            </w:r>
          </w:p>
        </w:tc>
      </w:tr>
      <w:tr w:rsidR="00CB35DA" w:rsidRPr="005B7F92" w14:paraId="0969D414" w14:textId="77777777" w:rsidTr="00911AB1">
        <w:trPr>
          <w:trHeight w:val="300"/>
          <w:jc w:val="center"/>
        </w:trPr>
        <w:tc>
          <w:tcPr>
            <w:tcW w:w="2185" w:type="pct"/>
            <w:shd w:val="clear" w:color="000000" w:fill="FFFFFF"/>
            <w:noWrap/>
            <w:vAlign w:val="bottom"/>
            <w:hideMark/>
          </w:tcPr>
          <w:p w14:paraId="2B250EE4"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Interest Expense</w:t>
            </w:r>
          </w:p>
        </w:tc>
        <w:tc>
          <w:tcPr>
            <w:tcW w:w="939" w:type="pct"/>
            <w:shd w:val="clear" w:color="000000" w:fill="FFFFFF"/>
            <w:noWrap/>
            <w:vAlign w:val="bottom"/>
            <w:hideMark/>
          </w:tcPr>
          <w:p w14:paraId="47B918DE" w14:textId="03072774"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248</w:t>
            </w:r>
          </w:p>
        </w:tc>
        <w:tc>
          <w:tcPr>
            <w:tcW w:w="938" w:type="pct"/>
            <w:shd w:val="clear" w:color="000000" w:fill="FFFFFF"/>
            <w:noWrap/>
            <w:vAlign w:val="bottom"/>
            <w:hideMark/>
          </w:tcPr>
          <w:p w14:paraId="22FBE6E6" w14:textId="44812F62"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433</w:t>
            </w:r>
          </w:p>
        </w:tc>
        <w:tc>
          <w:tcPr>
            <w:tcW w:w="938" w:type="pct"/>
            <w:shd w:val="clear" w:color="000000" w:fill="FFFFFF"/>
            <w:noWrap/>
            <w:vAlign w:val="bottom"/>
            <w:hideMark/>
          </w:tcPr>
          <w:p w14:paraId="34D5CEC3" w14:textId="2B039CD2"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436</w:t>
            </w:r>
          </w:p>
        </w:tc>
      </w:tr>
      <w:tr w:rsidR="00CB35DA" w:rsidRPr="005B7F92" w14:paraId="69B526B0" w14:textId="77777777" w:rsidTr="00911AB1">
        <w:trPr>
          <w:trHeight w:val="300"/>
          <w:jc w:val="center"/>
        </w:trPr>
        <w:tc>
          <w:tcPr>
            <w:tcW w:w="2185" w:type="pct"/>
            <w:shd w:val="clear" w:color="000000" w:fill="FFFFFF"/>
            <w:noWrap/>
            <w:vAlign w:val="bottom"/>
            <w:hideMark/>
          </w:tcPr>
          <w:p w14:paraId="3BF9B073" w14:textId="77777777"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Income Before Tax</w:t>
            </w:r>
          </w:p>
        </w:tc>
        <w:tc>
          <w:tcPr>
            <w:tcW w:w="939" w:type="pct"/>
            <w:shd w:val="clear" w:color="000000" w:fill="FFFFFF"/>
            <w:noWrap/>
            <w:vAlign w:val="bottom"/>
            <w:hideMark/>
          </w:tcPr>
          <w:p w14:paraId="74F2F38E" w14:textId="44A3E314" w:rsidR="00CB35DA" w:rsidRPr="005B7F92" w:rsidRDefault="00CB35DA" w:rsidP="0014630D">
            <w:pPr>
              <w:jc w:val="right"/>
              <w:rPr>
                <w:rFonts w:ascii="Arial" w:hAnsi="Arial" w:cs="Arial"/>
                <w:b/>
                <w:bCs/>
                <w:color w:val="000000"/>
                <w:lang w:val="en-GB"/>
              </w:rPr>
            </w:pPr>
            <w:r w:rsidRPr="005B7F92">
              <w:rPr>
                <w:rFonts w:ascii="Arial" w:hAnsi="Arial" w:cs="Arial"/>
                <w:b/>
                <w:bCs/>
                <w:color w:val="000000"/>
                <w:lang w:val="en-GB"/>
              </w:rPr>
              <w:t>3,827</w:t>
            </w:r>
          </w:p>
        </w:tc>
        <w:tc>
          <w:tcPr>
            <w:tcW w:w="938" w:type="pct"/>
            <w:shd w:val="clear" w:color="000000" w:fill="FFFFFF"/>
            <w:noWrap/>
            <w:vAlign w:val="bottom"/>
            <w:hideMark/>
          </w:tcPr>
          <w:p w14:paraId="27768F3D" w14:textId="5E4B5858"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3,161</w:t>
            </w:r>
          </w:p>
        </w:tc>
        <w:tc>
          <w:tcPr>
            <w:tcW w:w="938" w:type="pct"/>
            <w:shd w:val="clear" w:color="000000" w:fill="FFFFFF"/>
            <w:noWrap/>
            <w:vAlign w:val="bottom"/>
            <w:hideMark/>
          </w:tcPr>
          <w:p w14:paraId="0A61EC5B" w14:textId="0B891F42"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1,991</w:t>
            </w:r>
          </w:p>
        </w:tc>
      </w:tr>
      <w:tr w:rsidR="00CB35DA" w:rsidRPr="005B7F92" w14:paraId="292D07AC" w14:textId="77777777" w:rsidTr="00911AB1">
        <w:trPr>
          <w:trHeight w:val="300"/>
          <w:jc w:val="center"/>
        </w:trPr>
        <w:tc>
          <w:tcPr>
            <w:tcW w:w="2185" w:type="pct"/>
            <w:shd w:val="clear" w:color="000000" w:fill="FFFFFF"/>
            <w:noWrap/>
            <w:vAlign w:val="bottom"/>
            <w:hideMark/>
          </w:tcPr>
          <w:p w14:paraId="659A20A7"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Income Tax Expense</w:t>
            </w:r>
          </w:p>
        </w:tc>
        <w:tc>
          <w:tcPr>
            <w:tcW w:w="939" w:type="pct"/>
            <w:shd w:val="clear" w:color="000000" w:fill="FFFFFF"/>
            <w:noWrap/>
            <w:vAlign w:val="bottom"/>
            <w:hideMark/>
          </w:tcPr>
          <w:p w14:paraId="64E38407" w14:textId="2680E10C"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1,078</w:t>
            </w:r>
          </w:p>
        </w:tc>
        <w:tc>
          <w:tcPr>
            <w:tcW w:w="938" w:type="pct"/>
            <w:shd w:val="clear" w:color="000000" w:fill="FFFFFF"/>
            <w:noWrap/>
            <w:vAlign w:val="bottom"/>
            <w:hideMark/>
          </w:tcPr>
          <w:p w14:paraId="074CE6D3" w14:textId="39465A6F"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864</w:t>
            </w:r>
          </w:p>
        </w:tc>
        <w:tc>
          <w:tcPr>
            <w:tcW w:w="938" w:type="pct"/>
            <w:shd w:val="clear" w:color="000000" w:fill="FFFFFF"/>
            <w:noWrap/>
            <w:vAlign w:val="bottom"/>
            <w:hideMark/>
          </w:tcPr>
          <w:p w14:paraId="2C3FDDCF" w14:textId="5B081C54"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695</w:t>
            </w:r>
          </w:p>
        </w:tc>
      </w:tr>
      <w:tr w:rsidR="00CB35DA" w:rsidRPr="005B7F92" w14:paraId="39CC76AE" w14:textId="77777777" w:rsidTr="00911AB1">
        <w:trPr>
          <w:trHeight w:val="300"/>
          <w:jc w:val="center"/>
        </w:trPr>
        <w:tc>
          <w:tcPr>
            <w:tcW w:w="2185" w:type="pct"/>
            <w:shd w:val="clear" w:color="000000" w:fill="FFFFFF"/>
            <w:noWrap/>
            <w:vAlign w:val="bottom"/>
            <w:hideMark/>
          </w:tcPr>
          <w:p w14:paraId="3F8C112C"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Minority Interest</w:t>
            </w:r>
          </w:p>
        </w:tc>
        <w:tc>
          <w:tcPr>
            <w:tcW w:w="939" w:type="pct"/>
            <w:shd w:val="clear" w:color="000000" w:fill="FFFFFF"/>
            <w:noWrap/>
            <w:vAlign w:val="bottom"/>
            <w:hideMark/>
          </w:tcPr>
          <w:p w14:paraId="7B7BADF5" w14:textId="6133B1B5"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39</w:t>
            </w:r>
          </w:p>
        </w:tc>
        <w:tc>
          <w:tcPr>
            <w:tcW w:w="938" w:type="pct"/>
            <w:shd w:val="clear" w:color="000000" w:fill="FFFFFF"/>
            <w:noWrap/>
            <w:vAlign w:val="bottom"/>
            <w:hideMark/>
          </w:tcPr>
          <w:p w14:paraId="52CD7C33" w14:textId="17355BE0"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15</w:t>
            </w:r>
          </w:p>
        </w:tc>
        <w:tc>
          <w:tcPr>
            <w:tcW w:w="938" w:type="pct"/>
            <w:shd w:val="clear" w:color="000000" w:fill="FFFFFF"/>
            <w:noWrap/>
            <w:vAlign w:val="bottom"/>
            <w:hideMark/>
          </w:tcPr>
          <w:p w14:paraId="30229575" w14:textId="75126229"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11</w:t>
            </w:r>
          </w:p>
        </w:tc>
      </w:tr>
      <w:tr w:rsidR="00CB35DA" w:rsidRPr="005B7F92" w14:paraId="6274026F" w14:textId="77777777" w:rsidTr="00911AB1">
        <w:trPr>
          <w:trHeight w:val="300"/>
          <w:jc w:val="center"/>
        </w:trPr>
        <w:tc>
          <w:tcPr>
            <w:tcW w:w="2185" w:type="pct"/>
            <w:shd w:val="clear" w:color="000000" w:fill="FFFFFF"/>
            <w:noWrap/>
            <w:vAlign w:val="bottom"/>
            <w:hideMark/>
          </w:tcPr>
          <w:p w14:paraId="73F1CE7E" w14:textId="616E391A"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 xml:space="preserve">Net Income </w:t>
            </w:r>
            <w:proofErr w:type="gramStart"/>
            <w:r w:rsidRPr="005B7F92">
              <w:rPr>
                <w:rFonts w:ascii="Arial" w:hAnsi="Arial" w:cs="Arial"/>
                <w:b/>
                <w:bCs/>
                <w:color w:val="000000"/>
                <w:lang w:val="en-GB"/>
              </w:rPr>
              <w:t>From</w:t>
            </w:r>
            <w:proofErr w:type="gramEnd"/>
            <w:r w:rsidRPr="005B7F92">
              <w:rPr>
                <w:rFonts w:ascii="Arial" w:hAnsi="Arial" w:cs="Arial"/>
                <w:b/>
                <w:bCs/>
                <w:color w:val="000000"/>
                <w:lang w:val="en-GB"/>
              </w:rPr>
              <w:t xml:space="preserve"> Continuing Op</w:t>
            </w:r>
            <w:r w:rsidR="00CE0F7C" w:rsidRPr="005B7F92">
              <w:rPr>
                <w:rFonts w:ascii="Arial" w:hAnsi="Arial" w:cs="Arial"/>
                <w:b/>
                <w:bCs/>
                <w:color w:val="000000"/>
                <w:lang w:val="en-GB"/>
              </w:rPr>
              <w:t>eration</w:t>
            </w:r>
            <w:r w:rsidRPr="005B7F92">
              <w:rPr>
                <w:rFonts w:ascii="Arial" w:hAnsi="Arial" w:cs="Arial"/>
                <w:b/>
                <w:bCs/>
                <w:color w:val="000000"/>
                <w:lang w:val="en-GB"/>
              </w:rPr>
              <w:t>s</w:t>
            </w:r>
          </w:p>
        </w:tc>
        <w:tc>
          <w:tcPr>
            <w:tcW w:w="939" w:type="pct"/>
            <w:shd w:val="clear" w:color="000000" w:fill="FFFFFF"/>
            <w:noWrap/>
            <w:vAlign w:val="bottom"/>
            <w:hideMark/>
          </w:tcPr>
          <w:p w14:paraId="1E8BBD73" w14:textId="5D4CAB2A" w:rsidR="00CB35DA" w:rsidRPr="005B7F92" w:rsidRDefault="00CB35DA" w:rsidP="0014630D">
            <w:pPr>
              <w:jc w:val="right"/>
              <w:rPr>
                <w:rFonts w:ascii="Arial" w:hAnsi="Arial" w:cs="Arial"/>
                <w:b/>
                <w:bCs/>
                <w:color w:val="000000"/>
                <w:lang w:val="en-GB"/>
              </w:rPr>
            </w:pPr>
            <w:r w:rsidRPr="005B7F92">
              <w:rPr>
                <w:rFonts w:ascii="Arial" w:hAnsi="Arial" w:cs="Arial"/>
                <w:b/>
                <w:bCs/>
                <w:color w:val="000000"/>
                <w:lang w:val="en-GB"/>
              </w:rPr>
              <w:t>2,727</w:t>
            </w:r>
          </w:p>
        </w:tc>
        <w:tc>
          <w:tcPr>
            <w:tcW w:w="938" w:type="pct"/>
            <w:shd w:val="clear" w:color="000000" w:fill="FFFFFF"/>
            <w:noWrap/>
            <w:vAlign w:val="bottom"/>
            <w:hideMark/>
          </w:tcPr>
          <w:p w14:paraId="71EF9A0C" w14:textId="614F563A"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2,286</w:t>
            </w:r>
          </w:p>
        </w:tc>
        <w:tc>
          <w:tcPr>
            <w:tcW w:w="938" w:type="pct"/>
            <w:shd w:val="clear" w:color="000000" w:fill="FFFFFF"/>
            <w:noWrap/>
            <w:vAlign w:val="bottom"/>
            <w:hideMark/>
          </w:tcPr>
          <w:p w14:paraId="0FF5C42F" w14:textId="3BABE575"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1,319</w:t>
            </w:r>
          </w:p>
        </w:tc>
      </w:tr>
      <w:tr w:rsidR="00CB35DA" w:rsidRPr="005B7F92" w14:paraId="465875B5" w14:textId="77777777" w:rsidTr="00911AB1">
        <w:trPr>
          <w:trHeight w:val="300"/>
          <w:jc w:val="center"/>
        </w:trPr>
        <w:tc>
          <w:tcPr>
            <w:tcW w:w="2185" w:type="pct"/>
            <w:shd w:val="clear" w:color="000000" w:fill="FFFFFF"/>
            <w:noWrap/>
            <w:vAlign w:val="bottom"/>
            <w:hideMark/>
          </w:tcPr>
          <w:p w14:paraId="178E417B" w14:textId="77777777" w:rsidR="00CB35DA" w:rsidRPr="005B7F92" w:rsidRDefault="00CB35DA" w:rsidP="00A1066D">
            <w:pPr>
              <w:rPr>
                <w:rFonts w:ascii="Arial" w:hAnsi="Arial" w:cs="Arial"/>
                <w:color w:val="000000"/>
                <w:lang w:val="en-GB"/>
              </w:rPr>
            </w:pPr>
            <w:r w:rsidRPr="005B7F92">
              <w:rPr>
                <w:rFonts w:ascii="Arial" w:hAnsi="Arial" w:cs="Arial"/>
                <w:color w:val="000000"/>
                <w:lang w:val="en-GB"/>
              </w:rPr>
              <w:t>Discontinued Operations</w:t>
            </w:r>
          </w:p>
        </w:tc>
        <w:tc>
          <w:tcPr>
            <w:tcW w:w="939" w:type="pct"/>
            <w:shd w:val="clear" w:color="000000" w:fill="FFFFFF"/>
            <w:noWrap/>
            <w:vAlign w:val="bottom"/>
            <w:hideMark/>
          </w:tcPr>
          <w:p w14:paraId="4772C767" w14:textId="4C8E930B" w:rsidR="00CB35DA" w:rsidRPr="005B7F92" w:rsidRDefault="00CB35DA" w:rsidP="0014630D">
            <w:pPr>
              <w:jc w:val="right"/>
              <w:rPr>
                <w:rFonts w:ascii="Arial" w:hAnsi="Arial" w:cs="Arial"/>
                <w:color w:val="000000"/>
                <w:lang w:val="en-GB"/>
              </w:rPr>
            </w:pPr>
            <w:r w:rsidRPr="005B7F92">
              <w:rPr>
                <w:rFonts w:ascii="Arial" w:hAnsi="Arial" w:cs="Arial"/>
                <w:color w:val="000000"/>
                <w:lang w:val="en-GB"/>
              </w:rPr>
              <w:t>13</w:t>
            </w:r>
          </w:p>
        </w:tc>
        <w:tc>
          <w:tcPr>
            <w:tcW w:w="938" w:type="pct"/>
            <w:shd w:val="clear" w:color="000000" w:fill="FFFFFF"/>
            <w:noWrap/>
            <w:vAlign w:val="bottom"/>
            <w:hideMark/>
          </w:tcPr>
          <w:p w14:paraId="19588B58" w14:textId="14ABE929"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28</w:t>
            </w:r>
          </w:p>
        </w:tc>
        <w:tc>
          <w:tcPr>
            <w:tcW w:w="938" w:type="pct"/>
            <w:shd w:val="clear" w:color="000000" w:fill="FFFFFF"/>
            <w:noWrap/>
            <w:vAlign w:val="bottom"/>
            <w:hideMark/>
          </w:tcPr>
          <w:p w14:paraId="74E66909" w14:textId="221C8D68" w:rsidR="00CB35DA" w:rsidRPr="005B7F92" w:rsidRDefault="00CB35DA" w:rsidP="00322523">
            <w:pPr>
              <w:jc w:val="right"/>
              <w:rPr>
                <w:rFonts w:ascii="Arial" w:hAnsi="Arial" w:cs="Arial"/>
                <w:color w:val="000000"/>
                <w:lang w:val="en-GB"/>
              </w:rPr>
            </w:pPr>
            <w:r w:rsidRPr="005B7F92">
              <w:rPr>
                <w:rFonts w:ascii="Arial" w:hAnsi="Arial" w:cs="Arial"/>
                <w:color w:val="000000"/>
                <w:lang w:val="en-GB"/>
              </w:rPr>
              <w:t>17</w:t>
            </w:r>
          </w:p>
        </w:tc>
      </w:tr>
      <w:tr w:rsidR="00CB35DA" w:rsidRPr="005B7F92" w14:paraId="1FED01B6" w14:textId="77777777" w:rsidTr="00911AB1">
        <w:trPr>
          <w:trHeight w:val="315"/>
          <w:jc w:val="center"/>
        </w:trPr>
        <w:tc>
          <w:tcPr>
            <w:tcW w:w="2185" w:type="pct"/>
            <w:shd w:val="clear" w:color="000000" w:fill="FFFFFF"/>
            <w:noWrap/>
            <w:vAlign w:val="bottom"/>
            <w:hideMark/>
          </w:tcPr>
          <w:p w14:paraId="4AA868E9" w14:textId="77777777" w:rsidR="00CB35DA" w:rsidRPr="005B7F92" w:rsidRDefault="00CB35DA" w:rsidP="00A1066D">
            <w:pPr>
              <w:rPr>
                <w:rFonts w:ascii="Arial" w:hAnsi="Arial" w:cs="Arial"/>
                <w:b/>
                <w:bCs/>
                <w:color w:val="000000"/>
                <w:lang w:val="en-GB"/>
              </w:rPr>
            </w:pPr>
            <w:r w:rsidRPr="005B7F92">
              <w:rPr>
                <w:rFonts w:ascii="Arial" w:hAnsi="Arial" w:cs="Arial"/>
                <w:b/>
                <w:bCs/>
                <w:color w:val="000000"/>
                <w:lang w:val="en-GB"/>
              </w:rPr>
              <w:t>Net Income</w:t>
            </w:r>
          </w:p>
        </w:tc>
        <w:tc>
          <w:tcPr>
            <w:tcW w:w="939" w:type="pct"/>
            <w:shd w:val="clear" w:color="000000" w:fill="FFFFFF"/>
            <w:noWrap/>
            <w:vAlign w:val="bottom"/>
            <w:hideMark/>
          </w:tcPr>
          <w:p w14:paraId="39CD896A" w14:textId="3C699B82" w:rsidR="00CB35DA" w:rsidRPr="005B7F92" w:rsidRDefault="00CB35DA" w:rsidP="0014630D">
            <w:pPr>
              <w:jc w:val="right"/>
              <w:rPr>
                <w:rFonts w:ascii="Arial" w:hAnsi="Arial" w:cs="Arial"/>
                <w:b/>
                <w:bCs/>
                <w:color w:val="000000"/>
                <w:lang w:val="en-GB"/>
              </w:rPr>
            </w:pPr>
            <w:r w:rsidRPr="005B7F92">
              <w:rPr>
                <w:rFonts w:ascii="Arial" w:hAnsi="Arial" w:cs="Arial"/>
                <w:b/>
                <w:bCs/>
                <w:color w:val="000000"/>
                <w:lang w:val="en-GB"/>
              </w:rPr>
              <w:t>2,740</w:t>
            </w:r>
          </w:p>
        </w:tc>
        <w:tc>
          <w:tcPr>
            <w:tcW w:w="938" w:type="pct"/>
            <w:shd w:val="clear" w:color="000000" w:fill="FFFFFF"/>
            <w:noWrap/>
            <w:vAlign w:val="bottom"/>
            <w:hideMark/>
          </w:tcPr>
          <w:p w14:paraId="1D1D6806" w14:textId="3A7FA411"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2,314</w:t>
            </w:r>
          </w:p>
        </w:tc>
        <w:tc>
          <w:tcPr>
            <w:tcW w:w="938" w:type="pct"/>
            <w:shd w:val="clear" w:color="000000" w:fill="FFFFFF"/>
            <w:noWrap/>
            <w:vAlign w:val="bottom"/>
            <w:hideMark/>
          </w:tcPr>
          <w:p w14:paraId="0C2C70B8" w14:textId="4DC5F1D9" w:rsidR="00CB35DA" w:rsidRPr="005B7F92" w:rsidRDefault="00CB35DA" w:rsidP="00322523">
            <w:pPr>
              <w:jc w:val="right"/>
              <w:rPr>
                <w:rFonts w:ascii="Arial" w:hAnsi="Arial" w:cs="Arial"/>
                <w:b/>
                <w:bCs/>
                <w:color w:val="000000"/>
                <w:lang w:val="en-GB"/>
              </w:rPr>
            </w:pPr>
            <w:r w:rsidRPr="005B7F92">
              <w:rPr>
                <w:rFonts w:ascii="Arial" w:hAnsi="Arial" w:cs="Arial"/>
                <w:b/>
                <w:bCs/>
                <w:color w:val="000000"/>
                <w:lang w:val="en-GB"/>
              </w:rPr>
              <w:t>1,336</w:t>
            </w:r>
          </w:p>
        </w:tc>
      </w:tr>
    </w:tbl>
    <w:p w14:paraId="429AD709" w14:textId="77777777" w:rsidR="00E717CB" w:rsidRPr="005B7F92" w:rsidRDefault="00E717CB" w:rsidP="00E8070D">
      <w:pPr>
        <w:pStyle w:val="BodyTextMain"/>
        <w:rPr>
          <w:lang w:val="en-GB"/>
        </w:rPr>
      </w:pPr>
    </w:p>
    <w:p w14:paraId="638CBE86" w14:textId="3A638BD5" w:rsidR="00CE0F7C" w:rsidRPr="005B7F92" w:rsidRDefault="00CE0F7C" w:rsidP="00E717CB">
      <w:pPr>
        <w:pStyle w:val="BodyTextMain"/>
        <w:rPr>
          <w:rFonts w:ascii="Arial" w:hAnsi="Arial" w:cs="Arial"/>
          <w:color w:val="1C1C1C"/>
          <w:sz w:val="17"/>
          <w:szCs w:val="17"/>
          <w:lang w:val="en-GB" w:eastAsia="zh-CN"/>
        </w:rPr>
      </w:pPr>
      <w:r w:rsidRPr="005B7F92">
        <w:rPr>
          <w:rFonts w:ascii="Arial" w:hAnsi="Arial" w:cs="Arial"/>
          <w:color w:val="1C1C1C"/>
          <w:sz w:val="17"/>
          <w:szCs w:val="17"/>
          <w:lang w:val="en-GB" w:eastAsia="zh-CN"/>
        </w:rPr>
        <w:t>Note: EBIT = earnings before interest and taxes</w:t>
      </w:r>
      <w:r w:rsidR="0080221E">
        <w:rPr>
          <w:rFonts w:ascii="Arial" w:hAnsi="Arial" w:cs="Arial"/>
          <w:color w:val="1C1C1C"/>
          <w:sz w:val="17"/>
          <w:szCs w:val="17"/>
          <w:lang w:val="en-GB" w:eastAsia="zh-CN"/>
        </w:rPr>
        <w:t>.</w:t>
      </w:r>
    </w:p>
    <w:p w14:paraId="751C3797" w14:textId="44832A89" w:rsidR="00E717CB" w:rsidRPr="005B7F92" w:rsidRDefault="00E717CB" w:rsidP="00E717CB">
      <w:pPr>
        <w:pStyle w:val="BodyTextMain"/>
        <w:rPr>
          <w:rFonts w:ascii="Arial" w:hAnsi="Arial" w:cs="Arial"/>
          <w:color w:val="1C1C1C"/>
          <w:sz w:val="17"/>
          <w:szCs w:val="17"/>
          <w:lang w:val="en-GB" w:eastAsia="zh-CN"/>
        </w:rPr>
      </w:pPr>
      <w:r w:rsidRPr="005B7F92">
        <w:rPr>
          <w:rFonts w:ascii="Arial" w:hAnsi="Arial" w:cs="Arial"/>
          <w:color w:val="1C1C1C"/>
          <w:sz w:val="17"/>
          <w:szCs w:val="17"/>
          <w:lang w:val="en-GB" w:eastAsia="zh-CN"/>
        </w:rPr>
        <w:t xml:space="preserve">Source: </w:t>
      </w:r>
      <w:r w:rsidR="00FE196E" w:rsidRPr="005B7F92">
        <w:rPr>
          <w:rFonts w:ascii="Arial" w:hAnsi="Arial" w:cs="Arial"/>
          <w:color w:val="1C1C1C"/>
          <w:sz w:val="17"/>
          <w:szCs w:val="17"/>
          <w:lang w:val="en-GB" w:eastAsia="zh-CN"/>
        </w:rPr>
        <w:t xml:space="preserve">Created by the case authors based on </w:t>
      </w:r>
      <w:r w:rsidR="002641EF" w:rsidRPr="0074592C">
        <w:rPr>
          <w:rFonts w:ascii="Arial" w:hAnsi="Arial" w:cs="Arial"/>
          <w:i/>
          <w:color w:val="1C1C1C"/>
          <w:sz w:val="17"/>
          <w:szCs w:val="17"/>
          <w:lang w:val="en-GB" w:eastAsia="zh-CN"/>
        </w:rPr>
        <w:t>Monsanto 2016 Financial Report</w:t>
      </w:r>
      <w:r w:rsidR="00221AA4" w:rsidRPr="0074592C">
        <w:rPr>
          <w:rFonts w:ascii="Arial" w:hAnsi="Arial" w:cs="Arial"/>
          <w:i/>
          <w:color w:val="1C1C1C"/>
          <w:sz w:val="17"/>
          <w:szCs w:val="17"/>
          <w:lang w:val="en-GB" w:eastAsia="zh-CN"/>
        </w:rPr>
        <w:t>,</w:t>
      </w:r>
      <w:r w:rsidR="00221AA4" w:rsidRPr="005B7F92">
        <w:rPr>
          <w:rFonts w:ascii="Arial" w:hAnsi="Arial" w:cs="Arial"/>
          <w:color w:val="1C1C1C"/>
          <w:sz w:val="17"/>
          <w:szCs w:val="17"/>
          <w:lang w:val="en-GB" w:eastAsia="zh-CN"/>
        </w:rPr>
        <w:t xml:space="preserve"> accessed </w:t>
      </w:r>
      <w:r w:rsidR="00C169D0" w:rsidRPr="005B7F92">
        <w:rPr>
          <w:rFonts w:ascii="Arial" w:hAnsi="Arial" w:cs="Arial"/>
          <w:color w:val="1C1C1C"/>
          <w:sz w:val="17"/>
          <w:szCs w:val="17"/>
          <w:lang w:val="en-GB" w:eastAsia="zh-CN"/>
        </w:rPr>
        <w:t>October 6</w:t>
      </w:r>
      <w:r w:rsidR="00221AA4" w:rsidRPr="005B7F92">
        <w:rPr>
          <w:rFonts w:ascii="Arial" w:hAnsi="Arial" w:cs="Arial"/>
          <w:color w:val="1C1C1C"/>
          <w:sz w:val="17"/>
          <w:szCs w:val="17"/>
          <w:lang w:val="en-GB" w:eastAsia="zh-CN"/>
        </w:rPr>
        <w:t xml:space="preserve">, 2017, </w:t>
      </w:r>
      <w:r w:rsidR="00C169D0" w:rsidRPr="005B7F92">
        <w:rPr>
          <w:rFonts w:ascii="Arial" w:hAnsi="Arial" w:cs="Arial"/>
          <w:color w:val="1C1C1C"/>
          <w:sz w:val="17"/>
          <w:szCs w:val="17"/>
          <w:lang w:val="en-GB" w:eastAsia="zh-CN"/>
        </w:rPr>
        <w:t>https://monsanto.com/app/uploads/2017/05/2016_monsanto_annual_report.pdf</w:t>
      </w:r>
      <w:r w:rsidR="00221AA4" w:rsidRPr="005B7F92">
        <w:rPr>
          <w:rFonts w:ascii="Arial" w:hAnsi="Arial" w:cs="Arial"/>
          <w:color w:val="1C1C1C"/>
          <w:sz w:val="17"/>
          <w:szCs w:val="17"/>
          <w:lang w:val="en-GB" w:eastAsia="zh-CN"/>
        </w:rPr>
        <w:t>.</w:t>
      </w:r>
    </w:p>
    <w:p w14:paraId="49383B14" w14:textId="77777777" w:rsidR="00E717CB" w:rsidRPr="005B7F92" w:rsidRDefault="00E717CB" w:rsidP="00E8070D">
      <w:pPr>
        <w:pStyle w:val="BodyTextMain"/>
        <w:rPr>
          <w:rFonts w:ascii="Arial" w:hAnsi="Arial" w:cs="Arial"/>
          <w:color w:val="1C1C1C"/>
          <w:sz w:val="17"/>
          <w:szCs w:val="17"/>
          <w:lang w:val="en-GB" w:eastAsia="zh-CN"/>
        </w:rPr>
      </w:pPr>
    </w:p>
    <w:p w14:paraId="457F6822" w14:textId="2B0C65E3" w:rsidR="006B44E5" w:rsidRDefault="009A6678" w:rsidP="00FA66D9">
      <w:pPr>
        <w:pStyle w:val="NoSpacing"/>
        <w:keepNext/>
        <w:jc w:val="center"/>
        <w:rPr>
          <w:rFonts w:ascii="Arial" w:eastAsia="Times New Roman" w:hAnsi="Arial" w:cs="Arial"/>
          <w:b/>
          <w:color w:val="1C1C1C"/>
          <w:sz w:val="20"/>
          <w:szCs w:val="20"/>
          <w:lang w:val="en-GB" w:eastAsia="zh-CN" w:bidi="ar-SA"/>
        </w:rPr>
      </w:pPr>
      <w:r w:rsidRPr="005B7F92">
        <w:rPr>
          <w:rFonts w:ascii="Arial" w:eastAsia="Times New Roman" w:hAnsi="Arial" w:cs="Arial"/>
          <w:b/>
          <w:color w:val="1C1C1C"/>
          <w:sz w:val="20"/>
          <w:szCs w:val="20"/>
          <w:lang w:val="en-GB" w:eastAsia="zh-CN" w:bidi="ar-SA"/>
        </w:rPr>
        <w:lastRenderedPageBreak/>
        <w:t>EXHIBIT 3B: MONSANTO GROUP BALANCE SHEET</w:t>
      </w:r>
      <w:r w:rsidR="00513835" w:rsidRPr="005B7F92">
        <w:rPr>
          <w:rFonts w:ascii="Arial" w:eastAsia="Times New Roman" w:hAnsi="Arial" w:cs="Arial"/>
          <w:b/>
          <w:color w:val="1C1C1C"/>
          <w:sz w:val="20"/>
          <w:szCs w:val="20"/>
          <w:lang w:val="en-GB" w:eastAsia="zh-CN" w:bidi="ar-SA"/>
        </w:rPr>
        <w:t>,</w:t>
      </w:r>
      <w:r w:rsidRPr="005B7F92">
        <w:rPr>
          <w:rFonts w:ascii="Arial" w:eastAsia="Times New Roman" w:hAnsi="Arial" w:cs="Arial"/>
          <w:b/>
          <w:color w:val="1C1C1C"/>
          <w:sz w:val="20"/>
          <w:szCs w:val="20"/>
          <w:lang w:val="en-GB" w:eastAsia="zh-CN" w:bidi="ar-SA"/>
        </w:rPr>
        <w:t xml:space="preserve"> 2016 (</w:t>
      </w:r>
      <w:r w:rsidR="00513835" w:rsidRPr="005B7F92">
        <w:rPr>
          <w:rFonts w:ascii="Arial" w:eastAsia="Times New Roman" w:hAnsi="Arial" w:cs="Arial"/>
          <w:b/>
          <w:color w:val="1C1C1C"/>
          <w:sz w:val="20"/>
          <w:szCs w:val="20"/>
          <w:lang w:val="en-GB" w:eastAsia="zh-CN" w:bidi="ar-SA"/>
        </w:rPr>
        <w:t xml:space="preserve">IN </w:t>
      </w:r>
      <w:r w:rsidR="006675AF" w:rsidRPr="005B7F92">
        <w:rPr>
          <w:rFonts w:ascii="Arial" w:eastAsia="Times New Roman" w:hAnsi="Arial" w:cs="Arial"/>
          <w:b/>
          <w:color w:val="1C1C1C"/>
          <w:sz w:val="20"/>
          <w:szCs w:val="20"/>
          <w:lang w:val="en-GB" w:eastAsia="zh-CN" w:bidi="ar-SA"/>
        </w:rPr>
        <w:t xml:space="preserve">MILLION </w:t>
      </w:r>
      <w:r w:rsidR="00513835" w:rsidRPr="005B7F92">
        <w:rPr>
          <w:rFonts w:ascii="Arial" w:eastAsia="Times New Roman" w:hAnsi="Arial" w:cs="Arial"/>
          <w:b/>
          <w:color w:val="1C1C1C"/>
          <w:sz w:val="20"/>
          <w:szCs w:val="20"/>
          <w:lang w:val="en-GB" w:eastAsia="zh-CN" w:bidi="ar-SA"/>
        </w:rPr>
        <w:t>US</w:t>
      </w:r>
      <w:r w:rsidRPr="005B7F92">
        <w:rPr>
          <w:rFonts w:ascii="Arial" w:eastAsia="Times New Roman" w:hAnsi="Arial" w:cs="Arial"/>
          <w:b/>
          <w:color w:val="1C1C1C"/>
          <w:sz w:val="20"/>
          <w:szCs w:val="20"/>
          <w:lang w:val="en-GB" w:eastAsia="zh-CN" w:bidi="ar-SA"/>
        </w:rPr>
        <w:t>$)</w:t>
      </w:r>
    </w:p>
    <w:p w14:paraId="1BB5B6FC" w14:textId="77777777" w:rsidR="00FA66D9" w:rsidRPr="00FA66D9" w:rsidRDefault="00FA66D9" w:rsidP="00FA66D9">
      <w:pPr>
        <w:pStyle w:val="NoSpacing"/>
        <w:keepNext/>
        <w:jc w:val="center"/>
        <w:rPr>
          <w:rFonts w:ascii="Arial" w:eastAsia="Times New Roman" w:hAnsi="Arial" w:cs="Arial"/>
          <w:b/>
          <w:color w:val="1C1C1C"/>
          <w:sz w:val="20"/>
          <w:szCs w:val="20"/>
          <w:lang w:val="en-GB" w:eastAsia="zh-CN" w:bidi="ar-SA"/>
        </w:rPr>
      </w:pPr>
    </w:p>
    <w:tbl>
      <w:tblPr>
        <w:tblW w:w="8321" w:type="dxa"/>
        <w:jc w:val="center"/>
        <w:tblLook w:val="04A0" w:firstRow="1" w:lastRow="0" w:firstColumn="1" w:lastColumn="0" w:noHBand="0" w:noVBand="1"/>
      </w:tblPr>
      <w:tblGrid>
        <w:gridCol w:w="2290"/>
        <w:gridCol w:w="1088"/>
        <w:gridCol w:w="286"/>
        <w:gridCol w:w="3131"/>
        <w:gridCol w:w="1526"/>
      </w:tblGrid>
      <w:tr w:rsidR="001D1F3C" w:rsidRPr="005B7F92" w14:paraId="5E5EDB84" w14:textId="77777777" w:rsidTr="00FA66D9">
        <w:trPr>
          <w:trHeight w:val="264"/>
          <w:jc w:val="center"/>
        </w:trPr>
        <w:tc>
          <w:tcPr>
            <w:tcW w:w="2290" w:type="dxa"/>
            <w:tcBorders>
              <w:top w:val="single" w:sz="4" w:space="0" w:color="auto"/>
              <w:left w:val="nil"/>
              <w:bottom w:val="single" w:sz="4" w:space="0" w:color="auto"/>
              <w:right w:val="nil"/>
            </w:tcBorders>
            <w:shd w:val="clear" w:color="auto" w:fill="auto"/>
            <w:noWrap/>
            <w:vAlign w:val="center"/>
            <w:hideMark/>
          </w:tcPr>
          <w:p w14:paraId="31309BEE" w14:textId="6A5688F9" w:rsidR="001D1F3C" w:rsidRPr="005B7F92" w:rsidRDefault="00136460" w:rsidP="00933E4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Accounting Items</w:t>
            </w:r>
          </w:p>
        </w:tc>
        <w:tc>
          <w:tcPr>
            <w:tcW w:w="1088" w:type="dxa"/>
            <w:tcBorders>
              <w:top w:val="single" w:sz="4" w:space="0" w:color="auto"/>
              <w:left w:val="nil"/>
              <w:bottom w:val="single" w:sz="4" w:space="0" w:color="auto"/>
              <w:right w:val="nil"/>
            </w:tcBorders>
            <w:shd w:val="clear" w:color="auto" w:fill="auto"/>
            <w:noWrap/>
            <w:vAlign w:val="center"/>
            <w:hideMark/>
          </w:tcPr>
          <w:p w14:paraId="30DACD9B" w14:textId="77777777" w:rsidR="001D1F3C" w:rsidRPr="005B7F92" w:rsidRDefault="001D1F3C" w:rsidP="005B7F92">
            <w:pPr>
              <w:keepNext/>
              <w:jc w:val="right"/>
              <w:rPr>
                <w:rFonts w:ascii="Arial" w:eastAsia="SimSun" w:hAnsi="Arial" w:cs="Arial"/>
                <w:b/>
                <w:bCs/>
                <w:caps/>
                <w:color w:val="000000"/>
                <w:kern w:val="0"/>
                <w:lang w:val="en-GB" w:eastAsia="zh-CN"/>
              </w:rPr>
            </w:pPr>
            <w:r w:rsidRPr="005B7F92">
              <w:rPr>
                <w:rFonts w:ascii="Arial" w:eastAsia="SimSun" w:hAnsi="Arial" w:cs="Arial"/>
                <w:b/>
                <w:bCs/>
                <w:color w:val="000000"/>
                <w:kern w:val="0"/>
                <w:lang w:val="en-GB" w:eastAsia="zh-CN"/>
              </w:rPr>
              <w:t>2016</w:t>
            </w:r>
          </w:p>
        </w:tc>
        <w:tc>
          <w:tcPr>
            <w:tcW w:w="286" w:type="dxa"/>
            <w:tcBorders>
              <w:left w:val="nil"/>
              <w:right w:val="nil"/>
            </w:tcBorders>
            <w:shd w:val="clear" w:color="auto" w:fill="auto"/>
            <w:noWrap/>
            <w:vAlign w:val="center"/>
            <w:hideMark/>
          </w:tcPr>
          <w:p w14:paraId="550E8C79" w14:textId="77777777" w:rsidR="001D1F3C" w:rsidRPr="005B7F92" w:rsidRDefault="001D1F3C" w:rsidP="00933E4B">
            <w:pPr>
              <w:keepNext/>
              <w:jc w:val="righ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 xml:space="preserve">　</w:t>
            </w:r>
          </w:p>
        </w:tc>
        <w:tc>
          <w:tcPr>
            <w:tcW w:w="3131" w:type="dxa"/>
            <w:tcBorders>
              <w:top w:val="single" w:sz="4" w:space="0" w:color="auto"/>
              <w:left w:val="nil"/>
              <w:bottom w:val="single" w:sz="4" w:space="0" w:color="auto"/>
              <w:right w:val="nil"/>
            </w:tcBorders>
            <w:shd w:val="clear" w:color="auto" w:fill="auto"/>
            <w:noWrap/>
            <w:vAlign w:val="center"/>
            <w:hideMark/>
          </w:tcPr>
          <w:p w14:paraId="2A2FDDA4" w14:textId="14D1B8D0" w:rsidR="001D1F3C" w:rsidRPr="005B7F92" w:rsidRDefault="00136460" w:rsidP="00933E4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Accounting Items</w:t>
            </w:r>
          </w:p>
        </w:tc>
        <w:tc>
          <w:tcPr>
            <w:tcW w:w="1526" w:type="dxa"/>
            <w:tcBorders>
              <w:top w:val="single" w:sz="4" w:space="0" w:color="auto"/>
              <w:left w:val="nil"/>
              <w:bottom w:val="single" w:sz="4" w:space="0" w:color="auto"/>
              <w:right w:val="nil"/>
            </w:tcBorders>
            <w:shd w:val="clear" w:color="auto" w:fill="auto"/>
            <w:noWrap/>
            <w:vAlign w:val="center"/>
            <w:hideMark/>
          </w:tcPr>
          <w:p w14:paraId="0956B4B3" w14:textId="77777777" w:rsidR="001D1F3C" w:rsidRPr="005B7F92" w:rsidRDefault="001D1F3C" w:rsidP="005B7F92">
            <w:pPr>
              <w:keepNext/>
              <w:jc w:val="right"/>
              <w:rPr>
                <w:rFonts w:ascii="Arial" w:eastAsia="SimSun" w:hAnsi="Arial" w:cs="Arial"/>
                <w:b/>
                <w:bCs/>
                <w:caps/>
                <w:color w:val="000000"/>
                <w:kern w:val="0"/>
                <w:lang w:val="en-GB" w:eastAsia="zh-CN"/>
              </w:rPr>
            </w:pPr>
            <w:r w:rsidRPr="005B7F92">
              <w:rPr>
                <w:rFonts w:ascii="Arial" w:eastAsia="SimSun" w:hAnsi="Arial" w:cs="Arial"/>
                <w:b/>
                <w:bCs/>
                <w:color w:val="000000"/>
                <w:kern w:val="0"/>
                <w:lang w:val="en-GB" w:eastAsia="zh-CN"/>
              </w:rPr>
              <w:t>2016</w:t>
            </w:r>
          </w:p>
        </w:tc>
      </w:tr>
      <w:tr w:rsidR="001D1F3C" w:rsidRPr="005B7F92" w14:paraId="7DBBF027" w14:textId="77777777" w:rsidTr="00FA66D9">
        <w:trPr>
          <w:trHeight w:val="248"/>
          <w:jc w:val="center"/>
        </w:trPr>
        <w:tc>
          <w:tcPr>
            <w:tcW w:w="2290" w:type="dxa"/>
            <w:tcBorders>
              <w:top w:val="single" w:sz="4" w:space="0" w:color="auto"/>
              <w:left w:val="nil"/>
              <w:bottom w:val="nil"/>
              <w:right w:val="nil"/>
            </w:tcBorders>
            <w:shd w:val="clear" w:color="auto" w:fill="auto"/>
            <w:noWrap/>
            <w:vAlign w:val="center"/>
            <w:hideMark/>
          </w:tcPr>
          <w:p w14:paraId="78184266"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 xml:space="preserve">Cash </w:t>
            </w:r>
            <w:proofErr w:type="gramStart"/>
            <w:r w:rsidRPr="005B7F92">
              <w:rPr>
                <w:rFonts w:ascii="Arial" w:eastAsia="SimSun" w:hAnsi="Arial" w:cs="Arial"/>
                <w:color w:val="000000"/>
                <w:kern w:val="0"/>
                <w:lang w:val="en-GB" w:eastAsia="zh-CN"/>
              </w:rPr>
              <w:t>And</w:t>
            </w:r>
            <w:proofErr w:type="gramEnd"/>
            <w:r w:rsidRPr="005B7F92">
              <w:rPr>
                <w:rFonts w:ascii="Arial" w:eastAsia="SimSun" w:hAnsi="Arial" w:cs="Arial"/>
                <w:color w:val="000000"/>
                <w:kern w:val="0"/>
                <w:lang w:val="en-GB" w:eastAsia="zh-CN"/>
              </w:rPr>
              <w:t xml:space="preserve"> Cash Equivalents</w:t>
            </w:r>
          </w:p>
        </w:tc>
        <w:tc>
          <w:tcPr>
            <w:tcW w:w="1088" w:type="dxa"/>
            <w:tcBorders>
              <w:top w:val="single" w:sz="4" w:space="0" w:color="auto"/>
              <w:left w:val="nil"/>
              <w:bottom w:val="nil"/>
              <w:right w:val="nil"/>
            </w:tcBorders>
            <w:shd w:val="clear" w:color="auto" w:fill="auto"/>
            <w:noWrap/>
            <w:vAlign w:val="center"/>
            <w:hideMark/>
          </w:tcPr>
          <w:p w14:paraId="55B82F06" w14:textId="4CABBCCF"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1,676</w:t>
            </w:r>
          </w:p>
        </w:tc>
        <w:tc>
          <w:tcPr>
            <w:tcW w:w="286" w:type="dxa"/>
            <w:tcBorders>
              <w:left w:val="nil"/>
              <w:bottom w:val="nil"/>
              <w:right w:val="nil"/>
            </w:tcBorders>
            <w:shd w:val="clear" w:color="auto" w:fill="auto"/>
            <w:noWrap/>
            <w:vAlign w:val="center"/>
            <w:hideMark/>
          </w:tcPr>
          <w:p w14:paraId="15F0EFA5"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single" w:sz="4" w:space="0" w:color="auto"/>
              <w:left w:val="nil"/>
              <w:bottom w:val="nil"/>
              <w:right w:val="nil"/>
            </w:tcBorders>
            <w:shd w:val="clear" w:color="auto" w:fill="auto"/>
            <w:noWrap/>
            <w:vAlign w:val="center"/>
            <w:hideMark/>
          </w:tcPr>
          <w:p w14:paraId="57264716"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Accounts Payable</w:t>
            </w:r>
          </w:p>
        </w:tc>
        <w:tc>
          <w:tcPr>
            <w:tcW w:w="1526" w:type="dxa"/>
            <w:tcBorders>
              <w:top w:val="single" w:sz="4" w:space="0" w:color="auto"/>
              <w:left w:val="nil"/>
              <w:bottom w:val="nil"/>
              <w:right w:val="nil"/>
            </w:tcBorders>
            <w:shd w:val="clear" w:color="auto" w:fill="auto"/>
            <w:noWrap/>
            <w:vAlign w:val="center"/>
            <w:hideMark/>
          </w:tcPr>
          <w:p w14:paraId="7281EF08" w14:textId="73772258"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4,224</w:t>
            </w:r>
          </w:p>
        </w:tc>
      </w:tr>
      <w:tr w:rsidR="001D1F3C" w:rsidRPr="005B7F92" w14:paraId="6D5FD0E7"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2DF8F7E3" w14:textId="77039E96"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Short</w:t>
            </w:r>
            <w:r w:rsidR="006D7F98">
              <w:rPr>
                <w:rFonts w:ascii="Arial" w:eastAsia="SimSun" w:hAnsi="Arial" w:cs="Arial"/>
                <w:color w:val="000000"/>
                <w:kern w:val="0"/>
                <w:lang w:val="en-GB" w:eastAsia="zh-CN"/>
              </w:rPr>
              <w:t>-</w:t>
            </w:r>
            <w:r w:rsidRPr="005B7F92">
              <w:rPr>
                <w:rFonts w:ascii="Arial" w:eastAsia="SimSun" w:hAnsi="Arial" w:cs="Arial"/>
                <w:color w:val="000000"/>
                <w:kern w:val="0"/>
                <w:lang w:val="en-GB" w:eastAsia="zh-CN"/>
              </w:rPr>
              <w:t>Term Investments</w:t>
            </w:r>
          </w:p>
        </w:tc>
        <w:tc>
          <w:tcPr>
            <w:tcW w:w="1088" w:type="dxa"/>
            <w:tcBorders>
              <w:top w:val="nil"/>
              <w:left w:val="nil"/>
              <w:bottom w:val="nil"/>
              <w:right w:val="nil"/>
            </w:tcBorders>
            <w:shd w:val="clear" w:color="auto" w:fill="auto"/>
            <w:noWrap/>
            <w:vAlign w:val="center"/>
            <w:hideMark/>
          </w:tcPr>
          <w:p w14:paraId="434A92B6" w14:textId="3C6D7F4F"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60</w:t>
            </w:r>
          </w:p>
        </w:tc>
        <w:tc>
          <w:tcPr>
            <w:tcW w:w="286" w:type="dxa"/>
            <w:tcBorders>
              <w:top w:val="nil"/>
              <w:left w:val="nil"/>
              <w:bottom w:val="nil"/>
              <w:right w:val="nil"/>
            </w:tcBorders>
            <w:shd w:val="clear" w:color="auto" w:fill="auto"/>
            <w:noWrap/>
            <w:vAlign w:val="center"/>
            <w:hideMark/>
          </w:tcPr>
          <w:p w14:paraId="1EEB2264"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3D931ABD" w14:textId="235B1D25" w:rsidR="001D1F3C" w:rsidRPr="005B7F92" w:rsidRDefault="001D1F3C" w:rsidP="00726FCC">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Short/Current Long</w:t>
            </w:r>
            <w:r w:rsidR="00513835" w:rsidRPr="005B7F92">
              <w:rPr>
                <w:rFonts w:ascii="Arial" w:eastAsia="SimSun" w:hAnsi="Arial" w:cs="Arial"/>
                <w:color w:val="000000"/>
                <w:kern w:val="0"/>
                <w:lang w:val="en-GB" w:eastAsia="zh-CN"/>
              </w:rPr>
              <w:t>-t</w:t>
            </w:r>
            <w:r w:rsidRPr="005B7F92">
              <w:rPr>
                <w:rFonts w:ascii="Arial" w:eastAsia="SimSun" w:hAnsi="Arial" w:cs="Arial"/>
                <w:color w:val="000000"/>
                <w:kern w:val="0"/>
                <w:lang w:val="en-GB" w:eastAsia="zh-CN"/>
              </w:rPr>
              <w:t>erm Debt</w:t>
            </w:r>
          </w:p>
        </w:tc>
        <w:tc>
          <w:tcPr>
            <w:tcW w:w="1526" w:type="dxa"/>
            <w:tcBorders>
              <w:top w:val="nil"/>
              <w:left w:val="nil"/>
              <w:bottom w:val="nil"/>
              <w:right w:val="nil"/>
            </w:tcBorders>
            <w:shd w:val="clear" w:color="auto" w:fill="auto"/>
            <w:noWrap/>
            <w:vAlign w:val="center"/>
            <w:hideMark/>
          </w:tcPr>
          <w:p w14:paraId="4F759848" w14:textId="4FB9BE8F"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1,710</w:t>
            </w:r>
          </w:p>
        </w:tc>
      </w:tr>
      <w:tr w:rsidR="001D1F3C" w:rsidRPr="005B7F92" w14:paraId="21AC4C07"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0FDE2A74"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Net Receivables</w:t>
            </w:r>
          </w:p>
        </w:tc>
        <w:tc>
          <w:tcPr>
            <w:tcW w:w="1088" w:type="dxa"/>
            <w:tcBorders>
              <w:top w:val="nil"/>
              <w:left w:val="nil"/>
              <w:bottom w:val="nil"/>
              <w:right w:val="nil"/>
            </w:tcBorders>
            <w:shd w:val="clear" w:color="auto" w:fill="auto"/>
            <w:noWrap/>
            <w:vAlign w:val="center"/>
            <w:hideMark/>
          </w:tcPr>
          <w:p w14:paraId="590F536B" w14:textId="23D04B05"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2,681</w:t>
            </w:r>
          </w:p>
        </w:tc>
        <w:tc>
          <w:tcPr>
            <w:tcW w:w="286" w:type="dxa"/>
            <w:tcBorders>
              <w:top w:val="nil"/>
              <w:left w:val="nil"/>
              <w:bottom w:val="nil"/>
              <w:right w:val="nil"/>
            </w:tcBorders>
            <w:shd w:val="clear" w:color="auto" w:fill="auto"/>
            <w:noWrap/>
            <w:vAlign w:val="center"/>
            <w:hideMark/>
          </w:tcPr>
          <w:p w14:paraId="3C002150"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6C0AD40D"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Other Current Liabilities</w:t>
            </w:r>
          </w:p>
        </w:tc>
        <w:tc>
          <w:tcPr>
            <w:tcW w:w="1526" w:type="dxa"/>
            <w:tcBorders>
              <w:top w:val="nil"/>
              <w:left w:val="nil"/>
              <w:bottom w:val="nil"/>
              <w:right w:val="nil"/>
            </w:tcBorders>
            <w:shd w:val="clear" w:color="auto" w:fill="auto"/>
            <w:noWrap/>
            <w:vAlign w:val="center"/>
            <w:hideMark/>
          </w:tcPr>
          <w:p w14:paraId="7675D654" w14:textId="08DAB4D8"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795</w:t>
            </w:r>
          </w:p>
        </w:tc>
      </w:tr>
      <w:tr w:rsidR="001D1F3C" w:rsidRPr="005B7F92" w14:paraId="2113FF35"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69ED7797"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Inventory</w:t>
            </w:r>
          </w:p>
        </w:tc>
        <w:tc>
          <w:tcPr>
            <w:tcW w:w="1088" w:type="dxa"/>
            <w:tcBorders>
              <w:top w:val="nil"/>
              <w:left w:val="nil"/>
              <w:bottom w:val="nil"/>
              <w:right w:val="nil"/>
            </w:tcBorders>
            <w:shd w:val="clear" w:color="auto" w:fill="auto"/>
            <w:noWrap/>
            <w:vAlign w:val="center"/>
            <w:hideMark/>
          </w:tcPr>
          <w:p w14:paraId="5611CDE5" w14:textId="49587485"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3,241</w:t>
            </w:r>
          </w:p>
        </w:tc>
        <w:tc>
          <w:tcPr>
            <w:tcW w:w="286" w:type="dxa"/>
            <w:tcBorders>
              <w:top w:val="nil"/>
              <w:left w:val="nil"/>
              <w:bottom w:val="nil"/>
              <w:right w:val="nil"/>
            </w:tcBorders>
            <w:shd w:val="clear" w:color="auto" w:fill="auto"/>
            <w:noWrap/>
            <w:vAlign w:val="center"/>
            <w:hideMark/>
          </w:tcPr>
          <w:p w14:paraId="0414B591"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29863A51" w14:textId="77777777" w:rsidR="001D1F3C" w:rsidRPr="005B7F92" w:rsidRDefault="001D1F3C" w:rsidP="00933E4B">
            <w:pPr>
              <w:keepNext/>
              <w:rPr>
                <w:rFonts w:ascii="Arial" w:eastAsia="SimSun" w:hAnsi="Arial" w:cs="Arial"/>
                <w:b/>
                <w:bCs/>
                <w:iCs/>
                <w:color w:val="000000"/>
                <w:kern w:val="0"/>
                <w:lang w:val="en-GB" w:eastAsia="zh-CN"/>
              </w:rPr>
            </w:pPr>
            <w:r w:rsidRPr="005B7F92">
              <w:rPr>
                <w:rFonts w:ascii="Arial" w:eastAsia="SimSun" w:hAnsi="Arial" w:cs="Arial"/>
                <w:b/>
                <w:bCs/>
                <w:iCs/>
                <w:color w:val="000000"/>
                <w:kern w:val="0"/>
                <w:lang w:val="en-GB" w:eastAsia="zh-CN"/>
              </w:rPr>
              <w:t>Total Current Liabilities</w:t>
            </w:r>
          </w:p>
        </w:tc>
        <w:tc>
          <w:tcPr>
            <w:tcW w:w="1526" w:type="dxa"/>
            <w:tcBorders>
              <w:top w:val="nil"/>
              <w:left w:val="nil"/>
              <w:bottom w:val="nil"/>
              <w:right w:val="nil"/>
            </w:tcBorders>
            <w:shd w:val="clear" w:color="auto" w:fill="auto"/>
            <w:noWrap/>
            <w:vAlign w:val="center"/>
            <w:hideMark/>
          </w:tcPr>
          <w:p w14:paraId="1D780993" w14:textId="617AF90B" w:rsidR="001D1F3C" w:rsidRPr="005B7F92" w:rsidRDefault="001D1F3C" w:rsidP="006675AF">
            <w:pPr>
              <w:keepNext/>
              <w:jc w:val="right"/>
              <w:rPr>
                <w:rFonts w:ascii="Arial" w:eastAsia="SimSun" w:hAnsi="Arial" w:cs="Arial"/>
                <w:b/>
                <w:bCs/>
                <w:iCs/>
                <w:color w:val="000000"/>
                <w:kern w:val="0"/>
                <w:lang w:val="en-GB" w:eastAsia="zh-CN"/>
              </w:rPr>
            </w:pPr>
            <w:r w:rsidRPr="005B7F92">
              <w:rPr>
                <w:rFonts w:ascii="Arial" w:eastAsia="SimSun" w:hAnsi="Arial" w:cs="Arial"/>
                <w:b/>
                <w:bCs/>
                <w:iCs/>
                <w:color w:val="000000"/>
                <w:kern w:val="0"/>
                <w:lang w:val="en-GB" w:eastAsia="zh-CN"/>
              </w:rPr>
              <w:t>6,729</w:t>
            </w:r>
          </w:p>
        </w:tc>
      </w:tr>
      <w:tr w:rsidR="001D1F3C" w:rsidRPr="005B7F92" w14:paraId="7D215DA9" w14:textId="77777777" w:rsidTr="00FA66D9">
        <w:trPr>
          <w:trHeight w:val="104"/>
          <w:jc w:val="center"/>
        </w:trPr>
        <w:tc>
          <w:tcPr>
            <w:tcW w:w="2290" w:type="dxa"/>
            <w:tcBorders>
              <w:top w:val="nil"/>
              <w:left w:val="nil"/>
              <w:bottom w:val="nil"/>
              <w:right w:val="nil"/>
            </w:tcBorders>
            <w:shd w:val="clear" w:color="auto" w:fill="auto"/>
            <w:noWrap/>
            <w:vAlign w:val="center"/>
            <w:hideMark/>
          </w:tcPr>
          <w:p w14:paraId="17324D94"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Other Current Assets</w:t>
            </w:r>
          </w:p>
        </w:tc>
        <w:tc>
          <w:tcPr>
            <w:tcW w:w="1088" w:type="dxa"/>
            <w:tcBorders>
              <w:top w:val="nil"/>
              <w:left w:val="nil"/>
              <w:bottom w:val="nil"/>
              <w:right w:val="nil"/>
            </w:tcBorders>
            <w:shd w:val="clear" w:color="auto" w:fill="auto"/>
            <w:noWrap/>
            <w:vAlign w:val="center"/>
            <w:hideMark/>
          </w:tcPr>
          <w:p w14:paraId="7FD6D884" w14:textId="45B0F5F6"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499</w:t>
            </w:r>
          </w:p>
        </w:tc>
        <w:tc>
          <w:tcPr>
            <w:tcW w:w="286" w:type="dxa"/>
            <w:tcBorders>
              <w:top w:val="nil"/>
              <w:left w:val="nil"/>
              <w:bottom w:val="nil"/>
              <w:right w:val="nil"/>
            </w:tcBorders>
            <w:shd w:val="clear" w:color="auto" w:fill="auto"/>
            <w:noWrap/>
            <w:vAlign w:val="center"/>
            <w:hideMark/>
          </w:tcPr>
          <w:p w14:paraId="703D312B"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bottom"/>
            <w:hideMark/>
          </w:tcPr>
          <w:p w14:paraId="76942A24" w14:textId="77777777" w:rsidR="001D1F3C" w:rsidRPr="005B7F92" w:rsidRDefault="001D1F3C" w:rsidP="00933E4B">
            <w:pPr>
              <w:keepNext/>
              <w:rPr>
                <w:rFonts w:ascii="Arial" w:eastAsia="ヒラギノ明朝 Pro W3" w:hAnsi="Arial" w:cs="Arial"/>
                <w:color w:val="000000"/>
                <w:kern w:val="0"/>
                <w:lang w:val="en-GB" w:eastAsia="zh-CN"/>
              </w:rPr>
            </w:pPr>
          </w:p>
        </w:tc>
        <w:tc>
          <w:tcPr>
            <w:tcW w:w="1526" w:type="dxa"/>
            <w:tcBorders>
              <w:top w:val="nil"/>
              <w:left w:val="nil"/>
              <w:bottom w:val="nil"/>
              <w:right w:val="nil"/>
            </w:tcBorders>
            <w:shd w:val="clear" w:color="auto" w:fill="auto"/>
            <w:noWrap/>
            <w:vAlign w:val="bottom"/>
            <w:hideMark/>
          </w:tcPr>
          <w:p w14:paraId="2D219A18" w14:textId="77777777" w:rsidR="001D1F3C" w:rsidRPr="005B7F92" w:rsidRDefault="001D1F3C" w:rsidP="00933E4B">
            <w:pPr>
              <w:keepNext/>
              <w:rPr>
                <w:rFonts w:ascii="Arial" w:eastAsia="ヒラギノ明朝 Pro W3" w:hAnsi="Arial" w:cs="Arial"/>
                <w:color w:val="000000"/>
                <w:kern w:val="0"/>
                <w:lang w:val="en-GB" w:eastAsia="zh-CN"/>
              </w:rPr>
            </w:pPr>
          </w:p>
        </w:tc>
      </w:tr>
      <w:tr w:rsidR="001D1F3C" w:rsidRPr="005B7F92" w14:paraId="666E7EAB"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04131F86" w14:textId="77777777" w:rsidR="001D1F3C" w:rsidRPr="005B7F92" w:rsidRDefault="001D1F3C" w:rsidP="00933E4B">
            <w:pPr>
              <w:keepNext/>
              <w:rPr>
                <w:rFonts w:ascii="Arial" w:eastAsia="SimSun" w:hAnsi="Arial" w:cs="Arial"/>
                <w:b/>
                <w:bCs/>
                <w:iCs/>
                <w:color w:val="000000"/>
                <w:kern w:val="0"/>
                <w:lang w:val="en-GB" w:eastAsia="zh-CN"/>
              </w:rPr>
            </w:pPr>
            <w:r w:rsidRPr="005B7F92">
              <w:rPr>
                <w:rFonts w:ascii="Arial" w:eastAsia="SimSun" w:hAnsi="Arial" w:cs="Arial"/>
                <w:b/>
                <w:bCs/>
                <w:iCs/>
                <w:color w:val="000000"/>
                <w:kern w:val="0"/>
                <w:lang w:val="en-GB" w:eastAsia="zh-CN"/>
              </w:rPr>
              <w:t>Total Current Assets</w:t>
            </w:r>
          </w:p>
        </w:tc>
        <w:tc>
          <w:tcPr>
            <w:tcW w:w="1088" w:type="dxa"/>
            <w:tcBorders>
              <w:top w:val="nil"/>
              <w:left w:val="nil"/>
              <w:bottom w:val="nil"/>
              <w:right w:val="nil"/>
            </w:tcBorders>
            <w:shd w:val="clear" w:color="auto" w:fill="auto"/>
            <w:noWrap/>
            <w:vAlign w:val="center"/>
            <w:hideMark/>
          </w:tcPr>
          <w:p w14:paraId="6CAD065C" w14:textId="30D8A57A" w:rsidR="001D1F3C" w:rsidRPr="005B7F92" w:rsidRDefault="001D1F3C" w:rsidP="006675AF">
            <w:pPr>
              <w:keepNext/>
              <w:jc w:val="right"/>
              <w:rPr>
                <w:rFonts w:ascii="Arial" w:eastAsia="SimSun" w:hAnsi="Arial" w:cs="Arial"/>
                <w:b/>
                <w:bCs/>
                <w:iCs/>
                <w:color w:val="000000"/>
                <w:kern w:val="0"/>
                <w:lang w:val="en-GB" w:eastAsia="zh-CN"/>
              </w:rPr>
            </w:pPr>
            <w:r w:rsidRPr="005B7F92">
              <w:rPr>
                <w:rFonts w:ascii="Arial" w:eastAsia="SimSun" w:hAnsi="Arial" w:cs="Arial"/>
                <w:b/>
                <w:bCs/>
                <w:iCs/>
                <w:color w:val="000000"/>
                <w:kern w:val="0"/>
                <w:lang w:val="en-GB" w:eastAsia="zh-CN"/>
              </w:rPr>
              <w:t>8,157</w:t>
            </w:r>
          </w:p>
        </w:tc>
        <w:tc>
          <w:tcPr>
            <w:tcW w:w="286" w:type="dxa"/>
            <w:tcBorders>
              <w:top w:val="nil"/>
              <w:left w:val="nil"/>
              <w:bottom w:val="nil"/>
              <w:right w:val="nil"/>
            </w:tcBorders>
            <w:shd w:val="clear" w:color="auto" w:fill="auto"/>
            <w:noWrap/>
            <w:vAlign w:val="center"/>
            <w:hideMark/>
          </w:tcPr>
          <w:p w14:paraId="44D9D77B" w14:textId="77777777" w:rsidR="001D1F3C" w:rsidRPr="005B7F92" w:rsidRDefault="001D1F3C" w:rsidP="00933E4B">
            <w:pPr>
              <w:keepNext/>
              <w:jc w:val="right"/>
              <w:rPr>
                <w:rFonts w:ascii="Arial" w:eastAsia="SimSun" w:hAnsi="Arial" w:cs="Arial"/>
                <w:b/>
                <w:bCs/>
                <w:i/>
                <w:iCs/>
                <w:color w:val="000000"/>
                <w:kern w:val="0"/>
                <w:lang w:val="en-GB" w:eastAsia="zh-CN"/>
              </w:rPr>
            </w:pPr>
          </w:p>
        </w:tc>
        <w:tc>
          <w:tcPr>
            <w:tcW w:w="3131" w:type="dxa"/>
            <w:tcBorders>
              <w:top w:val="nil"/>
              <w:left w:val="nil"/>
              <w:bottom w:val="nil"/>
              <w:right w:val="nil"/>
            </w:tcBorders>
            <w:shd w:val="clear" w:color="auto" w:fill="auto"/>
            <w:noWrap/>
            <w:vAlign w:val="center"/>
            <w:hideMark/>
          </w:tcPr>
          <w:p w14:paraId="742C5E6D" w14:textId="7979D0E8" w:rsidR="001D1F3C" w:rsidRPr="005B7F92" w:rsidRDefault="001D1F3C" w:rsidP="00726FCC">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Long</w:t>
            </w:r>
            <w:r w:rsidR="00513835" w:rsidRPr="005B7F92">
              <w:rPr>
                <w:rFonts w:ascii="Arial" w:eastAsia="SimSun" w:hAnsi="Arial" w:cs="Arial"/>
                <w:color w:val="000000"/>
                <w:kern w:val="0"/>
                <w:lang w:val="en-GB" w:eastAsia="zh-CN"/>
              </w:rPr>
              <w:t>-t</w:t>
            </w:r>
            <w:r w:rsidRPr="005B7F92">
              <w:rPr>
                <w:rFonts w:ascii="Arial" w:eastAsia="SimSun" w:hAnsi="Arial" w:cs="Arial"/>
                <w:color w:val="000000"/>
                <w:kern w:val="0"/>
                <w:lang w:val="en-GB" w:eastAsia="zh-CN"/>
              </w:rPr>
              <w:t>erm Debt</w:t>
            </w:r>
          </w:p>
        </w:tc>
        <w:tc>
          <w:tcPr>
            <w:tcW w:w="1526" w:type="dxa"/>
            <w:tcBorders>
              <w:top w:val="nil"/>
              <w:left w:val="nil"/>
              <w:bottom w:val="nil"/>
              <w:right w:val="nil"/>
            </w:tcBorders>
            <w:shd w:val="clear" w:color="auto" w:fill="auto"/>
            <w:noWrap/>
            <w:vAlign w:val="center"/>
            <w:hideMark/>
          </w:tcPr>
          <w:p w14:paraId="652F6625" w14:textId="0250FB43"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7,453</w:t>
            </w:r>
          </w:p>
        </w:tc>
      </w:tr>
      <w:tr w:rsidR="001D1F3C" w:rsidRPr="005B7F92" w14:paraId="4303C1B3" w14:textId="77777777" w:rsidTr="00FA66D9">
        <w:trPr>
          <w:trHeight w:val="248"/>
          <w:jc w:val="center"/>
        </w:trPr>
        <w:tc>
          <w:tcPr>
            <w:tcW w:w="2290" w:type="dxa"/>
            <w:tcBorders>
              <w:top w:val="nil"/>
              <w:left w:val="nil"/>
              <w:bottom w:val="nil"/>
              <w:right w:val="nil"/>
            </w:tcBorders>
            <w:shd w:val="clear" w:color="auto" w:fill="auto"/>
            <w:noWrap/>
            <w:vAlign w:val="bottom"/>
            <w:hideMark/>
          </w:tcPr>
          <w:p w14:paraId="37FE4F2C" w14:textId="77777777" w:rsidR="001D1F3C" w:rsidRPr="005B7F92" w:rsidRDefault="001D1F3C" w:rsidP="00933E4B">
            <w:pPr>
              <w:keepNext/>
              <w:rPr>
                <w:rFonts w:ascii="Arial" w:eastAsia="ヒラギノ明朝 Pro W3"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323017C9" w14:textId="77777777" w:rsidR="001D1F3C" w:rsidRPr="005B7F92" w:rsidRDefault="001D1F3C" w:rsidP="00933E4B">
            <w:pPr>
              <w:keepNext/>
              <w:rPr>
                <w:rFonts w:ascii="Arial" w:eastAsia="ヒラギノ明朝 Pro W3"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7A0D5AD3" w14:textId="77777777" w:rsidR="001D1F3C" w:rsidRPr="005B7F92" w:rsidRDefault="001D1F3C" w:rsidP="00933E4B">
            <w:pPr>
              <w:keepNext/>
              <w:rPr>
                <w:rFonts w:ascii="Arial" w:eastAsia="ヒラギノ明朝 Pro W3"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6D624490"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Other Liabilities</w:t>
            </w:r>
          </w:p>
        </w:tc>
        <w:tc>
          <w:tcPr>
            <w:tcW w:w="1526" w:type="dxa"/>
            <w:tcBorders>
              <w:top w:val="nil"/>
              <w:left w:val="nil"/>
              <w:bottom w:val="nil"/>
              <w:right w:val="nil"/>
            </w:tcBorders>
            <w:shd w:val="clear" w:color="auto" w:fill="auto"/>
            <w:noWrap/>
            <w:vAlign w:val="center"/>
            <w:hideMark/>
          </w:tcPr>
          <w:p w14:paraId="6DED4883" w14:textId="77C3E6D1"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906</w:t>
            </w:r>
          </w:p>
        </w:tc>
      </w:tr>
      <w:tr w:rsidR="001D1F3C" w:rsidRPr="005B7F92" w14:paraId="7FB6BB98"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022AD077" w14:textId="60E7D202"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Long</w:t>
            </w:r>
            <w:r w:rsidR="006D7F98">
              <w:rPr>
                <w:rFonts w:ascii="Arial" w:eastAsia="SimSun" w:hAnsi="Arial" w:cs="Arial"/>
                <w:color w:val="000000"/>
                <w:kern w:val="0"/>
                <w:lang w:val="en-GB" w:eastAsia="zh-CN"/>
              </w:rPr>
              <w:t>-</w:t>
            </w:r>
            <w:r w:rsidRPr="005B7F92">
              <w:rPr>
                <w:rFonts w:ascii="Arial" w:eastAsia="SimSun" w:hAnsi="Arial" w:cs="Arial"/>
                <w:color w:val="000000"/>
                <w:kern w:val="0"/>
                <w:lang w:val="en-GB" w:eastAsia="zh-CN"/>
              </w:rPr>
              <w:t>Term Investments</w:t>
            </w:r>
          </w:p>
        </w:tc>
        <w:tc>
          <w:tcPr>
            <w:tcW w:w="1088" w:type="dxa"/>
            <w:tcBorders>
              <w:top w:val="nil"/>
              <w:left w:val="nil"/>
              <w:bottom w:val="nil"/>
              <w:right w:val="nil"/>
            </w:tcBorders>
            <w:shd w:val="clear" w:color="auto" w:fill="auto"/>
            <w:noWrap/>
            <w:vAlign w:val="center"/>
            <w:hideMark/>
          </w:tcPr>
          <w:p w14:paraId="3F8C0FF1" w14:textId="317AE9F2"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101</w:t>
            </w:r>
          </w:p>
        </w:tc>
        <w:tc>
          <w:tcPr>
            <w:tcW w:w="286" w:type="dxa"/>
            <w:tcBorders>
              <w:top w:val="nil"/>
              <w:left w:val="nil"/>
              <w:bottom w:val="nil"/>
              <w:right w:val="nil"/>
            </w:tcBorders>
            <w:shd w:val="clear" w:color="auto" w:fill="auto"/>
            <w:noWrap/>
            <w:vAlign w:val="center"/>
            <w:hideMark/>
          </w:tcPr>
          <w:p w14:paraId="7B4C588E"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3AEE45C8" w14:textId="51504486" w:rsidR="001D1F3C" w:rsidRPr="005B7F92" w:rsidRDefault="001D1F3C" w:rsidP="00726FCC">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Deferred Long</w:t>
            </w:r>
            <w:r w:rsidR="00513835" w:rsidRPr="005B7F92">
              <w:rPr>
                <w:rFonts w:ascii="Arial" w:eastAsia="SimSun" w:hAnsi="Arial" w:cs="Arial"/>
                <w:color w:val="000000"/>
                <w:kern w:val="0"/>
                <w:lang w:val="en-GB" w:eastAsia="zh-CN"/>
              </w:rPr>
              <w:t>-t</w:t>
            </w:r>
            <w:r w:rsidRPr="005B7F92">
              <w:rPr>
                <w:rFonts w:ascii="Arial" w:eastAsia="SimSun" w:hAnsi="Arial" w:cs="Arial"/>
                <w:color w:val="000000"/>
                <w:kern w:val="0"/>
                <w:lang w:val="en-GB" w:eastAsia="zh-CN"/>
              </w:rPr>
              <w:t>erm Liability Charges</w:t>
            </w:r>
          </w:p>
        </w:tc>
        <w:tc>
          <w:tcPr>
            <w:tcW w:w="1526" w:type="dxa"/>
            <w:tcBorders>
              <w:top w:val="nil"/>
              <w:left w:val="nil"/>
              <w:bottom w:val="nil"/>
              <w:right w:val="nil"/>
            </w:tcBorders>
            <w:shd w:val="clear" w:color="auto" w:fill="auto"/>
            <w:noWrap/>
            <w:vAlign w:val="center"/>
            <w:hideMark/>
          </w:tcPr>
          <w:p w14:paraId="61F7EFC8" w14:textId="536DC9CC"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103</w:t>
            </w:r>
          </w:p>
        </w:tc>
      </w:tr>
      <w:tr w:rsidR="001D1F3C" w:rsidRPr="005B7F92" w14:paraId="15A5A696"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2047C4A9" w14:textId="15D25C08"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Property</w:t>
            </w:r>
            <w:r w:rsidR="006D7F98">
              <w:rPr>
                <w:rFonts w:ascii="Arial" w:eastAsia="SimSun" w:hAnsi="Arial" w:cs="Arial"/>
                <w:color w:val="000000"/>
                <w:kern w:val="0"/>
                <w:lang w:val="en-GB" w:eastAsia="zh-CN"/>
              </w:rPr>
              <w:t>,</w:t>
            </w:r>
            <w:r w:rsidRPr="005B7F92">
              <w:rPr>
                <w:rFonts w:ascii="Arial" w:eastAsia="SimSun" w:hAnsi="Arial" w:cs="Arial"/>
                <w:color w:val="000000"/>
                <w:kern w:val="0"/>
                <w:lang w:val="en-GB" w:eastAsia="zh-CN"/>
              </w:rPr>
              <w:t xml:space="preserve"> Plant</w:t>
            </w:r>
            <w:r w:rsidR="006D7F98">
              <w:rPr>
                <w:rFonts w:ascii="Arial" w:eastAsia="SimSun" w:hAnsi="Arial" w:cs="Arial"/>
                <w:color w:val="000000"/>
                <w:kern w:val="0"/>
                <w:lang w:val="en-GB" w:eastAsia="zh-CN"/>
              </w:rPr>
              <w:t>,</w:t>
            </w:r>
            <w:r w:rsidRPr="005B7F92">
              <w:rPr>
                <w:rFonts w:ascii="Arial" w:eastAsia="SimSun" w:hAnsi="Arial" w:cs="Arial"/>
                <w:color w:val="000000"/>
                <w:kern w:val="0"/>
                <w:lang w:val="en-GB" w:eastAsia="zh-CN"/>
              </w:rPr>
              <w:t xml:space="preserve"> and Equipment</w:t>
            </w:r>
          </w:p>
        </w:tc>
        <w:tc>
          <w:tcPr>
            <w:tcW w:w="1088" w:type="dxa"/>
            <w:tcBorders>
              <w:top w:val="nil"/>
              <w:left w:val="nil"/>
              <w:bottom w:val="nil"/>
              <w:right w:val="nil"/>
            </w:tcBorders>
            <w:shd w:val="clear" w:color="auto" w:fill="auto"/>
            <w:noWrap/>
            <w:vAlign w:val="center"/>
            <w:hideMark/>
          </w:tcPr>
          <w:p w14:paraId="7C504668" w14:textId="35E36BA1"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5,231</w:t>
            </w:r>
          </w:p>
        </w:tc>
        <w:tc>
          <w:tcPr>
            <w:tcW w:w="286" w:type="dxa"/>
            <w:tcBorders>
              <w:top w:val="nil"/>
              <w:left w:val="nil"/>
              <w:bottom w:val="nil"/>
              <w:right w:val="nil"/>
            </w:tcBorders>
            <w:shd w:val="clear" w:color="auto" w:fill="auto"/>
            <w:noWrap/>
            <w:vAlign w:val="center"/>
            <w:hideMark/>
          </w:tcPr>
          <w:p w14:paraId="2EA9FAC5"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4A061C20"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Minority Interest</w:t>
            </w:r>
          </w:p>
        </w:tc>
        <w:tc>
          <w:tcPr>
            <w:tcW w:w="1526" w:type="dxa"/>
            <w:tcBorders>
              <w:top w:val="nil"/>
              <w:left w:val="nil"/>
              <w:bottom w:val="nil"/>
              <w:right w:val="nil"/>
            </w:tcBorders>
            <w:shd w:val="clear" w:color="auto" w:fill="auto"/>
            <w:noWrap/>
            <w:vAlign w:val="center"/>
            <w:hideMark/>
          </w:tcPr>
          <w:p w14:paraId="6771D92E" w14:textId="70A4D521"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w:t>
            </w:r>
          </w:p>
        </w:tc>
      </w:tr>
      <w:tr w:rsidR="001D1F3C" w:rsidRPr="005B7F92" w14:paraId="73B8A83F"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0EF4790D"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Goodwill</w:t>
            </w:r>
          </w:p>
        </w:tc>
        <w:tc>
          <w:tcPr>
            <w:tcW w:w="1088" w:type="dxa"/>
            <w:tcBorders>
              <w:top w:val="nil"/>
              <w:left w:val="nil"/>
              <w:bottom w:val="nil"/>
              <w:right w:val="nil"/>
            </w:tcBorders>
            <w:shd w:val="clear" w:color="auto" w:fill="auto"/>
            <w:noWrap/>
            <w:vAlign w:val="center"/>
            <w:hideMark/>
          </w:tcPr>
          <w:p w14:paraId="53D48FCF" w14:textId="7E91446D"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4,020</w:t>
            </w:r>
          </w:p>
        </w:tc>
        <w:tc>
          <w:tcPr>
            <w:tcW w:w="286" w:type="dxa"/>
            <w:tcBorders>
              <w:top w:val="nil"/>
              <w:left w:val="nil"/>
              <w:bottom w:val="nil"/>
              <w:right w:val="nil"/>
            </w:tcBorders>
            <w:shd w:val="clear" w:color="auto" w:fill="auto"/>
            <w:noWrap/>
            <w:vAlign w:val="center"/>
            <w:hideMark/>
          </w:tcPr>
          <w:p w14:paraId="1C9DD8DC"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6E952F89"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Negative Goodwill</w:t>
            </w:r>
          </w:p>
        </w:tc>
        <w:tc>
          <w:tcPr>
            <w:tcW w:w="1526" w:type="dxa"/>
            <w:tcBorders>
              <w:top w:val="nil"/>
              <w:left w:val="nil"/>
              <w:bottom w:val="nil"/>
              <w:right w:val="nil"/>
            </w:tcBorders>
            <w:shd w:val="clear" w:color="auto" w:fill="auto"/>
            <w:noWrap/>
            <w:vAlign w:val="center"/>
            <w:hideMark/>
          </w:tcPr>
          <w:p w14:paraId="6C4D7CC6" w14:textId="387077C2" w:rsidR="001D1F3C" w:rsidRPr="005B7F92" w:rsidRDefault="006D7F98" w:rsidP="0074592C">
            <w:pPr>
              <w:keepNext/>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p>
        </w:tc>
      </w:tr>
      <w:tr w:rsidR="001D1F3C" w:rsidRPr="005B7F92" w14:paraId="31FD7CF8" w14:textId="77777777" w:rsidTr="00FA66D9">
        <w:trPr>
          <w:trHeight w:val="248"/>
          <w:jc w:val="center"/>
        </w:trPr>
        <w:tc>
          <w:tcPr>
            <w:tcW w:w="2290" w:type="dxa"/>
            <w:tcBorders>
              <w:top w:val="nil"/>
              <w:left w:val="nil"/>
              <w:bottom w:val="nil"/>
              <w:right w:val="nil"/>
            </w:tcBorders>
            <w:shd w:val="clear" w:color="auto" w:fill="auto"/>
            <w:noWrap/>
            <w:vAlign w:val="center"/>
            <w:hideMark/>
          </w:tcPr>
          <w:p w14:paraId="0E1B5D85"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Intangible Assets</w:t>
            </w:r>
          </w:p>
        </w:tc>
        <w:tc>
          <w:tcPr>
            <w:tcW w:w="1088" w:type="dxa"/>
            <w:tcBorders>
              <w:top w:val="nil"/>
              <w:left w:val="nil"/>
              <w:bottom w:val="nil"/>
              <w:right w:val="nil"/>
            </w:tcBorders>
            <w:shd w:val="clear" w:color="auto" w:fill="auto"/>
            <w:noWrap/>
            <w:vAlign w:val="center"/>
            <w:hideMark/>
          </w:tcPr>
          <w:p w14:paraId="4ADF68B2" w14:textId="25FB0A1A"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1,125</w:t>
            </w:r>
          </w:p>
        </w:tc>
        <w:tc>
          <w:tcPr>
            <w:tcW w:w="286" w:type="dxa"/>
            <w:tcBorders>
              <w:top w:val="nil"/>
              <w:left w:val="nil"/>
              <w:bottom w:val="nil"/>
              <w:right w:val="nil"/>
            </w:tcBorders>
            <w:shd w:val="clear" w:color="auto" w:fill="auto"/>
            <w:noWrap/>
            <w:vAlign w:val="center"/>
            <w:hideMark/>
          </w:tcPr>
          <w:p w14:paraId="77C04309"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25D8B053" w14:textId="77777777" w:rsidR="001D1F3C" w:rsidRPr="005B7F92" w:rsidRDefault="001D1F3C" w:rsidP="00933E4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Total Liabilities</w:t>
            </w:r>
          </w:p>
        </w:tc>
        <w:tc>
          <w:tcPr>
            <w:tcW w:w="1526" w:type="dxa"/>
            <w:tcBorders>
              <w:top w:val="nil"/>
              <w:left w:val="nil"/>
              <w:bottom w:val="nil"/>
              <w:right w:val="nil"/>
            </w:tcBorders>
            <w:shd w:val="clear" w:color="auto" w:fill="auto"/>
            <w:noWrap/>
            <w:vAlign w:val="center"/>
            <w:hideMark/>
          </w:tcPr>
          <w:p w14:paraId="04F123F7" w14:textId="2ABF4EB4" w:rsidR="001D1F3C" w:rsidRPr="005B7F92" w:rsidRDefault="001D1F3C" w:rsidP="006675AF">
            <w:pPr>
              <w:keepNext/>
              <w:jc w:val="righ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15,202</w:t>
            </w:r>
          </w:p>
        </w:tc>
      </w:tr>
      <w:tr w:rsidR="001D1F3C" w:rsidRPr="005B7F92" w14:paraId="2B9EB9DA" w14:textId="77777777" w:rsidTr="00FA66D9">
        <w:trPr>
          <w:trHeight w:val="156"/>
          <w:jc w:val="center"/>
        </w:trPr>
        <w:tc>
          <w:tcPr>
            <w:tcW w:w="2290" w:type="dxa"/>
            <w:tcBorders>
              <w:top w:val="nil"/>
              <w:left w:val="nil"/>
              <w:bottom w:val="nil"/>
              <w:right w:val="nil"/>
            </w:tcBorders>
            <w:shd w:val="clear" w:color="auto" w:fill="auto"/>
            <w:noWrap/>
            <w:vAlign w:val="center"/>
            <w:hideMark/>
          </w:tcPr>
          <w:p w14:paraId="64AFFF72" w14:textId="77777777" w:rsidR="001D1F3C" w:rsidRPr="005B7F92" w:rsidRDefault="001D1F3C"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Other Assets</w:t>
            </w:r>
          </w:p>
        </w:tc>
        <w:tc>
          <w:tcPr>
            <w:tcW w:w="1088" w:type="dxa"/>
            <w:tcBorders>
              <w:top w:val="nil"/>
              <w:left w:val="nil"/>
              <w:bottom w:val="nil"/>
              <w:right w:val="nil"/>
            </w:tcBorders>
            <w:shd w:val="clear" w:color="auto" w:fill="auto"/>
            <w:noWrap/>
            <w:vAlign w:val="center"/>
            <w:hideMark/>
          </w:tcPr>
          <w:p w14:paraId="4EE7B1F2" w14:textId="083B1F45" w:rsidR="001D1F3C" w:rsidRPr="005B7F92" w:rsidRDefault="001D1F3C"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489</w:t>
            </w:r>
          </w:p>
        </w:tc>
        <w:tc>
          <w:tcPr>
            <w:tcW w:w="286" w:type="dxa"/>
            <w:tcBorders>
              <w:top w:val="nil"/>
              <w:left w:val="nil"/>
              <w:bottom w:val="nil"/>
              <w:right w:val="nil"/>
            </w:tcBorders>
            <w:shd w:val="clear" w:color="auto" w:fill="auto"/>
            <w:noWrap/>
            <w:vAlign w:val="center"/>
            <w:hideMark/>
          </w:tcPr>
          <w:p w14:paraId="29A28295" w14:textId="77777777" w:rsidR="001D1F3C" w:rsidRPr="005B7F92" w:rsidRDefault="001D1F3C"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bottom"/>
            <w:hideMark/>
          </w:tcPr>
          <w:p w14:paraId="5A7856A9" w14:textId="77777777" w:rsidR="001D1F3C" w:rsidRPr="005B7F92" w:rsidRDefault="001D1F3C" w:rsidP="00933E4B">
            <w:pPr>
              <w:keepNext/>
              <w:rPr>
                <w:rFonts w:ascii="Arial" w:eastAsia="ヒラギノ明朝 Pro W3" w:hAnsi="Arial" w:cs="Arial"/>
                <w:color w:val="000000"/>
                <w:kern w:val="0"/>
                <w:lang w:val="en-GB" w:eastAsia="zh-CN"/>
              </w:rPr>
            </w:pPr>
          </w:p>
        </w:tc>
        <w:tc>
          <w:tcPr>
            <w:tcW w:w="1526" w:type="dxa"/>
            <w:tcBorders>
              <w:top w:val="nil"/>
              <w:left w:val="nil"/>
              <w:bottom w:val="nil"/>
              <w:right w:val="nil"/>
            </w:tcBorders>
            <w:shd w:val="clear" w:color="auto" w:fill="auto"/>
            <w:noWrap/>
            <w:vAlign w:val="bottom"/>
            <w:hideMark/>
          </w:tcPr>
          <w:p w14:paraId="55A164A4" w14:textId="77777777" w:rsidR="001D1F3C" w:rsidRPr="005B7F92" w:rsidRDefault="001D1F3C" w:rsidP="00933E4B">
            <w:pPr>
              <w:keepNext/>
              <w:rPr>
                <w:rFonts w:ascii="Arial" w:eastAsia="ヒラギノ明朝 Pro W3" w:hAnsi="Arial" w:cs="Arial"/>
                <w:color w:val="000000"/>
                <w:kern w:val="0"/>
                <w:lang w:val="en-GB" w:eastAsia="zh-CN"/>
              </w:rPr>
            </w:pPr>
          </w:p>
        </w:tc>
      </w:tr>
      <w:tr w:rsidR="000443FE" w:rsidRPr="005B7F92" w14:paraId="5B530887" w14:textId="77777777" w:rsidTr="00FA66D9">
        <w:trPr>
          <w:trHeight w:val="260"/>
          <w:jc w:val="center"/>
        </w:trPr>
        <w:tc>
          <w:tcPr>
            <w:tcW w:w="2290" w:type="dxa"/>
            <w:tcBorders>
              <w:top w:val="nil"/>
              <w:left w:val="nil"/>
              <w:bottom w:val="nil"/>
              <w:right w:val="nil"/>
            </w:tcBorders>
            <w:shd w:val="clear" w:color="auto" w:fill="auto"/>
            <w:noWrap/>
            <w:vAlign w:val="center"/>
            <w:hideMark/>
          </w:tcPr>
          <w:p w14:paraId="034CA49C" w14:textId="4DAF2FEF" w:rsidR="000443FE" w:rsidRPr="005B7F92" w:rsidRDefault="000443FE"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Deferred Long</w:t>
            </w:r>
            <w:r w:rsidR="006D7F98">
              <w:rPr>
                <w:rFonts w:ascii="Arial" w:eastAsia="SimSun" w:hAnsi="Arial" w:cs="Arial"/>
                <w:color w:val="000000"/>
                <w:kern w:val="0"/>
                <w:lang w:val="en-GB" w:eastAsia="zh-CN"/>
              </w:rPr>
              <w:t>-</w:t>
            </w:r>
            <w:r w:rsidRPr="005B7F92">
              <w:rPr>
                <w:rFonts w:ascii="Arial" w:eastAsia="SimSun" w:hAnsi="Arial" w:cs="Arial"/>
                <w:color w:val="000000"/>
                <w:kern w:val="0"/>
                <w:lang w:val="en-GB" w:eastAsia="zh-CN"/>
              </w:rPr>
              <w:t>Term Asset Charges</w:t>
            </w:r>
          </w:p>
        </w:tc>
        <w:tc>
          <w:tcPr>
            <w:tcW w:w="1088" w:type="dxa"/>
            <w:tcBorders>
              <w:top w:val="nil"/>
              <w:left w:val="nil"/>
              <w:bottom w:val="nil"/>
              <w:right w:val="nil"/>
            </w:tcBorders>
            <w:shd w:val="clear" w:color="auto" w:fill="auto"/>
            <w:noWrap/>
            <w:vAlign w:val="center"/>
            <w:hideMark/>
          </w:tcPr>
          <w:p w14:paraId="2E53A1EE" w14:textId="5F2B3F4E" w:rsidR="000443FE" w:rsidRPr="005B7F92" w:rsidRDefault="000443FE"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613</w:t>
            </w:r>
          </w:p>
        </w:tc>
        <w:tc>
          <w:tcPr>
            <w:tcW w:w="286" w:type="dxa"/>
            <w:tcBorders>
              <w:top w:val="nil"/>
              <w:left w:val="nil"/>
              <w:bottom w:val="nil"/>
              <w:right w:val="nil"/>
            </w:tcBorders>
            <w:shd w:val="clear" w:color="auto" w:fill="auto"/>
            <w:noWrap/>
            <w:vAlign w:val="center"/>
            <w:hideMark/>
          </w:tcPr>
          <w:p w14:paraId="5977F636" w14:textId="77777777" w:rsidR="000443FE" w:rsidRPr="005B7F92" w:rsidRDefault="000443FE"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6A2D62C9" w14:textId="192877BE" w:rsidR="000443FE" w:rsidRPr="005B7F92" w:rsidRDefault="000443FE"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Common Stock</w:t>
            </w:r>
          </w:p>
        </w:tc>
        <w:tc>
          <w:tcPr>
            <w:tcW w:w="1526" w:type="dxa"/>
            <w:tcBorders>
              <w:top w:val="nil"/>
              <w:left w:val="nil"/>
              <w:bottom w:val="nil"/>
              <w:right w:val="nil"/>
            </w:tcBorders>
            <w:shd w:val="clear" w:color="auto" w:fill="auto"/>
            <w:noWrap/>
            <w:vAlign w:val="center"/>
            <w:hideMark/>
          </w:tcPr>
          <w:p w14:paraId="6A33ABCF" w14:textId="408676C9" w:rsidR="000443FE" w:rsidRPr="005B7F92" w:rsidRDefault="000443FE" w:rsidP="00933E4B">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6</w:t>
            </w:r>
          </w:p>
        </w:tc>
      </w:tr>
      <w:tr w:rsidR="000443FE" w:rsidRPr="005B7F92" w14:paraId="47E10CD9" w14:textId="77777777" w:rsidTr="00FA66D9">
        <w:trPr>
          <w:trHeight w:val="184"/>
          <w:jc w:val="center"/>
        </w:trPr>
        <w:tc>
          <w:tcPr>
            <w:tcW w:w="2290" w:type="dxa"/>
            <w:tcBorders>
              <w:top w:val="single" w:sz="8" w:space="0" w:color="auto"/>
              <w:left w:val="nil"/>
              <w:bottom w:val="double" w:sz="6" w:space="0" w:color="auto"/>
              <w:right w:val="nil"/>
            </w:tcBorders>
            <w:shd w:val="clear" w:color="auto" w:fill="auto"/>
            <w:noWrap/>
            <w:vAlign w:val="center"/>
            <w:hideMark/>
          </w:tcPr>
          <w:p w14:paraId="1B7B0534" w14:textId="5261B211" w:rsidR="000443FE" w:rsidRPr="005B7F92" w:rsidRDefault="000443FE" w:rsidP="004858E6">
            <w:pPr>
              <w:keepNext/>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T</w:t>
            </w:r>
            <w:r w:rsidR="004858E6" w:rsidRPr="005B7F92">
              <w:rPr>
                <w:rFonts w:ascii="Arial" w:eastAsia="SimSun" w:hAnsi="Arial" w:cs="Arial"/>
                <w:b/>
                <w:color w:val="000000"/>
                <w:kern w:val="0"/>
                <w:lang w:val="en-GB" w:eastAsia="zh-CN"/>
              </w:rPr>
              <w:t>OTAL</w:t>
            </w:r>
            <w:r w:rsidRPr="005B7F92">
              <w:rPr>
                <w:rFonts w:ascii="Arial" w:eastAsia="SimSun" w:hAnsi="Arial" w:cs="Arial"/>
                <w:b/>
                <w:color w:val="000000"/>
                <w:kern w:val="0"/>
                <w:lang w:val="en-GB" w:eastAsia="zh-CN"/>
              </w:rPr>
              <w:t xml:space="preserve"> A</w:t>
            </w:r>
            <w:r w:rsidR="004858E6" w:rsidRPr="005B7F92">
              <w:rPr>
                <w:rFonts w:ascii="Arial" w:eastAsia="SimSun" w:hAnsi="Arial" w:cs="Arial"/>
                <w:b/>
                <w:color w:val="000000"/>
                <w:kern w:val="0"/>
                <w:lang w:val="en-GB" w:eastAsia="zh-CN"/>
              </w:rPr>
              <w:t>SSETS</w:t>
            </w:r>
          </w:p>
        </w:tc>
        <w:tc>
          <w:tcPr>
            <w:tcW w:w="1088" w:type="dxa"/>
            <w:tcBorders>
              <w:top w:val="single" w:sz="8" w:space="0" w:color="auto"/>
              <w:left w:val="nil"/>
              <w:bottom w:val="double" w:sz="6" w:space="0" w:color="auto"/>
              <w:right w:val="nil"/>
            </w:tcBorders>
            <w:shd w:val="clear" w:color="auto" w:fill="auto"/>
            <w:noWrap/>
            <w:vAlign w:val="center"/>
            <w:hideMark/>
          </w:tcPr>
          <w:p w14:paraId="59834D6B" w14:textId="08F92A78" w:rsidR="000443FE" w:rsidRPr="005B7F92" w:rsidRDefault="000443FE" w:rsidP="006675AF">
            <w:pPr>
              <w:keepNext/>
              <w:jc w:val="right"/>
              <w:rPr>
                <w:rFonts w:ascii="Arial" w:eastAsia="SimSun" w:hAnsi="Arial" w:cs="Arial"/>
                <w:b/>
                <w:color w:val="000000"/>
                <w:kern w:val="0"/>
                <w:lang w:val="en-GB" w:eastAsia="zh-CN"/>
              </w:rPr>
            </w:pPr>
            <w:r w:rsidRPr="005B7F92">
              <w:rPr>
                <w:rFonts w:ascii="Arial" w:eastAsia="SimSun" w:hAnsi="Arial" w:cs="Arial"/>
                <w:b/>
                <w:color w:val="000000"/>
                <w:kern w:val="0"/>
                <w:lang w:val="en-GB" w:eastAsia="zh-CN"/>
              </w:rPr>
              <w:t>19,736</w:t>
            </w:r>
          </w:p>
        </w:tc>
        <w:tc>
          <w:tcPr>
            <w:tcW w:w="286" w:type="dxa"/>
            <w:tcBorders>
              <w:top w:val="nil"/>
              <w:left w:val="nil"/>
              <w:bottom w:val="nil"/>
              <w:right w:val="nil"/>
            </w:tcBorders>
            <w:shd w:val="clear" w:color="auto" w:fill="auto"/>
            <w:noWrap/>
            <w:vAlign w:val="center"/>
            <w:hideMark/>
          </w:tcPr>
          <w:p w14:paraId="1D3DDE2F" w14:textId="77777777" w:rsidR="000443FE" w:rsidRPr="005B7F92" w:rsidRDefault="000443FE" w:rsidP="00933E4B">
            <w:pPr>
              <w:keepNext/>
              <w:jc w:val="right"/>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69818285" w14:textId="59DEF8F0" w:rsidR="000443FE" w:rsidRPr="005B7F92" w:rsidRDefault="000443FE" w:rsidP="00933E4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Retained Earnings</w:t>
            </w:r>
          </w:p>
        </w:tc>
        <w:tc>
          <w:tcPr>
            <w:tcW w:w="1526" w:type="dxa"/>
            <w:tcBorders>
              <w:top w:val="nil"/>
              <w:left w:val="nil"/>
              <w:bottom w:val="nil"/>
              <w:right w:val="nil"/>
            </w:tcBorders>
            <w:shd w:val="clear" w:color="auto" w:fill="auto"/>
            <w:noWrap/>
            <w:vAlign w:val="center"/>
            <w:hideMark/>
          </w:tcPr>
          <w:p w14:paraId="2879132A" w14:textId="6F298C86" w:rsidR="000443FE" w:rsidRPr="005B7F92" w:rsidRDefault="000443FE" w:rsidP="006675AF">
            <w:pPr>
              <w:keepNext/>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10,763</w:t>
            </w:r>
          </w:p>
        </w:tc>
      </w:tr>
      <w:tr w:rsidR="000443FE" w:rsidRPr="005B7F92" w14:paraId="0E6E083C" w14:textId="77777777" w:rsidTr="00FA66D9">
        <w:trPr>
          <w:trHeight w:val="104"/>
          <w:jc w:val="center"/>
        </w:trPr>
        <w:tc>
          <w:tcPr>
            <w:tcW w:w="2290" w:type="dxa"/>
            <w:tcBorders>
              <w:top w:val="nil"/>
              <w:left w:val="nil"/>
              <w:bottom w:val="nil"/>
              <w:right w:val="nil"/>
            </w:tcBorders>
            <w:shd w:val="clear" w:color="auto" w:fill="auto"/>
            <w:noWrap/>
            <w:vAlign w:val="bottom"/>
            <w:hideMark/>
          </w:tcPr>
          <w:p w14:paraId="1FB6AB77" w14:textId="77777777" w:rsidR="000443FE" w:rsidRPr="005B7F92" w:rsidRDefault="000443FE" w:rsidP="001D1F3C">
            <w:pPr>
              <w:rPr>
                <w:rFonts w:ascii="Arial" w:eastAsia="ヒラギノ明朝 Pro W3"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3DDCA469" w14:textId="77777777" w:rsidR="000443FE" w:rsidRPr="005B7F92" w:rsidRDefault="000443FE" w:rsidP="001D1F3C">
            <w:pPr>
              <w:rPr>
                <w:rFonts w:ascii="Arial" w:eastAsia="ヒラギノ明朝 Pro W3"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549C221D" w14:textId="77777777" w:rsidR="000443FE" w:rsidRPr="005B7F92" w:rsidRDefault="000443FE" w:rsidP="001D1F3C">
            <w:pPr>
              <w:rPr>
                <w:rFonts w:ascii="Arial" w:eastAsia="ヒラギノ明朝 Pro W3"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04D5A7CD" w14:textId="2800E63E" w:rsidR="000443FE" w:rsidRPr="005B7F92" w:rsidRDefault="000443FE" w:rsidP="001D1F3C">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Treasury Stock</w:t>
            </w:r>
          </w:p>
        </w:tc>
        <w:tc>
          <w:tcPr>
            <w:tcW w:w="1526" w:type="dxa"/>
            <w:tcBorders>
              <w:top w:val="nil"/>
              <w:left w:val="nil"/>
              <w:bottom w:val="nil"/>
              <w:right w:val="nil"/>
            </w:tcBorders>
            <w:shd w:val="clear" w:color="auto" w:fill="auto"/>
            <w:noWrap/>
            <w:vAlign w:val="center"/>
            <w:hideMark/>
          </w:tcPr>
          <w:p w14:paraId="13932137" w14:textId="54CEB139" w:rsidR="000443FE" w:rsidRPr="005B7F92" w:rsidRDefault="006D7F98" w:rsidP="006675AF">
            <w:pPr>
              <w:jc w:val="right"/>
              <w:rPr>
                <w:rFonts w:ascii="Arial" w:eastAsia="SimSun" w:hAnsi="Arial" w:cs="Arial"/>
                <w:color w:val="000000"/>
                <w:kern w:val="0"/>
                <w:lang w:val="en-GB" w:eastAsia="zh-CN"/>
              </w:rPr>
            </w:pPr>
            <w:r>
              <w:rPr>
                <w:rFonts w:ascii="Arial" w:eastAsia="SimSun" w:hAnsi="Arial" w:cs="Arial"/>
                <w:color w:val="000000"/>
                <w:kern w:val="0"/>
                <w:lang w:val="en-GB" w:eastAsia="zh-CN"/>
              </w:rPr>
              <w:t>–</w:t>
            </w:r>
            <w:r w:rsidR="000443FE" w:rsidRPr="005B7F92">
              <w:rPr>
                <w:rFonts w:ascii="Arial" w:eastAsia="SimSun" w:hAnsi="Arial" w:cs="Arial"/>
                <w:color w:val="000000"/>
                <w:kern w:val="0"/>
                <w:lang w:val="en-GB" w:eastAsia="zh-CN"/>
              </w:rPr>
              <w:t>15,053</w:t>
            </w:r>
          </w:p>
        </w:tc>
      </w:tr>
      <w:tr w:rsidR="000443FE" w:rsidRPr="005B7F92" w14:paraId="68FC76AC" w14:textId="77777777" w:rsidTr="00FA66D9">
        <w:trPr>
          <w:trHeight w:val="248"/>
          <w:jc w:val="center"/>
        </w:trPr>
        <w:tc>
          <w:tcPr>
            <w:tcW w:w="2290" w:type="dxa"/>
            <w:tcBorders>
              <w:top w:val="nil"/>
              <w:left w:val="nil"/>
              <w:bottom w:val="nil"/>
              <w:right w:val="nil"/>
            </w:tcBorders>
            <w:shd w:val="clear" w:color="auto" w:fill="auto"/>
            <w:noWrap/>
            <w:vAlign w:val="bottom"/>
            <w:hideMark/>
          </w:tcPr>
          <w:p w14:paraId="2E3EA3B0" w14:textId="77777777" w:rsidR="000443FE" w:rsidRPr="005B7F92" w:rsidRDefault="000443FE" w:rsidP="001D1F3C">
            <w:pPr>
              <w:rPr>
                <w:rFonts w:ascii="Arial" w:eastAsia="SimSun"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341A7220" w14:textId="77777777" w:rsidR="000443FE" w:rsidRPr="005B7F92" w:rsidRDefault="000443FE" w:rsidP="001D1F3C">
            <w:pPr>
              <w:rPr>
                <w:rFonts w:ascii="Arial" w:eastAsia="SimSun"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759911A2" w14:textId="77777777" w:rsidR="000443FE" w:rsidRPr="005B7F92" w:rsidRDefault="000443FE" w:rsidP="001D1F3C">
            <w:pPr>
              <w:rPr>
                <w:rFonts w:ascii="Arial" w:eastAsia="SimSun" w:hAnsi="Arial" w:cs="Arial"/>
                <w:color w:val="000000"/>
                <w:kern w:val="0"/>
                <w:lang w:val="en-GB" w:eastAsia="zh-CN"/>
              </w:rPr>
            </w:pPr>
          </w:p>
        </w:tc>
        <w:tc>
          <w:tcPr>
            <w:tcW w:w="3131" w:type="dxa"/>
            <w:tcBorders>
              <w:top w:val="nil"/>
              <w:left w:val="nil"/>
              <w:bottom w:val="nil"/>
              <w:right w:val="nil"/>
            </w:tcBorders>
            <w:shd w:val="clear" w:color="auto" w:fill="auto"/>
            <w:noWrap/>
            <w:vAlign w:val="center"/>
            <w:hideMark/>
          </w:tcPr>
          <w:p w14:paraId="0C467628" w14:textId="169A6D1D" w:rsidR="000443FE" w:rsidRPr="005B7F92" w:rsidRDefault="000443FE" w:rsidP="001D1F3C">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Capital Surplus</w:t>
            </w:r>
          </w:p>
        </w:tc>
        <w:tc>
          <w:tcPr>
            <w:tcW w:w="1526" w:type="dxa"/>
            <w:tcBorders>
              <w:top w:val="nil"/>
              <w:left w:val="nil"/>
              <w:bottom w:val="nil"/>
              <w:right w:val="nil"/>
            </w:tcBorders>
            <w:shd w:val="clear" w:color="auto" w:fill="auto"/>
            <w:noWrap/>
            <w:vAlign w:val="center"/>
            <w:hideMark/>
          </w:tcPr>
          <w:p w14:paraId="062F8B37" w14:textId="10A4A8E4" w:rsidR="000443FE" w:rsidRPr="005B7F92" w:rsidRDefault="000443FE" w:rsidP="00490D25">
            <w:pPr>
              <w:jc w:val="righ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11,626</w:t>
            </w:r>
          </w:p>
        </w:tc>
      </w:tr>
      <w:tr w:rsidR="000443FE" w:rsidRPr="005B7F92" w14:paraId="185C607E" w14:textId="77777777" w:rsidTr="00FA66D9">
        <w:trPr>
          <w:trHeight w:val="248"/>
          <w:jc w:val="center"/>
        </w:trPr>
        <w:tc>
          <w:tcPr>
            <w:tcW w:w="2290" w:type="dxa"/>
            <w:tcBorders>
              <w:top w:val="nil"/>
              <w:left w:val="nil"/>
              <w:bottom w:val="nil"/>
              <w:right w:val="nil"/>
            </w:tcBorders>
            <w:shd w:val="clear" w:color="auto" w:fill="auto"/>
            <w:noWrap/>
            <w:vAlign w:val="bottom"/>
            <w:hideMark/>
          </w:tcPr>
          <w:p w14:paraId="38619F71" w14:textId="77777777" w:rsidR="000443FE" w:rsidRPr="005B7F92" w:rsidRDefault="000443FE" w:rsidP="001D1F3C">
            <w:pPr>
              <w:rPr>
                <w:rFonts w:ascii="Arial" w:eastAsia="SimSun"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142E8EAA" w14:textId="77777777" w:rsidR="000443FE" w:rsidRPr="005B7F92" w:rsidRDefault="000443FE" w:rsidP="001D1F3C">
            <w:pPr>
              <w:rPr>
                <w:rFonts w:ascii="Arial" w:eastAsia="SimSun"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5923D6B7" w14:textId="77777777" w:rsidR="000443FE" w:rsidRPr="005B7F92" w:rsidRDefault="000443FE" w:rsidP="001D1F3C">
            <w:pPr>
              <w:rPr>
                <w:rFonts w:ascii="Arial" w:eastAsia="SimSun" w:hAnsi="Arial" w:cs="Arial"/>
                <w:color w:val="000000"/>
                <w:kern w:val="0"/>
                <w:lang w:val="en-GB" w:eastAsia="zh-CN"/>
              </w:rPr>
            </w:pPr>
          </w:p>
        </w:tc>
        <w:tc>
          <w:tcPr>
            <w:tcW w:w="3131" w:type="dxa"/>
            <w:tcBorders>
              <w:top w:val="nil"/>
              <w:left w:val="nil"/>
              <w:right w:val="nil"/>
            </w:tcBorders>
            <w:shd w:val="clear" w:color="auto" w:fill="auto"/>
            <w:noWrap/>
            <w:vAlign w:val="center"/>
            <w:hideMark/>
          </w:tcPr>
          <w:p w14:paraId="4EF104D8" w14:textId="17EFDB4B" w:rsidR="000443FE" w:rsidRPr="005B7F92" w:rsidRDefault="000443FE" w:rsidP="001D1F3C">
            <w:pPr>
              <w:rPr>
                <w:rFonts w:ascii="Arial" w:eastAsia="SimSun" w:hAnsi="Arial" w:cs="Arial"/>
                <w:color w:val="000000"/>
                <w:kern w:val="0"/>
                <w:lang w:val="en-GB" w:eastAsia="zh-CN"/>
              </w:rPr>
            </w:pPr>
            <w:proofErr w:type="gramStart"/>
            <w:r w:rsidRPr="005B7F92">
              <w:rPr>
                <w:rFonts w:ascii="Arial" w:eastAsia="SimSun" w:hAnsi="Arial" w:cs="Arial"/>
                <w:color w:val="000000"/>
                <w:kern w:val="0"/>
                <w:lang w:val="en-GB" w:eastAsia="zh-CN"/>
              </w:rPr>
              <w:t>Other</w:t>
            </w:r>
            <w:proofErr w:type="gramEnd"/>
            <w:r w:rsidRPr="005B7F92">
              <w:rPr>
                <w:rFonts w:ascii="Arial" w:eastAsia="SimSun" w:hAnsi="Arial" w:cs="Arial"/>
                <w:color w:val="000000"/>
                <w:kern w:val="0"/>
                <w:lang w:val="en-GB" w:eastAsia="zh-CN"/>
              </w:rPr>
              <w:t xml:space="preserve"> Stockholder Equity</w:t>
            </w:r>
          </w:p>
        </w:tc>
        <w:tc>
          <w:tcPr>
            <w:tcW w:w="1526" w:type="dxa"/>
            <w:tcBorders>
              <w:top w:val="nil"/>
              <w:left w:val="nil"/>
              <w:right w:val="nil"/>
            </w:tcBorders>
            <w:shd w:val="clear" w:color="auto" w:fill="auto"/>
            <w:noWrap/>
            <w:vAlign w:val="center"/>
            <w:hideMark/>
          </w:tcPr>
          <w:p w14:paraId="0F53AE8F" w14:textId="45FB2830" w:rsidR="000443FE" w:rsidRPr="005B7F92" w:rsidRDefault="000443FE" w:rsidP="00490D25">
            <w:pPr>
              <w:jc w:val="right"/>
              <w:rPr>
                <w:rFonts w:ascii="Arial" w:eastAsia="SimSun" w:hAnsi="Arial" w:cs="Arial"/>
                <w:color w:val="000000"/>
                <w:kern w:val="0"/>
                <w:lang w:val="en-GB" w:eastAsia="zh-CN"/>
              </w:rPr>
            </w:pPr>
            <w:r w:rsidRPr="005B7F92">
              <w:rPr>
                <w:rFonts w:ascii="Courier New" w:eastAsia="SimSun" w:hAnsi="Courier New" w:cs="Courier New"/>
                <w:color w:val="000000"/>
                <w:kern w:val="0"/>
                <w:lang w:val="en-GB" w:eastAsia="zh-CN"/>
              </w:rPr>
              <w:t>-</w:t>
            </w:r>
            <w:r w:rsidRPr="005B7F92">
              <w:rPr>
                <w:rFonts w:ascii="Arial" w:eastAsia="SimSun" w:hAnsi="Arial" w:cs="Arial"/>
                <w:color w:val="000000"/>
                <w:kern w:val="0"/>
                <w:lang w:val="en-GB" w:eastAsia="zh-CN"/>
              </w:rPr>
              <w:t>2,808</w:t>
            </w:r>
          </w:p>
        </w:tc>
      </w:tr>
      <w:tr w:rsidR="000443FE" w:rsidRPr="005B7F92" w14:paraId="084FF495" w14:textId="77777777" w:rsidTr="00FA66D9">
        <w:trPr>
          <w:trHeight w:val="248"/>
          <w:jc w:val="center"/>
        </w:trPr>
        <w:tc>
          <w:tcPr>
            <w:tcW w:w="2290" w:type="dxa"/>
            <w:tcBorders>
              <w:top w:val="nil"/>
              <w:left w:val="nil"/>
              <w:bottom w:val="nil"/>
              <w:right w:val="nil"/>
            </w:tcBorders>
            <w:shd w:val="clear" w:color="auto" w:fill="auto"/>
            <w:noWrap/>
            <w:vAlign w:val="bottom"/>
            <w:hideMark/>
          </w:tcPr>
          <w:p w14:paraId="2AEE929F" w14:textId="77777777" w:rsidR="000443FE" w:rsidRPr="005B7F92" w:rsidRDefault="000443FE" w:rsidP="001D1F3C">
            <w:pPr>
              <w:rPr>
                <w:rFonts w:ascii="Arial" w:eastAsia="SimSun"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1D7BB73B" w14:textId="77777777" w:rsidR="000443FE" w:rsidRPr="005B7F92" w:rsidRDefault="000443FE" w:rsidP="001D1F3C">
            <w:pPr>
              <w:rPr>
                <w:rFonts w:ascii="Arial" w:eastAsia="SimSun"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2E310144" w14:textId="77777777" w:rsidR="000443FE" w:rsidRPr="005B7F92" w:rsidRDefault="000443FE" w:rsidP="001D1F3C">
            <w:pPr>
              <w:rPr>
                <w:rFonts w:ascii="Arial" w:eastAsia="SimSun" w:hAnsi="Arial" w:cs="Arial"/>
                <w:color w:val="000000"/>
                <w:kern w:val="0"/>
                <w:lang w:val="en-GB" w:eastAsia="zh-CN"/>
              </w:rPr>
            </w:pPr>
          </w:p>
        </w:tc>
        <w:tc>
          <w:tcPr>
            <w:tcW w:w="3131" w:type="dxa"/>
            <w:tcBorders>
              <w:top w:val="nil"/>
              <w:left w:val="nil"/>
              <w:bottom w:val="single" w:sz="4" w:space="0" w:color="auto"/>
              <w:right w:val="nil"/>
            </w:tcBorders>
            <w:shd w:val="clear" w:color="auto" w:fill="auto"/>
            <w:noWrap/>
            <w:vAlign w:val="center"/>
            <w:hideMark/>
          </w:tcPr>
          <w:p w14:paraId="290A5556" w14:textId="4F419D51" w:rsidR="000443FE" w:rsidRPr="005B7F92" w:rsidRDefault="000443FE" w:rsidP="001D1F3C">
            <w:pPr>
              <w:rPr>
                <w:rFonts w:ascii="Arial" w:eastAsia="SimSun" w:hAnsi="Arial" w:cs="Arial"/>
                <w:color w:val="000000"/>
                <w:kern w:val="0"/>
                <w:lang w:val="en-GB" w:eastAsia="zh-CN"/>
              </w:rPr>
            </w:pPr>
            <w:r w:rsidRPr="005B7F92">
              <w:rPr>
                <w:rFonts w:ascii="Arial" w:eastAsia="SimSun" w:hAnsi="Arial" w:cs="Arial"/>
                <w:b/>
                <w:bCs/>
                <w:color w:val="000000"/>
                <w:kern w:val="0"/>
                <w:lang w:val="en-GB" w:eastAsia="zh-CN"/>
              </w:rPr>
              <w:t>Total Stockholder Equity</w:t>
            </w:r>
          </w:p>
        </w:tc>
        <w:tc>
          <w:tcPr>
            <w:tcW w:w="1526" w:type="dxa"/>
            <w:tcBorders>
              <w:top w:val="nil"/>
              <w:left w:val="nil"/>
              <w:bottom w:val="single" w:sz="4" w:space="0" w:color="auto"/>
              <w:right w:val="nil"/>
            </w:tcBorders>
            <w:shd w:val="clear" w:color="auto" w:fill="auto"/>
            <w:noWrap/>
            <w:vAlign w:val="center"/>
            <w:hideMark/>
          </w:tcPr>
          <w:p w14:paraId="0C789099" w14:textId="0EFB8F29" w:rsidR="000443FE" w:rsidRPr="005B7F92" w:rsidRDefault="000443FE" w:rsidP="00490D25">
            <w:pPr>
              <w:jc w:val="right"/>
              <w:rPr>
                <w:rFonts w:ascii="Arial" w:eastAsia="SimSun" w:hAnsi="Arial" w:cs="Arial"/>
                <w:color w:val="000000"/>
                <w:kern w:val="0"/>
                <w:lang w:val="en-GB" w:eastAsia="zh-CN"/>
              </w:rPr>
            </w:pPr>
            <w:r w:rsidRPr="005B7F92">
              <w:rPr>
                <w:rFonts w:ascii="Arial" w:eastAsia="SimSun" w:hAnsi="Arial" w:cs="Arial"/>
                <w:b/>
                <w:bCs/>
                <w:color w:val="000000"/>
                <w:kern w:val="0"/>
                <w:lang w:val="en-GB" w:eastAsia="zh-CN"/>
              </w:rPr>
              <w:t>4,534</w:t>
            </w:r>
          </w:p>
        </w:tc>
      </w:tr>
      <w:tr w:rsidR="0077487D" w:rsidRPr="005B7F92" w14:paraId="391DC9B6" w14:textId="77777777" w:rsidTr="00FA66D9">
        <w:trPr>
          <w:trHeight w:val="264"/>
          <w:jc w:val="center"/>
        </w:trPr>
        <w:tc>
          <w:tcPr>
            <w:tcW w:w="2290" w:type="dxa"/>
            <w:tcBorders>
              <w:top w:val="nil"/>
              <w:left w:val="nil"/>
              <w:bottom w:val="nil"/>
              <w:right w:val="nil"/>
            </w:tcBorders>
            <w:shd w:val="clear" w:color="auto" w:fill="auto"/>
            <w:noWrap/>
            <w:vAlign w:val="bottom"/>
            <w:hideMark/>
          </w:tcPr>
          <w:p w14:paraId="7E66B80A" w14:textId="77777777" w:rsidR="0077487D" w:rsidRPr="005B7F92" w:rsidRDefault="0077487D" w:rsidP="0077487D">
            <w:pPr>
              <w:rPr>
                <w:rFonts w:ascii="Arial" w:eastAsia="SimSun" w:hAnsi="Arial" w:cs="Arial"/>
                <w:color w:val="000000"/>
                <w:kern w:val="0"/>
                <w:lang w:val="en-GB" w:eastAsia="zh-CN"/>
              </w:rPr>
            </w:pPr>
          </w:p>
        </w:tc>
        <w:tc>
          <w:tcPr>
            <w:tcW w:w="1088" w:type="dxa"/>
            <w:tcBorders>
              <w:top w:val="nil"/>
              <w:left w:val="nil"/>
              <w:bottom w:val="nil"/>
              <w:right w:val="nil"/>
            </w:tcBorders>
            <w:shd w:val="clear" w:color="auto" w:fill="auto"/>
            <w:noWrap/>
            <w:vAlign w:val="bottom"/>
            <w:hideMark/>
          </w:tcPr>
          <w:p w14:paraId="45AF5583" w14:textId="77777777" w:rsidR="0077487D" w:rsidRPr="005B7F92" w:rsidRDefault="0077487D" w:rsidP="0077487D">
            <w:pPr>
              <w:rPr>
                <w:rFonts w:ascii="Arial" w:eastAsia="SimSun" w:hAnsi="Arial" w:cs="Arial"/>
                <w:color w:val="000000"/>
                <w:kern w:val="0"/>
                <w:lang w:val="en-GB" w:eastAsia="zh-CN"/>
              </w:rPr>
            </w:pPr>
          </w:p>
        </w:tc>
        <w:tc>
          <w:tcPr>
            <w:tcW w:w="286" w:type="dxa"/>
            <w:tcBorders>
              <w:top w:val="nil"/>
              <w:left w:val="nil"/>
              <w:bottom w:val="nil"/>
              <w:right w:val="nil"/>
            </w:tcBorders>
            <w:shd w:val="clear" w:color="auto" w:fill="auto"/>
            <w:noWrap/>
            <w:vAlign w:val="bottom"/>
            <w:hideMark/>
          </w:tcPr>
          <w:p w14:paraId="7270626C" w14:textId="77777777" w:rsidR="0077487D" w:rsidRPr="005B7F92" w:rsidRDefault="0077487D" w:rsidP="0077487D">
            <w:pPr>
              <w:rPr>
                <w:rFonts w:ascii="Arial" w:eastAsia="SimSun" w:hAnsi="Arial" w:cs="Arial"/>
                <w:color w:val="000000"/>
                <w:kern w:val="0"/>
                <w:lang w:val="en-GB" w:eastAsia="zh-CN"/>
              </w:rPr>
            </w:pPr>
          </w:p>
        </w:tc>
        <w:tc>
          <w:tcPr>
            <w:tcW w:w="3131" w:type="dxa"/>
            <w:tcBorders>
              <w:top w:val="single" w:sz="8" w:space="0" w:color="auto"/>
              <w:left w:val="nil"/>
              <w:bottom w:val="double" w:sz="6" w:space="0" w:color="auto"/>
              <w:right w:val="nil"/>
            </w:tcBorders>
            <w:shd w:val="clear" w:color="auto" w:fill="auto"/>
            <w:noWrap/>
            <w:vAlign w:val="center"/>
            <w:hideMark/>
          </w:tcPr>
          <w:p w14:paraId="5C7CAF49" w14:textId="2AA1BF67" w:rsidR="0077487D" w:rsidRPr="005B7F92" w:rsidRDefault="0077487D" w:rsidP="0077487D">
            <w:pPr>
              <w:rPr>
                <w:rFonts w:ascii="Arial" w:eastAsia="SimSun" w:hAnsi="Arial" w:cs="Arial"/>
                <w:b/>
                <w:bCs/>
                <w:color w:val="000000"/>
                <w:kern w:val="0"/>
                <w:lang w:val="en-GB" w:eastAsia="zh-CN"/>
              </w:rPr>
            </w:pPr>
            <w:r w:rsidRPr="005B7F92">
              <w:rPr>
                <w:rFonts w:ascii="Arial" w:eastAsia="SimSun" w:hAnsi="Arial" w:cs="Arial"/>
                <w:b/>
                <w:color w:val="000000"/>
                <w:kern w:val="0"/>
                <w:lang w:val="en-GB" w:eastAsia="zh-CN"/>
              </w:rPr>
              <w:t>TOTAL</w:t>
            </w:r>
            <w:r>
              <w:rPr>
                <w:rFonts w:ascii="Arial" w:eastAsia="SimSun" w:hAnsi="Arial" w:cs="Arial"/>
                <w:b/>
                <w:color w:val="000000"/>
                <w:kern w:val="0"/>
                <w:lang w:val="en-GB" w:eastAsia="zh-CN"/>
              </w:rPr>
              <w:t xml:space="preserve"> LIABILITIES AND EQUITY</w:t>
            </w:r>
          </w:p>
        </w:tc>
        <w:tc>
          <w:tcPr>
            <w:tcW w:w="1526" w:type="dxa"/>
            <w:tcBorders>
              <w:top w:val="single" w:sz="8" w:space="0" w:color="auto"/>
              <w:left w:val="nil"/>
              <w:bottom w:val="double" w:sz="6" w:space="0" w:color="auto"/>
              <w:right w:val="nil"/>
            </w:tcBorders>
            <w:shd w:val="clear" w:color="auto" w:fill="auto"/>
            <w:noWrap/>
            <w:vAlign w:val="center"/>
            <w:hideMark/>
          </w:tcPr>
          <w:p w14:paraId="365D6CA5" w14:textId="3508D65B" w:rsidR="0077487D" w:rsidRPr="005B7F92" w:rsidRDefault="0077487D" w:rsidP="0077487D">
            <w:pPr>
              <w:jc w:val="right"/>
              <w:rPr>
                <w:rFonts w:ascii="Arial" w:eastAsia="SimSun" w:hAnsi="Arial" w:cs="Arial"/>
                <w:b/>
                <w:bCs/>
                <w:color w:val="000000"/>
                <w:kern w:val="0"/>
                <w:lang w:val="en-GB" w:eastAsia="zh-CN"/>
              </w:rPr>
            </w:pPr>
            <w:r w:rsidRPr="005B7F92">
              <w:rPr>
                <w:rFonts w:ascii="Arial" w:eastAsia="SimSun" w:hAnsi="Arial" w:cs="Arial"/>
                <w:b/>
                <w:color w:val="000000"/>
                <w:kern w:val="0"/>
                <w:lang w:val="en-GB" w:eastAsia="zh-CN"/>
              </w:rPr>
              <w:t>19,736</w:t>
            </w:r>
          </w:p>
        </w:tc>
      </w:tr>
    </w:tbl>
    <w:p w14:paraId="47BF768A" w14:textId="77777777" w:rsidR="001E4A5E" w:rsidRPr="00FA66D9" w:rsidRDefault="001E4A5E" w:rsidP="00933E4B">
      <w:pPr>
        <w:pStyle w:val="BodyTextMain"/>
        <w:rPr>
          <w:sz w:val="4"/>
          <w:szCs w:val="4"/>
          <w:lang w:val="en-GB"/>
        </w:rPr>
      </w:pPr>
    </w:p>
    <w:p w14:paraId="17336CCB" w14:textId="605B4F80" w:rsidR="001E4A5E" w:rsidRPr="006D26F2" w:rsidRDefault="00E71453" w:rsidP="006D26F2">
      <w:pPr>
        <w:pStyle w:val="Footnote"/>
      </w:pPr>
      <w:r w:rsidRPr="006D26F2">
        <w:t>Source</w:t>
      </w:r>
      <w:r w:rsidR="00FE196E" w:rsidRPr="006D26F2">
        <w:t xml:space="preserve">: Created by the case authors based on </w:t>
      </w:r>
      <w:r w:rsidR="00910763" w:rsidRPr="006D26F2">
        <w:t>Monsanto 2016 Financial Report</w:t>
      </w:r>
      <w:r w:rsidR="00FE196E" w:rsidRPr="006D26F2">
        <w:t xml:space="preserve">, accessed </w:t>
      </w:r>
      <w:r w:rsidR="00910763" w:rsidRPr="006D26F2">
        <w:t>October 6</w:t>
      </w:r>
      <w:r w:rsidR="00FE196E" w:rsidRPr="006D26F2">
        <w:t xml:space="preserve">, 2017, </w:t>
      </w:r>
      <w:r w:rsidR="00910763" w:rsidRPr="006D26F2">
        <w:t>https://monsanto.com/app/uploads/2017/05/2016_monsanto_annual_report.pdf.</w:t>
      </w:r>
    </w:p>
    <w:p w14:paraId="2AE1675D" w14:textId="77777777" w:rsidR="001E4A5E" w:rsidRDefault="001E4A5E" w:rsidP="00FA66D9">
      <w:pPr>
        <w:pStyle w:val="ExhibitText"/>
        <w:rPr>
          <w:lang w:val="en-GB"/>
        </w:rPr>
      </w:pPr>
    </w:p>
    <w:p w14:paraId="59F8C995" w14:textId="77777777" w:rsidR="00D35E9A" w:rsidRPr="002E5CD8" w:rsidRDefault="00D35E9A" w:rsidP="00FA66D9">
      <w:pPr>
        <w:pStyle w:val="ExhibitText"/>
        <w:rPr>
          <w:lang w:val="en-GB"/>
        </w:rPr>
      </w:pPr>
    </w:p>
    <w:p w14:paraId="6F9B3FF6" w14:textId="357B65AF" w:rsidR="00B00272" w:rsidRPr="005B7F92" w:rsidRDefault="001F4B2F" w:rsidP="007376A3">
      <w:pPr>
        <w:spacing w:after="200" w:line="276" w:lineRule="auto"/>
        <w:rPr>
          <w:rFonts w:ascii="Arial" w:hAnsi="Arial" w:cs="Arial"/>
          <w:b/>
          <w:color w:val="1C1C1C"/>
          <w:lang w:val="en-GB" w:eastAsia="zh-CN"/>
        </w:rPr>
      </w:pPr>
      <w:r w:rsidRPr="005B7F92">
        <w:rPr>
          <w:rFonts w:ascii="Arial" w:hAnsi="Arial" w:cs="Arial"/>
          <w:b/>
          <w:color w:val="1C1C1C"/>
          <w:lang w:val="en-GB" w:eastAsia="zh-CN"/>
        </w:rPr>
        <w:t>EXHIBIT 4</w:t>
      </w:r>
      <w:r w:rsidR="00B00272" w:rsidRPr="005B7F92">
        <w:rPr>
          <w:rFonts w:ascii="Arial" w:hAnsi="Arial" w:cs="Arial"/>
          <w:b/>
          <w:color w:val="1C1C1C"/>
          <w:lang w:val="en-GB" w:eastAsia="zh-CN"/>
        </w:rPr>
        <w:t xml:space="preserve">: </w:t>
      </w:r>
      <w:r w:rsidR="00513835" w:rsidRPr="005B7F92">
        <w:rPr>
          <w:rFonts w:ascii="Arial" w:hAnsi="Arial" w:cs="Arial"/>
          <w:b/>
          <w:color w:val="1C1C1C"/>
          <w:lang w:val="en-GB" w:eastAsia="zh-CN"/>
        </w:rPr>
        <w:t xml:space="preserve">BAYER AND MONSANTO </w:t>
      </w:r>
      <w:r w:rsidR="00B00272" w:rsidRPr="005B7F92">
        <w:rPr>
          <w:rFonts w:ascii="Arial" w:hAnsi="Arial" w:cs="Arial"/>
          <w:b/>
          <w:color w:val="1C1C1C"/>
          <w:lang w:val="en-GB" w:eastAsia="zh-CN"/>
        </w:rPr>
        <w:t>PRODUCT PORTFOLIO</w:t>
      </w:r>
      <w:r w:rsidR="00F92734">
        <w:rPr>
          <w:rFonts w:ascii="Arial" w:hAnsi="Arial" w:cs="Arial"/>
          <w:b/>
          <w:color w:val="1C1C1C"/>
          <w:lang w:val="en-GB" w:eastAsia="zh-CN"/>
        </w:rPr>
        <w:t>S</w:t>
      </w:r>
      <w:r w:rsidR="00B00272" w:rsidRPr="005B7F92">
        <w:rPr>
          <w:rFonts w:ascii="Arial" w:hAnsi="Arial" w:cs="Arial"/>
          <w:b/>
          <w:color w:val="1C1C1C"/>
          <w:lang w:val="en-GB" w:eastAsia="zh-CN"/>
        </w:rPr>
        <w:t xml:space="preserve"> AND GEOGRAPHICAL COVERAGE</w:t>
      </w:r>
    </w:p>
    <w:p w14:paraId="23460F16" w14:textId="77777777" w:rsidR="001E4A5E" w:rsidRPr="006D26F2" w:rsidRDefault="001E4A5E" w:rsidP="00FA66D9">
      <w:pPr>
        <w:pStyle w:val="ExhibitText"/>
        <w:rPr>
          <w:sz w:val="4"/>
          <w:szCs w:val="4"/>
          <w:lang w:val="en-GB" w:eastAsia="zh-CN"/>
        </w:rPr>
      </w:pPr>
    </w:p>
    <w:tbl>
      <w:tblPr>
        <w:tblW w:w="7810" w:type="dxa"/>
        <w:jc w:val="center"/>
        <w:tblLook w:val="04A0" w:firstRow="1" w:lastRow="0" w:firstColumn="1" w:lastColumn="0" w:noHBand="0" w:noVBand="1"/>
      </w:tblPr>
      <w:tblGrid>
        <w:gridCol w:w="2288"/>
        <w:gridCol w:w="1282"/>
        <w:gridCol w:w="374"/>
        <w:gridCol w:w="2624"/>
        <w:gridCol w:w="1242"/>
      </w:tblGrid>
      <w:tr w:rsidR="001E4A5E" w:rsidRPr="005B7F92" w14:paraId="0A0D0C68" w14:textId="77777777" w:rsidTr="00FA66D9">
        <w:trPr>
          <w:trHeight w:val="453"/>
          <w:jc w:val="center"/>
        </w:trPr>
        <w:tc>
          <w:tcPr>
            <w:tcW w:w="2288" w:type="dxa"/>
            <w:tcBorders>
              <w:top w:val="single" w:sz="4" w:space="0" w:color="auto"/>
              <w:left w:val="nil"/>
              <w:bottom w:val="single" w:sz="4" w:space="0" w:color="auto"/>
              <w:right w:val="nil"/>
            </w:tcBorders>
            <w:shd w:val="clear" w:color="auto" w:fill="auto"/>
            <w:vAlign w:val="bottom"/>
            <w:hideMark/>
          </w:tcPr>
          <w:p w14:paraId="72EBBB53" w14:textId="77777777" w:rsidR="001E4A5E" w:rsidRPr="005B7F92" w:rsidRDefault="001E4A5E" w:rsidP="00FD09D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Bayer Product Portfolio</w:t>
            </w:r>
          </w:p>
        </w:tc>
        <w:tc>
          <w:tcPr>
            <w:tcW w:w="1282" w:type="dxa"/>
            <w:tcBorders>
              <w:top w:val="single" w:sz="4" w:space="0" w:color="auto"/>
              <w:left w:val="nil"/>
              <w:bottom w:val="single" w:sz="4" w:space="0" w:color="auto"/>
              <w:right w:val="nil"/>
            </w:tcBorders>
            <w:shd w:val="clear" w:color="auto" w:fill="auto"/>
            <w:vAlign w:val="bottom"/>
            <w:hideMark/>
          </w:tcPr>
          <w:p w14:paraId="587E6712" w14:textId="77777777" w:rsidR="001E4A5E" w:rsidRPr="005B7F92" w:rsidRDefault="001E4A5E" w:rsidP="00FD09DB">
            <w:pPr>
              <w:keepNext/>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 of Total Sales</w:t>
            </w:r>
          </w:p>
        </w:tc>
        <w:tc>
          <w:tcPr>
            <w:tcW w:w="374" w:type="dxa"/>
            <w:tcBorders>
              <w:top w:val="nil"/>
              <w:left w:val="nil"/>
              <w:bottom w:val="nil"/>
              <w:right w:val="nil"/>
            </w:tcBorders>
            <w:shd w:val="clear" w:color="auto" w:fill="auto"/>
            <w:vAlign w:val="bottom"/>
            <w:hideMark/>
          </w:tcPr>
          <w:p w14:paraId="04450A90" w14:textId="77777777" w:rsidR="001E4A5E" w:rsidRPr="005B7F92" w:rsidRDefault="001E4A5E" w:rsidP="00FD09DB">
            <w:pPr>
              <w:keepNext/>
              <w:jc w:val="center"/>
              <w:rPr>
                <w:rFonts w:ascii="Arial" w:eastAsia="SimSun" w:hAnsi="Arial" w:cs="Arial"/>
                <w:color w:val="000000"/>
                <w:kern w:val="0"/>
                <w:lang w:val="en-GB" w:eastAsia="zh-CN"/>
              </w:rPr>
            </w:pPr>
          </w:p>
        </w:tc>
        <w:tc>
          <w:tcPr>
            <w:tcW w:w="2624" w:type="dxa"/>
            <w:tcBorders>
              <w:top w:val="single" w:sz="4" w:space="0" w:color="auto"/>
              <w:left w:val="nil"/>
              <w:bottom w:val="single" w:sz="4" w:space="0" w:color="auto"/>
              <w:right w:val="nil"/>
            </w:tcBorders>
            <w:shd w:val="clear" w:color="auto" w:fill="auto"/>
            <w:vAlign w:val="bottom"/>
            <w:hideMark/>
          </w:tcPr>
          <w:p w14:paraId="67B2F4CD" w14:textId="77777777" w:rsidR="001E4A5E" w:rsidRPr="005B7F92" w:rsidRDefault="001E4A5E" w:rsidP="00FD09D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Monsanto Product Portfolio</w:t>
            </w:r>
          </w:p>
        </w:tc>
        <w:tc>
          <w:tcPr>
            <w:tcW w:w="1242" w:type="dxa"/>
            <w:tcBorders>
              <w:top w:val="single" w:sz="4" w:space="0" w:color="auto"/>
              <w:left w:val="nil"/>
              <w:bottom w:val="single" w:sz="4" w:space="0" w:color="auto"/>
              <w:right w:val="nil"/>
            </w:tcBorders>
            <w:shd w:val="clear" w:color="auto" w:fill="auto"/>
            <w:vAlign w:val="bottom"/>
            <w:hideMark/>
          </w:tcPr>
          <w:p w14:paraId="5766490B" w14:textId="77777777" w:rsidR="001E4A5E" w:rsidRPr="005B7F92" w:rsidRDefault="001E4A5E" w:rsidP="00FD09DB">
            <w:pPr>
              <w:keepNext/>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 of Total Sales</w:t>
            </w:r>
          </w:p>
        </w:tc>
      </w:tr>
      <w:tr w:rsidR="001E4A5E" w:rsidRPr="005B7F92" w14:paraId="556430BE" w14:textId="77777777" w:rsidTr="00FA66D9">
        <w:trPr>
          <w:trHeight w:val="265"/>
          <w:jc w:val="center"/>
        </w:trPr>
        <w:tc>
          <w:tcPr>
            <w:tcW w:w="2288" w:type="dxa"/>
            <w:tcBorders>
              <w:top w:val="nil"/>
              <w:left w:val="nil"/>
              <w:bottom w:val="nil"/>
              <w:right w:val="nil"/>
            </w:tcBorders>
            <w:shd w:val="clear" w:color="auto" w:fill="auto"/>
            <w:vAlign w:val="bottom"/>
            <w:hideMark/>
          </w:tcPr>
          <w:p w14:paraId="31A1AA5A"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Seeds</w:t>
            </w:r>
          </w:p>
        </w:tc>
        <w:tc>
          <w:tcPr>
            <w:tcW w:w="1282" w:type="dxa"/>
            <w:tcBorders>
              <w:top w:val="nil"/>
              <w:left w:val="nil"/>
              <w:bottom w:val="nil"/>
              <w:right w:val="nil"/>
            </w:tcBorders>
            <w:shd w:val="clear" w:color="auto" w:fill="auto"/>
            <w:vAlign w:val="bottom"/>
            <w:hideMark/>
          </w:tcPr>
          <w:p w14:paraId="22111DDB"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15</w:t>
            </w:r>
          </w:p>
        </w:tc>
        <w:tc>
          <w:tcPr>
            <w:tcW w:w="374" w:type="dxa"/>
            <w:tcBorders>
              <w:top w:val="nil"/>
              <w:left w:val="nil"/>
              <w:bottom w:val="nil"/>
              <w:right w:val="nil"/>
            </w:tcBorders>
            <w:shd w:val="clear" w:color="auto" w:fill="auto"/>
            <w:vAlign w:val="bottom"/>
            <w:hideMark/>
          </w:tcPr>
          <w:p w14:paraId="05B32843" w14:textId="77777777" w:rsidR="001E4A5E" w:rsidRPr="005B7F92" w:rsidRDefault="001E4A5E" w:rsidP="00FD09DB">
            <w:pPr>
              <w:keepNext/>
              <w:jc w:val="center"/>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451C53AD"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Seeds and Genomics</w:t>
            </w:r>
          </w:p>
        </w:tc>
        <w:tc>
          <w:tcPr>
            <w:tcW w:w="1242" w:type="dxa"/>
            <w:tcBorders>
              <w:top w:val="nil"/>
              <w:left w:val="nil"/>
              <w:bottom w:val="nil"/>
              <w:right w:val="nil"/>
            </w:tcBorders>
            <w:shd w:val="clear" w:color="auto" w:fill="auto"/>
            <w:vAlign w:val="bottom"/>
            <w:hideMark/>
          </w:tcPr>
          <w:p w14:paraId="6AC2FCAC"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74</w:t>
            </w:r>
          </w:p>
        </w:tc>
      </w:tr>
      <w:tr w:rsidR="001E4A5E" w:rsidRPr="005B7F92" w14:paraId="5DCF5F39" w14:textId="77777777" w:rsidTr="00FA66D9">
        <w:trPr>
          <w:trHeight w:val="135"/>
          <w:jc w:val="center"/>
        </w:trPr>
        <w:tc>
          <w:tcPr>
            <w:tcW w:w="2288" w:type="dxa"/>
            <w:tcBorders>
              <w:top w:val="nil"/>
              <w:left w:val="nil"/>
              <w:bottom w:val="single" w:sz="4" w:space="0" w:color="auto"/>
              <w:right w:val="nil"/>
            </w:tcBorders>
            <w:shd w:val="clear" w:color="auto" w:fill="auto"/>
            <w:vAlign w:val="bottom"/>
            <w:hideMark/>
          </w:tcPr>
          <w:p w14:paraId="7FAED631"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Crop Protection</w:t>
            </w:r>
          </w:p>
        </w:tc>
        <w:tc>
          <w:tcPr>
            <w:tcW w:w="1282" w:type="dxa"/>
            <w:tcBorders>
              <w:top w:val="nil"/>
              <w:left w:val="nil"/>
              <w:bottom w:val="single" w:sz="4" w:space="0" w:color="auto"/>
              <w:right w:val="nil"/>
            </w:tcBorders>
            <w:shd w:val="clear" w:color="auto" w:fill="auto"/>
            <w:vAlign w:val="bottom"/>
            <w:hideMark/>
          </w:tcPr>
          <w:p w14:paraId="715C0897"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85</w:t>
            </w:r>
          </w:p>
        </w:tc>
        <w:tc>
          <w:tcPr>
            <w:tcW w:w="374" w:type="dxa"/>
            <w:tcBorders>
              <w:top w:val="nil"/>
              <w:left w:val="nil"/>
              <w:bottom w:val="nil"/>
              <w:right w:val="nil"/>
            </w:tcBorders>
            <w:shd w:val="clear" w:color="auto" w:fill="auto"/>
            <w:vAlign w:val="bottom"/>
            <w:hideMark/>
          </w:tcPr>
          <w:p w14:paraId="72C26D2F" w14:textId="77777777" w:rsidR="001E4A5E" w:rsidRPr="005B7F92" w:rsidRDefault="001E4A5E" w:rsidP="00FD09DB">
            <w:pPr>
              <w:keepNext/>
              <w:jc w:val="center"/>
              <w:rPr>
                <w:rFonts w:ascii="Arial" w:eastAsia="SimSun" w:hAnsi="Arial" w:cs="Arial"/>
                <w:color w:val="000000"/>
                <w:kern w:val="0"/>
                <w:lang w:val="en-GB" w:eastAsia="zh-CN"/>
              </w:rPr>
            </w:pPr>
          </w:p>
        </w:tc>
        <w:tc>
          <w:tcPr>
            <w:tcW w:w="2624" w:type="dxa"/>
            <w:tcBorders>
              <w:top w:val="nil"/>
              <w:left w:val="nil"/>
              <w:bottom w:val="single" w:sz="4" w:space="0" w:color="auto"/>
              <w:right w:val="nil"/>
            </w:tcBorders>
            <w:shd w:val="clear" w:color="auto" w:fill="auto"/>
            <w:vAlign w:val="bottom"/>
            <w:hideMark/>
          </w:tcPr>
          <w:p w14:paraId="27E3864F"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Agricultural Productivity</w:t>
            </w:r>
          </w:p>
        </w:tc>
        <w:tc>
          <w:tcPr>
            <w:tcW w:w="1242" w:type="dxa"/>
            <w:tcBorders>
              <w:top w:val="nil"/>
              <w:left w:val="nil"/>
              <w:bottom w:val="single" w:sz="4" w:space="0" w:color="auto"/>
              <w:right w:val="nil"/>
            </w:tcBorders>
            <w:shd w:val="clear" w:color="auto" w:fill="auto"/>
            <w:vAlign w:val="bottom"/>
            <w:hideMark/>
          </w:tcPr>
          <w:p w14:paraId="5EA43D45"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26</w:t>
            </w:r>
          </w:p>
        </w:tc>
      </w:tr>
      <w:tr w:rsidR="001E4A5E" w:rsidRPr="005B7F92" w14:paraId="06689AF2" w14:textId="77777777" w:rsidTr="00FA66D9">
        <w:trPr>
          <w:trHeight w:val="174"/>
          <w:jc w:val="center"/>
        </w:trPr>
        <w:tc>
          <w:tcPr>
            <w:tcW w:w="2288" w:type="dxa"/>
            <w:tcBorders>
              <w:top w:val="nil"/>
              <w:left w:val="nil"/>
              <w:bottom w:val="nil"/>
              <w:right w:val="nil"/>
            </w:tcBorders>
            <w:shd w:val="clear" w:color="auto" w:fill="auto"/>
            <w:vAlign w:val="bottom"/>
            <w:hideMark/>
          </w:tcPr>
          <w:p w14:paraId="778501C5" w14:textId="77777777" w:rsidR="001E4A5E" w:rsidRPr="005B7F92" w:rsidRDefault="001E4A5E" w:rsidP="00FD09DB">
            <w:pPr>
              <w:keepNext/>
              <w:rPr>
                <w:rFonts w:ascii="Arial" w:eastAsia="SimSun" w:hAnsi="Arial" w:cs="Arial"/>
                <w:color w:val="000000"/>
                <w:kern w:val="0"/>
                <w:lang w:val="en-GB" w:eastAsia="zh-CN"/>
              </w:rPr>
            </w:pPr>
          </w:p>
        </w:tc>
        <w:tc>
          <w:tcPr>
            <w:tcW w:w="1282" w:type="dxa"/>
            <w:tcBorders>
              <w:top w:val="nil"/>
              <w:left w:val="nil"/>
              <w:bottom w:val="nil"/>
              <w:right w:val="nil"/>
            </w:tcBorders>
            <w:shd w:val="clear" w:color="auto" w:fill="auto"/>
            <w:vAlign w:val="bottom"/>
            <w:hideMark/>
          </w:tcPr>
          <w:p w14:paraId="44A1CA44" w14:textId="77777777" w:rsidR="001E4A5E" w:rsidRPr="005B7F92" w:rsidRDefault="001E4A5E" w:rsidP="00FD09DB">
            <w:pPr>
              <w:keepNext/>
              <w:rPr>
                <w:rFonts w:ascii="Arial" w:eastAsia="SimSun" w:hAnsi="Arial" w:cs="Arial"/>
                <w:color w:val="000000"/>
                <w:kern w:val="0"/>
                <w:lang w:val="en-GB" w:eastAsia="zh-CN"/>
              </w:rPr>
            </w:pPr>
          </w:p>
        </w:tc>
        <w:tc>
          <w:tcPr>
            <w:tcW w:w="374" w:type="dxa"/>
            <w:tcBorders>
              <w:top w:val="nil"/>
              <w:left w:val="nil"/>
              <w:bottom w:val="nil"/>
              <w:right w:val="nil"/>
            </w:tcBorders>
            <w:shd w:val="clear" w:color="auto" w:fill="auto"/>
            <w:vAlign w:val="bottom"/>
            <w:hideMark/>
          </w:tcPr>
          <w:p w14:paraId="0DD97B88"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6B64C84D" w14:textId="77777777" w:rsidR="001E4A5E" w:rsidRPr="005B7F92" w:rsidRDefault="001E4A5E" w:rsidP="00FD09DB">
            <w:pPr>
              <w:keepNext/>
              <w:rPr>
                <w:rFonts w:ascii="Arial" w:eastAsia="SimSun" w:hAnsi="Arial" w:cs="Arial"/>
                <w:color w:val="000000"/>
                <w:kern w:val="0"/>
                <w:lang w:val="en-GB" w:eastAsia="zh-CN"/>
              </w:rPr>
            </w:pPr>
          </w:p>
        </w:tc>
        <w:tc>
          <w:tcPr>
            <w:tcW w:w="1242" w:type="dxa"/>
            <w:tcBorders>
              <w:top w:val="nil"/>
              <w:left w:val="nil"/>
              <w:bottom w:val="nil"/>
              <w:right w:val="nil"/>
            </w:tcBorders>
            <w:shd w:val="clear" w:color="auto" w:fill="auto"/>
            <w:vAlign w:val="bottom"/>
            <w:hideMark/>
          </w:tcPr>
          <w:p w14:paraId="14651F25" w14:textId="77777777" w:rsidR="001E4A5E" w:rsidRPr="005B7F92" w:rsidRDefault="001E4A5E" w:rsidP="00FD09DB">
            <w:pPr>
              <w:keepNext/>
              <w:rPr>
                <w:rFonts w:ascii="Arial" w:eastAsia="SimSun" w:hAnsi="Arial" w:cs="Arial"/>
                <w:color w:val="000000"/>
                <w:kern w:val="0"/>
                <w:lang w:val="en-GB" w:eastAsia="zh-CN"/>
              </w:rPr>
            </w:pPr>
          </w:p>
        </w:tc>
      </w:tr>
      <w:tr w:rsidR="001E4A5E" w:rsidRPr="005B7F92" w14:paraId="7F532CE0" w14:textId="77777777" w:rsidTr="00FA66D9">
        <w:trPr>
          <w:trHeight w:val="436"/>
          <w:jc w:val="center"/>
        </w:trPr>
        <w:tc>
          <w:tcPr>
            <w:tcW w:w="2288" w:type="dxa"/>
            <w:tcBorders>
              <w:top w:val="single" w:sz="4" w:space="0" w:color="auto"/>
              <w:left w:val="nil"/>
              <w:bottom w:val="single" w:sz="4" w:space="0" w:color="auto"/>
              <w:right w:val="nil"/>
            </w:tcBorders>
            <w:shd w:val="clear" w:color="auto" w:fill="auto"/>
            <w:vAlign w:val="bottom"/>
            <w:hideMark/>
          </w:tcPr>
          <w:p w14:paraId="760CFAD8" w14:textId="77777777" w:rsidR="001E4A5E" w:rsidRPr="005B7F92" w:rsidRDefault="001E4A5E" w:rsidP="00FD09D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Bayer Geographical Coverage</w:t>
            </w:r>
          </w:p>
        </w:tc>
        <w:tc>
          <w:tcPr>
            <w:tcW w:w="1282" w:type="dxa"/>
            <w:tcBorders>
              <w:top w:val="single" w:sz="4" w:space="0" w:color="auto"/>
              <w:left w:val="nil"/>
              <w:bottom w:val="single" w:sz="4" w:space="0" w:color="auto"/>
              <w:right w:val="nil"/>
            </w:tcBorders>
            <w:shd w:val="clear" w:color="auto" w:fill="auto"/>
            <w:vAlign w:val="bottom"/>
            <w:hideMark/>
          </w:tcPr>
          <w:p w14:paraId="6B0034DD" w14:textId="77777777" w:rsidR="001E4A5E" w:rsidRPr="005B7F92" w:rsidRDefault="001E4A5E" w:rsidP="00FD09DB">
            <w:pPr>
              <w:keepNext/>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 of Total Sales</w:t>
            </w:r>
          </w:p>
        </w:tc>
        <w:tc>
          <w:tcPr>
            <w:tcW w:w="374" w:type="dxa"/>
            <w:tcBorders>
              <w:top w:val="nil"/>
              <w:left w:val="nil"/>
              <w:bottom w:val="nil"/>
              <w:right w:val="nil"/>
            </w:tcBorders>
            <w:shd w:val="clear" w:color="auto" w:fill="auto"/>
            <w:vAlign w:val="bottom"/>
            <w:hideMark/>
          </w:tcPr>
          <w:p w14:paraId="01F900FE"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single" w:sz="4" w:space="0" w:color="auto"/>
              <w:left w:val="nil"/>
              <w:bottom w:val="single" w:sz="4" w:space="0" w:color="auto"/>
              <w:right w:val="nil"/>
            </w:tcBorders>
            <w:shd w:val="clear" w:color="auto" w:fill="auto"/>
            <w:vAlign w:val="bottom"/>
            <w:hideMark/>
          </w:tcPr>
          <w:p w14:paraId="48A7C9BE" w14:textId="77777777" w:rsidR="001E4A5E" w:rsidRPr="005B7F92" w:rsidRDefault="001E4A5E" w:rsidP="00FD09DB">
            <w:pPr>
              <w:keepNext/>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Monsanto Geographical Coverage</w:t>
            </w:r>
          </w:p>
        </w:tc>
        <w:tc>
          <w:tcPr>
            <w:tcW w:w="1242" w:type="dxa"/>
            <w:tcBorders>
              <w:top w:val="single" w:sz="4" w:space="0" w:color="auto"/>
              <w:left w:val="nil"/>
              <w:bottom w:val="single" w:sz="4" w:space="0" w:color="auto"/>
              <w:right w:val="nil"/>
            </w:tcBorders>
            <w:shd w:val="clear" w:color="auto" w:fill="auto"/>
            <w:vAlign w:val="bottom"/>
            <w:hideMark/>
          </w:tcPr>
          <w:p w14:paraId="67F36413" w14:textId="77777777" w:rsidR="001E4A5E" w:rsidRPr="005B7F92" w:rsidRDefault="001E4A5E" w:rsidP="00FD09DB">
            <w:pPr>
              <w:keepNext/>
              <w:jc w:val="center"/>
              <w:rPr>
                <w:rFonts w:ascii="Arial" w:eastAsia="SimSun" w:hAnsi="Arial" w:cs="Arial"/>
                <w:b/>
                <w:bCs/>
                <w:color w:val="000000"/>
                <w:kern w:val="0"/>
                <w:lang w:val="en-GB" w:eastAsia="zh-CN"/>
              </w:rPr>
            </w:pPr>
            <w:r w:rsidRPr="005B7F92">
              <w:rPr>
                <w:rFonts w:ascii="Arial" w:eastAsia="SimSun" w:hAnsi="Arial" w:cs="Arial"/>
                <w:b/>
                <w:bCs/>
                <w:color w:val="000000"/>
                <w:kern w:val="0"/>
                <w:lang w:val="en-GB" w:eastAsia="zh-CN"/>
              </w:rPr>
              <w:t>% of Total Sales</w:t>
            </w:r>
          </w:p>
        </w:tc>
      </w:tr>
      <w:tr w:rsidR="001E4A5E" w:rsidRPr="005B7F92" w14:paraId="3801F6CA" w14:textId="77777777" w:rsidTr="00FA66D9">
        <w:trPr>
          <w:trHeight w:val="397"/>
          <w:jc w:val="center"/>
        </w:trPr>
        <w:tc>
          <w:tcPr>
            <w:tcW w:w="2288" w:type="dxa"/>
            <w:tcBorders>
              <w:top w:val="nil"/>
              <w:left w:val="nil"/>
              <w:bottom w:val="nil"/>
              <w:right w:val="nil"/>
            </w:tcBorders>
            <w:shd w:val="clear" w:color="auto" w:fill="auto"/>
            <w:vAlign w:val="bottom"/>
            <w:hideMark/>
          </w:tcPr>
          <w:p w14:paraId="34ED96DF" w14:textId="303A1344"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Europe/Middle East/ Africa</w:t>
            </w:r>
          </w:p>
        </w:tc>
        <w:tc>
          <w:tcPr>
            <w:tcW w:w="1282" w:type="dxa"/>
            <w:tcBorders>
              <w:top w:val="nil"/>
              <w:left w:val="nil"/>
              <w:bottom w:val="nil"/>
              <w:right w:val="nil"/>
            </w:tcBorders>
            <w:shd w:val="clear" w:color="auto" w:fill="auto"/>
            <w:vAlign w:val="bottom"/>
            <w:hideMark/>
          </w:tcPr>
          <w:p w14:paraId="19C1A87B"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33</w:t>
            </w:r>
          </w:p>
        </w:tc>
        <w:tc>
          <w:tcPr>
            <w:tcW w:w="374" w:type="dxa"/>
            <w:tcBorders>
              <w:top w:val="nil"/>
              <w:left w:val="nil"/>
              <w:bottom w:val="nil"/>
              <w:right w:val="nil"/>
            </w:tcBorders>
            <w:shd w:val="clear" w:color="auto" w:fill="auto"/>
            <w:vAlign w:val="bottom"/>
            <w:hideMark/>
          </w:tcPr>
          <w:p w14:paraId="35692464"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1DA5E287" w14:textId="3F01DA9D"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Europe/Africa</w:t>
            </w:r>
          </w:p>
        </w:tc>
        <w:tc>
          <w:tcPr>
            <w:tcW w:w="1242" w:type="dxa"/>
            <w:tcBorders>
              <w:top w:val="nil"/>
              <w:left w:val="nil"/>
              <w:bottom w:val="nil"/>
              <w:right w:val="nil"/>
            </w:tcBorders>
            <w:shd w:val="clear" w:color="auto" w:fill="auto"/>
            <w:vAlign w:val="bottom"/>
            <w:hideMark/>
          </w:tcPr>
          <w:p w14:paraId="7FF0127B"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11</w:t>
            </w:r>
          </w:p>
        </w:tc>
      </w:tr>
      <w:tr w:rsidR="001E4A5E" w:rsidRPr="005B7F92" w14:paraId="424D04FF" w14:textId="77777777" w:rsidTr="00FA66D9">
        <w:trPr>
          <w:trHeight w:val="265"/>
          <w:jc w:val="center"/>
        </w:trPr>
        <w:tc>
          <w:tcPr>
            <w:tcW w:w="2288" w:type="dxa"/>
            <w:tcBorders>
              <w:top w:val="nil"/>
              <w:left w:val="nil"/>
              <w:bottom w:val="nil"/>
              <w:right w:val="nil"/>
            </w:tcBorders>
            <w:shd w:val="clear" w:color="auto" w:fill="auto"/>
            <w:vAlign w:val="bottom"/>
            <w:hideMark/>
          </w:tcPr>
          <w:p w14:paraId="3E6571D5"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North America</w:t>
            </w:r>
          </w:p>
        </w:tc>
        <w:tc>
          <w:tcPr>
            <w:tcW w:w="1282" w:type="dxa"/>
            <w:tcBorders>
              <w:top w:val="nil"/>
              <w:left w:val="nil"/>
              <w:bottom w:val="nil"/>
              <w:right w:val="nil"/>
            </w:tcBorders>
            <w:shd w:val="clear" w:color="auto" w:fill="auto"/>
            <w:vAlign w:val="bottom"/>
            <w:hideMark/>
          </w:tcPr>
          <w:p w14:paraId="54CCD909"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26</w:t>
            </w:r>
          </w:p>
        </w:tc>
        <w:tc>
          <w:tcPr>
            <w:tcW w:w="374" w:type="dxa"/>
            <w:tcBorders>
              <w:top w:val="nil"/>
              <w:left w:val="nil"/>
              <w:bottom w:val="nil"/>
              <w:right w:val="nil"/>
            </w:tcBorders>
            <w:shd w:val="clear" w:color="auto" w:fill="auto"/>
            <w:vAlign w:val="bottom"/>
            <w:hideMark/>
          </w:tcPr>
          <w:p w14:paraId="51AF143F"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44A896E5"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North America</w:t>
            </w:r>
          </w:p>
        </w:tc>
        <w:tc>
          <w:tcPr>
            <w:tcW w:w="1242" w:type="dxa"/>
            <w:tcBorders>
              <w:top w:val="nil"/>
              <w:left w:val="nil"/>
              <w:bottom w:val="nil"/>
              <w:right w:val="nil"/>
            </w:tcBorders>
            <w:shd w:val="clear" w:color="auto" w:fill="auto"/>
            <w:vAlign w:val="bottom"/>
            <w:hideMark/>
          </w:tcPr>
          <w:p w14:paraId="12B19926"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64</w:t>
            </w:r>
          </w:p>
        </w:tc>
      </w:tr>
      <w:tr w:rsidR="001E4A5E" w:rsidRPr="005B7F92" w14:paraId="46F7B941" w14:textId="77777777" w:rsidTr="00FA66D9">
        <w:trPr>
          <w:trHeight w:val="265"/>
          <w:jc w:val="center"/>
        </w:trPr>
        <w:tc>
          <w:tcPr>
            <w:tcW w:w="2288" w:type="dxa"/>
            <w:tcBorders>
              <w:top w:val="nil"/>
              <w:left w:val="nil"/>
              <w:bottom w:val="nil"/>
              <w:right w:val="nil"/>
            </w:tcBorders>
            <w:shd w:val="clear" w:color="auto" w:fill="auto"/>
            <w:vAlign w:val="bottom"/>
            <w:hideMark/>
          </w:tcPr>
          <w:p w14:paraId="1FC57B56"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Asia Pacific</w:t>
            </w:r>
          </w:p>
        </w:tc>
        <w:tc>
          <w:tcPr>
            <w:tcW w:w="1282" w:type="dxa"/>
            <w:tcBorders>
              <w:top w:val="nil"/>
              <w:left w:val="nil"/>
              <w:bottom w:val="nil"/>
              <w:right w:val="nil"/>
            </w:tcBorders>
            <w:shd w:val="clear" w:color="auto" w:fill="auto"/>
            <w:vAlign w:val="bottom"/>
            <w:hideMark/>
          </w:tcPr>
          <w:p w14:paraId="76195DC4"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16</w:t>
            </w:r>
          </w:p>
        </w:tc>
        <w:tc>
          <w:tcPr>
            <w:tcW w:w="374" w:type="dxa"/>
            <w:tcBorders>
              <w:top w:val="nil"/>
              <w:left w:val="nil"/>
              <w:bottom w:val="nil"/>
              <w:right w:val="nil"/>
            </w:tcBorders>
            <w:shd w:val="clear" w:color="auto" w:fill="auto"/>
            <w:vAlign w:val="bottom"/>
            <w:hideMark/>
          </w:tcPr>
          <w:p w14:paraId="462F2C00"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1AB7E953"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Asia Pacific</w:t>
            </w:r>
          </w:p>
        </w:tc>
        <w:tc>
          <w:tcPr>
            <w:tcW w:w="1242" w:type="dxa"/>
            <w:tcBorders>
              <w:top w:val="nil"/>
              <w:left w:val="nil"/>
              <w:bottom w:val="nil"/>
              <w:right w:val="nil"/>
            </w:tcBorders>
            <w:shd w:val="clear" w:color="auto" w:fill="auto"/>
            <w:vAlign w:val="bottom"/>
            <w:hideMark/>
          </w:tcPr>
          <w:p w14:paraId="1C7EC928"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4</w:t>
            </w:r>
          </w:p>
        </w:tc>
      </w:tr>
      <w:tr w:rsidR="001E4A5E" w:rsidRPr="005B7F92" w14:paraId="53BADFDB" w14:textId="77777777" w:rsidTr="00FA66D9">
        <w:trPr>
          <w:trHeight w:val="254"/>
          <w:jc w:val="center"/>
        </w:trPr>
        <w:tc>
          <w:tcPr>
            <w:tcW w:w="2288" w:type="dxa"/>
            <w:tcBorders>
              <w:top w:val="nil"/>
              <w:left w:val="nil"/>
              <w:bottom w:val="single" w:sz="4" w:space="0" w:color="auto"/>
              <w:right w:val="nil"/>
            </w:tcBorders>
            <w:shd w:val="clear" w:color="auto" w:fill="auto"/>
            <w:vAlign w:val="bottom"/>
            <w:hideMark/>
          </w:tcPr>
          <w:p w14:paraId="288AD585"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Latin America</w:t>
            </w:r>
          </w:p>
        </w:tc>
        <w:tc>
          <w:tcPr>
            <w:tcW w:w="1282" w:type="dxa"/>
            <w:tcBorders>
              <w:top w:val="nil"/>
              <w:left w:val="nil"/>
              <w:bottom w:val="single" w:sz="4" w:space="0" w:color="auto"/>
              <w:right w:val="nil"/>
            </w:tcBorders>
            <w:shd w:val="clear" w:color="auto" w:fill="auto"/>
            <w:vAlign w:val="bottom"/>
            <w:hideMark/>
          </w:tcPr>
          <w:p w14:paraId="712E2029"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25</w:t>
            </w:r>
          </w:p>
        </w:tc>
        <w:tc>
          <w:tcPr>
            <w:tcW w:w="374" w:type="dxa"/>
            <w:tcBorders>
              <w:top w:val="nil"/>
              <w:left w:val="nil"/>
              <w:bottom w:val="nil"/>
              <w:right w:val="nil"/>
            </w:tcBorders>
            <w:shd w:val="clear" w:color="auto" w:fill="auto"/>
            <w:vAlign w:val="bottom"/>
            <w:hideMark/>
          </w:tcPr>
          <w:p w14:paraId="1194C4BA" w14:textId="77777777" w:rsidR="001E4A5E" w:rsidRPr="005B7F92" w:rsidRDefault="001E4A5E" w:rsidP="00FD09DB">
            <w:pPr>
              <w:keepNext/>
              <w:rPr>
                <w:rFonts w:ascii="Arial" w:eastAsia="SimSun" w:hAnsi="Arial" w:cs="Arial"/>
                <w:color w:val="000000"/>
                <w:kern w:val="0"/>
                <w:lang w:val="en-GB" w:eastAsia="zh-CN"/>
              </w:rPr>
            </w:pPr>
          </w:p>
        </w:tc>
        <w:tc>
          <w:tcPr>
            <w:tcW w:w="2624" w:type="dxa"/>
            <w:tcBorders>
              <w:top w:val="nil"/>
              <w:left w:val="nil"/>
              <w:bottom w:val="nil"/>
              <w:right w:val="nil"/>
            </w:tcBorders>
            <w:shd w:val="clear" w:color="auto" w:fill="auto"/>
            <w:vAlign w:val="bottom"/>
            <w:hideMark/>
          </w:tcPr>
          <w:p w14:paraId="134BC28E" w14:textId="77777777" w:rsidR="001E4A5E" w:rsidRPr="005B7F92" w:rsidRDefault="001E4A5E" w:rsidP="00FD09DB">
            <w:pPr>
              <w:keepNext/>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Latin America</w:t>
            </w:r>
          </w:p>
        </w:tc>
        <w:tc>
          <w:tcPr>
            <w:tcW w:w="1242" w:type="dxa"/>
            <w:tcBorders>
              <w:top w:val="nil"/>
              <w:left w:val="nil"/>
              <w:bottom w:val="nil"/>
              <w:right w:val="nil"/>
            </w:tcBorders>
            <w:shd w:val="clear" w:color="auto" w:fill="auto"/>
            <w:vAlign w:val="bottom"/>
            <w:hideMark/>
          </w:tcPr>
          <w:p w14:paraId="5C7370CA" w14:textId="77777777" w:rsidR="001E4A5E" w:rsidRPr="005B7F92" w:rsidRDefault="001E4A5E" w:rsidP="00FD09DB">
            <w:pPr>
              <w:keepNext/>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20</w:t>
            </w:r>
          </w:p>
        </w:tc>
      </w:tr>
      <w:tr w:rsidR="001E4A5E" w:rsidRPr="005B7F92" w14:paraId="720B3719" w14:textId="77777777" w:rsidTr="00FA66D9">
        <w:trPr>
          <w:trHeight w:val="49"/>
          <w:jc w:val="center"/>
        </w:trPr>
        <w:tc>
          <w:tcPr>
            <w:tcW w:w="2288" w:type="dxa"/>
            <w:tcBorders>
              <w:top w:val="nil"/>
              <w:left w:val="nil"/>
              <w:bottom w:val="nil"/>
              <w:right w:val="nil"/>
            </w:tcBorders>
            <w:shd w:val="clear" w:color="auto" w:fill="auto"/>
            <w:vAlign w:val="bottom"/>
            <w:hideMark/>
          </w:tcPr>
          <w:p w14:paraId="432AB2AB" w14:textId="77777777" w:rsidR="001E4A5E" w:rsidRPr="005B7F92" w:rsidRDefault="001E4A5E" w:rsidP="001E4A5E">
            <w:pPr>
              <w:rPr>
                <w:rFonts w:ascii="Arial" w:eastAsia="SimSun" w:hAnsi="Arial" w:cs="Arial"/>
                <w:color w:val="000000"/>
                <w:kern w:val="0"/>
                <w:lang w:val="en-GB" w:eastAsia="zh-CN"/>
              </w:rPr>
            </w:pPr>
          </w:p>
        </w:tc>
        <w:tc>
          <w:tcPr>
            <w:tcW w:w="1282" w:type="dxa"/>
            <w:tcBorders>
              <w:top w:val="nil"/>
              <w:left w:val="nil"/>
              <w:bottom w:val="nil"/>
              <w:right w:val="nil"/>
            </w:tcBorders>
            <w:shd w:val="clear" w:color="auto" w:fill="auto"/>
            <w:vAlign w:val="bottom"/>
            <w:hideMark/>
          </w:tcPr>
          <w:p w14:paraId="5815295B" w14:textId="77777777" w:rsidR="001E4A5E" w:rsidRPr="005B7F92" w:rsidRDefault="001E4A5E" w:rsidP="001E4A5E">
            <w:pPr>
              <w:rPr>
                <w:rFonts w:ascii="Arial" w:eastAsia="SimSun" w:hAnsi="Arial" w:cs="Arial"/>
                <w:color w:val="000000"/>
                <w:kern w:val="0"/>
                <w:lang w:val="en-GB" w:eastAsia="zh-CN"/>
              </w:rPr>
            </w:pPr>
          </w:p>
        </w:tc>
        <w:tc>
          <w:tcPr>
            <w:tcW w:w="374" w:type="dxa"/>
            <w:tcBorders>
              <w:top w:val="nil"/>
              <w:left w:val="nil"/>
              <w:bottom w:val="nil"/>
              <w:right w:val="nil"/>
            </w:tcBorders>
            <w:shd w:val="clear" w:color="auto" w:fill="auto"/>
            <w:vAlign w:val="bottom"/>
            <w:hideMark/>
          </w:tcPr>
          <w:p w14:paraId="3EE05CBA" w14:textId="77777777" w:rsidR="001E4A5E" w:rsidRPr="005B7F92" w:rsidRDefault="001E4A5E" w:rsidP="001E4A5E">
            <w:pPr>
              <w:rPr>
                <w:rFonts w:ascii="Arial" w:eastAsia="SimSun" w:hAnsi="Arial" w:cs="Arial"/>
                <w:color w:val="000000"/>
                <w:kern w:val="0"/>
                <w:lang w:val="en-GB" w:eastAsia="zh-CN"/>
              </w:rPr>
            </w:pPr>
          </w:p>
        </w:tc>
        <w:tc>
          <w:tcPr>
            <w:tcW w:w="2624" w:type="dxa"/>
            <w:tcBorders>
              <w:top w:val="nil"/>
              <w:left w:val="nil"/>
              <w:bottom w:val="single" w:sz="4" w:space="0" w:color="auto"/>
              <w:right w:val="nil"/>
            </w:tcBorders>
            <w:shd w:val="clear" w:color="auto" w:fill="auto"/>
            <w:vAlign w:val="bottom"/>
            <w:hideMark/>
          </w:tcPr>
          <w:p w14:paraId="40522F26" w14:textId="77777777" w:rsidR="001E4A5E" w:rsidRPr="005B7F92" w:rsidRDefault="001E4A5E" w:rsidP="001E4A5E">
            <w:pP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Others</w:t>
            </w:r>
          </w:p>
        </w:tc>
        <w:tc>
          <w:tcPr>
            <w:tcW w:w="1242" w:type="dxa"/>
            <w:tcBorders>
              <w:top w:val="nil"/>
              <w:left w:val="nil"/>
              <w:bottom w:val="single" w:sz="4" w:space="0" w:color="auto"/>
              <w:right w:val="nil"/>
            </w:tcBorders>
            <w:shd w:val="clear" w:color="auto" w:fill="auto"/>
            <w:vAlign w:val="bottom"/>
            <w:hideMark/>
          </w:tcPr>
          <w:p w14:paraId="2BE7AE01" w14:textId="77777777" w:rsidR="001E4A5E" w:rsidRPr="005B7F92" w:rsidRDefault="001E4A5E" w:rsidP="001E4A5E">
            <w:pPr>
              <w:jc w:val="center"/>
              <w:rPr>
                <w:rFonts w:ascii="Arial" w:eastAsia="SimSun" w:hAnsi="Arial" w:cs="Arial"/>
                <w:color w:val="000000"/>
                <w:kern w:val="0"/>
                <w:lang w:val="en-GB" w:eastAsia="zh-CN"/>
              </w:rPr>
            </w:pPr>
            <w:r w:rsidRPr="005B7F92">
              <w:rPr>
                <w:rFonts w:ascii="Arial" w:eastAsia="SimSun" w:hAnsi="Arial" w:cs="Arial"/>
                <w:color w:val="000000"/>
                <w:kern w:val="0"/>
                <w:lang w:val="en-GB" w:eastAsia="zh-CN"/>
              </w:rPr>
              <w:t>1</w:t>
            </w:r>
          </w:p>
        </w:tc>
      </w:tr>
    </w:tbl>
    <w:p w14:paraId="599786EB" w14:textId="77777777" w:rsidR="00B00272" w:rsidRPr="00FA66D9" w:rsidRDefault="00B00272" w:rsidP="00B00272">
      <w:pPr>
        <w:pStyle w:val="NoSpacing"/>
        <w:jc w:val="both"/>
        <w:rPr>
          <w:rFonts w:ascii="Times New Roman" w:eastAsia="Times New Roman" w:hAnsi="Times New Roman" w:cs="Times New Roman"/>
          <w:color w:val="1C1C1C"/>
          <w:sz w:val="16"/>
          <w:szCs w:val="16"/>
          <w:lang w:val="en-GB" w:eastAsia="zh-CN" w:bidi="ar-SA"/>
        </w:rPr>
      </w:pPr>
    </w:p>
    <w:p w14:paraId="5FB4ECA7" w14:textId="6C0ED142" w:rsidR="00FD09DB" w:rsidRPr="00FA66D9" w:rsidRDefault="00B00272" w:rsidP="006D26F2">
      <w:pPr>
        <w:pStyle w:val="Footnote"/>
        <w:rPr>
          <w:lang w:val="en-GB" w:eastAsia="zh-CN"/>
        </w:rPr>
      </w:pPr>
      <w:r w:rsidRPr="00FA66D9">
        <w:rPr>
          <w:lang w:val="en-GB" w:eastAsia="zh-CN"/>
        </w:rPr>
        <w:t xml:space="preserve">Source: </w:t>
      </w:r>
      <w:r w:rsidR="00890490" w:rsidRPr="00FA66D9">
        <w:rPr>
          <w:lang w:val="en-GB" w:eastAsia="zh-CN"/>
        </w:rPr>
        <w:t>Created by the case authors based on “Bayer’s Annual Report 2016</w:t>
      </w:r>
      <w:r w:rsidR="00513835" w:rsidRPr="00FA66D9">
        <w:rPr>
          <w:lang w:val="en-GB" w:eastAsia="zh-CN"/>
        </w:rPr>
        <w:t>,</w:t>
      </w:r>
      <w:r w:rsidR="00890490" w:rsidRPr="00FA66D9">
        <w:rPr>
          <w:lang w:val="en-GB" w:eastAsia="zh-CN"/>
        </w:rPr>
        <w:t xml:space="preserve">” accessed July 18, 2017, www.annualreport2016.bayer.com/financial-statements/notes-to-the-consolidated-financial-statements-of-the-bayer-group/notes-to-the-statements-of-financial-position/legal-risks.html; </w:t>
      </w:r>
      <w:r w:rsidR="00890490" w:rsidRPr="00FA66D9">
        <w:rPr>
          <w:i/>
          <w:lang w:val="en-GB" w:eastAsia="zh-CN"/>
        </w:rPr>
        <w:t>Monsanto Annual Report 2016</w:t>
      </w:r>
      <w:r w:rsidR="00513835" w:rsidRPr="00FA66D9">
        <w:rPr>
          <w:lang w:val="en-GB" w:eastAsia="zh-CN"/>
        </w:rPr>
        <w:t>,</w:t>
      </w:r>
      <w:r w:rsidR="00890490" w:rsidRPr="00FA66D9">
        <w:rPr>
          <w:lang w:val="en-GB" w:eastAsia="zh-CN"/>
        </w:rPr>
        <w:t xml:space="preserve"> accessed July 18, 2017, https://monsanto.com/app/uploads/2017/05/2016_monsanto_annual_report.pdf.</w:t>
      </w:r>
      <w:r w:rsidR="00FD09DB" w:rsidRPr="005B7F92">
        <w:rPr>
          <w:lang w:val="en-GB"/>
        </w:rPr>
        <w:br w:type="page"/>
      </w:r>
    </w:p>
    <w:p w14:paraId="6CB9C588" w14:textId="77777777" w:rsidR="00FB1561" w:rsidRPr="005B7F92" w:rsidRDefault="00FB1561" w:rsidP="00444D97">
      <w:pPr>
        <w:pStyle w:val="Casehead1"/>
        <w:outlineLvl w:val="0"/>
        <w:rPr>
          <w:lang w:val="en-GB"/>
        </w:rPr>
      </w:pPr>
      <w:r w:rsidRPr="005B7F92">
        <w:rPr>
          <w:lang w:val="en-GB"/>
        </w:rPr>
        <w:lastRenderedPageBreak/>
        <w:t>endnotes</w:t>
      </w:r>
    </w:p>
    <w:sectPr w:rsidR="00FB1561" w:rsidRPr="005B7F92"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46D554" w14:textId="77777777" w:rsidR="00E7297C" w:rsidRDefault="00E7297C" w:rsidP="00D75295">
      <w:r>
        <w:separator/>
      </w:r>
    </w:p>
  </w:endnote>
  <w:endnote w:type="continuationSeparator" w:id="0">
    <w:p w14:paraId="6A30AE4A" w14:textId="77777777" w:rsidR="00E7297C" w:rsidRDefault="00E7297C" w:rsidP="00D75295">
      <w:r>
        <w:continuationSeparator/>
      </w:r>
    </w:p>
  </w:endnote>
  <w:endnote w:id="1">
    <w:p w14:paraId="4CE740FA" w14:textId="2EDFC2E9"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This case has been written on the basis of published sources only. Consequently, the interpretation and perspectives presented in this case are not necessarily those of Bayer AG, or any of its employees.</w:t>
      </w:r>
    </w:p>
  </w:endnote>
  <w:endnote w:id="2">
    <w:p w14:paraId="069ED413" w14:textId="0CC8AD52"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“Bayer and Monsanto to Create a Global Leader in Agriculture</w:t>
      </w:r>
      <w:r>
        <w:rPr>
          <w:rFonts w:ascii="Arial" w:hAnsi="Arial" w:cs="Arial"/>
          <w:sz w:val="17"/>
          <w:szCs w:val="17"/>
        </w:rPr>
        <w:t>,</w:t>
      </w:r>
      <w:r w:rsidRPr="0025715B">
        <w:rPr>
          <w:rFonts w:ascii="Arial" w:hAnsi="Arial" w:cs="Arial"/>
          <w:sz w:val="17"/>
          <w:szCs w:val="17"/>
        </w:rPr>
        <w:t xml:space="preserve">” </w:t>
      </w:r>
      <w:r>
        <w:rPr>
          <w:rFonts w:ascii="Arial" w:hAnsi="Arial" w:cs="Arial"/>
          <w:sz w:val="17"/>
          <w:szCs w:val="17"/>
        </w:rPr>
        <w:t xml:space="preserve">Bayer, </w:t>
      </w:r>
      <w:r w:rsidRPr="0025715B">
        <w:rPr>
          <w:rFonts w:ascii="Arial" w:hAnsi="Arial" w:cs="Arial"/>
          <w:sz w:val="17"/>
          <w:szCs w:val="17"/>
        </w:rPr>
        <w:t>September 14, 2016, accessed July 2, 2017, www.press.bayer.com/baynews/baynews.nsf/id/ADSF8F-Bayer-and-Monsanto-to-Create-a-Global-Leader-in-Agriculture.</w:t>
      </w:r>
    </w:p>
  </w:endnote>
  <w:endnote w:id="3">
    <w:p w14:paraId="6925B45A" w14:textId="615946B4"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“Vandana Shiva on </w:t>
      </w:r>
      <w:r>
        <w:rPr>
          <w:rFonts w:ascii="Arial" w:hAnsi="Arial" w:cs="Arial"/>
          <w:sz w:val="17"/>
          <w:szCs w:val="17"/>
        </w:rPr>
        <w:t xml:space="preserve">Just </w:t>
      </w:r>
      <w:r w:rsidRPr="0025715B">
        <w:rPr>
          <w:rFonts w:ascii="Arial" w:hAnsi="Arial" w:cs="Arial"/>
          <w:sz w:val="17"/>
          <w:szCs w:val="17"/>
        </w:rPr>
        <w:t xml:space="preserve">Food,” </w:t>
      </w:r>
      <w:proofErr w:type="spellStart"/>
      <w:r>
        <w:rPr>
          <w:rFonts w:ascii="Arial" w:hAnsi="Arial" w:cs="Arial"/>
          <w:sz w:val="17"/>
          <w:szCs w:val="17"/>
        </w:rPr>
        <w:t>GrowTest</w:t>
      </w:r>
      <w:proofErr w:type="spellEnd"/>
      <w:r>
        <w:rPr>
          <w:rFonts w:ascii="Arial" w:hAnsi="Arial" w:cs="Arial"/>
          <w:sz w:val="17"/>
          <w:szCs w:val="17"/>
        </w:rPr>
        <w:t xml:space="preserve"> Urban Gardening, </w:t>
      </w:r>
      <w:r w:rsidRPr="0025715B">
        <w:rPr>
          <w:rFonts w:ascii="Arial" w:hAnsi="Arial" w:cs="Arial"/>
          <w:sz w:val="17"/>
          <w:szCs w:val="17"/>
        </w:rPr>
        <w:t>June 29, 2017, accessed July 2, 2017, www.growtest.org/vandana-shiva-on-food-justice/.</w:t>
      </w:r>
    </w:p>
  </w:endnote>
  <w:endnote w:id="4">
    <w:p w14:paraId="6331A4B4" w14:textId="62AC143F"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“Bayer and Monsanto to Create a Global Leader in Agriculture</w:t>
      </w:r>
      <w:r>
        <w:rPr>
          <w:rFonts w:ascii="Arial" w:hAnsi="Arial" w:cs="Arial"/>
          <w:sz w:val="17"/>
          <w:szCs w:val="17"/>
        </w:rPr>
        <w:t>,</w:t>
      </w:r>
      <w:r w:rsidRPr="0025715B">
        <w:rPr>
          <w:rFonts w:ascii="Arial" w:hAnsi="Arial" w:cs="Arial"/>
          <w:sz w:val="17"/>
          <w:szCs w:val="17"/>
        </w:rPr>
        <w:t xml:space="preserve">” </w:t>
      </w:r>
      <w:r>
        <w:rPr>
          <w:rFonts w:ascii="Arial" w:hAnsi="Arial" w:cs="Arial"/>
          <w:sz w:val="17"/>
          <w:szCs w:val="17"/>
        </w:rPr>
        <w:t>op. cit.</w:t>
      </w:r>
    </w:p>
  </w:endnote>
  <w:endnote w:id="5">
    <w:p w14:paraId="69F2C0E5" w14:textId="2C2D5A5A"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All currency amounts are in US$ unless otherwise specified.</w:t>
      </w:r>
    </w:p>
  </w:endnote>
  <w:endnote w:id="6">
    <w:p w14:paraId="20AE2F4A" w14:textId="7E919850"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“Bayer: Science for a Better Life</w:t>
      </w:r>
      <w:r>
        <w:rPr>
          <w:rFonts w:ascii="Arial" w:hAnsi="Arial" w:cs="Arial"/>
          <w:sz w:val="17"/>
          <w:szCs w:val="17"/>
        </w:rPr>
        <w:t>,</w:t>
      </w:r>
      <w:r w:rsidRPr="0025715B">
        <w:rPr>
          <w:rFonts w:ascii="Arial" w:hAnsi="Arial" w:cs="Arial"/>
          <w:sz w:val="17"/>
          <w:szCs w:val="17"/>
        </w:rPr>
        <w:t xml:space="preserve">” </w:t>
      </w:r>
      <w:r>
        <w:rPr>
          <w:rFonts w:ascii="Arial" w:hAnsi="Arial" w:cs="Arial"/>
          <w:sz w:val="17"/>
          <w:szCs w:val="17"/>
        </w:rPr>
        <w:t xml:space="preserve">Bayer, </w:t>
      </w:r>
      <w:r w:rsidRPr="0025715B">
        <w:rPr>
          <w:rFonts w:ascii="Arial" w:hAnsi="Arial" w:cs="Arial"/>
          <w:sz w:val="17"/>
          <w:szCs w:val="17"/>
        </w:rPr>
        <w:t>accessed July 2, 2017, https://www.bayer.com/en/bayer-mission-science-for-a-better-life.aspx.</w:t>
      </w:r>
    </w:p>
  </w:endnote>
  <w:endnote w:id="7">
    <w:p w14:paraId="72D363CF" w14:textId="25C3ACCF" w:rsidR="00E7297C" w:rsidRPr="0025715B" w:rsidRDefault="00E7297C" w:rsidP="00FA58FD">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“History,” </w:t>
      </w:r>
      <w:r>
        <w:rPr>
          <w:rFonts w:ascii="Arial" w:hAnsi="Arial" w:cs="Arial"/>
          <w:sz w:val="17"/>
          <w:szCs w:val="17"/>
        </w:rPr>
        <w:t xml:space="preserve">Bayer, </w:t>
      </w:r>
      <w:r w:rsidRPr="0025715B">
        <w:rPr>
          <w:rFonts w:ascii="Arial" w:hAnsi="Arial" w:cs="Arial"/>
          <w:sz w:val="17"/>
          <w:szCs w:val="17"/>
        </w:rPr>
        <w:t>accessed July 2, 2017, https://www.bayer.com/en/history.aspx.</w:t>
      </w:r>
    </w:p>
  </w:endnote>
  <w:endnote w:id="8">
    <w:p w14:paraId="6F39DC22" w14:textId="2C3BAB6B" w:rsidR="00E7297C" w:rsidRDefault="00E7297C" w:rsidP="004E59EB">
      <w:pPr>
        <w:pStyle w:val="Footnote"/>
      </w:pPr>
      <w:r>
        <w:rPr>
          <w:rStyle w:val="EndnoteReference"/>
        </w:rPr>
        <w:endnoteRef/>
      </w:r>
      <w:r>
        <w:t xml:space="preserve"> € = EUR = euro; US$1 = €0.94 on March 31, 2001.</w:t>
      </w:r>
    </w:p>
  </w:endnote>
  <w:endnote w:id="9">
    <w:p w14:paraId="3F6E0C23" w14:textId="5EC95352"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“Our History,” </w:t>
      </w:r>
      <w:r>
        <w:rPr>
          <w:rFonts w:ascii="Arial" w:hAnsi="Arial" w:cs="Arial"/>
          <w:sz w:val="17"/>
          <w:szCs w:val="17"/>
        </w:rPr>
        <w:t xml:space="preserve">Bayer, </w:t>
      </w:r>
      <w:r w:rsidRPr="0025715B">
        <w:rPr>
          <w:rFonts w:ascii="Arial" w:hAnsi="Arial" w:cs="Arial"/>
          <w:sz w:val="17"/>
          <w:szCs w:val="17"/>
        </w:rPr>
        <w:t>accessed July 2, 2017, https://www.cropscience.bayer.co.za/en/About-Us/Our-History.aspx.</w:t>
      </w:r>
    </w:p>
  </w:endnote>
  <w:endnote w:id="10">
    <w:p w14:paraId="0CDB7EAC" w14:textId="1CC110D3" w:rsidR="00E7297C" w:rsidRPr="004E59EB" w:rsidRDefault="00E7297C" w:rsidP="004E59EB">
      <w:pPr>
        <w:pStyle w:val="Footnote"/>
        <w:rPr>
          <w:lang w:val="en-CA"/>
        </w:rPr>
      </w:pPr>
      <w:r>
        <w:rPr>
          <w:rStyle w:val="EndnoteReference"/>
        </w:rPr>
        <w:endnoteRef/>
      </w:r>
      <w:r>
        <w:t xml:space="preserve"> </w:t>
      </w:r>
      <w:r>
        <w:rPr>
          <w:lang w:val="en-CA"/>
        </w:rPr>
        <w:t>“History,” op. cit.</w:t>
      </w:r>
    </w:p>
  </w:endnote>
  <w:endnote w:id="11">
    <w:p w14:paraId="07456A57" w14:textId="7E43111D" w:rsidR="00E7297C" w:rsidRPr="0025715B" w:rsidRDefault="00E7297C" w:rsidP="00CF268B">
      <w:pPr>
        <w:pStyle w:val="Footnote"/>
      </w:pPr>
      <w:r w:rsidRPr="0025715B">
        <w:rPr>
          <w:rStyle w:val="EndnoteReference"/>
        </w:rPr>
        <w:endnoteRef/>
      </w:r>
      <w:r w:rsidRPr="0025715B">
        <w:t xml:space="preserve"> </w:t>
      </w:r>
      <w:r w:rsidRPr="00FC77B4">
        <w:t xml:space="preserve">Patricia Van </w:t>
      </w:r>
      <w:proofErr w:type="spellStart"/>
      <w:r w:rsidRPr="00FC77B4">
        <w:t>Arnum</w:t>
      </w:r>
      <w:proofErr w:type="spellEnd"/>
      <w:r>
        <w:t>,</w:t>
      </w:r>
      <w:r w:rsidRPr="00FC77B4">
        <w:t xml:space="preserve"> </w:t>
      </w:r>
      <w:r>
        <w:t>“</w:t>
      </w:r>
      <w:r w:rsidRPr="00FC77B4">
        <w:t>Global Pharma Industry Growth Projected to Moderate in 2017 and Beyond</w:t>
      </w:r>
      <w:r>
        <w:t xml:space="preserve">,” </w:t>
      </w:r>
      <w:r w:rsidRPr="00FC77B4">
        <w:t xml:space="preserve">DCAT </w:t>
      </w:r>
      <w:r w:rsidRPr="005B7F92">
        <w:rPr>
          <w:i/>
        </w:rPr>
        <w:t>Value Chain Insights</w:t>
      </w:r>
      <w:r>
        <w:t xml:space="preserve">, January 11, 2017, accessed October 11, 2017, </w:t>
      </w:r>
      <w:r w:rsidRPr="00FC77B4">
        <w:t>https://connect.dcat.org/blogs/patricia-van-arnum/2017/01/10/global-pharma-industry-growth-projected-to-moderate-in-2016-and-beyond#.Wd4mFOk5vdk</w:t>
      </w:r>
      <w:r>
        <w:t>.</w:t>
      </w:r>
    </w:p>
  </w:endnote>
  <w:endnote w:id="12">
    <w:p w14:paraId="73E6D209" w14:textId="7A5D2BC5"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“Fact Sheet</w:t>
      </w:r>
      <w:r>
        <w:rPr>
          <w:rFonts w:ascii="Arial" w:hAnsi="Arial" w:cs="Arial"/>
          <w:sz w:val="17"/>
          <w:szCs w:val="17"/>
        </w:rPr>
        <w:t>:</w:t>
      </w:r>
      <w:r w:rsidRPr="0025715B">
        <w:rPr>
          <w:rFonts w:ascii="Arial" w:hAnsi="Arial" w:cs="Arial"/>
          <w:sz w:val="17"/>
          <w:szCs w:val="17"/>
        </w:rPr>
        <w:t xml:space="preserve"> New Drug Development Process</w:t>
      </w:r>
      <w:r>
        <w:rPr>
          <w:rFonts w:ascii="Arial" w:hAnsi="Arial" w:cs="Arial"/>
          <w:sz w:val="17"/>
          <w:szCs w:val="17"/>
        </w:rPr>
        <w:t>,</w:t>
      </w:r>
      <w:r w:rsidRPr="0025715B">
        <w:rPr>
          <w:rFonts w:ascii="Arial" w:hAnsi="Arial" w:cs="Arial"/>
          <w:sz w:val="17"/>
          <w:szCs w:val="17"/>
        </w:rPr>
        <w:t>” California Biomedical Research Association, accessed July 2, 2017, https://www.ca-biomed.org/pdf/media-kit/fact-sheets/CBRADrugDevelop.pdf.</w:t>
      </w:r>
    </w:p>
  </w:endnote>
  <w:endnote w:id="13">
    <w:p w14:paraId="0659BF29" w14:textId="4B403DD6"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P</w:t>
      </w:r>
      <w:r w:rsidR="005026E7">
        <w:rPr>
          <w:rFonts w:ascii="Arial" w:hAnsi="Arial" w:cs="Arial"/>
          <w:sz w:val="17"/>
          <w:szCs w:val="17"/>
        </w:rPr>
        <w:t>w</w:t>
      </w:r>
      <w:r w:rsidRPr="0025715B">
        <w:rPr>
          <w:rFonts w:ascii="Arial" w:hAnsi="Arial" w:cs="Arial"/>
          <w:sz w:val="17"/>
          <w:szCs w:val="17"/>
        </w:rPr>
        <w:t xml:space="preserve">C, </w:t>
      </w:r>
      <w:r w:rsidRPr="0074592C">
        <w:rPr>
          <w:rFonts w:ascii="Arial" w:hAnsi="Arial" w:cs="Arial"/>
          <w:i/>
          <w:sz w:val="17"/>
          <w:szCs w:val="17"/>
        </w:rPr>
        <w:t>From Vision to Decision: Pharma 2020,</w:t>
      </w:r>
      <w:r w:rsidRPr="0025715B">
        <w:rPr>
          <w:rFonts w:ascii="Arial" w:hAnsi="Arial" w:cs="Arial"/>
          <w:sz w:val="17"/>
          <w:szCs w:val="17"/>
        </w:rPr>
        <w:t xml:space="preserve"> June 3, 2017, accessed July 2, 2017, https://www.pwc.com/jp/ja/japan-knowledge/archive/assets/pdf/pharma-2020-vision-to-decision.pdf.</w:t>
      </w:r>
    </w:p>
  </w:endnote>
  <w:endnote w:id="14">
    <w:p w14:paraId="3B539C70" w14:textId="7B755DCA"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w:t>
      </w:r>
      <w:r w:rsidRPr="00B633A9">
        <w:rPr>
          <w:rFonts w:ascii="Arial" w:hAnsi="Arial" w:cs="Arial"/>
          <w:sz w:val="17"/>
          <w:szCs w:val="17"/>
        </w:rPr>
        <w:t>Tufts CSDD Assessment of Cost to Develop and Win Marketing Approval for a New Drug Now Published</w:t>
      </w:r>
      <w:r>
        <w:rPr>
          <w:rFonts w:ascii="Arial" w:hAnsi="Arial" w:cs="Arial"/>
          <w:sz w:val="17"/>
          <w:szCs w:val="17"/>
        </w:rPr>
        <w:t xml:space="preserve">,” </w:t>
      </w:r>
      <w:r w:rsidRPr="005B7F92">
        <w:rPr>
          <w:rFonts w:ascii="Arial" w:hAnsi="Arial" w:cs="Arial"/>
          <w:i/>
          <w:sz w:val="17"/>
          <w:szCs w:val="17"/>
        </w:rPr>
        <w:t>Tufts Center for the Study of Drug Development</w:t>
      </w:r>
      <w:r>
        <w:rPr>
          <w:rFonts w:ascii="Arial" w:hAnsi="Arial" w:cs="Arial"/>
          <w:sz w:val="17"/>
          <w:szCs w:val="17"/>
        </w:rPr>
        <w:t>, March 10, 2016, accessed October 11, 2017,</w:t>
      </w:r>
      <w:r w:rsidRPr="00B633A9">
        <w:rPr>
          <w:rFonts w:ascii="Arial" w:hAnsi="Arial" w:cs="Arial"/>
          <w:sz w:val="17"/>
          <w:szCs w:val="17"/>
        </w:rPr>
        <w:t xml:space="preserve"> http://csdd.tufts.edu/news/complete_story/tufts_csdd_rd_cost_study_now_published</w:t>
      </w:r>
      <w:r>
        <w:rPr>
          <w:rFonts w:ascii="Arial" w:hAnsi="Arial" w:cs="Arial"/>
          <w:sz w:val="17"/>
          <w:szCs w:val="17"/>
        </w:rPr>
        <w:t>;</w:t>
      </w:r>
      <w:r w:rsidRPr="00B633A9">
        <w:rPr>
          <w:rFonts w:ascii="Arial" w:hAnsi="Arial" w:cs="Arial"/>
          <w:sz w:val="17"/>
          <w:szCs w:val="17"/>
        </w:rPr>
        <w:t xml:space="preserve"> </w:t>
      </w:r>
      <w:r>
        <w:rPr>
          <w:rFonts w:ascii="Arial" w:hAnsi="Arial" w:cs="Arial"/>
          <w:sz w:val="17"/>
          <w:szCs w:val="17"/>
        </w:rPr>
        <w:t>Rick Mullin, “</w:t>
      </w:r>
      <w:r w:rsidRPr="00404305">
        <w:rPr>
          <w:rFonts w:ascii="Arial" w:hAnsi="Arial" w:cs="Arial"/>
          <w:sz w:val="17"/>
          <w:szCs w:val="17"/>
        </w:rPr>
        <w:t xml:space="preserve">Tufts Study Finds Big Rise </w:t>
      </w:r>
      <w:proofErr w:type="gramStart"/>
      <w:r w:rsidRPr="00404305">
        <w:rPr>
          <w:rFonts w:ascii="Arial" w:hAnsi="Arial" w:cs="Arial"/>
          <w:sz w:val="17"/>
          <w:szCs w:val="17"/>
        </w:rPr>
        <w:t>In</w:t>
      </w:r>
      <w:proofErr w:type="gramEnd"/>
      <w:r w:rsidRPr="00404305">
        <w:rPr>
          <w:rFonts w:ascii="Arial" w:hAnsi="Arial" w:cs="Arial"/>
          <w:sz w:val="17"/>
          <w:szCs w:val="17"/>
        </w:rPr>
        <w:t xml:space="preserve"> Cost Of Drug Development</w:t>
      </w:r>
      <w:r>
        <w:rPr>
          <w:rFonts w:ascii="Arial" w:hAnsi="Arial" w:cs="Arial"/>
          <w:sz w:val="17"/>
          <w:szCs w:val="17"/>
        </w:rPr>
        <w:t xml:space="preserve">,” </w:t>
      </w:r>
      <w:r w:rsidRPr="005B7F92">
        <w:rPr>
          <w:rFonts w:ascii="Arial" w:hAnsi="Arial" w:cs="Arial"/>
          <w:i/>
          <w:sz w:val="17"/>
          <w:szCs w:val="17"/>
        </w:rPr>
        <w:t>C&amp;EN</w:t>
      </w:r>
      <w:r>
        <w:rPr>
          <w:rFonts w:ascii="Arial" w:hAnsi="Arial" w:cs="Arial"/>
          <w:sz w:val="17"/>
          <w:szCs w:val="17"/>
        </w:rPr>
        <w:t>, November 20, 2014, accessed October 11, 2017,</w:t>
      </w:r>
      <w:r w:rsidRPr="00404305">
        <w:rPr>
          <w:rFonts w:ascii="Arial" w:hAnsi="Arial" w:cs="Arial"/>
          <w:sz w:val="17"/>
          <w:szCs w:val="17"/>
        </w:rPr>
        <w:t xml:space="preserve"> https://cen.acs.org/articles/92/web/2014/11/Tufts-Study-Finds-Big-Rise.html</w:t>
      </w:r>
      <w:r>
        <w:rPr>
          <w:rFonts w:ascii="Arial" w:hAnsi="Arial" w:cs="Arial"/>
          <w:sz w:val="17"/>
          <w:szCs w:val="17"/>
        </w:rPr>
        <w:t>.</w:t>
      </w:r>
    </w:p>
  </w:endnote>
  <w:endnote w:id="15">
    <w:p w14:paraId="6BC41BA7" w14:textId="2F135363"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Joseph A. </w:t>
      </w:r>
      <w:proofErr w:type="spellStart"/>
      <w:r w:rsidRPr="0025715B">
        <w:rPr>
          <w:rFonts w:ascii="Arial" w:hAnsi="Arial" w:cs="Arial"/>
          <w:sz w:val="17"/>
          <w:szCs w:val="17"/>
        </w:rPr>
        <w:t>DiMasia</w:t>
      </w:r>
      <w:proofErr w:type="spellEnd"/>
      <w:r w:rsidRPr="0025715B">
        <w:rPr>
          <w:rFonts w:ascii="Arial" w:hAnsi="Arial" w:cs="Arial"/>
          <w:sz w:val="17"/>
          <w:szCs w:val="17"/>
        </w:rPr>
        <w:t xml:space="preserve">, Henry G. Grabowski, and Ronald W. Hansen, “Innovation in the </w:t>
      </w:r>
      <w:r>
        <w:rPr>
          <w:rFonts w:ascii="Arial" w:hAnsi="Arial" w:cs="Arial"/>
          <w:sz w:val="17"/>
          <w:szCs w:val="17"/>
        </w:rPr>
        <w:t>P</w:t>
      </w:r>
      <w:r w:rsidRPr="0025715B">
        <w:rPr>
          <w:rFonts w:ascii="Arial" w:hAnsi="Arial" w:cs="Arial"/>
          <w:sz w:val="17"/>
          <w:szCs w:val="17"/>
        </w:rPr>
        <w:t xml:space="preserve">harmaceutical </w:t>
      </w:r>
      <w:r>
        <w:rPr>
          <w:rFonts w:ascii="Arial" w:hAnsi="Arial" w:cs="Arial"/>
          <w:sz w:val="17"/>
          <w:szCs w:val="17"/>
        </w:rPr>
        <w:t>I</w:t>
      </w:r>
      <w:r w:rsidRPr="0025715B">
        <w:rPr>
          <w:rFonts w:ascii="Arial" w:hAnsi="Arial" w:cs="Arial"/>
          <w:sz w:val="17"/>
          <w:szCs w:val="17"/>
        </w:rPr>
        <w:t xml:space="preserve">ndustry: New </w:t>
      </w:r>
      <w:r>
        <w:rPr>
          <w:rFonts w:ascii="Arial" w:hAnsi="Arial" w:cs="Arial"/>
          <w:sz w:val="17"/>
          <w:szCs w:val="17"/>
        </w:rPr>
        <w:t>E</w:t>
      </w:r>
      <w:r w:rsidRPr="0025715B">
        <w:rPr>
          <w:rFonts w:ascii="Arial" w:hAnsi="Arial" w:cs="Arial"/>
          <w:sz w:val="17"/>
          <w:szCs w:val="17"/>
        </w:rPr>
        <w:t xml:space="preserve">stimates of R&amp;D </w:t>
      </w:r>
      <w:r>
        <w:rPr>
          <w:rFonts w:ascii="Arial" w:hAnsi="Arial" w:cs="Arial"/>
          <w:sz w:val="17"/>
          <w:szCs w:val="17"/>
        </w:rPr>
        <w:t>C</w:t>
      </w:r>
      <w:r w:rsidRPr="0025715B">
        <w:rPr>
          <w:rFonts w:ascii="Arial" w:hAnsi="Arial" w:cs="Arial"/>
          <w:sz w:val="17"/>
          <w:szCs w:val="17"/>
        </w:rPr>
        <w:t xml:space="preserve">osts,” </w:t>
      </w:r>
      <w:r w:rsidRPr="004E59EB">
        <w:rPr>
          <w:rFonts w:ascii="Arial" w:hAnsi="Arial" w:cs="Arial"/>
          <w:i/>
          <w:sz w:val="17"/>
          <w:szCs w:val="17"/>
        </w:rPr>
        <w:t>Journal of Health Economics</w:t>
      </w:r>
      <w:r w:rsidRPr="0025715B">
        <w:rPr>
          <w:rFonts w:ascii="Arial" w:hAnsi="Arial" w:cs="Arial"/>
          <w:sz w:val="17"/>
          <w:szCs w:val="17"/>
        </w:rPr>
        <w:t xml:space="preserve"> 47 (2016): 20</w:t>
      </w:r>
      <w:r>
        <w:rPr>
          <w:rFonts w:ascii="Arial" w:hAnsi="Arial" w:cs="Arial"/>
          <w:sz w:val="17"/>
          <w:szCs w:val="17"/>
        </w:rPr>
        <w:t>–</w:t>
      </w:r>
      <w:r w:rsidRPr="0025715B">
        <w:rPr>
          <w:rFonts w:ascii="Arial" w:hAnsi="Arial" w:cs="Arial"/>
          <w:sz w:val="17"/>
          <w:szCs w:val="17"/>
        </w:rPr>
        <w:t>33.</w:t>
      </w:r>
    </w:p>
  </w:endnote>
  <w:endnote w:id="16">
    <w:p w14:paraId="77CE5147" w14:textId="1372B8C3"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Bayer: Science for a Better Life,” op. cit.</w:t>
      </w:r>
    </w:p>
  </w:endnote>
  <w:endnote w:id="17">
    <w:p w14:paraId="33AEDB16" w14:textId="4BFE72F5" w:rsidR="00E7297C" w:rsidRDefault="00E7297C" w:rsidP="005B7F92">
      <w:pPr>
        <w:pStyle w:val="EndnoteText"/>
        <w:jc w:val="both"/>
      </w:pPr>
      <w:r w:rsidRPr="0074592C">
        <w:rPr>
          <w:rStyle w:val="EndnoteReference"/>
          <w:rFonts w:ascii="Arial" w:hAnsi="Arial" w:cs="Arial"/>
          <w:sz w:val="17"/>
          <w:szCs w:val="17"/>
        </w:rPr>
        <w:endnoteRef/>
      </w:r>
      <w:r w:rsidRPr="005B7F92">
        <w:rPr>
          <w:rFonts w:ascii="Arial" w:hAnsi="Arial" w:cs="Arial"/>
          <w:sz w:val="17"/>
          <w:szCs w:val="17"/>
        </w:rPr>
        <w:t xml:space="preserve"> </w:t>
      </w:r>
      <w:r w:rsidRPr="0025715B">
        <w:rPr>
          <w:rFonts w:ascii="Arial" w:hAnsi="Arial" w:cs="Arial"/>
          <w:sz w:val="17"/>
          <w:szCs w:val="17"/>
        </w:rPr>
        <w:t xml:space="preserve">“Seed Industry Structure Is Characterized by Growth and Consolidation,” </w:t>
      </w:r>
      <w:r w:rsidRPr="005B7F92">
        <w:rPr>
          <w:rFonts w:ascii="Arial" w:hAnsi="Arial" w:cs="Arial"/>
          <w:i/>
          <w:sz w:val="17"/>
          <w:szCs w:val="17"/>
        </w:rPr>
        <w:t>Economic Research Service/USDA</w:t>
      </w:r>
      <w:r>
        <w:rPr>
          <w:rFonts w:ascii="Arial" w:hAnsi="Arial" w:cs="Arial"/>
          <w:sz w:val="17"/>
          <w:szCs w:val="17"/>
        </w:rPr>
        <w:t xml:space="preserve">, </w:t>
      </w:r>
      <w:r w:rsidRPr="0025715B">
        <w:rPr>
          <w:rFonts w:ascii="Arial" w:hAnsi="Arial" w:cs="Arial"/>
          <w:sz w:val="17"/>
          <w:szCs w:val="17"/>
        </w:rPr>
        <w:t>accessed July 2, 2017, https://www.ers.usda.gov/webdocs/publications/42517/13605_aib786g_1_.pdf?v=41055.</w:t>
      </w:r>
    </w:p>
  </w:endnote>
  <w:endnote w:id="18">
    <w:p w14:paraId="131F0018" w14:textId="036A61FC" w:rsidR="00E7297C" w:rsidRDefault="00E7297C" w:rsidP="005B7F92">
      <w:pPr>
        <w:pStyle w:val="EndnoteText"/>
        <w:jc w:val="both"/>
      </w:pPr>
      <w:r w:rsidRPr="0074592C">
        <w:rPr>
          <w:rStyle w:val="EndnoteReference"/>
          <w:rFonts w:ascii="Arial" w:hAnsi="Arial" w:cs="Arial"/>
          <w:sz w:val="17"/>
          <w:szCs w:val="17"/>
        </w:rPr>
        <w:endnoteRef/>
      </w:r>
      <w:r>
        <w:t xml:space="preserve"> </w:t>
      </w:r>
      <w:r>
        <w:rPr>
          <w:rFonts w:ascii="Arial" w:hAnsi="Arial" w:cs="Arial"/>
          <w:sz w:val="17"/>
          <w:szCs w:val="17"/>
        </w:rPr>
        <w:t>Ibid.</w:t>
      </w:r>
    </w:p>
  </w:endnote>
  <w:endnote w:id="19">
    <w:p w14:paraId="35FFC6B4" w14:textId="1B1E9C7E"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Brad Plumer, “Why the Fight over the Monsanto-Bayer Deal </w:t>
      </w:r>
      <w:r>
        <w:rPr>
          <w:rFonts w:ascii="Arial" w:hAnsi="Arial" w:cs="Arial"/>
          <w:sz w:val="17"/>
          <w:szCs w:val="17"/>
        </w:rPr>
        <w:t xml:space="preserve">is So Important </w:t>
      </w:r>
      <w:r w:rsidRPr="0025715B">
        <w:rPr>
          <w:rFonts w:ascii="Arial" w:hAnsi="Arial" w:cs="Arial"/>
          <w:sz w:val="17"/>
          <w:szCs w:val="17"/>
        </w:rPr>
        <w:t>for the Future of Farming,” Vox, September</w:t>
      </w:r>
      <w:r>
        <w:rPr>
          <w:rFonts w:ascii="Arial" w:hAnsi="Arial" w:cs="Arial"/>
          <w:sz w:val="17"/>
          <w:szCs w:val="17"/>
        </w:rPr>
        <w:t> </w:t>
      </w:r>
      <w:r w:rsidRPr="0025715B">
        <w:rPr>
          <w:rFonts w:ascii="Arial" w:hAnsi="Arial" w:cs="Arial"/>
          <w:sz w:val="17"/>
          <w:szCs w:val="17"/>
        </w:rPr>
        <w:t>20, 2016, accessed July 2, 2017, https://www.vox.com/2016/9/20/12988616/bayer-monsanto-dupont-dow-agriculture-mergers-innovation.</w:t>
      </w:r>
    </w:p>
  </w:endnote>
  <w:endnote w:id="20">
    <w:p w14:paraId="6B78356A" w14:textId="645133FC"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Ibid.</w:t>
      </w:r>
    </w:p>
  </w:endnote>
  <w:endnote w:id="21">
    <w:p w14:paraId="60FB917A" w14:textId="104A6A75" w:rsidR="00E7297C" w:rsidRPr="005B7F92" w:rsidRDefault="00E7297C" w:rsidP="005B7F92">
      <w:pPr>
        <w:pStyle w:val="EndnoteText"/>
        <w:jc w:val="both"/>
        <w:rPr>
          <w:rFonts w:ascii="Arial" w:hAnsi="Arial" w:cs="Arial"/>
          <w:sz w:val="17"/>
          <w:szCs w:val="17"/>
        </w:rPr>
      </w:pPr>
      <w:r w:rsidRPr="0074592C">
        <w:rPr>
          <w:rStyle w:val="EndnoteReference"/>
          <w:rFonts w:ascii="Arial" w:hAnsi="Arial" w:cs="Arial"/>
          <w:sz w:val="17"/>
          <w:szCs w:val="17"/>
        </w:rPr>
        <w:endnoteRef/>
      </w:r>
      <w:r>
        <w:t xml:space="preserve"> </w:t>
      </w:r>
      <w:r w:rsidRPr="005B7F92">
        <w:rPr>
          <w:rFonts w:ascii="Arial" w:hAnsi="Arial" w:cs="Arial"/>
          <w:sz w:val="17"/>
          <w:szCs w:val="17"/>
        </w:rPr>
        <w:t xml:space="preserve">Shawn McKenzie, “A Brief History of Agriculture and Food Production: The Rise of Industrial Agriculture,” </w:t>
      </w:r>
      <w:r w:rsidRPr="005B7F92">
        <w:rPr>
          <w:rFonts w:ascii="Arial" w:hAnsi="Arial" w:cs="Arial"/>
          <w:i/>
          <w:sz w:val="17"/>
          <w:szCs w:val="17"/>
        </w:rPr>
        <w:t>Johns Hopkins Bloomberg School of Public Health</w:t>
      </w:r>
      <w:r w:rsidRPr="005B7F92">
        <w:rPr>
          <w:rFonts w:ascii="Arial" w:hAnsi="Arial" w:cs="Arial"/>
          <w:sz w:val="17"/>
          <w:szCs w:val="17"/>
        </w:rPr>
        <w:t>, accessed October 6, 2017, https://www.saylor.org/site/wp-content/uploads/2015/07/ENVS203-7.3.1-ShawnMackenzie-ABriefHistoryOfAgricultureandFoodProduction-CCBYNCSA.pdf.</w:t>
      </w:r>
    </w:p>
  </w:endnote>
  <w:endnote w:id="22">
    <w:p w14:paraId="754BD6C3" w14:textId="00664A05" w:rsidR="00E7297C" w:rsidRPr="005B7F92" w:rsidRDefault="00E7297C" w:rsidP="005B7F92">
      <w:pPr>
        <w:pStyle w:val="EndnoteText"/>
        <w:jc w:val="both"/>
        <w:rPr>
          <w:rFonts w:ascii="Arial" w:hAnsi="Arial" w:cs="Arial"/>
          <w:sz w:val="17"/>
          <w:szCs w:val="17"/>
        </w:rPr>
      </w:pPr>
      <w:r w:rsidRPr="0074592C">
        <w:rPr>
          <w:rStyle w:val="EndnoteReference"/>
          <w:rFonts w:ascii="Arial" w:hAnsi="Arial" w:cs="Arial"/>
          <w:sz w:val="17"/>
          <w:szCs w:val="17"/>
        </w:rPr>
        <w:endnoteRef/>
      </w:r>
      <w:r>
        <w:t xml:space="preserve"> </w:t>
      </w:r>
      <w:r w:rsidRPr="005B7F92">
        <w:rPr>
          <w:rFonts w:ascii="Arial" w:hAnsi="Arial" w:cs="Arial"/>
          <w:sz w:val="17"/>
          <w:szCs w:val="17"/>
        </w:rPr>
        <w:t xml:space="preserve">“Industrialization of Agriculture,” </w:t>
      </w:r>
      <w:r w:rsidRPr="005B7F92">
        <w:rPr>
          <w:rFonts w:ascii="Arial" w:hAnsi="Arial" w:cs="Arial"/>
          <w:i/>
          <w:sz w:val="17"/>
          <w:szCs w:val="17"/>
        </w:rPr>
        <w:t>Johns Hopkins Center for a Livable Future</w:t>
      </w:r>
      <w:r w:rsidRPr="005B7F92">
        <w:rPr>
          <w:rFonts w:ascii="Arial" w:hAnsi="Arial" w:cs="Arial"/>
          <w:sz w:val="17"/>
          <w:szCs w:val="17"/>
        </w:rPr>
        <w:t>, accessed October 6, 2017, www.foodsystemprimer.org/food-production/industrialization-of-agriculture/index.html.</w:t>
      </w:r>
    </w:p>
  </w:endnote>
  <w:endnote w:id="23">
    <w:p w14:paraId="782237AC" w14:textId="6F3256CA"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sidRPr="002E5CD8">
        <w:rPr>
          <w:rFonts w:ascii="Arial" w:hAnsi="Arial" w:cs="Arial"/>
          <w:spacing w:val="-6"/>
          <w:sz w:val="17"/>
          <w:szCs w:val="17"/>
        </w:rPr>
        <w:t xml:space="preserve">“Global Agrochemicals Market Analysis 2014-2025,” </w:t>
      </w:r>
      <w:r w:rsidRPr="002E5CD8">
        <w:rPr>
          <w:rFonts w:ascii="Arial" w:hAnsi="Arial" w:cs="Arial"/>
          <w:i/>
          <w:spacing w:val="-6"/>
          <w:sz w:val="17"/>
          <w:szCs w:val="17"/>
        </w:rPr>
        <w:t>Business Wire</w:t>
      </w:r>
      <w:r w:rsidRPr="002E5CD8">
        <w:rPr>
          <w:rFonts w:ascii="Arial" w:hAnsi="Arial" w:cs="Arial"/>
          <w:spacing w:val="-6"/>
          <w:sz w:val="17"/>
          <w:szCs w:val="17"/>
        </w:rPr>
        <w:t>, July 17, 2017, accessed October 6, 2017, www.businesswire.com/news/home/20170717005537/en/Global-Agrochemicals-Market-Analysis-2014-2025-Product-Fertilizers.</w:t>
      </w:r>
    </w:p>
  </w:endnote>
  <w:endnote w:id="24">
    <w:p w14:paraId="396E3D0E" w14:textId="33D156E6"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“DuPont and Dow to Combine in Merger of Equals,” </w:t>
      </w:r>
      <w:r>
        <w:rPr>
          <w:rFonts w:ascii="Arial" w:hAnsi="Arial" w:cs="Arial"/>
          <w:sz w:val="17"/>
          <w:szCs w:val="17"/>
        </w:rPr>
        <w:t xml:space="preserve">DOW, </w:t>
      </w:r>
      <w:r w:rsidRPr="0025715B">
        <w:rPr>
          <w:rFonts w:ascii="Arial" w:hAnsi="Arial" w:cs="Arial"/>
          <w:sz w:val="17"/>
          <w:szCs w:val="17"/>
        </w:rPr>
        <w:t>December 11, 2015, accessed July 2, 2017, www.dow.com/en-us/news/press-releases/dupont-and-dow-to-combine-in-merger-of-equals.</w:t>
      </w:r>
    </w:p>
  </w:endnote>
  <w:endnote w:id="25">
    <w:p w14:paraId="68ED5A1D" w14:textId="79386D54"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Ludwig Burger</w:t>
      </w:r>
      <w:r>
        <w:rPr>
          <w:rFonts w:ascii="Arial" w:hAnsi="Arial" w:cs="Arial"/>
          <w:sz w:val="17"/>
          <w:szCs w:val="17"/>
        </w:rPr>
        <w:t>,</w:t>
      </w:r>
      <w:r w:rsidRPr="0025715B">
        <w:rPr>
          <w:rFonts w:ascii="Arial" w:hAnsi="Arial" w:cs="Arial"/>
          <w:sz w:val="17"/>
          <w:szCs w:val="17"/>
        </w:rPr>
        <w:t xml:space="preserve"> “China </w:t>
      </w:r>
      <w:r>
        <w:rPr>
          <w:rFonts w:ascii="Arial" w:hAnsi="Arial" w:cs="Arial"/>
          <w:sz w:val="17"/>
          <w:szCs w:val="17"/>
        </w:rPr>
        <w:t>S</w:t>
      </w:r>
      <w:r w:rsidRPr="0025715B">
        <w:rPr>
          <w:rFonts w:ascii="Arial" w:hAnsi="Arial" w:cs="Arial"/>
          <w:sz w:val="17"/>
          <w:szCs w:val="17"/>
        </w:rPr>
        <w:t xml:space="preserve">eeks </w:t>
      </w:r>
      <w:r>
        <w:rPr>
          <w:rFonts w:ascii="Arial" w:hAnsi="Arial" w:cs="Arial"/>
          <w:sz w:val="17"/>
          <w:szCs w:val="17"/>
        </w:rPr>
        <w:t>F</w:t>
      </w:r>
      <w:r w:rsidRPr="0025715B">
        <w:rPr>
          <w:rFonts w:ascii="Arial" w:hAnsi="Arial" w:cs="Arial"/>
          <w:sz w:val="17"/>
          <w:szCs w:val="17"/>
        </w:rPr>
        <w:t xml:space="preserve">ood </w:t>
      </w:r>
      <w:r>
        <w:rPr>
          <w:rFonts w:ascii="Arial" w:hAnsi="Arial" w:cs="Arial"/>
          <w:sz w:val="17"/>
          <w:szCs w:val="17"/>
        </w:rPr>
        <w:t>S</w:t>
      </w:r>
      <w:r w:rsidRPr="0025715B">
        <w:rPr>
          <w:rFonts w:ascii="Arial" w:hAnsi="Arial" w:cs="Arial"/>
          <w:sz w:val="17"/>
          <w:szCs w:val="17"/>
        </w:rPr>
        <w:t xml:space="preserve">ecurity with $43 billion </w:t>
      </w:r>
      <w:r>
        <w:rPr>
          <w:rFonts w:ascii="Arial" w:hAnsi="Arial" w:cs="Arial"/>
          <w:sz w:val="17"/>
          <w:szCs w:val="17"/>
        </w:rPr>
        <w:t>B</w:t>
      </w:r>
      <w:r w:rsidRPr="0025715B">
        <w:rPr>
          <w:rFonts w:ascii="Arial" w:hAnsi="Arial" w:cs="Arial"/>
          <w:sz w:val="17"/>
          <w:szCs w:val="17"/>
        </w:rPr>
        <w:t>id for Syngenta,” Reuters, February 4, 2016, accessed July</w:t>
      </w:r>
      <w:r>
        <w:rPr>
          <w:rFonts w:ascii="Arial" w:hAnsi="Arial" w:cs="Arial"/>
          <w:sz w:val="17"/>
          <w:szCs w:val="17"/>
        </w:rPr>
        <w:t> </w:t>
      </w:r>
      <w:r w:rsidRPr="0025715B">
        <w:rPr>
          <w:rFonts w:ascii="Arial" w:hAnsi="Arial" w:cs="Arial"/>
          <w:sz w:val="17"/>
          <w:szCs w:val="17"/>
        </w:rPr>
        <w:t>2, 2017, www.reuters.com/article/us-syngenta-ag-m-a-chemchina-idUSKCN0VB1D9.</w:t>
      </w:r>
    </w:p>
  </w:endnote>
  <w:endnote w:id="26">
    <w:p w14:paraId="030C7A4B" w14:textId="5FBB800D"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w:t>
      </w:r>
      <w:r w:rsidRPr="00565DAA">
        <w:rPr>
          <w:rFonts w:ascii="Arial" w:hAnsi="Arial" w:cs="Arial"/>
          <w:sz w:val="17"/>
          <w:szCs w:val="17"/>
        </w:rPr>
        <w:t>“Syngenta Group Performance 2015,</w:t>
      </w:r>
      <w:r w:rsidRPr="005B7F92">
        <w:rPr>
          <w:rFonts w:ascii="Arial" w:hAnsi="Arial" w:cs="Arial"/>
          <w:sz w:val="17"/>
          <w:szCs w:val="17"/>
        </w:rPr>
        <w:t xml:space="preserve">” </w:t>
      </w:r>
      <w:r>
        <w:rPr>
          <w:rFonts w:ascii="Arial" w:hAnsi="Arial" w:cs="Arial"/>
          <w:sz w:val="17"/>
          <w:szCs w:val="17"/>
        </w:rPr>
        <w:t xml:space="preserve">Syngenta, </w:t>
      </w:r>
      <w:r w:rsidRPr="005B7F92">
        <w:rPr>
          <w:rFonts w:ascii="Arial" w:hAnsi="Arial" w:cs="Arial"/>
          <w:sz w:val="17"/>
          <w:szCs w:val="17"/>
        </w:rPr>
        <w:t xml:space="preserve">accessed October 11, 2017, </w:t>
      </w:r>
      <w:r w:rsidRPr="00565DAA">
        <w:rPr>
          <w:rFonts w:ascii="Arial" w:hAnsi="Arial" w:cs="Arial"/>
          <w:sz w:val="17"/>
          <w:szCs w:val="17"/>
        </w:rPr>
        <w:t>http://annualreport2015.syngenta.com/overview.html.</w:t>
      </w:r>
    </w:p>
  </w:endnote>
  <w:endnote w:id="27">
    <w:p w14:paraId="49124C69" w14:textId="04C737F7"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“Monsanto Said to Have Weighed $40 Billion Syngenta Deal,” </w:t>
      </w:r>
      <w:r>
        <w:rPr>
          <w:rFonts w:ascii="Arial" w:hAnsi="Arial" w:cs="Arial"/>
          <w:sz w:val="17"/>
          <w:szCs w:val="17"/>
        </w:rPr>
        <w:t xml:space="preserve">Bloomberg.com, </w:t>
      </w:r>
      <w:r w:rsidRPr="005B7F92">
        <w:rPr>
          <w:rFonts w:ascii="Arial" w:hAnsi="Arial" w:cs="Arial"/>
          <w:sz w:val="17"/>
          <w:szCs w:val="17"/>
        </w:rPr>
        <w:t>June 24, 2014, accessed October 11, 2017, www.cpmaindia.com/uploaded/Monsanto%20Said%20to%20Have%20Weighed.pdf.</w:t>
      </w:r>
    </w:p>
  </w:endnote>
  <w:endnote w:id="28">
    <w:p w14:paraId="7410275E" w14:textId="1A8E26B6"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“ChemChina</w:t>
      </w:r>
      <w:r>
        <w:rPr>
          <w:rFonts w:ascii="Arial" w:hAnsi="Arial" w:cs="Arial"/>
          <w:sz w:val="17"/>
          <w:szCs w:val="17"/>
        </w:rPr>
        <w:t xml:space="preserve"> C</w:t>
      </w:r>
      <w:r w:rsidRPr="005B7F92">
        <w:rPr>
          <w:rFonts w:ascii="Arial" w:hAnsi="Arial" w:cs="Arial"/>
          <w:sz w:val="17"/>
          <w:szCs w:val="17"/>
        </w:rPr>
        <w:t xml:space="preserve">linches </w:t>
      </w:r>
      <w:r>
        <w:rPr>
          <w:rFonts w:ascii="Arial" w:hAnsi="Arial" w:cs="Arial"/>
          <w:sz w:val="17"/>
          <w:szCs w:val="17"/>
        </w:rPr>
        <w:t>L</w:t>
      </w:r>
      <w:r w:rsidRPr="005B7F92">
        <w:rPr>
          <w:rFonts w:ascii="Arial" w:hAnsi="Arial" w:cs="Arial"/>
          <w:sz w:val="17"/>
          <w:szCs w:val="17"/>
        </w:rPr>
        <w:t xml:space="preserve">andmark $43 </w:t>
      </w:r>
      <w:r>
        <w:rPr>
          <w:rFonts w:ascii="Arial" w:hAnsi="Arial" w:cs="Arial"/>
          <w:sz w:val="17"/>
          <w:szCs w:val="17"/>
        </w:rPr>
        <w:t>B</w:t>
      </w:r>
      <w:r w:rsidRPr="005B7F92">
        <w:rPr>
          <w:rFonts w:ascii="Arial" w:hAnsi="Arial" w:cs="Arial"/>
          <w:sz w:val="17"/>
          <w:szCs w:val="17"/>
        </w:rPr>
        <w:t xml:space="preserve">illion </w:t>
      </w:r>
      <w:r>
        <w:rPr>
          <w:rFonts w:ascii="Arial" w:hAnsi="Arial" w:cs="Arial"/>
          <w:sz w:val="17"/>
          <w:szCs w:val="17"/>
        </w:rPr>
        <w:t>T</w:t>
      </w:r>
      <w:r w:rsidRPr="005B7F92">
        <w:rPr>
          <w:rFonts w:ascii="Arial" w:hAnsi="Arial" w:cs="Arial"/>
          <w:sz w:val="17"/>
          <w:szCs w:val="17"/>
        </w:rPr>
        <w:t xml:space="preserve">akeover of Syngenta,” </w:t>
      </w:r>
      <w:r w:rsidRPr="0074592C">
        <w:rPr>
          <w:rFonts w:ascii="Arial" w:hAnsi="Arial" w:cs="Arial"/>
          <w:sz w:val="17"/>
          <w:szCs w:val="17"/>
        </w:rPr>
        <w:t>Reuters</w:t>
      </w:r>
      <w:r w:rsidRPr="001464C1">
        <w:rPr>
          <w:rFonts w:ascii="Arial" w:hAnsi="Arial" w:cs="Arial"/>
          <w:sz w:val="17"/>
          <w:szCs w:val="17"/>
        </w:rPr>
        <w:t>,</w:t>
      </w:r>
      <w:r w:rsidRPr="005B7F92">
        <w:rPr>
          <w:rFonts w:ascii="Arial" w:hAnsi="Arial" w:cs="Arial"/>
          <w:sz w:val="17"/>
          <w:szCs w:val="17"/>
        </w:rPr>
        <w:t xml:space="preserve"> May 5, 2017, accessed October 11, 2017, https://www.reuters.com/article/us-syngenta-ag-m-a-chemchina/chemchina-clinches-landmark-43-billion-takeover-of-syngenta-idUSKBN1810CU.</w:t>
      </w:r>
    </w:p>
  </w:endnote>
  <w:endnote w:id="29">
    <w:p w14:paraId="050EBAA2" w14:textId="45D1ED32" w:rsidR="00E7297C" w:rsidRPr="002E5CD8" w:rsidRDefault="00E7297C" w:rsidP="005B7F92">
      <w:pPr>
        <w:pStyle w:val="EndnoteText"/>
        <w:jc w:val="both"/>
        <w:rPr>
          <w:rFonts w:ascii="Arial" w:hAnsi="Arial" w:cs="Arial"/>
          <w:spacing w:val="-6"/>
          <w:sz w:val="17"/>
          <w:szCs w:val="17"/>
        </w:rPr>
      </w:pPr>
      <w:r w:rsidRPr="002E5CD8">
        <w:rPr>
          <w:rStyle w:val="EndnoteReference"/>
          <w:rFonts w:ascii="Arial" w:hAnsi="Arial" w:cs="Arial"/>
          <w:spacing w:val="-6"/>
          <w:sz w:val="17"/>
          <w:szCs w:val="17"/>
        </w:rPr>
        <w:endnoteRef/>
      </w:r>
      <w:r>
        <w:rPr>
          <w:rFonts w:ascii="Arial" w:hAnsi="Arial" w:cs="Arial"/>
          <w:spacing w:val="-6"/>
          <w:sz w:val="17"/>
          <w:szCs w:val="17"/>
        </w:rPr>
        <w:t xml:space="preserve"> Dupont, </w:t>
      </w:r>
      <w:r w:rsidRPr="0074592C">
        <w:rPr>
          <w:rFonts w:ascii="Arial" w:hAnsi="Arial" w:cs="Arial"/>
          <w:i/>
          <w:spacing w:val="-6"/>
          <w:sz w:val="17"/>
          <w:szCs w:val="17"/>
        </w:rPr>
        <w:t>Dupont Annual Report 2015,</w:t>
      </w:r>
      <w:r w:rsidRPr="002E5CD8">
        <w:rPr>
          <w:rFonts w:ascii="Arial" w:hAnsi="Arial" w:cs="Arial"/>
          <w:spacing w:val="-6"/>
          <w:sz w:val="17"/>
          <w:szCs w:val="17"/>
        </w:rPr>
        <w:t xml:space="preserve"> accessed October 11, 2017, https://s2.q4cdn.com/752917794/files/doc_financials/2015/annual/2016-10K-Wrap-FINAL.pdf.</w:t>
      </w:r>
    </w:p>
  </w:endnote>
  <w:endnote w:id="30">
    <w:p w14:paraId="0F9215D6" w14:textId="122BAADA"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“DuPont </w:t>
      </w:r>
      <w:r>
        <w:rPr>
          <w:rFonts w:ascii="Arial" w:hAnsi="Arial" w:cs="Arial"/>
          <w:sz w:val="17"/>
          <w:szCs w:val="17"/>
        </w:rPr>
        <w:t>B</w:t>
      </w:r>
      <w:r w:rsidRPr="005B7F92">
        <w:rPr>
          <w:rFonts w:ascii="Arial" w:hAnsi="Arial" w:cs="Arial"/>
          <w:sz w:val="17"/>
          <w:szCs w:val="17"/>
        </w:rPr>
        <w:t xml:space="preserve">uying into Pioneer: DuPont Co. </w:t>
      </w:r>
      <w:r>
        <w:rPr>
          <w:rFonts w:ascii="Arial" w:hAnsi="Arial" w:cs="Arial"/>
          <w:sz w:val="17"/>
          <w:szCs w:val="17"/>
        </w:rPr>
        <w:t>W</w:t>
      </w:r>
      <w:r w:rsidRPr="005B7F92">
        <w:rPr>
          <w:rFonts w:ascii="Arial" w:hAnsi="Arial" w:cs="Arial"/>
          <w:sz w:val="17"/>
          <w:szCs w:val="17"/>
        </w:rPr>
        <w:t xml:space="preserve">ill </w:t>
      </w:r>
      <w:r>
        <w:rPr>
          <w:rFonts w:ascii="Arial" w:hAnsi="Arial" w:cs="Arial"/>
          <w:sz w:val="17"/>
          <w:szCs w:val="17"/>
        </w:rPr>
        <w:t>S</w:t>
      </w:r>
      <w:r w:rsidRPr="005B7F92">
        <w:rPr>
          <w:rFonts w:ascii="Arial" w:hAnsi="Arial" w:cs="Arial"/>
          <w:sz w:val="17"/>
          <w:szCs w:val="17"/>
        </w:rPr>
        <w:t xml:space="preserve">pend $1.7...,” </w:t>
      </w:r>
      <w:r w:rsidRPr="005B7F92">
        <w:rPr>
          <w:rFonts w:ascii="Arial" w:hAnsi="Arial" w:cs="Arial"/>
          <w:i/>
          <w:sz w:val="17"/>
          <w:szCs w:val="17"/>
        </w:rPr>
        <w:t>Chicago Tribune</w:t>
      </w:r>
      <w:r w:rsidRPr="005B7F92">
        <w:rPr>
          <w:rFonts w:ascii="Arial" w:hAnsi="Arial" w:cs="Arial"/>
          <w:sz w:val="17"/>
          <w:szCs w:val="17"/>
        </w:rPr>
        <w:t xml:space="preserve">, August 7, 1997, accessed October 11, 2017, http://articles.chicagotribune.com/1997-08-07/news/9708080350_1_pioneer-hi-bred-international-dekalb-genetics-corp-dupont; George </w:t>
      </w:r>
      <w:proofErr w:type="spellStart"/>
      <w:r w:rsidRPr="005B7F92">
        <w:rPr>
          <w:rFonts w:ascii="Arial" w:hAnsi="Arial" w:cs="Arial"/>
          <w:sz w:val="17"/>
          <w:szCs w:val="17"/>
        </w:rPr>
        <w:t>Gunset</w:t>
      </w:r>
      <w:proofErr w:type="spellEnd"/>
      <w:r w:rsidRPr="005B7F92">
        <w:rPr>
          <w:rFonts w:ascii="Arial" w:hAnsi="Arial" w:cs="Arial"/>
          <w:sz w:val="17"/>
          <w:szCs w:val="17"/>
        </w:rPr>
        <w:t xml:space="preserve">, “Dupont To Buy Pioneer Hi-bred As Agribusiness Mergers Heat Up,” </w:t>
      </w:r>
      <w:r w:rsidRPr="005B7F92">
        <w:rPr>
          <w:rFonts w:ascii="Arial" w:hAnsi="Arial" w:cs="Arial"/>
          <w:i/>
          <w:sz w:val="17"/>
          <w:szCs w:val="17"/>
        </w:rPr>
        <w:t>Chicago Tribune</w:t>
      </w:r>
      <w:r w:rsidRPr="005B7F92">
        <w:rPr>
          <w:rFonts w:ascii="Arial" w:hAnsi="Arial" w:cs="Arial"/>
          <w:sz w:val="17"/>
          <w:szCs w:val="17"/>
        </w:rPr>
        <w:t>, March</w:t>
      </w:r>
      <w:r>
        <w:rPr>
          <w:rFonts w:ascii="Arial" w:hAnsi="Arial" w:cs="Arial"/>
          <w:sz w:val="17"/>
          <w:szCs w:val="17"/>
        </w:rPr>
        <w:t> </w:t>
      </w:r>
      <w:r w:rsidRPr="005B7F92">
        <w:rPr>
          <w:rFonts w:ascii="Arial" w:hAnsi="Arial" w:cs="Arial"/>
          <w:sz w:val="17"/>
          <w:szCs w:val="17"/>
        </w:rPr>
        <w:t>16, 1999, accessed October 11, 2017, http://articles.chicagotribune.com/1999-03-16/business/9903160199_1_seed-corn-dekalb-genetics-pioneer-hi-bred-international.</w:t>
      </w:r>
    </w:p>
  </w:endnote>
  <w:endnote w:id="31">
    <w:p w14:paraId="0FD1B48F" w14:textId="2AEE2FA5"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Pr>
          <w:rFonts w:ascii="Arial" w:hAnsi="Arial" w:cs="Arial"/>
          <w:sz w:val="17"/>
          <w:szCs w:val="17"/>
        </w:rPr>
        <w:t xml:space="preserve">The </w:t>
      </w:r>
      <w:r w:rsidRPr="0074592C">
        <w:rPr>
          <w:rFonts w:ascii="Arial" w:hAnsi="Arial" w:cs="Arial"/>
          <w:sz w:val="17"/>
          <w:szCs w:val="17"/>
        </w:rPr>
        <w:t>Dow</w:t>
      </w:r>
      <w:r>
        <w:rPr>
          <w:rFonts w:ascii="Arial" w:hAnsi="Arial" w:cs="Arial"/>
          <w:sz w:val="17"/>
          <w:szCs w:val="17"/>
        </w:rPr>
        <w:t xml:space="preserve"> Chemical Company</w:t>
      </w:r>
      <w:r w:rsidRPr="0074592C">
        <w:rPr>
          <w:rFonts w:ascii="Arial" w:hAnsi="Arial" w:cs="Arial"/>
          <w:sz w:val="17"/>
          <w:szCs w:val="17"/>
        </w:rPr>
        <w:t>,</w:t>
      </w:r>
      <w:r>
        <w:rPr>
          <w:rFonts w:ascii="Arial" w:hAnsi="Arial" w:cs="Arial"/>
          <w:i/>
          <w:sz w:val="17"/>
          <w:szCs w:val="17"/>
        </w:rPr>
        <w:t xml:space="preserve"> </w:t>
      </w:r>
      <w:r w:rsidRPr="0074592C">
        <w:rPr>
          <w:rFonts w:ascii="Arial" w:hAnsi="Arial" w:cs="Arial"/>
          <w:i/>
          <w:sz w:val="17"/>
          <w:szCs w:val="17"/>
        </w:rPr>
        <w:t>The Dow Chemical Company 2015 Annual Report</w:t>
      </w:r>
      <w:r w:rsidRPr="005B7F92">
        <w:rPr>
          <w:rFonts w:ascii="Arial" w:hAnsi="Arial" w:cs="Arial"/>
          <w:sz w:val="17"/>
          <w:szCs w:val="17"/>
        </w:rPr>
        <w:t>, accessed October 11, 2017, www.annualreports.com/HostedData/AnnualReportArchive/t/NYSE_DOW_2015.pdf, 1.</w:t>
      </w:r>
    </w:p>
  </w:endnote>
  <w:endnote w:id="32">
    <w:p w14:paraId="575649B8" w14:textId="269BE365"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w:t>
      </w:r>
      <w:r w:rsidRPr="0074592C">
        <w:rPr>
          <w:rFonts w:ascii="Arial" w:hAnsi="Arial" w:cs="Arial"/>
          <w:sz w:val="17"/>
          <w:szCs w:val="17"/>
        </w:rPr>
        <w:t>BASF,</w:t>
      </w:r>
      <w:r>
        <w:rPr>
          <w:rFonts w:ascii="Arial" w:hAnsi="Arial" w:cs="Arial"/>
          <w:i/>
          <w:sz w:val="17"/>
          <w:szCs w:val="17"/>
        </w:rPr>
        <w:t xml:space="preserve"> </w:t>
      </w:r>
      <w:r w:rsidRPr="0074592C">
        <w:rPr>
          <w:rFonts w:ascii="Arial" w:hAnsi="Arial" w:cs="Arial"/>
          <w:i/>
          <w:sz w:val="17"/>
          <w:szCs w:val="17"/>
        </w:rPr>
        <w:t>BASF Report 2016,</w:t>
      </w:r>
      <w:r w:rsidRPr="005B7F92">
        <w:rPr>
          <w:rFonts w:ascii="Arial" w:hAnsi="Arial" w:cs="Arial"/>
          <w:sz w:val="17"/>
          <w:szCs w:val="17"/>
        </w:rPr>
        <w:t xml:space="preserve"> accessed October 11, 2017, https://www.basf.com/documents/corp/en/about-us/publications/reports/2017/BASF_Report_2016.pdf.</w:t>
      </w:r>
    </w:p>
  </w:endnote>
  <w:endnote w:id="33">
    <w:p w14:paraId="033B34D3" w14:textId="5F710E8C"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“Vandana Shiva on </w:t>
      </w:r>
      <w:r>
        <w:rPr>
          <w:rFonts w:ascii="Arial" w:hAnsi="Arial" w:cs="Arial"/>
          <w:sz w:val="17"/>
          <w:szCs w:val="17"/>
        </w:rPr>
        <w:t xml:space="preserve">Just </w:t>
      </w:r>
      <w:r w:rsidRPr="0025715B">
        <w:rPr>
          <w:rFonts w:ascii="Arial" w:hAnsi="Arial" w:cs="Arial"/>
          <w:sz w:val="17"/>
          <w:szCs w:val="17"/>
        </w:rPr>
        <w:t xml:space="preserve">Food,” </w:t>
      </w:r>
      <w:r>
        <w:rPr>
          <w:rFonts w:ascii="Arial" w:hAnsi="Arial" w:cs="Arial"/>
          <w:sz w:val="17"/>
          <w:szCs w:val="17"/>
        </w:rPr>
        <w:t>op. cit.</w:t>
      </w:r>
    </w:p>
  </w:endnote>
  <w:endnote w:id="34">
    <w:p w14:paraId="290DEC80" w14:textId="0144CA1C"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Gary P. Pisano, “Monsanto</w:t>
      </w:r>
      <w:r>
        <w:rPr>
          <w:rFonts w:ascii="Arial" w:hAnsi="Arial" w:cs="Arial"/>
          <w:sz w:val="17"/>
          <w:szCs w:val="17"/>
        </w:rPr>
        <w:t>’</w:t>
      </w:r>
      <w:r w:rsidRPr="005B7F92">
        <w:rPr>
          <w:rFonts w:ascii="Arial" w:hAnsi="Arial" w:cs="Arial"/>
          <w:sz w:val="17"/>
          <w:szCs w:val="17"/>
        </w:rPr>
        <w:t xml:space="preserve">s March into Biotechnology (A)," </w:t>
      </w:r>
      <w:r w:rsidRPr="005B7F92">
        <w:rPr>
          <w:rFonts w:ascii="Arial" w:hAnsi="Arial" w:cs="Arial"/>
          <w:i/>
          <w:sz w:val="17"/>
          <w:szCs w:val="17"/>
        </w:rPr>
        <w:t>Harvard Business School Case</w:t>
      </w:r>
      <w:r w:rsidRPr="005B7F92">
        <w:rPr>
          <w:rFonts w:ascii="Arial" w:hAnsi="Arial" w:cs="Arial"/>
          <w:sz w:val="17"/>
          <w:szCs w:val="17"/>
        </w:rPr>
        <w:t xml:space="preserve"> 690-009, January 1990</w:t>
      </w:r>
      <w:r>
        <w:rPr>
          <w:rFonts w:ascii="Arial" w:hAnsi="Arial" w:cs="Arial"/>
          <w:sz w:val="17"/>
          <w:szCs w:val="17"/>
        </w:rPr>
        <w:t>,</w:t>
      </w:r>
      <w:r w:rsidRPr="005B7F92">
        <w:rPr>
          <w:rFonts w:ascii="Arial" w:hAnsi="Arial" w:cs="Arial"/>
          <w:sz w:val="17"/>
          <w:szCs w:val="17"/>
        </w:rPr>
        <w:t xml:space="preserve"> (</w:t>
      </w:r>
      <w:r>
        <w:rPr>
          <w:rFonts w:ascii="Arial" w:hAnsi="Arial" w:cs="Arial"/>
          <w:sz w:val="17"/>
          <w:szCs w:val="17"/>
        </w:rPr>
        <w:t>r</w:t>
      </w:r>
      <w:r w:rsidRPr="005B7F92">
        <w:rPr>
          <w:rFonts w:ascii="Arial" w:hAnsi="Arial" w:cs="Arial"/>
          <w:sz w:val="17"/>
          <w:szCs w:val="17"/>
        </w:rPr>
        <w:t>evised October 1993)</w:t>
      </w:r>
      <w:r>
        <w:rPr>
          <w:rFonts w:ascii="Arial" w:hAnsi="Arial" w:cs="Arial"/>
          <w:sz w:val="17"/>
          <w:szCs w:val="17"/>
        </w:rPr>
        <w:t>.</w:t>
      </w:r>
    </w:p>
  </w:endnote>
  <w:endnote w:id="35">
    <w:p w14:paraId="415A613A" w14:textId="45FB49BE"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Pr>
          <w:rFonts w:ascii="Arial" w:hAnsi="Arial" w:cs="Arial"/>
          <w:sz w:val="17"/>
          <w:szCs w:val="17"/>
        </w:rPr>
        <w:t xml:space="preserve"> </w:t>
      </w:r>
      <w:r w:rsidRPr="0025715B">
        <w:rPr>
          <w:rFonts w:ascii="Arial" w:hAnsi="Arial" w:cs="Arial"/>
          <w:sz w:val="17"/>
          <w:szCs w:val="17"/>
        </w:rPr>
        <w:t>“</w:t>
      </w:r>
      <w:r>
        <w:rPr>
          <w:rFonts w:ascii="Arial" w:hAnsi="Arial" w:cs="Arial"/>
          <w:sz w:val="17"/>
          <w:szCs w:val="17"/>
        </w:rPr>
        <w:t xml:space="preserve">Company </w:t>
      </w:r>
      <w:r w:rsidRPr="0025715B">
        <w:rPr>
          <w:rFonts w:ascii="Arial" w:hAnsi="Arial" w:cs="Arial"/>
          <w:sz w:val="17"/>
          <w:szCs w:val="17"/>
        </w:rPr>
        <w:t xml:space="preserve">History,” </w:t>
      </w:r>
      <w:r>
        <w:rPr>
          <w:rFonts w:ascii="Arial" w:hAnsi="Arial" w:cs="Arial"/>
          <w:sz w:val="17"/>
          <w:szCs w:val="17"/>
        </w:rPr>
        <w:t xml:space="preserve">Monsanto Company, </w:t>
      </w:r>
      <w:r w:rsidRPr="0025715B">
        <w:rPr>
          <w:rFonts w:ascii="Arial" w:hAnsi="Arial" w:cs="Arial"/>
          <w:sz w:val="17"/>
          <w:szCs w:val="17"/>
        </w:rPr>
        <w:t xml:space="preserve">accessed </w:t>
      </w:r>
      <w:r>
        <w:rPr>
          <w:rFonts w:ascii="Arial" w:hAnsi="Arial" w:cs="Arial"/>
          <w:sz w:val="17"/>
          <w:szCs w:val="17"/>
        </w:rPr>
        <w:t>October 11</w:t>
      </w:r>
      <w:r w:rsidRPr="0025715B">
        <w:rPr>
          <w:rFonts w:ascii="Arial" w:hAnsi="Arial" w:cs="Arial"/>
          <w:sz w:val="17"/>
          <w:szCs w:val="17"/>
        </w:rPr>
        <w:t xml:space="preserve">, 2017, </w:t>
      </w:r>
      <w:r w:rsidRPr="00CB752E">
        <w:rPr>
          <w:rStyle w:val="FootnoteChar"/>
        </w:rPr>
        <w:t>https://monsanto.com/company/history/</w:t>
      </w:r>
      <w:r>
        <w:rPr>
          <w:rStyle w:val="FootnoteChar"/>
        </w:rPr>
        <w:t>.</w:t>
      </w:r>
    </w:p>
  </w:endnote>
  <w:endnote w:id="36">
    <w:p w14:paraId="1787FC12" w14:textId="32D05F92"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“Corporate Relationships Among Monsanto Company, Pharmacia LLC, Pfizer Inc., Solutia Inc., and Eastman Chemical Company,” </w:t>
      </w:r>
      <w:r>
        <w:rPr>
          <w:rFonts w:ascii="Arial" w:hAnsi="Arial" w:cs="Arial"/>
          <w:sz w:val="17"/>
          <w:szCs w:val="17"/>
        </w:rPr>
        <w:t xml:space="preserve">Monsanto, April 9, 2017, </w:t>
      </w:r>
      <w:r w:rsidRPr="0025715B">
        <w:rPr>
          <w:rFonts w:ascii="Arial" w:hAnsi="Arial" w:cs="Arial"/>
          <w:sz w:val="17"/>
          <w:szCs w:val="17"/>
        </w:rPr>
        <w:t>accessed July 2, 2017, www.monsanto.com/whoweare/pages/monsanto-relationships-pfizer-solutia.aspx.</w:t>
      </w:r>
    </w:p>
  </w:endnote>
  <w:endnote w:id="37">
    <w:p w14:paraId="37853003" w14:textId="3B147330" w:rsidR="00E7297C" w:rsidRPr="003430F6" w:rsidRDefault="00E7297C" w:rsidP="004E59EB">
      <w:pPr>
        <w:pStyle w:val="Footnote"/>
      </w:pPr>
      <w:r>
        <w:rPr>
          <w:rStyle w:val="EndnoteReference"/>
        </w:rPr>
        <w:endnoteRef/>
      </w:r>
      <w:r w:rsidRPr="003430F6">
        <w:t xml:space="preserve"> “Monsanto</w:t>
      </w:r>
      <w:r>
        <w:t xml:space="preserve"> </w:t>
      </w:r>
      <w:r w:rsidRPr="003430F6">
        <w:t>Annual</w:t>
      </w:r>
      <w:r>
        <w:t xml:space="preserve"> </w:t>
      </w:r>
      <w:r w:rsidRPr="003430F6">
        <w:t xml:space="preserve">Report 2016,” </w:t>
      </w:r>
      <w:r>
        <w:t xml:space="preserve">Monsanto, </w:t>
      </w:r>
      <w:r w:rsidRPr="003430F6">
        <w:t>accessed July 18, 2017, https://monsanto.com/app/uploads/2017/05/2016_monsanto_annual_report.pdf.</w:t>
      </w:r>
    </w:p>
  </w:endnote>
  <w:endnote w:id="38">
    <w:p w14:paraId="61F9346A" w14:textId="5448D34A" w:rsidR="00E7297C" w:rsidRPr="005B7F92" w:rsidRDefault="00E7297C" w:rsidP="005B7F92">
      <w:pPr>
        <w:pStyle w:val="EndnoteText"/>
        <w:jc w:val="both"/>
        <w:rPr>
          <w:rFonts w:ascii="Arial" w:hAnsi="Arial" w:cs="Arial"/>
          <w:sz w:val="17"/>
          <w:szCs w:val="17"/>
        </w:rPr>
      </w:pPr>
      <w:r w:rsidRPr="005B7F92">
        <w:rPr>
          <w:rStyle w:val="EndnoteReference"/>
          <w:rFonts w:ascii="Arial" w:hAnsi="Arial" w:cs="Arial"/>
          <w:sz w:val="17"/>
          <w:szCs w:val="17"/>
        </w:rPr>
        <w:endnoteRef/>
      </w:r>
      <w:r w:rsidRPr="005B7F92">
        <w:rPr>
          <w:rFonts w:ascii="Arial" w:hAnsi="Arial" w:cs="Arial"/>
          <w:sz w:val="17"/>
          <w:szCs w:val="17"/>
        </w:rPr>
        <w:t xml:space="preserve"> Laura Meyer, “Monsanto Marks Record Sales and Gross Profit in Seeds and Genomics Segment in Fiscal Year 2017, Fueled by Excellent Technology Adoption,” </w:t>
      </w:r>
      <w:r w:rsidRPr="005B7F92">
        <w:rPr>
          <w:rFonts w:ascii="Arial" w:hAnsi="Arial" w:cs="Arial"/>
          <w:i/>
          <w:sz w:val="17"/>
          <w:szCs w:val="17"/>
        </w:rPr>
        <w:t>Business Wire</w:t>
      </w:r>
      <w:r w:rsidRPr="005B7F92">
        <w:rPr>
          <w:rFonts w:ascii="Arial" w:hAnsi="Arial" w:cs="Arial"/>
          <w:sz w:val="17"/>
          <w:szCs w:val="17"/>
        </w:rPr>
        <w:t>, October 4, 2017, October 11, 2017, www.businesswire.com/news/home/20171004005712/en/Monsanto-Marks-Record-Sales-Gross-Profit-Seeds.</w:t>
      </w:r>
    </w:p>
  </w:endnote>
  <w:endnote w:id="39">
    <w:p w14:paraId="392B0806" w14:textId="502D0F56" w:rsidR="00E7297C" w:rsidRDefault="00E7297C" w:rsidP="005B7F92">
      <w:pPr>
        <w:pStyle w:val="EndnoteText"/>
        <w:jc w:val="both"/>
      </w:pPr>
      <w:r w:rsidRPr="005B7F92">
        <w:rPr>
          <w:rStyle w:val="EndnoteReference"/>
          <w:rFonts w:ascii="Arial" w:hAnsi="Arial" w:cs="Arial"/>
          <w:sz w:val="17"/>
          <w:szCs w:val="17"/>
        </w:rPr>
        <w:endnoteRef/>
      </w:r>
      <w:r w:rsidRPr="005B7F92">
        <w:rPr>
          <w:rFonts w:ascii="Arial" w:hAnsi="Arial" w:cs="Arial"/>
          <w:sz w:val="17"/>
          <w:szCs w:val="17"/>
        </w:rPr>
        <w:t xml:space="preserve"> </w:t>
      </w:r>
      <w:r>
        <w:rPr>
          <w:rFonts w:ascii="Arial" w:hAnsi="Arial" w:cs="Arial"/>
          <w:sz w:val="17"/>
          <w:szCs w:val="17"/>
        </w:rPr>
        <w:t>Ibid.</w:t>
      </w:r>
    </w:p>
  </w:endnote>
  <w:endnote w:id="40">
    <w:p w14:paraId="64B21149" w14:textId="31DA57C7"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“Chairman’s Letter</w:t>
      </w:r>
      <w:r>
        <w:rPr>
          <w:rFonts w:ascii="Arial" w:hAnsi="Arial" w:cs="Arial"/>
          <w:sz w:val="17"/>
          <w:szCs w:val="17"/>
        </w:rPr>
        <w:t>,</w:t>
      </w:r>
      <w:r w:rsidRPr="0025715B">
        <w:rPr>
          <w:rFonts w:ascii="Arial" w:hAnsi="Arial" w:cs="Arial"/>
          <w:sz w:val="17"/>
          <w:szCs w:val="17"/>
        </w:rPr>
        <w:t xml:space="preserve">” </w:t>
      </w:r>
      <w:r>
        <w:rPr>
          <w:rFonts w:ascii="Arial" w:hAnsi="Arial" w:cs="Arial"/>
          <w:sz w:val="17"/>
          <w:szCs w:val="17"/>
        </w:rPr>
        <w:t xml:space="preserve">Bayer, </w:t>
      </w:r>
      <w:r w:rsidRPr="0025715B">
        <w:rPr>
          <w:rFonts w:ascii="Arial" w:hAnsi="Arial" w:cs="Arial"/>
          <w:sz w:val="17"/>
          <w:szCs w:val="17"/>
        </w:rPr>
        <w:t>accessed July 2, 2017, www.annualreport2016.bayer.com/to-our-stockholders/chairman-s-letter.html.</w:t>
      </w:r>
    </w:p>
  </w:endnote>
  <w:endnote w:id="41">
    <w:p w14:paraId="6904A7FB" w14:textId="3E6A2F32"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Reuters, “Monsanto Rejects $62 Billion Bayer Takeover Bid,” </w:t>
      </w:r>
      <w:r w:rsidRPr="004E59EB">
        <w:rPr>
          <w:rFonts w:ascii="Arial" w:hAnsi="Arial" w:cs="Arial"/>
          <w:i/>
          <w:sz w:val="17"/>
          <w:szCs w:val="17"/>
        </w:rPr>
        <w:t>Fortune</w:t>
      </w:r>
      <w:r w:rsidRPr="0025715B">
        <w:rPr>
          <w:rFonts w:ascii="Arial" w:hAnsi="Arial" w:cs="Arial"/>
          <w:sz w:val="17"/>
          <w:szCs w:val="17"/>
        </w:rPr>
        <w:t>, May 24, 2016, accessed July 2, 2017, http://fortune.com/2016/05/24/monsanto-rejects-62-billion-bayer-takeover-bid/.</w:t>
      </w:r>
    </w:p>
  </w:endnote>
  <w:endnote w:id="42">
    <w:p w14:paraId="4DA55151" w14:textId="4EC22425"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Greg </w:t>
      </w:r>
      <w:proofErr w:type="spellStart"/>
      <w:r w:rsidRPr="0025715B">
        <w:rPr>
          <w:rFonts w:ascii="Arial" w:hAnsi="Arial" w:cs="Arial"/>
          <w:sz w:val="17"/>
          <w:szCs w:val="17"/>
        </w:rPr>
        <w:t>Roumeliotis</w:t>
      </w:r>
      <w:proofErr w:type="spellEnd"/>
      <w:r w:rsidRPr="0025715B">
        <w:rPr>
          <w:rFonts w:ascii="Arial" w:hAnsi="Arial" w:cs="Arial"/>
          <w:sz w:val="17"/>
          <w:szCs w:val="17"/>
        </w:rPr>
        <w:t xml:space="preserve"> and Ludwig Burger, “Bayer </w:t>
      </w:r>
      <w:r>
        <w:rPr>
          <w:rFonts w:ascii="Arial" w:hAnsi="Arial" w:cs="Arial"/>
          <w:sz w:val="17"/>
          <w:szCs w:val="17"/>
        </w:rPr>
        <w:t>C</w:t>
      </w:r>
      <w:r w:rsidRPr="0025715B">
        <w:rPr>
          <w:rFonts w:ascii="Arial" w:hAnsi="Arial" w:cs="Arial"/>
          <w:sz w:val="17"/>
          <w:szCs w:val="17"/>
        </w:rPr>
        <w:t xml:space="preserve">linches Monsanto with </w:t>
      </w:r>
      <w:r>
        <w:rPr>
          <w:rFonts w:ascii="Arial" w:hAnsi="Arial" w:cs="Arial"/>
          <w:sz w:val="17"/>
          <w:szCs w:val="17"/>
        </w:rPr>
        <w:t>I</w:t>
      </w:r>
      <w:r w:rsidRPr="0025715B">
        <w:rPr>
          <w:rFonts w:ascii="Arial" w:hAnsi="Arial" w:cs="Arial"/>
          <w:sz w:val="17"/>
          <w:szCs w:val="17"/>
        </w:rPr>
        <w:t xml:space="preserve">mproved $66 </w:t>
      </w:r>
      <w:r>
        <w:rPr>
          <w:rFonts w:ascii="Arial" w:hAnsi="Arial" w:cs="Arial"/>
          <w:sz w:val="17"/>
          <w:szCs w:val="17"/>
        </w:rPr>
        <w:t>B</w:t>
      </w:r>
      <w:r w:rsidRPr="0025715B">
        <w:rPr>
          <w:rFonts w:ascii="Arial" w:hAnsi="Arial" w:cs="Arial"/>
          <w:sz w:val="17"/>
          <w:szCs w:val="17"/>
        </w:rPr>
        <w:t xml:space="preserve">illion </w:t>
      </w:r>
      <w:r>
        <w:rPr>
          <w:rFonts w:ascii="Arial" w:hAnsi="Arial" w:cs="Arial"/>
          <w:sz w:val="17"/>
          <w:szCs w:val="17"/>
        </w:rPr>
        <w:t>B</w:t>
      </w:r>
      <w:r w:rsidRPr="0025715B">
        <w:rPr>
          <w:rFonts w:ascii="Arial" w:hAnsi="Arial" w:cs="Arial"/>
          <w:sz w:val="17"/>
          <w:szCs w:val="17"/>
        </w:rPr>
        <w:t xml:space="preserve">id,” </w:t>
      </w:r>
      <w:r>
        <w:rPr>
          <w:rFonts w:ascii="Arial" w:hAnsi="Arial" w:cs="Arial"/>
          <w:sz w:val="17"/>
          <w:szCs w:val="17"/>
        </w:rPr>
        <w:t xml:space="preserve">Reuters, </w:t>
      </w:r>
      <w:r w:rsidRPr="0025715B">
        <w:rPr>
          <w:rFonts w:ascii="Arial" w:hAnsi="Arial" w:cs="Arial"/>
          <w:sz w:val="17"/>
          <w:szCs w:val="17"/>
        </w:rPr>
        <w:t>September 15, 2016, accessed July 2, 2017, www.reuters.com/article/us-monsanto-m-a-bayer-deal-idUSKCN11K128.</w:t>
      </w:r>
    </w:p>
  </w:endnote>
  <w:endnote w:id="43">
    <w:p w14:paraId="22C932E9" w14:textId="3156A162"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Reuters, “Monsanto Rejects $62 Billion Bayer Takeover Bid,” </w:t>
      </w:r>
      <w:r>
        <w:rPr>
          <w:rFonts w:ascii="Arial" w:hAnsi="Arial" w:cs="Arial"/>
          <w:sz w:val="17"/>
          <w:szCs w:val="17"/>
        </w:rPr>
        <w:t>op. cit.</w:t>
      </w:r>
    </w:p>
  </w:endnote>
  <w:endnote w:id="44">
    <w:p w14:paraId="35F9E42C" w14:textId="6379FC66"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“Rating,” </w:t>
      </w:r>
      <w:r>
        <w:rPr>
          <w:rFonts w:ascii="Arial" w:hAnsi="Arial" w:cs="Arial"/>
          <w:sz w:val="17"/>
          <w:szCs w:val="17"/>
        </w:rPr>
        <w:t xml:space="preserve">Bayer, </w:t>
      </w:r>
      <w:r w:rsidRPr="0025715B">
        <w:rPr>
          <w:rFonts w:ascii="Arial" w:hAnsi="Arial" w:cs="Arial"/>
          <w:sz w:val="17"/>
          <w:szCs w:val="17"/>
        </w:rPr>
        <w:t>accessed July 2, 2017, www.investor.bayer.de/en/bonds/rating/.</w:t>
      </w:r>
    </w:p>
  </w:endnote>
  <w:endnote w:id="45">
    <w:p w14:paraId="671F6FC1" w14:textId="08DEB2D9"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Sonja </w:t>
      </w:r>
      <w:proofErr w:type="spellStart"/>
      <w:r w:rsidRPr="0025715B">
        <w:rPr>
          <w:rFonts w:ascii="Arial" w:hAnsi="Arial" w:cs="Arial"/>
          <w:sz w:val="17"/>
          <w:szCs w:val="17"/>
        </w:rPr>
        <w:t>Begemann</w:t>
      </w:r>
      <w:proofErr w:type="spellEnd"/>
      <w:r w:rsidRPr="0025715B">
        <w:rPr>
          <w:rFonts w:ascii="Arial" w:hAnsi="Arial" w:cs="Arial"/>
          <w:sz w:val="17"/>
          <w:szCs w:val="17"/>
        </w:rPr>
        <w:t>, “Bayer/Monsanto Seeking Merger Approval from 30 Countries,” AG</w:t>
      </w:r>
      <w:r>
        <w:rPr>
          <w:rFonts w:ascii="Arial" w:hAnsi="Arial" w:cs="Arial"/>
          <w:sz w:val="17"/>
          <w:szCs w:val="17"/>
        </w:rPr>
        <w:t>WEB</w:t>
      </w:r>
      <w:r w:rsidRPr="0025715B">
        <w:rPr>
          <w:rFonts w:ascii="Arial" w:hAnsi="Arial" w:cs="Arial"/>
          <w:sz w:val="17"/>
          <w:szCs w:val="17"/>
        </w:rPr>
        <w:t>, March 3, 2017, accessed July</w:t>
      </w:r>
      <w:r>
        <w:rPr>
          <w:rFonts w:ascii="Arial" w:hAnsi="Arial" w:cs="Arial"/>
          <w:sz w:val="17"/>
          <w:szCs w:val="17"/>
        </w:rPr>
        <w:t> </w:t>
      </w:r>
      <w:r w:rsidRPr="0025715B">
        <w:rPr>
          <w:rFonts w:ascii="Arial" w:hAnsi="Arial" w:cs="Arial"/>
          <w:sz w:val="17"/>
          <w:szCs w:val="17"/>
        </w:rPr>
        <w:t xml:space="preserve">2, 2017, </w:t>
      </w:r>
      <w:r w:rsidRPr="00DE32ED">
        <w:rPr>
          <w:rFonts w:ascii="Arial" w:hAnsi="Arial" w:cs="Arial"/>
          <w:sz w:val="17"/>
          <w:szCs w:val="17"/>
        </w:rPr>
        <w:t>https://www.agweb.com/article/bayermonsanto-seeking-merger-approval-from-30-countries-naa-sonja-begemann/</w:t>
      </w:r>
      <w:r w:rsidRPr="0025715B">
        <w:rPr>
          <w:rFonts w:ascii="Arial" w:hAnsi="Arial" w:cs="Arial"/>
          <w:sz w:val="17"/>
          <w:szCs w:val="17"/>
        </w:rPr>
        <w:t>.</w:t>
      </w:r>
    </w:p>
  </w:endnote>
  <w:endnote w:id="46">
    <w:p w14:paraId="4779C125" w14:textId="66AF3CBE" w:rsidR="00E7297C" w:rsidRPr="005B7F92" w:rsidRDefault="00E7297C" w:rsidP="005B7F92">
      <w:pPr>
        <w:pStyle w:val="EndnoteText"/>
        <w:jc w:val="both"/>
        <w:rPr>
          <w:rFonts w:ascii="Arial" w:hAnsi="Arial"/>
          <w:sz w:val="17"/>
          <w:szCs w:val="17"/>
        </w:rPr>
      </w:pPr>
      <w:r w:rsidRPr="005B7F92">
        <w:rPr>
          <w:rStyle w:val="EndnoteReference"/>
          <w:rFonts w:ascii="Arial" w:hAnsi="Arial"/>
          <w:sz w:val="17"/>
          <w:szCs w:val="17"/>
        </w:rPr>
        <w:endnoteRef/>
      </w:r>
      <w:r w:rsidRPr="005B7F92">
        <w:rPr>
          <w:rFonts w:ascii="Arial" w:hAnsi="Arial"/>
          <w:sz w:val="17"/>
          <w:szCs w:val="17"/>
        </w:rPr>
        <w:t xml:space="preserve"> </w:t>
      </w:r>
      <w:r w:rsidRPr="005B7F92">
        <w:rPr>
          <w:rFonts w:ascii="Arial" w:hAnsi="Arial" w:cs="Arial"/>
          <w:sz w:val="17"/>
          <w:szCs w:val="17"/>
        </w:rPr>
        <w:t xml:space="preserve">Chase Purdy, “In a </w:t>
      </w:r>
      <w:r>
        <w:rPr>
          <w:rFonts w:ascii="Arial" w:hAnsi="Arial" w:cs="Arial"/>
          <w:sz w:val="17"/>
          <w:szCs w:val="17"/>
        </w:rPr>
        <w:t>B</w:t>
      </w:r>
      <w:r w:rsidRPr="005B7F92">
        <w:rPr>
          <w:rFonts w:ascii="Arial" w:hAnsi="Arial" w:cs="Arial"/>
          <w:sz w:val="17"/>
          <w:szCs w:val="17"/>
        </w:rPr>
        <w:t xml:space="preserve">listering </w:t>
      </w:r>
      <w:r>
        <w:rPr>
          <w:rFonts w:ascii="Arial" w:hAnsi="Arial" w:cs="Arial"/>
          <w:sz w:val="17"/>
          <w:szCs w:val="17"/>
        </w:rPr>
        <w:t>M</w:t>
      </w:r>
      <w:r w:rsidRPr="005B7F92">
        <w:rPr>
          <w:rFonts w:ascii="Arial" w:hAnsi="Arial" w:cs="Arial"/>
          <w:sz w:val="17"/>
          <w:szCs w:val="17"/>
        </w:rPr>
        <w:t xml:space="preserve">ove, the EU </w:t>
      </w:r>
      <w:r>
        <w:rPr>
          <w:rFonts w:ascii="Arial" w:hAnsi="Arial" w:cs="Arial"/>
          <w:sz w:val="17"/>
          <w:szCs w:val="17"/>
        </w:rPr>
        <w:t>T</w:t>
      </w:r>
      <w:r w:rsidRPr="005B7F92">
        <w:rPr>
          <w:rFonts w:ascii="Arial" w:hAnsi="Arial" w:cs="Arial"/>
          <w:sz w:val="17"/>
          <w:szCs w:val="17"/>
        </w:rPr>
        <w:t xml:space="preserve">ells Monsanto </w:t>
      </w:r>
      <w:r>
        <w:rPr>
          <w:rFonts w:ascii="Arial" w:hAnsi="Arial" w:cs="Arial"/>
          <w:sz w:val="17"/>
          <w:szCs w:val="17"/>
        </w:rPr>
        <w:t>I</w:t>
      </w:r>
      <w:r w:rsidRPr="005B7F92">
        <w:rPr>
          <w:rFonts w:ascii="Arial" w:hAnsi="Arial" w:cs="Arial"/>
          <w:sz w:val="17"/>
          <w:szCs w:val="17"/>
        </w:rPr>
        <w:t xml:space="preserve">t </w:t>
      </w:r>
      <w:r>
        <w:rPr>
          <w:rFonts w:ascii="Arial" w:hAnsi="Arial" w:cs="Arial"/>
          <w:sz w:val="17"/>
          <w:szCs w:val="17"/>
        </w:rPr>
        <w:t>I</w:t>
      </w:r>
      <w:r w:rsidRPr="005B7F92">
        <w:rPr>
          <w:rFonts w:ascii="Arial" w:hAnsi="Arial" w:cs="Arial"/>
          <w:sz w:val="17"/>
          <w:szCs w:val="17"/>
        </w:rPr>
        <w:t xml:space="preserve">sn’t </w:t>
      </w:r>
      <w:r>
        <w:rPr>
          <w:rFonts w:ascii="Arial" w:hAnsi="Arial" w:cs="Arial"/>
          <w:sz w:val="17"/>
          <w:szCs w:val="17"/>
        </w:rPr>
        <w:t>a</w:t>
      </w:r>
      <w:r w:rsidRPr="005B7F92">
        <w:rPr>
          <w:rFonts w:ascii="Arial" w:hAnsi="Arial" w:cs="Arial"/>
          <w:sz w:val="17"/>
          <w:szCs w:val="17"/>
        </w:rPr>
        <w:t xml:space="preserve">bove </w:t>
      </w:r>
      <w:r>
        <w:rPr>
          <w:rFonts w:ascii="Arial" w:hAnsi="Arial" w:cs="Arial"/>
          <w:sz w:val="17"/>
          <w:szCs w:val="17"/>
        </w:rPr>
        <w:t>D</w:t>
      </w:r>
      <w:r w:rsidRPr="005B7F92">
        <w:rPr>
          <w:rFonts w:ascii="Arial" w:hAnsi="Arial" w:cs="Arial"/>
          <w:sz w:val="17"/>
          <w:szCs w:val="17"/>
        </w:rPr>
        <w:t xml:space="preserve">emocracy,” </w:t>
      </w:r>
      <w:r w:rsidRPr="005B7F92">
        <w:rPr>
          <w:rFonts w:ascii="Arial" w:hAnsi="Arial" w:cs="Arial"/>
          <w:i/>
          <w:sz w:val="17"/>
          <w:szCs w:val="17"/>
        </w:rPr>
        <w:t>Quartz</w:t>
      </w:r>
      <w:r w:rsidRPr="005B7F92">
        <w:rPr>
          <w:rFonts w:ascii="Arial" w:hAnsi="Arial" w:cs="Arial"/>
          <w:sz w:val="17"/>
          <w:szCs w:val="17"/>
        </w:rPr>
        <w:t>, October 4, 2017, accessed October 7, 2017, https://qz.com/1094213/monsanto-bayer-merger-held-up-in-eu-over-glyphosate-hearing/.</w:t>
      </w:r>
    </w:p>
  </w:endnote>
  <w:endnote w:id="47">
    <w:p w14:paraId="1A72D729" w14:textId="3AB84163"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“Grassley Presses Justice Dept. to Scrutinize Bayer-Monsanto</w:t>
      </w:r>
      <w:r>
        <w:rPr>
          <w:rFonts w:ascii="Arial" w:hAnsi="Arial" w:cs="Arial"/>
          <w:sz w:val="17"/>
          <w:szCs w:val="17"/>
        </w:rPr>
        <w:t>,”</w:t>
      </w:r>
      <w:r w:rsidRPr="0025715B">
        <w:rPr>
          <w:rFonts w:ascii="Arial" w:hAnsi="Arial" w:cs="Arial"/>
          <w:sz w:val="17"/>
          <w:szCs w:val="17"/>
        </w:rPr>
        <w:t xml:space="preserve"> Chuck Grassley</w:t>
      </w:r>
      <w:r>
        <w:rPr>
          <w:rFonts w:ascii="Arial" w:hAnsi="Arial" w:cs="Arial"/>
          <w:sz w:val="17"/>
          <w:szCs w:val="17"/>
        </w:rPr>
        <w:t xml:space="preserve"> United States Senator for Iowa</w:t>
      </w:r>
      <w:r w:rsidRPr="0025715B">
        <w:rPr>
          <w:rFonts w:ascii="Arial" w:hAnsi="Arial" w:cs="Arial"/>
          <w:sz w:val="17"/>
          <w:szCs w:val="17"/>
        </w:rPr>
        <w:t xml:space="preserve">, </w:t>
      </w:r>
      <w:r>
        <w:rPr>
          <w:rFonts w:ascii="Arial" w:hAnsi="Arial" w:cs="Arial"/>
          <w:sz w:val="17"/>
          <w:szCs w:val="17"/>
        </w:rPr>
        <w:t>November 2, 2016,</w:t>
      </w:r>
      <w:r w:rsidRPr="0025715B">
        <w:rPr>
          <w:rFonts w:ascii="Arial" w:hAnsi="Arial" w:cs="Arial"/>
          <w:sz w:val="17"/>
          <w:szCs w:val="17"/>
        </w:rPr>
        <w:t xml:space="preserve"> accessed July 2, 2017, </w:t>
      </w:r>
      <w:r w:rsidRPr="002C5D0A">
        <w:rPr>
          <w:rFonts w:ascii="Arial" w:hAnsi="Arial" w:cs="Arial"/>
          <w:sz w:val="17"/>
          <w:szCs w:val="17"/>
        </w:rPr>
        <w:t>https://www.grassley.senate.gov/news/news-releases/grassley-presses-justice-dept-scrutinize-bayer-monsanto</w:t>
      </w:r>
      <w:r w:rsidRPr="0025715B">
        <w:rPr>
          <w:rFonts w:ascii="Arial" w:hAnsi="Arial" w:cs="Arial"/>
          <w:sz w:val="17"/>
          <w:szCs w:val="17"/>
        </w:rPr>
        <w:t>.</w:t>
      </w:r>
    </w:p>
  </w:endnote>
  <w:endnote w:id="48">
    <w:p w14:paraId="42B50EA5" w14:textId="49B14828"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Diana L. Moss, “Mergers, Innovation, and Agricultural Biotechnology: Putting the Squeeze on Growers and Consumers? [Ag-Biotech Symposium],” Truth on the Market, March 31, 2017, accessed July 2, 2017, </w:t>
      </w:r>
      <w:r w:rsidRPr="006F6E27">
        <w:rPr>
          <w:rFonts w:ascii="Arial" w:hAnsi="Arial" w:cs="Arial"/>
          <w:sz w:val="17"/>
          <w:szCs w:val="17"/>
        </w:rPr>
        <w:t>https://truthonthemarket.com/2017/03/31/mergers-innovation-and-agricultural-biotechnology/</w:t>
      </w:r>
      <w:r w:rsidRPr="0025715B">
        <w:rPr>
          <w:rFonts w:ascii="Arial" w:hAnsi="Arial" w:cs="Arial"/>
          <w:sz w:val="17"/>
          <w:szCs w:val="17"/>
        </w:rPr>
        <w:t>.</w:t>
      </w:r>
    </w:p>
  </w:endnote>
  <w:endnote w:id="49">
    <w:p w14:paraId="10A55DD1" w14:textId="6BBA3A95"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“Bayer and Monsanto to Create a Global Leader in Agriculture</w:t>
      </w:r>
      <w:r>
        <w:rPr>
          <w:rFonts w:ascii="Arial" w:hAnsi="Arial" w:cs="Arial"/>
          <w:sz w:val="17"/>
          <w:szCs w:val="17"/>
        </w:rPr>
        <w:t>,</w:t>
      </w:r>
      <w:r w:rsidRPr="0025715B">
        <w:rPr>
          <w:rFonts w:ascii="Arial" w:hAnsi="Arial" w:cs="Arial"/>
          <w:sz w:val="17"/>
          <w:szCs w:val="17"/>
        </w:rPr>
        <w:t>” September 14, 2016, accessed July 2, 2017, www.press.bayer.com/baynews/baynews.nsf/id/ADSF8F-Bayer-and-Monsanto-to-Create-a-Global-Leader-in-Agriculture.</w:t>
      </w:r>
    </w:p>
  </w:endnote>
  <w:endnote w:id="50">
    <w:p w14:paraId="5DD1E60D" w14:textId="088A09DC"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 xml:space="preserve">Reuters Staff, </w:t>
      </w:r>
      <w:r w:rsidRPr="0025715B">
        <w:rPr>
          <w:rFonts w:ascii="Arial" w:hAnsi="Arial" w:cs="Arial"/>
          <w:sz w:val="17"/>
          <w:szCs w:val="17"/>
        </w:rPr>
        <w:t xml:space="preserve">“Bayer to </w:t>
      </w:r>
      <w:r>
        <w:rPr>
          <w:rFonts w:ascii="Arial" w:hAnsi="Arial" w:cs="Arial"/>
          <w:sz w:val="17"/>
          <w:szCs w:val="17"/>
        </w:rPr>
        <w:t>S</w:t>
      </w:r>
      <w:r w:rsidRPr="0025715B">
        <w:rPr>
          <w:rFonts w:ascii="Arial" w:hAnsi="Arial" w:cs="Arial"/>
          <w:sz w:val="17"/>
          <w:szCs w:val="17"/>
        </w:rPr>
        <w:t xml:space="preserve">ell Liberty </w:t>
      </w:r>
      <w:r>
        <w:rPr>
          <w:rFonts w:ascii="Arial" w:hAnsi="Arial" w:cs="Arial"/>
          <w:sz w:val="17"/>
          <w:szCs w:val="17"/>
        </w:rPr>
        <w:t>C</w:t>
      </w:r>
      <w:r w:rsidRPr="0025715B">
        <w:rPr>
          <w:rFonts w:ascii="Arial" w:hAnsi="Arial" w:cs="Arial"/>
          <w:sz w:val="17"/>
          <w:szCs w:val="17"/>
        </w:rPr>
        <w:t xml:space="preserve">rop </w:t>
      </w:r>
      <w:r>
        <w:rPr>
          <w:rFonts w:ascii="Arial" w:hAnsi="Arial" w:cs="Arial"/>
          <w:sz w:val="17"/>
          <w:szCs w:val="17"/>
        </w:rPr>
        <w:t>P</w:t>
      </w:r>
      <w:r w:rsidRPr="0025715B">
        <w:rPr>
          <w:rFonts w:ascii="Arial" w:hAnsi="Arial" w:cs="Arial"/>
          <w:sz w:val="17"/>
          <w:szCs w:val="17"/>
        </w:rPr>
        <w:t xml:space="preserve">rotection </w:t>
      </w:r>
      <w:r>
        <w:rPr>
          <w:rFonts w:ascii="Arial" w:hAnsi="Arial" w:cs="Arial"/>
          <w:sz w:val="17"/>
          <w:szCs w:val="17"/>
        </w:rPr>
        <w:t>B</w:t>
      </w:r>
      <w:r w:rsidRPr="0025715B">
        <w:rPr>
          <w:rFonts w:ascii="Arial" w:hAnsi="Arial" w:cs="Arial"/>
          <w:sz w:val="17"/>
          <w:szCs w:val="17"/>
        </w:rPr>
        <w:t xml:space="preserve">rands to </w:t>
      </w:r>
      <w:r>
        <w:rPr>
          <w:rFonts w:ascii="Arial" w:hAnsi="Arial" w:cs="Arial"/>
          <w:sz w:val="17"/>
          <w:szCs w:val="17"/>
        </w:rPr>
        <w:t>G</w:t>
      </w:r>
      <w:r w:rsidRPr="0025715B">
        <w:rPr>
          <w:rFonts w:ascii="Arial" w:hAnsi="Arial" w:cs="Arial"/>
          <w:sz w:val="17"/>
          <w:szCs w:val="17"/>
        </w:rPr>
        <w:t xml:space="preserve">et Monsanto </w:t>
      </w:r>
      <w:r>
        <w:rPr>
          <w:rFonts w:ascii="Arial" w:hAnsi="Arial" w:cs="Arial"/>
          <w:sz w:val="17"/>
          <w:szCs w:val="17"/>
        </w:rPr>
        <w:t>D</w:t>
      </w:r>
      <w:r w:rsidRPr="0025715B">
        <w:rPr>
          <w:rFonts w:ascii="Arial" w:hAnsi="Arial" w:cs="Arial"/>
          <w:sz w:val="17"/>
          <w:szCs w:val="17"/>
        </w:rPr>
        <w:t xml:space="preserve">eal </w:t>
      </w:r>
      <w:r>
        <w:rPr>
          <w:rFonts w:ascii="Arial" w:hAnsi="Arial" w:cs="Arial"/>
          <w:sz w:val="17"/>
          <w:szCs w:val="17"/>
        </w:rPr>
        <w:t>P</w:t>
      </w:r>
      <w:r w:rsidRPr="0025715B">
        <w:rPr>
          <w:rFonts w:ascii="Arial" w:hAnsi="Arial" w:cs="Arial"/>
          <w:sz w:val="17"/>
          <w:szCs w:val="17"/>
        </w:rPr>
        <w:t>assed,” Reuters, May 8, 2017, accessed July 2, 2017, www.reuters.com/article/us-monsanto-m-a-bayer-antitrust-idUSKBN1841AY.</w:t>
      </w:r>
    </w:p>
  </w:endnote>
  <w:endnote w:id="51">
    <w:p w14:paraId="3CA1F960" w14:textId="0A4076D7"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“Monsanto </w:t>
      </w:r>
      <w:r>
        <w:rPr>
          <w:rFonts w:ascii="Arial" w:hAnsi="Arial" w:cs="Arial"/>
          <w:sz w:val="17"/>
          <w:szCs w:val="17"/>
        </w:rPr>
        <w:t>G</w:t>
      </w:r>
      <w:r w:rsidRPr="0025715B">
        <w:rPr>
          <w:rFonts w:ascii="Arial" w:hAnsi="Arial" w:cs="Arial"/>
          <w:sz w:val="17"/>
          <w:szCs w:val="17"/>
        </w:rPr>
        <w:t>uilty in '</w:t>
      </w:r>
      <w:r>
        <w:rPr>
          <w:rFonts w:ascii="Arial" w:hAnsi="Arial" w:cs="Arial"/>
          <w:sz w:val="17"/>
          <w:szCs w:val="17"/>
        </w:rPr>
        <w:t>F</w:t>
      </w:r>
      <w:r w:rsidRPr="0025715B">
        <w:rPr>
          <w:rFonts w:ascii="Arial" w:hAnsi="Arial" w:cs="Arial"/>
          <w:sz w:val="17"/>
          <w:szCs w:val="17"/>
        </w:rPr>
        <w:t xml:space="preserve">alse </w:t>
      </w:r>
      <w:r>
        <w:rPr>
          <w:rFonts w:ascii="Arial" w:hAnsi="Arial" w:cs="Arial"/>
          <w:sz w:val="17"/>
          <w:szCs w:val="17"/>
        </w:rPr>
        <w:t>A</w:t>
      </w:r>
      <w:r w:rsidRPr="0025715B">
        <w:rPr>
          <w:rFonts w:ascii="Arial" w:hAnsi="Arial" w:cs="Arial"/>
          <w:sz w:val="17"/>
          <w:szCs w:val="17"/>
        </w:rPr>
        <w:t xml:space="preserve">d' </w:t>
      </w:r>
      <w:r>
        <w:rPr>
          <w:rFonts w:ascii="Arial" w:hAnsi="Arial" w:cs="Arial"/>
          <w:sz w:val="17"/>
          <w:szCs w:val="17"/>
        </w:rPr>
        <w:t>R</w:t>
      </w:r>
      <w:r w:rsidRPr="0025715B">
        <w:rPr>
          <w:rFonts w:ascii="Arial" w:hAnsi="Arial" w:cs="Arial"/>
          <w:sz w:val="17"/>
          <w:szCs w:val="17"/>
        </w:rPr>
        <w:t>ow</w:t>
      </w:r>
      <w:r>
        <w:rPr>
          <w:rFonts w:ascii="Arial" w:hAnsi="Arial" w:cs="Arial"/>
          <w:sz w:val="17"/>
          <w:szCs w:val="17"/>
        </w:rPr>
        <w:t>,</w:t>
      </w:r>
      <w:r w:rsidRPr="0025715B">
        <w:rPr>
          <w:rFonts w:ascii="Arial" w:hAnsi="Arial" w:cs="Arial"/>
          <w:sz w:val="17"/>
          <w:szCs w:val="17"/>
        </w:rPr>
        <w:t>” BBC, October 15, 2009, accessed July 2, 2017, http://news.bbc.co.uk/2/hi/europe/8308903.stm.</w:t>
      </w:r>
    </w:p>
  </w:endnote>
  <w:endnote w:id="52">
    <w:p w14:paraId="53857528" w14:textId="52F74BF7"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w:t>
      </w:r>
      <w:r w:rsidRPr="0025715B">
        <w:rPr>
          <w:rFonts w:ascii="Arial" w:hAnsi="Arial" w:cs="Arial"/>
          <w:sz w:val="17"/>
          <w:szCs w:val="17"/>
        </w:rPr>
        <w:t>Monsanto’s New ‘Herbicide-Resistant’ GMO Crop Slammed by Food Experts,</w:t>
      </w:r>
      <w:r>
        <w:rPr>
          <w:rFonts w:ascii="Arial" w:hAnsi="Arial" w:cs="Arial"/>
          <w:sz w:val="17"/>
          <w:szCs w:val="17"/>
        </w:rPr>
        <w:t>”</w:t>
      </w:r>
      <w:r w:rsidRPr="0025715B">
        <w:rPr>
          <w:rFonts w:ascii="Arial" w:hAnsi="Arial" w:cs="Arial"/>
          <w:sz w:val="17"/>
          <w:szCs w:val="17"/>
        </w:rPr>
        <w:t xml:space="preserve"> Health</w:t>
      </w:r>
      <w:r>
        <w:rPr>
          <w:rFonts w:ascii="Arial" w:hAnsi="Arial" w:cs="Arial"/>
          <w:sz w:val="17"/>
          <w:szCs w:val="17"/>
        </w:rPr>
        <w:t xml:space="preserve"> </w:t>
      </w:r>
      <w:r w:rsidRPr="0025715B">
        <w:rPr>
          <w:rFonts w:ascii="Arial" w:hAnsi="Arial" w:cs="Arial"/>
          <w:sz w:val="17"/>
          <w:szCs w:val="17"/>
        </w:rPr>
        <w:t>Freedom</w:t>
      </w:r>
      <w:r>
        <w:rPr>
          <w:rFonts w:ascii="Arial" w:hAnsi="Arial" w:cs="Arial"/>
          <w:sz w:val="17"/>
          <w:szCs w:val="17"/>
        </w:rPr>
        <w:t xml:space="preserve"> Alliance</w:t>
      </w:r>
      <w:r w:rsidRPr="0025715B">
        <w:rPr>
          <w:rFonts w:ascii="Arial" w:hAnsi="Arial" w:cs="Arial"/>
          <w:sz w:val="17"/>
          <w:szCs w:val="17"/>
        </w:rPr>
        <w:t>, accessed July 2, 2017, www.healthfreedoms.org/monsantos-new-herbicide-resistant-gmo-crop-slammed-by-food-experts/.</w:t>
      </w:r>
    </w:p>
  </w:endnote>
  <w:endnote w:id="53">
    <w:p w14:paraId="3F7D41E9" w14:textId="23BB45F5"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Paul Thacker, “Monsanto, </w:t>
      </w:r>
      <w:r>
        <w:rPr>
          <w:rFonts w:ascii="Arial" w:hAnsi="Arial" w:cs="Arial"/>
          <w:sz w:val="17"/>
          <w:szCs w:val="17"/>
        </w:rPr>
        <w:t>C</w:t>
      </w:r>
      <w:r w:rsidRPr="0025715B">
        <w:rPr>
          <w:rFonts w:ascii="Arial" w:hAnsi="Arial" w:cs="Arial"/>
          <w:sz w:val="17"/>
          <w:szCs w:val="17"/>
        </w:rPr>
        <w:t xml:space="preserve">orporations </w:t>
      </w:r>
      <w:r>
        <w:rPr>
          <w:rFonts w:ascii="Arial" w:hAnsi="Arial" w:cs="Arial"/>
          <w:sz w:val="17"/>
          <w:szCs w:val="17"/>
        </w:rPr>
        <w:t>A</w:t>
      </w:r>
      <w:r w:rsidRPr="0025715B">
        <w:rPr>
          <w:rFonts w:ascii="Arial" w:hAnsi="Arial" w:cs="Arial"/>
          <w:sz w:val="17"/>
          <w:szCs w:val="17"/>
        </w:rPr>
        <w:t>ccused of ‘</w:t>
      </w:r>
      <w:r>
        <w:rPr>
          <w:rFonts w:ascii="Arial" w:hAnsi="Arial" w:cs="Arial"/>
          <w:sz w:val="17"/>
          <w:szCs w:val="17"/>
        </w:rPr>
        <w:t>B</w:t>
      </w:r>
      <w:r w:rsidRPr="0025715B">
        <w:rPr>
          <w:rFonts w:ascii="Arial" w:hAnsi="Arial" w:cs="Arial"/>
          <w:sz w:val="17"/>
          <w:szCs w:val="17"/>
        </w:rPr>
        <w:t xml:space="preserve">uying </w:t>
      </w:r>
      <w:r>
        <w:rPr>
          <w:rFonts w:ascii="Arial" w:hAnsi="Arial" w:cs="Arial"/>
          <w:sz w:val="17"/>
          <w:szCs w:val="17"/>
        </w:rPr>
        <w:t>S</w:t>
      </w:r>
      <w:r w:rsidRPr="0025715B">
        <w:rPr>
          <w:rFonts w:ascii="Arial" w:hAnsi="Arial" w:cs="Arial"/>
          <w:sz w:val="17"/>
          <w:szCs w:val="17"/>
        </w:rPr>
        <w:t xml:space="preserve">cientists’ to </w:t>
      </w:r>
      <w:r>
        <w:rPr>
          <w:rFonts w:ascii="Arial" w:hAnsi="Arial" w:cs="Arial"/>
          <w:sz w:val="17"/>
          <w:szCs w:val="17"/>
        </w:rPr>
        <w:t>P</w:t>
      </w:r>
      <w:r w:rsidRPr="0025715B">
        <w:rPr>
          <w:rFonts w:ascii="Arial" w:hAnsi="Arial" w:cs="Arial"/>
          <w:sz w:val="17"/>
          <w:szCs w:val="17"/>
        </w:rPr>
        <w:t xml:space="preserve">lace </w:t>
      </w:r>
      <w:r>
        <w:rPr>
          <w:rFonts w:ascii="Arial" w:hAnsi="Arial" w:cs="Arial"/>
          <w:sz w:val="17"/>
          <w:szCs w:val="17"/>
        </w:rPr>
        <w:t>F</w:t>
      </w:r>
      <w:r w:rsidRPr="0025715B">
        <w:rPr>
          <w:rFonts w:ascii="Arial" w:hAnsi="Arial" w:cs="Arial"/>
          <w:sz w:val="17"/>
          <w:szCs w:val="17"/>
        </w:rPr>
        <w:t xml:space="preserve">ake </w:t>
      </w:r>
      <w:r>
        <w:rPr>
          <w:rFonts w:ascii="Arial" w:hAnsi="Arial" w:cs="Arial"/>
          <w:sz w:val="17"/>
          <w:szCs w:val="17"/>
        </w:rPr>
        <w:t>N</w:t>
      </w:r>
      <w:r w:rsidRPr="0025715B">
        <w:rPr>
          <w:rFonts w:ascii="Arial" w:hAnsi="Arial" w:cs="Arial"/>
          <w:sz w:val="17"/>
          <w:szCs w:val="17"/>
        </w:rPr>
        <w:t xml:space="preserve">ews in </w:t>
      </w:r>
      <w:r>
        <w:rPr>
          <w:rFonts w:ascii="Arial" w:hAnsi="Arial" w:cs="Arial"/>
          <w:sz w:val="17"/>
          <w:szCs w:val="17"/>
        </w:rPr>
        <w:t>A</w:t>
      </w:r>
      <w:r w:rsidRPr="0025715B">
        <w:rPr>
          <w:rFonts w:ascii="Arial" w:hAnsi="Arial" w:cs="Arial"/>
          <w:sz w:val="17"/>
          <w:szCs w:val="17"/>
        </w:rPr>
        <w:t xml:space="preserve">cademic </w:t>
      </w:r>
      <w:r>
        <w:rPr>
          <w:rFonts w:ascii="Arial" w:hAnsi="Arial" w:cs="Arial"/>
          <w:sz w:val="17"/>
          <w:szCs w:val="17"/>
        </w:rPr>
        <w:t>J</w:t>
      </w:r>
      <w:r w:rsidRPr="0025715B">
        <w:rPr>
          <w:rFonts w:ascii="Arial" w:hAnsi="Arial" w:cs="Arial"/>
          <w:sz w:val="17"/>
          <w:szCs w:val="17"/>
        </w:rPr>
        <w:t>ournals</w:t>
      </w:r>
      <w:r>
        <w:rPr>
          <w:rFonts w:ascii="Arial" w:hAnsi="Arial" w:cs="Arial"/>
          <w:sz w:val="17"/>
          <w:szCs w:val="17"/>
        </w:rPr>
        <w:t>,</w:t>
      </w:r>
      <w:r w:rsidRPr="0025715B">
        <w:rPr>
          <w:rFonts w:ascii="Arial" w:hAnsi="Arial" w:cs="Arial"/>
          <w:sz w:val="17"/>
          <w:szCs w:val="17"/>
        </w:rPr>
        <w:t>” Genetic Literacy Project, March 29, 2017, accessed July 2, 2017, https://geneticliteracyproject.org/2017/03/29/monsanto-corporations-accused-buying-scientists-place-fake-news-academic-journals/.</w:t>
      </w:r>
    </w:p>
  </w:endnote>
  <w:endnote w:id="54">
    <w:p w14:paraId="36672C81" w14:textId="0C49B2A8" w:rsidR="00E7297C" w:rsidRPr="005B7F92" w:rsidRDefault="00E7297C" w:rsidP="005B7F92">
      <w:pPr>
        <w:pStyle w:val="EndnoteText"/>
        <w:jc w:val="both"/>
        <w:rPr>
          <w:rFonts w:ascii="Arial" w:hAnsi="Arial"/>
          <w:sz w:val="17"/>
          <w:szCs w:val="17"/>
        </w:rPr>
      </w:pPr>
      <w:r w:rsidRPr="005B7F92">
        <w:rPr>
          <w:rStyle w:val="EndnoteReference"/>
          <w:rFonts w:ascii="Arial" w:hAnsi="Arial"/>
          <w:sz w:val="17"/>
          <w:szCs w:val="17"/>
        </w:rPr>
        <w:endnoteRef/>
      </w:r>
      <w:r w:rsidRPr="005B7F92">
        <w:rPr>
          <w:rFonts w:ascii="Arial" w:hAnsi="Arial"/>
          <w:sz w:val="17"/>
          <w:szCs w:val="17"/>
        </w:rPr>
        <w:t xml:space="preserve"> Purdy, </w:t>
      </w:r>
      <w:r>
        <w:rPr>
          <w:rFonts w:ascii="Arial" w:hAnsi="Arial"/>
          <w:sz w:val="17"/>
          <w:szCs w:val="17"/>
        </w:rPr>
        <w:t>op. cit</w:t>
      </w:r>
      <w:r w:rsidRPr="005B7F92">
        <w:rPr>
          <w:rFonts w:ascii="Arial" w:hAnsi="Arial"/>
          <w:sz w:val="17"/>
          <w:szCs w:val="17"/>
        </w:rPr>
        <w:t>.</w:t>
      </w:r>
    </w:p>
  </w:endnote>
  <w:endnote w:id="55">
    <w:p w14:paraId="0F8A63BD" w14:textId="72E254F9" w:rsidR="00E7297C" w:rsidRPr="0025715B" w:rsidRDefault="00E7297C" w:rsidP="0025715B">
      <w:pPr>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Jacob Bunge and Jesse Newman, “Bayer</w:t>
      </w:r>
      <w:r>
        <w:rPr>
          <w:rFonts w:ascii="Arial" w:hAnsi="Arial" w:cs="Arial"/>
          <w:sz w:val="17"/>
          <w:szCs w:val="17"/>
        </w:rPr>
        <w:t>’</w:t>
      </w:r>
      <w:r w:rsidRPr="0025715B">
        <w:rPr>
          <w:rFonts w:ascii="Arial" w:hAnsi="Arial" w:cs="Arial"/>
          <w:sz w:val="17"/>
          <w:szCs w:val="17"/>
        </w:rPr>
        <w:t xml:space="preserve">s Monsanto Bid Faces Hurdles,” </w:t>
      </w:r>
      <w:r w:rsidRPr="004E59EB">
        <w:rPr>
          <w:rFonts w:ascii="Arial" w:hAnsi="Arial" w:cs="Arial"/>
          <w:i/>
          <w:sz w:val="17"/>
          <w:szCs w:val="17"/>
        </w:rPr>
        <w:t>Wall Street Journal</w:t>
      </w:r>
      <w:r w:rsidRPr="0025715B">
        <w:rPr>
          <w:rFonts w:ascii="Arial" w:hAnsi="Arial" w:cs="Arial"/>
          <w:sz w:val="17"/>
          <w:szCs w:val="17"/>
        </w:rPr>
        <w:t>, May 19, 2016, accessed July 2, 2017, https://www.wsj.com/articles/bayers-bid-for-monsanto-faces-hurdles-1463704261.</w:t>
      </w:r>
    </w:p>
  </w:endnote>
  <w:endnote w:id="56">
    <w:p w14:paraId="6CD3E1C6" w14:textId="6FE2D615"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proofErr w:type="spellStart"/>
      <w:r w:rsidRPr="0025715B">
        <w:rPr>
          <w:rFonts w:ascii="Arial" w:hAnsi="Arial" w:cs="Arial"/>
          <w:sz w:val="17"/>
          <w:szCs w:val="17"/>
        </w:rPr>
        <w:t>Zlata</w:t>
      </w:r>
      <w:proofErr w:type="spellEnd"/>
      <w:r w:rsidRPr="0025715B">
        <w:rPr>
          <w:rFonts w:ascii="Arial" w:hAnsi="Arial" w:cs="Arial"/>
          <w:sz w:val="17"/>
          <w:szCs w:val="17"/>
        </w:rPr>
        <w:t xml:space="preserve"> Rodionova, “Thousands </w:t>
      </w:r>
      <w:r>
        <w:rPr>
          <w:rFonts w:ascii="Arial" w:hAnsi="Arial" w:cs="Arial"/>
          <w:sz w:val="17"/>
          <w:szCs w:val="17"/>
        </w:rPr>
        <w:t>P</w:t>
      </w:r>
      <w:r w:rsidRPr="0025715B">
        <w:rPr>
          <w:rFonts w:ascii="Arial" w:hAnsi="Arial" w:cs="Arial"/>
          <w:sz w:val="17"/>
          <w:szCs w:val="17"/>
        </w:rPr>
        <w:t xml:space="preserve">rotest against </w:t>
      </w:r>
      <w:r>
        <w:rPr>
          <w:rFonts w:ascii="Arial" w:hAnsi="Arial" w:cs="Arial"/>
          <w:sz w:val="17"/>
          <w:szCs w:val="17"/>
        </w:rPr>
        <w:t>S</w:t>
      </w:r>
      <w:r w:rsidRPr="0025715B">
        <w:rPr>
          <w:rFonts w:ascii="Arial" w:hAnsi="Arial" w:cs="Arial"/>
          <w:sz w:val="17"/>
          <w:szCs w:val="17"/>
        </w:rPr>
        <w:t xml:space="preserve">eed </w:t>
      </w:r>
      <w:r>
        <w:rPr>
          <w:rFonts w:ascii="Arial" w:hAnsi="Arial" w:cs="Arial"/>
          <w:sz w:val="17"/>
          <w:szCs w:val="17"/>
        </w:rPr>
        <w:t>G</w:t>
      </w:r>
      <w:r w:rsidRPr="0025715B">
        <w:rPr>
          <w:rFonts w:ascii="Arial" w:hAnsi="Arial" w:cs="Arial"/>
          <w:sz w:val="17"/>
          <w:szCs w:val="17"/>
        </w:rPr>
        <w:t xml:space="preserve">iant Monsanto </w:t>
      </w:r>
      <w:r>
        <w:rPr>
          <w:rFonts w:ascii="Arial" w:hAnsi="Arial" w:cs="Arial"/>
          <w:sz w:val="17"/>
          <w:szCs w:val="17"/>
        </w:rPr>
        <w:t>A</w:t>
      </w:r>
      <w:r w:rsidRPr="0025715B">
        <w:rPr>
          <w:rFonts w:ascii="Arial" w:hAnsi="Arial" w:cs="Arial"/>
          <w:sz w:val="17"/>
          <w:szCs w:val="17"/>
        </w:rPr>
        <w:t xml:space="preserve">head of Bayer </w:t>
      </w:r>
      <w:r>
        <w:rPr>
          <w:rFonts w:ascii="Arial" w:hAnsi="Arial" w:cs="Arial"/>
          <w:sz w:val="17"/>
          <w:szCs w:val="17"/>
        </w:rPr>
        <w:t>M</w:t>
      </w:r>
      <w:r w:rsidRPr="0025715B">
        <w:rPr>
          <w:rFonts w:ascii="Arial" w:hAnsi="Arial" w:cs="Arial"/>
          <w:sz w:val="17"/>
          <w:szCs w:val="17"/>
        </w:rPr>
        <w:t xml:space="preserve">erger,” </w:t>
      </w:r>
      <w:r w:rsidRPr="004E59EB">
        <w:rPr>
          <w:rFonts w:ascii="Arial" w:hAnsi="Arial" w:cs="Arial"/>
          <w:i/>
          <w:sz w:val="17"/>
          <w:szCs w:val="17"/>
        </w:rPr>
        <w:t>Independent</w:t>
      </w:r>
      <w:r w:rsidRPr="0025715B">
        <w:rPr>
          <w:rFonts w:ascii="Arial" w:hAnsi="Arial" w:cs="Arial"/>
          <w:sz w:val="17"/>
          <w:szCs w:val="17"/>
        </w:rPr>
        <w:t>, May 23, 2016, accessed July 2, 2017, www.independent.co.uk/news/business/news/thousands-protest-against-evil-seed-giant-monsanto-ahead-of-bayer-merger-a7043196.html.</w:t>
      </w:r>
    </w:p>
  </w:endnote>
  <w:endnote w:id="57">
    <w:p w14:paraId="5061F30E" w14:textId="49F53088"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w:t>
      </w:r>
      <w:r>
        <w:rPr>
          <w:rFonts w:ascii="Arial" w:hAnsi="Arial" w:cs="Arial"/>
          <w:sz w:val="17"/>
          <w:szCs w:val="17"/>
        </w:rPr>
        <w:t>A</w:t>
      </w:r>
      <w:r w:rsidRPr="0025715B">
        <w:rPr>
          <w:rFonts w:ascii="Arial" w:hAnsi="Arial" w:cs="Arial"/>
          <w:sz w:val="17"/>
          <w:szCs w:val="17"/>
        </w:rPr>
        <w:t xml:space="preserve"> Bayer Monsanto Merger </w:t>
      </w:r>
      <w:r>
        <w:rPr>
          <w:rFonts w:ascii="Arial" w:hAnsi="Arial" w:cs="Arial"/>
          <w:sz w:val="17"/>
          <w:szCs w:val="17"/>
        </w:rPr>
        <w:t>Would Violate</w:t>
      </w:r>
      <w:r w:rsidRPr="0025715B">
        <w:rPr>
          <w:rFonts w:ascii="Arial" w:hAnsi="Arial" w:cs="Arial"/>
          <w:sz w:val="17"/>
          <w:szCs w:val="17"/>
        </w:rPr>
        <w:t xml:space="preserve"> Anti-Trust Law</w:t>
      </w:r>
      <w:r>
        <w:rPr>
          <w:rFonts w:ascii="Arial" w:hAnsi="Arial" w:cs="Arial"/>
          <w:sz w:val="17"/>
          <w:szCs w:val="17"/>
        </w:rPr>
        <w:t xml:space="preserve">s to Create the Largest </w:t>
      </w:r>
      <w:proofErr w:type="spellStart"/>
      <w:r>
        <w:rPr>
          <w:rFonts w:ascii="Arial" w:hAnsi="Arial" w:cs="Arial"/>
          <w:sz w:val="17"/>
          <w:szCs w:val="17"/>
        </w:rPr>
        <w:t>Agroindustrial</w:t>
      </w:r>
      <w:proofErr w:type="spellEnd"/>
      <w:r>
        <w:rPr>
          <w:rFonts w:ascii="Arial" w:hAnsi="Arial" w:cs="Arial"/>
          <w:sz w:val="17"/>
          <w:szCs w:val="17"/>
        </w:rPr>
        <w:t xml:space="preserve"> Company in the World</w:t>
      </w:r>
      <w:r w:rsidRPr="0025715B">
        <w:rPr>
          <w:rFonts w:ascii="Arial" w:hAnsi="Arial" w:cs="Arial"/>
          <w:sz w:val="17"/>
          <w:szCs w:val="17"/>
        </w:rPr>
        <w:t xml:space="preserve">,” </w:t>
      </w:r>
      <w:proofErr w:type="spellStart"/>
      <w:r w:rsidRPr="0025715B">
        <w:rPr>
          <w:rFonts w:ascii="Arial" w:hAnsi="Arial" w:cs="Arial"/>
          <w:sz w:val="17"/>
          <w:szCs w:val="17"/>
        </w:rPr>
        <w:t>SumOfUs</w:t>
      </w:r>
      <w:proofErr w:type="spellEnd"/>
      <w:r w:rsidRPr="0025715B">
        <w:rPr>
          <w:rFonts w:ascii="Arial" w:hAnsi="Arial" w:cs="Arial"/>
          <w:sz w:val="17"/>
          <w:szCs w:val="17"/>
        </w:rPr>
        <w:t>, May 30, 2017, accessed July 2, 2017, https://www.bayermonsantomerger.com/a/bayer-monsanto-merger.</w:t>
      </w:r>
    </w:p>
  </w:endnote>
  <w:endnote w:id="58">
    <w:p w14:paraId="58B63727" w14:textId="5E53A58D"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“Bayer’s Monsanto Approach Sparks Shareholder Uproar,” Reuters, May 20, 2016, accessed July 2, 2017, www.reuters.com/article/us-bayer-investor-henderson-idUSKCN0YB1KQ.</w:t>
      </w:r>
    </w:p>
  </w:endnote>
  <w:endnote w:id="59">
    <w:p w14:paraId="002491B0" w14:textId="4A02EB63" w:rsidR="00E7297C" w:rsidRPr="0025715B" w:rsidRDefault="00E7297C" w:rsidP="0025715B">
      <w:pPr>
        <w:pStyle w:val="EndnoteText"/>
        <w:jc w:val="both"/>
        <w:rPr>
          <w:rFonts w:ascii="Arial" w:hAnsi="Arial" w:cs="Arial"/>
          <w:sz w:val="17"/>
          <w:szCs w:val="17"/>
        </w:rPr>
      </w:pPr>
      <w:r w:rsidRPr="0025715B">
        <w:rPr>
          <w:rStyle w:val="EndnoteReference"/>
          <w:rFonts w:ascii="Arial" w:hAnsi="Arial" w:cs="Arial"/>
          <w:sz w:val="17"/>
          <w:szCs w:val="17"/>
        </w:rPr>
        <w:endnoteRef/>
      </w:r>
      <w:r w:rsidRPr="0025715B">
        <w:rPr>
          <w:rFonts w:ascii="Arial" w:hAnsi="Arial" w:cs="Arial"/>
          <w:sz w:val="17"/>
          <w:szCs w:val="17"/>
        </w:rPr>
        <w:t xml:space="preserve"> Drake Bennett, “Inside Monsanto, America's Third-Most-Hated Company</w:t>
      </w:r>
      <w:r>
        <w:rPr>
          <w:rFonts w:ascii="Arial" w:hAnsi="Arial" w:cs="Arial"/>
          <w:sz w:val="17"/>
          <w:szCs w:val="17"/>
        </w:rPr>
        <w:t>,</w:t>
      </w:r>
      <w:r w:rsidRPr="0025715B">
        <w:rPr>
          <w:rFonts w:ascii="Arial" w:hAnsi="Arial" w:cs="Arial"/>
          <w:sz w:val="17"/>
          <w:szCs w:val="17"/>
        </w:rPr>
        <w:t>” Bloomberg, July 4, 2014, accessed July 2, 2017, https://www.bloomberg.com/news/articles/2014-07-03/gmo-factory-monsantos-high-tech-plans-to-feed-the-world.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ヒラギノ明朝 Pro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CCF5A" w14:textId="77777777" w:rsidR="00E7297C" w:rsidRDefault="00E7297C" w:rsidP="00D75295">
      <w:r>
        <w:separator/>
      </w:r>
    </w:p>
  </w:footnote>
  <w:footnote w:type="continuationSeparator" w:id="0">
    <w:p w14:paraId="6AEF44AA" w14:textId="77777777" w:rsidR="00E7297C" w:rsidRDefault="00E7297C"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2FBE5" w14:textId="6A520862" w:rsidR="00E7297C" w:rsidRDefault="00E7297C"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t>9B17M182</w:t>
    </w:r>
  </w:p>
  <w:p w14:paraId="47C67EE5" w14:textId="77777777" w:rsidR="00E7297C" w:rsidRPr="00C92CC4" w:rsidRDefault="00E7297C">
    <w:pPr>
      <w:pStyle w:val="Header"/>
      <w:rPr>
        <w:sz w:val="18"/>
        <w:szCs w:val="18"/>
      </w:rPr>
    </w:pPr>
  </w:p>
  <w:p w14:paraId="24FEF707" w14:textId="77777777" w:rsidR="00E7297C" w:rsidRPr="00C92CC4" w:rsidRDefault="00E7297C">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642AD"/>
    <w:multiLevelType w:val="hybridMultilevel"/>
    <w:tmpl w:val="55D655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9C65F8"/>
    <w:multiLevelType w:val="hybridMultilevel"/>
    <w:tmpl w:val="45C2B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5CA6151F"/>
    <w:multiLevelType w:val="hybridMultilevel"/>
    <w:tmpl w:val="128CD24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5E1E78BC"/>
    <w:multiLevelType w:val="hybridMultilevel"/>
    <w:tmpl w:val="44D0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6"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7"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73B6671"/>
    <w:multiLevelType w:val="hybridMultilevel"/>
    <w:tmpl w:val="86583F42"/>
    <w:lvl w:ilvl="0" w:tplc="5F9436BC">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0"/>
  </w:num>
  <w:num w:numId="13">
    <w:abstractNumId w:val="12"/>
  </w:num>
  <w:num w:numId="14">
    <w:abstractNumId w:val="21"/>
  </w:num>
  <w:num w:numId="15">
    <w:abstractNumId w:val="22"/>
  </w:num>
  <w:num w:numId="16">
    <w:abstractNumId w:val="25"/>
  </w:num>
  <w:num w:numId="17">
    <w:abstractNumId w:val="16"/>
  </w:num>
  <w:num w:numId="18">
    <w:abstractNumId w:val="26"/>
  </w:num>
  <w:num w:numId="19">
    <w:abstractNumId w:val="11"/>
  </w:num>
  <w:num w:numId="20">
    <w:abstractNumId w:val="10"/>
  </w:num>
  <w:num w:numId="21">
    <w:abstractNumId w:val="27"/>
  </w:num>
  <w:num w:numId="22">
    <w:abstractNumId w:val="19"/>
  </w:num>
  <w:num w:numId="23">
    <w:abstractNumId w:val="29"/>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9"/>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9"/>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4"/>
  </w:num>
  <w:num w:numId="29">
    <w:abstractNumId w:val="17"/>
  </w:num>
  <w:num w:numId="30">
    <w:abstractNumId w:val="23"/>
  </w:num>
  <w:num w:numId="31">
    <w:abstractNumId w:val="2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en-GB" w:vendorID="64" w:dllVersion="6" w:nlCheck="1" w:checkStyle="0"/>
  <w:activeWritingStyle w:appName="MSWord" w:lang="en-US" w:vendorID="64" w:dllVersion="6" w:nlCheck="1" w:checkStyle="0"/>
  <w:activeWritingStyle w:appName="MSWord" w:lang="en-CA" w:vendorID="64" w:dllVersion="6" w:nlCheck="1" w:checkStyle="0"/>
  <w:activeWritingStyle w:appName="MSWord" w:lang="ja-JP"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03"/>
    <w:rsid w:val="0000085A"/>
    <w:rsid w:val="00000993"/>
    <w:rsid w:val="00000ED8"/>
    <w:rsid w:val="000031D2"/>
    <w:rsid w:val="00003823"/>
    <w:rsid w:val="00005154"/>
    <w:rsid w:val="00006861"/>
    <w:rsid w:val="000074A2"/>
    <w:rsid w:val="0001201D"/>
    <w:rsid w:val="00012B38"/>
    <w:rsid w:val="00013360"/>
    <w:rsid w:val="00013EE5"/>
    <w:rsid w:val="0001476B"/>
    <w:rsid w:val="00016246"/>
    <w:rsid w:val="000163D9"/>
    <w:rsid w:val="00021432"/>
    <w:rsid w:val="000214F1"/>
    <w:rsid w:val="000216CE"/>
    <w:rsid w:val="00021A7D"/>
    <w:rsid w:val="00022414"/>
    <w:rsid w:val="00023CD8"/>
    <w:rsid w:val="00023FDE"/>
    <w:rsid w:val="00024152"/>
    <w:rsid w:val="000243A5"/>
    <w:rsid w:val="000243B2"/>
    <w:rsid w:val="000253F8"/>
    <w:rsid w:val="00025DC7"/>
    <w:rsid w:val="00026486"/>
    <w:rsid w:val="000268F3"/>
    <w:rsid w:val="000279AC"/>
    <w:rsid w:val="0003156B"/>
    <w:rsid w:val="00032410"/>
    <w:rsid w:val="000342D0"/>
    <w:rsid w:val="00034F90"/>
    <w:rsid w:val="00035148"/>
    <w:rsid w:val="000379AA"/>
    <w:rsid w:val="00040A5C"/>
    <w:rsid w:val="00041C95"/>
    <w:rsid w:val="00043D98"/>
    <w:rsid w:val="000443FE"/>
    <w:rsid w:val="0004480D"/>
    <w:rsid w:val="0004497B"/>
    <w:rsid w:val="00044ECC"/>
    <w:rsid w:val="00045954"/>
    <w:rsid w:val="00051209"/>
    <w:rsid w:val="000531D3"/>
    <w:rsid w:val="00053A0D"/>
    <w:rsid w:val="000549D6"/>
    <w:rsid w:val="00054E97"/>
    <w:rsid w:val="0005646B"/>
    <w:rsid w:val="00056918"/>
    <w:rsid w:val="0006002F"/>
    <w:rsid w:val="00060872"/>
    <w:rsid w:val="000617C5"/>
    <w:rsid w:val="000655B3"/>
    <w:rsid w:val="00065DF6"/>
    <w:rsid w:val="00066A1E"/>
    <w:rsid w:val="00067659"/>
    <w:rsid w:val="000701E2"/>
    <w:rsid w:val="0007111A"/>
    <w:rsid w:val="00071A10"/>
    <w:rsid w:val="00071E7F"/>
    <w:rsid w:val="00072567"/>
    <w:rsid w:val="00072CEE"/>
    <w:rsid w:val="000737FA"/>
    <w:rsid w:val="000739BF"/>
    <w:rsid w:val="00073D8E"/>
    <w:rsid w:val="00074C8D"/>
    <w:rsid w:val="0007652A"/>
    <w:rsid w:val="000779C2"/>
    <w:rsid w:val="00077CE4"/>
    <w:rsid w:val="0008102D"/>
    <w:rsid w:val="000814C4"/>
    <w:rsid w:val="0008158B"/>
    <w:rsid w:val="00081D2A"/>
    <w:rsid w:val="00083AA5"/>
    <w:rsid w:val="00083FDA"/>
    <w:rsid w:val="00086038"/>
    <w:rsid w:val="0008648D"/>
    <w:rsid w:val="00086DAC"/>
    <w:rsid w:val="0008745A"/>
    <w:rsid w:val="00087FBB"/>
    <w:rsid w:val="00090D3B"/>
    <w:rsid w:val="00091C97"/>
    <w:rsid w:val="000932A0"/>
    <w:rsid w:val="00093BA6"/>
    <w:rsid w:val="00094875"/>
    <w:rsid w:val="00094C0E"/>
    <w:rsid w:val="0009619A"/>
    <w:rsid w:val="0009650E"/>
    <w:rsid w:val="00096BAC"/>
    <w:rsid w:val="00097871"/>
    <w:rsid w:val="000A2E49"/>
    <w:rsid w:val="000A41D4"/>
    <w:rsid w:val="000A431C"/>
    <w:rsid w:val="000A63DA"/>
    <w:rsid w:val="000A693F"/>
    <w:rsid w:val="000B069F"/>
    <w:rsid w:val="000B1439"/>
    <w:rsid w:val="000B1EA1"/>
    <w:rsid w:val="000B3FCB"/>
    <w:rsid w:val="000B4074"/>
    <w:rsid w:val="000B4324"/>
    <w:rsid w:val="000B696C"/>
    <w:rsid w:val="000B69D5"/>
    <w:rsid w:val="000B7215"/>
    <w:rsid w:val="000B7847"/>
    <w:rsid w:val="000C02EF"/>
    <w:rsid w:val="000C0A48"/>
    <w:rsid w:val="000C0FAF"/>
    <w:rsid w:val="000C1207"/>
    <w:rsid w:val="000C1618"/>
    <w:rsid w:val="000C2B29"/>
    <w:rsid w:val="000C2D65"/>
    <w:rsid w:val="000C54AD"/>
    <w:rsid w:val="000C585C"/>
    <w:rsid w:val="000C5E98"/>
    <w:rsid w:val="000C6EA4"/>
    <w:rsid w:val="000C70A3"/>
    <w:rsid w:val="000C732B"/>
    <w:rsid w:val="000C76C2"/>
    <w:rsid w:val="000D05D3"/>
    <w:rsid w:val="000D0815"/>
    <w:rsid w:val="000D0E04"/>
    <w:rsid w:val="000D1938"/>
    <w:rsid w:val="000D3E1C"/>
    <w:rsid w:val="000D41A0"/>
    <w:rsid w:val="000D4BCE"/>
    <w:rsid w:val="000D74C4"/>
    <w:rsid w:val="000E029A"/>
    <w:rsid w:val="000E0A0B"/>
    <w:rsid w:val="000E0AB4"/>
    <w:rsid w:val="000E24E8"/>
    <w:rsid w:val="000E2E31"/>
    <w:rsid w:val="000E41F8"/>
    <w:rsid w:val="000F0216"/>
    <w:rsid w:val="000F049C"/>
    <w:rsid w:val="000F0A7F"/>
    <w:rsid w:val="000F0C22"/>
    <w:rsid w:val="000F13DB"/>
    <w:rsid w:val="000F22A0"/>
    <w:rsid w:val="000F2F91"/>
    <w:rsid w:val="000F3632"/>
    <w:rsid w:val="000F3783"/>
    <w:rsid w:val="000F390D"/>
    <w:rsid w:val="000F393D"/>
    <w:rsid w:val="000F42D3"/>
    <w:rsid w:val="000F56C3"/>
    <w:rsid w:val="000F5C6B"/>
    <w:rsid w:val="000F6B09"/>
    <w:rsid w:val="000F6D8F"/>
    <w:rsid w:val="000F6FDC"/>
    <w:rsid w:val="000F730B"/>
    <w:rsid w:val="00100239"/>
    <w:rsid w:val="00100691"/>
    <w:rsid w:val="00101BC4"/>
    <w:rsid w:val="00101D03"/>
    <w:rsid w:val="00102E00"/>
    <w:rsid w:val="00103642"/>
    <w:rsid w:val="00104567"/>
    <w:rsid w:val="0010770A"/>
    <w:rsid w:val="001104B1"/>
    <w:rsid w:val="00110FB5"/>
    <w:rsid w:val="0011166A"/>
    <w:rsid w:val="00111E5E"/>
    <w:rsid w:val="00113489"/>
    <w:rsid w:val="00113980"/>
    <w:rsid w:val="00116406"/>
    <w:rsid w:val="001164DF"/>
    <w:rsid w:val="00116A21"/>
    <w:rsid w:val="001200AF"/>
    <w:rsid w:val="001215A5"/>
    <w:rsid w:val="00123BF9"/>
    <w:rsid w:val="0012560E"/>
    <w:rsid w:val="0012732D"/>
    <w:rsid w:val="001313BC"/>
    <w:rsid w:val="0013263D"/>
    <w:rsid w:val="0013280B"/>
    <w:rsid w:val="00135A7A"/>
    <w:rsid w:val="00136460"/>
    <w:rsid w:val="00140D9F"/>
    <w:rsid w:val="00141BCC"/>
    <w:rsid w:val="00142212"/>
    <w:rsid w:val="001426CA"/>
    <w:rsid w:val="001435CC"/>
    <w:rsid w:val="00144006"/>
    <w:rsid w:val="00145599"/>
    <w:rsid w:val="00145972"/>
    <w:rsid w:val="00145CA2"/>
    <w:rsid w:val="0014630D"/>
    <w:rsid w:val="001464C1"/>
    <w:rsid w:val="00150587"/>
    <w:rsid w:val="00151263"/>
    <w:rsid w:val="00152276"/>
    <w:rsid w:val="00152C4D"/>
    <w:rsid w:val="00153CC1"/>
    <w:rsid w:val="00153D2C"/>
    <w:rsid w:val="00153E37"/>
    <w:rsid w:val="00154DBD"/>
    <w:rsid w:val="00154FC9"/>
    <w:rsid w:val="0015593A"/>
    <w:rsid w:val="00156490"/>
    <w:rsid w:val="0016049A"/>
    <w:rsid w:val="00160841"/>
    <w:rsid w:val="00160993"/>
    <w:rsid w:val="00161471"/>
    <w:rsid w:val="00161FF6"/>
    <w:rsid w:val="0016304C"/>
    <w:rsid w:val="001639BD"/>
    <w:rsid w:val="00165369"/>
    <w:rsid w:val="00170599"/>
    <w:rsid w:val="00170665"/>
    <w:rsid w:val="00170E2A"/>
    <w:rsid w:val="00172224"/>
    <w:rsid w:val="0017324F"/>
    <w:rsid w:val="00173EDC"/>
    <w:rsid w:val="0017525D"/>
    <w:rsid w:val="00176B9F"/>
    <w:rsid w:val="00176D41"/>
    <w:rsid w:val="00176F7E"/>
    <w:rsid w:val="0018033E"/>
    <w:rsid w:val="0018049E"/>
    <w:rsid w:val="00181E4C"/>
    <w:rsid w:val="0018222A"/>
    <w:rsid w:val="00182AE3"/>
    <w:rsid w:val="00183232"/>
    <w:rsid w:val="00186C6C"/>
    <w:rsid w:val="0019241A"/>
    <w:rsid w:val="00192DA8"/>
    <w:rsid w:val="00194522"/>
    <w:rsid w:val="00195415"/>
    <w:rsid w:val="00195D3B"/>
    <w:rsid w:val="001A2A51"/>
    <w:rsid w:val="001A3645"/>
    <w:rsid w:val="001A3D13"/>
    <w:rsid w:val="001A3D52"/>
    <w:rsid w:val="001A4A52"/>
    <w:rsid w:val="001A5335"/>
    <w:rsid w:val="001A5F48"/>
    <w:rsid w:val="001A63C8"/>
    <w:rsid w:val="001A66B0"/>
    <w:rsid w:val="001A752D"/>
    <w:rsid w:val="001B0E47"/>
    <w:rsid w:val="001B135C"/>
    <w:rsid w:val="001B3E05"/>
    <w:rsid w:val="001B445F"/>
    <w:rsid w:val="001B5AA4"/>
    <w:rsid w:val="001C2429"/>
    <w:rsid w:val="001C2F5F"/>
    <w:rsid w:val="001C3907"/>
    <w:rsid w:val="001C3C4F"/>
    <w:rsid w:val="001C434A"/>
    <w:rsid w:val="001C4466"/>
    <w:rsid w:val="001C4AE6"/>
    <w:rsid w:val="001C4EB1"/>
    <w:rsid w:val="001D06C2"/>
    <w:rsid w:val="001D0B04"/>
    <w:rsid w:val="001D1F3C"/>
    <w:rsid w:val="001D2F6C"/>
    <w:rsid w:val="001D5782"/>
    <w:rsid w:val="001D59BF"/>
    <w:rsid w:val="001D5B2B"/>
    <w:rsid w:val="001D6B04"/>
    <w:rsid w:val="001D7235"/>
    <w:rsid w:val="001E0AEB"/>
    <w:rsid w:val="001E270B"/>
    <w:rsid w:val="001E4A5E"/>
    <w:rsid w:val="001E4E04"/>
    <w:rsid w:val="001E4EFA"/>
    <w:rsid w:val="001E5FC6"/>
    <w:rsid w:val="001E6531"/>
    <w:rsid w:val="001E6BAD"/>
    <w:rsid w:val="001E7E11"/>
    <w:rsid w:val="001F012B"/>
    <w:rsid w:val="001F262E"/>
    <w:rsid w:val="001F2EBE"/>
    <w:rsid w:val="001F3ED6"/>
    <w:rsid w:val="001F4973"/>
    <w:rsid w:val="001F4B2F"/>
    <w:rsid w:val="001F57B0"/>
    <w:rsid w:val="001F5CA8"/>
    <w:rsid w:val="001F5DED"/>
    <w:rsid w:val="001F6F44"/>
    <w:rsid w:val="001F759C"/>
    <w:rsid w:val="00200A10"/>
    <w:rsid w:val="00203AA1"/>
    <w:rsid w:val="002052D0"/>
    <w:rsid w:val="00205504"/>
    <w:rsid w:val="002074DB"/>
    <w:rsid w:val="0021031B"/>
    <w:rsid w:val="00210863"/>
    <w:rsid w:val="002129F1"/>
    <w:rsid w:val="00213E98"/>
    <w:rsid w:val="002154A2"/>
    <w:rsid w:val="00216F75"/>
    <w:rsid w:val="00220DD3"/>
    <w:rsid w:val="0022167D"/>
    <w:rsid w:val="00221AA4"/>
    <w:rsid w:val="00222515"/>
    <w:rsid w:val="002228DD"/>
    <w:rsid w:val="00222E95"/>
    <w:rsid w:val="002266F9"/>
    <w:rsid w:val="002330BF"/>
    <w:rsid w:val="00233476"/>
    <w:rsid w:val="002341BE"/>
    <w:rsid w:val="0023510A"/>
    <w:rsid w:val="002360E8"/>
    <w:rsid w:val="00236EA4"/>
    <w:rsid w:val="002379F1"/>
    <w:rsid w:val="0024091F"/>
    <w:rsid w:val="00240A11"/>
    <w:rsid w:val="0024291B"/>
    <w:rsid w:val="00243BA3"/>
    <w:rsid w:val="0024564C"/>
    <w:rsid w:val="00245A7D"/>
    <w:rsid w:val="00247945"/>
    <w:rsid w:val="002503A8"/>
    <w:rsid w:val="00250D34"/>
    <w:rsid w:val="002518DD"/>
    <w:rsid w:val="00251FD1"/>
    <w:rsid w:val="00252711"/>
    <w:rsid w:val="00254300"/>
    <w:rsid w:val="00255933"/>
    <w:rsid w:val="0025715B"/>
    <w:rsid w:val="00261336"/>
    <w:rsid w:val="00261F8A"/>
    <w:rsid w:val="002641EF"/>
    <w:rsid w:val="00265B25"/>
    <w:rsid w:val="00266098"/>
    <w:rsid w:val="002663AE"/>
    <w:rsid w:val="0026695E"/>
    <w:rsid w:val="00267151"/>
    <w:rsid w:val="002675EC"/>
    <w:rsid w:val="00270048"/>
    <w:rsid w:val="002732C0"/>
    <w:rsid w:val="00273548"/>
    <w:rsid w:val="00274694"/>
    <w:rsid w:val="00275D46"/>
    <w:rsid w:val="00275E68"/>
    <w:rsid w:val="00276113"/>
    <w:rsid w:val="0027696A"/>
    <w:rsid w:val="00280C3C"/>
    <w:rsid w:val="00280F88"/>
    <w:rsid w:val="0028159A"/>
    <w:rsid w:val="00281D36"/>
    <w:rsid w:val="00281DF5"/>
    <w:rsid w:val="00282606"/>
    <w:rsid w:val="002834C1"/>
    <w:rsid w:val="00283B56"/>
    <w:rsid w:val="002856AE"/>
    <w:rsid w:val="002859AC"/>
    <w:rsid w:val="002928F6"/>
    <w:rsid w:val="00294024"/>
    <w:rsid w:val="00295093"/>
    <w:rsid w:val="00295BC6"/>
    <w:rsid w:val="00296A78"/>
    <w:rsid w:val="002A0362"/>
    <w:rsid w:val="002A0B37"/>
    <w:rsid w:val="002A2ABF"/>
    <w:rsid w:val="002A4C3A"/>
    <w:rsid w:val="002A6921"/>
    <w:rsid w:val="002A731A"/>
    <w:rsid w:val="002A7348"/>
    <w:rsid w:val="002B09EB"/>
    <w:rsid w:val="002B19FA"/>
    <w:rsid w:val="002B29E4"/>
    <w:rsid w:val="002B3901"/>
    <w:rsid w:val="002B4269"/>
    <w:rsid w:val="002B5466"/>
    <w:rsid w:val="002B555D"/>
    <w:rsid w:val="002B5869"/>
    <w:rsid w:val="002B6A34"/>
    <w:rsid w:val="002B706D"/>
    <w:rsid w:val="002C05F1"/>
    <w:rsid w:val="002C0DD1"/>
    <w:rsid w:val="002C1B71"/>
    <w:rsid w:val="002C26CA"/>
    <w:rsid w:val="002C4740"/>
    <w:rsid w:val="002C4AFF"/>
    <w:rsid w:val="002C5727"/>
    <w:rsid w:val="002C5D0A"/>
    <w:rsid w:val="002C694D"/>
    <w:rsid w:val="002C7705"/>
    <w:rsid w:val="002D047A"/>
    <w:rsid w:val="002D175B"/>
    <w:rsid w:val="002D244C"/>
    <w:rsid w:val="002D2A11"/>
    <w:rsid w:val="002D320A"/>
    <w:rsid w:val="002D4561"/>
    <w:rsid w:val="002D56E5"/>
    <w:rsid w:val="002D7C58"/>
    <w:rsid w:val="002E1731"/>
    <w:rsid w:val="002E1C53"/>
    <w:rsid w:val="002E25AD"/>
    <w:rsid w:val="002E2CCD"/>
    <w:rsid w:val="002E50D9"/>
    <w:rsid w:val="002E5CD8"/>
    <w:rsid w:val="002E646B"/>
    <w:rsid w:val="002E7ACD"/>
    <w:rsid w:val="002E7FB8"/>
    <w:rsid w:val="002F0159"/>
    <w:rsid w:val="002F0F0E"/>
    <w:rsid w:val="002F2199"/>
    <w:rsid w:val="002F33F5"/>
    <w:rsid w:val="002F41B4"/>
    <w:rsid w:val="002F460C"/>
    <w:rsid w:val="002F48D6"/>
    <w:rsid w:val="002F53EC"/>
    <w:rsid w:val="002F6808"/>
    <w:rsid w:val="002F7261"/>
    <w:rsid w:val="00303061"/>
    <w:rsid w:val="00303C72"/>
    <w:rsid w:val="00304393"/>
    <w:rsid w:val="003044B0"/>
    <w:rsid w:val="0030569D"/>
    <w:rsid w:val="00310E3B"/>
    <w:rsid w:val="00311665"/>
    <w:rsid w:val="00312B06"/>
    <w:rsid w:val="003157D2"/>
    <w:rsid w:val="0031702E"/>
    <w:rsid w:val="00322523"/>
    <w:rsid w:val="00322843"/>
    <w:rsid w:val="00323E98"/>
    <w:rsid w:val="0032416B"/>
    <w:rsid w:val="003249B4"/>
    <w:rsid w:val="00325446"/>
    <w:rsid w:val="00325DF6"/>
    <w:rsid w:val="00326953"/>
    <w:rsid w:val="00326F7F"/>
    <w:rsid w:val="00327617"/>
    <w:rsid w:val="00327E03"/>
    <w:rsid w:val="0033057E"/>
    <w:rsid w:val="00330DD8"/>
    <w:rsid w:val="0033110C"/>
    <w:rsid w:val="003316F8"/>
    <w:rsid w:val="0033512E"/>
    <w:rsid w:val="00335C22"/>
    <w:rsid w:val="00337CF3"/>
    <w:rsid w:val="0034034E"/>
    <w:rsid w:val="0034058A"/>
    <w:rsid w:val="00340D8A"/>
    <w:rsid w:val="00340F68"/>
    <w:rsid w:val="00341A1F"/>
    <w:rsid w:val="0034270D"/>
    <w:rsid w:val="00342D8B"/>
    <w:rsid w:val="00343032"/>
    <w:rsid w:val="003430F6"/>
    <w:rsid w:val="00343E42"/>
    <w:rsid w:val="003440C0"/>
    <w:rsid w:val="00345126"/>
    <w:rsid w:val="003453BA"/>
    <w:rsid w:val="00345895"/>
    <w:rsid w:val="00345D6B"/>
    <w:rsid w:val="0034681B"/>
    <w:rsid w:val="003476FB"/>
    <w:rsid w:val="00347AF7"/>
    <w:rsid w:val="00351368"/>
    <w:rsid w:val="003513EA"/>
    <w:rsid w:val="003519B1"/>
    <w:rsid w:val="00351A1D"/>
    <w:rsid w:val="00352646"/>
    <w:rsid w:val="00354899"/>
    <w:rsid w:val="003553E5"/>
    <w:rsid w:val="0035540D"/>
    <w:rsid w:val="00355B73"/>
    <w:rsid w:val="00355B9D"/>
    <w:rsid w:val="00355C01"/>
    <w:rsid w:val="00355FD6"/>
    <w:rsid w:val="00356344"/>
    <w:rsid w:val="003579F7"/>
    <w:rsid w:val="00357E6C"/>
    <w:rsid w:val="00357FDF"/>
    <w:rsid w:val="003602F1"/>
    <w:rsid w:val="00361C8E"/>
    <w:rsid w:val="00361D2A"/>
    <w:rsid w:val="00364A5C"/>
    <w:rsid w:val="0036574E"/>
    <w:rsid w:val="00365D48"/>
    <w:rsid w:val="00366321"/>
    <w:rsid w:val="00366513"/>
    <w:rsid w:val="0036688C"/>
    <w:rsid w:val="00366AD6"/>
    <w:rsid w:val="00367CEB"/>
    <w:rsid w:val="00370C58"/>
    <w:rsid w:val="00371362"/>
    <w:rsid w:val="00372A63"/>
    <w:rsid w:val="00373815"/>
    <w:rsid w:val="00373CA3"/>
    <w:rsid w:val="00373CD7"/>
    <w:rsid w:val="00373FB1"/>
    <w:rsid w:val="0037583F"/>
    <w:rsid w:val="00375B2A"/>
    <w:rsid w:val="0037619C"/>
    <w:rsid w:val="0037663D"/>
    <w:rsid w:val="00376A3F"/>
    <w:rsid w:val="00376B41"/>
    <w:rsid w:val="0037771F"/>
    <w:rsid w:val="00377EC8"/>
    <w:rsid w:val="00380D51"/>
    <w:rsid w:val="00381DED"/>
    <w:rsid w:val="00382320"/>
    <w:rsid w:val="003824FD"/>
    <w:rsid w:val="00383B7E"/>
    <w:rsid w:val="0038407F"/>
    <w:rsid w:val="00384791"/>
    <w:rsid w:val="00386C1B"/>
    <w:rsid w:val="00387A91"/>
    <w:rsid w:val="00387EB9"/>
    <w:rsid w:val="0039078C"/>
    <w:rsid w:val="003916BD"/>
    <w:rsid w:val="003923DA"/>
    <w:rsid w:val="003924FE"/>
    <w:rsid w:val="0039407B"/>
    <w:rsid w:val="00394889"/>
    <w:rsid w:val="003A2125"/>
    <w:rsid w:val="003A397F"/>
    <w:rsid w:val="003A4564"/>
    <w:rsid w:val="003A49C8"/>
    <w:rsid w:val="003A5C0C"/>
    <w:rsid w:val="003A744B"/>
    <w:rsid w:val="003B18C3"/>
    <w:rsid w:val="003B1A5B"/>
    <w:rsid w:val="003B1FC3"/>
    <w:rsid w:val="003B2A77"/>
    <w:rsid w:val="003B2EB5"/>
    <w:rsid w:val="003B30D8"/>
    <w:rsid w:val="003B3FBF"/>
    <w:rsid w:val="003B4EA9"/>
    <w:rsid w:val="003B5ACB"/>
    <w:rsid w:val="003B6CE7"/>
    <w:rsid w:val="003B7119"/>
    <w:rsid w:val="003B7EF2"/>
    <w:rsid w:val="003C14B3"/>
    <w:rsid w:val="003C2582"/>
    <w:rsid w:val="003C29A1"/>
    <w:rsid w:val="003C3325"/>
    <w:rsid w:val="003C336A"/>
    <w:rsid w:val="003C3E3A"/>
    <w:rsid w:val="003C3FA4"/>
    <w:rsid w:val="003C58DD"/>
    <w:rsid w:val="003C6152"/>
    <w:rsid w:val="003D13F8"/>
    <w:rsid w:val="003D2580"/>
    <w:rsid w:val="003D2EA6"/>
    <w:rsid w:val="003D31EB"/>
    <w:rsid w:val="003D3DF8"/>
    <w:rsid w:val="003D42F0"/>
    <w:rsid w:val="003D49F5"/>
    <w:rsid w:val="003D63B7"/>
    <w:rsid w:val="003D717F"/>
    <w:rsid w:val="003E0667"/>
    <w:rsid w:val="003E0C4D"/>
    <w:rsid w:val="003E12E9"/>
    <w:rsid w:val="003E5903"/>
    <w:rsid w:val="003E6168"/>
    <w:rsid w:val="003E635A"/>
    <w:rsid w:val="003E681A"/>
    <w:rsid w:val="003F06AB"/>
    <w:rsid w:val="003F26F1"/>
    <w:rsid w:val="003F2B0C"/>
    <w:rsid w:val="003F4314"/>
    <w:rsid w:val="003F6087"/>
    <w:rsid w:val="003F6C13"/>
    <w:rsid w:val="0040060E"/>
    <w:rsid w:val="00401888"/>
    <w:rsid w:val="0040316C"/>
    <w:rsid w:val="00404305"/>
    <w:rsid w:val="004067DF"/>
    <w:rsid w:val="00406945"/>
    <w:rsid w:val="004069FB"/>
    <w:rsid w:val="00406E08"/>
    <w:rsid w:val="00412D68"/>
    <w:rsid w:val="00413364"/>
    <w:rsid w:val="0041536C"/>
    <w:rsid w:val="004153BA"/>
    <w:rsid w:val="00417FAF"/>
    <w:rsid w:val="004208A4"/>
    <w:rsid w:val="00421061"/>
    <w:rsid w:val="00421424"/>
    <w:rsid w:val="004221E4"/>
    <w:rsid w:val="00422611"/>
    <w:rsid w:val="004230F9"/>
    <w:rsid w:val="00423281"/>
    <w:rsid w:val="00423F27"/>
    <w:rsid w:val="00424F46"/>
    <w:rsid w:val="00426362"/>
    <w:rsid w:val="004267BF"/>
    <w:rsid w:val="00427323"/>
    <w:rsid w:val="004303DB"/>
    <w:rsid w:val="004313A9"/>
    <w:rsid w:val="00433050"/>
    <w:rsid w:val="00433932"/>
    <w:rsid w:val="00434ABE"/>
    <w:rsid w:val="004361E3"/>
    <w:rsid w:val="00436A4C"/>
    <w:rsid w:val="00437B3D"/>
    <w:rsid w:val="00437DBE"/>
    <w:rsid w:val="00441222"/>
    <w:rsid w:val="00441E9A"/>
    <w:rsid w:val="00442CD3"/>
    <w:rsid w:val="004431A1"/>
    <w:rsid w:val="00443470"/>
    <w:rsid w:val="004440F6"/>
    <w:rsid w:val="00444D97"/>
    <w:rsid w:val="00445646"/>
    <w:rsid w:val="0044571E"/>
    <w:rsid w:val="00450EC7"/>
    <w:rsid w:val="00451135"/>
    <w:rsid w:val="00451769"/>
    <w:rsid w:val="004527BF"/>
    <w:rsid w:val="00454B39"/>
    <w:rsid w:val="00456AE5"/>
    <w:rsid w:val="004570D0"/>
    <w:rsid w:val="00457476"/>
    <w:rsid w:val="004574C8"/>
    <w:rsid w:val="0046067F"/>
    <w:rsid w:val="0046130E"/>
    <w:rsid w:val="00461C60"/>
    <w:rsid w:val="00465223"/>
    <w:rsid w:val="00470191"/>
    <w:rsid w:val="00471088"/>
    <w:rsid w:val="0047138E"/>
    <w:rsid w:val="00471F21"/>
    <w:rsid w:val="00472109"/>
    <w:rsid w:val="0047272D"/>
    <w:rsid w:val="00472CD1"/>
    <w:rsid w:val="004737AD"/>
    <w:rsid w:val="0047597A"/>
    <w:rsid w:val="00477C4B"/>
    <w:rsid w:val="004801F4"/>
    <w:rsid w:val="0048032D"/>
    <w:rsid w:val="00483AF9"/>
    <w:rsid w:val="0048434B"/>
    <w:rsid w:val="004858E6"/>
    <w:rsid w:val="00485AE4"/>
    <w:rsid w:val="0048687D"/>
    <w:rsid w:val="00487C7E"/>
    <w:rsid w:val="00490042"/>
    <w:rsid w:val="004908ED"/>
    <w:rsid w:val="00490D25"/>
    <w:rsid w:val="00490F6A"/>
    <w:rsid w:val="00492197"/>
    <w:rsid w:val="0049328C"/>
    <w:rsid w:val="00494543"/>
    <w:rsid w:val="00496253"/>
    <w:rsid w:val="004969C4"/>
    <w:rsid w:val="0049757F"/>
    <w:rsid w:val="004A1970"/>
    <w:rsid w:val="004A203F"/>
    <w:rsid w:val="004A249C"/>
    <w:rsid w:val="004A2721"/>
    <w:rsid w:val="004A2FD2"/>
    <w:rsid w:val="004A379D"/>
    <w:rsid w:val="004A4845"/>
    <w:rsid w:val="004A6DC7"/>
    <w:rsid w:val="004A6EBB"/>
    <w:rsid w:val="004A6EBE"/>
    <w:rsid w:val="004A753B"/>
    <w:rsid w:val="004B00EE"/>
    <w:rsid w:val="004B0D03"/>
    <w:rsid w:val="004B1CCB"/>
    <w:rsid w:val="004B38D6"/>
    <w:rsid w:val="004B62C5"/>
    <w:rsid w:val="004B6589"/>
    <w:rsid w:val="004C16A8"/>
    <w:rsid w:val="004C1822"/>
    <w:rsid w:val="004C2405"/>
    <w:rsid w:val="004C28FA"/>
    <w:rsid w:val="004C2A5E"/>
    <w:rsid w:val="004C565F"/>
    <w:rsid w:val="004C6266"/>
    <w:rsid w:val="004C6A1E"/>
    <w:rsid w:val="004C7263"/>
    <w:rsid w:val="004D00C4"/>
    <w:rsid w:val="004D078B"/>
    <w:rsid w:val="004D2315"/>
    <w:rsid w:val="004D24E2"/>
    <w:rsid w:val="004D26EE"/>
    <w:rsid w:val="004D73A5"/>
    <w:rsid w:val="004E228B"/>
    <w:rsid w:val="004E4059"/>
    <w:rsid w:val="004E5890"/>
    <w:rsid w:val="004E59EB"/>
    <w:rsid w:val="004E6ACF"/>
    <w:rsid w:val="004E6B6D"/>
    <w:rsid w:val="004E7B65"/>
    <w:rsid w:val="004E7FA1"/>
    <w:rsid w:val="004F0901"/>
    <w:rsid w:val="004F0F70"/>
    <w:rsid w:val="004F426D"/>
    <w:rsid w:val="004F4ABD"/>
    <w:rsid w:val="004F5B3E"/>
    <w:rsid w:val="004F5CDB"/>
    <w:rsid w:val="004F5D7A"/>
    <w:rsid w:val="004F5EB1"/>
    <w:rsid w:val="004F6AB1"/>
    <w:rsid w:val="004F6BA4"/>
    <w:rsid w:val="00500DF2"/>
    <w:rsid w:val="00501D4A"/>
    <w:rsid w:val="005026E7"/>
    <w:rsid w:val="00502A04"/>
    <w:rsid w:val="00502CA8"/>
    <w:rsid w:val="005038F8"/>
    <w:rsid w:val="00505C72"/>
    <w:rsid w:val="00505F3E"/>
    <w:rsid w:val="0050788D"/>
    <w:rsid w:val="00511C55"/>
    <w:rsid w:val="0051311F"/>
    <w:rsid w:val="00513835"/>
    <w:rsid w:val="0051402A"/>
    <w:rsid w:val="005148EF"/>
    <w:rsid w:val="00516F2A"/>
    <w:rsid w:val="00521237"/>
    <w:rsid w:val="00521CC4"/>
    <w:rsid w:val="005234E6"/>
    <w:rsid w:val="0052484B"/>
    <w:rsid w:val="00525E14"/>
    <w:rsid w:val="005262C6"/>
    <w:rsid w:val="00526B06"/>
    <w:rsid w:val="0052743D"/>
    <w:rsid w:val="00527CF8"/>
    <w:rsid w:val="0053180A"/>
    <w:rsid w:val="00532CF5"/>
    <w:rsid w:val="005335D0"/>
    <w:rsid w:val="00533B40"/>
    <w:rsid w:val="005373D9"/>
    <w:rsid w:val="0054301B"/>
    <w:rsid w:val="00544396"/>
    <w:rsid w:val="00547001"/>
    <w:rsid w:val="005507CF"/>
    <w:rsid w:val="00550E53"/>
    <w:rsid w:val="00551AF9"/>
    <w:rsid w:val="005528CB"/>
    <w:rsid w:val="00554813"/>
    <w:rsid w:val="00554CB0"/>
    <w:rsid w:val="0056309E"/>
    <w:rsid w:val="00563563"/>
    <w:rsid w:val="00563AE4"/>
    <w:rsid w:val="00565C3F"/>
    <w:rsid w:val="00565DAA"/>
    <w:rsid w:val="00566771"/>
    <w:rsid w:val="00566936"/>
    <w:rsid w:val="00566DF2"/>
    <w:rsid w:val="00567D60"/>
    <w:rsid w:val="00570E06"/>
    <w:rsid w:val="00570EC7"/>
    <w:rsid w:val="00570FD4"/>
    <w:rsid w:val="00571F5B"/>
    <w:rsid w:val="0057230E"/>
    <w:rsid w:val="005736FC"/>
    <w:rsid w:val="00575170"/>
    <w:rsid w:val="00581E2E"/>
    <w:rsid w:val="00583C95"/>
    <w:rsid w:val="00584B50"/>
    <w:rsid w:val="00584F15"/>
    <w:rsid w:val="00585A2D"/>
    <w:rsid w:val="00585B26"/>
    <w:rsid w:val="00585CF0"/>
    <w:rsid w:val="005872AF"/>
    <w:rsid w:val="0059022F"/>
    <w:rsid w:val="00591C51"/>
    <w:rsid w:val="005922DE"/>
    <w:rsid w:val="00592508"/>
    <w:rsid w:val="005929E3"/>
    <w:rsid w:val="00592E2C"/>
    <w:rsid w:val="005934B9"/>
    <w:rsid w:val="005939E4"/>
    <w:rsid w:val="00594166"/>
    <w:rsid w:val="005941FB"/>
    <w:rsid w:val="00595BE2"/>
    <w:rsid w:val="005A001F"/>
    <w:rsid w:val="005A0E08"/>
    <w:rsid w:val="005A3634"/>
    <w:rsid w:val="005A37D7"/>
    <w:rsid w:val="005A3B0F"/>
    <w:rsid w:val="005A52E6"/>
    <w:rsid w:val="005A5720"/>
    <w:rsid w:val="005A64F3"/>
    <w:rsid w:val="005A6B83"/>
    <w:rsid w:val="005A7FFB"/>
    <w:rsid w:val="005B0C67"/>
    <w:rsid w:val="005B1813"/>
    <w:rsid w:val="005B1CFB"/>
    <w:rsid w:val="005B5462"/>
    <w:rsid w:val="005B5FC0"/>
    <w:rsid w:val="005B623A"/>
    <w:rsid w:val="005B7F92"/>
    <w:rsid w:val="005C0AC0"/>
    <w:rsid w:val="005C0B00"/>
    <w:rsid w:val="005C2FFD"/>
    <w:rsid w:val="005C3141"/>
    <w:rsid w:val="005C5D82"/>
    <w:rsid w:val="005C61AB"/>
    <w:rsid w:val="005C73CF"/>
    <w:rsid w:val="005C77A1"/>
    <w:rsid w:val="005D014D"/>
    <w:rsid w:val="005D06C0"/>
    <w:rsid w:val="005D2605"/>
    <w:rsid w:val="005D29A5"/>
    <w:rsid w:val="005D4477"/>
    <w:rsid w:val="005D7140"/>
    <w:rsid w:val="005D72DE"/>
    <w:rsid w:val="005D7DA8"/>
    <w:rsid w:val="005E0BEF"/>
    <w:rsid w:val="005E629C"/>
    <w:rsid w:val="005E785C"/>
    <w:rsid w:val="005F2854"/>
    <w:rsid w:val="005F3C4E"/>
    <w:rsid w:val="005F58F0"/>
    <w:rsid w:val="005F6A0F"/>
    <w:rsid w:val="005F6C53"/>
    <w:rsid w:val="005F7603"/>
    <w:rsid w:val="00600114"/>
    <w:rsid w:val="00601B97"/>
    <w:rsid w:val="00601F0A"/>
    <w:rsid w:val="00604B64"/>
    <w:rsid w:val="00605908"/>
    <w:rsid w:val="0060598C"/>
    <w:rsid w:val="00610B5C"/>
    <w:rsid w:val="00610C31"/>
    <w:rsid w:val="00610CFA"/>
    <w:rsid w:val="00611424"/>
    <w:rsid w:val="00611633"/>
    <w:rsid w:val="00612668"/>
    <w:rsid w:val="00613D97"/>
    <w:rsid w:val="0061490C"/>
    <w:rsid w:val="00614BA0"/>
    <w:rsid w:val="00615030"/>
    <w:rsid w:val="00615582"/>
    <w:rsid w:val="006163F7"/>
    <w:rsid w:val="00617065"/>
    <w:rsid w:val="00620E18"/>
    <w:rsid w:val="00621D4C"/>
    <w:rsid w:val="00621F4D"/>
    <w:rsid w:val="00622BA0"/>
    <w:rsid w:val="00623324"/>
    <w:rsid w:val="00623B3F"/>
    <w:rsid w:val="0063193A"/>
    <w:rsid w:val="00632280"/>
    <w:rsid w:val="006324C2"/>
    <w:rsid w:val="0063325A"/>
    <w:rsid w:val="00634503"/>
    <w:rsid w:val="0063583F"/>
    <w:rsid w:val="00637331"/>
    <w:rsid w:val="006403ED"/>
    <w:rsid w:val="0064095C"/>
    <w:rsid w:val="006427FE"/>
    <w:rsid w:val="006436D3"/>
    <w:rsid w:val="00643C74"/>
    <w:rsid w:val="00643E32"/>
    <w:rsid w:val="00646159"/>
    <w:rsid w:val="006472EA"/>
    <w:rsid w:val="00650FC6"/>
    <w:rsid w:val="00652606"/>
    <w:rsid w:val="006527E2"/>
    <w:rsid w:val="00652A5E"/>
    <w:rsid w:val="00652EEE"/>
    <w:rsid w:val="006572CC"/>
    <w:rsid w:val="00657B38"/>
    <w:rsid w:val="00657FFC"/>
    <w:rsid w:val="0066408D"/>
    <w:rsid w:val="0066435B"/>
    <w:rsid w:val="00665DDC"/>
    <w:rsid w:val="006675AF"/>
    <w:rsid w:val="00670CFE"/>
    <w:rsid w:val="00670D40"/>
    <w:rsid w:val="00670D5F"/>
    <w:rsid w:val="00671491"/>
    <w:rsid w:val="00671A40"/>
    <w:rsid w:val="00671BFC"/>
    <w:rsid w:val="00673B6D"/>
    <w:rsid w:val="00674D25"/>
    <w:rsid w:val="00674DC8"/>
    <w:rsid w:val="006757C8"/>
    <w:rsid w:val="006761FD"/>
    <w:rsid w:val="00680A14"/>
    <w:rsid w:val="00680A1E"/>
    <w:rsid w:val="00682754"/>
    <w:rsid w:val="00683787"/>
    <w:rsid w:val="00683D95"/>
    <w:rsid w:val="00687676"/>
    <w:rsid w:val="00687D2B"/>
    <w:rsid w:val="00691F09"/>
    <w:rsid w:val="00695E76"/>
    <w:rsid w:val="006A074C"/>
    <w:rsid w:val="006A0E06"/>
    <w:rsid w:val="006A118D"/>
    <w:rsid w:val="006A16C2"/>
    <w:rsid w:val="006A2922"/>
    <w:rsid w:val="006A29AB"/>
    <w:rsid w:val="006A381C"/>
    <w:rsid w:val="006A4761"/>
    <w:rsid w:val="006A4764"/>
    <w:rsid w:val="006A58A9"/>
    <w:rsid w:val="006A606D"/>
    <w:rsid w:val="006A6882"/>
    <w:rsid w:val="006A6B84"/>
    <w:rsid w:val="006A6DC0"/>
    <w:rsid w:val="006A75D6"/>
    <w:rsid w:val="006A76C1"/>
    <w:rsid w:val="006A7DB1"/>
    <w:rsid w:val="006A7F25"/>
    <w:rsid w:val="006B2760"/>
    <w:rsid w:val="006B44E5"/>
    <w:rsid w:val="006B5F8D"/>
    <w:rsid w:val="006B693D"/>
    <w:rsid w:val="006B7028"/>
    <w:rsid w:val="006C0371"/>
    <w:rsid w:val="006C08B6"/>
    <w:rsid w:val="006C0B1A"/>
    <w:rsid w:val="006C1C38"/>
    <w:rsid w:val="006C1F0B"/>
    <w:rsid w:val="006C257B"/>
    <w:rsid w:val="006C4384"/>
    <w:rsid w:val="006C4FB4"/>
    <w:rsid w:val="006C5A16"/>
    <w:rsid w:val="006C5CF1"/>
    <w:rsid w:val="006C6065"/>
    <w:rsid w:val="006C6CBA"/>
    <w:rsid w:val="006C7547"/>
    <w:rsid w:val="006C7F9F"/>
    <w:rsid w:val="006D099E"/>
    <w:rsid w:val="006D26F2"/>
    <w:rsid w:val="006D4390"/>
    <w:rsid w:val="006D4518"/>
    <w:rsid w:val="006D65C3"/>
    <w:rsid w:val="006D6FCA"/>
    <w:rsid w:val="006D7F98"/>
    <w:rsid w:val="006E0489"/>
    <w:rsid w:val="006E2F6D"/>
    <w:rsid w:val="006E305C"/>
    <w:rsid w:val="006E4825"/>
    <w:rsid w:val="006E5485"/>
    <w:rsid w:val="006E579E"/>
    <w:rsid w:val="006E58F6"/>
    <w:rsid w:val="006E6979"/>
    <w:rsid w:val="006E703F"/>
    <w:rsid w:val="006E757A"/>
    <w:rsid w:val="006E77E1"/>
    <w:rsid w:val="006E7D4F"/>
    <w:rsid w:val="006E7E4D"/>
    <w:rsid w:val="006E7EDA"/>
    <w:rsid w:val="006F131D"/>
    <w:rsid w:val="006F1BCB"/>
    <w:rsid w:val="006F2235"/>
    <w:rsid w:val="006F2DA4"/>
    <w:rsid w:val="006F38B8"/>
    <w:rsid w:val="006F5B8E"/>
    <w:rsid w:val="006F5C3A"/>
    <w:rsid w:val="006F6D9B"/>
    <w:rsid w:val="006F6E27"/>
    <w:rsid w:val="006F7FAF"/>
    <w:rsid w:val="0070027B"/>
    <w:rsid w:val="00702618"/>
    <w:rsid w:val="0070303D"/>
    <w:rsid w:val="00704DAD"/>
    <w:rsid w:val="00707C4D"/>
    <w:rsid w:val="00710699"/>
    <w:rsid w:val="007153EE"/>
    <w:rsid w:val="0071594C"/>
    <w:rsid w:val="007206AD"/>
    <w:rsid w:val="007214CB"/>
    <w:rsid w:val="00721953"/>
    <w:rsid w:val="00722043"/>
    <w:rsid w:val="0072372A"/>
    <w:rsid w:val="00723F72"/>
    <w:rsid w:val="00724E24"/>
    <w:rsid w:val="00725675"/>
    <w:rsid w:val="00725CEF"/>
    <w:rsid w:val="00726B7C"/>
    <w:rsid w:val="00726FCC"/>
    <w:rsid w:val="00727148"/>
    <w:rsid w:val="00731B7B"/>
    <w:rsid w:val="00732EA7"/>
    <w:rsid w:val="0073395C"/>
    <w:rsid w:val="0073468F"/>
    <w:rsid w:val="0073541D"/>
    <w:rsid w:val="0073546B"/>
    <w:rsid w:val="00735A30"/>
    <w:rsid w:val="007374B0"/>
    <w:rsid w:val="007376A3"/>
    <w:rsid w:val="007377EA"/>
    <w:rsid w:val="00742264"/>
    <w:rsid w:val="00743EC1"/>
    <w:rsid w:val="0074592C"/>
    <w:rsid w:val="007462A7"/>
    <w:rsid w:val="007473D2"/>
    <w:rsid w:val="0075062C"/>
    <w:rsid w:val="00750653"/>
    <w:rsid w:val="007512D5"/>
    <w:rsid w:val="00752412"/>
    <w:rsid w:val="00752BCD"/>
    <w:rsid w:val="007534E6"/>
    <w:rsid w:val="00753624"/>
    <w:rsid w:val="00753B6B"/>
    <w:rsid w:val="007540D2"/>
    <w:rsid w:val="007553DC"/>
    <w:rsid w:val="007602E7"/>
    <w:rsid w:val="0076112A"/>
    <w:rsid w:val="0076121E"/>
    <w:rsid w:val="00761323"/>
    <w:rsid w:val="00762D83"/>
    <w:rsid w:val="007664ED"/>
    <w:rsid w:val="007666F3"/>
    <w:rsid w:val="00766DA1"/>
    <w:rsid w:val="00771854"/>
    <w:rsid w:val="00771F9F"/>
    <w:rsid w:val="0077487D"/>
    <w:rsid w:val="00775B8A"/>
    <w:rsid w:val="00775C5A"/>
    <w:rsid w:val="007775FF"/>
    <w:rsid w:val="00780E0B"/>
    <w:rsid w:val="0078230D"/>
    <w:rsid w:val="0078438E"/>
    <w:rsid w:val="00784F4B"/>
    <w:rsid w:val="007851EE"/>
    <w:rsid w:val="00785205"/>
    <w:rsid w:val="007866A6"/>
    <w:rsid w:val="00787173"/>
    <w:rsid w:val="007923CE"/>
    <w:rsid w:val="00793E7A"/>
    <w:rsid w:val="00794D6C"/>
    <w:rsid w:val="007A130D"/>
    <w:rsid w:val="007A3438"/>
    <w:rsid w:val="007A5DCC"/>
    <w:rsid w:val="007A6409"/>
    <w:rsid w:val="007B2517"/>
    <w:rsid w:val="007B346D"/>
    <w:rsid w:val="007B45E6"/>
    <w:rsid w:val="007B49D0"/>
    <w:rsid w:val="007B5180"/>
    <w:rsid w:val="007B5379"/>
    <w:rsid w:val="007B5652"/>
    <w:rsid w:val="007B7E10"/>
    <w:rsid w:val="007C0888"/>
    <w:rsid w:val="007C08B4"/>
    <w:rsid w:val="007C1495"/>
    <w:rsid w:val="007C17A4"/>
    <w:rsid w:val="007C1B1C"/>
    <w:rsid w:val="007C24B4"/>
    <w:rsid w:val="007C2D95"/>
    <w:rsid w:val="007C36BA"/>
    <w:rsid w:val="007C4948"/>
    <w:rsid w:val="007C4BAD"/>
    <w:rsid w:val="007C4BE5"/>
    <w:rsid w:val="007C508A"/>
    <w:rsid w:val="007C52CA"/>
    <w:rsid w:val="007C5392"/>
    <w:rsid w:val="007C6246"/>
    <w:rsid w:val="007C6862"/>
    <w:rsid w:val="007C7820"/>
    <w:rsid w:val="007D18C2"/>
    <w:rsid w:val="007D39DB"/>
    <w:rsid w:val="007D3B54"/>
    <w:rsid w:val="007D4014"/>
    <w:rsid w:val="007D4102"/>
    <w:rsid w:val="007D4B2B"/>
    <w:rsid w:val="007D584C"/>
    <w:rsid w:val="007D5CA8"/>
    <w:rsid w:val="007D5FB9"/>
    <w:rsid w:val="007D6073"/>
    <w:rsid w:val="007D686D"/>
    <w:rsid w:val="007E218C"/>
    <w:rsid w:val="007E24FD"/>
    <w:rsid w:val="007E2F20"/>
    <w:rsid w:val="007E3C4F"/>
    <w:rsid w:val="007E3E1E"/>
    <w:rsid w:val="007E4978"/>
    <w:rsid w:val="007E4F23"/>
    <w:rsid w:val="007E5921"/>
    <w:rsid w:val="007F1AE3"/>
    <w:rsid w:val="007F204F"/>
    <w:rsid w:val="007F2296"/>
    <w:rsid w:val="007F291E"/>
    <w:rsid w:val="007F390C"/>
    <w:rsid w:val="007F3BDD"/>
    <w:rsid w:val="007F635C"/>
    <w:rsid w:val="007F7AFF"/>
    <w:rsid w:val="0080221E"/>
    <w:rsid w:val="00803FA0"/>
    <w:rsid w:val="0080485F"/>
    <w:rsid w:val="00804ACF"/>
    <w:rsid w:val="00810611"/>
    <w:rsid w:val="00810C9F"/>
    <w:rsid w:val="008115DA"/>
    <w:rsid w:val="0081240F"/>
    <w:rsid w:val="00812579"/>
    <w:rsid w:val="00813019"/>
    <w:rsid w:val="008139AD"/>
    <w:rsid w:val="008146F7"/>
    <w:rsid w:val="00815E49"/>
    <w:rsid w:val="00816452"/>
    <w:rsid w:val="00816B01"/>
    <w:rsid w:val="008205FA"/>
    <w:rsid w:val="00820823"/>
    <w:rsid w:val="00821ED3"/>
    <w:rsid w:val="00821FFC"/>
    <w:rsid w:val="00823660"/>
    <w:rsid w:val="00823A0B"/>
    <w:rsid w:val="008249CC"/>
    <w:rsid w:val="00825F8E"/>
    <w:rsid w:val="00826215"/>
    <w:rsid w:val="008271CA"/>
    <w:rsid w:val="008278C5"/>
    <w:rsid w:val="00832DD9"/>
    <w:rsid w:val="00835143"/>
    <w:rsid w:val="00835D4A"/>
    <w:rsid w:val="00841118"/>
    <w:rsid w:val="00843B65"/>
    <w:rsid w:val="00844668"/>
    <w:rsid w:val="00844ADD"/>
    <w:rsid w:val="008455E3"/>
    <w:rsid w:val="00845B00"/>
    <w:rsid w:val="008467D5"/>
    <w:rsid w:val="0085200D"/>
    <w:rsid w:val="00853F9C"/>
    <w:rsid w:val="00855195"/>
    <w:rsid w:val="008560BB"/>
    <w:rsid w:val="00856BFE"/>
    <w:rsid w:val="00856D9F"/>
    <w:rsid w:val="00857862"/>
    <w:rsid w:val="0086124F"/>
    <w:rsid w:val="00862322"/>
    <w:rsid w:val="00862D36"/>
    <w:rsid w:val="008640FB"/>
    <w:rsid w:val="00864DA8"/>
    <w:rsid w:val="0086503C"/>
    <w:rsid w:val="00865553"/>
    <w:rsid w:val="008656C3"/>
    <w:rsid w:val="00866F6D"/>
    <w:rsid w:val="008675CF"/>
    <w:rsid w:val="008702BA"/>
    <w:rsid w:val="00872C83"/>
    <w:rsid w:val="0087323A"/>
    <w:rsid w:val="00874539"/>
    <w:rsid w:val="0088010B"/>
    <w:rsid w:val="00881EFD"/>
    <w:rsid w:val="00883E4B"/>
    <w:rsid w:val="00884812"/>
    <w:rsid w:val="00884CD6"/>
    <w:rsid w:val="00886053"/>
    <w:rsid w:val="00886191"/>
    <w:rsid w:val="0088648A"/>
    <w:rsid w:val="00887C4E"/>
    <w:rsid w:val="008900D8"/>
    <w:rsid w:val="00890372"/>
    <w:rsid w:val="00890490"/>
    <w:rsid w:val="0089348E"/>
    <w:rsid w:val="00893552"/>
    <w:rsid w:val="0089440F"/>
    <w:rsid w:val="00895412"/>
    <w:rsid w:val="00895BB8"/>
    <w:rsid w:val="00897CBF"/>
    <w:rsid w:val="008A05DF"/>
    <w:rsid w:val="008A08B1"/>
    <w:rsid w:val="008A39D3"/>
    <w:rsid w:val="008A4DC4"/>
    <w:rsid w:val="008A5120"/>
    <w:rsid w:val="008A521A"/>
    <w:rsid w:val="008A6F7B"/>
    <w:rsid w:val="008A7276"/>
    <w:rsid w:val="008B1C94"/>
    <w:rsid w:val="008B6910"/>
    <w:rsid w:val="008B69E1"/>
    <w:rsid w:val="008B74DD"/>
    <w:rsid w:val="008C0018"/>
    <w:rsid w:val="008C0390"/>
    <w:rsid w:val="008C1096"/>
    <w:rsid w:val="008C1A6F"/>
    <w:rsid w:val="008C4D88"/>
    <w:rsid w:val="008C60A5"/>
    <w:rsid w:val="008C63C8"/>
    <w:rsid w:val="008C6EA6"/>
    <w:rsid w:val="008D2008"/>
    <w:rsid w:val="008D2450"/>
    <w:rsid w:val="008D3B9E"/>
    <w:rsid w:val="008E118C"/>
    <w:rsid w:val="008E1526"/>
    <w:rsid w:val="008E15FE"/>
    <w:rsid w:val="008E3423"/>
    <w:rsid w:val="008E45FD"/>
    <w:rsid w:val="008E4C9A"/>
    <w:rsid w:val="008E5294"/>
    <w:rsid w:val="008E669A"/>
    <w:rsid w:val="008E6F3D"/>
    <w:rsid w:val="008E6F41"/>
    <w:rsid w:val="008F369F"/>
    <w:rsid w:val="008F3BD7"/>
    <w:rsid w:val="008F3F54"/>
    <w:rsid w:val="008F43E4"/>
    <w:rsid w:val="008F5829"/>
    <w:rsid w:val="008F640B"/>
    <w:rsid w:val="008F68AB"/>
    <w:rsid w:val="008F70E2"/>
    <w:rsid w:val="008F7DFF"/>
    <w:rsid w:val="00900B6E"/>
    <w:rsid w:val="00900DD2"/>
    <w:rsid w:val="00901613"/>
    <w:rsid w:val="00902142"/>
    <w:rsid w:val="009027CA"/>
    <w:rsid w:val="0090399F"/>
    <w:rsid w:val="009059BD"/>
    <w:rsid w:val="00905EED"/>
    <w:rsid w:val="009067A4"/>
    <w:rsid w:val="00907139"/>
    <w:rsid w:val="0090722E"/>
    <w:rsid w:val="00907543"/>
    <w:rsid w:val="00910763"/>
    <w:rsid w:val="0091093B"/>
    <w:rsid w:val="00911939"/>
    <w:rsid w:val="00911AB1"/>
    <w:rsid w:val="00914A7D"/>
    <w:rsid w:val="009161A6"/>
    <w:rsid w:val="0092030D"/>
    <w:rsid w:val="00920DF4"/>
    <w:rsid w:val="00921134"/>
    <w:rsid w:val="009215A5"/>
    <w:rsid w:val="0092167A"/>
    <w:rsid w:val="0092271C"/>
    <w:rsid w:val="00923024"/>
    <w:rsid w:val="00926F75"/>
    <w:rsid w:val="00927709"/>
    <w:rsid w:val="009303FC"/>
    <w:rsid w:val="00930881"/>
    <w:rsid w:val="00931D43"/>
    <w:rsid w:val="009328F5"/>
    <w:rsid w:val="00933E4B"/>
    <w:rsid w:val="009340DB"/>
    <w:rsid w:val="0093553A"/>
    <w:rsid w:val="00936372"/>
    <w:rsid w:val="00941EEA"/>
    <w:rsid w:val="00943CA2"/>
    <w:rsid w:val="00943CBD"/>
    <w:rsid w:val="00943DCC"/>
    <w:rsid w:val="009443E0"/>
    <w:rsid w:val="0094467D"/>
    <w:rsid w:val="009446C3"/>
    <w:rsid w:val="00944DD8"/>
    <w:rsid w:val="00945052"/>
    <w:rsid w:val="00945BCB"/>
    <w:rsid w:val="00945CC2"/>
    <w:rsid w:val="00950389"/>
    <w:rsid w:val="00951FEB"/>
    <w:rsid w:val="00952920"/>
    <w:rsid w:val="00952EC1"/>
    <w:rsid w:val="00953F31"/>
    <w:rsid w:val="0095708B"/>
    <w:rsid w:val="00960AEF"/>
    <w:rsid w:val="00960CBE"/>
    <w:rsid w:val="00961AC1"/>
    <w:rsid w:val="00962BC3"/>
    <w:rsid w:val="00963FE4"/>
    <w:rsid w:val="00966540"/>
    <w:rsid w:val="0096664C"/>
    <w:rsid w:val="00967D50"/>
    <w:rsid w:val="0097075E"/>
    <w:rsid w:val="00970B46"/>
    <w:rsid w:val="00970C85"/>
    <w:rsid w:val="00972346"/>
    <w:rsid w:val="00972498"/>
    <w:rsid w:val="00972ACF"/>
    <w:rsid w:val="00973741"/>
    <w:rsid w:val="00974479"/>
    <w:rsid w:val="00974CC6"/>
    <w:rsid w:val="00975FE1"/>
    <w:rsid w:val="00976AD4"/>
    <w:rsid w:val="00976B2B"/>
    <w:rsid w:val="00976C4F"/>
    <w:rsid w:val="0097761C"/>
    <w:rsid w:val="009814FC"/>
    <w:rsid w:val="009816FF"/>
    <w:rsid w:val="00982E07"/>
    <w:rsid w:val="009843DB"/>
    <w:rsid w:val="00984EB8"/>
    <w:rsid w:val="0098712F"/>
    <w:rsid w:val="00991C72"/>
    <w:rsid w:val="0099318A"/>
    <w:rsid w:val="00995011"/>
    <w:rsid w:val="00995FE7"/>
    <w:rsid w:val="00996A89"/>
    <w:rsid w:val="009A01D5"/>
    <w:rsid w:val="009A08FD"/>
    <w:rsid w:val="009A0AB0"/>
    <w:rsid w:val="009A0C28"/>
    <w:rsid w:val="009A18C7"/>
    <w:rsid w:val="009A1D8B"/>
    <w:rsid w:val="009A26E5"/>
    <w:rsid w:val="009A26EF"/>
    <w:rsid w:val="009A2FE0"/>
    <w:rsid w:val="009A2FE3"/>
    <w:rsid w:val="009A312F"/>
    <w:rsid w:val="009A497E"/>
    <w:rsid w:val="009A5348"/>
    <w:rsid w:val="009A5A43"/>
    <w:rsid w:val="009A6678"/>
    <w:rsid w:val="009A6CED"/>
    <w:rsid w:val="009A6E87"/>
    <w:rsid w:val="009A6FC6"/>
    <w:rsid w:val="009A76A8"/>
    <w:rsid w:val="009B00DA"/>
    <w:rsid w:val="009B2070"/>
    <w:rsid w:val="009B22F2"/>
    <w:rsid w:val="009B46F3"/>
    <w:rsid w:val="009B572D"/>
    <w:rsid w:val="009B7628"/>
    <w:rsid w:val="009B7675"/>
    <w:rsid w:val="009C0F47"/>
    <w:rsid w:val="009C1267"/>
    <w:rsid w:val="009C35A7"/>
    <w:rsid w:val="009C3784"/>
    <w:rsid w:val="009C4026"/>
    <w:rsid w:val="009C639D"/>
    <w:rsid w:val="009C76D5"/>
    <w:rsid w:val="009D05F9"/>
    <w:rsid w:val="009D1768"/>
    <w:rsid w:val="009D1916"/>
    <w:rsid w:val="009D2A35"/>
    <w:rsid w:val="009D4E0D"/>
    <w:rsid w:val="009D4F7E"/>
    <w:rsid w:val="009D6DED"/>
    <w:rsid w:val="009D6F38"/>
    <w:rsid w:val="009D73B2"/>
    <w:rsid w:val="009D7C8E"/>
    <w:rsid w:val="009E0701"/>
    <w:rsid w:val="009E16A8"/>
    <w:rsid w:val="009E1FC4"/>
    <w:rsid w:val="009E2025"/>
    <w:rsid w:val="009E2822"/>
    <w:rsid w:val="009E3D7A"/>
    <w:rsid w:val="009E5051"/>
    <w:rsid w:val="009E63A8"/>
    <w:rsid w:val="009E7660"/>
    <w:rsid w:val="009F00F7"/>
    <w:rsid w:val="009F0EC2"/>
    <w:rsid w:val="009F1E58"/>
    <w:rsid w:val="009F2765"/>
    <w:rsid w:val="009F4F95"/>
    <w:rsid w:val="009F709A"/>
    <w:rsid w:val="009F7A84"/>
    <w:rsid w:val="009F7AA4"/>
    <w:rsid w:val="009F7B5C"/>
    <w:rsid w:val="00A018C5"/>
    <w:rsid w:val="00A01D64"/>
    <w:rsid w:val="00A02783"/>
    <w:rsid w:val="00A031EF"/>
    <w:rsid w:val="00A04ED0"/>
    <w:rsid w:val="00A1066D"/>
    <w:rsid w:val="00A10838"/>
    <w:rsid w:val="00A10A7D"/>
    <w:rsid w:val="00A10A83"/>
    <w:rsid w:val="00A11027"/>
    <w:rsid w:val="00A13C8B"/>
    <w:rsid w:val="00A13EDF"/>
    <w:rsid w:val="00A140F9"/>
    <w:rsid w:val="00A15507"/>
    <w:rsid w:val="00A167BC"/>
    <w:rsid w:val="00A1712E"/>
    <w:rsid w:val="00A17630"/>
    <w:rsid w:val="00A20DAC"/>
    <w:rsid w:val="00A22721"/>
    <w:rsid w:val="00A25A91"/>
    <w:rsid w:val="00A260D3"/>
    <w:rsid w:val="00A2626B"/>
    <w:rsid w:val="00A27C68"/>
    <w:rsid w:val="00A32097"/>
    <w:rsid w:val="00A3233D"/>
    <w:rsid w:val="00A3472A"/>
    <w:rsid w:val="00A35A7F"/>
    <w:rsid w:val="00A40766"/>
    <w:rsid w:val="00A41D2E"/>
    <w:rsid w:val="00A4204E"/>
    <w:rsid w:val="00A4435D"/>
    <w:rsid w:val="00A44648"/>
    <w:rsid w:val="00A44DA3"/>
    <w:rsid w:val="00A465CD"/>
    <w:rsid w:val="00A4717C"/>
    <w:rsid w:val="00A47D2D"/>
    <w:rsid w:val="00A50536"/>
    <w:rsid w:val="00A50DD5"/>
    <w:rsid w:val="00A51A18"/>
    <w:rsid w:val="00A51E6F"/>
    <w:rsid w:val="00A542E0"/>
    <w:rsid w:val="00A549E5"/>
    <w:rsid w:val="00A55837"/>
    <w:rsid w:val="00A559DB"/>
    <w:rsid w:val="00A55D56"/>
    <w:rsid w:val="00A57CF8"/>
    <w:rsid w:val="00A57EB7"/>
    <w:rsid w:val="00A60643"/>
    <w:rsid w:val="00A6071E"/>
    <w:rsid w:val="00A60E80"/>
    <w:rsid w:val="00A610BA"/>
    <w:rsid w:val="00A62D46"/>
    <w:rsid w:val="00A63A47"/>
    <w:rsid w:val="00A6500D"/>
    <w:rsid w:val="00A657F3"/>
    <w:rsid w:val="00A65E67"/>
    <w:rsid w:val="00A6609F"/>
    <w:rsid w:val="00A66139"/>
    <w:rsid w:val="00A70313"/>
    <w:rsid w:val="00A7156F"/>
    <w:rsid w:val="00A71704"/>
    <w:rsid w:val="00A72169"/>
    <w:rsid w:val="00A721BF"/>
    <w:rsid w:val="00A744EA"/>
    <w:rsid w:val="00A74504"/>
    <w:rsid w:val="00A74F78"/>
    <w:rsid w:val="00A76044"/>
    <w:rsid w:val="00A771D3"/>
    <w:rsid w:val="00A776DC"/>
    <w:rsid w:val="00A776FE"/>
    <w:rsid w:val="00A83636"/>
    <w:rsid w:val="00A85905"/>
    <w:rsid w:val="00A879FC"/>
    <w:rsid w:val="00A94398"/>
    <w:rsid w:val="00A94F97"/>
    <w:rsid w:val="00A9597E"/>
    <w:rsid w:val="00A95B31"/>
    <w:rsid w:val="00A95D8E"/>
    <w:rsid w:val="00A95DC4"/>
    <w:rsid w:val="00A97661"/>
    <w:rsid w:val="00A97849"/>
    <w:rsid w:val="00A97DDB"/>
    <w:rsid w:val="00AA02EB"/>
    <w:rsid w:val="00AA06BF"/>
    <w:rsid w:val="00AA1986"/>
    <w:rsid w:val="00AA369A"/>
    <w:rsid w:val="00AA4282"/>
    <w:rsid w:val="00AA54E5"/>
    <w:rsid w:val="00AA65E7"/>
    <w:rsid w:val="00AA66C2"/>
    <w:rsid w:val="00AB326B"/>
    <w:rsid w:val="00AB44D6"/>
    <w:rsid w:val="00AB5016"/>
    <w:rsid w:val="00AB5D22"/>
    <w:rsid w:val="00AB5F47"/>
    <w:rsid w:val="00AB6921"/>
    <w:rsid w:val="00AB7C32"/>
    <w:rsid w:val="00AC012D"/>
    <w:rsid w:val="00AC7287"/>
    <w:rsid w:val="00AD026D"/>
    <w:rsid w:val="00AD15ED"/>
    <w:rsid w:val="00AD1C79"/>
    <w:rsid w:val="00AD2CB9"/>
    <w:rsid w:val="00AD415B"/>
    <w:rsid w:val="00AD43D6"/>
    <w:rsid w:val="00AD591F"/>
    <w:rsid w:val="00AD7D0A"/>
    <w:rsid w:val="00AE0C67"/>
    <w:rsid w:val="00AE241C"/>
    <w:rsid w:val="00AE4983"/>
    <w:rsid w:val="00AE74B8"/>
    <w:rsid w:val="00AF329A"/>
    <w:rsid w:val="00AF35FC"/>
    <w:rsid w:val="00AF6DF3"/>
    <w:rsid w:val="00B00272"/>
    <w:rsid w:val="00B00D8D"/>
    <w:rsid w:val="00B03639"/>
    <w:rsid w:val="00B03706"/>
    <w:rsid w:val="00B03E3A"/>
    <w:rsid w:val="00B05A1C"/>
    <w:rsid w:val="00B0652A"/>
    <w:rsid w:val="00B065CE"/>
    <w:rsid w:val="00B073BC"/>
    <w:rsid w:val="00B1226D"/>
    <w:rsid w:val="00B13B5F"/>
    <w:rsid w:val="00B1667A"/>
    <w:rsid w:val="00B179E2"/>
    <w:rsid w:val="00B2270A"/>
    <w:rsid w:val="00B23B88"/>
    <w:rsid w:val="00B23F94"/>
    <w:rsid w:val="00B2430E"/>
    <w:rsid w:val="00B24376"/>
    <w:rsid w:val="00B24DFE"/>
    <w:rsid w:val="00B25DB3"/>
    <w:rsid w:val="00B26A9D"/>
    <w:rsid w:val="00B27E01"/>
    <w:rsid w:val="00B30879"/>
    <w:rsid w:val="00B30C40"/>
    <w:rsid w:val="00B30E93"/>
    <w:rsid w:val="00B31518"/>
    <w:rsid w:val="00B323EF"/>
    <w:rsid w:val="00B328BA"/>
    <w:rsid w:val="00B33934"/>
    <w:rsid w:val="00B33E31"/>
    <w:rsid w:val="00B33F6D"/>
    <w:rsid w:val="00B34482"/>
    <w:rsid w:val="00B355C1"/>
    <w:rsid w:val="00B3757D"/>
    <w:rsid w:val="00B400B0"/>
    <w:rsid w:val="00B40937"/>
    <w:rsid w:val="00B414E2"/>
    <w:rsid w:val="00B41631"/>
    <w:rsid w:val="00B423EF"/>
    <w:rsid w:val="00B43C4D"/>
    <w:rsid w:val="00B44DE4"/>
    <w:rsid w:val="00B453DE"/>
    <w:rsid w:val="00B45691"/>
    <w:rsid w:val="00B46D44"/>
    <w:rsid w:val="00B4742F"/>
    <w:rsid w:val="00B5165C"/>
    <w:rsid w:val="00B51C85"/>
    <w:rsid w:val="00B53D84"/>
    <w:rsid w:val="00B54564"/>
    <w:rsid w:val="00B55A2A"/>
    <w:rsid w:val="00B566C6"/>
    <w:rsid w:val="00B618B2"/>
    <w:rsid w:val="00B61CBB"/>
    <w:rsid w:val="00B62BD3"/>
    <w:rsid w:val="00B633A9"/>
    <w:rsid w:val="00B65A0E"/>
    <w:rsid w:val="00B66844"/>
    <w:rsid w:val="00B6695D"/>
    <w:rsid w:val="00B66A07"/>
    <w:rsid w:val="00B71023"/>
    <w:rsid w:val="00B71C53"/>
    <w:rsid w:val="00B72E2E"/>
    <w:rsid w:val="00B7332F"/>
    <w:rsid w:val="00B75A35"/>
    <w:rsid w:val="00B76D14"/>
    <w:rsid w:val="00B774C2"/>
    <w:rsid w:val="00B778FE"/>
    <w:rsid w:val="00B80350"/>
    <w:rsid w:val="00B82293"/>
    <w:rsid w:val="00B84C0C"/>
    <w:rsid w:val="00B862F9"/>
    <w:rsid w:val="00B86388"/>
    <w:rsid w:val="00B87BCD"/>
    <w:rsid w:val="00B87FB2"/>
    <w:rsid w:val="00B87FD3"/>
    <w:rsid w:val="00B901F9"/>
    <w:rsid w:val="00B92549"/>
    <w:rsid w:val="00B94932"/>
    <w:rsid w:val="00B9564E"/>
    <w:rsid w:val="00BA0043"/>
    <w:rsid w:val="00BA1D42"/>
    <w:rsid w:val="00BA234B"/>
    <w:rsid w:val="00BA2B13"/>
    <w:rsid w:val="00BA2B83"/>
    <w:rsid w:val="00BA2D29"/>
    <w:rsid w:val="00BA3D1E"/>
    <w:rsid w:val="00BA53A0"/>
    <w:rsid w:val="00BA6326"/>
    <w:rsid w:val="00BA7788"/>
    <w:rsid w:val="00BA7A54"/>
    <w:rsid w:val="00BB06E4"/>
    <w:rsid w:val="00BB0B0D"/>
    <w:rsid w:val="00BB1B4A"/>
    <w:rsid w:val="00BB2487"/>
    <w:rsid w:val="00BB4553"/>
    <w:rsid w:val="00BB4A6D"/>
    <w:rsid w:val="00BB4F0D"/>
    <w:rsid w:val="00BB6710"/>
    <w:rsid w:val="00BB7786"/>
    <w:rsid w:val="00BB7D3C"/>
    <w:rsid w:val="00BC1CC1"/>
    <w:rsid w:val="00BC24C5"/>
    <w:rsid w:val="00BC2B9B"/>
    <w:rsid w:val="00BC46C5"/>
    <w:rsid w:val="00BC516A"/>
    <w:rsid w:val="00BC684A"/>
    <w:rsid w:val="00BD09CD"/>
    <w:rsid w:val="00BD1D69"/>
    <w:rsid w:val="00BD23C3"/>
    <w:rsid w:val="00BD315F"/>
    <w:rsid w:val="00BD3934"/>
    <w:rsid w:val="00BD3C00"/>
    <w:rsid w:val="00BD58CB"/>
    <w:rsid w:val="00BD5928"/>
    <w:rsid w:val="00BD5D9D"/>
    <w:rsid w:val="00BD6B82"/>
    <w:rsid w:val="00BD6EFB"/>
    <w:rsid w:val="00BD75C1"/>
    <w:rsid w:val="00BE1DBE"/>
    <w:rsid w:val="00BE1F1E"/>
    <w:rsid w:val="00BE23A9"/>
    <w:rsid w:val="00BE24FF"/>
    <w:rsid w:val="00BE2C3B"/>
    <w:rsid w:val="00BE2FFE"/>
    <w:rsid w:val="00BE3171"/>
    <w:rsid w:val="00BE318E"/>
    <w:rsid w:val="00BE5013"/>
    <w:rsid w:val="00BE5130"/>
    <w:rsid w:val="00BE5598"/>
    <w:rsid w:val="00BE663B"/>
    <w:rsid w:val="00BF02C0"/>
    <w:rsid w:val="00BF11C7"/>
    <w:rsid w:val="00BF194F"/>
    <w:rsid w:val="00BF2D47"/>
    <w:rsid w:val="00BF3897"/>
    <w:rsid w:val="00BF565C"/>
    <w:rsid w:val="00C01262"/>
    <w:rsid w:val="00C0144F"/>
    <w:rsid w:val="00C02850"/>
    <w:rsid w:val="00C02AA8"/>
    <w:rsid w:val="00C03256"/>
    <w:rsid w:val="00C0551B"/>
    <w:rsid w:val="00C07698"/>
    <w:rsid w:val="00C1016F"/>
    <w:rsid w:val="00C1034D"/>
    <w:rsid w:val="00C112F6"/>
    <w:rsid w:val="00C12E46"/>
    <w:rsid w:val="00C12F27"/>
    <w:rsid w:val="00C12F94"/>
    <w:rsid w:val="00C13DA8"/>
    <w:rsid w:val="00C15004"/>
    <w:rsid w:val="00C153A6"/>
    <w:rsid w:val="00C15416"/>
    <w:rsid w:val="00C15BE2"/>
    <w:rsid w:val="00C164AA"/>
    <w:rsid w:val="00C169D0"/>
    <w:rsid w:val="00C17425"/>
    <w:rsid w:val="00C1750D"/>
    <w:rsid w:val="00C17D74"/>
    <w:rsid w:val="00C20798"/>
    <w:rsid w:val="00C21E1C"/>
    <w:rsid w:val="00C22219"/>
    <w:rsid w:val="00C22577"/>
    <w:rsid w:val="00C22BC6"/>
    <w:rsid w:val="00C245FE"/>
    <w:rsid w:val="00C24828"/>
    <w:rsid w:val="00C25CC6"/>
    <w:rsid w:val="00C31A96"/>
    <w:rsid w:val="00C3416A"/>
    <w:rsid w:val="00C3447F"/>
    <w:rsid w:val="00C34525"/>
    <w:rsid w:val="00C35F31"/>
    <w:rsid w:val="00C36129"/>
    <w:rsid w:val="00C373AD"/>
    <w:rsid w:val="00C374D6"/>
    <w:rsid w:val="00C379CE"/>
    <w:rsid w:val="00C37E98"/>
    <w:rsid w:val="00C43A9A"/>
    <w:rsid w:val="00C45328"/>
    <w:rsid w:val="00C46192"/>
    <w:rsid w:val="00C5122E"/>
    <w:rsid w:val="00C518D8"/>
    <w:rsid w:val="00C5320D"/>
    <w:rsid w:val="00C53229"/>
    <w:rsid w:val="00C53923"/>
    <w:rsid w:val="00C54205"/>
    <w:rsid w:val="00C549FB"/>
    <w:rsid w:val="00C55076"/>
    <w:rsid w:val="00C563D2"/>
    <w:rsid w:val="00C61E62"/>
    <w:rsid w:val="00C62A52"/>
    <w:rsid w:val="00C647F9"/>
    <w:rsid w:val="00C66B89"/>
    <w:rsid w:val="00C700C4"/>
    <w:rsid w:val="00C71A11"/>
    <w:rsid w:val="00C71F71"/>
    <w:rsid w:val="00C766B6"/>
    <w:rsid w:val="00C81491"/>
    <w:rsid w:val="00C81524"/>
    <w:rsid w:val="00C81676"/>
    <w:rsid w:val="00C81872"/>
    <w:rsid w:val="00C82B4C"/>
    <w:rsid w:val="00C832C5"/>
    <w:rsid w:val="00C83AC5"/>
    <w:rsid w:val="00C84D67"/>
    <w:rsid w:val="00C861EA"/>
    <w:rsid w:val="00C900D2"/>
    <w:rsid w:val="00C9020A"/>
    <w:rsid w:val="00C9236A"/>
    <w:rsid w:val="00C92CC4"/>
    <w:rsid w:val="00C92F03"/>
    <w:rsid w:val="00C9360B"/>
    <w:rsid w:val="00C937C0"/>
    <w:rsid w:val="00C94DAB"/>
    <w:rsid w:val="00C94ED9"/>
    <w:rsid w:val="00C975CD"/>
    <w:rsid w:val="00CA0AFB"/>
    <w:rsid w:val="00CA1860"/>
    <w:rsid w:val="00CA2A10"/>
    <w:rsid w:val="00CA2B6B"/>
    <w:rsid w:val="00CA2CE1"/>
    <w:rsid w:val="00CA3357"/>
    <w:rsid w:val="00CA3976"/>
    <w:rsid w:val="00CA5356"/>
    <w:rsid w:val="00CA535B"/>
    <w:rsid w:val="00CA546E"/>
    <w:rsid w:val="00CA757B"/>
    <w:rsid w:val="00CA78DF"/>
    <w:rsid w:val="00CB036D"/>
    <w:rsid w:val="00CB17B4"/>
    <w:rsid w:val="00CB1E38"/>
    <w:rsid w:val="00CB2D42"/>
    <w:rsid w:val="00CB35DA"/>
    <w:rsid w:val="00CB6E62"/>
    <w:rsid w:val="00CB752E"/>
    <w:rsid w:val="00CB7CC6"/>
    <w:rsid w:val="00CC0FD5"/>
    <w:rsid w:val="00CC1787"/>
    <w:rsid w:val="00CC182C"/>
    <w:rsid w:val="00CC2E8E"/>
    <w:rsid w:val="00CC5353"/>
    <w:rsid w:val="00CC7EB5"/>
    <w:rsid w:val="00CC7F63"/>
    <w:rsid w:val="00CD0824"/>
    <w:rsid w:val="00CD128B"/>
    <w:rsid w:val="00CD1C44"/>
    <w:rsid w:val="00CD1CCF"/>
    <w:rsid w:val="00CD2726"/>
    <w:rsid w:val="00CD2908"/>
    <w:rsid w:val="00CD40E5"/>
    <w:rsid w:val="00CD41B9"/>
    <w:rsid w:val="00CD5093"/>
    <w:rsid w:val="00CD6855"/>
    <w:rsid w:val="00CD6C83"/>
    <w:rsid w:val="00CD7022"/>
    <w:rsid w:val="00CD77FC"/>
    <w:rsid w:val="00CE0F7C"/>
    <w:rsid w:val="00CE14DC"/>
    <w:rsid w:val="00CE2103"/>
    <w:rsid w:val="00CE2267"/>
    <w:rsid w:val="00CE2727"/>
    <w:rsid w:val="00CE3890"/>
    <w:rsid w:val="00CE5565"/>
    <w:rsid w:val="00CE5983"/>
    <w:rsid w:val="00CF043B"/>
    <w:rsid w:val="00CF0F14"/>
    <w:rsid w:val="00CF11BB"/>
    <w:rsid w:val="00CF1A56"/>
    <w:rsid w:val="00CF268B"/>
    <w:rsid w:val="00CF4420"/>
    <w:rsid w:val="00CF502E"/>
    <w:rsid w:val="00CF5899"/>
    <w:rsid w:val="00CF6BA6"/>
    <w:rsid w:val="00CF6D46"/>
    <w:rsid w:val="00D001B1"/>
    <w:rsid w:val="00D03482"/>
    <w:rsid w:val="00D0363A"/>
    <w:rsid w:val="00D03A82"/>
    <w:rsid w:val="00D055AC"/>
    <w:rsid w:val="00D06704"/>
    <w:rsid w:val="00D06E52"/>
    <w:rsid w:val="00D1000C"/>
    <w:rsid w:val="00D10119"/>
    <w:rsid w:val="00D10450"/>
    <w:rsid w:val="00D1119D"/>
    <w:rsid w:val="00D12069"/>
    <w:rsid w:val="00D1272A"/>
    <w:rsid w:val="00D127E6"/>
    <w:rsid w:val="00D129C7"/>
    <w:rsid w:val="00D131BD"/>
    <w:rsid w:val="00D13568"/>
    <w:rsid w:val="00D15344"/>
    <w:rsid w:val="00D16ADE"/>
    <w:rsid w:val="00D203A2"/>
    <w:rsid w:val="00D20977"/>
    <w:rsid w:val="00D22764"/>
    <w:rsid w:val="00D227F5"/>
    <w:rsid w:val="00D22A71"/>
    <w:rsid w:val="00D248F4"/>
    <w:rsid w:val="00D24EFB"/>
    <w:rsid w:val="00D25037"/>
    <w:rsid w:val="00D25735"/>
    <w:rsid w:val="00D26064"/>
    <w:rsid w:val="00D27634"/>
    <w:rsid w:val="00D3101E"/>
    <w:rsid w:val="00D31BEC"/>
    <w:rsid w:val="00D33812"/>
    <w:rsid w:val="00D35704"/>
    <w:rsid w:val="00D35A5B"/>
    <w:rsid w:val="00D35E9A"/>
    <w:rsid w:val="00D377BE"/>
    <w:rsid w:val="00D37817"/>
    <w:rsid w:val="00D37E3F"/>
    <w:rsid w:val="00D427BE"/>
    <w:rsid w:val="00D429C4"/>
    <w:rsid w:val="00D46833"/>
    <w:rsid w:val="00D508E7"/>
    <w:rsid w:val="00D51BC1"/>
    <w:rsid w:val="00D56524"/>
    <w:rsid w:val="00D5710E"/>
    <w:rsid w:val="00D600CF"/>
    <w:rsid w:val="00D602EC"/>
    <w:rsid w:val="00D603A2"/>
    <w:rsid w:val="00D60B04"/>
    <w:rsid w:val="00D62EEE"/>
    <w:rsid w:val="00D63150"/>
    <w:rsid w:val="00D63262"/>
    <w:rsid w:val="00D64A32"/>
    <w:rsid w:val="00D64EFC"/>
    <w:rsid w:val="00D65328"/>
    <w:rsid w:val="00D654DC"/>
    <w:rsid w:val="00D66F46"/>
    <w:rsid w:val="00D67A99"/>
    <w:rsid w:val="00D67FB3"/>
    <w:rsid w:val="00D70BB7"/>
    <w:rsid w:val="00D71146"/>
    <w:rsid w:val="00D723BB"/>
    <w:rsid w:val="00D73113"/>
    <w:rsid w:val="00D73146"/>
    <w:rsid w:val="00D735F4"/>
    <w:rsid w:val="00D73759"/>
    <w:rsid w:val="00D74318"/>
    <w:rsid w:val="00D75295"/>
    <w:rsid w:val="00D756B1"/>
    <w:rsid w:val="00D75D9A"/>
    <w:rsid w:val="00D76CE9"/>
    <w:rsid w:val="00D77067"/>
    <w:rsid w:val="00D8039F"/>
    <w:rsid w:val="00D8040B"/>
    <w:rsid w:val="00D82983"/>
    <w:rsid w:val="00D82D98"/>
    <w:rsid w:val="00D84E93"/>
    <w:rsid w:val="00D86F59"/>
    <w:rsid w:val="00D937AA"/>
    <w:rsid w:val="00D94644"/>
    <w:rsid w:val="00D95AC9"/>
    <w:rsid w:val="00D97562"/>
    <w:rsid w:val="00D97D41"/>
    <w:rsid w:val="00D97F12"/>
    <w:rsid w:val="00DA2AF5"/>
    <w:rsid w:val="00DA413B"/>
    <w:rsid w:val="00DB0019"/>
    <w:rsid w:val="00DB28E0"/>
    <w:rsid w:val="00DB4129"/>
    <w:rsid w:val="00DB42E7"/>
    <w:rsid w:val="00DB47F2"/>
    <w:rsid w:val="00DB47FD"/>
    <w:rsid w:val="00DB556E"/>
    <w:rsid w:val="00DB5957"/>
    <w:rsid w:val="00DB6204"/>
    <w:rsid w:val="00DB70A5"/>
    <w:rsid w:val="00DB7F95"/>
    <w:rsid w:val="00DC0BDE"/>
    <w:rsid w:val="00DC1EF9"/>
    <w:rsid w:val="00DC2D2E"/>
    <w:rsid w:val="00DC31CE"/>
    <w:rsid w:val="00DC39F4"/>
    <w:rsid w:val="00DC3A22"/>
    <w:rsid w:val="00DC46BA"/>
    <w:rsid w:val="00DC5A32"/>
    <w:rsid w:val="00DC64BE"/>
    <w:rsid w:val="00DC6DB6"/>
    <w:rsid w:val="00DC6F25"/>
    <w:rsid w:val="00DC791A"/>
    <w:rsid w:val="00DD0B0C"/>
    <w:rsid w:val="00DD0C9A"/>
    <w:rsid w:val="00DD21FA"/>
    <w:rsid w:val="00DD40CB"/>
    <w:rsid w:val="00DD534E"/>
    <w:rsid w:val="00DD66E6"/>
    <w:rsid w:val="00DD7BB6"/>
    <w:rsid w:val="00DD7DEE"/>
    <w:rsid w:val="00DE0532"/>
    <w:rsid w:val="00DE2230"/>
    <w:rsid w:val="00DE32ED"/>
    <w:rsid w:val="00DE5A4A"/>
    <w:rsid w:val="00DF118B"/>
    <w:rsid w:val="00DF11C7"/>
    <w:rsid w:val="00DF1711"/>
    <w:rsid w:val="00DF1B06"/>
    <w:rsid w:val="00DF21A1"/>
    <w:rsid w:val="00DF2AC2"/>
    <w:rsid w:val="00DF32C2"/>
    <w:rsid w:val="00DF6476"/>
    <w:rsid w:val="00DF7C71"/>
    <w:rsid w:val="00E00F6A"/>
    <w:rsid w:val="00E014F7"/>
    <w:rsid w:val="00E0219C"/>
    <w:rsid w:val="00E0352B"/>
    <w:rsid w:val="00E03780"/>
    <w:rsid w:val="00E06C20"/>
    <w:rsid w:val="00E06E83"/>
    <w:rsid w:val="00E100D6"/>
    <w:rsid w:val="00E10D00"/>
    <w:rsid w:val="00E119C9"/>
    <w:rsid w:val="00E11C59"/>
    <w:rsid w:val="00E125E9"/>
    <w:rsid w:val="00E1408B"/>
    <w:rsid w:val="00E154E5"/>
    <w:rsid w:val="00E15FAB"/>
    <w:rsid w:val="00E16710"/>
    <w:rsid w:val="00E1699F"/>
    <w:rsid w:val="00E171CA"/>
    <w:rsid w:val="00E17E17"/>
    <w:rsid w:val="00E20410"/>
    <w:rsid w:val="00E20CF9"/>
    <w:rsid w:val="00E21164"/>
    <w:rsid w:val="00E22C78"/>
    <w:rsid w:val="00E2337D"/>
    <w:rsid w:val="00E2446F"/>
    <w:rsid w:val="00E24845"/>
    <w:rsid w:val="00E3122E"/>
    <w:rsid w:val="00E31E24"/>
    <w:rsid w:val="00E3380E"/>
    <w:rsid w:val="00E36354"/>
    <w:rsid w:val="00E3665F"/>
    <w:rsid w:val="00E375F7"/>
    <w:rsid w:val="00E377B6"/>
    <w:rsid w:val="00E37B4E"/>
    <w:rsid w:val="00E418AD"/>
    <w:rsid w:val="00E431F3"/>
    <w:rsid w:val="00E45032"/>
    <w:rsid w:val="00E46F6E"/>
    <w:rsid w:val="00E471A7"/>
    <w:rsid w:val="00E50066"/>
    <w:rsid w:val="00E50405"/>
    <w:rsid w:val="00E511B5"/>
    <w:rsid w:val="00E568D8"/>
    <w:rsid w:val="00E56A6E"/>
    <w:rsid w:val="00E57AC1"/>
    <w:rsid w:val="00E60065"/>
    <w:rsid w:val="00E6099A"/>
    <w:rsid w:val="00E60F89"/>
    <w:rsid w:val="00E6268C"/>
    <w:rsid w:val="00E635CF"/>
    <w:rsid w:val="00E63A3A"/>
    <w:rsid w:val="00E655CB"/>
    <w:rsid w:val="00E65DFC"/>
    <w:rsid w:val="00E667E2"/>
    <w:rsid w:val="00E67411"/>
    <w:rsid w:val="00E679B5"/>
    <w:rsid w:val="00E67CF5"/>
    <w:rsid w:val="00E71453"/>
    <w:rsid w:val="00E717CB"/>
    <w:rsid w:val="00E7297C"/>
    <w:rsid w:val="00E7482B"/>
    <w:rsid w:val="00E7530B"/>
    <w:rsid w:val="00E76CCC"/>
    <w:rsid w:val="00E8070D"/>
    <w:rsid w:val="00E80ED1"/>
    <w:rsid w:val="00E82617"/>
    <w:rsid w:val="00E847BB"/>
    <w:rsid w:val="00E87C84"/>
    <w:rsid w:val="00E901FE"/>
    <w:rsid w:val="00E913ED"/>
    <w:rsid w:val="00E92667"/>
    <w:rsid w:val="00E92D65"/>
    <w:rsid w:val="00E92EA2"/>
    <w:rsid w:val="00E94FCA"/>
    <w:rsid w:val="00E95F59"/>
    <w:rsid w:val="00E96B0D"/>
    <w:rsid w:val="00E97C48"/>
    <w:rsid w:val="00EA0F88"/>
    <w:rsid w:val="00EA3A33"/>
    <w:rsid w:val="00EA42F6"/>
    <w:rsid w:val="00EA5A3F"/>
    <w:rsid w:val="00EA6CF8"/>
    <w:rsid w:val="00EA7A4D"/>
    <w:rsid w:val="00EB0773"/>
    <w:rsid w:val="00EB1AB9"/>
    <w:rsid w:val="00EB1EF2"/>
    <w:rsid w:val="00EB29E8"/>
    <w:rsid w:val="00EB474B"/>
    <w:rsid w:val="00EB5410"/>
    <w:rsid w:val="00EB5AB9"/>
    <w:rsid w:val="00EB5B61"/>
    <w:rsid w:val="00EB5BA9"/>
    <w:rsid w:val="00EB65D3"/>
    <w:rsid w:val="00EB6842"/>
    <w:rsid w:val="00EB6FFA"/>
    <w:rsid w:val="00EB77C6"/>
    <w:rsid w:val="00EC0901"/>
    <w:rsid w:val="00EC0DCD"/>
    <w:rsid w:val="00EC2203"/>
    <w:rsid w:val="00EC3A85"/>
    <w:rsid w:val="00EC41FA"/>
    <w:rsid w:val="00EC6DD8"/>
    <w:rsid w:val="00EC6E0A"/>
    <w:rsid w:val="00EC7B40"/>
    <w:rsid w:val="00EC7FF4"/>
    <w:rsid w:val="00ED10F4"/>
    <w:rsid w:val="00ED4B29"/>
    <w:rsid w:val="00ED4E18"/>
    <w:rsid w:val="00ED60BE"/>
    <w:rsid w:val="00ED61C3"/>
    <w:rsid w:val="00ED6AD5"/>
    <w:rsid w:val="00ED6FFB"/>
    <w:rsid w:val="00ED7AF4"/>
    <w:rsid w:val="00EE13A7"/>
    <w:rsid w:val="00EE1F37"/>
    <w:rsid w:val="00EE22A6"/>
    <w:rsid w:val="00EE255B"/>
    <w:rsid w:val="00EE2F0B"/>
    <w:rsid w:val="00EE4E37"/>
    <w:rsid w:val="00EE6C78"/>
    <w:rsid w:val="00EE7396"/>
    <w:rsid w:val="00EE75CA"/>
    <w:rsid w:val="00EF0CE2"/>
    <w:rsid w:val="00EF1082"/>
    <w:rsid w:val="00EF203D"/>
    <w:rsid w:val="00EF2EE2"/>
    <w:rsid w:val="00EF4081"/>
    <w:rsid w:val="00EF4893"/>
    <w:rsid w:val="00EF4D0B"/>
    <w:rsid w:val="00F0049C"/>
    <w:rsid w:val="00F005C8"/>
    <w:rsid w:val="00F01154"/>
    <w:rsid w:val="00F0159C"/>
    <w:rsid w:val="00F02678"/>
    <w:rsid w:val="00F02C8F"/>
    <w:rsid w:val="00F03555"/>
    <w:rsid w:val="00F05252"/>
    <w:rsid w:val="00F0618F"/>
    <w:rsid w:val="00F06B04"/>
    <w:rsid w:val="00F06E01"/>
    <w:rsid w:val="00F072EF"/>
    <w:rsid w:val="00F07535"/>
    <w:rsid w:val="00F105B7"/>
    <w:rsid w:val="00F1080E"/>
    <w:rsid w:val="00F11A21"/>
    <w:rsid w:val="00F12C80"/>
    <w:rsid w:val="00F13517"/>
    <w:rsid w:val="00F1497A"/>
    <w:rsid w:val="00F14C3F"/>
    <w:rsid w:val="00F16402"/>
    <w:rsid w:val="00F16445"/>
    <w:rsid w:val="00F164D2"/>
    <w:rsid w:val="00F17294"/>
    <w:rsid w:val="00F17A21"/>
    <w:rsid w:val="00F17CE4"/>
    <w:rsid w:val="00F202D5"/>
    <w:rsid w:val="00F21108"/>
    <w:rsid w:val="00F21DFE"/>
    <w:rsid w:val="00F224E2"/>
    <w:rsid w:val="00F22D5D"/>
    <w:rsid w:val="00F22FE1"/>
    <w:rsid w:val="00F23BA6"/>
    <w:rsid w:val="00F23F1E"/>
    <w:rsid w:val="00F241C1"/>
    <w:rsid w:val="00F2584E"/>
    <w:rsid w:val="00F27DF6"/>
    <w:rsid w:val="00F30CD9"/>
    <w:rsid w:val="00F3216E"/>
    <w:rsid w:val="00F326AC"/>
    <w:rsid w:val="00F32E24"/>
    <w:rsid w:val="00F33F48"/>
    <w:rsid w:val="00F34EA8"/>
    <w:rsid w:val="00F36864"/>
    <w:rsid w:val="00F377D6"/>
    <w:rsid w:val="00F3798F"/>
    <w:rsid w:val="00F37DC3"/>
    <w:rsid w:val="00F40395"/>
    <w:rsid w:val="00F40B21"/>
    <w:rsid w:val="00F41E98"/>
    <w:rsid w:val="00F42141"/>
    <w:rsid w:val="00F43E38"/>
    <w:rsid w:val="00F43E91"/>
    <w:rsid w:val="00F440D3"/>
    <w:rsid w:val="00F461A5"/>
    <w:rsid w:val="00F471B7"/>
    <w:rsid w:val="00F47D60"/>
    <w:rsid w:val="00F5011F"/>
    <w:rsid w:val="00F50E91"/>
    <w:rsid w:val="00F512C7"/>
    <w:rsid w:val="00F514AE"/>
    <w:rsid w:val="00F53F5D"/>
    <w:rsid w:val="00F549D0"/>
    <w:rsid w:val="00F55CB7"/>
    <w:rsid w:val="00F55EBE"/>
    <w:rsid w:val="00F56B46"/>
    <w:rsid w:val="00F57D29"/>
    <w:rsid w:val="00F604C6"/>
    <w:rsid w:val="00F61472"/>
    <w:rsid w:val="00F62676"/>
    <w:rsid w:val="00F62E2A"/>
    <w:rsid w:val="00F6318B"/>
    <w:rsid w:val="00F633AE"/>
    <w:rsid w:val="00F70AE0"/>
    <w:rsid w:val="00F715D2"/>
    <w:rsid w:val="00F73E1F"/>
    <w:rsid w:val="00F74EE8"/>
    <w:rsid w:val="00F76BB6"/>
    <w:rsid w:val="00F77DAF"/>
    <w:rsid w:val="00F80DFE"/>
    <w:rsid w:val="00F82530"/>
    <w:rsid w:val="00F826B2"/>
    <w:rsid w:val="00F83379"/>
    <w:rsid w:val="00F8363E"/>
    <w:rsid w:val="00F83D58"/>
    <w:rsid w:val="00F856FA"/>
    <w:rsid w:val="00F8709A"/>
    <w:rsid w:val="00F91480"/>
    <w:rsid w:val="00F91D2B"/>
    <w:rsid w:val="00F9271A"/>
    <w:rsid w:val="00F92734"/>
    <w:rsid w:val="00F92A99"/>
    <w:rsid w:val="00F92C24"/>
    <w:rsid w:val="00F93E64"/>
    <w:rsid w:val="00F96201"/>
    <w:rsid w:val="00F97E94"/>
    <w:rsid w:val="00FA06F2"/>
    <w:rsid w:val="00FA0D90"/>
    <w:rsid w:val="00FA4152"/>
    <w:rsid w:val="00FA4704"/>
    <w:rsid w:val="00FA58FD"/>
    <w:rsid w:val="00FA66D9"/>
    <w:rsid w:val="00FA6AB8"/>
    <w:rsid w:val="00FB1561"/>
    <w:rsid w:val="00FB4FAB"/>
    <w:rsid w:val="00FB4FD7"/>
    <w:rsid w:val="00FB4FDE"/>
    <w:rsid w:val="00FC1EC6"/>
    <w:rsid w:val="00FC2C04"/>
    <w:rsid w:val="00FC30E9"/>
    <w:rsid w:val="00FC4084"/>
    <w:rsid w:val="00FC77B4"/>
    <w:rsid w:val="00FC7C2B"/>
    <w:rsid w:val="00FD09DB"/>
    <w:rsid w:val="00FD0B18"/>
    <w:rsid w:val="00FD0F82"/>
    <w:rsid w:val="00FD1B78"/>
    <w:rsid w:val="00FD23F1"/>
    <w:rsid w:val="00FE0E09"/>
    <w:rsid w:val="00FE12F7"/>
    <w:rsid w:val="00FE196E"/>
    <w:rsid w:val="00FE1A02"/>
    <w:rsid w:val="00FE1B9D"/>
    <w:rsid w:val="00FE326F"/>
    <w:rsid w:val="00FE4C5E"/>
    <w:rsid w:val="00FE5769"/>
    <w:rsid w:val="00FE714F"/>
    <w:rsid w:val="00FF0F0D"/>
    <w:rsid w:val="00FF1561"/>
    <w:rsid w:val="00FF15C2"/>
    <w:rsid w:val="00FF1737"/>
    <w:rsid w:val="00FF33BA"/>
    <w:rsid w:val="00FF368D"/>
    <w:rsid w:val="00FF3DAC"/>
    <w:rsid w:val="00FF5E47"/>
    <w:rsid w:val="00FF6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222AADFB"/>
  <w15:docId w15:val="{6A9E03D8-FF7F-44C2-8F96-688A1AF4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3FDE"/>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0F6"/>
    <w:pPr>
      <w:jc w:val="both"/>
    </w:pPr>
    <w:rPr>
      <w:rFonts w:ascii="Arial" w:hAnsi="Arial" w:cs="Arial"/>
      <w:sz w:val="17"/>
      <w:szCs w:val="17"/>
    </w:rPr>
  </w:style>
  <w:style w:type="character" w:customStyle="1" w:styleId="FootnoteChar">
    <w:name w:val="Footnote Char"/>
    <w:basedOn w:val="FootnoteTextChar"/>
    <w:link w:val="Footnote"/>
    <w:rsid w:val="003430F6"/>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 w:type="character" w:customStyle="1" w:styleId="citationtext">
    <w:name w:val="citation_text"/>
    <w:basedOn w:val="DefaultParagraphFont"/>
    <w:rsid w:val="005B1CFB"/>
  </w:style>
  <w:style w:type="character" w:styleId="FollowedHyperlink">
    <w:name w:val="FollowedHyperlink"/>
    <w:basedOn w:val="DefaultParagraphFont"/>
    <w:uiPriority w:val="99"/>
    <w:semiHidden/>
    <w:unhideWhenUsed/>
    <w:rsid w:val="00444D97"/>
    <w:rPr>
      <w:color w:val="800080" w:themeColor="followedHyperlink"/>
      <w:u w:val="single"/>
    </w:rPr>
  </w:style>
  <w:style w:type="paragraph" w:styleId="DocumentMap">
    <w:name w:val="Document Map"/>
    <w:basedOn w:val="Normal"/>
    <w:link w:val="DocumentMapChar"/>
    <w:uiPriority w:val="99"/>
    <w:semiHidden/>
    <w:unhideWhenUsed/>
    <w:rsid w:val="00444D97"/>
    <w:rPr>
      <w:sz w:val="24"/>
      <w:szCs w:val="24"/>
    </w:rPr>
  </w:style>
  <w:style w:type="character" w:customStyle="1" w:styleId="DocumentMapChar">
    <w:name w:val="Document Map Char"/>
    <w:basedOn w:val="DefaultParagraphFont"/>
    <w:link w:val="DocumentMap"/>
    <w:uiPriority w:val="99"/>
    <w:semiHidden/>
    <w:rsid w:val="00444D97"/>
    <w:rPr>
      <w:rFonts w:ascii="Times New Roman" w:eastAsia="Times New Roman" w:hAnsi="Times New Roman" w:cs="Times New Roman"/>
      <w:sz w:val="24"/>
      <w:szCs w:val="24"/>
    </w:rPr>
  </w:style>
  <w:style w:type="paragraph" w:customStyle="1" w:styleId="Normal1">
    <w:name w:val="Normal1"/>
    <w:rsid w:val="001F759C"/>
    <w:pPr>
      <w:pBdr>
        <w:top w:val="nil"/>
        <w:left w:val="nil"/>
        <w:bottom w:val="nil"/>
        <w:right w:val="nil"/>
        <w:between w:val="nil"/>
      </w:pBdr>
      <w:spacing w:after="0"/>
    </w:pPr>
    <w:rPr>
      <w:rFonts w:ascii="Arial" w:hAnsi="Arial" w:cs="Arial"/>
      <w:color w:val="000000"/>
      <w:kern w:val="0"/>
      <w:lang w:eastAsia="zh-CN"/>
    </w:rPr>
  </w:style>
  <w:style w:type="paragraph" w:styleId="NoSpacing">
    <w:name w:val="No Spacing"/>
    <w:basedOn w:val="Normal"/>
    <w:link w:val="NoSpacingChar"/>
    <w:uiPriority w:val="1"/>
    <w:qFormat/>
    <w:rsid w:val="002C7705"/>
    <w:rPr>
      <w:rFonts w:asciiTheme="majorHAnsi" w:eastAsiaTheme="minorHAnsi" w:hAnsiTheme="majorHAnsi" w:cstheme="majorBidi"/>
      <w:sz w:val="22"/>
      <w:szCs w:val="22"/>
      <w:lang w:bidi="en-US"/>
    </w:rPr>
  </w:style>
  <w:style w:type="character" w:customStyle="1" w:styleId="NoSpacingChar">
    <w:name w:val="No Spacing Char"/>
    <w:basedOn w:val="DefaultParagraphFont"/>
    <w:link w:val="NoSpacing"/>
    <w:uiPriority w:val="1"/>
    <w:rsid w:val="002C7705"/>
    <w:rPr>
      <w:rFonts w:asciiTheme="majorHAnsi" w:eastAsiaTheme="minorHAnsi" w:hAnsiTheme="majorHAnsi"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96649">
      <w:bodyDiv w:val="1"/>
      <w:marLeft w:val="0"/>
      <w:marRight w:val="0"/>
      <w:marTop w:val="0"/>
      <w:marBottom w:val="0"/>
      <w:divBdr>
        <w:top w:val="none" w:sz="0" w:space="0" w:color="auto"/>
        <w:left w:val="none" w:sz="0" w:space="0" w:color="auto"/>
        <w:bottom w:val="none" w:sz="0" w:space="0" w:color="auto"/>
        <w:right w:val="none" w:sz="0" w:space="0" w:color="auto"/>
      </w:divBdr>
    </w:div>
    <w:div w:id="98720958">
      <w:bodyDiv w:val="1"/>
      <w:marLeft w:val="0"/>
      <w:marRight w:val="0"/>
      <w:marTop w:val="0"/>
      <w:marBottom w:val="0"/>
      <w:divBdr>
        <w:top w:val="none" w:sz="0" w:space="0" w:color="auto"/>
        <w:left w:val="none" w:sz="0" w:space="0" w:color="auto"/>
        <w:bottom w:val="none" w:sz="0" w:space="0" w:color="auto"/>
        <w:right w:val="none" w:sz="0" w:space="0" w:color="auto"/>
      </w:divBdr>
    </w:div>
    <w:div w:id="365839696">
      <w:bodyDiv w:val="1"/>
      <w:marLeft w:val="0"/>
      <w:marRight w:val="0"/>
      <w:marTop w:val="0"/>
      <w:marBottom w:val="0"/>
      <w:divBdr>
        <w:top w:val="none" w:sz="0" w:space="0" w:color="auto"/>
        <w:left w:val="none" w:sz="0" w:space="0" w:color="auto"/>
        <w:bottom w:val="none" w:sz="0" w:space="0" w:color="auto"/>
        <w:right w:val="none" w:sz="0" w:space="0" w:color="auto"/>
      </w:divBdr>
    </w:div>
    <w:div w:id="623000559">
      <w:bodyDiv w:val="1"/>
      <w:marLeft w:val="0"/>
      <w:marRight w:val="0"/>
      <w:marTop w:val="0"/>
      <w:marBottom w:val="0"/>
      <w:divBdr>
        <w:top w:val="none" w:sz="0" w:space="0" w:color="auto"/>
        <w:left w:val="none" w:sz="0" w:space="0" w:color="auto"/>
        <w:bottom w:val="none" w:sz="0" w:space="0" w:color="auto"/>
        <w:right w:val="none" w:sz="0" w:space="0" w:color="auto"/>
      </w:divBdr>
    </w:div>
    <w:div w:id="716391361">
      <w:bodyDiv w:val="1"/>
      <w:marLeft w:val="0"/>
      <w:marRight w:val="0"/>
      <w:marTop w:val="0"/>
      <w:marBottom w:val="0"/>
      <w:divBdr>
        <w:top w:val="none" w:sz="0" w:space="0" w:color="auto"/>
        <w:left w:val="none" w:sz="0" w:space="0" w:color="auto"/>
        <w:bottom w:val="none" w:sz="0" w:space="0" w:color="auto"/>
        <w:right w:val="none" w:sz="0" w:space="0" w:color="auto"/>
      </w:divBdr>
    </w:div>
    <w:div w:id="943222488">
      <w:bodyDiv w:val="1"/>
      <w:marLeft w:val="0"/>
      <w:marRight w:val="0"/>
      <w:marTop w:val="0"/>
      <w:marBottom w:val="0"/>
      <w:divBdr>
        <w:top w:val="none" w:sz="0" w:space="0" w:color="auto"/>
        <w:left w:val="none" w:sz="0" w:space="0" w:color="auto"/>
        <w:bottom w:val="none" w:sz="0" w:space="0" w:color="auto"/>
        <w:right w:val="none" w:sz="0" w:space="0" w:color="auto"/>
      </w:divBdr>
    </w:div>
    <w:div w:id="975837274">
      <w:bodyDiv w:val="1"/>
      <w:marLeft w:val="0"/>
      <w:marRight w:val="0"/>
      <w:marTop w:val="0"/>
      <w:marBottom w:val="0"/>
      <w:divBdr>
        <w:top w:val="none" w:sz="0" w:space="0" w:color="auto"/>
        <w:left w:val="none" w:sz="0" w:space="0" w:color="auto"/>
        <w:bottom w:val="none" w:sz="0" w:space="0" w:color="auto"/>
        <w:right w:val="none" w:sz="0" w:space="0" w:color="auto"/>
      </w:divBdr>
    </w:div>
    <w:div w:id="1530486453">
      <w:bodyDiv w:val="1"/>
      <w:marLeft w:val="0"/>
      <w:marRight w:val="0"/>
      <w:marTop w:val="0"/>
      <w:marBottom w:val="0"/>
      <w:divBdr>
        <w:top w:val="none" w:sz="0" w:space="0" w:color="auto"/>
        <w:left w:val="none" w:sz="0" w:space="0" w:color="auto"/>
        <w:bottom w:val="none" w:sz="0" w:space="0" w:color="auto"/>
        <w:right w:val="none" w:sz="0" w:space="0" w:color="auto"/>
      </w:divBdr>
    </w:div>
    <w:div w:id="1945729844">
      <w:bodyDiv w:val="1"/>
      <w:marLeft w:val="0"/>
      <w:marRight w:val="0"/>
      <w:marTop w:val="0"/>
      <w:marBottom w:val="0"/>
      <w:divBdr>
        <w:top w:val="none" w:sz="0" w:space="0" w:color="auto"/>
        <w:left w:val="none" w:sz="0" w:space="0" w:color="auto"/>
        <w:bottom w:val="none" w:sz="0" w:space="0" w:color="auto"/>
        <w:right w:val="none" w:sz="0" w:space="0" w:color="auto"/>
      </w:divBdr>
    </w:div>
    <w:div w:id="2039313659">
      <w:bodyDiv w:val="1"/>
      <w:marLeft w:val="0"/>
      <w:marRight w:val="0"/>
      <w:marTop w:val="0"/>
      <w:marBottom w:val="0"/>
      <w:divBdr>
        <w:top w:val="none" w:sz="0" w:space="0" w:color="auto"/>
        <w:left w:val="none" w:sz="0" w:space="0" w:color="auto"/>
        <w:bottom w:val="none" w:sz="0" w:space="0" w:color="auto"/>
        <w:right w:val="none" w:sz="0" w:space="0" w:color="auto"/>
      </w:divBdr>
    </w:div>
    <w:div w:id="214646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B5FD9F-25F2-4252-B030-BD6325F08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5852</Words>
  <Characters>33361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PC CHECK</cp:lastModifiedBy>
  <cp:revision>3</cp:revision>
  <cp:lastPrinted>2021-11-16T19:40:00Z</cp:lastPrinted>
  <dcterms:created xsi:type="dcterms:W3CDTF">2021-11-16T19:40:00Z</dcterms:created>
  <dcterms:modified xsi:type="dcterms:W3CDTF">2021-11-16T19:43:00Z</dcterms:modified>
</cp:coreProperties>
</file>