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34C9E" w14:textId="699DA1F1" w:rsidR="008467D5" w:rsidRPr="00867F8A" w:rsidRDefault="00231A34" w:rsidP="00231A34">
      <w:pPr>
        <w:pStyle w:val="IveyQuotes"/>
        <w:ind w:left="0"/>
      </w:pPr>
      <w:r w:rsidRPr="00867F8A">
        <w:rPr>
          <w:rFonts w:ascii="Arial" w:hAnsi="Arial"/>
          <w:b/>
          <w:noProof/>
          <w:sz w:val="24"/>
          <w:lang w:val="en-CA" w:eastAsia="en-CA"/>
        </w:rPr>
        <w:drawing>
          <wp:inline distT="0" distB="0" distL="0" distR="0" wp14:anchorId="5F5A8014" wp14:editId="2DF05DD4">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7F4691" w14:textId="77777777" w:rsidR="00856D9F" w:rsidRPr="00867F8A" w:rsidRDefault="00856D9F" w:rsidP="008467D5">
      <w:pPr>
        <w:pBdr>
          <w:bottom w:val="single" w:sz="18" w:space="1" w:color="auto"/>
        </w:pBdr>
        <w:tabs>
          <w:tab w:val="left" w:pos="-1440"/>
          <w:tab w:val="left" w:pos="-720"/>
          <w:tab w:val="left" w:pos="1"/>
        </w:tabs>
        <w:jc w:val="both"/>
        <w:rPr>
          <w:rFonts w:ascii="Arial" w:hAnsi="Arial"/>
          <w:b/>
          <w:lang w:val="en-GB"/>
        </w:rPr>
      </w:pPr>
    </w:p>
    <w:p w14:paraId="39C31300" w14:textId="38D059EA" w:rsidR="00D75295" w:rsidRPr="00867F8A" w:rsidRDefault="00231A34" w:rsidP="00F105B7">
      <w:pPr>
        <w:pStyle w:val="ProductNumber"/>
        <w:rPr>
          <w:lang w:val="en-GB"/>
        </w:rPr>
      </w:pPr>
      <w:r w:rsidRPr="00867F8A">
        <w:rPr>
          <w:lang w:val="en-GB"/>
        </w:rPr>
        <w:t>9B17M</w:t>
      </w:r>
      <w:r w:rsidR="00FA53CE">
        <w:rPr>
          <w:lang w:val="en-GB"/>
        </w:rPr>
        <w:t>183</w:t>
      </w:r>
    </w:p>
    <w:p w14:paraId="0BBCB740" w14:textId="77777777" w:rsidR="00D75295" w:rsidRPr="00867F8A" w:rsidRDefault="00D75295" w:rsidP="00D75295">
      <w:pPr>
        <w:jc w:val="right"/>
        <w:rPr>
          <w:rFonts w:ascii="Arial" w:hAnsi="Arial"/>
          <w:b/>
          <w:sz w:val="28"/>
          <w:szCs w:val="28"/>
          <w:lang w:val="en-GB"/>
        </w:rPr>
      </w:pPr>
    </w:p>
    <w:p w14:paraId="61CEDA54" w14:textId="77777777" w:rsidR="00866F6D" w:rsidRPr="00867F8A" w:rsidRDefault="00866F6D" w:rsidP="00D75295">
      <w:pPr>
        <w:jc w:val="right"/>
        <w:rPr>
          <w:rFonts w:ascii="Arial" w:hAnsi="Arial"/>
          <w:b/>
          <w:sz w:val="28"/>
          <w:szCs w:val="28"/>
          <w:lang w:val="en-GB"/>
        </w:rPr>
      </w:pPr>
    </w:p>
    <w:p w14:paraId="579ABEAD" w14:textId="77777777" w:rsidR="00013360" w:rsidRPr="00867F8A" w:rsidRDefault="00E24460" w:rsidP="00013360">
      <w:pPr>
        <w:pStyle w:val="CaseTitle"/>
        <w:spacing w:after="0" w:line="240" w:lineRule="auto"/>
        <w:rPr>
          <w:lang w:val="en-GB"/>
        </w:rPr>
      </w:pPr>
      <w:r w:rsidRPr="00867F8A">
        <w:rPr>
          <w:lang w:val="en-GB"/>
        </w:rPr>
        <w:t>raintree resorts international: envisioning unique adventures</w:t>
      </w:r>
    </w:p>
    <w:p w14:paraId="6691DDD8" w14:textId="77777777" w:rsidR="00013360" w:rsidRPr="00867F8A" w:rsidRDefault="00013360" w:rsidP="00013360">
      <w:pPr>
        <w:pStyle w:val="CaseTitle"/>
        <w:spacing w:after="0" w:line="240" w:lineRule="auto"/>
        <w:rPr>
          <w:sz w:val="20"/>
          <w:szCs w:val="20"/>
          <w:lang w:val="en-GB"/>
        </w:rPr>
      </w:pPr>
    </w:p>
    <w:p w14:paraId="04F88FFF" w14:textId="77777777" w:rsidR="00CA3976" w:rsidRPr="00867F8A" w:rsidRDefault="00CA3976" w:rsidP="00013360">
      <w:pPr>
        <w:pStyle w:val="CaseTitle"/>
        <w:spacing w:after="0" w:line="240" w:lineRule="auto"/>
        <w:rPr>
          <w:sz w:val="20"/>
          <w:szCs w:val="20"/>
          <w:lang w:val="en-GB"/>
        </w:rPr>
      </w:pPr>
    </w:p>
    <w:p w14:paraId="4EB8EC06" w14:textId="77777777" w:rsidR="00013360" w:rsidRPr="00867F8A" w:rsidRDefault="00013360" w:rsidP="00013360">
      <w:pPr>
        <w:pStyle w:val="CaseTitle"/>
        <w:spacing w:after="0" w:line="240" w:lineRule="auto"/>
        <w:rPr>
          <w:sz w:val="20"/>
          <w:szCs w:val="20"/>
          <w:lang w:val="en-GB"/>
        </w:rPr>
      </w:pPr>
    </w:p>
    <w:p w14:paraId="27437979" w14:textId="5129D9EC" w:rsidR="00013360" w:rsidRPr="00867F8A" w:rsidRDefault="00E24460" w:rsidP="00104567">
      <w:pPr>
        <w:pStyle w:val="StyleCopyrightStatementAfter0ptBottomSinglesolidline1"/>
        <w:rPr>
          <w:lang w:val="en-GB"/>
        </w:rPr>
      </w:pPr>
      <w:r w:rsidRPr="00867F8A">
        <w:rPr>
          <w:lang w:val="en-GB"/>
        </w:rPr>
        <w:t xml:space="preserve">Gary R. </w:t>
      </w:r>
      <w:proofErr w:type="spellStart"/>
      <w:r w:rsidRPr="00867F8A">
        <w:rPr>
          <w:lang w:val="en-GB"/>
        </w:rPr>
        <w:t>Carini</w:t>
      </w:r>
      <w:proofErr w:type="spellEnd"/>
      <w:r w:rsidRPr="00867F8A">
        <w:rPr>
          <w:lang w:val="en-GB"/>
        </w:rPr>
        <w:t xml:space="preserve"> and Doug</w:t>
      </w:r>
      <w:r w:rsidR="00867F8A" w:rsidRPr="00867F8A">
        <w:rPr>
          <w:lang w:val="en-GB"/>
        </w:rPr>
        <w:t>las</w:t>
      </w:r>
      <w:r w:rsidRPr="00867F8A">
        <w:rPr>
          <w:lang w:val="en-GB"/>
        </w:rPr>
        <w:t xml:space="preserve"> Y. </w:t>
      </w:r>
      <w:proofErr w:type="spellStart"/>
      <w:r w:rsidRPr="00867F8A">
        <w:rPr>
          <w:lang w:val="en-GB"/>
        </w:rPr>
        <w:t>Bech</w:t>
      </w:r>
      <w:proofErr w:type="spellEnd"/>
      <w:r w:rsidR="007E5921" w:rsidRPr="00867F8A">
        <w:rPr>
          <w:lang w:val="en-GB"/>
        </w:rPr>
        <w:t xml:space="preserve"> wrote this case sol</w:t>
      </w:r>
      <w:r w:rsidR="00D75295" w:rsidRPr="00867F8A">
        <w:rPr>
          <w:lang w:val="en-GB"/>
        </w:rPr>
        <w:t>ely to provide material f</w:t>
      </w:r>
      <w:r w:rsidR="001A04F0" w:rsidRPr="00867F8A">
        <w:rPr>
          <w:lang w:val="en-GB"/>
        </w:rPr>
        <w:t>or class discussion. The author</w:t>
      </w:r>
      <w:r w:rsidR="00CC6A52" w:rsidRPr="00867F8A">
        <w:rPr>
          <w:lang w:val="en-GB"/>
        </w:rPr>
        <w:t xml:space="preserve">s </w:t>
      </w:r>
      <w:r w:rsidR="00D75295" w:rsidRPr="00867F8A">
        <w:rPr>
          <w:lang w:val="en-GB"/>
        </w:rPr>
        <w:t>do not intend to illustrate either effective or ineffective handling of a managerial situation. The authors may have disguised certain names and other identifying information to protect confidentiality.</w:t>
      </w:r>
    </w:p>
    <w:p w14:paraId="6297E1E2" w14:textId="77777777" w:rsidR="00013360" w:rsidRPr="00867F8A" w:rsidRDefault="00013360" w:rsidP="00104567">
      <w:pPr>
        <w:pStyle w:val="StyleCopyrightStatementAfter0ptBottomSinglesolidline1"/>
        <w:rPr>
          <w:lang w:val="en-GB"/>
        </w:rPr>
      </w:pPr>
    </w:p>
    <w:p w14:paraId="2FDBEB10" w14:textId="77777777" w:rsidR="00231A34" w:rsidRPr="00867F8A" w:rsidRDefault="00231A34" w:rsidP="008F33FA">
      <w:pPr>
        <w:jc w:val="both"/>
        <w:rPr>
          <w:rFonts w:ascii="Arial" w:hAnsi="Arial" w:cs="Arial"/>
          <w:i/>
          <w:iCs/>
          <w:sz w:val="16"/>
          <w:szCs w:val="16"/>
          <w:lang w:val="en-GB"/>
        </w:rPr>
      </w:pPr>
      <w:r w:rsidRPr="00867F8A">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867F8A">
          <w:rPr>
            <w:rFonts w:ascii="Arial" w:hAnsi="Arial" w:cs="Arial"/>
            <w:i/>
            <w:iCs/>
            <w:sz w:val="16"/>
            <w:szCs w:val="16"/>
            <w:lang w:val="en-GB"/>
          </w:rPr>
          <w:t>cases@ivey.ca</w:t>
        </w:r>
      </w:hyperlink>
      <w:r w:rsidRPr="00867F8A">
        <w:rPr>
          <w:rFonts w:ascii="Arial" w:hAnsi="Arial" w:cs="Arial"/>
          <w:i/>
          <w:iCs/>
          <w:sz w:val="16"/>
          <w:szCs w:val="16"/>
          <w:lang w:val="en-GB"/>
        </w:rPr>
        <w:t xml:space="preserve">; </w:t>
      </w:r>
      <w:hyperlink r:id="rId10" w:history="1">
        <w:r w:rsidRPr="00867F8A">
          <w:rPr>
            <w:rFonts w:ascii="Arial" w:hAnsi="Arial" w:cs="Arial"/>
            <w:i/>
            <w:iCs/>
            <w:sz w:val="16"/>
            <w:szCs w:val="16"/>
            <w:lang w:val="en-GB"/>
          </w:rPr>
          <w:t>www.iveycases.com</w:t>
        </w:r>
      </w:hyperlink>
      <w:r w:rsidRPr="00867F8A">
        <w:rPr>
          <w:rFonts w:ascii="Arial" w:hAnsi="Arial" w:cs="Arial"/>
          <w:i/>
          <w:iCs/>
          <w:sz w:val="16"/>
          <w:szCs w:val="16"/>
          <w:lang w:val="en-GB"/>
        </w:rPr>
        <w:t>.</w:t>
      </w:r>
    </w:p>
    <w:p w14:paraId="22D59DFB" w14:textId="77777777" w:rsidR="00231A34" w:rsidRPr="00867F8A" w:rsidRDefault="00231A34" w:rsidP="008F33FA">
      <w:pPr>
        <w:pStyle w:val="StyleCopyrightStatementAfter0ptBottomSinglesolidline1"/>
        <w:pBdr>
          <w:top w:val="none" w:sz="0" w:space="0" w:color="auto"/>
        </w:pBdr>
        <w:rPr>
          <w:lang w:val="en-GB"/>
        </w:rPr>
      </w:pPr>
    </w:p>
    <w:p w14:paraId="43C84D94" w14:textId="10954C03" w:rsidR="003B7EF2" w:rsidRPr="00867F8A" w:rsidRDefault="00231A34" w:rsidP="003B7EF2">
      <w:pPr>
        <w:pStyle w:val="StyleStyleCopyrightStatementAfter0ptBottomSinglesolid"/>
        <w:rPr>
          <w:lang w:val="en-GB"/>
        </w:rPr>
      </w:pPr>
      <w:r w:rsidRPr="00867F8A">
        <w:rPr>
          <w:lang w:val="en-GB"/>
        </w:rPr>
        <w:t>Copyright © 2017, Richard Ivey School of Business Foundation</w:t>
      </w:r>
      <w:r w:rsidR="003B7EF2" w:rsidRPr="00867F8A">
        <w:rPr>
          <w:lang w:val="en-GB"/>
        </w:rPr>
        <w:tab/>
        <w:t xml:space="preserve">Version: </w:t>
      </w:r>
      <w:r w:rsidR="00361C8E" w:rsidRPr="00867F8A">
        <w:rPr>
          <w:lang w:val="en-GB"/>
        </w:rPr>
        <w:t>201</w:t>
      </w:r>
      <w:r w:rsidR="001A04F0" w:rsidRPr="00867F8A">
        <w:rPr>
          <w:lang w:val="en-GB"/>
        </w:rPr>
        <w:t>7</w:t>
      </w:r>
      <w:r w:rsidR="00361C8E" w:rsidRPr="00867F8A">
        <w:rPr>
          <w:lang w:val="en-GB"/>
        </w:rPr>
        <w:t>-</w:t>
      </w:r>
      <w:r w:rsidR="00867F8A" w:rsidRPr="00867F8A">
        <w:rPr>
          <w:lang w:val="en-GB"/>
        </w:rPr>
        <w:t>12</w:t>
      </w:r>
      <w:r w:rsidR="00361C8E" w:rsidRPr="00867F8A">
        <w:rPr>
          <w:lang w:val="en-GB"/>
        </w:rPr>
        <w:t>-</w:t>
      </w:r>
      <w:r w:rsidR="00217B78">
        <w:rPr>
          <w:lang w:val="en-GB"/>
        </w:rPr>
        <w:t>15</w:t>
      </w:r>
    </w:p>
    <w:p w14:paraId="7654F8F5" w14:textId="77777777" w:rsidR="003B7EF2" w:rsidRPr="00867F8A" w:rsidRDefault="003B7EF2" w:rsidP="00104567">
      <w:pPr>
        <w:pStyle w:val="StyleCopyrightStatementAfter0ptBottomSinglesolidline1"/>
        <w:rPr>
          <w:rFonts w:ascii="Times New Roman" w:hAnsi="Times New Roman"/>
          <w:sz w:val="20"/>
          <w:lang w:val="en-GB"/>
        </w:rPr>
      </w:pPr>
    </w:p>
    <w:p w14:paraId="34DFD92C" w14:textId="77777777" w:rsidR="003B7EF2" w:rsidRPr="00867F8A" w:rsidRDefault="003B7EF2" w:rsidP="006F1D9E">
      <w:pPr>
        <w:pStyle w:val="Footnote"/>
        <w:rPr>
          <w:lang w:val="en-GB"/>
        </w:rPr>
      </w:pPr>
    </w:p>
    <w:p w14:paraId="0A9B44BB" w14:textId="1CFF46D9" w:rsidR="00E24460" w:rsidRPr="00867F8A" w:rsidRDefault="00352682" w:rsidP="00352682">
      <w:pPr>
        <w:pStyle w:val="BodyTextMain"/>
        <w:rPr>
          <w:lang w:val="en-GB"/>
        </w:rPr>
      </w:pPr>
      <w:r w:rsidRPr="00867F8A">
        <w:rPr>
          <w:lang w:val="en-GB"/>
        </w:rPr>
        <w:t xml:space="preserve">In </w:t>
      </w:r>
      <w:r w:rsidR="009465EA" w:rsidRPr="00867F8A">
        <w:rPr>
          <w:lang w:val="en-GB"/>
        </w:rPr>
        <w:t xml:space="preserve">early </w:t>
      </w:r>
      <w:r w:rsidRPr="00867F8A">
        <w:rPr>
          <w:lang w:val="en-GB"/>
        </w:rPr>
        <w:t>201</w:t>
      </w:r>
      <w:r w:rsidR="00E90D5D" w:rsidRPr="00867F8A">
        <w:rPr>
          <w:lang w:val="en-GB"/>
        </w:rPr>
        <w:t>7,</w:t>
      </w:r>
      <w:r w:rsidRPr="00867F8A">
        <w:rPr>
          <w:lang w:val="en-GB"/>
        </w:rPr>
        <w:t xml:space="preserve"> </w:t>
      </w:r>
      <w:r w:rsidR="00E24460" w:rsidRPr="00867F8A">
        <w:rPr>
          <w:lang w:val="en-GB"/>
        </w:rPr>
        <w:t>Doug</w:t>
      </w:r>
      <w:r w:rsidR="00217B78">
        <w:rPr>
          <w:lang w:val="en-GB"/>
        </w:rPr>
        <w:t>las</w:t>
      </w:r>
      <w:r w:rsidR="00E24460" w:rsidRPr="00867F8A">
        <w:rPr>
          <w:lang w:val="en-GB"/>
        </w:rPr>
        <w:t xml:space="preserve"> </w:t>
      </w:r>
      <w:proofErr w:type="spellStart"/>
      <w:r w:rsidR="00E24460" w:rsidRPr="00867F8A">
        <w:rPr>
          <w:lang w:val="en-GB"/>
        </w:rPr>
        <w:t>Bech</w:t>
      </w:r>
      <w:proofErr w:type="spellEnd"/>
      <w:r w:rsidR="00E24460" w:rsidRPr="00867F8A">
        <w:rPr>
          <w:lang w:val="en-GB"/>
        </w:rPr>
        <w:t>,</w:t>
      </w:r>
      <w:r w:rsidR="00CC6A52" w:rsidRPr="00867F8A">
        <w:rPr>
          <w:lang w:val="en-GB"/>
        </w:rPr>
        <w:t xml:space="preserve"> chief executive officer</w:t>
      </w:r>
      <w:r w:rsidR="00E24460" w:rsidRPr="00867F8A">
        <w:rPr>
          <w:lang w:val="en-GB"/>
        </w:rPr>
        <w:t xml:space="preserve"> of Raintree Resorts International</w:t>
      </w:r>
      <w:r w:rsidR="00160044" w:rsidRPr="00867F8A">
        <w:rPr>
          <w:lang w:val="en-GB"/>
        </w:rPr>
        <w:t>, Inc.</w:t>
      </w:r>
      <w:r w:rsidR="00E24460" w:rsidRPr="00867F8A">
        <w:rPr>
          <w:lang w:val="en-GB"/>
        </w:rPr>
        <w:t xml:space="preserve"> (Raintree), sat in the boardroom at the </w:t>
      </w:r>
      <w:r w:rsidR="00ED723B" w:rsidRPr="00867F8A">
        <w:rPr>
          <w:lang w:val="en-GB"/>
        </w:rPr>
        <w:t xml:space="preserve">company’s </w:t>
      </w:r>
      <w:r w:rsidR="00E24460" w:rsidRPr="00867F8A">
        <w:rPr>
          <w:lang w:val="en-GB"/>
        </w:rPr>
        <w:t>headquarters in Houston, Texas</w:t>
      </w:r>
      <w:r w:rsidR="00ED723B" w:rsidRPr="00867F8A">
        <w:rPr>
          <w:lang w:val="en-GB"/>
        </w:rPr>
        <w:t xml:space="preserve">, </w:t>
      </w:r>
      <w:r w:rsidR="00E24460" w:rsidRPr="00867F8A">
        <w:rPr>
          <w:lang w:val="en-GB"/>
        </w:rPr>
        <w:t xml:space="preserve">contemplating </w:t>
      </w:r>
      <w:r w:rsidR="009609D2" w:rsidRPr="00867F8A">
        <w:rPr>
          <w:lang w:val="en-GB"/>
        </w:rPr>
        <w:t xml:space="preserve">his </w:t>
      </w:r>
      <w:r w:rsidR="00E24460" w:rsidRPr="00867F8A">
        <w:rPr>
          <w:lang w:val="en-GB"/>
        </w:rPr>
        <w:t>next move</w:t>
      </w:r>
      <w:r w:rsidR="00ED723B" w:rsidRPr="00867F8A">
        <w:rPr>
          <w:lang w:val="en-GB"/>
        </w:rPr>
        <w:t xml:space="preserve">. </w:t>
      </w:r>
      <w:r w:rsidR="009609D2" w:rsidRPr="00867F8A">
        <w:rPr>
          <w:lang w:val="en-GB"/>
        </w:rPr>
        <w:t xml:space="preserve">Since founding </w:t>
      </w:r>
      <w:r w:rsidR="005E7869" w:rsidRPr="00867F8A">
        <w:rPr>
          <w:lang w:val="en-GB"/>
        </w:rPr>
        <w:t>Raintree</w:t>
      </w:r>
      <w:r w:rsidR="009609D2" w:rsidRPr="00867F8A">
        <w:rPr>
          <w:lang w:val="en-GB"/>
        </w:rPr>
        <w:t xml:space="preserve"> in 1997</w:t>
      </w:r>
      <w:r w:rsidR="00F91736" w:rsidRPr="00867F8A">
        <w:rPr>
          <w:lang w:val="en-GB"/>
        </w:rPr>
        <w:t>,</w:t>
      </w:r>
      <w:r w:rsidR="009609D2" w:rsidRPr="00867F8A">
        <w:rPr>
          <w:lang w:val="en-GB"/>
        </w:rPr>
        <w:t xml:space="preserve"> </w:t>
      </w:r>
      <w:proofErr w:type="spellStart"/>
      <w:r w:rsidR="008657DD" w:rsidRPr="00867F8A">
        <w:rPr>
          <w:lang w:val="en-GB"/>
        </w:rPr>
        <w:t>Bech</w:t>
      </w:r>
      <w:proofErr w:type="spellEnd"/>
      <w:r w:rsidR="008657DD" w:rsidRPr="00867F8A">
        <w:rPr>
          <w:lang w:val="en-GB"/>
        </w:rPr>
        <w:t xml:space="preserve"> </w:t>
      </w:r>
      <w:r w:rsidR="009609D2" w:rsidRPr="00867F8A">
        <w:rPr>
          <w:lang w:val="en-GB"/>
        </w:rPr>
        <w:t xml:space="preserve">had worked with </w:t>
      </w:r>
      <w:r w:rsidR="00E72122" w:rsidRPr="00867F8A">
        <w:rPr>
          <w:lang w:val="en-GB"/>
        </w:rPr>
        <w:t xml:space="preserve">his team </w:t>
      </w:r>
      <w:r w:rsidR="009609D2" w:rsidRPr="00867F8A">
        <w:rPr>
          <w:lang w:val="en-GB"/>
        </w:rPr>
        <w:t xml:space="preserve">to </w:t>
      </w:r>
      <w:r w:rsidR="00E24460" w:rsidRPr="00867F8A">
        <w:rPr>
          <w:lang w:val="en-GB"/>
        </w:rPr>
        <w:t>focu</w:t>
      </w:r>
      <w:r w:rsidR="009609D2" w:rsidRPr="00867F8A">
        <w:rPr>
          <w:lang w:val="en-GB"/>
        </w:rPr>
        <w:t>s</w:t>
      </w:r>
      <w:r w:rsidR="00E24460" w:rsidRPr="00867F8A">
        <w:rPr>
          <w:lang w:val="en-GB"/>
        </w:rPr>
        <w:t xml:space="preserve"> attention on creating and developing properties in the world’s top de</w:t>
      </w:r>
      <w:r w:rsidR="00E72122" w:rsidRPr="00867F8A">
        <w:rPr>
          <w:lang w:val="en-GB"/>
        </w:rPr>
        <w:t>stinations. As he put it, he had</w:t>
      </w:r>
      <w:r w:rsidR="00E24460" w:rsidRPr="00867F8A">
        <w:rPr>
          <w:lang w:val="en-GB"/>
        </w:rPr>
        <w:t xml:space="preserve"> been privileged to build the best vacation destinations for people. </w:t>
      </w:r>
      <w:r w:rsidR="00ED723B" w:rsidRPr="00867F8A">
        <w:rPr>
          <w:lang w:val="en-GB"/>
        </w:rPr>
        <w:t>However, a</w:t>
      </w:r>
      <w:r w:rsidR="00E24460" w:rsidRPr="00867F8A">
        <w:rPr>
          <w:lang w:val="en-GB"/>
        </w:rPr>
        <w:t xml:space="preserve">fter </w:t>
      </w:r>
      <w:r w:rsidR="00CC6A52" w:rsidRPr="00867F8A">
        <w:rPr>
          <w:lang w:val="en-GB"/>
        </w:rPr>
        <w:t>20</w:t>
      </w:r>
      <w:r w:rsidR="00E24460" w:rsidRPr="00867F8A">
        <w:rPr>
          <w:lang w:val="en-GB"/>
        </w:rPr>
        <w:t xml:space="preserve"> years of incredible growth through “blood, sweat, and tears,” </w:t>
      </w:r>
      <w:proofErr w:type="spellStart"/>
      <w:r w:rsidR="008657DD" w:rsidRPr="00867F8A">
        <w:rPr>
          <w:lang w:val="en-GB"/>
        </w:rPr>
        <w:t>Bech</w:t>
      </w:r>
      <w:proofErr w:type="spellEnd"/>
      <w:r w:rsidR="008657DD" w:rsidRPr="00867F8A">
        <w:rPr>
          <w:lang w:val="en-GB"/>
        </w:rPr>
        <w:t xml:space="preserve"> </w:t>
      </w:r>
      <w:r w:rsidR="00E24460" w:rsidRPr="00867F8A">
        <w:rPr>
          <w:lang w:val="en-GB"/>
        </w:rPr>
        <w:t>acknowledged that the company was at a turning point. He wondered if he should continue to grow by providing the current product</w:t>
      </w:r>
      <w:r w:rsidR="00171DE6" w:rsidRPr="00867F8A">
        <w:rPr>
          <w:lang w:val="en-GB"/>
        </w:rPr>
        <w:t>—</w:t>
      </w:r>
      <w:r w:rsidR="00E24460" w:rsidRPr="00867F8A">
        <w:rPr>
          <w:lang w:val="en-GB"/>
        </w:rPr>
        <w:t>just more of it throughout the world</w:t>
      </w:r>
      <w:r w:rsidR="00171DE6" w:rsidRPr="00867F8A">
        <w:rPr>
          <w:lang w:val="en-GB"/>
        </w:rPr>
        <w:t>—</w:t>
      </w:r>
      <w:r w:rsidR="00E24460" w:rsidRPr="00867F8A">
        <w:rPr>
          <w:lang w:val="en-GB"/>
        </w:rPr>
        <w:t xml:space="preserve">or instead think about taking a turn toward a different travel experience. He felt a sense of urgency, as he envisioned spending quite a bit of money either to expand the company or </w:t>
      </w:r>
      <w:r w:rsidR="00E72122" w:rsidRPr="00867F8A">
        <w:rPr>
          <w:lang w:val="en-GB"/>
        </w:rPr>
        <w:t>change the customer experience.</w:t>
      </w:r>
      <w:r w:rsidR="00E24460" w:rsidRPr="00867F8A">
        <w:rPr>
          <w:lang w:val="en-GB"/>
        </w:rPr>
        <w:t xml:space="preserve"> </w:t>
      </w:r>
    </w:p>
    <w:p w14:paraId="4B7F9957" w14:textId="3439A645" w:rsidR="00352682" w:rsidRPr="00867F8A" w:rsidRDefault="00352682" w:rsidP="00352682">
      <w:pPr>
        <w:pStyle w:val="BodyTextMain"/>
        <w:rPr>
          <w:lang w:val="en-GB"/>
        </w:rPr>
      </w:pPr>
    </w:p>
    <w:p w14:paraId="01A861F3" w14:textId="5DDA3CAE" w:rsidR="00E24460" w:rsidRPr="00867F8A" w:rsidRDefault="008657DD" w:rsidP="00352682">
      <w:pPr>
        <w:pStyle w:val="BodyTextMain"/>
        <w:rPr>
          <w:lang w:val="en-GB"/>
        </w:rPr>
      </w:pPr>
      <w:proofErr w:type="spellStart"/>
      <w:r w:rsidRPr="00867F8A">
        <w:rPr>
          <w:lang w:val="en-GB"/>
        </w:rPr>
        <w:t>Bech</w:t>
      </w:r>
      <w:proofErr w:type="spellEnd"/>
      <w:r w:rsidR="00E24460" w:rsidRPr="00867F8A">
        <w:rPr>
          <w:lang w:val="en-GB"/>
        </w:rPr>
        <w:t xml:space="preserve"> was intrigued by disrupters in the broader </w:t>
      </w:r>
      <w:r w:rsidR="009F18EE" w:rsidRPr="00867F8A">
        <w:rPr>
          <w:lang w:val="en-GB"/>
        </w:rPr>
        <w:t xml:space="preserve">hospitality </w:t>
      </w:r>
      <w:r w:rsidR="00E24460" w:rsidRPr="00867F8A">
        <w:rPr>
          <w:lang w:val="en-GB"/>
        </w:rPr>
        <w:t>industry</w:t>
      </w:r>
      <w:r w:rsidR="009F18EE" w:rsidRPr="00867F8A">
        <w:rPr>
          <w:lang w:val="en-GB"/>
        </w:rPr>
        <w:t>.</w:t>
      </w:r>
      <w:r w:rsidR="00E24460" w:rsidRPr="00867F8A">
        <w:rPr>
          <w:lang w:val="en-GB"/>
        </w:rPr>
        <w:t xml:space="preserve"> </w:t>
      </w:r>
      <w:r w:rsidR="009E45A1" w:rsidRPr="00867F8A">
        <w:rPr>
          <w:lang w:val="en-GB"/>
        </w:rPr>
        <w:t xml:space="preserve">In 2017, </w:t>
      </w:r>
      <w:r w:rsidR="00E24460" w:rsidRPr="00867F8A">
        <w:rPr>
          <w:lang w:val="en-GB"/>
        </w:rPr>
        <w:t xml:space="preserve">Airbnb </w:t>
      </w:r>
      <w:r w:rsidR="009F18EE" w:rsidRPr="00867F8A">
        <w:rPr>
          <w:lang w:val="en-GB"/>
        </w:rPr>
        <w:t>was</w:t>
      </w:r>
      <w:r w:rsidR="00E24460" w:rsidRPr="00867F8A">
        <w:rPr>
          <w:lang w:val="en-GB"/>
        </w:rPr>
        <w:t xml:space="preserve"> the largest provider of rooms yet ha</w:t>
      </w:r>
      <w:r w:rsidR="0048757F" w:rsidRPr="00867F8A">
        <w:rPr>
          <w:lang w:val="en-GB"/>
        </w:rPr>
        <w:t>d</w:t>
      </w:r>
      <w:r w:rsidR="00E24460" w:rsidRPr="00867F8A">
        <w:rPr>
          <w:lang w:val="en-GB"/>
        </w:rPr>
        <w:t xml:space="preserve"> no hotel ownership. Uber</w:t>
      </w:r>
      <w:r w:rsidR="009609D2" w:rsidRPr="00867F8A">
        <w:rPr>
          <w:lang w:val="en-GB"/>
        </w:rPr>
        <w:t xml:space="preserve"> </w:t>
      </w:r>
      <w:r w:rsidR="00352682" w:rsidRPr="00867F8A">
        <w:rPr>
          <w:lang w:val="en-GB"/>
        </w:rPr>
        <w:t>r</w:t>
      </w:r>
      <w:r w:rsidR="009F18EE" w:rsidRPr="00867F8A">
        <w:rPr>
          <w:lang w:val="en-GB"/>
        </w:rPr>
        <w:t>an</w:t>
      </w:r>
      <w:r w:rsidR="00352682" w:rsidRPr="00867F8A">
        <w:rPr>
          <w:lang w:val="en-GB"/>
        </w:rPr>
        <w:t xml:space="preserve"> an estimated </w:t>
      </w:r>
      <w:r w:rsidR="00E24460" w:rsidRPr="00867F8A">
        <w:rPr>
          <w:lang w:val="en-GB"/>
        </w:rPr>
        <w:t>US</w:t>
      </w:r>
      <w:r w:rsidR="00C36116" w:rsidRPr="00867F8A">
        <w:rPr>
          <w:lang w:val="en-GB"/>
        </w:rPr>
        <w:t>$</w:t>
      </w:r>
      <w:r w:rsidR="00E24460" w:rsidRPr="00867F8A">
        <w:rPr>
          <w:lang w:val="en-GB"/>
        </w:rPr>
        <w:t>66 billion</w:t>
      </w:r>
      <w:r w:rsidR="00520C00" w:rsidRPr="00867F8A">
        <w:rPr>
          <w:rStyle w:val="FootnoteReference"/>
          <w:lang w:val="en-GB"/>
        </w:rPr>
        <w:footnoteReference w:id="1"/>
      </w:r>
      <w:r w:rsidR="00E24460" w:rsidRPr="00867F8A">
        <w:rPr>
          <w:lang w:val="en-GB"/>
        </w:rPr>
        <w:t xml:space="preserve"> enterprise that provide</w:t>
      </w:r>
      <w:r w:rsidR="009F18EE" w:rsidRPr="00867F8A">
        <w:rPr>
          <w:lang w:val="en-GB"/>
        </w:rPr>
        <w:t>d</w:t>
      </w:r>
      <w:r w:rsidR="00E24460" w:rsidRPr="00867F8A">
        <w:rPr>
          <w:lang w:val="en-GB"/>
        </w:rPr>
        <w:t xml:space="preserve"> rides</w:t>
      </w:r>
      <w:r w:rsidR="0048757F" w:rsidRPr="00867F8A">
        <w:rPr>
          <w:lang w:val="en-GB"/>
        </w:rPr>
        <w:t>,</w:t>
      </w:r>
      <w:r w:rsidR="00E24460" w:rsidRPr="00867F8A">
        <w:rPr>
          <w:lang w:val="en-GB"/>
        </w:rPr>
        <w:t xml:space="preserve"> yet it own</w:t>
      </w:r>
      <w:r w:rsidR="009F18EE" w:rsidRPr="00867F8A">
        <w:rPr>
          <w:lang w:val="en-GB"/>
        </w:rPr>
        <w:t>ed</w:t>
      </w:r>
      <w:r w:rsidR="00E24460" w:rsidRPr="00867F8A">
        <w:rPr>
          <w:lang w:val="en-GB"/>
        </w:rPr>
        <w:t xml:space="preserve"> no cars. </w:t>
      </w:r>
      <w:r w:rsidR="002975D4" w:rsidRPr="00867F8A">
        <w:rPr>
          <w:lang w:val="en-GB"/>
        </w:rPr>
        <w:t>With</w:t>
      </w:r>
      <w:r w:rsidR="00E24460" w:rsidRPr="00867F8A">
        <w:rPr>
          <w:lang w:val="en-GB"/>
        </w:rPr>
        <w:t xml:space="preserve"> Gilt, Spotify, and </w:t>
      </w:r>
      <w:proofErr w:type="spellStart"/>
      <w:r w:rsidR="00E24460" w:rsidRPr="00867F8A">
        <w:rPr>
          <w:lang w:val="en-GB"/>
        </w:rPr>
        <w:t>Udacity</w:t>
      </w:r>
      <w:proofErr w:type="spellEnd"/>
      <w:r w:rsidR="00E24460" w:rsidRPr="00867F8A">
        <w:rPr>
          <w:lang w:val="en-GB"/>
        </w:rPr>
        <w:t xml:space="preserve"> </w:t>
      </w:r>
      <w:r w:rsidR="002975D4" w:rsidRPr="00867F8A">
        <w:rPr>
          <w:lang w:val="en-GB"/>
        </w:rPr>
        <w:t>also acting as</w:t>
      </w:r>
      <w:r w:rsidR="00E24460" w:rsidRPr="00867F8A">
        <w:rPr>
          <w:lang w:val="en-GB"/>
        </w:rPr>
        <w:t xml:space="preserve"> disruptors in other arenas</w:t>
      </w:r>
      <w:r w:rsidR="002975D4" w:rsidRPr="00867F8A">
        <w:rPr>
          <w:lang w:val="en-GB"/>
        </w:rPr>
        <w:t>,</w:t>
      </w:r>
      <w:r w:rsidR="00E24460" w:rsidRPr="00867F8A">
        <w:rPr>
          <w:lang w:val="en-GB"/>
        </w:rPr>
        <w:t xml:space="preserve"> </w:t>
      </w:r>
      <w:proofErr w:type="spellStart"/>
      <w:r w:rsidR="002975D4" w:rsidRPr="00867F8A">
        <w:rPr>
          <w:lang w:val="en-GB"/>
        </w:rPr>
        <w:t>Bech</w:t>
      </w:r>
      <w:proofErr w:type="spellEnd"/>
      <w:r w:rsidR="002975D4" w:rsidRPr="00867F8A">
        <w:rPr>
          <w:lang w:val="en-GB"/>
        </w:rPr>
        <w:t xml:space="preserve"> wondered how to add </w:t>
      </w:r>
      <w:r w:rsidR="00E24460" w:rsidRPr="00867F8A">
        <w:rPr>
          <w:lang w:val="en-GB"/>
        </w:rPr>
        <w:t xml:space="preserve">Raintree </w:t>
      </w:r>
      <w:r w:rsidR="002975D4" w:rsidRPr="00867F8A">
        <w:rPr>
          <w:lang w:val="en-GB"/>
        </w:rPr>
        <w:t>to</w:t>
      </w:r>
      <w:r w:rsidR="00E24460" w:rsidRPr="00867F8A">
        <w:rPr>
          <w:lang w:val="en-GB"/>
        </w:rPr>
        <w:t xml:space="preserve"> this list</w:t>
      </w:r>
      <w:r w:rsidR="002975D4" w:rsidRPr="00867F8A">
        <w:rPr>
          <w:lang w:val="en-GB"/>
        </w:rPr>
        <w:t>.</w:t>
      </w:r>
    </w:p>
    <w:p w14:paraId="792A7585" w14:textId="77777777" w:rsidR="00352682" w:rsidRPr="00867F8A" w:rsidRDefault="00352682" w:rsidP="00352682">
      <w:pPr>
        <w:pStyle w:val="BodyTextMain"/>
        <w:rPr>
          <w:lang w:val="en-GB"/>
        </w:rPr>
      </w:pPr>
    </w:p>
    <w:p w14:paraId="33C25A9B" w14:textId="56C5E2B0" w:rsidR="00E24460" w:rsidRPr="00867F8A" w:rsidRDefault="00E24460" w:rsidP="00352682">
      <w:pPr>
        <w:pStyle w:val="BodyTextMain"/>
        <w:rPr>
          <w:lang w:val="en-GB"/>
        </w:rPr>
      </w:pPr>
      <w:r w:rsidRPr="00867F8A">
        <w:rPr>
          <w:lang w:val="en-GB"/>
        </w:rPr>
        <w:t xml:space="preserve">While </w:t>
      </w:r>
      <w:proofErr w:type="spellStart"/>
      <w:r w:rsidR="008657DD" w:rsidRPr="00867F8A">
        <w:rPr>
          <w:lang w:val="en-GB"/>
        </w:rPr>
        <w:t>Bech</w:t>
      </w:r>
      <w:proofErr w:type="spellEnd"/>
      <w:r w:rsidR="008657DD" w:rsidRPr="00867F8A">
        <w:rPr>
          <w:lang w:val="en-GB"/>
        </w:rPr>
        <w:t xml:space="preserve"> </w:t>
      </w:r>
      <w:r w:rsidRPr="00867F8A">
        <w:rPr>
          <w:lang w:val="en-GB"/>
        </w:rPr>
        <w:t xml:space="preserve">respected the traditional strategy models </w:t>
      </w:r>
      <w:r w:rsidR="002975D4" w:rsidRPr="00867F8A">
        <w:rPr>
          <w:lang w:val="en-GB"/>
        </w:rPr>
        <w:t>(e.g., strengths, weaknesses, opportunities, and threats (</w:t>
      </w:r>
      <w:r w:rsidRPr="00867F8A">
        <w:rPr>
          <w:lang w:val="en-GB"/>
        </w:rPr>
        <w:t>SWOT</w:t>
      </w:r>
      <w:r w:rsidR="002975D4" w:rsidRPr="00867F8A">
        <w:rPr>
          <w:lang w:val="en-GB"/>
        </w:rPr>
        <w:t>)</w:t>
      </w:r>
      <w:r w:rsidRPr="00867F8A">
        <w:rPr>
          <w:lang w:val="en-GB"/>
        </w:rPr>
        <w:t xml:space="preserve"> </w:t>
      </w:r>
      <w:r w:rsidR="009F18EE" w:rsidRPr="00867F8A">
        <w:rPr>
          <w:lang w:val="en-GB"/>
        </w:rPr>
        <w:t>a</w:t>
      </w:r>
      <w:r w:rsidRPr="00867F8A">
        <w:rPr>
          <w:lang w:val="en-GB"/>
        </w:rPr>
        <w:t>nalysis,</w:t>
      </w:r>
      <w:r w:rsidR="002975D4" w:rsidRPr="00867F8A">
        <w:rPr>
          <w:lang w:val="en-GB"/>
        </w:rPr>
        <w:t xml:space="preserve"> </w:t>
      </w:r>
      <w:r w:rsidR="009F18EE" w:rsidRPr="00867F8A">
        <w:rPr>
          <w:lang w:val="en-GB"/>
        </w:rPr>
        <w:t>Porter’s Five</w:t>
      </w:r>
      <w:r w:rsidRPr="00867F8A">
        <w:rPr>
          <w:lang w:val="en-GB"/>
        </w:rPr>
        <w:t xml:space="preserve"> Forces, and Big Hairy Audacious Goals</w:t>
      </w:r>
      <w:r w:rsidR="002975D4" w:rsidRPr="00867F8A">
        <w:rPr>
          <w:lang w:val="en-GB"/>
        </w:rPr>
        <w:t>)</w:t>
      </w:r>
      <w:r w:rsidR="009F18EE" w:rsidRPr="00867F8A">
        <w:rPr>
          <w:lang w:val="en-GB"/>
        </w:rPr>
        <w:t>,</w:t>
      </w:r>
      <w:r w:rsidRPr="00867F8A">
        <w:rPr>
          <w:lang w:val="en-GB"/>
        </w:rPr>
        <w:t xml:space="preserve"> these </w:t>
      </w:r>
      <w:r w:rsidR="00ED723B" w:rsidRPr="00867F8A">
        <w:rPr>
          <w:lang w:val="en-GB"/>
        </w:rPr>
        <w:t xml:space="preserve">frameworks </w:t>
      </w:r>
      <w:r w:rsidRPr="00867F8A">
        <w:rPr>
          <w:lang w:val="en-GB"/>
        </w:rPr>
        <w:t xml:space="preserve">could only lead to incremental growth at best. In 1997, when the timeshare industry was in its infancy, </w:t>
      </w:r>
      <w:proofErr w:type="spellStart"/>
      <w:r w:rsidR="008657DD" w:rsidRPr="00867F8A">
        <w:rPr>
          <w:lang w:val="en-GB"/>
        </w:rPr>
        <w:t>Bech</w:t>
      </w:r>
      <w:proofErr w:type="spellEnd"/>
      <w:r w:rsidRPr="00867F8A">
        <w:rPr>
          <w:lang w:val="en-GB"/>
        </w:rPr>
        <w:t xml:space="preserve"> </w:t>
      </w:r>
      <w:r w:rsidR="00ED723B" w:rsidRPr="00867F8A">
        <w:rPr>
          <w:lang w:val="en-GB"/>
        </w:rPr>
        <w:t xml:space="preserve">had </w:t>
      </w:r>
      <w:r w:rsidRPr="00867F8A">
        <w:rPr>
          <w:lang w:val="en-GB"/>
        </w:rPr>
        <w:t xml:space="preserve">helped shape how customers interacted with properties to define their ever-evolving experience. </w:t>
      </w:r>
      <w:r w:rsidR="009F18EE" w:rsidRPr="00867F8A">
        <w:rPr>
          <w:lang w:val="en-GB"/>
        </w:rPr>
        <w:t xml:space="preserve">He found it </w:t>
      </w:r>
      <w:r w:rsidRPr="00867F8A">
        <w:rPr>
          <w:lang w:val="en-GB"/>
        </w:rPr>
        <w:t>energiz</w:t>
      </w:r>
      <w:r w:rsidR="009F18EE" w:rsidRPr="00867F8A">
        <w:rPr>
          <w:lang w:val="en-GB"/>
        </w:rPr>
        <w:t xml:space="preserve">ing </w:t>
      </w:r>
      <w:r w:rsidR="00141DA0" w:rsidRPr="00867F8A">
        <w:rPr>
          <w:lang w:val="en-GB"/>
        </w:rPr>
        <w:t xml:space="preserve">to think deeply about </w:t>
      </w:r>
      <w:r w:rsidRPr="00867F8A">
        <w:rPr>
          <w:lang w:val="en-GB"/>
        </w:rPr>
        <w:t>significant innovation.</w:t>
      </w:r>
    </w:p>
    <w:p w14:paraId="7F734DDC" w14:textId="77777777" w:rsidR="00352682" w:rsidRPr="00867F8A" w:rsidRDefault="00352682" w:rsidP="00352682">
      <w:pPr>
        <w:pStyle w:val="BodyTextMain"/>
        <w:rPr>
          <w:lang w:val="en-GB"/>
        </w:rPr>
      </w:pPr>
    </w:p>
    <w:p w14:paraId="421AB00C" w14:textId="254086A0" w:rsidR="00E24460" w:rsidRPr="00867F8A" w:rsidRDefault="00E24460" w:rsidP="00352682">
      <w:pPr>
        <w:pStyle w:val="BodyTextMain"/>
        <w:rPr>
          <w:lang w:val="en-GB"/>
        </w:rPr>
      </w:pPr>
      <w:r w:rsidRPr="00867F8A">
        <w:rPr>
          <w:lang w:val="en-GB"/>
        </w:rPr>
        <w:t xml:space="preserve">What this all meant </w:t>
      </w:r>
      <w:r w:rsidR="00115479" w:rsidRPr="00867F8A">
        <w:rPr>
          <w:lang w:val="en-GB"/>
        </w:rPr>
        <w:t>for Raintree</w:t>
      </w:r>
      <w:r w:rsidRPr="00867F8A">
        <w:rPr>
          <w:lang w:val="en-GB"/>
        </w:rPr>
        <w:t>, specifically, was yet to be determined.</w:t>
      </w:r>
      <w:r w:rsidR="00ED723B" w:rsidRPr="00867F8A">
        <w:rPr>
          <w:lang w:val="en-GB"/>
        </w:rPr>
        <w:t xml:space="preserve"> </w:t>
      </w:r>
      <w:r w:rsidRPr="00867F8A">
        <w:rPr>
          <w:lang w:val="en-GB"/>
        </w:rPr>
        <w:t xml:space="preserve">Raintree’s next move had to respond to the influence of technology </w:t>
      </w:r>
      <w:r w:rsidR="009609D2" w:rsidRPr="00867F8A">
        <w:rPr>
          <w:lang w:val="en-GB"/>
        </w:rPr>
        <w:t xml:space="preserve">in </w:t>
      </w:r>
      <w:r w:rsidRPr="00867F8A">
        <w:rPr>
          <w:lang w:val="en-GB"/>
        </w:rPr>
        <w:t>enabl</w:t>
      </w:r>
      <w:r w:rsidR="009609D2" w:rsidRPr="00867F8A">
        <w:rPr>
          <w:lang w:val="en-GB"/>
        </w:rPr>
        <w:t>ing</w:t>
      </w:r>
      <w:r w:rsidRPr="00867F8A">
        <w:rPr>
          <w:lang w:val="en-GB"/>
        </w:rPr>
        <w:t xml:space="preserve"> </w:t>
      </w:r>
      <w:r w:rsidR="009F18EE" w:rsidRPr="00867F8A">
        <w:rPr>
          <w:lang w:val="en-GB"/>
        </w:rPr>
        <w:t xml:space="preserve">a deeper </w:t>
      </w:r>
      <w:r w:rsidRPr="00867F8A">
        <w:rPr>
          <w:lang w:val="en-GB"/>
        </w:rPr>
        <w:t xml:space="preserve">experience </w:t>
      </w:r>
      <w:r w:rsidR="009609D2" w:rsidRPr="00867F8A">
        <w:rPr>
          <w:lang w:val="en-GB"/>
        </w:rPr>
        <w:t>for</w:t>
      </w:r>
      <w:r w:rsidRPr="00867F8A">
        <w:rPr>
          <w:lang w:val="en-GB"/>
        </w:rPr>
        <w:t xml:space="preserve"> a wider customer base. </w:t>
      </w:r>
      <w:proofErr w:type="spellStart"/>
      <w:r w:rsidR="00ED723B" w:rsidRPr="00867F8A">
        <w:rPr>
          <w:lang w:val="en-GB"/>
        </w:rPr>
        <w:t>Bech</w:t>
      </w:r>
      <w:proofErr w:type="spellEnd"/>
      <w:r w:rsidRPr="00867F8A">
        <w:rPr>
          <w:lang w:val="en-GB"/>
        </w:rPr>
        <w:t xml:space="preserve"> was intrigued by the prospect of being able to identify and pursue undeveloped or underdeveloped niches in the hospitality market space, perhaps in the geographic area of the </w:t>
      </w:r>
      <w:r w:rsidR="00115479" w:rsidRPr="00867F8A">
        <w:rPr>
          <w:lang w:val="en-GB"/>
        </w:rPr>
        <w:t xml:space="preserve">company’s </w:t>
      </w:r>
      <w:r w:rsidRPr="00867F8A">
        <w:rPr>
          <w:lang w:val="en-GB"/>
        </w:rPr>
        <w:t xml:space="preserve">existing portfolio in the United States, Mexico, and Canada. </w:t>
      </w:r>
    </w:p>
    <w:p w14:paraId="58B2FE66" w14:textId="77777777" w:rsidR="0048757F" w:rsidRPr="00867F8A" w:rsidRDefault="0048757F" w:rsidP="00352682">
      <w:pPr>
        <w:pStyle w:val="BodyTextMain"/>
        <w:rPr>
          <w:lang w:val="en-GB"/>
        </w:rPr>
      </w:pPr>
    </w:p>
    <w:p w14:paraId="771C4CAD" w14:textId="1C931DBA" w:rsidR="00E24460" w:rsidRPr="00867F8A" w:rsidRDefault="00171DE6">
      <w:pPr>
        <w:pStyle w:val="Casehead1"/>
        <w:rPr>
          <w:lang w:val="en-GB"/>
        </w:rPr>
      </w:pPr>
      <w:r w:rsidRPr="00867F8A">
        <w:rPr>
          <w:lang w:val="en-GB"/>
        </w:rPr>
        <w:lastRenderedPageBreak/>
        <w:t xml:space="preserve">company </w:t>
      </w:r>
      <w:r w:rsidR="00E24460" w:rsidRPr="00867F8A">
        <w:rPr>
          <w:lang w:val="en-GB"/>
        </w:rPr>
        <w:t>Mission</w:t>
      </w:r>
    </w:p>
    <w:p w14:paraId="13B67BF1" w14:textId="77777777" w:rsidR="00E24460" w:rsidRPr="00867F8A" w:rsidRDefault="00E24460" w:rsidP="00E24460">
      <w:pPr>
        <w:pStyle w:val="Casehead1"/>
        <w:rPr>
          <w:lang w:val="en-GB"/>
        </w:rPr>
      </w:pPr>
    </w:p>
    <w:p w14:paraId="5ABD8006" w14:textId="37797A66" w:rsidR="00E24460" w:rsidRPr="00867F8A" w:rsidRDefault="00E24460" w:rsidP="00E24460">
      <w:pPr>
        <w:pStyle w:val="BodyTextMain"/>
        <w:rPr>
          <w:lang w:val="en-GB"/>
        </w:rPr>
      </w:pPr>
      <w:r w:rsidRPr="00867F8A">
        <w:rPr>
          <w:lang w:val="en-GB"/>
        </w:rPr>
        <w:t>Raintree</w:t>
      </w:r>
      <w:r w:rsidR="00E72122" w:rsidRPr="00867F8A">
        <w:rPr>
          <w:lang w:val="en-GB"/>
        </w:rPr>
        <w:t xml:space="preserve"> </w:t>
      </w:r>
      <w:r w:rsidRPr="00867F8A">
        <w:rPr>
          <w:lang w:val="en-GB"/>
        </w:rPr>
        <w:t>was the premier provider of innovative and flexible multi-resort timeshare and private residence club accommodations in the United States, Mexico, and Canada. Focus</w:t>
      </w:r>
      <w:r w:rsidR="00AF6965" w:rsidRPr="00867F8A">
        <w:rPr>
          <w:lang w:val="en-GB"/>
        </w:rPr>
        <w:t>ed</w:t>
      </w:r>
      <w:r w:rsidRPr="00867F8A">
        <w:rPr>
          <w:lang w:val="en-GB"/>
        </w:rPr>
        <w:t xml:space="preserve"> on creating extraordinary experiences for vacationers, Raintree was in the business of building assets with the sole purpose of supporting the customer. </w:t>
      </w:r>
      <w:r w:rsidR="00ED723B" w:rsidRPr="00867F8A">
        <w:rPr>
          <w:lang w:val="en-GB"/>
        </w:rPr>
        <w:t>T</w:t>
      </w:r>
      <w:r w:rsidRPr="00867F8A">
        <w:rPr>
          <w:lang w:val="en-GB"/>
        </w:rPr>
        <w:t>he ever-changing customer needs and wants from a vacation experience</w:t>
      </w:r>
      <w:r w:rsidR="00ED723B" w:rsidRPr="00867F8A">
        <w:rPr>
          <w:lang w:val="en-GB"/>
        </w:rPr>
        <w:t>—</w:t>
      </w:r>
      <w:r w:rsidRPr="00867F8A">
        <w:rPr>
          <w:lang w:val="en-GB"/>
        </w:rPr>
        <w:t>and the ensuing communication with current and future customers</w:t>
      </w:r>
      <w:r w:rsidR="00ED723B" w:rsidRPr="00867F8A">
        <w:rPr>
          <w:lang w:val="en-GB"/>
        </w:rPr>
        <w:t>—</w:t>
      </w:r>
      <w:r w:rsidRPr="00867F8A">
        <w:rPr>
          <w:lang w:val="en-GB"/>
        </w:rPr>
        <w:t xml:space="preserve">defined how Raintree engaged </w:t>
      </w:r>
      <w:r w:rsidR="0048757F" w:rsidRPr="00867F8A">
        <w:rPr>
          <w:lang w:val="en-GB"/>
        </w:rPr>
        <w:t>its</w:t>
      </w:r>
      <w:r w:rsidRPr="00867F8A">
        <w:rPr>
          <w:lang w:val="en-GB"/>
        </w:rPr>
        <w:t xml:space="preserve"> asset base.</w:t>
      </w:r>
    </w:p>
    <w:p w14:paraId="32E55E37" w14:textId="77777777" w:rsidR="00E24460" w:rsidRPr="00867F8A" w:rsidRDefault="00E24460" w:rsidP="00E24460">
      <w:pPr>
        <w:pStyle w:val="BodyTextMain"/>
        <w:rPr>
          <w:lang w:val="en-GB"/>
        </w:rPr>
      </w:pPr>
    </w:p>
    <w:p w14:paraId="245C3D5F" w14:textId="7079032B" w:rsidR="00E24460" w:rsidRPr="00867F8A" w:rsidRDefault="00E24460" w:rsidP="00E24460">
      <w:pPr>
        <w:pStyle w:val="BodyTextMain"/>
        <w:rPr>
          <w:lang w:val="en-GB"/>
        </w:rPr>
      </w:pPr>
      <w:r w:rsidRPr="00867F8A">
        <w:rPr>
          <w:lang w:val="en-GB"/>
        </w:rPr>
        <w:t xml:space="preserve">Since 1997, Raintree </w:t>
      </w:r>
      <w:r w:rsidR="0048757F" w:rsidRPr="00867F8A">
        <w:rPr>
          <w:lang w:val="en-GB"/>
        </w:rPr>
        <w:t xml:space="preserve">had </w:t>
      </w:r>
      <w:r w:rsidR="009609D2" w:rsidRPr="00867F8A">
        <w:rPr>
          <w:lang w:val="en-GB"/>
        </w:rPr>
        <w:t>stuck</w:t>
      </w:r>
      <w:r w:rsidRPr="00867F8A">
        <w:rPr>
          <w:lang w:val="en-GB"/>
        </w:rPr>
        <w:t xml:space="preserve"> closely</w:t>
      </w:r>
      <w:r w:rsidR="009609D2" w:rsidRPr="00867F8A">
        <w:rPr>
          <w:lang w:val="en-GB"/>
        </w:rPr>
        <w:t xml:space="preserve"> to</w:t>
      </w:r>
      <w:r w:rsidRPr="00867F8A">
        <w:rPr>
          <w:lang w:val="en-GB"/>
        </w:rPr>
        <w:t xml:space="preserve"> the theme “Making Vacations Memorable.” Having a portfolio of 15 resorts (as of March 2017), each in </w:t>
      </w:r>
      <w:r w:rsidR="0048757F" w:rsidRPr="00867F8A">
        <w:rPr>
          <w:lang w:val="en-GB"/>
        </w:rPr>
        <w:t xml:space="preserve">an </w:t>
      </w:r>
      <w:r w:rsidRPr="00867F8A">
        <w:rPr>
          <w:lang w:val="en-GB"/>
        </w:rPr>
        <w:t xml:space="preserve">extraordinary destination, made Raintree a leader in the timeshare industry. This collection of properties offered Raintree members a unique blend of club, resort, and hotel-style hospitality. </w:t>
      </w:r>
      <w:r w:rsidR="00ED723B" w:rsidRPr="00867F8A">
        <w:rPr>
          <w:lang w:val="en-GB"/>
        </w:rPr>
        <w:t>Raintree</w:t>
      </w:r>
      <w:r w:rsidRPr="00867F8A">
        <w:rPr>
          <w:lang w:val="en-GB"/>
        </w:rPr>
        <w:t xml:space="preserve"> acquired properties that balanced local flavo</w:t>
      </w:r>
      <w:r w:rsidR="00FF48A2" w:rsidRPr="00867F8A">
        <w:rPr>
          <w:lang w:val="en-GB"/>
        </w:rPr>
        <w:t>u</w:t>
      </w:r>
      <w:r w:rsidRPr="00867F8A">
        <w:rPr>
          <w:lang w:val="en-GB"/>
        </w:rPr>
        <w:t xml:space="preserve">r and natural beauty, enabling </w:t>
      </w:r>
      <w:r w:rsidR="00ED723B" w:rsidRPr="00867F8A">
        <w:rPr>
          <w:lang w:val="en-GB"/>
        </w:rPr>
        <w:t xml:space="preserve">it </w:t>
      </w:r>
      <w:r w:rsidRPr="00867F8A">
        <w:rPr>
          <w:lang w:val="en-GB"/>
        </w:rPr>
        <w:t>to create a “top</w:t>
      </w:r>
      <w:r w:rsidR="00ED723B" w:rsidRPr="00867F8A">
        <w:rPr>
          <w:lang w:val="en-GB"/>
        </w:rPr>
        <w:t>-</w:t>
      </w:r>
      <w:r w:rsidRPr="00867F8A">
        <w:rPr>
          <w:lang w:val="en-GB"/>
        </w:rPr>
        <w:t>shelf” vacation experience.</w:t>
      </w:r>
    </w:p>
    <w:p w14:paraId="01AB33BE" w14:textId="77777777" w:rsidR="00E24460" w:rsidRPr="00867F8A" w:rsidRDefault="00E24460" w:rsidP="00E24460">
      <w:pPr>
        <w:pStyle w:val="BodyTextMain"/>
        <w:rPr>
          <w:lang w:val="en-GB"/>
        </w:rPr>
      </w:pPr>
    </w:p>
    <w:p w14:paraId="1FECA56A" w14:textId="77777777" w:rsidR="00E24460" w:rsidRPr="00867F8A" w:rsidRDefault="00E24460" w:rsidP="00E24460">
      <w:pPr>
        <w:pStyle w:val="BodyTextMain"/>
        <w:rPr>
          <w:lang w:val="en-GB"/>
        </w:rPr>
      </w:pPr>
    </w:p>
    <w:p w14:paraId="6BF04F46" w14:textId="53BFE10E" w:rsidR="00E24460" w:rsidRPr="00867F8A" w:rsidRDefault="00171DE6" w:rsidP="00143496">
      <w:pPr>
        <w:pStyle w:val="Casehead1"/>
        <w:rPr>
          <w:lang w:val="en-GB"/>
        </w:rPr>
      </w:pPr>
      <w:r w:rsidRPr="00867F8A">
        <w:rPr>
          <w:lang w:val="en-GB"/>
        </w:rPr>
        <w:t xml:space="preserve">company </w:t>
      </w:r>
      <w:r w:rsidR="00E24460" w:rsidRPr="00867F8A">
        <w:rPr>
          <w:lang w:val="en-GB"/>
        </w:rPr>
        <w:t>History</w:t>
      </w:r>
    </w:p>
    <w:p w14:paraId="7D1E2D42" w14:textId="77777777" w:rsidR="00E24460" w:rsidRPr="00867F8A" w:rsidRDefault="00E24460" w:rsidP="00E24460">
      <w:pPr>
        <w:pStyle w:val="Casehead2"/>
        <w:rPr>
          <w:lang w:val="en-GB"/>
        </w:rPr>
      </w:pPr>
    </w:p>
    <w:p w14:paraId="7C2A815E" w14:textId="5039E0C2" w:rsidR="00AE77AE" w:rsidRPr="00867F8A" w:rsidRDefault="00E24460" w:rsidP="00E24460">
      <w:pPr>
        <w:pStyle w:val="BodyTextMain"/>
        <w:rPr>
          <w:lang w:val="en-GB"/>
        </w:rPr>
      </w:pPr>
      <w:r w:rsidRPr="00867F8A">
        <w:rPr>
          <w:lang w:val="en-GB"/>
        </w:rPr>
        <w:t>Raintree’s interest in the vacation ownership industry began in 1997</w:t>
      </w:r>
      <w:r w:rsidR="00E4273F" w:rsidRPr="00867F8A">
        <w:rPr>
          <w:lang w:val="en-GB"/>
        </w:rPr>
        <w:t>,</w:t>
      </w:r>
      <w:r w:rsidRPr="00867F8A">
        <w:rPr>
          <w:lang w:val="en-GB"/>
        </w:rPr>
        <w:t xml:space="preserve"> </w:t>
      </w:r>
      <w:r w:rsidR="00457CBA" w:rsidRPr="00867F8A">
        <w:rPr>
          <w:lang w:val="en-GB"/>
        </w:rPr>
        <w:t xml:space="preserve">when it </w:t>
      </w:r>
      <w:r w:rsidRPr="00867F8A">
        <w:rPr>
          <w:lang w:val="en-GB"/>
        </w:rPr>
        <w:t>acqui</w:t>
      </w:r>
      <w:r w:rsidR="00457CBA" w:rsidRPr="00867F8A">
        <w:rPr>
          <w:lang w:val="en-GB"/>
        </w:rPr>
        <w:t xml:space="preserve">red </w:t>
      </w:r>
      <w:r w:rsidRPr="00867F8A">
        <w:rPr>
          <w:lang w:val="en-GB"/>
        </w:rPr>
        <w:t xml:space="preserve">the tourism division of </w:t>
      </w:r>
      <w:proofErr w:type="spellStart"/>
      <w:r w:rsidRPr="00867F8A">
        <w:rPr>
          <w:lang w:val="en-GB"/>
        </w:rPr>
        <w:t>Bancomer</w:t>
      </w:r>
      <w:proofErr w:type="spellEnd"/>
      <w:r w:rsidRPr="00867F8A">
        <w:rPr>
          <w:lang w:val="en-GB"/>
        </w:rPr>
        <w:t xml:space="preserve"> (see Exhibit 1). This </w:t>
      </w:r>
      <w:r w:rsidR="00AE77AE" w:rsidRPr="00867F8A">
        <w:rPr>
          <w:lang w:val="en-GB"/>
        </w:rPr>
        <w:t xml:space="preserve">division </w:t>
      </w:r>
      <w:r w:rsidRPr="00867F8A">
        <w:rPr>
          <w:lang w:val="en-GB"/>
        </w:rPr>
        <w:t>included three resorts in Mexico</w:t>
      </w:r>
      <w:r w:rsidR="00171DE6" w:rsidRPr="00867F8A">
        <w:rPr>
          <w:lang w:val="en-GB"/>
        </w:rPr>
        <w:t>—</w:t>
      </w:r>
      <w:r w:rsidR="00AE77AE" w:rsidRPr="00867F8A">
        <w:rPr>
          <w:lang w:val="en-GB"/>
        </w:rPr>
        <w:t xml:space="preserve">in </w:t>
      </w:r>
      <w:r w:rsidRPr="00867F8A">
        <w:rPr>
          <w:lang w:val="en-GB"/>
        </w:rPr>
        <w:t xml:space="preserve">Cancun, Puerto Vallarta, and Los Cabos. </w:t>
      </w:r>
      <w:r w:rsidR="00AE77AE" w:rsidRPr="00867F8A">
        <w:rPr>
          <w:lang w:val="en-GB"/>
        </w:rPr>
        <w:t>To f</w:t>
      </w:r>
      <w:r w:rsidRPr="00867F8A">
        <w:rPr>
          <w:lang w:val="en-GB"/>
        </w:rPr>
        <w:t>oster growth, Raintree implemented an aggressive</w:t>
      </w:r>
      <w:r w:rsidR="00AE77AE" w:rsidRPr="00867F8A">
        <w:rPr>
          <w:lang w:val="en-GB"/>
        </w:rPr>
        <w:t xml:space="preserve"> </w:t>
      </w:r>
      <w:r w:rsidRPr="00867F8A">
        <w:rPr>
          <w:lang w:val="en-GB"/>
        </w:rPr>
        <w:t xml:space="preserve">expansion plan </w:t>
      </w:r>
      <w:r w:rsidR="00AE77AE" w:rsidRPr="00867F8A">
        <w:rPr>
          <w:lang w:val="en-GB"/>
        </w:rPr>
        <w:t xml:space="preserve">by </w:t>
      </w:r>
      <w:r w:rsidRPr="00867F8A">
        <w:rPr>
          <w:lang w:val="en-GB"/>
        </w:rPr>
        <w:t>acqui</w:t>
      </w:r>
      <w:r w:rsidR="00AE77AE" w:rsidRPr="00867F8A">
        <w:rPr>
          <w:lang w:val="en-GB"/>
        </w:rPr>
        <w:t xml:space="preserve">ring </w:t>
      </w:r>
      <w:r w:rsidRPr="00867F8A">
        <w:rPr>
          <w:lang w:val="en-GB"/>
        </w:rPr>
        <w:t>a hotel in Acapulco and a vacation ownership company in Whistler, British Columbia</w:t>
      </w:r>
      <w:r w:rsidR="00892E75" w:rsidRPr="00867F8A">
        <w:rPr>
          <w:lang w:val="en-GB"/>
        </w:rPr>
        <w:t xml:space="preserve">, </w:t>
      </w:r>
      <w:proofErr w:type="gramStart"/>
      <w:r w:rsidR="00892E75" w:rsidRPr="00867F8A">
        <w:rPr>
          <w:lang w:val="en-GB"/>
        </w:rPr>
        <w:t>Canada</w:t>
      </w:r>
      <w:proofErr w:type="gramEnd"/>
      <w:r w:rsidRPr="00867F8A">
        <w:rPr>
          <w:lang w:val="en-GB"/>
        </w:rPr>
        <w:t xml:space="preserve">. This </w:t>
      </w:r>
      <w:r w:rsidR="00AE77AE" w:rsidRPr="00867F8A">
        <w:rPr>
          <w:lang w:val="en-GB"/>
        </w:rPr>
        <w:t xml:space="preserve">expansion </w:t>
      </w:r>
      <w:r w:rsidRPr="00867F8A">
        <w:rPr>
          <w:lang w:val="en-GB"/>
        </w:rPr>
        <w:t>was followed by new developments and further acquisitions of unfinished or distressed properties</w:t>
      </w:r>
      <w:r w:rsidR="00AE77AE" w:rsidRPr="00867F8A">
        <w:rPr>
          <w:lang w:val="en-GB"/>
        </w:rPr>
        <w:t xml:space="preserve">. </w:t>
      </w:r>
    </w:p>
    <w:p w14:paraId="16645A5C" w14:textId="77777777" w:rsidR="00AE77AE" w:rsidRPr="00867F8A" w:rsidRDefault="00AE77AE" w:rsidP="00E24460">
      <w:pPr>
        <w:pStyle w:val="BodyTextMain"/>
        <w:rPr>
          <w:lang w:val="en-GB"/>
        </w:rPr>
      </w:pPr>
    </w:p>
    <w:p w14:paraId="09BB2E7F" w14:textId="63696809" w:rsidR="00E24460" w:rsidRPr="00867F8A" w:rsidRDefault="00AE77AE" w:rsidP="00E24460">
      <w:pPr>
        <w:pStyle w:val="BodyTextMain"/>
        <w:rPr>
          <w:lang w:val="en-GB"/>
        </w:rPr>
      </w:pPr>
      <w:r w:rsidRPr="00867F8A">
        <w:rPr>
          <w:lang w:val="en-GB"/>
        </w:rPr>
        <w:t xml:space="preserve">By the end of 2008, </w:t>
      </w:r>
      <w:r w:rsidR="00E24460" w:rsidRPr="00867F8A">
        <w:rPr>
          <w:lang w:val="en-GB"/>
        </w:rPr>
        <w:t xml:space="preserve">Raintree </w:t>
      </w:r>
      <w:r w:rsidRPr="00867F8A">
        <w:rPr>
          <w:lang w:val="en-GB"/>
        </w:rPr>
        <w:t xml:space="preserve">had 22 </w:t>
      </w:r>
      <w:r w:rsidR="00E24460" w:rsidRPr="00867F8A">
        <w:rPr>
          <w:lang w:val="en-GB"/>
        </w:rPr>
        <w:t xml:space="preserve">properties in 18 destinations, including </w:t>
      </w:r>
      <w:r w:rsidRPr="00867F8A">
        <w:rPr>
          <w:lang w:val="en-GB"/>
        </w:rPr>
        <w:t xml:space="preserve">seven </w:t>
      </w:r>
      <w:r w:rsidR="00E24460" w:rsidRPr="00867F8A">
        <w:rPr>
          <w:lang w:val="en-GB"/>
        </w:rPr>
        <w:t xml:space="preserve">in Mexico, 10 in the </w:t>
      </w:r>
      <w:r w:rsidR="00E4273F" w:rsidRPr="00867F8A">
        <w:rPr>
          <w:lang w:val="en-GB"/>
        </w:rPr>
        <w:t>W</w:t>
      </w:r>
      <w:r w:rsidR="00E24460" w:rsidRPr="00867F8A">
        <w:rPr>
          <w:lang w:val="en-GB"/>
        </w:rPr>
        <w:t xml:space="preserve">estern United States, and </w:t>
      </w:r>
      <w:r w:rsidRPr="00867F8A">
        <w:rPr>
          <w:lang w:val="en-GB"/>
        </w:rPr>
        <w:t>one</w:t>
      </w:r>
      <w:r w:rsidR="00E24460" w:rsidRPr="00867F8A">
        <w:rPr>
          <w:lang w:val="en-GB"/>
        </w:rPr>
        <w:t xml:space="preserve"> in Canada. At that point, </w:t>
      </w:r>
      <w:r w:rsidR="00E4273F" w:rsidRPr="00867F8A">
        <w:rPr>
          <w:lang w:val="en-GB"/>
        </w:rPr>
        <w:t>the company</w:t>
      </w:r>
      <w:r w:rsidR="00E24460" w:rsidRPr="00867F8A">
        <w:rPr>
          <w:lang w:val="en-GB"/>
        </w:rPr>
        <w:t xml:space="preserve"> reported an annual sales volume of </w:t>
      </w:r>
      <w:r w:rsidR="00171DE6" w:rsidRPr="00867F8A">
        <w:rPr>
          <w:lang w:val="en-GB"/>
        </w:rPr>
        <w:t>$</w:t>
      </w:r>
      <w:r w:rsidR="00E24460" w:rsidRPr="00867F8A">
        <w:rPr>
          <w:lang w:val="en-GB"/>
        </w:rPr>
        <w:t>60 million or more per year</w:t>
      </w:r>
      <w:r w:rsidR="00457CBA" w:rsidRPr="00867F8A">
        <w:rPr>
          <w:lang w:val="en-GB"/>
        </w:rPr>
        <w:t xml:space="preserve">. </w:t>
      </w:r>
      <w:r w:rsidR="00892E75" w:rsidRPr="00867F8A">
        <w:rPr>
          <w:lang w:val="en-GB"/>
        </w:rPr>
        <w:t>Th</w:t>
      </w:r>
      <w:r w:rsidRPr="00867F8A">
        <w:rPr>
          <w:lang w:val="en-GB"/>
        </w:rPr>
        <w:t>is</w:t>
      </w:r>
      <w:r w:rsidR="00E24460" w:rsidRPr="00867F8A">
        <w:rPr>
          <w:lang w:val="en-GB"/>
        </w:rPr>
        <w:t xml:space="preserve"> </w:t>
      </w:r>
      <w:r w:rsidRPr="00867F8A">
        <w:rPr>
          <w:lang w:val="en-GB"/>
        </w:rPr>
        <w:t xml:space="preserve">volume </w:t>
      </w:r>
      <w:r w:rsidR="00E24460" w:rsidRPr="00867F8A">
        <w:rPr>
          <w:lang w:val="en-GB"/>
        </w:rPr>
        <w:t xml:space="preserve">dropped to </w:t>
      </w:r>
      <w:r w:rsidR="00171DE6" w:rsidRPr="00867F8A">
        <w:rPr>
          <w:lang w:val="en-GB"/>
        </w:rPr>
        <w:t>$</w:t>
      </w:r>
      <w:r w:rsidR="00E24460" w:rsidRPr="00867F8A">
        <w:rPr>
          <w:lang w:val="en-GB"/>
        </w:rPr>
        <w:t>5 million per year by 2012</w:t>
      </w:r>
      <w:r w:rsidR="00E4273F" w:rsidRPr="00867F8A">
        <w:rPr>
          <w:lang w:val="en-GB"/>
        </w:rPr>
        <w:t>,</w:t>
      </w:r>
      <w:r w:rsidR="00457CBA" w:rsidRPr="00867F8A">
        <w:rPr>
          <w:lang w:val="en-GB"/>
        </w:rPr>
        <w:t xml:space="preserve"> </w:t>
      </w:r>
      <w:r w:rsidR="00E24460" w:rsidRPr="00867F8A">
        <w:rPr>
          <w:lang w:val="en-GB"/>
        </w:rPr>
        <w:t>due to the</w:t>
      </w:r>
      <w:r w:rsidR="009609D2" w:rsidRPr="00867F8A">
        <w:rPr>
          <w:lang w:val="en-GB"/>
        </w:rPr>
        <w:t xml:space="preserve"> global</w:t>
      </w:r>
      <w:r w:rsidR="00E24460" w:rsidRPr="00867F8A">
        <w:rPr>
          <w:lang w:val="en-GB"/>
        </w:rPr>
        <w:t xml:space="preserve"> recession and, in Mexico, tourism concerns </w:t>
      </w:r>
      <w:r w:rsidRPr="00867F8A">
        <w:rPr>
          <w:lang w:val="en-GB"/>
        </w:rPr>
        <w:t xml:space="preserve">about </w:t>
      </w:r>
      <w:r w:rsidR="00E24460" w:rsidRPr="00867F8A">
        <w:rPr>
          <w:lang w:val="en-GB"/>
        </w:rPr>
        <w:t xml:space="preserve">drug trafficking violence. Revenues persisted at this level through 2014. By then, Raintree </w:t>
      </w:r>
      <w:r w:rsidR="00457CBA" w:rsidRPr="00867F8A">
        <w:rPr>
          <w:lang w:val="en-GB"/>
        </w:rPr>
        <w:t>was</w:t>
      </w:r>
      <w:r w:rsidR="00E24460" w:rsidRPr="00867F8A">
        <w:rPr>
          <w:lang w:val="en-GB"/>
        </w:rPr>
        <w:t xml:space="preserve"> able to sell </w:t>
      </w:r>
      <w:r w:rsidRPr="00867F8A">
        <w:rPr>
          <w:lang w:val="en-GB"/>
        </w:rPr>
        <w:t>four</w:t>
      </w:r>
      <w:r w:rsidR="00E24460" w:rsidRPr="00867F8A">
        <w:rPr>
          <w:lang w:val="en-GB"/>
        </w:rPr>
        <w:t xml:space="preserve"> locations in Mexico and interest in </w:t>
      </w:r>
      <w:r w:rsidRPr="00867F8A">
        <w:rPr>
          <w:lang w:val="en-GB"/>
        </w:rPr>
        <w:t>three</w:t>
      </w:r>
      <w:r w:rsidR="00E24460" w:rsidRPr="00867F8A">
        <w:rPr>
          <w:lang w:val="en-GB"/>
        </w:rPr>
        <w:t xml:space="preserve"> of its U.S. properties without materially reducing management fee income</w:t>
      </w:r>
      <w:r w:rsidR="007F1829" w:rsidRPr="00867F8A">
        <w:rPr>
          <w:lang w:val="en-GB"/>
        </w:rPr>
        <w:t>. I</w:t>
      </w:r>
      <w:r w:rsidR="00E24460" w:rsidRPr="00867F8A">
        <w:rPr>
          <w:lang w:val="en-GB"/>
        </w:rPr>
        <w:t xml:space="preserve">n 2015, </w:t>
      </w:r>
      <w:r w:rsidR="007F1829" w:rsidRPr="00867F8A">
        <w:rPr>
          <w:lang w:val="en-GB"/>
        </w:rPr>
        <w:t xml:space="preserve">the company </w:t>
      </w:r>
      <w:r w:rsidR="00E24460" w:rsidRPr="00867F8A">
        <w:rPr>
          <w:lang w:val="en-GB"/>
        </w:rPr>
        <w:t xml:space="preserve">began to resume sales of timeshare products. By 2016, sales volume was close to </w:t>
      </w:r>
      <w:r w:rsidR="00171DE6" w:rsidRPr="00867F8A">
        <w:rPr>
          <w:lang w:val="en-GB"/>
        </w:rPr>
        <w:t>$</w:t>
      </w:r>
      <w:r w:rsidR="00E24460" w:rsidRPr="00867F8A">
        <w:rPr>
          <w:lang w:val="en-GB"/>
        </w:rPr>
        <w:t xml:space="preserve">10 million and expected to be </w:t>
      </w:r>
      <w:r w:rsidR="00171DE6" w:rsidRPr="00867F8A">
        <w:rPr>
          <w:lang w:val="en-GB"/>
        </w:rPr>
        <w:t>$</w:t>
      </w:r>
      <w:r w:rsidR="00E24460" w:rsidRPr="00867F8A">
        <w:rPr>
          <w:lang w:val="en-GB"/>
        </w:rPr>
        <w:t>24 million in 2017</w:t>
      </w:r>
      <w:r w:rsidRPr="00867F8A">
        <w:rPr>
          <w:lang w:val="en-GB"/>
        </w:rPr>
        <w:t>,</w:t>
      </w:r>
      <w:r w:rsidR="00E24460" w:rsidRPr="00867F8A">
        <w:rPr>
          <w:lang w:val="en-GB"/>
        </w:rPr>
        <w:t xml:space="preserve"> with a membership base of 27,000 members</w:t>
      </w:r>
      <w:r w:rsidR="007F1829" w:rsidRPr="00867F8A">
        <w:rPr>
          <w:lang w:val="en-GB"/>
        </w:rPr>
        <w:t>. A</w:t>
      </w:r>
      <w:r w:rsidR="00E24460" w:rsidRPr="00867F8A">
        <w:rPr>
          <w:lang w:val="en-GB"/>
        </w:rPr>
        <w:t xml:space="preserve">pproximately 64 </w:t>
      </w:r>
      <w:r w:rsidR="00171DE6" w:rsidRPr="00867F8A">
        <w:rPr>
          <w:lang w:val="en-GB"/>
        </w:rPr>
        <w:t>per cent</w:t>
      </w:r>
      <w:r w:rsidR="00E24460" w:rsidRPr="00867F8A">
        <w:rPr>
          <w:lang w:val="en-GB"/>
        </w:rPr>
        <w:t xml:space="preserve"> </w:t>
      </w:r>
      <w:r w:rsidR="007F1829" w:rsidRPr="00867F8A">
        <w:rPr>
          <w:lang w:val="en-GB"/>
        </w:rPr>
        <w:t xml:space="preserve">of members </w:t>
      </w:r>
      <w:r w:rsidR="005D7B7F" w:rsidRPr="00867F8A">
        <w:rPr>
          <w:lang w:val="en-GB"/>
        </w:rPr>
        <w:t xml:space="preserve">were </w:t>
      </w:r>
      <w:r w:rsidR="00E24460" w:rsidRPr="00867F8A">
        <w:rPr>
          <w:lang w:val="en-GB"/>
        </w:rPr>
        <w:t>American</w:t>
      </w:r>
      <w:r w:rsidR="007F1829" w:rsidRPr="00867F8A">
        <w:rPr>
          <w:lang w:val="en-GB"/>
        </w:rPr>
        <w:t xml:space="preserve">, </w:t>
      </w:r>
      <w:r w:rsidR="00E24460" w:rsidRPr="00867F8A">
        <w:rPr>
          <w:lang w:val="en-GB"/>
        </w:rPr>
        <w:t xml:space="preserve">31 </w:t>
      </w:r>
      <w:r w:rsidR="00171DE6" w:rsidRPr="00867F8A">
        <w:rPr>
          <w:lang w:val="en-GB"/>
        </w:rPr>
        <w:t>per cent</w:t>
      </w:r>
      <w:r w:rsidR="00E24460" w:rsidRPr="00867F8A">
        <w:rPr>
          <w:lang w:val="en-GB"/>
        </w:rPr>
        <w:t xml:space="preserve"> </w:t>
      </w:r>
      <w:r w:rsidR="005D7B7F" w:rsidRPr="00867F8A">
        <w:rPr>
          <w:lang w:val="en-GB"/>
        </w:rPr>
        <w:t xml:space="preserve">were </w:t>
      </w:r>
      <w:r w:rsidR="00E24460" w:rsidRPr="00867F8A">
        <w:rPr>
          <w:lang w:val="en-GB"/>
        </w:rPr>
        <w:t xml:space="preserve">Mexican, 4 </w:t>
      </w:r>
      <w:r w:rsidR="00171DE6" w:rsidRPr="00867F8A">
        <w:rPr>
          <w:lang w:val="en-GB"/>
        </w:rPr>
        <w:t>per cent</w:t>
      </w:r>
      <w:r w:rsidR="00E24460" w:rsidRPr="00867F8A">
        <w:rPr>
          <w:lang w:val="en-GB"/>
        </w:rPr>
        <w:t xml:space="preserve"> </w:t>
      </w:r>
      <w:r w:rsidR="00E4273F" w:rsidRPr="00867F8A">
        <w:rPr>
          <w:lang w:val="en-GB"/>
        </w:rPr>
        <w:t xml:space="preserve">were </w:t>
      </w:r>
      <w:r w:rsidR="00E24460" w:rsidRPr="00867F8A">
        <w:rPr>
          <w:lang w:val="en-GB"/>
        </w:rPr>
        <w:t xml:space="preserve">Canadian, and 1 </w:t>
      </w:r>
      <w:r w:rsidR="00171DE6" w:rsidRPr="00867F8A">
        <w:rPr>
          <w:lang w:val="en-GB"/>
        </w:rPr>
        <w:t>per cent</w:t>
      </w:r>
      <w:r w:rsidR="00E24460" w:rsidRPr="00867F8A">
        <w:rPr>
          <w:lang w:val="en-GB"/>
        </w:rPr>
        <w:t xml:space="preserve"> </w:t>
      </w:r>
      <w:r w:rsidR="00E4273F" w:rsidRPr="00867F8A">
        <w:rPr>
          <w:lang w:val="en-GB"/>
        </w:rPr>
        <w:t xml:space="preserve">were from </w:t>
      </w:r>
      <w:r w:rsidR="00E24460" w:rsidRPr="00867F8A">
        <w:rPr>
          <w:lang w:val="en-GB"/>
        </w:rPr>
        <w:t>other</w:t>
      </w:r>
      <w:r w:rsidR="00E4273F" w:rsidRPr="00867F8A">
        <w:rPr>
          <w:lang w:val="en-GB"/>
        </w:rPr>
        <w:t xml:space="preserve"> countries</w:t>
      </w:r>
      <w:r w:rsidR="00E24460" w:rsidRPr="00867F8A">
        <w:rPr>
          <w:lang w:val="en-GB"/>
        </w:rPr>
        <w:t>.</w:t>
      </w:r>
    </w:p>
    <w:p w14:paraId="6CF378CE" w14:textId="77777777" w:rsidR="00E24460" w:rsidRPr="00867F8A" w:rsidRDefault="00E24460" w:rsidP="00E24460">
      <w:pPr>
        <w:pStyle w:val="BodyTextMain"/>
        <w:rPr>
          <w:lang w:val="en-GB"/>
        </w:rPr>
      </w:pPr>
    </w:p>
    <w:p w14:paraId="55645B4B" w14:textId="77777777" w:rsidR="003F7676" w:rsidRPr="00867F8A" w:rsidRDefault="003F7676" w:rsidP="00E24460">
      <w:pPr>
        <w:pStyle w:val="BodyTextMain"/>
        <w:rPr>
          <w:lang w:val="en-GB"/>
        </w:rPr>
      </w:pPr>
    </w:p>
    <w:p w14:paraId="739149DC" w14:textId="33A1EA61" w:rsidR="00E24460" w:rsidRPr="00867F8A" w:rsidRDefault="00E24460" w:rsidP="00E24460">
      <w:pPr>
        <w:pStyle w:val="Casehead1"/>
        <w:rPr>
          <w:lang w:val="en-GB"/>
        </w:rPr>
      </w:pPr>
      <w:r w:rsidRPr="00867F8A">
        <w:rPr>
          <w:lang w:val="en-GB"/>
        </w:rPr>
        <w:t xml:space="preserve">company </w:t>
      </w:r>
      <w:r w:rsidR="008D33F9" w:rsidRPr="00867F8A">
        <w:rPr>
          <w:lang w:val="en-GB"/>
        </w:rPr>
        <w:t>structure</w:t>
      </w:r>
    </w:p>
    <w:p w14:paraId="057EFC24" w14:textId="77777777" w:rsidR="00352682" w:rsidRPr="00867F8A" w:rsidRDefault="00352682" w:rsidP="00E24460">
      <w:pPr>
        <w:pStyle w:val="Casehead1"/>
        <w:rPr>
          <w:color w:val="FF0000"/>
          <w:lang w:val="en-GB"/>
        </w:rPr>
      </w:pPr>
    </w:p>
    <w:p w14:paraId="677E9FC5" w14:textId="04221E28" w:rsidR="00105817" w:rsidRPr="00867F8A" w:rsidRDefault="00A92C27">
      <w:pPr>
        <w:pStyle w:val="BodyTextMain"/>
        <w:rPr>
          <w:lang w:val="en-GB"/>
        </w:rPr>
      </w:pPr>
      <w:r w:rsidRPr="00867F8A">
        <w:rPr>
          <w:lang w:val="en-GB"/>
        </w:rPr>
        <w:t xml:space="preserve">As of January 2017, </w:t>
      </w:r>
      <w:r w:rsidR="00892E75" w:rsidRPr="00867F8A">
        <w:rPr>
          <w:lang w:val="en-GB"/>
        </w:rPr>
        <w:t xml:space="preserve">Raintree’s </w:t>
      </w:r>
      <w:r w:rsidR="00B04F6F" w:rsidRPr="00867F8A">
        <w:rPr>
          <w:lang w:val="en-GB"/>
        </w:rPr>
        <w:t>organization</w:t>
      </w:r>
      <w:r w:rsidR="00457CBA" w:rsidRPr="00867F8A">
        <w:rPr>
          <w:lang w:val="en-GB"/>
        </w:rPr>
        <w:t>al</w:t>
      </w:r>
      <w:r w:rsidR="00B04F6F" w:rsidRPr="00867F8A">
        <w:rPr>
          <w:lang w:val="en-GB"/>
        </w:rPr>
        <w:t xml:space="preserve"> structure </w:t>
      </w:r>
      <w:r w:rsidR="003F7676" w:rsidRPr="00867F8A">
        <w:rPr>
          <w:lang w:val="en-GB"/>
        </w:rPr>
        <w:t>featured</w:t>
      </w:r>
      <w:r w:rsidR="00B04F6F" w:rsidRPr="00867F8A">
        <w:rPr>
          <w:lang w:val="en-GB"/>
        </w:rPr>
        <w:t xml:space="preserve"> two main branches: Raintree Hospitality, LLC and ARD Holdings, LLC (see Exhibit </w:t>
      </w:r>
      <w:r w:rsidR="00CA05B2" w:rsidRPr="00867F8A">
        <w:rPr>
          <w:lang w:val="en-GB"/>
        </w:rPr>
        <w:t>2</w:t>
      </w:r>
      <w:r w:rsidR="00B04F6F" w:rsidRPr="00867F8A">
        <w:rPr>
          <w:lang w:val="en-GB"/>
        </w:rPr>
        <w:t xml:space="preserve">). </w:t>
      </w:r>
      <w:r w:rsidR="008D33F9" w:rsidRPr="00867F8A">
        <w:rPr>
          <w:lang w:val="en-GB"/>
        </w:rPr>
        <w:t xml:space="preserve">With these two branches, </w:t>
      </w:r>
      <w:r w:rsidR="00E24460" w:rsidRPr="00867F8A">
        <w:rPr>
          <w:lang w:val="en-GB"/>
        </w:rPr>
        <w:t xml:space="preserve">Raintree focused on two areas to sustain growth: acquiring new members and providing more value-oriented amenities for existing members. </w:t>
      </w:r>
    </w:p>
    <w:p w14:paraId="25683EED" w14:textId="77777777" w:rsidR="00105817" w:rsidRPr="00867F8A" w:rsidRDefault="00105817">
      <w:pPr>
        <w:pStyle w:val="BodyTextMain"/>
        <w:rPr>
          <w:lang w:val="en-GB"/>
        </w:rPr>
      </w:pPr>
    </w:p>
    <w:p w14:paraId="70A6C145" w14:textId="0A551DF9" w:rsidR="002F1BCB" w:rsidRPr="00867F8A" w:rsidRDefault="00E24460" w:rsidP="00143496">
      <w:pPr>
        <w:pStyle w:val="BodyTextMain"/>
        <w:rPr>
          <w:lang w:val="en-GB"/>
        </w:rPr>
      </w:pPr>
      <w:r w:rsidRPr="00867F8A">
        <w:rPr>
          <w:lang w:val="en-GB"/>
        </w:rPr>
        <w:t xml:space="preserve">New members were critically important to replace those who quit each year due to reasons associated with age, health, finances, change in interests, and, </w:t>
      </w:r>
      <w:r w:rsidR="002F1BCB" w:rsidRPr="00867F8A">
        <w:rPr>
          <w:lang w:val="en-GB"/>
        </w:rPr>
        <w:t xml:space="preserve">unfortunately, </w:t>
      </w:r>
      <w:r w:rsidRPr="00867F8A">
        <w:rPr>
          <w:lang w:val="en-GB"/>
        </w:rPr>
        <w:t xml:space="preserve">death. </w:t>
      </w:r>
      <w:proofErr w:type="spellStart"/>
      <w:r w:rsidR="008657DD" w:rsidRPr="00867F8A">
        <w:rPr>
          <w:lang w:val="en-GB"/>
        </w:rPr>
        <w:t>Bech</w:t>
      </w:r>
      <w:proofErr w:type="spellEnd"/>
      <w:r w:rsidR="002F1BCB" w:rsidRPr="00867F8A">
        <w:rPr>
          <w:lang w:val="en-GB"/>
        </w:rPr>
        <w:t xml:space="preserve"> </w:t>
      </w:r>
      <w:r w:rsidRPr="00867F8A">
        <w:rPr>
          <w:lang w:val="en-GB"/>
        </w:rPr>
        <w:t>gave the following example:</w:t>
      </w:r>
    </w:p>
    <w:p w14:paraId="127F4CB8" w14:textId="77777777" w:rsidR="00081905" w:rsidRPr="00867F8A" w:rsidRDefault="00081905">
      <w:pPr>
        <w:pStyle w:val="BodyTextMain"/>
        <w:ind w:left="720"/>
        <w:rPr>
          <w:lang w:val="en-GB"/>
        </w:rPr>
      </w:pPr>
    </w:p>
    <w:p w14:paraId="449D4599" w14:textId="4D6A8854" w:rsidR="00E24460" w:rsidRPr="00867F8A" w:rsidRDefault="00E24460">
      <w:pPr>
        <w:pStyle w:val="BodyTextMain"/>
        <w:ind w:left="720"/>
        <w:rPr>
          <w:lang w:val="en-GB"/>
        </w:rPr>
      </w:pPr>
      <w:r w:rsidRPr="00867F8A">
        <w:rPr>
          <w:lang w:val="en-GB"/>
        </w:rPr>
        <w:t>Two years ago</w:t>
      </w:r>
      <w:r w:rsidR="004F015C" w:rsidRPr="00867F8A">
        <w:rPr>
          <w:lang w:val="en-GB"/>
        </w:rPr>
        <w:t>,</w:t>
      </w:r>
      <w:r w:rsidRPr="00867F8A">
        <w:rPr>
          <w:lang w:val="en-GB"/>
        </w:rPr>
        <w:t xml:space="preserve"> we outsourced sales in Mexico. In 2010, we had to decrease the marketing spend due to recession and drug violence in Mexico, but I still had 5</w:t>
      </w:r>
      <w:r w:rsidR="002F1BCB" w:rsidRPr="00867F8A">
        <w:rPr>
          <w:lang w:val="en-GB"/>
        </w:rPr>
        <w:t xml:space="preserve"> per cent</w:t>
      </w:r>
      <w:r w:rsidRPr="00867F8A">
        <w:rPr>
          <w:lang w:val="en-GB"/>
        </w:rPr>
        <w:t xml:space="preserve"> of the members (for a number of reasons such as age, inability to travel, changes in lifestyle, and illness) no longer paying the fee. If I am not replacing these members with new members in traditional ways, I need to seek channels such as Travelocity, where my cost of acquiring a new member is higher. And, by going to Travelocity, I’m up against the visible competition.</w:t>
      </w:r>
    </w:p>
    <w:p w14:paraId="2BB782BF" w14:textId="070E2398" w:rsidR="003F5593" w:rsidRPr="00867F8A" w:rsidRDefault="00E24460" w:rsidP="00E24460">
      <w:pPr>
        <w:pStyle w:val="BodyTextMain"/>
        <w:rPr>
          <w:lang w:val="en-GB"/>
        </w:rPr>
      </w:pPr>
      <w:r w:rsidRPr="00867F8A">
        <w:rPr>
          <w:lang w:val="en-GB"/>
        </w:rPr>
        <w:lastRenderedPageBreak/>
        <w:t>Raintree</w:t>
      </w:r>
      <w:r w:rsidR="00F91736" w:rsidRPr="00867F8A">
        <w:rPr>
          <w:lang w:val="en-GB"/>
        </w:rPr>
        <w:t xml:space="preserve"> </w:t>
      </w:r>
      <w:r w:rsidRPr="00867F8A">
        <w:rPr>
          <w:lang w:val="en-GB"/>
        </w:rPr>
        <w:t>consider</w:t>
      </w:r>
      <w:r w:rsidR="00F91736" w:rsidRPr="00867F8A">
        <w:rPr>
          <w:lang w:val="en-GB"/>
        </w:rPr>
        <w:t>ed</w:t>
      </w:r>
      <w:r w:rsidRPr="00867F8A">
        <w:rPr>
          <w:lang w:val="en-GB"/>
        </w:rPr>
        <w:t xml:space="preserve"> new properties, weigh</w:t>
      </w:r>
      <w:r w:rsidR="00B01977" w:rsidRPr="00867F8A">
        <w:rPr>
          <w:lang w:val="en-GB"/>
        </w:rPr>
        <w:t>ing</w:t>
      </w:r>
      <w:r w:rsidRPr="00867F8A">
        <w:rPr>
          <w:lang w:val="en-GB"/>
        </w:rPr>
        <w:t xml:space="preserve"> th</w:t>
      </w:r>
      <w:r w:rsidR="002F1BCB" w:rsidRPr="00867F8A">
        <w:rPr>
          <w:lang w:val="en-GB"/>
        </w:rPr>
        <w:t>em</w:t>
      </w:r>
      <w:r w:rsidRPr="00867F8A">
        <w:rPr>
          <w:lang w:val="en-GB"/>
        </w:rPr>
        <w:t xml:space="preserve"> against updating existing properties. Resort properties needed to be updated, but customers </w:t>
      </w:r>
      <w:r w:rsidR="001A674D" w:rsidRPr="00867F8A">
        <w:rPr>
          <w:lang w:val="en-GB"/>
        </w:rPr>
        <w:t>were</w:t>
      </w:r>
      <w:r w:rsidR="00E11C21" w:rsidRPr="00867F8A">
        <w:rPr>
          <w:lang w:val="en-GB"/>
        </w:rPr>
        <w:t xml:space="preserve"> </w:t>
      </w:r>
      <w:r w:rsidR="001A674D" w:rsidRPr="00867F8A">
        <w:rPr>
          <w:lang w:val="en-GB"/>
        </w:rPr>
        <w:t>n</w:t>
      </w:r>
      <w:r w:rsidR="00E11C21" w:rsidRPr="00867F8A">
        <w:rPr>
          <w:lang w:val="en-GB"/>
        </w:rPr>
        <w:t>o</w:t>
      </w:r>
      <w:r w:rsidR="001A674D" w:rsidRPr="00867F8A">
        <w:rPr>
          <w:lang w:val="en-GB"/>
        </w:rPr>
        <w:t xml:space="preserve">t always </w:t>
      </w:r>
      <w:r w:rsidRPr="00867F8A">
        <w:rPr>
          <w:lang w:val="en-GB"/>
        </w:rPr>
        <w:t>willing to pay a premium for that.</w:t>
      </w:r>
      <w:r w:rsidR="0021113B" w:rsidRPr="00867F8A">
        <w:rPr>
          <w:lang w:val="en-GB"/>
        </w:rPr>
        <w:t xml:space="preserve"> </w:t>
      </w:r>
      <w:r w:rsidRPr="00867F8A">
        <w:rPr>
          <w:lang w:val="en-GB"/>
        </w:rPr>
        <w:t xml:space="preserve">Thus, the cost associated with renovations </w:t>
      </w:r>
      <w:r w:rsidR="001A674D" w:rsidRPr="00867F8A">
        <w:rPr>
          <w:lang w:val="en-GB"/>
        </w:rPr>
        <w:t xml:space="preserve">would not necessarily </w:t>
      </w:r>
      <w:r w:rsidRPr="00867F8A">
        <w:rPr>
          <w:lang w:val="en-GB"/>
        </w:rPr>
        <w:t>yield an increase in revenue. Technology influenced</w:t>
      </w:r>
      <w:r w:rsidR="0021113B" w:rsidRPr="00867F8A">
        <w:rPr>
          <w:lang w:val="en-GB"/>
        </w:rPr>
        <w:t xml:space="preserve"> how</w:t>
      </w:r>
      <w:r w:rsidRPr="00867F8A">
        <w:rPr>
          <w:lang w:val="en-GB"/>
        </w:rPr>
        <w:t xml:space="preserve"> customers interact</w:t>
      </w:r>
      <w:r w:rsidR="001A674D" w:rsidRPr="00867F8A">
        <w:rPr>
          <w:lang w:val="en-GB"/>
        </w:rPr>
        <w:t>ed</w:t>
      </w:r>
      <w:r w:rsidRPr="00867F8A">
        <w:rPr>
          <w:lang w:val="en-GB"/>
        </w:rPr>
        <w:t xml:space="preserve"> with companies</w:t>
      </w:r>
      <w:r w:rsidR="0021113B" w:rsidRPr="00867F8A">
        <w:rPr>
          <w:lang w:val="en-GB"/>
        </w:rPr>
        <w:t>, and the</w:t>
      </w:r>
      <w:r w:rsidRPr="00867F8A">
        <w:rPr>
          <w:lang w:val="en-GB"/>
        </w:rPr>
        <w:t xml:space="preserve"> expense for each property was worthy of consideration. The pricing could become dynamic in the way that airfares </w:t>
      </w:r>
      <w:r w:rsidR="001A674D" w:rsidRPr="00867F8A">
        <w:rPr>
          <w:lang w:val="en-GB"/>
        </w:rPr>
        <w:t>we</w:t>
      </w:r>
      <w:r w:rsidRPr="00867F8A">
        <w:rPr>
          <w:lang w:val="en-GB"/>
        </w:rPr>
        <w:t>re.</w:t>
      </w:r>
      <w:r w:rsidR="0021113B" w:rsidRPr="00867F8A">
        <w:rPr>
          <w:lang w:val="en-GB"/>
        </w:rPr>
        <w:t xml:space="preserve"> </w:t>
      </w:r>
      <w:r w:rsidRPr="00867F8A">
        <w:rPr>
          <w:lang w:val="en-GB"/>
        </w:rPr>
        <w:t>Based on moment</w:t>
      </w:r>
      <w:r w:rsidR="00B01977" w:rsidRPr="00867F8A">
        <w:rPr>
          <w:lang w:val="en-GB"/>
        </w:rPr>
        <w:t>-</w:t>
      </w:r>
      <w:r w:rsidRPr="00867F8A">
        <w:rPr>
          <w:lang w:val="en-GB"/>
        </w:rPr>
        <w:t>by</w:t>
      </w:r>
      <w:r w:rsidR="00B01977" w:rsidRPr="00867F8A">
        <w:rPr>
          <w:lang w:val="en-GB"/>
        </w:rPr>
        <w:t>-</w:t>
      </w:r>
      <w:r w:rsidRPr="00867F8A">
        <w:rPr>
          <w:lang w:val="en-GB"/>
        </w:rPr>
        <w:t xml:space="preserve">moment demand, prices could be raised or lowered. </w:t>
      </w:r>
      <w:r w:rsidR="0021113B" w:rsidRPr="00867F8A">
        <w:rPr>
          <w:lang w:val="en-GB"/>
        </w:rPr>
        <w:t>F</w:t>
      </w:r>
      <w:r w:rsidRPr="00867F8A">
        <w:rPr>
          <w:lang w:val="en-GB"/>
        </w:rPr>
        <w:t>urther</w:t>
      </w:r>
      <w:r w:rsidR="0021113B" w:rsidRPr="00867F8A">
        <w:rPr>
          <w:lang w:val="en-GB"/>
        </w:rPr>
        <w:t>more</w:t>
      </w:r>
      <w:r w:rsidRPr="00867F8A">
        <w:rPr>
          <w:lang w:val="en-GB"/>
        </w:rPr>
        <w:t>, the pricing could be different just as first, business, and coach classes were</w:t>
      </w:r>
      <w:r w:rsidR="00EA08E5" w:rsidRPr="00867F8A">
        <w:rPr>
          <w:lang w:val="en-GB"/>
        </w:rPr>
        <w:t xml:space="preserve"> on flights</w:t>
      </w:r>
      <w:r w:rsidRPr="00867F8A">
        <w:rPr>
          <w:lang w:val="en-GB"/>
        </w:rPr>
        <w:t>.</w:t>
      </w:r>
      <w:r w:rsidR="0021113B" w:rsidRPr="00867F8A">
        <w:rPr>
          <w:lang w:val="en-GB"/>
        </w:rPr>
        <w:t xml:space="preserve"> </w:t>
      </w:r>
      <w:r w:rsidRPr="00867F8A">
        <w:rPr>
          <w:lang w:val="en-GB"/>
        </w:rPr>
        <w:t xml:space="preserve">The fact that Raintree conducted business in different countries spoke to the possibility of currency risks. </w:t>
      </w:r>
      <w:r w:rsidR="0021113B" w:rsidRPr="00867F8A">
        <w:rPr>
          <w:lang w:val="en-GB"/>
        </w:rPr>
        <w:t>I</w:t>
      </w:r>
      <w:r w:rsidRPr="00867F8A">
        <w:rPr>
          <w:lang w:val="en-GB"/>
        </w:rPr>
        <w:t>nvestments could shift from one country to another given the countries’ economies. Customer values, preferences, and expectations (before, during, and after the stay with Raintree)</w:t>
      </w:r>
      <w:r w:rsidR="0021113B" w:rsidRPr="00867F8A">
        <w:rPr>
          <w:lang w:val="en-GB"/>
        </w:rPr>
        <w:t xml:space="preserve"> also had to be </w:t>
      </w:r>
      <w:r w:rsidRPr="00867F8A">
        <w:rPr>
          <w:lang w:val="en-GB"/>
        </w:rPr>
        <w:t>consider</w:t>
      </w:r>
      <w:r w:rsidR="0021113B" w:rsidRPr="00867F8A">
        <w:rPr>
          <w:lang w:val="en-GB"/>
        </w:rPr>
        <w:t>ed</w:t>
      </w:r>
      <w:r w:rsidRPr="00867F8A">
        <w:rPr>
          <w:lang w:val="en-GB"/>
        </w:rPr>
        <w:t>.</w:t>
      </w:r>
      <w:r w:rsidR="0021113B" w:rsidRPr="00867F8A">
        <w:rPr>
          <w:lang w:val="en-GB"/>
        </w:rPr>
        <w:t xml:space="preserve"> </w:t>
      </w:r>
      <w:r w:rsidRPr="00867F8A">
        <w:rPr>
          <w:lang w:val="en-GB"/>
        </w:rPr>
        <w:t xml:space="preserve">This </w:t>
      </w:r>
      <w:r w:rsidR="00B01977" w:rsidRPr="00867F8A">
        <w:rPr>
          <w:lang w:val="en-GB"/>
        </w:rPr>
        <w:t xml:space="preserve">issue </w:t>
      </w:r>
      <w:r w:rsidRPr="00867F8A">
        <w:rPr>
          <w:lang w:val="en-GB"/>
        </w:rPr>
        <w:t>was of particular interest, as Raintree experienced a 5</w:t>
      </w:r>
      <w:r w:rsidR="002F1BCB" w:rsidRPr="00867F8A">
        <w:rPr>
          <w:lang w:val="en-GB"/>
        </w:rPr>
        <w:t xml:space="preserve"> per cent</w:t>
      </w:r>
      <w:r w:rsidRPr="00867F8A">
        <w:rPr>
          <w:lang w:val="en-GB"/>
        </w:rPr>
        <w:t xml:space="preserve"> decline in membership each year. To replace 30,000 members, </w:t>
      </w:r>
      <w:r w:rsidR="00DD43BC" w:rsidRPr="00867F8A">
        <w:rPr>
          <w:lang w:val="en-GB"/>
        </w:rPr>
        <w:t>Raintree</w:t>
      </w:r>
      <w:r w:rsidRPr="00867F8A">
        <w:rPr>
          <w:lang w:val="en-GB"/>
        </w:rPr>
        <w:t xml:space="preserve"> had to target 7,500 </w:t>
      </w:r>
      <w:r w:rsidR="001A674D" w:rsidRPr="00867F8A">
        <w:rPr>
          <w:lang w:val="en-GB"/>
        </w:rPr>
        <w:t>prospects, which</w:t>
      </w:r>
      <w:r w:rsidRPr="00867F8A">
        <w:rPr>
          <w:lang w:val="en-GB"/>
        </w:rPr>
        <w:t xml:space="preserve"> in turn yielded 1,500 new members. Finally, the </w:t>
      </w:r>
      <w:r w:rsidR="00B04F6F" w:rsidRPr="00867F8A">
        <w:rPr>
          <w:lang w:val="en-GB"/>
        </w:rPr>
        <w:t xml:space="preserve">managers at each property needed to </w:t>
      </w:r>
      <w:r w:rsidRPr="00867F8A">
        <w:rPr>
          <w:lang w:val="en-GB"/>
        </w:rPr>
        <w:t xml:space="preserve">understand </w:t>
      </w:r>
      <w:r w:rsidR="00B04F6F" w:rsidRPr="00867F8A">
        <w:rPr>
          <w:lang w:val="en-GB"/>
        </w:rPr>
        <w:t>the business model as</w:t>
      </w:r>
      <w:r w:rsidRPr="00867F8A">
        <w:rPr>
          <w:lang w:val="en-GB"/>
        </w:rPr>
        <w:t xml:space="preserve"> noted</w:t>
      </w:r>
      <w:r w:rsidR="00B04F6F" w:rsidRPr="00867F8A">
        <w:rPr>
          <w:lang w:val="en-GB"/>
        </w:rPr>
        <w:t>.</w:t>
      </w:r>
      <w:r w:rsidRPr="00867F8A">
        <w:rPr>
          <w:lang w:val="en-GB"/>
        </w:rPr>
        <w:t xml:space="preserve"> </w:t>
      </w:r>
    </w:p>
    <w:p w14:paraId="3A57F855" w14:textId="77777777" w:rsidR="00E24460" w:rsidRPr="00867F8A" w:rsidRDefault="00E24460" w:rsidP="00E24460">
      <w:pPr>
        <w:pStyle w:val="BodyTextMain"/>
        <w:rPr>
          <w:lang w:val="en-GB"/>
        </w:rPr>
      </w:pPr>
    </w:p>
    <w:p w14:paraId="5BDEB23D" w14:textId="77777777" w:rsidR="00E24460" w:rsidRPr="00867F8A" w:rsidRDefault="00E24460" w:rsidP="00E24460">
      <w:pPr>
        <w:pStyle w:val="BodyTextMain"/>
        <w:rPr>
          <w:rFonts w:ascii="Cambria" w:hAnsi="Cambria"/>
          <w:i/>
          <w:lang w:val="en-GB"/>
        </w:rPr>
      </w:pPr>
    </w:p>
    <w:p w14:paraId="0968B471" w14:textId="77777777" w:rsidR="00E24460" w:rsidRPr="00867F8A" w:rsidRDefault="00E24460" w:rsidP="00E24460">
      <w:pPr>
        <w:pStyle w:val="Casehead1"/>
        <w:rPr>
          <w:rFonts w:ascii="Arial Bold" w:hAnsi="Arial Bold"/>
          <w:lang w:val="en-GB"/>
        </w:rPr>
      </w:pPr>
      <w:r w:rsidRPr="00867F8A">
        <w:rPr>
          <w:rFonts w:ascii="Arial Bold" w:hAnsi="Arial Bold"/>
          <w:lang w:val="en-GB"/>
        </w:rPr>
        <w:t>Raintree Hospitality, LLC</w:t>
      </w:r>
    </w:p>
    <w:p w14:paraId="10DF0435" w14:textId="77777777" w:rsidR="00E24460" w:rsidRPr="00867F8A" w:rsidRDefault="00E24460" w:rsidP="00E24460">
      <w:pPr>
        <w:pStyle w:val="Casehead1"/>
        <w:rPr>
          <w:lang w:val="en-GB"/>
        </w:rPr>
      </w:pPr>
    </w:p>
    <w:p w14:paraId="56B11EB9" w14:textId="65DDDE2F" w:rsidR="00E24460" w:rsidRPr="00867F8A" w:rsidRDefault="00E24460" w:rsidP="00E24460">
      <w:pPr>
        <w:pStyle w:val="BodyTextMain"/>
        <w:rPr>
          <w:lang w:val="en-GB"/>
        </w:rPr>
      </w:pPr>
      <w:r w:rsidRPr="00867F8A">
        <w:rPr>
          <w:lang w:val="en-GB"/>
        </w:rPr>
        <w:t>This part of the organization</w:t>
      </w:r>
      <w:r w:rsidR="00CA05B2" w:rsidRPr="00867F8A">
        <w:rPr>
          <w:lang w:val="en-GB"/>
        </w:rPr>
        <w:t>al</w:t>
      </w:r>
      <w:r w:rsidRPr="00867F8A">
        <w:rPr>
          <w:lang w:val="en-GB"/>
        </w:rPr>
        <w:t xml:space="preserve"> structure conducted the hospitality management business, which focused on member services. It </w:t>
      </w:r>
      <w:r w:rsidR="001A674D" w:rsidRPr="00867F8A">
        <w:rPr>
          <w:lang w:val="en-GB"/>
        </w:rPr>
        <w:t>was</w:t>
      </w:r>
      <w:r w:rsidRPr="00867F8A">
        <w:rPr>
          <w:lang w:val="en-GB"/>
        </w:rPr>
        <w:t xml:space="preserve"> characterized by recurring maintenance and management fee revenue paid by Raintree’s membership</w:t>
      </w:r>
      <w:r w:rsidR="0003352A" w:rsidRPr="00867F8A">
        <w:rPr>
          <w:lang w:val="en-GB"/>
        </w:rPr>
        <w:t>,</w:t>
      </w:r>
      <w:r w:rsidRPr="00867F8A">
        <w:rPr>
          <w:lang w:val="en-GB"/>
        </w:rPr>
        <w:t xml:space="preserve"> as well as other predictable sources of revenue associated with operations and rental management.</w:t>
      </w:r>
    </w:p>
    <w:p w14:paraId="63F48542" w14:textId="77777777" w:rsidR="00E24460" w:rsidRPr="00867F8A" w:rsidRDefault="00E24460" w:rsidP="00E24460">
      <w:pPr>
        <w:pStyle w:val="BodyTextMain"/>
        <w:rPr>
          <w:lang w:val="en-GB"/>
        </w:rPr>
      </w:pPr>
    </w:p>
    <w:p w14:paraId="38F51536" w14:textId="77777777" w:rsidR="00352682" w:rsidRPr="00867F8A" w:rsidRDefault="00352682" w:rsidP="00E24460">
      <w:pPr>
        <w:pStyle w:val="BodyTextMain"/>
        <w:rPr>
          <w:lang w:val="en-GB"/>
        </w:rPr>
      </w:pPr>
    </w:p>
    <w:p w14:paraId="36A91DF4" w14:textId="77777777" w:rsidR="00E24460" w:rsidRPr="00867F8A" w:rsidRDefault="00E24460" w:rsidP="00E24460">
      <w:pPr>
        <w:pStyle w:val="Casehead1"/>
        <w:rPr>
          <w:caps w:val="0"/>
          <w:lang w:val="en-GB"/>
        </w:rPr>
      </w:pPr>
      <w:r w:rsidRPr="00867F8A">
        <w:rPr>
          <w:caps w:val="0"/>
          <w:lang w:val="en-GB"/>
        </w:rPr>
        <w:t>RVC Members Trust</w:t>
      </w:r>
    </w:p>
    <w:p w14:paraId="10EEDF7A" w14:textId="77777777" w:rsidR="00E24460" w:rsidRPr="00867F8A" w:rsidRDefault="00E24460" w:rsidP="00E24460">
      <w:pPr>
        <w:pStyle w:val="Casehead1"/>
        <w:rPr>
          <w:lang w:val="en-GB"/>
        </w:rPr>
      </w:pPr>
    </w:p>
    <w:p w14:paraId="370009E3" w14:textId="1CE358A0" w:rsidR="00E24460" w:rsidRPr="00867F8A" w:rsidRDefault="00E24460" w:rsidP="00E24460">
      <w:pPr>
        <w:pStyle w:val="BodyTextMain"/>
        <w:rPr>
          <w:lang w:val="en-GB"/>
        </w:rPr>
      </w:pPr>
      <w:r w:rsidRPr="00867F8A">
        <w:rPr>
          <w:lang w:val="en-GB"/>
        </w:rPr>
        <w:t>Raintree had approximately 27,000 members who were part of the Raintree Vacation Club (RVC). This club comprised a unique set of 16 “</w:t>
      </w:r>
      <w:r w:rsidR="00DD43BC" w:rsidRPr="00867F8A">
        <w:rPr>
          <w:lang w:val="en-GB"/>
        </w:rPr>
        <w:t>s</w:t>
      </w:r>
      <w:r w:rsidRPr="00867F8A">
        <w:rPr>
          <w:lang w:val="en-GB"/>
        </w:rPr>
        <w:t xml:space="preserve">ea and </w:t>
      </w:r>
      <w:r w:rsidR="00DD43BC" w:rsidRPr="00867F8A">
        <w:rPr>
          <w:lang w:val="en-GB"/>
        </w:rPr>
        <w:t>s</w:t>
      </w:r>
      <w:r w:rsidRPr="00867F8A">
        <w:rPr>
          <w:lang w:val="en-GB"/>
        </w:rPr>
        <w:t xml:space="preserve">ki” properties, </w:t>
      </w:r>
      <w:r w:rsidR="0003352A" w:rsidRPr="00867F8A">
        <w:rPr>
          <w:lang w:val="en-GB"/>
        </w:rPr>
        <w:t>with</w:t>
      </w:r>
      <w:r w:rsidRPr="00867F8A">
        <w:rPr>
          <w:lang w:val="en-GB"/>
        </w:rPr>
        <w:t xml:space="preserve"> an inventory of over 600 lodging units. RVC offered a flexible points-based ownership plan at its resort </w:t>
      </w:r>
      <w:r w:rsidR="001A674D" w:rsidRPr="00867F8A">
        <w:rPr>
          <w:lang w:val="en-GB"/>
        </w:rPr>
        <w:t>destinations that</w:t>
      </w:r>
      <w:r w:rsidRPr="00867F8A">
        <w:rPr>
          <w:lang w:val="en-GB"/>
        </w:rPr>
        <w:t xml:space="preserve"> allowed customers to tailor their vacation experiences at multiple resort locations.</w:t>
      </w:r>
    </w:p>
    <w:p w14:paraId="178816A5" w14:textId="77777777" w:rsidR="00E24460" w:rsidRPr="00867F8A" w:rsidRDefault="00E24460" w:rsidP="00E24460">
      <w:pPr>
        <w:pStyle w:val="BodyTextMain"/>
        <w:rPr>
          <w:lang w:val="en-GB"/>
        </w:rPr>
      </w:pPr>
    </w:p>
    <w:p w14:paraId="5AD96EDD" w14:textId="51C6CEF5" w:rsidR="00E24460" w:rsidRPr="00FA53CE" w:rsidRDefault="00E24460" w:rsidP="00E24460">
      <w:pPr>
        <w:pStyle w:val="BodyTextMain"/>
        <w:rPr>
          <w:spacing w:val="-2"/>
          <w:kern w:val="22"/>
          <w:lang w:val="en-GB"/>
        </w:rPr>
      </w:pPr>
      <w:r w:rsidRPr="00FA53CE">
        <w:rPr>
          <w:spacing w:val="-2"/>
          <w:kern w:val="22"/>
          <w:lang w:val="en-GB"/>
        </w:rPr>
        <w:t xml:space="preserve">The four main properties were located in the top three destinations in Mexico: Cancun, Puerto Vallarta, and Los Cabos. </w:t>
      </w:r>
      <w:r w:rsidR="00081905" w:rsidRPr="00FA53CE">
        <w:rPr>
          <w:spacing w:val="-2"/>
          <w:kern w:val="22"/>
          <w:lang w:val="en-GB"/>
        </w:rPr>
        <w:t xml:space="preserve">There was a Club Regina resort property in each destination and an additional property in Puerto Vallarta called Villa Vera, all of which Raintree managed. </w:t>
      </w:r>
      <w:r w:rsidRPr="00FA53CE">
        <w:rPr>
          <w:spacing w:val="-2"/>
          <w:kern w:val="22"/>
          <w:lang w:val="en-GB"/>
        </w:rPr>
        <w:t xml:space="preserve">In </w:t>
      </w:r>
      <w:r w:rsidR="0003352A" w:rsidRPr="00FA53CE">
        <w:rPr>
          <w:spacing w:val="-2"/>
          <w:kern w:val="22"/>
          <w:lang w:val="en-GB"/>
        </w:rPr>
        <w:t>total</w:t>
      </w:r>
      <w:r w:rsidRPr="00FA53CE">
        <w:rPr>
          <w:spacing w:val="-2"/>
          <w:kern w:val="22"/>
          <w:lang w:val="en-GB"/>
        </w:rPr>
        <w:t xml:space="preserve">, these locations encompassed 500 lodging units. In addition, RVC members accessed 11 </w:t>
      </w:r>
      <w:r w:rsidR="009306E2" w:rsidRPr="00FA53CE">
        <w:rPr>
          <w:spacing w:val="-2"/>
          <w:kern w:val="22"/>
          <w:lang w:val="en-GB"/>
        </w:rPr>
        <w:t xml:space="preserve">other </w:t>
      </w:r>
      <w:r w:rsidRPr="00FA53CE">
        <w:rPr>
          <w:spacing w:val="-2"/>
          <w:kern w:val="22"/>
          <w:lang w:val="en-GB"/>
        </w:rPr>
        <w:t xml:space="preserve">properties in the </w:t>
      </w:r>
      <w:r w:rsidR="009306E2" w:rsidRPr="00FA53CE">
        <w:rPr>
          <w:spacing w:val="-2"/>
          <w:kern w:val="22"/>
          <w:lang w:val="en-GB"/>
        </w:rPr>
        <w:t>W</w:t>
      </w:r>
      <w:r w:rsidRPr="00FA53CE">
        <w:rPr>
          <w:spacing w:val="-2"/>
          <w:kern w:val="22"/>
          <w:lang w:val="en-GB"/>
        </w:rPr>
        <w:t>estern United States and Canada.</w:t>
      </w:r>
    </w:p>
    <w:p w14:paraId="614314DB" w14:textId="77777777" w:rsidR="00ED3BCE" w:rsidRPr="00867F8A" w:rsidRDefault="00ED3BCE" w:rsidP="00E24460">
      <w:pPr>
        <w:pStyle w:val="BodyTextMain"/>
        <w:rPr>
          <w:lang w:val="en-GB"/>
        </w:rPr>
      </w:pPr>
    </w:p>
    <w:p w14:paraId="6D629DFA" w14:textId="12491309" w:rsidR="00105817" w:rsidRPr="00867F8A" w:rsidRDefault="00105817" w:rsidP="00105817">
      <w:pPr>
        <w:pStyle w:val="BodyTextMain"/>
        <w:rPr>
          <w:lang w:val="en-GB"/>
        </w:rPr>
      </w:pPr>
      <w:r w:rsidRPr="00867F8A">
        <w:rPr>
          <w:lang w:val="en-GB"/>
        </w:rPr>
        <w:t>RVC members acquired timeshare interests, also known as “points.” RVC had approximately 1.7 billion points (generally the same as R</w:t>
      </w:r>
      <w:r w:rsidR="00231A34" w:rsidRPr="00867F8A">
        <w:rPr>
          <w:lang w:val="en-GB"/>
        </w:rPr>
        <w:t xml:space="preserve">esort Condominium International </w:t>
      </w:r>
      <w:r w:rsidR="009306E2" w:rsidRPr="00867F8A">
        <w:rPr>
          <w:lang w:val="en-GB"/>
        </w:rPr>
        <w:t>P</w:t>
      </w:r>
      <w:r w:rsidRPr="00867F8A">
        <w:rPr>
          <w:lang w:val="en-GB"/>
        </w:rPr>
        <w:t xml:space="preserve">oints) available for member use. </w:t>
      </w:r>
      <w:r w:rsidR="00CA05B2" w:rsidRPr="00867F8A">
        <w:rPr>
          <w:lang w:val="en-GB"/>
        </w:rPr>
        <w:t>M</w:t>
      </w:r>
      <w:r w:rsidRPr="00867F8A">
        <w:rPr>
          <w:lang w:val="en-GB"/>
        </w:rPr>
        <w:t xml:space="preserve">emberships had a point value associated with each gem level (see Exhibit </w:t>
      </w:r>
      <w:r w:rsidR="00CA05B2" w:rsidRPr="00867F8A">
        <w:rPr>
          <w:lang w:val="en-GB"/>
        </w:rPr>
        <w:t>3</w:t>
      </w:r>
      <w:r w:rsidRPr="00867F8A">
        <w:rPr>
          <w:lang w:val="en-GB"/>
        </w:rPr>
        <w:t xml:space="preserve">). For example, </w:t>
      </w:r>
      <w:r w:rsidR="008907EE" w:rsidRPr="00867F8A">
        <w:rPr>
          <w:lang w:val="en-GB"/>
        </w:rPr>
        <w:t>G</w:t>
      </w:r>
      <w:r w:rsidRPr="00867F8A">
        <w:rPr>
          <w:lang w:val="en-GB"/>
        </w:rPr>
        <w:t>old member</w:t>
      </w:r>
      <w:r w:rsidR="008907EE" w:rsidRPr="00867F8A">
        <w:rPr>
          <w:lang w:val="en-GB"/>
        </w:rPr>
        <w:t>s</w:t>
      </w:r>
      <w:r w:rsidRPr="00867F8A">
        <w:rPr>
          <w:lang w:val="en-GB"/>
        </w:rPr>
        <w:t xml:space="preserve"> w</w:t>
      </w:r>
      <w:r w:rsidR="008907EE" w:rsidRPr="00867F8A">
        <w:rPr>
          <w:lang w:val="en-GB"/>
        </w:rPr>
        <w:t>ere</w:t>
      </w:r>
      <w:r w:rsidRPr="00867F8A">
        <w:rPr>
          <w:lang w:val="en-GB"/>
        </w:rPr>
        <w:t xml:space="preserve"> allocated 50,000 points each year based on being current with their account. The points essentially became currency, which member</w:t>
      </w:r>
      <w:r w:rsidR="008907EE" w:rsidRPr="00867F8A">
        <w:rPr>
          <w:lang w:val="en-GB"/>
        </w:rPr>
        <w:t>s</w:t>
      </w:r>
      <w:r w:rsidRPr="00867F8A">
        <w:rPr>
          <w:lang w:val="en-GB"/>
        </w:rPr>
        <w:t xml:space="preserve"> used to book reservation</w:t>
      </w:r>
      <w:r w:rsidR="008907EE" w:rsidRPr="00867F8A">
        <w:rPr>
          <w:lang w:val="en-GB"/>
        </w:rPr>
        <w:t>s</w:t>
      </w:r>
      <w:r w:rsidRPr="00867F8A">
        <w:rPr>
          <w:lang w:val="en-GB"/>
        </w:rPr>
        <w:t xml:space="preserve">. Different units at different resorts had different point values associated with the reservation, and values could vary depending on the number of bedrooms and the season in which the member was staying. </w:t>
      </w:r>
    </w:p>
    <w:p w14:paraId="7B536E56" w14:textId="77777777" w:rsidR="00105817" w:rsidRPr="00FA53CE" w:rsidRDefault="00105817" w:rsidP="00105817">
      <w:pPr>
        <w:pStyle w:val="BodyTextMain"/>
        <w:rPr>
          <w:spacing w:val="-2"/>
          <w:kern w:val="22"/>
          <w:lang w:val="en-GB"/>
        </w:rPr>
      </w:pPr>
    </w:p>
    <w:p w14:paraId="4ABCD672" w14:textId="28095B23" w:rsidR="00105817" w:rsidRPr="00FA53CE" w:rsidRDefault="00105817" w:rsidP="00105817">
      <w:pPr>
        <w:pStyle w:val="BodyTextMain"/>
        <w:rPr>
          <w:spacing w:val="-2"/>
          <w:kern w:val="22"/>
          <w:lang w:val="en-GB"/>
        </w:rPr>
      </w:pPr>
      <w:r w:rsidRPr="00FA53CE">
        <w:rPr>
          <w:spacing w:val="-2"/>
          <w:kern w:val="22"/>
          <w:lang w:val="en-GB"/>
        </w:rPr>
        <w:t xml:space="preserve">Raintree tracked the total number of points across its system and knew the number of points that remained unsold. The points could be used in </w:t>
      </w:r>
      <w:r w:rsidR="00081905" w:rsidRPr="00FA53CE">
        <w:rPr>
          <w:spacing w:val="-2"/>
          <w:kern w:val="22"/>
          <w:lang w:val="en-GB"/>
        </w:rPr>
        <w:t>12 of the</w:t>
      </w:r>
      <w:r w:rsidRPr="00FA53CE">
        <w:rPr>
          <w:spacing w:val="-2"/>
          <w:kern w:val="22"/>
          <w:lang w:val="en-GB"/>
        </w:rPr>
        <w:t xml:space="preserve"> </w:t>
      </w:r>
      <w:r w:rsidR="008907EE" w:rsidRPr="00FA53CE">
        <w:rPr>
          <w:spacing w:val="-2"/>
          <w:kern w:val="22"/>
          <w:lang w:val="en-GB"/>
        </w:rPr>
        <w:t xml:space="preserve">company’s </w:t>
      </w:r>
      <w:r w:rsidRPr="00FA53CE">
        <w:rPr>
          <w:spacing w:val="-2"/>
          <w:kern w:val="22"/>
          <w:lang w:val="en-GB"/>
        </w:rPr>
        <w:t xml:space="preserve">16 properties—namely, Club Regina in Cancun, Club Regina and Villa Vera in Puerto Vallarta, Club Regina in Los Cabos, Westin Whistler, Sandcastle at Birch Bay, Miners Club in Park City, Cimarron in Palm Springs, the </w:t>
      </w:r>
      <w:proofErr w:type="spellStart"/>
      <w:r w:rsidRPr="00FA53CE">
        <w:rPr>
          <w:spacing w:val="-2"/>
          <w:kern w:val="22"/>
          <w:lang w:val="en-GB"/>
        </w:rPr>
        <w:t>Teton</w:t>
      </w:r>
      <w:proofErr w:type="spellEnd"/>
      <w:r w:rsidRPr="00FA53CE">
        <w:rPr>
          <w:spacing w:val="-2"/>
          <w:kern w:val="22"/>
          <w:lang w:val="en-GB"/>
        </w:rPr>
        <w:t xml:space="preserve"> Club in Jackson Hole, Franz </w:t>
      </w:r>
      <w:proofErr w:type="spellStart"/>
      <w:r w:rsidRPr="00FA53CE">
        <w:rPr>
          <w:spacing w:val="-2"/>
          <w:kern w:val="22"/>
          <w:lang w:val="en-GB"/>
        </w:rPr>
        <w:t>Klammer</w:t>
      </w:r>
      <w:proofErr w:type="spellEnd"/>
      <w:r w:rsidRPr="00FA53CE">
        <w:rPr>
          <w:spacing w:val="-2"/>
          <w:kern w:val="22"/>
          <w:lang w:val="en-GB"/>
        </w:rPr>
        <w:t xml:space="preserve"> Lodge and River Club in Telluride, and </w:t>
      </w:r>
      <w:proofErr w:type="spellStart"/>
      <w:r w:rsidRPr="00FA53CE">
        <w:rPr>
          <w:spacing w:val="-2"/>
          <w:kern w:val="22"/>
          <w:lang w:val="en-GB"/>
        </w:rPr>
        <w:t>Worldmark</w:t>
      </w:r>
      <w:proofErr w:type="spellEnd"/>
      <w:r w:rsidRPr="00FA53CE">
        <w:rPr>
          <w:spacing w:val="-2"/>
          <w:kern w:val="22"/>
          <w:lang w:val="en-GB"/>
        </w:rPr>
        <w:t xml:space="preserve"> Phoenix, known as Desert Arroyo to RVC members. Approximately 225 million of the 1.7 billion points were available for resale. Raintree officials believed that the retail value of the unsold points was approximately $0.30 per point (about $68 million in total).</w:t>
      </w:r>
    </w:p>
    <w:p w14:paraId="2BB4C5A1" w14:textId="09FA0AA3" w:rsidR="00105817" w:rsidRPr="00FA53CE" w:rsidRDefault="00105817" w:rsidP="00105817">
      <w:pPr>
        <w:pStyle w:val="BodyTextMain"/>
        <w:rPr>
          <w:spacing w:val="-2"/>
          <w:kern w:val="22"/>
          <w:lang w:val="en-GB"/>
        </w:rPr>
      </w:pPr>
      <w:r w:rsidRPr="00FA53CE">
        <w:rPr>
          <w:spacing w:val="-2"/>
          <w:kern w:val="22"/>
          <w:lang w:val="en-GB"/>
        </w:rPr>
        <w:lastRenderedPageBreak/>
        <w:t>Three other properties—Park Plaza in Park City, the Polo Towers in Las Vegas, and Kona Reef in Kona, Hawaii—were also part of RVC, but no timeshare interests in these properties had been sold to RVC members. In addition to the foregoing</w:t>
      </w:r>
      <w:r w:rsidR="008907EE" w:rsidRPr="00FA53CE">
        <w:rPr>
          <w:spacing w:val="-2"/>
          <w:kern w:val="22"/>
          <w:lang w:val="en-GB"/>
        </w:rPr>
        <w:t>,</w:t>
      </w:r>
      <w:r w:rsidRPr="00FA53CE">
        <w:rPr>
          <w:spacing w:val="-2"/>
          <w:kern w:val="22"/>
          <w:lang w:val="en-GB"/>
        </w:rPr>
        <w:t xml:space="preserve"> and excluding points that were reserved for term products, approximately 301 million points were reserved for use for seven- and 15-year term products and other products sold by Raintree during the past four years and for which RVC members paid the maintenance fees.</w:t>
      </w:r>
    </w:p>
    <w:p w14:paraId="510E6C9B" w14:textId="77777777" w:rsidR="00105817" w:rsidRPr="00867F8A" w:rsidRDefault="00105817" w:rsidP="00105817">
      <w:pPr>
        <w:pStyle w:val="BodyTextMain"/>
        <w:rPr>
          <w:lang w:val="en-GB"/>
        </w:rPr>
      </w:pPr>
    </w:p>
    <w:p w14:paraId="31695C36" w14:textId="186BEB48" w:rsidR="00105817" w:rsidRPr="00867F8A" w:rsidRDefault="00105817" w:rsidP="00105817">
      <w:pPr>
        <w:pStyle w:val="BodyTextMain"/>
        <w:rPr>
          <w:lang w:val="en-GB"/>
        </w:rPr>
      </w:pPr>
      <w:r w:rsidRPr="00867F8A">
        <w:rPr>
          <w:lang w:val="en-GB"/>
        </w:rPr>
        <w:t xml:space="preserve">The three Club </w:t>
      </w:r>
      <w:proofErr w:type="spellStart"/>
      <w:r w:rsidRPr="00867F8A">
        <w:rPr>
          <w:lang w:val="en-GB"/>
        </w:rPr>
        <w:t>Reginas</w:t>
      </w:r>
      <w:proofErr w:type="spellEnd"/>
      <w:r w:rsidRPr="00867F8A">
        <w:rPr>
          <w:lang w:val="en-GB"/>
        </w:rPr>
        <w:t xml:space="preserve"> and the Villa Vera in Puerto Vallarta were managed by Raintree Hospitality under contracts that extended through 2047. At that time, the existing Mexican trusts holding title to the three Club Regina properties would expire and ownership of these three properties would revert to the entity that owned the residual interest. This entity was partially owned by two not-for-profit entities and an affiliate of Raintree. These three properties represented approximately 1.1 billion RVC points of the total 1.7 billion RVC points outstanding. The timeshare interests at the other RVC properties in the United States and Canada would continue under the terms of the various trusts to which the properties were subject, including renewals of these trusts, if any, or the properties would be sold and the proceeds distributed to the timeshare owners of these properties.</w:t>
      </w:r>
    </w:p>
    <w:p w14:paraId="32035EA8" w14:textId="77777777" w:rsidR="00105817" w:rsidRPr="00867F8A" w:rsidRDefault="00105817" w:rsidP="00105817">
      <w:pPr>
        <w:pStyle w:val="BodyTextMain"/>
        <w:rPr>
          <w:lang w:val="en-GB"/>
        </w:rPr>
      </w:pPr>
    </w:p>
    <w:p w14:paraId="4653211B" w14:textId="77777777" w:rsidR="00105817" w:rsidRPr="00867F8A" w:rsidRDefault="00105817" w:rsidP="00105817">
      <w:pPr>
        <w:pStyle w:val="BodyTextMain"/>
        <w:rPr>
          <w:lang w:val="en-GB"/>
        </w:rPr>
      </w:pPr>
      <w:r w:rsidRPr="00867F8A">
        <w:rPr>
          <w:lang w:val="en-GB"/>
        </w:rPr>
        <w:t>Previously, three RVC properties in the United States—the Sandcastle, Miners Club, and Cimarron—were managed by Raintree, but, as a result of a late 2014 transaction, were managed by an affiliate of Wyndham Vacation Ownership. Another affiliate of Wyndham Vacation Ownership also acquired specific units in these three properties and agreed to acquire future recovered inventory from the properties on an annual basis as whole units were available, if desired by Raintree, to be sold.</w:t>
      </w:r>
    </w:p>
    <w:p w14:paraId="7E29ECFC" w14:textId="77777777" w:rsidR="00105817" w:rsidRPr="00867F8A" w:rsidRDefault="00105817" w:rsidP="00105817">
      <w:pPr>
        <w:pStyle w:val="BodyTextMain"/>
        <w:rPr>
          <w:lang w:val="en-GB"/>
        </w:rPr>
      </w:pPr>
    </w:p>
    <w:p w14:paraId="640594D2" w14:textId="75FB5866" w:rsidR="00105817" w:rsidRPr="00867F8A" w:rsidRDefault="00105817" w:rsidP="00105817">
      <w:pPr>
        <w:pStyle w:val="BodyTextMain"/>
        <w:rPr>
          <w:lang w:val="en-GB"/>
        </w:rPr>
      </w:pPr>
      <w:r w:rsidRPr="00867F8A">
        <w:rPr>
          <w:lang w:val="en-GB"/>
        </w:rPr>
        <w:t>Raintree Hospitality conducted rental activities</w:t>
      </w:r>
      <w:r w:rsidR="00CA2BA8" w:rsidRPr="00867F8A">
        <w:rPr>
          <w:lang w:val="en-GB"/>
        </w:rPr>
        <w:t xml:space="preserve"> (and charged a rental commission on these activities)</w:t>
      </w:r>
      <w:r w:rsidRPr="00867F8A">
        <w:rPr>
          <w:lang w:val="en-GB"/>
        </w:rPr>
        <w:t xml:space="preserve"> on behalf of RVC.</w:t>
      </w:r>
      <w:r w:rsidR="00CA2BA8" w:rsidRPr="00867F8A">
        <w:rPr>
          <w:lang w:val="en-GB"/>
        </w:rPr>
        <w:t xml:space="preserve"> </w:t>
      </w:r>
      <w:r w:rsidRPr="00867F8A">
        <w:rPr>
          <w:lang w:val="en-GB"/>
        </w:rPr>
        <w:t xml:space="preserve">Raintree Hospitality </w:t>
      </w:r>
      <w:r w:rsidR="00CA2BA8" w:rsidRPr="00867F8A">
        <w:rPr>
          <w:lang w:val="en-GB"/>
        </w:rPr>
        <w:t xml:space="preserve">also </w:t>
      </w:r>
      <w:r w:rsidRPr="00867F8A">
        <w:rPr>
          <w:lang w:val="en-GB"/>
        </w:rPr>
        <w:t>conducted restaurant, pool bar, and food and beverage operations, and certain other activities that generated revenues at the four RVC properties in Cancun, Puerto Vallarta, and Los Cabos. These operations, which were started in 2010, were strong attractions for members and guests. Because of Hurricane Odile, which struck the Los Cabos region in September 2014, Club Regina was closed for approximately one year and reopened in September 2015. The net profits from the food and beverage and other operations in Mexico were forecasted to be approximately $1.1 million in 2017.</w:t>
      </w:r>
    </w:p>
    <w:p w14:paraId="452B3B25" w14:textId="77777777" w:rsidR="00105817" w:rsidRPr="00867F8A" w:rsidRDefault="00105817" w:rsidP="00105817">
      <w:pPr>
        <w:pStyle w:val="BodyTextMain"/>
        <w:rPr>
          <w:lang w:val="en-GB"/>
        </w:rPr>
      </w:pPr>
    </w:p>
    <w:p w14:paraId="2688C1C6" w14:textId="1BE8075F" w:rsidR="00105817" w:rsidRPr="00867F8A" w:rsidRDefault="00105817" w:rsidP="00105817">
      <w:pPr>
        <w:pStyle w:val="BodyTextMain"/>
        <w:rPr>
          <w:lang w:val="en-GB"/>
        </w:rPr>
      </w:pPr>
      <w:r w:rsidRPr="00867F8A">
        <w:rPr>
          <w:lang w:val="en-GB"/>
        </w:rPr>
        <w:t>Occupancy at Raintree’s Mexican properties in 2016 was 74 per cent, and at its non-managed, non-Mexican properties</w:t>
      </w:r>
      <w:r w:rsidR="005E1958" w:rsidRPr="00867F8A">
        <w:rPr>
          <w:lang w:val="en-GB"/>
        </w:rPr>
        <w:t>,</w:t>
      </w:r>
      <w:r w:rsidR="00326DE8" w:rsidRPr="00867F8A">
        <w:rPr>
          <w:lang w:val="en-GB"/>
        </w:rPr>
        <w:t xml:space="preserve"> occupancy</w:t>
      </w:r>
      <w:r w:rsidRPr="00867F8A">
        <w:rPr>
          <w:lang w:val="en-GB"/>
        </w:rPr>
        <w:t xml:space="preserve"> was 73 per cent.</w:t>
      </w:r>
    </w:p>
    <w:p w14:paraId="2E233284" w14:textId="1B1E4C3B" w:rsidR="00105817" w:rsidRPr="00867F8A" w:rsidRDefault="00105817">
      <w:pPr>
        <w:spacing w:after="200" w:line="276" w:lineRule="auto"/>
        <w:rPr>
          <w:rFonts w:ascii="Arial Bold" w:hAnsi="Arial Bold" w:cs="Arial"/>
          <w:b/>
          <w:caps/>
          <w:lang w:val="en-GB"/>
        </w:rPr>
      </w:pPr>
    </w:p>
    <w:p w14:paraId="62A6FCCC" w14:textId="77777777" w:rsidR="00E24460" w:rsidRPr="00867F8A" w:rsidRDefault="00E24460" w:rsidP="00E24460">
      <w:pPr>
        <w:pStyle w:val="Casehead1"/>
        <w:rPr>
          <w:rFonts w:ascii="Arial Bold" w:hAnsi="Arial Bold"/>
          <w:lang w:val="en-GB"/>
        </w:rPr>
      </w:pPr>
      <w:r w:rsidRPr="00867F8A">
        <w:rPr>
          <w:rFonts w:ascii="Arial Bold" w:hAnsi="Arial Bold"/>
          <w:lang w:val="en-GB"/>
        </w:rPr>
        <w:t>ARD Holdings, LLC</w:t>
      </w:r>
    </w:p>
    <w:p w14:paraId="3B3D14A6" w14:textId="77777777" w:rsidR="00E24460" w:rsidRPr="00867F8A" w:rsidRDefault="00E24460" w:rsidP="00E24460">
      <w:pPr>
        <w:pStyle w:val="Casehead1"/>
        <w:rPr>
          <w:lang w:val="en-GB"/>
        </w:rPr>
      </w:pPr>
    </w:p>
    <w:p w14:paraId="314DE56B" w14:textId="21095C1A" w:rsidR="00E24460" w:rsidRPr="00867F8A" w:rsidRDefault="00E24460" w:rsidP="00E24460">
      <w:pPr>
        <w:pStyle w:val="BodyTextMain"/>
        <w:rPr>
          <w:lang w:val="en-GB"/>
        </w:rPr>
      </w:pPr>
      <w:r w:rsidRPr="00867F8A">
        <w:rPr>
          <w:lang w:val="en-GB"/>
        </w:rPr>
        <w:t>This division had two organizational entities: ARD Inventory, LLCs and Raintree Sales &amp; Marketing, LLC.</w:t>
      </w:r>
    </w:p>
    <w:p w14:paraId="745F3358" w14:textId="77777777" w:rsidR="00081905" w:rsidRPr="00867F8A" w:rsidRDefault="00081905" w:rsidP="00E24460">
      <w:pPr>
        <w:pStyle w:val="Casehead1"/>
        <w:rPr>
          <w:rFonts w:ascii="Times New Roman" w:hAnsi="Times New Roman" w:cs="Times New Roman"/>
          <w:b w:val="0"/>
          <w:caps w:val="0"/>
          <w:sz w:val="22"/>
          <w:szCs w:val="22"/>
          <w:lang w:val="en-GB"/>
        </w:rPr>
      </w:pPr>
    </w:p>
    <w:p w14:paraId="13C8730B" w14:textId="77777777" w:rsidR="00A63EA5" w:rsidRPr="00867F8A" w:rsidRDefault="00A63EA5" w:rsidP="00E24460">
      <w:pPr>
        <w:pStyle w:val="BodyTextMain"/>
        <w:rPr>
          <w:caps/>
          <w:u w:val="single"/>
          <w:lang w:val="en-GB"/>
        </w:rPr>
      </w:pPr>
    </w:p>
    <w:p w14:paraId="14670DCB" w14:textId="01815287" w:rsidR="00E24460" w:rsidRPr="00867F8A" w:rsidRDefault="00E24460" w:rsidP="00E24460">
      <w:pPr>
        <w:pStyle w:val="Casehead1"/>
        <w:rPr>
          <w:lang w:val="en-GB"/>
        </w:rPr>
      </w:pPr>
      <w:r w:rsidRPr="00867F8A">
        <w:rPr>
          <w:caps w:val="0"/>
          <w:lang w:val="en-GB"/>
        </w:rPr>
        <w:t>ARD Inventory, LLCs</w:t>
      </w:r>
      <w:r w:rsidRPr="00867F8A">
        <w:rPr>
          <w:lang w:val="en-GB"/>
        </w:rPr>
        <w:t xml:space="preserve"> </w:t>
      </w:r>
    </w:p>
    <w:p w14:paraId="5088E901" w14:textId="77777777" w:rsidR="00E24460" w:rsidRPr="00867F8A" w:rsidRDefault="00E24460" w:rsidP="00E24460">
      <w:pPr>
        <w:pStyle w:val="Casehead1"/>
        <w:rPr>
          <w:lang w:val="en-GB"/>
        </w:rPr>
      </w:pPr>
    </w:p>
    <w:p w14:paraId="060C0E24" w14:textId="5D8DCBF4" w:rsidR="00E24460" w:rsidRPr="00867F8A" w:rsidRDefault="00E24460" w:rsidP="00E24460">
      <w:pPr>
        <w:pStyle w:val="BodyTextMain"/>
        <w:rPr>
          <w:lang w:val="en-GB"/>
        </w:rPr>
      </w:pPr>
      <w:r w:rsidRPr="00867F8A">
        <w:rPr>
          <w:lang w:val="en-GB"/>
        </w:rPr>
        <w:t xml:space="preserve">This entity owned the unsold or recovered timeshare inventory. This unsold inventory was primarily composed of recovered inventory </w:t>
      </w:r>
      <w:r w:rsidR="0000084C" w:rsidRPr="00867F8A">
        <w:rPr>
          <w:lang w:val="en-GB"/>
        </w:rPr>
        <w:t xml:space="preserve">worth </w:t>
      </w:r>
      <w:r w:rsidRPr="00867F8A">
        <w:rPr>
          <w:lang w:val="en-GB"/>
        </w:rPr>
        <w:t>approximately 221 million points out of</w:t>
      </w:r>
      <w:r w:rsidR="0000084C" w:rsidRPr="00867F8A">
        <w:rPr>
          <w:lang w:val="en-GB"/>
        </w:rPr>
        <w:t xml:space="preserve"> the</w:t>
      </w:r>
      <w:r w:rsidRPr="00867F8A">
        <w:rPr>
          <w:lang w:val="en-GB"/>
        </w:rPr>
        <w:t xml:space="preserve"> total 1.7 billion points that comprised the Raintree Resort properties (see Exhibit </w:t>
      </w:r>
      <w:r w:rsidR="0000084C" w:rsidRPr="00867F8A">
        <w:rPr>
          <w:lang w:val="en-GB"/>
        </w:rPr>
        <w:t>2</w:t>
      </w:r>
      <w:r w:rsidRPr="00867F8A">
        <w:rPr>
          <w:lang w:val="en-GB"/>
        </w:rPr>
        <w:t>).</w:t>
      </w:r>
    </w:p>
    <w:p w14:paraId="5A35BF67" w14:textId="77777777" w:rsidR="00326DE8" w:rsidRPr="00867F8A" w:rsidRDefault="00326DE8" w:rsidP="00E24460">
      <w:pPr>
        <w:pStyle w:val="BodyTextMain"/>
        <w:rPr>
          <w:lang w:val="en-GB"/>
        </w:rPr>
      </w:pPr>
    </w:p>
    <w:p w14:paraId="17872A23" w14:textId="5947B1B3" w:rsidR="00E24460" w:rsidRPr="00867F8A" w:rsidRDefault="00E24460" w:rsidP="00E24460">
      <w:pPr>
        <w:pStyle w:val="BodyTextMain"/>
        <w:rPr>
          <w:lang w:val="en-GB"/>
        </w:rPr>
      </w:pPr>
      <w:r w:rsidRPr="00867F8A">
        <w:rPr>
          <w:lang w:val="en-GB"/>
        </w:rPr>
        <w:t xml:space="preserve">Raintree differentiated itself from other timeshare companies </w:t>
      </w:r>
      <w:r w:rsidR="00081D8E" w:rsidRPr="00867F8A">
        <w:rPr>
          <w:lang w:val="en-GB"/>
        </w:rPr>
        <w:t>by</w:t>
      </w:r>
      <w:r w:rsidRPr="00867F8A">
        <w:rPr>
          <w:lang w:val="en-GB"/>
        </w:rPr>
        <w:t xml:space="preserve"> offer</w:t>
      </w:r>
      <w:r w:rsidR="00081D8E" w:rsidRPr="00867F8A">
        <w:rPr>
          <w:lang w:val="en-GB"/>
        </w:rPr>
        <w:t>ing</w:t>
      </w:r>
      <w:r w:rsidRPr="00867F8A">
        <w:rPr>
          <w:lang w:val="en-GB"/>
        </w:rPr>
        <w:t xml:space="preserve"> term products rather than lifetime memberships or perpetual products. The two term products were Raintree 15 (R15) and Raintree 7 (R7). The term products </w:t>
      </w:r>
      <w:r w:rsidR="00DD43BC" w:rsidRPr="00867F8A">
        <w:rPr>
          <w:lang w:val="en-GB"/>
        </w:rPr>
        <w:t>gave</w:t>
      </w:r>
      <w:r w:rsidRPr="00867F8A">
        <w:rPr>
          <w:lang w:val="en-GB"/>
        </w:rPr>
        <w:t xml:space="preserve"> identical use rights</w:t>
      </w:r>
      <w:r w:rsidR="00081D8E" w:rsidRPr="00867F8A">
        <w:rPr>
          <w:lang w:val="en-GB"/>
        </w:rPr>
        <w:t>,</w:t>
      </w:r>
      <w:r w:rsidRPr="00867F8A">
        <w:rPr>
          <w:lang w:val="en-GB"/>
        </w:rPr>
        <w:t xml:space="preserve"> as did the perpetual product</w:t>
      </w:r>
      <w:r w:rsidR="00081D8E" w:rsidRPr="00867F8A">
        <w:rPr>
          <w:lang w:val="en-GB"/>
        </w:rPr>
        <w:t>,</w:t>
      </w:r>
      <w:r w:rsidRPr="00867F8A">
        <w:rPr>
          <w:lang w:val="en-GB"/>
        </w:rPr>
        <w:t xml:space="preserve"> but limited those use rights to a finite number of years of use: 15 years for R15 or 7 years for R7. R7 was extendable up to 15 years by alternating years of us</w:t>
      </w:r>
      <w:r w:rsidR="00081D8E" w:rsidRPr="00867F8A">
        <w:rPr>
          <w:lang w:val="en-GB"/>
        </w:rPr>
        <w:t>e</w:t>
      </w:r>
      <w:r w:rsidRPr="00867F8A">
        <w:rPr>
          <w:lang w:val="en-GB"/>
        </w:rPr>
        <w:t xml:space="preserve"> or otherwise skipping years. These products were desirable for prospective </w:t>
      </w:r>
      <w:r w:rsidRPr="00867F8A">
        <w:rPr>
          <w:lang w:val="en-GB"/>
        </w:rPr>
        <w:lastRenderedPageBreak/>
        <w:t>members, as they mitigated a number of common complaints a</w:t>
      </w:r>
      <w:r w:rsidR="00B02AB1" w:rsidRPr="00867F8A">
        <w:rPr>
          <w:lang w:val="en-GB"/>
        </w:rPr>
        <w:t xml:space="preserve">bout </w:t>
      </w:r>
      <w:r w:rsidRPr="00867F8A">
        <w:rPr>
          <w:lang w:val="en-GB"/>
        </w:rPr>
        <w:t>conventional timeshare ownership, including ongoing maintenance fee obligations, risk of special assessment, pricing</w:t>
      </w:r>
      <w:r w:rsidR="00B02AB1" w:rsidRPr="00867F8A">
        <w:rPr>
          <w:lang w:val="en-GB"/>
        </w:rPr>
        <w:t>, a</w:t>
      </w:r>
      <w:r w:rsidRPr="00867F8A">
        <w:rPr>
          <w:lang w:val="en-GB"/>
        </w:rPr>
        <w:t xml:space="preserve">nd lack of flexibility of use. </w:t>
      </w:r>
      <w:r w:rsidR="00231A34" w:rsidRPr="00867F8A">
        <w:rPr>
          <w:lang w:val="en-GB"/>
        </w:rPr>
        <w:t xml:space="preserve">In 2017, </w:t>
      </w:r>
      <w:r w:rsidRPr="00867F8A">
        <w:rPr>
          <w:lang w:val="en-GB"/>
        </w:rPr>
        <w:t>Raintree</w:t>
      </w:r>
      <w:r w:rsidR="00081D8E" w:rsidRPr="00867F8A">
        <w:rPr>
          <w:lang w:val="en-GB"/>
        </w:rPr>
        <w:t xml:space="preserve"> started</w:t>
      </w:r>
      <w:r w:rsidRPr="00867F8A">
        <w:rPr>
          <w:lang w:val="en-GB"/>
        </w:rPr>
        <w:t xml:space="preserve"> selling 10-year and 20-year products with added flexibility </w:t>
      </w:r>
      <w:r w:rsidR="00081D8E" w:rsidRPr="00867F8A">
        <w:rPr>
          <w:lang w:val="en-GB"/>
        </w:rPr>
        <w:t xml:space="preserve">that </w:t>
      </w:r>
      <w:r w:rsidRPr="00867F8A">
        <w:rPr>
          <w:lang w:val="en-GB"/>
        </w:rPr>
        <w:t xml:space="preserve">enabled </w:t>
      </w:r>
      <w:r w:rsidR="00081D8E" w:rsidRPr="00867F8A">
        <w:rPr>
          <w:lang w:val="en-GB"/>
        </w:rPr>
        <w:t xml:space="preserve">members </w:t>
      </w:r>
      <w:r w:rsidRPr="00867F8A">
        <w:rPr>
          <w:lang w:val="en-GB"/>
        </w:rPr>
        <w:t xml:space="preserve">to defer the annual maintenance fee to better suit </w:t>
      </w:r>
      <w:r w:rsidR="00081D8E" w:rsidRPr="00867F8A">
        <w:rPr>
          <w:lang w:val="en-GB"/>
        </w:rPr>
        <w:t xml:space="preserve">their </w:t>
      </w:r>
      <w:r w:rsidRPr="00867F8A">
        <w:rPr>
          <w:lang w:val="en-GB"/>
        </w:rPr>
        <w:t>desire</w:t>
      </w:r>
      <w:r w:rsidR="00DD43BC" w:rsidRPr="00867F8A">
        <w:rPr>
          <w:lang w:val="en-GB"/>
        </w:rPr>
        <w:t>d</w:t>
      </w:r>
      <w:r w:rsidR="00081D8E" w:rsidRPr="00867F8A">
        <w:rPr>
          <w:lang w:val="en-GB"/>
        </w:rPr>
        <w:t xml:space="preserve"> use</w:t>
      </w:r>
      <w:r w:rsidRPr="00867F8A">
        <w:rPr>
          <w:lang w:val="en-GB"/>
        </w:rPr>
        <w:t>.</w:t>
      </w:r>
    </w:p>
    <w:p w14:paraId="376836E4" w14:textId="77777777" w:rsidR="00E24460" w:rsidRPr="00217B78" w:rsidRDefault="00E24460" w:rsidP="00E24460">
      <w:pPr>
        <w:pStyle w:val="BodyTextMain"/>
        <w:rPr>
          <w:sz w:val="18"/>
          <w:lang w:val="en-GB"/>
        </w:rPr>
      </w:pPr>
    </w:p>
    <w:p w14:paraId="340E88D1" w14:textId="1162D5F4" w:rsidR="00E24460" w:rsidRPr="00867F8A" w:rsidRDefault="00E24460" w:rsidP="00E24460">
      <w:pPr>
        <w:pStyle w:val="BodyTextMain"/>
        <w:rPr>
          <w:lang w:val="en-GB"/>
        </w:rPr>
      </w:pPr>
      <w:r w:rsidRPr="00867F8A">
        <w:rPr>
          <w:lang w:val="en-GB"/>
        </w:rPr>
        <w:t>RVC billed its members in September of the previous year for maintenance fees due</w:t>
      </w:r>
      <w:r w:rsidR="00B54704" w:rsidRPr="00867F8A">
        <w:rPr>
          <w:lang w:val="en-GB"/>
        </w:rPr>
        <w:t xml:space="preserve"> the</w:t>
      </w:r>
      <w:r w:rsidRPr="00867F8A">
        <w:rPr>
          <w:lang w:val="en-GB"/>
        </w:rPr>
        <w:t xml:space="preserve"> following year. Approximately 70</w:t>
      </w:r>
      <w:r w:rsidR="00D03D06" w:rsidRPr="00867F8A">
        <w:rPr>
          <w:lang w:val="en-GB"/>
        </w:rPr>
        <w:t xml:space="preserve"> per cent</w:t>
      </w:r>
      <w:r w:rsidRPr="00867F8A">
        <w:rPr>
          <w:lang w:val="en-GB"/>
        </w:rPr>
        <w:t xml:space="preserve"> of RVC members were billed on an anniversary basis. The remaining 30</w:t>
      </w:r>
      <w:r w:rsidR="002F1BCB" w:rsidRPr="00867F8A">
        <w:rPr>
          <w:lang w:val="en-GB"/>
        </w:rPr>
        <w:t xml:space="preserve"> per cent</w:t>
      </w:r>
      <w:r w:rsidRPr="00867F8A">
        <w:rPr>
          <w:lang w:val="en-GB"/>
        </w:rPr>
        <w:t xml:space="preserve"> were billed maintenance fees in the month in which they purchased their RVC membership. Given this cash flow, RVC u</w:t>
      </w:r>
      <w:r w:rsidR="003F7676" w:rsidRPr="00867F8A">
        <w:rPr>
          <w:lang w:val="en-GB"/>
        </w:rPr>
        <w:t>sed</w:t>
      </w:r>
      <w:r w:rsidRPr="00867F8A">
        <w:rPr>
          <w:lang w:val="en-GB"/>
        </w:rPr>
        <w:t xml:space="preserve"> members’ maintenance fees without regard to </w:t>
      </w:r>
      <w:r w:rsidR="00081D8E" w:rsidRPr="00867F8A">
        <w:rPr>
          <w:lang w:val="en-GB"/>
        </w:rPr>
        <w:t xml:space="preserve">the </w:t>
      </w:r>
      <w:r w:rsidRPr="00867F8A">
        <w:rPr>
          <w:lang w:val="en-GB"/>
        </w:rPr>
        <w:t xml:space="preserve">calendar year in which the fees were collected. </w:t>
      </w:r>
    </w:p>
    <w:p w14:paraId="2CA39869" w14:textId="77777777" w:rsidR="00E24460" w:rsidRPr="00867F8A" w:rsidRDefault="00E24460" w:rsidP="00E24460">
      <w:pPr>
        <w:pStyle w:val="BodyTextMain"/>
        <w:rPr>
          <w:lang w:val="en-GB"/>
        </w:rPr>
      </w:pPr>
    </w:p>
    <w:p w14:paraId="1B1ACFDC" w14:textId="77777777" w:rsidR="00E24460" w:rsidRPr="00217B78" w:rsidRDefault="00E24460" w:rsidP="00E24460">
      <w:pPr>
        <w:pStyle w:val="BodyTextMain"/>
        <w:rPr>
          <w:sz w:val="16"/>
          <w:lang w:val="en-GB"/>
        </w:rPr>
      </w:pPr>
    </w:p>
    <w:p w14:paraId="6EA4EAFC" w14:textId="77777777" w:rsidR="00E24460" w:rsidRPr="00867F8A" w:rsidRDefault="00E24460" w:rsidP="00E24460">
      <w:pPr>
        <w:pStyle w:val="Casehead1"/>
        <w:rPr>
          <w:caps w:val="0"/>
          <w:lang w:val="en-GB"/>
        </w:rPr>
      </w:pPr>
      <w:r w:rsidRPr="00867F8A">
        <w:rPr>
          <w:caps w:val="0"/>
          <w:lang w:val="en-GB"/>
        </w:rPr>
        <w:t>Raintree Sales &amp; Marketing, LLC</w:t>
      </w:r>
    </w:p>
    <w:p w14:paraId="47D7AB00" w14:textId="77777777" w:rsidR="00E24460" w:rsidRPr="00867F8A" w:rsidRDefault="00E24460" w:rsidP="00E24460">
      <w:pPr>
        <w:pStyle w:val="Casehead1"/>
        <w:rPr>
          <w:lang w:val="en-GB"/>
        </w:rPr>
      </w:pPr>
    </w:p>
    <w:p w14:paraId="37C7F6BE" w14:textId="4B737F83" w:rsidR="00E24460" w:rsidRPr="00867F8A" w:rsidRDefault="00E24460" w:rsidP="00E24460">
      <w:pPr>
        <w:pStyle w:val="BodyTextMain"/>
        <w:rPr>
          <w:lang w:val="en-GB"/>
        </w:rPr>
      </w:pPr>
      <w:r w:rsidRPr="00867F8A">
        <w:rPr>
          <w:lang w:val="en-GB"/>
        </w:rPr>
        <w:t>Due to the collapse of the credit markets in late 2008 and the</w:t>
      </w:r>
      <w:r w:rsidR="00081D8E" w:rsidRPr="00867F8A">
        <w:rPr>
          <w:lang w:val="en-GB"/>
        </w:rPr>
        <w:t xml:space="preserve"> global</w:t>
      </w:r>
      <w:r w:rsidRPr="00867F8A">
        <w:rPr>
          <w:lang w:val="en-GB"/>
        </w:rPr>
        <w:t xml:space="preserve"> recession that followed, </w:t>
      </w:r>
      <w:r w:rsidR="00217B78">
        <w:rPr>
          <w:lang w:val="en-GB"/>
        </w:rPr>
        <w:t>as well as</w:t>
      </w:r>
      <w:r w:rsidRPr="00867F8A">
        <w:rPr>
          <w:lang w:val="en-GB"/>
        </w:rPr>
        <w:t xml:space="preserve"> the need for working capital to support the consumer finance activities of </w:t>
      </w:r>
      <w:r w:rsidR="00B02AB1" w:rsidRPr="00867F8A">
        <w:rPr>
          <w:lang w:val="en-GB"/>
        </w:rPr>
        <w:t xml:space="preserve">its </w:t>
      </w:r>
      <w:r w:rsidRPr="00867F8A">
        <w:rPr>
          <w:lang w:val="en-GB"/>
        </w:rPr>
        <w:t xml:space="preserve">sales and marketing business, Raintree terminated a number of marketing programs </w:t>
      </w:r>
      <w:r w:rsidR="00B02AB1" w:rsidRPr="00867F8A">
        <w:rPr>
          <w:lang w:val="en-GB"/>
        </w:rPr>
        <w:t xml:space="preserve">and </w:t>
      </w:r>
      <w:r w:rsidRPr="00867F8A">
        <w:rPr>
          <w:lang w:val="en-GB"/>
        </w:rPr>
        <w:t>reduce</w:t>
      </w:r>
      <w:r w:rsidR="00B54704" w:rsidRPr="00867F8A">
        <w:rPr>
          <w:lang w:val="en-GB"/>
        </w:rPr>
        <w:t>d</w:t>
      </w:r>
      <w:r w:rsidRPr="00867F8A">
        <w:rPr>
          <w:lang w:val="en-GB"/>
        </w:rPr>
        <w:t xml:space="preserve"> its exposure to the declining credit for financing its customers’ receivables. As a result, historical sales prior to 2009 were in the </w:t>
      </w:r>
      <w:r w:rsidR="00081D8E" w:rsidRPr="00867F8A">
        <w:rPr>
          <w:lang w:val="en-GB"/>
        </w:rPr>
        <w:t>$</w:t>
      </w:r>
      <w:r w:rsidRPr="00867F8A">
        <w:rPr>
          <w:lang w:val="en-GB"/>
        </w:rPr>
        <w:t xml:space="preserve">60 million or higher range, but steadily declined in subsequent years (see Exhibit </w:t>
      </w:r>
      <w:r w:rsidR="002267C2" w:rsidRPr="00867F8A">
        <w:rPr>
          <w:lang w:val="en-GB"/>
        </w:rPr>
        <w:t>4</w:t>
      </w:r>
      <w:r w:rsidRPr="00867F8A">
        <w:rPr>
          <w:lang w:val="en-GB"/>
        </w:rPr>
        <w:t>).</w:t>
      </w:r>
    </w:p>
    <w:p w14:paraId="0D51A567" w14:textId="77777777" w:rsidR="00E24460" w:rsidRPr="00867F8A" w:rsidRDefault="00E24460" w:rsidP="00E24460">
      <w:pPr>
        <w:pStyle w:val="Casehead1"/>
        <w:rPr>
          <w:lang w:val="en-GB"/>
        </w:rPr>
      </w:pPr>
    </w:p>
    <w:p w14:paraId="4822AFCE" w14:textId="77777777" w:rsidR="00B4736B" w:rsidRPr="00867F8A" w:rsidRDefault="00B4736B" w:rsidP="00E24460">
      <w:pPr>
        <w:pStyle w:val="Casehead1"/>
        <w:rPr>
          <w:lang w:val="en-GB"/>
        </w:rPr>
      </w:pPr>
    </w:p>
    <w:p w14:paraId="78594A1E" w14:textId="77777777" w:rsidR="00E24460" w:rsidRPr="00867F8A" w:rsidRDefault="00E24460" w:rsidP="00E24460">
      <w:pPr>
        <w:pStyle w:val="Casehead1"/>
        <w:rPr>
          <w:lang w:val="en-GB"/>
        </w:rPr>
      </w:pPr>
      <w:r w:rsidRPr="00867F8A">
        <w:rPr>
          <w:lang w:val="en-GB"/>
        </w:rPr>
        <w:t>Operating agreements in Mexico</w:t>
      </w:r>
    </w:p>
    <w:p w14:paraId="147D68E5" w14:textId="77777777" w:rsidR="00E24460" w:rsidRPr="00867F8A" w:rsidRDefault="00E24460" w:rsidP="00E24460">
      <w:pPr>
        <w:pStyle w:val="Casehead1"/>
        <w:rPr>
          <w:lang w:val="en-GB"/>
        </w:rPr>
      </w:pPr>
    </w:p>
    <w:p w14:paraId="2A2DE6BE" w14:textId="467B3472" w:rsidR="00E24460" w:rsidRPr="00867F8A" w:rsidRDefault="00E24460" w:rsidP="00E24460">
      <w:pPr>
        <w:pStyle w:val="BodyTextMain"/>
        <w:rPr>
          <w:lang w:val="en-GB"/>
        </w:rPr>
      </w:pPr>
      <w:r w:rsidRPr="00867F8A">
        <w:rPr>
          <w:lang w:val="en-GB"/>
        </w:rPr>
        <w:t xml:space="preserve">As part of the original transaction in 1997, the three Club </w:t>
      </w:r>
      <w:proofErr w:type="spellStart"/>
      <w:r w:rsidRPr="00867F8A">
        <w:rPr>
          <w:lang w:val="en-GB"/>
        </w:rPr>
        <w:t>Reginas</w:t>
      </w:r>
      <w:proofErr w:type="spellEnd"/>
      <w:r w:rsidRPr="00867F8A">
        <w:rPr>
          <w:lang w:val="en-GB"/>
        </w:rPr>
        <w:t xml:space="preserve"> and Starwood, the acquirer of the three Westin Hotels, entered into three separate operating agreements. Certain activities or assets at each of the three resorts were maintained and operated differently. In all three locations, the properties shared certain common amenities, such as landscaping, and shared the annual cost of maintaining this landscaping. In Cancun, the two properties shared boilers for heating and shared the cost of maintenance and repair </w:t>
      </w:r>
      <w:r w:rsidR="00710C54" w:rsidRPr="00867F8A">
        <w:rPr>
          <w:lang w:val="en-GB"/>
        </w:rPr>
        <w:t xml:space="preserve">for </w:t>
      </w:r>
      <w:r w:rsidRPr="00867F8A">
        <w:rPr>
          <w:lang w:val="en-GB"/>
        </w:rPr>
        <w:t>these</w:t>
      </w:r>
      <w:r w:rsidR="00710C54" w:rsidRPr="00867F8A">
        <w:rPr>
          <w:lang w:val="en-GB"/>
        </w:rPr>
        <w:t xml:space="preserve"> boilers</w:t>
      </w:r>
      <w:r w:rsidRPr="00867F8A">
        <w:rPr>
          <w:lang w:val="en-GB"/>
        </w:rPr>
        <w:t>. Club Regina Cancun also remitted to the Westin Cancun for payment to the government of Mexico certain required beach access fees based on the linear beach footage in front of Club Regina.</w:t>
      </w:r>
    </w:p>
    <w:p w14:paraId="3DF9E0CA" w14:textId="77777777" w:rsidR="00E24460" w:rsidRPr="00867F8A" w:rsidRDefault="00E24460" w:rsidP="00E24460">
      <w:pPr>
        <w:pStyle w:val="BodyTextMain"/>
        <w:rPr>
          <w:lang w:val="en-GB"/>
        </w:rPr>
      </w:pPr>
    </w:p>
    <w:p w14:paraId="36317016" w14:textId="7C503B5A" w:rsidR="00E24460" w:rsidRPr="00867F8A" w:rsidRDefault="00E24460" w:rsidP="00E24460">
      <w:pPr>
        <w:pStyle w:val="BodyTextMain"/>
        <w:rPr>
          <w:lang w:val="en-GB"/>
        </w:rPr>
      </w:pPr>
      <w:r w:rsidRPr="00867F8A">
        <w:rPr>
          <w:lang w:val="en-GB"/>
        </w:rPr>
        <w:t xml:space="preserve">In early 2015, Raintree decided to outsource the sales and marketing efforts </w:t>
      </w:r>
      <w:r w:rsidR="00710C54" w:rsidRPr="00867F8A">
        <w:rPr>
          <w:lang w:val="en-GB"/>
        </w:rPr>
        <w:t xml:space="preserve">at the three Club Regina resorts </w:t>
      </w:r>
      <w:r w:rsidRPr="00867F8A">
        <w:rPr>
          <w:lang w:val="en-GB"/>
        </w:rPr>
        <w:t xml:space="preserve">to a third party, </w:t>
      </w:r>
      <w:proofErr w:type="spellStart"/>
      <w:r w:rsidRPr="00867F8A">
        <w:rPr>
          <w:lang w:val="en-GB"/>
        </w:rPr>
        <w:t>Gusa</w:t>
      </w:r>
      <w:proofErr w:type="spellEnd"/>
      <w:r w:rsidRPr="00867F8A">
        <w:rPr>
          <w:lang w:val="en-GB"/>
        </w:rPr>
        <w:t xml:space="preserve"> Capital</w:t>
      </w:r>
      <w:r w:rsidR="00710C54" w:rsidRPr="00867F8A">
        <w:rPr>
          <w:lang w:val="en-GB"/>
        </w:rPr>
        <w:t>.</w:t>
      </w:r>
      <w:r w:rsidRPr="00867F8A">
        <w:rPr>
          <w:lang w:val="en-GB"/>
        </w:rPr>
        <w:t xml:space="preserve"> In those discussions, Raintree realized that member attrition was a factor all timeshare companies</w:t>
      </w:r>
      <w:r w:rsidR="00EE3CFF" w:rsidRPr="00867F8A">
        <w:rPr>
          <w:lang w:val="en-GB"/>
        </w:rPr>
        <w:t xml:space="preserve"> had to</w:t>
      </w:r>
      <w:r w:rsidRPr="00867F8A">
        <w:rPr>
          <w:lang w:val="en-GB"/>
        </w:rPr>
        <w:t xml:space="preserve"> deal with. In the 2016 annual review with </w:t>
      </w:r>
      <w:proofErr w:type="spellStart"/>
      <w:r w:rsidRPr="00867F8A">
        <w:rPr>
          <w:lang w:val="en-GB"/>
        </w:rPr>
        <w:t>Gusa</w:t>
      </w:r>
      <w:proofErr w:type="spellEnd"/>
      <w:r w:rsidR="00EE3CFF" w:rsidRPr="00867F8A">
        <w:rPr>
          <w:lang w:val="en-GB"/>
        </w:rPr>
        <w:t xml:space="preserve"> Capital</w:t>
      </w:r>
      <w:r w:rsidRPr="00867F8A">
        <w:rPr>
          <w:lang w:val="en-GB"/>
        </w:rPr>
        <w:t>, Raintree determined that the number of new members being added was insufficient to meet the attrition.</w:t>
      </w:r>
    </w:p>
    <w:p w14:paraId="21A5D981" w14:textId="77777777" w:rsidR="00E24460" w:rsidRPr="00867F8A" w:rsidRDefault="00E24460" w:rsidP="00E24460">
      <w:pPr>
        <w:pStyle w:val="BodyTextMain"/>
        <w:rPr>
          <w:lang w:val="en-GB"/>
        </w:rPr>
      </w:pPr>
    </w:p>
    <w:p w14:paraId="7295F7B6" w14:textId="7F97C8C2" w:rsidR="00E24460" w:rsidRPr="00B44DBB" w:rsidRDefault="00E24460" w:rsidP="00E24460">
      <w:pPr>
        <w:pStyle w:val="BodyTextMain"/>
        <w:rPr>
          <w:spacing w:val="-2"/>
          <w:kern w:val="22"/>
          <w:lang w:val="en-GB"/>
        </w:rPr>
      </w:pPr>
      <w:r w:rsidRPr="00B44DBB">
        <w:rPr>
          <w:spacing w:val="-2"/>
          <w:kern w:val="22"/>
          <w:lang w:val="en-GB"/>
        </w:rPr>
        <w:t>Under the outsourced sales agreement, Raintree leased the Club Regina sales cent</w:t>
      </w:r>
      <w:r w:rsidR="00710C54" w:rsidRPr="00B44DBB">
        <w:rPr>
          <w:spacing w:val="-2"/>
          <w:kern w:val="22"/>
          <w:lang w:val="en-GB"/>
        </w:rPr>
        <w:t>re</w:t>
      </w:r>
      <w:r w:rsidRPr="00B44DBB">
        <w:rPr>
          <w:spacing w:val="-2"/>
          <w:kern w:val="22"/>
          <w:lang w:val="en-GB"/>
        </w:rPr>
        <w:t>s for a</w:t>
      </w:r>
      <w:r w:rsidR="00710C54" w:rsidRPr="00B44DBB">
        <w:rPr>
          <w:spacing w:val="-2"/>
          <w:kern w:val="22"/>
          <w:lang w:val="en-GB"/>
        </w:rPr>
        <w:t xml:space="preserve"> total</w:t>
      </w:r>
      <w:r w:rsidRPr="00B44DBB">
        <w:rPr>
          <w:spacing w:val="-2"/>
          <w:kern w:val="22"/>
          <w:lang w:val="en-GB"/>
        </w:rPr>
        <w:t xml:space="preserve"> of </w:t>
      </w:r>
      <w:r w:rsidR="00171DE6" w:rsidRPr="00B44DBB">
        <w:rPr>
          <w:spacing w:val="-2"/>
          <w:kern w:val="22"/>
          <w:lang w:val="en-GB"/>
        </w:rPr>
        <w:t>$</w:t>
      </w:r>
      <w:r w:rsidRPr="00B44DBB">
        <w:rPr>
          <w:spacing w:val="-2"/>
          <w:kern w:val="22"/>
          <w:lang w:val="en-GB"/>
        </w:rPr>
        <w:t xml:space="preserve">1.8 million per year and paid 10 </w:t>
      </w:r>
      <w:r w:rsidR="00171DE6" w:rsidRPr="00B44DBB">
        <w:rPr>
          <w:spacing w:val="-2"/>
          <w:kern w:val="22"/>
          <w:lang w:val="en-GB"/>
        </w:rPr>
        <w:t>per cent</w:t>
      </w:r>
      <w:r w:rsidRPr="00B44DBB">
        <w:rPr>
          <w:spacing w:val="-2"/>
          <w:kern w:val="22"/>
          <w:lang w:val="en-GB"/>
        </w:rPr>
        <w:t xml:space="preserve"> of all sales proceeds up to </w:t>
      </w:r>
      <w:r w:rsidR="00171DE6" w:rsidRPr="00B44DBB">
        <w:rPr>
          <w:spacing w:val="-2"/>
          <w:kern w:val="22"/>
          <w:lang w:val="en-GB"/>
        </w:rPr>
        <w:t>$</w:t>
      </w:r>
      <w:r w:rsidRPr="00B44DBB">
        <w:rPr>
          <w:spacing w:val="-2"/>
          <w:kern w:val="22"/>
          <w:lang w:val="en-GB"/>
        </w:rPr>
        <w:t>15 million; 12 per</w:t>
      </w:r>
      <w:r w:rsidR="00171DE6" w:rsidRPr="00B44DBB">
        <w:rPr>
          <w:spacing w:val="-2"/>
          <w:kern w:val="22"/>
          <w:lang w:val="en-GB"/>
        </w:rPr>
        <w:t xml:space="preserve"> </w:t>
      </w:r>
      <w:r w:rsidRPr="00B44DBB">
        <w:rPr>
          <w:spacing w:val="-2"/>
          <w:kern w:val="22"/>
          <w:lang w:val="en-GB"/>
        </w:rPr>
        <w:t xml:space="preserve">cent of sales between </w:t>
      </w:r>
      <w:r w:rsidR="00171DE6" w:rsidRPr="00B44DBB">
        <w:rPr>
          <w:spacing w:val="-2"/>
          <w:kern w:val="22"/>
          <w:lang w:val="en-GB"/>
        </w:rPr>
        <w:t>$</w:t>
      </w:r>
      <w:r w:rsidRPr="00B44DBB">
        <w:rPr>
          <w:spacing w:val="-2"/>
          <w:kern w:val="22"/>
          <w:lang w:val="en-GB"/>
        </w:rPr>
        <w:t xml:space="preserve">15 million and </w:t>
      </w:r>
      <w:r w:rsidR="00171DE6" w:rsidRPr="00B44DBB">
        <w:rPr>
          <w:spacing w:val="-2"/>
          <w:kern w:val="22"/>
          <w:lang w:val="en-GB"/>
        </w:rPr>
        <w:t>$</w:t>
      </w:r>
      <w:r w:rsidRPr="00B44DBB">
        <w:rPr>
          <w:spacing w:val="-2"/>
          <w:kern w:val="22"/>
          <w:lang w:val="en-GB"/>
        </w:rPr>
        <w:t xml:space="preserve">25 million; and 15 </w:t>
      </w:r>
      <w:r w:rsidR="00171DE6" w:rsidRPr="00B44DBB">
        <w:rPr>
          <w:spacing w:val="-2"/>
          <w:kern w:val="22"/>
          <w:lang w:val="en-GB"/>
        </w:rPr>
        <w:t>per cent</w:t>
      </w:r>
      <w:r w:rsidRPr="00B44DBB">
        <w:rPr>
          <w:spacing w:val="-2"/>
          <w:kern w:val="22"/>
          <w:lang w:val="en-GB"/>
        </w:rPr>
        <w:t xml:space="preserve"> of sales in excess of </w:t>
      </w:r>
      <w:r w:rsidR="00171DE6" w:rsidRPr="00B44DBB">
        <w:rPr>
          <w:spacing w:val="-2"/>
          <w:kern w:val="22"/>
          <w:lang w:val="en-GB"/>
        </w:rPr>
        <w:t>$</w:t>
      </w:r>
      <w:r w:rsidRPr="00B44DBB">
        <w:rPr>
          <w:spacing w:val="-2"/>
          <w:kern w:val="22"/>
          <w:lang w:val="en-GB"/>
        </w:rPr>
        <w:t>25 million. The agreement w</w:t>
      </w:r>
      <w:r w:rsidR="00710C54" w:rsidRPr="00B44DBB">
        <w:rPr>
          <w:spacing w:val="-2"/>
          <w:kern w:val="22"/>
          <w:lang w:val="en-GB"/>
        </w:rPr>
        <w:t xml:space="preserve">ould </w:t>
      </w:r>
      <w:r w:rsidRPr="00B44DBB">
        <w:rPr>
          <w:spacing w:val="-2"/>
          <w:kern w:val="22"/>
          <w:lang w:val="en-GB"/>
        </w:rPr>
        <w:t xml:space="preserve">expire on February 28, 2020; however, either party </w:t>
      </w:r>
      <w:r w:rsidR="00710C54" w:rsidRPr="00B44DBB">
        <w:rPr>
          <w:spacing w:val="-2"/>
          <w:kern w:val="22"/>
          <w:lang w:val="en-GB"/>
        </w:rPr>
        <w:t>could</w:t>
      </w:r>
      <w:r w:rsidRPr="00B44DBB">
        <w:rPr>
          <w:spacing w:val="-2"/>
          <w:kern w:val="22"/>
          <w:lang w:val="en-GB"/>
        </w:rPr>
        <w:t xml:space="preserve"> terminate the agreement by providing written notice to the other party, at which point the agreement w</w:t>
      </w:r>
      <w:r w:rsidR="00710C54" w:rsidRPr="00B44DBB">
        <w:rPr>
          <w:spacing w:val="-2"/>
          <w:kern w:val="22"/>
          <w:lang w:val="en-GB"/>
        </w:rPr>
        <w:t>ould</w:t>
      </w:r>
      <w:r w:rsidRPr="00B44DBB">
        <w:rPr>
          <w:spacing w:val="-2"/>
          <w:kern w:val="22"/>
          <w:lang w:val="en-GB"/>
        </w:rPr>
        <w:t xml:space="preserve"> terminate six months after receipt of the notice. If Raintree were to terminate the agreement before August 31, 2019, </w:t>
      </w:r>
      <w:r w:rsidR="00710C54" w:rsidRPr="00B44DBB">
        <w:rPr>
          <w:spacing w:val="-2"/>
          <w:kern w:val="22"/>
          <w:lang w:val="en-GB"/>
        </w:rPr>
        <w:t>it</w:t>
      </w:r>
      <w:r w:rsidRPr="00B44DBB">
        <w:rPr>
          <w:spacing w:val="-2"/>
          <w:kern w:val="22"/>
          <w:lang w:val="en-GB"/>
        </w:rPr>
        <w:t xml:space="preserve"> would have to pay a termination fee equal to 50 </w:t>
      </w:r>
      <w:r w:rsidR="00171DE6" w:rsidRPr="00B44DBB">
        <w:rPr>
          <w:spacing w:val="-2"/>
          <w:kern w:val="22"/>
          <w:lang w:val="en-GB"/>
        </w:rPr>
        <w:t>per cent</w:t>
      </w:r>
      <w:r w:rsidRPr="00B44DBB">
        <w:rPr>
          <w:spacing w:val="-2"/>
          <w:kern w:val="22"/>
          <w:lang w:val="en-GB"/>
        </w:rPr>
        <w:t xml:space="preserve"> of the commission earned on those sales in excess of </w:t>
      </w:r>
      <w:r w:rsidR="00171DE6" w:rsidRPr="00B44DBB">
        <w:rPr>
          <w:spacing w:val="-2"/>
          <w:kern w:val="22"/>
          <w:lang w:val="en-GB"/>
        </w:rPr>
        <w:t>$</w:t>
      </w:r>
      <w:r w:rsidRPr="00B44DBB">
        <w:rPr>
          <w:spacing w:val="-2"/>
          <w:kern w:val="22"/>
          <w:lang w:val="en-GB"/>
        </w:rPr>
        <w:t xml:space="preserve">15 million for the previous </w:t>
      </w:r>
      <w:r w:rsidR="00710C54" w:rsidRPr="00B44DBB">
        <w:rPr>
          <w:spacing w:val="-2"/>
          <w:kern w:val="22"/>
          <w:lang w:val="en-GB"/>
        </w:rPr>
        <w:t>12</w:t>
      </w:r>
      <w:r w:rsidRPr="00B44DBB">
        <w:rPr>
          <w:spacing w:val="-2"/>
          <w:kern w:val="22"/>
          <w:lang w:val="en-GB"/>
        </w:rPr>
        <w:t xml:space="preserve"> months. Raintree officials believed that this arrangement was proving to be a profitable way to sell </w:t>
      </w:r>
      <w:r w:rsidR="00710C54" w:rsidRPr="00B44DBB">
        <w:rPr>
          <w:spacing w:val="-2"/>
          <w:kern w:val="22"/>
          <w:lang w:val="en-GB"/>
        </w:rPr>
        <w:t>RVC</w:t>
      </w:r>
      <w:r w:rsidRPr="00B44DBB">
        <w:rPr>
          <w:spacing w:val="-2"/>
          <w:kern w:val="22"/>
          <w:lang w:val="en-GB"/>
        </w:rPr>
        <w:t xml:space="preserve"> memberships with recovered RVC inventory and replace the normal losses in members that occur each year.</w:t>
      </w:r>
    </w:p>
    <w:p w14:paraId="7E4CF6C0" w14:textId="77777777" w:rsidR="00E24460" w:rsidRPr="00867F8A" w:rsidRDefault="00E24460" w:rsidP="00E24460">
      <w:pPr>
        <w:pStyle w:val="BodyTextMain"/>
        <w:rPr>
          <w:lang w:val="en-GB"/>
        </w:rPr>
      </w:pPr>
    </w:p>
    <w:p w14:paraId="33AF8D7E" w14:textId="760FCCF9" w:rsidR="00E24460" w:rsidRPr="00867F8A" w:rsidRDefault="00E24460" w:rsidP="00E24460">
      <w:pPr>
        <w:pStyle w:val="Casehead1"/>
        <w:rPr>
          <w:lang w:val="en-GB"/>
        </w:rPr>
      </w:pPr>
      <w:r w:rsidRPr="00867F8A">
        <w:rPr>
          <w:lang w:val="en-GB"/>
        </w:rPr>
        <w:t>timeshare industry</w:t>
      </w:r>
    </w:p>
    <w:p w14:paraId="70D3D943" w14:textId="77777777" w:rsidR="00E24460" w:rsidRPr="00867F8A" w:rsidRDefault="00E24460" w:rsidP="00E24460">
      <w:pPr>
        <w:pStyle w:val="Casehead1"/>
        <w:rPr>
          <w:lang w:val="en-GB"/>
        </w:rPr>
      </w:pPr>
    </w:p>
    <w:p w14:paraId="0A42CBEA" w14:textId="4991D91B" w:rsidR="00E24460" w:rsidRDefault="00E24460" w:rsidP="00E24460">
      <w:pPr>
        <w:pStyle w:val="BodyTextMain"/>
        <w:rPr>
          <w:shd w:val="clear" w:color="auto" w:fill="FFFFFF"/>
          <w:lang w:val="en-GB"/>
        </w:rPr>
      </w:pPr>
      <w:r w:rsidRPr="00867F8A">
        <w:rPr>
          <w:shd w:val="clear" w:color="auto" w:fill="FFFFFF"/>
          <w:lang w:val="en-GB"/>
        </w:rPr>
        <w:t>A</w:t>
      </w:r>
      <w:r w:rsidRPr="00867F8A">
        <w:rPr>
          <w:rStyle w:val="apple-converted-space"/>
          <w:rFonts w:ascii="Arial" w:hAnsi="Arial"/>
          <w:color w:val="252525"/>
          <w:shd w:val="clear" w:color="auto" w:fill="FFFFFF"/>
          <w:lang w:val="en-GB"/>
        </w:rPr>
        <w:t xml:space="preserve"> </w:t>
      </w:r>
      <w:r w:rsidRPr="00867F8A">
        <w:rPr>
          <w:bCs/>
          <w:shd w:val="clear" w:color="auto" w:fill="FFFFFF"/>
          <w:lang w:val="en-GB"/>
        </w:rPr>
        <w:t>timeshare</w:t>
      </w:r>
      <w:r w:rsidR="00B44DBB">
        <w:rPr>
          <w:rStyle w:val="apple-converted-space"/>
          <w:rFonts w:ascii="Arial" w:hAnsi="Arial"/>
          <w:color w:val="252525"/>
          <w:shd w:val="clear" w:color="auto" w:fill="FFFFFF"/>
          <w:lang w:val="en-GB"/>
        </w:rPr>
        <w:t xml:space="preserve"> </w:t>
      </w:r>
      <w:r w:rsidRPr="00867F8A">
        <w:rPr>
          <w:shd w:val="clear" w:color="auto" w:fill="FFFFFF"/>
          <w:lang w:val="en-GB"/>
        </w:rPr>
        <w:t>(</w:t>
      </w:r>
      <w:r w:rsidR="00217B78">
        <w:rPr>
          <w:shd w:val="clear" w:color="auto" w:fill="FFFFFF"/>
          <w:lang w:val="en-GB"/>
        </w:rPr>
        <w:t>i.e.,</w:t>
      </w:r>
      <w:r w:rsidR="00217B78" w:rsidRPr="00867F8A">
        <w:rPr>
          <w:rStyle w:val="apple-converted-space"/>
          <w:color w:val="252525"/>
          <w:shd w:val="clear" w:color="auto" w:fill="FFFFFF"/>
          <w:lang w:val="en-GB"/>
        </w:rPr>
        <w:t xml:space="preserve"> </w:t>
      </w:r>
      <w:r w:rsidR="008A0F9A" w:rsidRPr="00867F8A">
        <w:rPr>
          <w:rStyle w:val="apple-converted-space"/>
          <w:color w:val="252525"/>
          <w:shd w:val="clear" w:color="auto" w:fill="FFFFFF"/>
          <w:lang w:val="en-GB"/>
        </w:rPr>
        <w:t>“</w:t>
      </w:r>
      <w:r w:rsidRPr="00867F8A">
        <w:rPr>
          <w:bCs/>
          <w:shd w:val="clear" w:color="auto" w:fill="FFFFFF"/>
          <w:lang w:val="en-GB"/>
        </w:rPr>
        <w:t>vacation ownership</w:t>
      </w:r>
      <w:r w:rsidR="008A0F9A" w:rsidRPr="00867F8A">
        <w:rPr>
          <w:bCs/>
          <w:shd w:val="clear" w:color="auto" w:fill="FFFFFF"/>
          <w:lang w:val="en-GB"/>
        </w:rPr>
        <w:t>”</w:t>
      </w:r>
      <w:r w:rsidRPr="00867F8A">
        <w:rPr>
          <w:shd w:val="clear" w:color="auto" w:fill="FFFFFF"/>
          <w:lang w:val="en-GB"/>
        </w:rPr>
        <w:t xml:space="preserve">) </w:t>
      </w:r>
      <w:r w:rsidR="00457CBA" w:rsidRPr="00867F8A">
        <w:rPr>
          <w:shd w:val="clear" w:color="auto" w:fill="FFFFFF"/>
          <w:lang w:val="en-GB"/>
        </w:rPr>
        <w:t>was</w:t>
      </w:r>
      <w:r w:rsidRPr="00867F8A">
        <w:rPr>
          <w:shd w:val="clear" w:color="auto" w:fill="FFFFFF"/>
          <w:lang w:val="en-GB"/>
        </w:rPr>
        <w:t xml:space="preserve"> the common term </w:t>
      </w:r>
      <w:r w:rsidR="008A0F9A" w:rsidRPr="00867F8A">
        <w:rPr>
          <w:shd w:val="clear" w:color="auto" w:fill="FFFFFF"/>
          <w:lang w:val="en-GB"/>
        </w:rPr>
        <w:t>for</w:t>
      </w:r>
      <w:r w:rsidRPr="00867F8A">
        <w:rPr>
          <w:shd w:val="clear" w:color="auto" w:fill="FFFFFF"/>
          <w:lang w:val="en-GB"/>
        </w:rPr>
        <w:t xml:space="preserve"> a property with a particular form of ownership or use rights. </w:t>
      </w:r>
      <w:r w:rsidR="00636129" w:rsidRPr="00867F8A">
        <w:rPr>
          <w:shd w:val="clear" w:color="auto" w:fill="FFFFFF"/>
          <w:lang w:val="en-GB"/>
        </w:rPr>
        <w:t>Timeshare properties were</w:t>
      </w:r>
      <w:r w:rsidRPr="00867F8A">
        <w:rPr>
          <w:shd w:val="clear" w:color="auto" w:fill="FFFFFF"/>
          <w:lang w:val="en-GB"/>
        </w:rPr>
        <w:t xml:space="preserve"> typically located in resort</w:t>
      </w:r>
      <w:r w:rsidRPr="00867F8A">
        <w:rPr>
          <w:rStyle w:val="apple-converted-space"/>
          <w:rFonts w:ascii="Arial" w:hAnsi="Arial"/>
          <w:color w:val="252525"/>
          <w:shd w:val="clear" w:color="auto" w:fill="FFFFFF"/>
          <w:lang w:val="en-GB"/>
        </w:rPr>
        <w:t> </w:t>
      </w:r>
      <w:r w:rsidRPr="00867F8A">
        <w:rPr>
          <w:shd w:val="clear" w:color="auto" w:fill="FFFFFF"/>
          <w:lang w:val="en-GB"/>
        </w:rPr>
        <w:t>condominium units.</w:t>
      </w:r>
    </w:p>
    <w:p w14:paraId="7B42BA6B" w14:textId="77777777" w:rsidR="00217B78" w:rsidRPr="00867F8A" w:rsidRDefault="00217B78" w:rsidP="00E24460">
      <w:pPr>
        <w:pStyle w:val="BodyTextMain"/>
        <w:rPr>
          <w:shd w:val="clear" w:color="auto" w:fill="FFFFFF"/>
          <w:lang w:val="en-GB"/>
        </w:rPr>
      </w:pPr>
    </w:p>
    <w:p w14:paraId="430FC8A7" w14:textId="77777777" w:rsidR="00D03D06" w:rsidRPr="00867F8A" w:rsidRDefault="00D03D06" w:rsidP="00E24460">
      <w:pPr>
        <w:pStyle w:val="BodyTextMain"/>
        <w:rPr>
          <w:rFonts w:ascii="Arial" w:hAnsi="Arial" w:cs="Arial"/>
          <w:b/>
          <w:sz w:val="20"/>
          <w:szCs w:val="20"/>
          <w:lang w:val="en-GB"/>
        </w:rPr>
      </w:pPr>
      <w:r w:rsidRPr="00867F8A">
        <w:rPr>
          <w:rFonts w:ascii="Arial" w:hAnsi="Arial" w:cs="Arial"/>
          <w:b/>
          <w:sz w:val="20"/>
          <w:szCs w:val="20"/>
          <w:lang w:val="en-GB"/>
        </w:rPr>
        <w:lastRenderedPageBreak/>
        <w:t>History</w:t>
      </w:r>
    </w:p>
    <w:p w14:paraId="1A5495C0" w14:textId="77777777" w:rsidR="00D03D06" w:rsidRPr="00867F8A" w:rsidRDefault="00D03D06" w:rsidP="00E24460">
      <w:pPr>
        <w:pStyle w:val="BodyTextMain"/>
        <w:rPr>
          <w:lang w:val="en-GB"/>
        </w:rPr>
      </w:pPr>
    </w:p>
    <w:p w14:paraId="67073087" w14:textId="7CFDC863" w:rsidR="00E24460" w:rsidRPr="00867F8A" w:rsidRDefault="00857156" w:rsidP="00E24460">
      <w:pPr>
        <w:pStyle w:val="BodyTextMain"/>
        <w:rPr>
          <w:lang w:val="en-GB"/>
        </w:rPr>
      </w:pPr>
      <w:r w:rsidRPr="00867F8A">
        <w:rPr>
          <w:lang w:val="en-GB"/>
        </w:rPr>
        <w:t>T</w:t>
      </w:r>
      <w:r w:rsidR="00E24460" w:rsidRPr="00867F8A">
        <w:rPr>
          <w:lang w:val="en-GB"/>
        </w:rPr>
        <w:t>he term “timeshare” was thought to be coined in the United Kingdom in the early 1960s. Some sa</w:t>
      </w:r>
      <w:r w:rsidRPr="00867F8A">
        <w:rPr>
          <w:lang w:val="en-GB"/>
        </w:rPr>
        <w:t>id</w:t>
      </w:r>
      <w:r w:rsidR="00E24460" w:rsidRPr="00867F8A">
        <w:rPr>
          <w:lang w:val="en-GB"/>
        </w:rPr>
        <w:t xml:space="preserve"> the timeshare idea was a way to salvage the failed beachfront condominium properties in Florida</w:t>
      </w:r>
      <w:r w:rsidR="00B02AB1" w:rsidRPr="00867F8A">
        <w:rPr>
          <w:lang w:val="en-GB"/>
        </w:rPr>
        <w:t xml:space="preserve"> at the time</w:t>
      </w:r>
      <w:r w:rsidR="00E24460" w:rsidRPr="00867F8A">
        <w:rPr>
          <w:lang w:val="en-GB"/>
        </w:rPr>
        <w:t xml:space="preserve">. The timeshares </w:t>
      </w:r>
      <w:r w:rsidRPr="00867F8A">
        <w:rPr>
          <w:lang w:val="en-GB"/>
        </w:rPr>
        <w:t xml:space="preserve">were </w:t>
      </w:r>
      <w:r w:rsidR="00E24460" w:rsidRPr="00867F8A">
        <w:rPr>
          <w:lang w:val="en-GB"/>
        </w:rPr>
        <w:t xml:space="preserve">initially </w:t>
      </w:r>
      <w:r w:rsidRPr="00867F8A">
        <w:rPr>
          <w:lang w:val="en-GB"/>
        </w:rPr>
        <w:t>s</w:t>
      </w:r>
      <w:r w:rsidR="00E24460" w:rsidRPr="00867F8A">
        <w:rPr>
          <w:lang w:val="en-GB"/>
        </w:rPr>
        <w:t>old on a fixed-week basis</w:t>
      </w:r>
      <w:r w:rsidR="00B02AB1" w:rsidRPr="00867F8A">
        <w:rPr>
          <w:lang w:val="en-GB"/>
        </w:rPr>
        <w:t xml:space="preserve">, which </w:t>
      </w:r>
      <w:r w:rsidR="00E24460" w:rsidRPr="00867F8A">
        <w:rPr>
          <w:lang w:val="en-GB"/>
        </w:rPr>
        <w:t xml:space="preserve">then became floating weeks with reservation policies adopted to promote equitable access to the various resort properties during prime season. Weeks were priced according to seasonal demand, varying from location to location. For example, mountain properties were priced higher during ski season and lower during pre- and post-ski seasons. </w:t>
      </w:r>
      <w:r w:rsidR="00A375E0" w:rsidRPr="00867F8A">
        <w:rPr>
          <w:lang w:val="en-GB"/>
        </w:rPr>
        <w:t xml:space="preserve">Later, </w:t>
      </w:r>
      <w:r w:rsidR="00E24460" w:rsidRPr="00867F8A">
        <w:rPr>
          <w:lang w:val="en-GB"/>
        </w:rPr>
        <w:t xml:space="preserve">the advent of a points overlay and vacation clubs by developers with multiple properties provided even greater flexibility of the use of timeshares, </w:t>
      </w:r>
      <w:r w:rsidR="00391A8A" w:rsidRPr="00867F8A">
        <w:rPr>
          <w:lang w:val="en-GB"/>
        </w:rPr>
        <w:t xml:space="preserve">making </w:t>
      </w:r>
      <w:r w:rsidR="00E24460" w:rsidRPr="00867F8A">
        <w:rPr>
          <w:lang w:val="en-GB"/>
        </w:rPr>
        <w:t>the</w:t>
      </w:r>
      <w:r w:rsidR="00352682" w:rsidRPr="00867F8A">
        <w:rPr>
          <w:lang w:val="en-GB"/>
        </w:rPr>
        <w:t xml:space="preserve">m more attractive to purchasers </w:t>
      </w:r>
      <w:r w:rsidR="00D75DC1" w:rsidRPr="00867F8A">
        <w:rPr>
          <w:lang w:val="en-GB"/>
        </w:rPr>
        <w:t>(see Exhibit 5)</w:t>
      </w:r>
      <w:r w:rsidRPr="00867F8A">
        <w:rPr>
          <w:lang w:val="en-GB"/>
        </w:rPr>
        <w:t>.</w:t>
      </w:r>
    </w:p>
    <w:p w14:paraId="19DD8615" w14:textId="77777777" w:rsidR="00E24460" w:rsidRPr="00867F8A" w:rsidRDefault="00E24460" w:rsidP="00E24460">
      <w:pPr>
        <w:pStyle w:val="BodyTextMain"/>
        <w:rPr>
          <w:lang w:val="en-GB"/>
        </w:rPr>
      </w:pPr>
    </w:p>
    <w:p w14:paraId="626DA1B4" w14:textId="4B4562E9" w:rsidR="00E24460" w:rsidRPr="00867F8A" w:rsidRDefault="00391A8A" w:rsidP="00E24460">
      <w:pPr>
        <w:pStyle w:val="BodyTextMain"/>
        <w:rPr>
          <w:lang w:val="en-GB"/>
        </w:rPr>
      </w:pPr>
      <w:r w:rsidRPr="00867F8A">
        <w:rPr>
          <w:lang w:val="en-GB"/>
        </w:rPr>
        <w:t>T</w:t>
      </w:r>
      <w:r w:rsidR="00E24460" w:rsidRPr="00867F8A">
        <w:rPr>
          <w:lang w:val="en-GB"/>
        </w:rPr>
        <w:t>he economics</w:t>
      </w:r>
      <w:r w:rsidRPr="00867F8A">
        <w:rPr>
          <w:lang w:val="en-GB"/>
        </w:rPr>
        <w:t xml:space="preserve"> </w:t>
      </w:r>
      <w:r w:rsidR="007514F3" w:rsidRPr="00867F8A">
        <w:rPr>
          <w:lang w:val="en-GB"/>
        </w:rPr>
        <w:t>behind</w:t>
      </w:r>
      <w:r w:rsidRPr="00867F8A">
        <w:rPr>
          <w:lang w:val="en-GB"/>
        </w:rPr>
        <w:t xml:space="preserve"> timeshares w</w:t>
      </w:r>
      <w:r w:rsidR="007514F3" w:rsidRPr="00867F8A">
        <w:rPr>
          <w:lang w:val="en-GB"/>
        </w:rPr>
        <w:t>ere</w:t>
      </w:r>
      <w:r w:rsidRPr="00867F8A">
        <w:rPr>
          <w:lang w:val="en-GB"/>
        </w:rPr>
        <w:t xml:space="preserve"> </w:t>
      </w:r>
      <w:r w:rsidR="00E24460" w:rsidRPr="00867F8A">
        <w:rPr>
          <w:lang w:val="en-GB"/>
        </w:rPr>
        <w:t xml:space="preserve">clear until about 2008: </w:t>
      </w:r>
      <w:r w:rsidR="00A375E0" w:rsidRPr="00867F8A">
        <w:rPr>
          <w:lang w:val="en-GB"/>
        </w:rPr>
        <w:t>t</w:t>
      </w:r>
      <w:r w:rsidR="00E24460" w:rsidRPr="00867F8A">
        <w:rPr>
          <w:lang w:val="en-GB"/>
        </w:rPr>
        <w:t>he property might represent 25–30</w:t>
      </w:r>
      <w:r w:rsidR="00D03D06" w:rsidRPr="00867F8A">
        <w:rPr>
          <w:lang w:val="en-GB"/>
        </w:rPr>
        <w:t xml:space="preserve"> per cent</w:t>
      </w:r>
      <w:r w:rsidR="00E24460" w:rsidRPr="00867F8A">
        <w:rPr>
          <w:lang w:val="en-GB"/>
        </w:rPr>
        <w:t xml:space="preserve"> of the total sales price, with sales and marketing costs representing upward of 50</w:t>
      </w:r>
      <w:r w:rsidR="00D03D06" w:rsidRPr="00867F8A">
        <w:rPr>
          <w:lang w:val="en-GB"/>
        </w:rPr>
        <w:t xml:space="preserve"> per cent</w:t>
      </w:r>
      <w:r w:rsidR="00E24460" w:rsidRPr="00867F8A">
        <w:rPr>
          <w:lang w:val="en-GB"/>
        </w:rPr>
        <w:t xml:space="preserve"> or even more, and general and administrative costs representing about 10</w:t>
      </w:r>
      <w:r w:rsidR="00D03D06" w:rsidRPr="00867F8A">
        <w:rPr>
          <w:lang w:val="en-GB"/>
        </w:rPr>
        <w:t xml:space="preserve"> per cent</w:t>
      </w:r>
      <w:r w:rsidR="00E24460" w:rsidRPr="00867F8A">
        <w:rPr>
          <w:lang w:val="en-GB"/>
        </w:rPr>
        <w:t xml:space="preserve">, depending on the scale of the operation. </w:t>
      </w:r>
      <w:r w:rsidR="00B02AB1" w:rsidRPr="00867F8A">
        <w:rPr>
          <w:lang w:val="en-GB"/>
        </w:rPr>
        <w:t>A</w:t>
      </w:r>
      <w:r w:rsidR="00E24460" w:rsidRPr="00867F8A">
        <w:rPr>
          <w:lang w:val="en-GB"/>
        </w:rPr>
        <w:t xml:space="preserve"> major financial aspect was that timeshare sales would be financed by the buyer, with down payments as low as 10</w:t>
      </w:r>
      <w:r w:rsidR="00D03D06" w:rsidRPr="00867F8A">
        <w:rPr>
          <w:lang w:val="en-GB"/>
        </w:rPr>
        <w:t xml:space="preserve"> per cent</w:t>
      </w:r>
      <w:r w:rsidR="00E24460" w:rsidRPr="00867F8A">
        <w:rPr>
          <w:lang w:val="en-GB"/>
        </w:rPr>
        <w:t xml:space="preserve"> of the purchase price and five- to seven-year </w:t>
      </w:r>
      <w:proofErr w:type="spellStart"/>
      <w:r w:rsidR="00E24460" w:rsidRPr="00867F8A">
        <w:rPr>
          <w:lang w:val="en-GB"/>
        </w:rPr>
        <w:t>installment</w:t>
      </w:r>
      <w:proofErr w:type="spellEnd"/>
      <w:r w:rsidR="00E24460" w:rsidRPr="00867F8A">
        <w:rPr>
          <w:lang w:val="en-GB"/>
        </w:rPr>
        <w:t xml:space="preserve"> contracts (or more) that often had interest rates in the mid-teens. In 2008, with the collapse of the credit markets and the recession, timeshare developers who had </w:t>
      </w:r>
      <w:r w:rsidR="0005706E" w:rsidRPr="00867F8A">
        <w:rPr>
          <w:lang w:val="en-GB"/>
        </w:rPr>
        <w:t xml:space="preserve">substantial </w:t>
      </w:r>
      <w:r w:rsidR="00E24460" w:rsidRPr="00867F8A">
        <w:rPr>
          <w:lang w:val="en-GB"/>
        </w:rPr>
        <w:t xml:space="preserve">development debt or had hypothecated or financed their consumer </w:t>
      </w:r>
      <w:proofErr w:type="spellStart"/>
      <w:r w:rsidR="00E24460" w:rsidRPr="00867F8A">
        <w:rPr>
          <w:lang w:val="en-GB"/>
        </w:rPr>
        <w:t>installment</w:t>
      </w:r>
      <w:proofErr w:type="spellEnd"/>
      <w:r w:rsidR="00E24460" w:rsidRPr="00867F8A">
        <w:rPr>
          <w:lang w:val="en-GB"/>
        </w:rPr>
        <w:t xml:space="preserve"> contracts found themselves with major consumer defaults and </w:t>
      </w:r>
      <w:r w:rsidR="00352682" w:rsidRPr="00867F8A">
        <w:rPr>
          <w:lang w:val="en-GB"/>
        </w:rPr>
        <w:t xml:space="preserve">debt that could not be serviced </w:t>
      </w:r>
      <w:r w:rsidR="008E015A" w:rsidRPr="00867F8A">
        <w:rPr>
          <w:lang w:val="en-GB"/>
        </w:rPr>
        <w:t>(see Exhibit 6).</w:t>
      </w:r>
    </w:p>
    <w:p w14:paraId="22E15A92" w14:textId="77777777" w:rsidR="00E24460" w:rsidRPr="00867F8A" w:rsidRDefault="00E24460" w:rsidP="00E24460">
      <w:pPr>
        <w:pStyle w:val="BodyTextMain"/>
        <w:rPr>
          <w:lang w:val="en-GB"/>
        </w:rPr>
      </w:pPr>
    </w:p>
    <w:p w14:paraId="3A5C6742" w14:textId="3FF05CB0" w:rsidR="00E24460" w:rsidRPr="00867F8A" w:rsidRDefault="00E24460" w:rsidP="00E24460">
      <w:pPr>
        <w:pStyle w:val="BodyTextMain"/>
        <w:rPr>
          <w:lang w:val="en-GB"/>
        </w:rPr>
      </w:pPr>
      <w:r w:rsidRPr="00867F8A">
        <w:rPr>
          <w:lang w:val="en-GB"/>
        </w:rPr>
        <w:t xml:space="preserve">The 2008–2010 period resulted in </w:t>
      </w:r>
      <w:r w:rsidR="00391A8A" w:rsidRPr="00867F8A">
        <w:rPr>
          <w:lang w:val="en-GB"/>
        </w:rPr>
        <w:t xml:space="preserve">a </w:t>
      </w:r>
      <w:r w:rsidRPr="00867F8A">
        <w:rPr>
          <w:lang w:val="en-GB"/>
        </w:rPr>
        <w:t xml:space="preserve">significant supply of timeshares </w:t>
      </w:r>
      <w:r w:rsidR="00391A8A" w:rsidRPr="00867F8A">
        <w:rPr>
          <w:lang w:val="en-GB"/>
        </w:rPr>
        <w:t>o</w:t>
      </w:r>
      <w:r w:rsidRPr="00867F8A">
        <w:rPr>
          <w:lang w:val="en-GB"/>
        </w:rPr>
        <w:t>n the market. The timeshare companies that had strong balance sheets were able to continue to operate</w:t>
      </w:r>
      <w:r w:rsidR="00391A8A" w:rsidRPr="00867F8A">
        <w:rPr>
          <w:lang w:val="en-GB"/>
        </w:rPr>
        <w:t xml:space="preserve">. They </w:t>
      </w:r>
      <w:r w:rsidRPr="00867F8A">
        <w:rPr>
          <w:lang w:val="en-GB"/>
        </w:rPr>
        <w:t>began to acquire defaulted properties or timeshare interests at a price between 10</w:t>
      </w:r>
      <w:r w:rsidR="00391A8A" w:rsidRPr="00867F8A">
        <w:rPr>
          <w:lang w:val="en-GB"/>
        </w:rPr>
        <w:t xml:space="preserve"> </w:t>
      </w:r>
      <w:r w:rsidRPr="00867F8A">
        <w:rPr>
          <w:lang w:val="en-GB"/>
        </w:rPr>
        <w:t>and 20</w:t>
      </w:r>
      <w:r w:rsidR="00D03D06" w:rsidRPr="00867F8A">
        <w:rPr>
          <w:lang w:val="en-GB"/>
        </w:rPr>
        <w:t xml:space="preserve"> per cent</w:t>
      </w:r>
      <w:r w:rsidRPr="00867F8A">
        <w:rPr>
          <w:lang w:val="en-GB"/>
        </w:rPr>
        <w:t xml:space="preserve"> of the total sales price (often </w:t>
      </w:r>
      <w:r w:rsidR="00391A8A" w:rsidRPr="00867F8A">
        <w:rPr>
          <w:lang w:val="en-GB"/>
        </w:rPr>
        <w:t xml:space="preserve">even </w:t>
      </w:r>
      <w:r w:rsidRPr="00867F8A">
        <w:rPr>
          <w:lang w:val="en-GB"/>
        </w:rPr>
        <w:t>lower), resulting in a much higher margin of profitability.</w:t>
      </w:r>
    </w:p>
    <w:p w14:paraId="05F22F1D" w14:textId="77777777" w:rsidR="00E24460" w:rsidRPr="00867F8A" w:rsidRDefault="00E24460" w:rsidP="00E24460">
      <w:pPr>
        <w:pStyle w:val="BodyTextMain"/>
        <w:rPr>
          <w:lang w:val="en-GB"/>
        </w:rPr>
      </w:pPr>
    </w:p>
    <w:p w14:paraId="370620BC" w14:textId="03208FD4" w:rsidR="00E24460" w:rsidRPr="00867F8A" w:rsidRDefault="00E24460" w:rsidP="00E24460">
      <w:pPr>
        <w:pStyle w:val="BodyTextMain"/>
        <w:rPr>
          <w:lang w:val="en-GB"/>
        </w:rPr>
      </w:pPr>
      <w:r w:rsidRPr="00867F8A">
        <w:rPr>
          <w:lang w:val="en-GB"/>
        </w:rPr>
        <w:t>From 2010 to 2017, the timeshare industry became consolidated</w:t>
      </w:r>
      <w:r w:rsidR="00391A8A" w:rsidRPr="00867F8A">
        <w:rPr>
          <w:lang w:val="en-GB"/>
        </w:rPr>
        <w:t xml:space="preserve">. The </w:t>
      </w:r>
      <w:r w:rsidRPr="00867F8A">
        <w:rPr>
          <w:lang w:val="en-GB"/>
        </w:rPr>
        <w:t xml:space="preserve">major participants </w:t>
      </w:r>
      <w:r w:rsidR="00391A8A" w:rsidRPr="00867F8A">
        <w:rPr>
          <w:lang w:val="en-GB"/>
        </w:rPr>
        <w:t xml:space="preserve">were </w:t>
      </w:r>
      <w:r w:rsidRPr="00867F8A">
        <w:rPr>
          <w:lang w:val="en-GB"/>
        </w:rPr>
        <w:t>Wyndham, Marriott, Hilton, Holiday Inn Club Vacations, Bluegreen, Disney, and Diamond Resorts (owned by</w:t>
      </w:r>
      <w:r w:rsidR="00391A8A" w:rsidRPr="00867F8A">
        <w:rPr>
          <w:lang w:val="en-GB"/>
        </w:rPr>
        <w:t xml:space="preserve"> The</w:t>
      </w:r>
      <w:r w:rsidRPr="00867F8A">
        <w:rPr>
          <w:lang w:val="en-GB"/>
        </w:rPr>
        <w:t xml:space="preserve"> Apollo Group). These participants captured over 80</w:t>
      </w:r>
      <w:r w:rsidR="00D03D06" w:rsidRPr="00867F8A">
        <w:rPr>
          <w:lang w:val="en-GB"/>
        </w:rPr>
        <w:t xml:space="preserve"> per cent</w:t>
      </w:r>
      <w:r w:rsidRPr="00867F8A">
        <w:rPr>
          <w:lang w:val="en-GB"/>
        </w:rPr>
        <w:t xml:space="preserve"> of the worldwide sales of the timeshare industry</w:t>
      </w:r>
      <w:r w:rsidR="00391A8A" w:rsidRPr="00867F8A">
        <w:rPr>
          <w:lang w:val="en-GB"/>
        </w:rPr>
        <w:t>. T</w:t>
      </w:r>
      <w:r w:rsidRPr="00867F8A">
        <w:rPr>
          <w:lang w:val="en-GB"/>
        </w:rPr>
        <w:t>he United States remained the leader, but companies in Brazil</w:t>
      </w:r>
      <w:r w:rsidR="00391A8A" w:rsidRPr="00867F8A">
        <w:rPr>
          <w:lang w:val="en-GB"/>
        </w:rPr>
        <w:t xml:space="preserve"> and </w:t>
      </w:r>
      <w:r w:rsidRPr="00867F8A">
        <w:rPr>
          <w:lang w:val="en-GB"/>
        </w:rPr>
        <w:t>Mexico</w:t>
      </w:r>
      <w:r w:rsidR="00391A8A" w:rsidRPr="00867F8A">
        <w:rPr>
          <w:lang w:val="en-GB"/>
        </w:rPr>
        <w:t xml:space="preserve"> </w:t>
      </w:r>
      <w:r w:rsidRPr="00867F8A">
        <w:rPr>
          <w:lang w:val="en-GB"/>
        </w:rPr>
        <w:t xml:space="preserve">and </w:t>
      </w:r>
      <w:r w:rsidR="00391A8A" w:rsidRPr="00867F8A">
        <w:rPr>
          <w:lang w:val="en-GB"/>
        </w:rPr>
        <w:t xml:space="preserve">in </w:t>
      </w:r>
      <w:r w:rsidRPr="00867F8A">
        <w:rPr>
          <w:lang w:val="en-GB"/>
        </w:rPr>
        <w:t>Asian countries were growing rapidly as th</w:t>
      </w:r>
      <w:r w:rsidR="0005706E" w:rsidRPr="00867F8A">
        <w:rPr>
          <w:lang w:val="en-GB"/>
        </w:rPr>
        <w:t>e timeshare</w:t>
      </w:r>
      <w:r w:rsidRPr="00867F8A">
        <w:rPr>
          <w:lang w:val="en-GB"/>
        </w:rPr>
        <w:t xml:space="preserve"> concept spread around the world. The major participants had significantly lowered the sales and marketing costs to less than 40</w:t>
      </w:r>
      <w:r w:rsidR="00D03D06" w:rsidRPr="00867F8A">
        <w:rPr>
          <w:lang w:val="en-GB"/>
        </w:rPr>
        <w:t xml:space="preserve"> per cent</w:t>
      </w:r>
      <w:r w:rsidRPr="00867F8A">
        <w:rPr>
          <w:lang w:val="en-GB"/>
        </w:rPr>
        <w:t xml:space="preserve"> (or even much lower) of the total sales price</w:t>
      </w:r>
      <w:r w:rsidR="00B02AB1" w:rsidRPr="00867F8A">
        <w:rPr>
          <w:lang w:val="en-GB"/>
        </w:rPr>
        <w:t xml:space="preserve">. They </w:t>
      </w:r>
      <w:r w:rsidRPr="00867F8A">
        <w:rPr>
          <w:lang w:val="en-GB"/>
        </w:rPr>
        <w:t>generally had access to much lower capital to finance the consumer purch</w:t>
      </w:r>
      <w:r w:rsidR="00352682" w:rsidRPr="00867F8A">
        <w:rPr>
          <w:lang w:val="en-GB"/>
        </w:rPr>
        <w:t xml:space="preserve">ases of their timeshare product </w:t>
      </w:r>
      <w:r w:rsidR="008E015A" w:rsidRPr="00867F8A">
        <w:rPr>
          <w:lang w:val="en-GB"/>
        </w:rPr>
        <w:t>(see Exhibit</w:t>
      </w:r>
      <w:r w:rsidR="00C36116" w:rsidRPr="00867F8A">
        <w:rPr>
          <w:lang w:val="en-GB"/>
        </w:rPr>
        <w:t> </w:t>
      </w:r>
      <w:r w:rsidR="008E015A" w:rsidRPr="00867F8A">
        <w:rPr>
          <w:lang w:val="en-GB"/>
        </w:rPr>
        <w:t>7)</w:t>
      </w:r>
      <w:r w:rsidR="00C36116" w:rsidRPr="00867F8A">
        <w:rPr>
          <w:lang w:val="en-GB"/>
        </w:rPr>
        <w:t>.</w:t>
      </w:r>
    </w:p>
    <w:p w14:paraId="0122A4CB" w14:textId="77777777" w:rsidR="00E24460" w:rsidRPr="00867F8A" w:rsidRDefault="00E24460" w:rsidP="00E24460">
      <w:pPr>
        <w:pStyle w:val="BodyTextMain"/>
        <w:rPr>
          <w:lang w:val="en-GB"/>
        </w:rPr>
      </w:pPr>
    </w:p>
    <w:p w14:paraId="2E8C1F74" w14:textId="77777777" w:rsidR="00231A34" w:rsidRPr="00867F8A" w:rsidRDefault="00231A34" w:rsidP="00E24460">
      <w:pPr>
        <w:pStyle w:val="BodyTextMain"/>
        <w:rPr>
          <w:lang w:val="en-GB"/>
        </w:rPr>
      </w:pPr>
    </w:p>
    <w:p w14:paraId="30DA6353" w14:textId="104301D2" w:rsidR="00E24460" w:rsidRPr="00867F8A" w:rsidRDefault="00E24460" w:rsidP="00143496">
      <w:pPr>
        <w:pStyle w:val="BodyTextMain"/>
        <w:rPr>
          <w:lang w:val="en-GB"/>
        </w:rPr>
      </w:pPr>
      <w:r w:rsidRPr="00867F8A">
        <w:rPr>
          <w:rFonts w:ascii="Arial" w:hAnsi="Arial" w:cs="Arial"/>
          <w:b/>
          <w:sz w:val="20"/>
          <w:szCs w:val="20"/>
          <w:lang w:val="en-GB"/>
        </w:rPr>
        <w:t>2014</w:t>
      </w:r>
      <w:r w:rsidR="00924A68" w:rsidRPr="00867F8A">
        <w:rPr>
          <w:rFonts w:ascii="Arial" w:hAnsi="Arial" w:cs="Arial"/>
          <w:b/>
          <w:sz w:val="20"/>
          <w:szCs w:val="20"/>
          <w:lang w:val="en-GB"/>
        </w:rPr>
        <w:t>–</w:t>
      </w:r>
      <w:r w:rsidRPr="00867F8A">
        <w:rPr>
          <w:rFonts w:ascii="Arial" w:hAnsi="Arial" w:cs="Arial"/>
          <w:b/>
          <w:sz w:val="20"/>
          <w:szCs w:val="20"/>
          <w:lang w:val="en-GB"/>
        </w:rPr>
        <w:t>2017</w:t>
      </w:r>
      <w:r w:rsidR="00924A68" w:rsidRPr="00867F8A">
        <w:rPr>
          <w:rFonts w:ascii="Arial" w:hAnsi="Arial" w:cs="Arial"/>
          <w:b/>
          <w:sz w:val="20"/>
          <w:szCs w:val="20"/>
          <w:lang w:val="en-GB"/>
        </w:rPr>
        <w:t xml:space="preserve"> Period</w:t>
      </w:r>
    </w:p>
    <w:p w14:paraId="45213A23" w14:textId="77777777" w:rsidR="00E24460" w:rsidRPr="00867F8A" w:rsidRDefault="00E24460" w:rsidP="00E24460">
      <w:pPr>
        <w:pStyle w:val="Casehead1"/>
        <w:rPr>
          <w:lang w:val="en-GB"/>
        </w:rPr>
      </w:pPr>
    </w:p>
    <w:p w14:paraId="26C01DC8" w14:textId="09777780" w:rsidR="00E24460" w:rsidRPr="00867F8A" w:rsidRDefault="00E24460" w:rsidP="00E24460">
      <w:pPr>
        <w:pStyle w:val="BodyTextMain"/>
        <w:rPr>
          <w:lang w:val="en-GB"/>
        </w:rPr>
      </w:pPr>
      <w:r w:rsidRPr="00867F8A">
        <w:rPr>
          <w:rStyle w:val="apple-converted-space"/>
          <w:lang w:val="en-GB"/>
        </w:rPr>
        <w:t xml:space="preserve">From a demographic perspective, </w:t>
      </w:r>
      <w:r w:rsidR="00F83C21" w:rsidRPr="00867F8A">
        <w:rPr>
          <w:rStyle w:val="apple-converted-space"/>
          <w:lang w:val="en-GB"/>
        </w:rPr>
        <w:t>the American Resort Development Association (</w:t>
      </w:r>
      <w:r w:rsidRPr="00867F8A">
        <w:rPr>
          <w:rStyle w:val="apple-converted-space"/>
          <w:lang w:val="en-GB"/>
        </w:rPr>
        <w:t>ARDA</w:t>
      </w:r>
      <w:r w:rsidR="00F83C21" w:rsidRPr="00867F8A">
        <w:rPr>
          <w:rStyle w:val="apple-converted-space"/>
          <w:lang w:val="en-GB"/>
        </w:rPr>
        <w:t>)</w:t>
      </w:r>
      <w:r w:rsidRPr="00867F8A">
        <w:rPr>
          <w:rStyle w:val="apple-converted-space"/>
          <w:lang w:val="en-GB"/>
        </w:rPr>
        <w:t xml:space="preserve"> reported in November 2014 that the timeshare industry had finally returned to growth mode due to a shift in ownership. The new owners were “younger, had higher incomes than current owners, and represented a more culturally diverse cross-section of the U.S. households.”</w:t>
      </w:r>
      <w:r w:rsidRPr="00867F8A">
        <w:rPr>
          <w:rStyle w:val="FootnoteReference"/>
          <w:sz w:val="20"/>
          <w:szCs w:val="20"/>
          <w:lang w:val="en-GB"/>
        </w:rPr>
        <w:footnoteReference w:id="2"/>
      </w:r>
    </w:p>
    <w:p w14:paraId="47303015" w14:textId="77777777" w:rsidR="00F83C21" w:rsidRPr="00867F8A" w:rsidRDefault="00F83C21" w:rsidP="00E24460">
      <w:pPr>
        <w:pStyle w:val="BodyTextMain"/>
        <w:rPr>
          <w:lang w:val="en-GB"/>
        </w:rPr>
      </w:pPr>
    </w:p>
    <w:p w14:paraId="3906CABF" w14:textId="133A5ADC" w:rsidR="00E24460" w:rsidRPr="00867F8A" w:rsidRDefault="00E24460" w:rsidP="00E24460">
      <w:pPr>
        <w:pStyle w:val="BodyTextMain"/>
        <w:rPr>
          <w:lang w:val="en-GB"/>
        </w:rPr>
      </w:pPr>
      <w:r w:rsidRPr="00867F8A">
        <w:rPr>
          <w:lang w:val="en-GB"/>
        </w:rPr>
        <w:t xml:space="preserve">Ernst &amp; Young’s 2016 edition of the </w:t>
      </w:r>
      <w:r w:rsidRPr="00867F8A">
        <w:rPr>
          <w:i/>
          <w:lang w:val="en-GB"/>
        </w:rPr>
        <w:t xml:space="preserve">State of the Vacation Timeshare </w:t>
      </w:r>
      <w:r w:rsidR="00924A68" w:rsidRPr="00867F8A">
        <w:rPr>
          <w:i/>
          <w:lang w:val="en-GB"/>
        </w:rPr>
        <w:t>I</w:t>
      </w:r>
      <w:r w:rsidRPr="00867F8A">
        <w:rPr>
          <w:i/>
          <w:lang w:val="en-GB"/>
        </w:rPr>
        <w:t>ndustry</w:t>
      </w:r>
      <w:r w:rsidR="00592A79" w:rsidRPr="00867F8A">
        <w:rPr>
          <w:lang w:val="en-GB"/>
        </w:rPr>
        <w:t xml:space="preserve">, prepared for ARDA, </w:t>
      </w:r>
      <w:r w:rsidRPr="00867F8A">
        <w:rPr>
          <w:lang w:val="en-GB"/>
        </w:rPr>
        <w:t>provided a snapshot of the industry at the end of 2015. The</w:t>
      </w:r>
      <w:r w:rsidR="00592A79" w:rsidRPr="00867F8A">
        <w:rPr>
          <w:lang w:val="en-GB"/>
        </w:rPr>
        <w:t xml:space="preserve"> </w:t>
      </w:r>
      <w:r w:rsidRPr="00867F8A">
        <w:rPr>
          <w:lang w:val="en-GB"/>
        </w:rPr>
        <w:t>information was based on a survey of timeshare resorts that were in the business of selling and maintaining interval and points-based vacation lodging products</w:t>
      </w:r>
      <w:r w:rsidR="00924A68" w:rsidRPr="00867F8A">
        <w:rPr>
          <w:lang w:val="en-GB"/>
        </w:rPr>
        <w:t>.</w:t>
      </w:r>
      <w:r w:rsidR="00636129" w:rsidRPr="00867F8A">
        <w:rPr>
          <w:rStyle w:val="apple-converted-space"/>
          <w:lang w:val="en-GB"/>
        </w:rPr>
        <w:t xml:space="preserve"> </w:t>
      </w:r>
      <w:r w:rsidR="00592A79" w:rsidRPr="00867F8A">
        <w:rPr>
          <w:rStyle w:val="apple-converted-space"/>
          <w:lang w:val="en-GB"/>
        </w:rPr>
        <w:t xml:space="preserve">According to </w:t>
      </w:r>
      <w:r w:rsidRPr="00867F8A">
        <w:rPr>
          <w:rStyle w:val="apple-converted-space"/>
          <w:lang w:val="en-GB"/>
        </w:rPr>
        <w:t>Ernst &amp; Young</w:t>
      </w:r>
      <w:r w:rsidR="00592A79" w:rsidRPr="00867F8A">
        <w:rPr>
          <w:rStyle w:val="apple-converted-space"/>
          <w:lang w:val="en-GB"/>
        </w:rPr>
        <w:t>’s study,</w:t>
      </w:r>
      <w:r w:rsidRPr="00867F8A">
        <w:rPr>
          <w:rStyle w:val="apple-converted-space"/>
          <w:lang w:val="en-GB"/>
        </w:rPr>
        <w:t xml:space="preserve"> the timeshare business contributed an estimated </w:t>
      </w:r>
      <w:r w:rsidR="00171DE6" w:rsidRPr="00867F8A">
        <w:rPr>
          <w:rStyle w:val="apple-converted-space"/>
          <w:lang w:val="en-GB"/>
        </w:rPr>
        <w:t>$</w:t>
      </w:r>
      <w:r w:rsidRPr="00867F8A">
        <w:rPr>
          <w:rStyle w:val="apple-converted-space"/>
          <w:lang w:val="en-GB"/>
        </w:rPr>
        <w:t xml:space="preserve">79.5 </w:t>
      </w:r>
      <w:r w:rsidRPr="00867F8A">
        <w:rPr>
          <w:rStyle w:val="apple-converted-space"/>
          <w:lang w:val="en-GB"/>
        </w:rPr>
        <w:lastRenderedPageBreak/>
        <w:t>billion in consumer and business spending to the national economy in 2015. This</w:t>
      </w:r>
      <w:r w:rsidR="00924A68" w:rsidRPr="00867F8A">
        <w:rPr>
          <w:rStyle w:val="apple-converted-space"/>
          <w:lang w:val="en-GB"/>
        </w:rPr>
        <w:t xml:space="preserve"> contribution</w:t>
      </w:r>
      <w:r w:rsidRPr="00867F8A">
        <w:rPr>
          <w:rStyle w:val="apple-converted-space"/>
          <w:lang w:val="en-GB"/>
        </w:rPr>
        <w:t xml:space="preserve"> included 511,000 jobs with </w:t>
      </w:r>
      <w:r w:rsidR="00171DE6" w:rsidRPr="00867F8A">
        <w:rPr>
          <w:rStyle w:val="apple-converted-space"/>
          <w:lang w:val="en-GB"/>
        </w:rPr>
        <w:t>$</w:t>
      </w:r>
      <w:r w:rsidRPr="00867F8A">
        <w:rPr>
          <w:rStyle w:val="apple-converted-space"/>
          <w:lang w:val="en-GB"/>
        </w:rPr>
        <w:t>28.1 billion in salaries and wages.</w:t>
      </w:r>
      <w:r w:rsidR="00231A34" w:rsidRPr="00867F8A">
        <w:rPr>
          <w:rStyle w:val="FootnoteReference"/>
          <w:lang w:val="en-GB"/>
        </w:rPr>
        <w:footnoteReference w:id="3"/>
      </w:r>
      <w:r w:rsidRPr="00867F8A">
        <w:rPr>
          <w:rStyle w:val="apple-converted-space"/>
          <w:lang w:val="en-GB"/>
        </w:rPr>
        <w:t xml:space="preserve"> </w:t>
      </w:r>
      <w:r w:rsidRPr="00867F8A">
        <w:rPr>
          <w:lang w:val="en-GB"/>
        </w:rPr>
        <w:t>Other aspects of the industry included</w:t>
      </w:r>
      <w:r w:rsidR="00924A68" w:rsidRPr="00867F8A">
        <w:rPr>
          <w:lang w:val="en-GB"/>
        </w:rPr>
        <w:t xml:space="preserve"> </w:t>
      </w:r>
      <w:r w:rsidRPr="00867F8A">
        <w:rPr>
          <w:lang w:val="en-GB"/>
        </w:rPr>
        <w:t>gaming, lodging, travel, tourism, convention cent</w:t>
      </w:r>
      <w:r w:rsidR="00B02AB1" w:rsidRPr="00867F8A">
        <w:rPr>
          <w:lang w:val="en-GB"/>
        </w:rPr>
        <w:t>re</w:t>
      </w:r>
      <w:r w:rsidRPr="00867F8A">
        <w:rPr>
          <w:lang w:val="en-GB"/>
        </w:rPr>
        <w:t xml:space="preserve"> business, and sports facilities. </w:t>
      </w:r>
      <w:r w:rsidR="00924A68" w:rsidRPr="00867F8A">
        <w:rPr>
          <w:lang w:val="en-GB"/>
        </w:rPr>
        <w:t>G</w:t>
      </w:r>
      <w:r w:rsidRPr="00867F8A">
        <w:rPr>
          <w:lang w:val="en-GB"/>
        </w:rPr>
        <w:t xml:space="preserve">iven the breadth of this activity, the estimated industry revenue exceeded </w:t>
      </w:r>
      <w:r w:rsidR="00171DE6" w:rsidRPr="00867F8A">
        <w:rPr>
          <w:lang w:val="en-GB"/>
        </w:rPr>
        <w:t>$</w:t>
      </w:r>
      <w:r w:rsidRPr="00867F8A">
        <w:rPr>
          <w:lang w:val="en-GB"/>
        </w:rPr>
        <w:t>7 trillion for 2016 (see Exhibit</w:t>
      </w:r>
      <w:r w:rsidR="00B4736B" w:rsidRPr="00867F8A">
        <w:rPr>
          <w:lang w:val="en-GB"/>
        </w:rPr>
        <w:t> </w:t>
      </w:r>
      <w:r w:rsidR="008E015A" w:rsidRPr="00867F8A">
        <w:rPr>
          <w:lang w:val="en-GB"/>
        </w:rPr>
        <w:t>8</w:t>
      </w:r>
      <w:r w:rsidRPr="00867F8A">
        <w:rPr>
          <w:lang w:val="en-GB"/>
        </w:rPr>
        <w:t>)</w:t>
      </w:r>
      <w:r w:rsidR="00352682" w:rsidRPr="00867F8A">
        <w:rPr>
          <w:lang w:val="en-GB"/>
        </w:rPr>
        <w:t>.</w:t>
      </w:r>
    </w:p>
    <w:p w14:paraId="549CE650" w14:textId="77777777" w:rsidR="00E24460" w:rsidRPr="00217B78" w:rsidRDefault="00E24460" w:rsidP="00E24460">
      <w:pPr>
        <w:pStyle w:val="BodyTextMain"/>
        <w:rPr>
          <w:sz w:val="16"/>
          <w:lang w:val="en-GB"/>
        </w:rPr>
      </w:pPr>
    </w:p>
    <w:p w14:paraId="223C7E9B" w14:textId="77777777" w:rsidR="00E24460" w:rsidRPr="00217B78" w:rsidRDefault="00E24460" w:rsidP="00E24460">
      <w:pPr>
        <w:pStyle w:val="BodyTextMain"/>
        <w:rPr>
          <w:sz w:val="14"/>
          <w:lang w:val="en-GB"/>
        </w:rPr>
      </w:pPr>
    </w:p>
    <w:p w14:paraId="05D1B73C" w14:textId="2DF05E56" w:rsidR="00E24460" w:rsidRPr="00867F8A" w:rsidRDefault="00D03D06" w:rsidP="00143496">
      <w:pPr>
        <w:pStyle w:val="BodyTextMain"/>
        <w:rPr>
          <w:lang w:val="en-GB"/>
        </w:rPr>
      </w:pPr>
      <w:r w:rsidRPr="00867F8A">
        <w:rPr>
          <w:rFonts w:ascii="Arial" w:hAnsi="Arial" w:cs="Arial"/>
          <w:b/>
          <w:sz w:val="20"/>
          <w:szCs w:val="20"/>
          <w:lang w:val="en-GB"/>
        </w:rPr>
        <w:t>F</w:t>
      </w:r>
      <w:r w:rsidR="00E24460" w:rsidRPr="00867F8A">
        <w:rPr>
          <w:rFonts w:ascii="Arial" w:hAnsi="Arial" w:cs="Arial"/>
          <w:b/>
          <w:sz w:val="20"/>
          <w:szCs w:val="20"/>
          <w:lang w:val="en-GB"/>
        </w:rPr>
        <w:t>uture of the</w:t>
      </w:r>
      <w:r w:rsidR="00924A68" w:rsidRPr="00867F8A">
        <w:rPr>
          <w:rFonts w:ascii="Arial" w:hAnsi="Arial" w:cs="Arial"/>
          <w:b/>
          <w:sz w:val="20"/>
          <w:szCs w:val="20"/>
          <w:lang w:val="en-GB"/>
        </w:rPr>
        <w:t xml:space="preserve"> Industry</w:t>
      </w:r>
    </w:p>
    <w:p w14:paraId="596F31BE" w14:textId="77777777" w:rsidR="00E24460" w:rsidRPr="00217B78" w:rsidRDefault="00E24460" w:rsidP="00143496">
      <w:pPr>
        <w:pStyle w:val="BodyTextMain"/>
        <w:rPr>
          <w:sz w:val="18"/>
          <w:lang w:val="en-GB"/>
        </w:rPr>
      </w:pPr>
    </w:p>
    <w:p w14:paraId="5B7F0477" w14:textId="18013C15" w:rsidR="00171DE6" w:rsidRPr="00867F8A" w:rsidRDefault="00636129" w:rsidP="00E24460">
      <w:pPr>
        <w:pStyle w:val="BodyTextMain"/>
        <w:rPr>
          <w:lang w:val="en-GB"/>
        </w:rPr>
      </w:pPr>
      <w:r w:rsidRPr="00867F8A">
        <w:rPr>
          <w:lang w:val="en-GB"/>
        </w:rPr>
        <w:t>ARDA provided t</w:t>
      </w:r>
      <w:r w:rsidR="00E24460" w:rsidRPr="00867F8A">
        <w:rPr>
          <w:lang w:val="en-GB"/>
        </w:rPr>
        <w:t xml:space="preserve">imeshare resort </w:t>
      </w:r>
      <w:r w:rsidR="0036018A" w:rsidRPr="00867F8A">
        <w:rPr>
          <w:lang w:val="en-GB"/>
        </w:rPr>
        <w:t>sales and trends</w:t>
      </w:r>
      <w:r w:rsidRPr="00867F8A">
        <w:rPr>
          <w:lang w:val="en-GB"/>
        </w:rPr>
        <w:t xml:space="preserve"> through the years (see Exhibits 6 and 7 for information up to 2015)</w:t>
      </w:r>
      <w:r w:rsidR="00E24460" w:rsidRPr="00867F8A">
        <w:rPr>
          <w:lang w:val="en-GB"/>
        </w:rPr>
        <w:t xml:space="preserve">. According to </w:t>
      </w:r>
      <w:r w:rsidR="002C1A5A" w:rsidRPr="00867F8A">
        <w:rPr>
          <w:lang w:val="en-GB"/>
        </w:rPr>
        <w:t>its</w:t>
      </w:r>
      <w:r w:rsidR="00E24460" w:rsidRPr="00867F8A">
        <w:rPr>
          <w:lang w:val="en-GB"/>
        </w:rPr>
        <w:t xml:space="preserve"> “Global Hospitality Insights: Top 10 Thoughts for 2016,” </w:t>
      </w:r>
      <w:r w:rsidR="00924A68" w:rsidRPr="00867F8A">
        <w:rPr>
          <w:lang w:val="en-GB"/>
        </w:rPr>
        <w:t>Ernst &amp; Young</w:t>
      </w:r>
      <w:r w:rsidR="00E24460" w:rsidRPr="00867F8A">
        <w:rPr>
          <w:lang w:val="en-GB"/>
        </w:rPr>
        <w:t xml:space="preserve"> saw a vibrant industry moving forward, influenced most notably by technology and innovation. Customers had an increasing ability to connect to customers from a </w:t>
      </w:r>
      <w:r w:rsidR="00575612" w:rsidRPr="00867F8A">
        <w:rPr>
          <w:lang w:val="en-GB"/>
        </w:rPr>
        <w:t>business-to-business</w:t>
      </w:r>
      <w:r w:rsidR="00E24460" w:rsidRPr="00867F8A">
        <w:rPr>
          <w:lang w:val="en-GB"/>
        </w:rPr>
        <w:t xml:space="preserve"> perspective and a </w:t>
      </w:r>
      <w:r w:rsidR="00575612" w:rsidRPr="00867F8A">
        <w:rPr>
          <w:lang w:val="en-GB"/>
        </w:rPr>
        <w:t>customer-to-customer perspective</w:t>
      </w:r>
      <w:r w:rsidR="00E24460" w:rsidRPr="00867F8A">
        <w:rPr>
          <w:lang w:val="en-GB"/>
        </w:rPr>
        <w:t xml:space="preserve"> (through posting customer reviews). Given this technology, E</w:t>
      </w:r>
      <w:r w:rsidR="00924A68" w:rsidRPr="00867F8A">
        <w:rPr>
          <w:lang w:val="en-GB"/>
        </w:rPr>
        <w:t>rnst &amp; Young</w:t>
      </w:r>
      <w:r w:rsidR="00E24460" w:rsidRPr="00867F8A">
        <w:rPr>
          <w:lang w:val="en-GB"/>
        </w:rPr>
        <w:t xml:space="preserve"> challenged incumbents</w:t>
      </w:r>
      <w:r w:rsidR="00575612" w:rsidRPr="00867F8A">
        <w:rPr>
          <w:lang w:val="en-GB"/>
        </w:rPr>
        <w:t xml:space="preserve"> </w:t>
      </w:r>
      <w:r w:rsidR="00E24460" w:rsidRPr="00867F8A">
        <w:rPr>
          <w:lang w:val="en-GB"/>
        </w:rPr>
        <w:t xml:space="preserve">to find opportunities to disrupt. </w:t>
      </w:r>
      <w:r w:rsidR="0036018A" w:rsidRPr="00867F8A">
        <w:rPr>
          <w:lang w:val="en-GB"/>
        </w:rPr>
        <w:t>“</w:t>
      </w:r>
      <w:r w:rsidR="00E24460" w:rsidRPr="00867F8A">
        <w:rPr>
          <w:lang w:val="en-GB"/>
        </w:rPr>
        <w:t>Older business models may have worked well, but the infusion of technology into the business presents and suggests moving into new directions. It might be a combination of keeping the existing models, while exploring new processes and products. Without innovation, growth cannot be sustained.”</w:t>
      </w:r>
      <w:r w:rsidR="00231A34" w:rsidRPr="00867F8A">
        <w:rPr>
          <w:rStyle w:val="FootnoteReference"/>
          <w:lang w:val="en-GB"/>
        </w:rPr>
        <w:footnoteReference w:id="4"/>
      </w:r>
      <w:r w:rsidR="00E24460" w:rsidRPr="00867F8A">
        <w:rPr>
          <w:lang w:val="en-GB"/>
        </w:rPr>
        <w:t xml:space="preserve"> For the timeshare business, companies need</w:t>
      </w:r>
      <w:r w:rsidR="00575612" w:rsidRPr="00867F8A">
        <w:rPr>
          <w:lang w:val="en-GB"/>
        </w:rPr>
        <w:t>ed</w:t>
      </w:r>
      <w:r w:rsidR="00E24460" w:rsidRPr="00867F8A">
        <w:rPr>
          <w:lang w:val="en-GB"/>
        </w:rPr>
        <w:t xml:space="preserve"> to juggle providing unique adventures (e.g., eco-tourism and volunteerism), socially and environmentally responsible experiences, and authentic experience</w:t>
      </w:r>
      <w:r w:rsidR="00D46197" w:rsidRPr="00867F8A">
        <w:rPr>
          <w:lang w:val="en-GB"/>
        </w:rPr>
        <w:t>s</w:t>
      </w:r>
      <w:r w:rsidR="00E24460" w:rsidRPr="00867F8A">
        <w:rPr>
          <w:lang w:val="en-GB"/>
        </w:rPr>
        <w:t xml:space="preserve"> that embrace</w:t>
      </w:r>
      <w:r w:rsidR="00575612" w:rsidRPr="00867F8A">
        <w:rPr>
          <w:lang w:val="en-GB"/>
        </w:rPr>
        <w:t>d</w:t>
      </w:r>
      <w:r w:rsidR="00E24460" w:rsidRPr="00867F8A">
        <w:rPr>
          <w:lang w:val="en-GB"/>
        </w:rPr>
        <w:t xml:space="preserve"> local culture.</w:t>
      </w:r>
      <w:r w:rsidR="00CC6A52" w:rsidRPr="00867F8A">
        <w:rPr>
          <w:lang w:val="en-GB"/>
        </w:rPr>
        <w:t xml:space="preserve"> </w:t>
      </w:r>
    </w:p>
    <w:p w14:paraId="1B44E211" w14:textId="77777777" w:rsidR="00171DE6" w:rsidRPr="00217B78" w:rsidRDefault="00171DE6" w:rsidP="00E24460">
      <w:pPr>
        <w:pStyle w:val="BodyTextMain"/>
        <w:rPr>
          <w:sz w:val="16"/>
          <w:lang w:val="en-GB"/>
        </w:rPr>
      </w:pPr>
    </w:p>
    <w:p w14:paraId="19D421AA" w14:textId="7B37A28B" w:rsidR="00E24460" w:rsidRPr="00B44DBB" w:rsidRDefault="00E24460" w:rsidP="00E24460">
      <w:pPr>
        <w:pStyle w:val="BodyTextMain"/>
        <w:rPr>
          <w:spacing w:val="-2"/>
          <w:kern w:val="22"/>
          <w:lang w:val="en-GB"/>
        </w:rPr>
      </w:pPr>
      <w:proofErr w:type="spellStart"/>
      <w:r w:rsidRPr="00B44DBB">
        <w:rPr>
          <w:spacing w:val="-2"/>
          <w:kern w:val="22"/>
          <w:lang w:val="en-GB"/>
        </w:rPr>
        <w:t>Skift</w:t>
      </w:r>
      <w:proofErr w:type="spellEnd"/>
      <w:r w:rsidRPr="00B44DBB">
        <w:rPr>
          <w:spacing w:val="-2"/>
          <w:kern w:val="22"/>
          <w:lang w:val="en-GB"/>
        </w:rPr>
        <w:t>, a respected source of information in the industry, posted</w:t>
      </w:r>
      <w:r w:rsidR="00DB1A92" w:rsidRPr="00B44DBB">
        <w:rPr>
          <w:spacing w:val="-2"/>
          <w:kern w:val="22"/>
          <w:lang w:val="en-GB"/>
        </w:rPr>
        <w:t xml:space="preserve"> </w:t>
      </w:r>
      <w:r w:rsidRPr="00B44DBB">
        <w:rPr>
          <w:spacing w:val="-2"/>
          <w:kern w:val="22"/>
          <w:lang w:val="en-GB"/>
        </w:rPr>
        <w:t xml:space="preserve">“10 Maxims of the </w:t>
      </w:r>
      <w:proofErr w:type="spellStart"/>
      <w:r w:rsidRPr="00B44DBB">
        <w:rPr>
          <w:spacing w:val="-2"/>
          <w:kern w:val="22"/>
          <w:lang w:val="en-GB"/>
        </w:rPr>
        <w:t>Supertraveler</w:t>
      </w:r>
      <w:proofErr w:type="spellEnd"/>
      <w:r w:rsidRPr="00B44DBB">
        <w:rPr>
          <w:spacing w:val="-2"/>
          <w:kern w:val="22"/>
          <w:lang w:val="en-GB"/>
        </w:rPr>
        <w:t xml:space="preserve"> </w:t>
      </w:r>
      <w:proofErr w:type="spellStart"/>
      <w:r w:rsidRPr="00B44DBB">
        <w:rPr>
          <w:spacing w:val="-2"/>
          <w:kern w:val="22"/>
          <w:lang w:val="en-GB"/>
        </w:rPr>
        <w:t>Mindset</w:t>
      </w:r>
      <w:proofErr w:type="spellEnd"/>
      <w:r w:rsidRPr="00B44DBB">
        <w:rPr>
          <w:spacing w:val="-2"/>
          <w:kern w:val="22"/>
          <w:lang w:val="en-GB"/>
        </w:rPr>
        <w:t>”</w:t>
      </w:r>
      <w:r w:rsidRPr="00B44DBB">
        <w:rPr>
          <w:rStyle w:val="FootnoteReference"/>
          <w:spacing w:val="-2"/>
          <w:kern w:val="22"/>
          <w:lang w:val="en-GB"/>
        </w:rPr>
        <w:footnoteReference w:id="5"/>
      </w:r>
      <w:r w:rsidRPr="00B44DBB">
        <w:rPr>
          <w:spacing w:val="-2"/>
          <w:kern w:val="22"/>
          <w:lang w:val="en-GB"/>
        </w:rPr>
        <w:t xml:space="preserve"> </w:t>
      </w:r>
      <w:r w:rsidR="00DB1A92" w:rsidRPr="00B44DBB">
        <w:rPr>
          <w:spacing w:val="-2"/>
          <w:kern w:val="22"/>
          <w:lang w:val="en-GB"/>
        </w:rPr>
        <w:t xml:space="preserve">which </w:t>
      </w:r>
      <w:r w:rsidRPr="00B44DBB">
        <w:rPr>
          <w:spacing w:val="-2"/>
          <w:kern w:val="22"/>
          <w:lang w:val="en-GB"/>
        </w:rPr>
        <w:t>proposed</w:t>
      </w:r>
      <w:r w:rsidR="00DB1A92" w:rsidRPr="00B44DBB">
        <w:rPr>
          <w:spacing w:val="-2"/>
          <w:kern w:val="22"/>
          <w:lang w:val="en-GB"/>
        </w:rPr>
        <w:t xml:space="preserve"> </w:t>
      </w:r>
      <w:r w:rsidRPr="00B44DBB">
        <w:rPr>
          <w:spacing w:val="-2"/>
          <w:kern w:val="22"/>
          <w:lang w:val="en-GB"/>
        </w:rPr>
        <w:t>inclu</w:t>
      </w:r>
      <w:r w:rsidR="00DB1A92" w:rsidRPr="00B44DBB">
        <w:rPr>
          <w:spacing w:val="-2"/>
          <w:kern w:val="22"/>
          <w:lang w:val="en-GB"/>
        </w:rPr>
        <w:t>ding</w:t>
      </w:r>
      <w:r w:rsidRPr="00B44DBB">
        <w:rPr>
          <w:spacing w:val="-2"/>
          <w:kern w:val="22"/>
          <w:lang w:val="en-GB"/>
        </w:rPr>
        <w:t xml:space="preserve"> </w:t>
      </w:r>
      <w:r w:rsidR="00C32F41" w:rsidRPr="00B44DBB">
        <w:rPr>
          <w:spacing w:val="-2"/>
          <w:kern w:val="22"/>
          <w:lang w:val="en-GB"/>
        </w:rPr>
        <w:t>major</w:t>
      </w:r>
      <w:r w:rsidR="00DB1A92" w:rsidRPr="00B44DBB">
        <w:rPr>
          <w:spacing w:val="-2"/>
          <w:kern w:val="22"/>
          <w:lang w:val="en-GB"/>
        </w:rPr>
        <w:t xml:space="preserve"> hospitality</w:t>
      </w:r>
      <w:r w:rsidR="00C32F41" w:rsidRPr="00B44DBB">
        <w:rPr>
          <w:spacing w:val="-2"/>
          <w:kern w:val="22"/>
          <w:lang w:val="en-GB"/>
        </w:rPr>
        <w:t xml:space="preserve"> themes</w:t>
      </w:r>
      <w:r w:rsidRPr="00B44DBB">
        <w:rPr>
          <w:spacing w:val="-2"/>
          <w:kern w:val="22"/>
          <w:lang w:val="en-GB"/>
        </w:rPr>
        <w:t>. Travel</w:t>
      </w:r>
      <w:r w:rsidR="00324166" w:rsidRPr="00B44DBB">
        <w:rPr>
          <w:spacing w:val="-2"/>
          <w:kern w:val="22"/>
          <w:lang w:val="en-GB"/>
        </w:rPr>
        <w:t>l</w:t>
      </w:r>
      <w:r w:rsidRPr="00B44DBB">
        <w:rPr>
          <w:spacing w:val="-2"/>
          <w:kern w:val="22"/>
          <w:lang w:val="en-GB"/>
        </w:rPr>
        <w:t>ers need</w:t>
      </w:r>
      <w:r w:rsidR="00324166" w:rsidRPr="00B44DBB">
        <w:rPr>
          <w:spacing w:val="-2"/>
          <w:kern w:val="22"/>
          <w:lang w:val="en-GB"/>
        </w:rPr>
        <w:t>ed</w:t>
      </w:r>
      <w:r w:rsidRPr="00B44DBB">
        <w:rPr>
          <w:spacing w:val="-2"/>
          <w:kern w:val="22"/>
          <w:lang w:val="en-GB"/>
        </w:rPr>
        <w:t xml:space="preserve"> to experience authenticity and be able to trust the company with which </w:t>
      </w:r>
      <w:r w:rsidR="00DB1A92" w:rsidRPr="00B44DBB">
        <w:rPr>
          <w:spacing w:val="-2"/>
          <w:kern w:val="22"/>
          <w:lang w:val="en-GB"/>
        </w:rPr>
        <w:t>they were</w:t>
      </w:r>
      <w:r w:rsidR="00ED3BCE" w:rsidRPr="00B44DBB">
        <w:rPr>
          <w:spacing w:val="-2"/>
          <w:kern w:val="22"/>
          <w:lang w:val="en-GB"/>
        </w:rPr>
        <w:t xml:space="preserve"> </w:t>
      </w:r>
      <w:r w:rsidRPr="00B44DBB">
        <w:rPr>
          <w:spacing w:val="-2"/>
          <w:kern w:val="22"/>
          <w:lang w:val="en-GB"/>
        </w:rPr>
        <w:t>dealing</w:t>
      </w:r>
      <w:r w:rsidR="00886DE4" w:rsidRPr="00B44DBB">
        <w:rPr>
          <w:spacing w:val="-2"/>
          <w:kern w:val="22"/>
          <w:lang w:val="en-GB"/>
        </w:rPr>
        <w:t>;</w:t>
      </w:r>
      <w:r w:rsidR="00DB1A92" w:rsidRPr="00B44DBB">
        <w:rPr>
          <w:spacing w:val="-2"/>
          <w:kern w:val="22"/>
          <w:lang w:val="en-GB"/>
        </w:rPr>
        <w:t xml:space="preserve"> </w:t>
      </w:r>
      <w:r w:rsidR="00886DE4" w:rsidRPr="00B44DBB">
        <w:rPr>
          <w:spacing w:val="-2"/>
          <w:kern w:val="22"/>
          <w:lang w:val="en-GB"/>
        </w:rPr>
        <w:t>t</w:t>
      </w:r>
      <w:r w:rsidR="00DB1A92" w:rsidRPr="00B44DBB">
        <w:rPr>
          <w:spacing w:val="-2"/>
          <w:kern w:val="22"/>
          <w:lang w:val="en-GB"/>
        </w:rPr>
        <w:t>his</w:t>
      </w:r>
      <w:r w:rsidRPr="00B44DBB">
        <w:rPr>
          <w:spacing w:val="-2"/>
          <w:kern w:val="22"/>
          <w:lang w:val="en-GB"/>
        </w:rPr>
        <w:t xml:space="preserve"> include</w:t>
      </w:r>
      <w:r w:rsidR="00ED3BCE" w:rsidRPr="00B44DBB">
        <w:rPr>
          <w:spacing w:val="-2"/>
          <w:kern w:val="22"/>
          <w:lang w:val="en-GB"/>
        </w:rPr>
        <w:t>d</w:t>
      </w:r>
      <w:r w:rsidRPr="00B44DBB">
        <w:rPr>
          <w:spacing w:val="-2"/>
          <w:kern w:val="22"/>
          <w:lang w:val="en-GB"/>
        </w:rPr>
        <w:t xml:space="preserve"> rewards for company loyalty that d</w:t>
      </w:r>
      <w:r w:rsidR="00DB1A92" w:rsidRPr="00B44DBB">
        <w:rPr>
          <w:spacing w:val="-2"/>
          <w:kern w:val="22"/>
          <w:lang w:val="en-GB"/>
        </w:rPr>
        <w:t>id</w:t>
      </w:r>
      <w:r w:rsidR="00E11C21" w:rsidRPr="00B44DBB">
        <w:rPr>
          <w:spacing w:val="-2"/>
          <w:kern w:val="22"/>
          <w:lang w:val="en-GB"/>
        </w:rPr>
        <w:t xml:space="preserve"> </w:t>
      </w:r>
      <w:r w:rsidRPr="00B44DBB">
        <w:rPr>
          <w:spacing w:val="-2"/>
          <w:kern w:val="22"/>
          <w:lang w:val="en-GB"/>
        </w:rPr>
        <w:t>n</w:t>
      </w:r>
      <w:r w:rsidR="00E11C21" w:rsidRPr="00B44DBB">
        <w:rPr>
          <w:spacing w:val="-2"/>
          <w:kern w:val="22"/>
          <w:lang w:val="en-GB"/>
        </w:rPr>
        <w:t>o</w:t>
      </w:r>
      <w:r w:rsidRPr="00B44DBB">
        <w:rPr>
          <w:spacing w:val="-2"/>
          <w:kern w:val="22"/>
          <w:lang w:val="en-GB"/>
        </w:rPr>
        <w:t xml:space="preserve">t seem </w:t>
      </w:r>
      <w:r w:rsidR="00E11C21" w:rsidRPr="00B44DBB">
        <w:rPr>
          <w:spacing w:val="-2"/>
          <w:kern w:val="22"/>
          <w:lang w:val="en-GB"/>
        </w:rPr>
        <w:t>“</w:t>
      </w:r>
      <w:r w:rsidRPr="00B44DBB">
        <w:rPr>
          <w:spacing w:val="-2"/>
          <w:kern w:val="22"/>
          <w:lang w:val="en-GB"/>
        </w:rPr>
        <w:t>gimmicky.</w:t>
      </w:r>
      <w:r w:rsidR="00E11C21" w:rsidRPr="00B44DBB">
        <w:rPr>
          <w:spacing w:val="-2"/>
          <w:kern w:val="22"/>
          <w:lang w:val="en-GB"/>
        </w:rPr>
        <w:t>”</w:t>
      </w:r>
      <w:r w:rsidRPr="00B44DBB">
        <w:rPr>
          <w:spacing w:val="-2"/>
          <w:kern w:val="22"/>
          <w:lang w:val="en-GB"/>
        </w:rPr>
        <w:t xml:space="preserve"> Successful companies need</w:t>
      </w:r>
      <w:r w:rsidR="00DB1A92" w:rsidRPr="00B44DBB">
        <w:rPr>
          <w:spacing w:val="-2"/>
          <w:kern w:val="22"/>
          <w:lang w:val="en-GB"/>
        </w:rPr>
        <w:t>ed</w:t>
      </w:r>
      <w:r w:rsidRPr="00B44DBB">
        <w:rPr>
          <w:spacing w:val="-2"/>
          <w:kern w:val="22"/>
          <w:lang w:val="en-GB"/>
        </w:rPr>
        <w:t xml:space="preserve"> to care about the social and environmental context of the area in which they br</w:t>
      </w:r>
      <w:r w:rsidR="00DB1A92" w:rsidRPr="00B44DBB">
        <w:rPr>
          <w:spacing w:val="-2"/>
          <w:kern w:val="22"/>
          <w:lang w:val="en-GB"/>
        </w:rPr>
        <w:t>ought</w:t>
      </w:r>
      <w:r w:rsidRPr="00B44DBB">
        <w:rPr>
          <w:spacing w:val="-2"/>
          <w:kern w:val="22"/>
          <w:lang w:val="en-GB"/>
        </w:rPr>
        <w:t xml:space="preserve"> travel</w:t>
      </w:r>
      <w:r w:rsidR="00324166" w:rsidRPr="00B44DBB">
        <w:rPr>
          <w:spacing w:val="-2"/>
          <w:kern w:val="22"/>
          <w:lang w:val="en-GB"/>
        </w:rPr>
        <w:t>l</w:t>
      </w:r>
      <w:r w:rsidRPr="00B44DBB">
        <w:rPr>
          <w:spacing w:val="-2"/>
          <w:kern w:val="22"/>
          <w:lang w:val="en-GB"/>
        </w:rPr>
        <w:t>ers.</w:t>
      </w:r>
      <w:r w:rsidR="00CC6A52" w:rsidRPr="00B44DBB">
        <w:rPr>
          <w:spacing w:val="-2"/>
          <w:kern w:val="22"/>
          <w:lang w:val="en-GB"/>
        </w:rPr>
        <w:t xml:space="preserve"> </w:t>
      </w:r>
      <w:r w:rsidRPr="00B44DBB">
        <w:rPr>
          <w:spacing w:val="-2"/>
          <w:kern w:val="22"/>
          <w:lang w:val="en-GB"/>
        </w:rPr>
        <w:t>Using technology,</w:t>
      </w:r>
      <w:r w:rsidR="00636129" w:rsidRPr="00B44DBB">
        <w:rPr>
          <w:spacing w:val="-2"/>
          <w:kern w:val="22"/>
          <w:lang w:val="en-GB"/>
        </w:rPr>
        <w:t xml:space="preserve"> </w:t>
      </w:r>
      <w:r w:rsidRPr="00B44DBB">
        <w:rPr>
          <w:spacing w:val="-2"/>
          <w:kern w:val="22"/>
          <w:lang w:val="en-GB"/>
        </w:rPr>
        <w:t>travel</w:t>
      </w:r>
      <w:r w:rsidR="00324166" w:rsidRPr="00B44DBB">
        <w:rPr>
          <w:spacing w:val="-2"/>
          <w:kern w:val="22"/>
          <w:lang w:val="en-GB"/>
        </w:rPr>
        <w:t>l</w:t>
      </w:r>
      <w:r w:rsidRPr="00B44DBB">
        <w:rPr>
          <w:spacing w:val="-2"/>
          <w:kern w:val="22"/>
          <w:lang w:val="en-GB"/>
        </w:rPr>
        <w:t>ers’ experiences need</w:t>
      </w:r>
      <w:r w:rsidR="00DB1A92" w:rsidRPr="00B44DBB">
        <w:rPr>
          <w:spacing w:val="-2"/>
          <w:kern w:val="22"/>
          <w:lang w:val="en-GB"/>
        </w:rPr>
        <w:t>ed</w:t>
      </w:r>
      <w:r w:rsidRPr="00B44DBB">
        <w:rPr>
          <w:spacing w:val="-2"/>
          <w:kern w:val="22"/>
          <w:lang w:val="en-GB"/>
        </w:rPr>
        <w:t xml:space="preserve"> to include search</w:t>
      </w:r>
      <w:r w:rsidR="00886DE4" w:rsidRPr="00B44DBB">
        <w:rPr>
          <w:spacing w:val="-2"/>
          <w:kern w:val="22"/>
          <w:lang w:val="en-GB"/>
        </w:rPr>
        <w:t>ing</w:t>
      </w:r>
      <w:r w:rsidRPr="00B44DBB">
        <w:rPr>
          <w:spacing w:val="-2"/>
          <w:kern w:val="22"/>
          <w:lang w:val="en-GB"/>
        </w:rPr>
        <w:t>, planning, and discover</w:t>
      </w:r>
      <w:r w:rsidR="00886DE4" w:rsidRPr="00B44DBB">
        <w:rPr>
          <w:spacing w:val="-2"/>
          <w:kern w:val="22"/>
          <w:lang w:val="en-GB"/>
        </w:rPr>
        <w:t>ing</w:t>
      </w:r>
      <w:r w:rsidRPr="00B44DBB">
        <w:rPr>
          <w:spacing w:val="-2"/>
          <w:kern w:val="22"/>
          <w:lang w:val="en-GB"/>
        </w:rPr>
        <w:t xml:space="preserve"> with other people with whom they m</w:t>
      </w:r>
      <w:r w:rsidR="00DB1A92" w:rsidRPr="00B44DBB">
        <w:rPr>
          <w:spacing w:val="-2"/>
          <w:kern w:val="22"/>
          <w:lang w:val="en-GB"/>
        </w:rPr>
        <w:t>ight</w:t>
      </w:r>
      <w:r w:rsidRPr="00B44DBB">
        <w:rPr>
          <w:spacing w:val="-2"/>
          <w:kern w:val="22"/>
          <w:lang w:val="en-GB"/>
        </w:rPr>
        <w:t xml:space="preserve"> be travel</w:t>
      </w:r>
      <w:r w:rsidR="00B02AB1" w:rsidRPr="00B44DBB">
        <w:rPr>
          <w:spacing w:val="-2"/>
          <w:kern w:val="22"/>
          <w:lang w:val="en-GB"/>
        </w:rPr>
        <w:t>l</w:t>
      </w:r>
      <w:r w:rsidRPr="00B44DBB">
        <w:rPr>
          <w:spacing w:val="-2"/>
          <w:kern w:val="22"/>
          <w:lang w:val="en-GB"/>
        </w:rPr>
        <w:t xml:space="preserve">ing. </w:t>
      </w:r>
      <w:r w:rsidR="00636129" w:rsidRPr="00B44DBB">
        <w:rPr>
          <w:spacing w:val="-2"/>
          <w:kern w:val="22"/>
          <w:lang w:val="en-GB"/>
        </w:rPr>
        <w:t>Adopting technology in this way</w:t>
      </w:r>
      <w:r w:rsidRPr="00B44DBB">
        <w:rPr>
          <w:spacing w:val="-2"/>
          <w:kern w:val="22"/>
          <w:lang w:val="en-GB"/>
        </w:rPr>
        <w:t xml:space="preserve"> represented a great challenge that would enable a successful company to differentiate itself. </w:t>
      </w:r>
    </w:p>
    <w:p w14:paraId="6096902A" w14:textId="77777777" w:rsidR="00081905" w:rsidRPr="00217B78" w:rsidRDefault="00081905" w:rsidP="00E24460">
      <w:pPr>
        <w:pStyle w:val="BodyTextMain"/>
        <w:rPr>
          <w:sz w:val="16"/>
          <w:lang w:val="en-GB"/>
        </w:rPr>
      </w:pPr>
    </w:p>
    <w:p w14:paraId="2664A7C5" w14:textId="6D33836A" w:rsidR="00E24460" w:rsidRDefault="00E24460" w:rsidP="00E24460">
      <w:pPr>
        <w:pStyle w:val="BodyTextMain"/>
        <w:rPr>
          <w:lang w:val="en-GB"/>
        </w:rPr>
      </w:pPr>
      <w:r w:rsidRPr="00867F8A">
        <w:rPr>
          <w:lang w:val="en-GB"/>
        </w:rPr>
        <w:t xml:space="preserve">Millennials </w:t>
      </w:r>
      <w:r w:rsidR="00924A68" w:rsidRPr="00867F8A">
        <w:rPr>
          <w:lang w:val="en-GB"/>
        </w:rPr>
        <w:t xml:space="preserve">were </w:t>
      </w:r>
      <w:r w:rsidRPr="00867F8A">
        <w:rPr>
          <w:lang w:val="en-GB"/>
        </w:rPr>
        <w:t xml:space="preserve">one of the largest consumer groups that could influence the way consumers interacted with the industry. In general, millennials were interested in spending money on experiences over accumulating more things. Money that might </w:t>
      </w:r>
      <w:r w:rsidR="0078319B" w:rsidRPr="00867F8A">
        <w:rPr>
          <w:lang w:val="en-GB"/>
        </w:rPr>
        <w:t xml:space="preserve">have been </w:t>
      </w:r>
      <w:r w:rsidRPr="00867F8A">
        <w:rPr>
          <w:lang w:val="en-GB"/>
        </w:rPr>
        <w:t>spent on purchasing a home, for example, might be split between the purchase and vacatio</w:t>
      </w:r>
      <w:r w:rsidR="00217B78">
        <w:rPr>
          <w:lang w:val="en-GB"/>
        </w:rPr>
        <w:t>n time. In addition, research</w:t>
      </w:r>
      <w:r w:rsidRPr="00867F8A">
        <w:rPr>
          <w:lang w:val="en-GB"/>
        </w:rPr>
        <w:t xml:space="preserve"> suggested that there</w:t>
      </w:r>
      <w:r w:rsidR="008123BD" w:rsidRPr="00867F8A">
        <w:rPr>
          <w:lang w:val="en-GB"/>
        </w:rPr>
        <w:t xml:space="preserve"> was</w:t>
      </w:r>
      <w:r w:rsidRPr="00867F8A">
        <w:rPr>
          <w:lang w:val="en-GB"/>
        </w:rPr>
        <w:t xml:space="preserve"> less impulse buying among millennials than with other generations </w:t>
      </w:r>
      <w:r w:rsidR="00231A34" w:rsidRPr="00867F8A">
        <w:rPr>
          <w:lang w:val="en-GB"/>
        </w:rPr>
        <w:t>(see Exhibit 9).</w:t>
      </w:r>
      <w:r w:rsidR="00231A34" w:rsidRPr="00867F8A">
        <w:rPr>
          <w:rStyle w:val="FootnoteReference"/>
          <w:lang w:val="en-GB"/>
        </w:rPr>
        <w:footnoteReference w:id="6"/>
      </w:r>
    </w:p>
    <w:p w14:paraId="6C456AB9" w14:textId="38E4BCA2" w:rsidR="00217B78" w:rsidRPr="00217B78" w:rsidRDefault="00217B78" w:rsidP="00E24460">
      <w:pPr>
        <w:pStyle w:val="BodyTextMain"/>
        <w:rPr>
          <w:sz w:val="16"/>
          <w:lang w:val="en-GB"/>
        </w:rPr>
      </w:pPr>
    </w:p>
    <w:p w14:paraId="3A255B28" w14:textId="77777777" w:rsidR="00217B78" w:rsidRPr="00217B78" w:rsidRDefault="00217B78" w:rsidP="00E24460">
      <w:pPr>
        <w:pStyle w:val="BodyTextMain"/>
        <w:rPr>
          <w:sz w:val="16"/>
          <w:lang w:val="en-GB"/>
        </w:rPr>
      </w:pPr>
    </w:p>
    <w:p w14:paraId="0B367040" w14:textId="308EFEA0" w:rsidR="00E24460" w:rsidRPr="00867F8A" w:rsidRDefault="00C36116" w:rsidP="00E24460">
      <w:pPr>
        <w:pStyle w:val="Casehead1"/>
        <w:rPr>
          <w:lang w:val="en-GB"/>
        </w:rPr>
      </w:pPr>
      <w:r w:rsidRPr="00867F8A">
        <w:rPr>
          <w:lang w:val="en-GB"/>
        </w:rPr>
        <w:t>moving</w:t>
      </w:r>
      <w:r w:rsidR="00E24460" w:rsidRPr="00867F8A">
        <w:rPr>
          <w:lang w:val="en-GB"/>
        </w:rPr>
        <w:t xml:space="preserve"> forward</w:t>
      </w:r>
    </w:p>
    <w:p w14:paraId="63F63A04" w14:textId="77777777" w:rsidR="00352682" w:rsidRPr="00867F8A" w:rsidRDefault="00352682" w:rsidP="00E24460">
      <w:pPr>
        <w:pStyle w:val="Casehead1"/>
        <w:rPr>
          <w:lang w:val="en-GB"/>
        </w:rPr>
      </w:pPr>
    </w:p>
    <w:p w14:paraId="7678EDBE" w14:textId="2063A064" w:rsidR="00457CBA" w:rsidRPr="00867F8A" w:rsidRDefault="00E24460" w:rsidP="00E24460">
      <w:pPr>
        <w:pStyle w:val="BodyTextMain"/>
        <w:rPr>
          <w:lang w:val="en-GB"/>
        </w:rPr>
      </w:pPr>
      <w:r w:rsidRPr="00867F8A">
        <w:rPr>
          <w:lang w:val="en-GB"/>
        </w:rPr>
        <w:t xml:space="preserve">Over a cup of coffee with his staff, </w:t>
      </w:r>
      <w:proofErr w:type="spellStart"/>
      <w:r w:rsidR="008657DD" w:rsidRPr="00867F8A">
        <w:rPr>
          <w:lang w:val="en-GB"/>
        </w:rPr>
        <w:t>Bech</w:t>
      </w:r>
      <w:proofErr w:type="spellEnd"/>
      <w:r w:rsidRPr="00867F8A">
        <w:rPr>
          <w:lang w:val="en-GB"/>
        </w:rPr>
        <w:t xml:space="preserve"> said</w:t>
      </w:r>
      <w:r w:rsidR="00FF48A2" w:rsidRPr="00867F8A">
        <w:rPr>
          <w:lang w:val="en-GB"/>
        </w:rPr>
        <w:t>,</w:t>
      </w:r>
    </w:p>
    <w:p w14:paraId="3E1EE2CE" w14:textId="77777777" w:rsidR="00457CBA" w:rsidRPr="00867F8A" w:rsidRDefault="00457CBA" w:rsidP="00E24460">
      <w:pPr>
        <w:pStyle w:val="BodyTextMain"/>
        <w:rPr>
          <w:lang w:val="en-GB"/>
        </w:rPr>
      </w:pPr>
    </w:p>
    <w:p w14:paraId="51C50B0F" w14:textId="4442E1D1" w:rsidR="00E24460" w:rsidRPr="00217B78" w:rsidRDefault="00457CBA" w:rsidP="00217B78">
      <w:pPr>
        <w:pStyle w:val="BodyTextMain"/>
        <w:ind w:left="720"/>
        <w:rPr>
          <w:lang w:val="en-GB"/>
        </w:rPr>
      </w:pPr>
      <w:r w:rsidRPr="00867F8A">
        <w:rPr>
          <w:lang w:val="en-GB"/>
        </w:rPr>
        <w:t>W</w:t>
      </w:r>
      <w:r w:rsidR="00E24460" w:rsidRPr="00867F8A">
        <w:rPr>
          <w:lang w:val="en-GB"/>
        </w:rPr>
        <w:t xml:space="preserve">hat an incredible strategic opportunity we have going forward into the next three years. The challenges are tremendous, but with these challenges, we can be instrumental and significant in terms of shaping Raintree and the industry. </w:t>
      </w:r>
      <w:r w:rsidR="008E015A" w:rsidRPr="00867F8A">
        <w:rPr>
          <w:lang w:val="en-GB"/>
        </w:rPr>
        <w:t>We are in great shape financially and have an opportunity to invest in the future (</w:t>
      </w:r>
      <w:r w:rsidR="00171DE6" w:rsidRPr="00867F8A">
        <w:rPr>
          <w:lang w:val="en-GB"/>
        </w:rPr>
        <w:t>s</w:t>
      </w:r>
      <w:r w:rsidR="008E015A" w:rsidRPr="00867F8A">
        <w:rPr>
          <w:lang w:val="en-GB"/>
        </w:rPr>
        <w:t>ee Exhibits 10</w:t>
      </w:r>
      <w:r w:rsidR="00B0262D" w:rsidRPr="00867F8A">
        <w:rPr>
          <w:lang w:val="en-GB"/>
        </w:rPr>
        <w:t>A</w:t>
      </w:r>
      <w:r w:rsidR="008E015A" w:rsidRPr="00867F8A">
        <w:rPr>
          <w:lang w:val="en-GB"/>
        </w:rPr>
        <w:t xml:space="preserve"> and 10</w:t>
      </w:r>
      <w:r w:rsidR="00B0262D" w:rsidRPr="00867F8A">
        <w:rPr>
          <w:lang w:val="en-GB"/>
        </w:rPr>
        <w:t>B</w:t>
      </w:r>
      <w:r w:rsidR="008E015A" w:rsidRPr="00867F8A">
        <w:rPr>
          <w:lang w:val="en-GB"/>
        </w:rPr>
        <w:t xml:space="preserve">). </w:t>
      </w:r>
      <w:r w:rsidR="00E24460" w:rsidRPr="00867F8A">
        <w:rPr>
          <w:lang w:val="en-GB"/>
        </w:rPr>
        <w:t>We have an opportunity to provide experiences of a lifetime to new members and to those who have be</w:t>
      </w:r>
      <w:r w:rsidR="00352682" w:rsidRPr="00867F8A">
        <w:rPr>
          <w:lang w:val="en-GB"/>
        </w:rPr>
        <w:t>en with us for years. Let’s go!</w:t>
      </w:r>
      <w:r w:rsidR="00E24460" w:rsidRPr="00867F8A">
        <w:rPr>
          <w:lang w:val="en-GB"/>
        </w:rPr>
        <w:br w:type="page"/>
      </w:r>
    </w:p>
    <w:p w14:paraId="0F461478" w14:textId="57C0C11F" w:rsidR="00E24460" w:rsidRPr="00867F8A" w:rsidRDefault="00E24460">
      <w:pPr>
        <w:pStyle w:val="ExhibitHeading"/>
        <w:rPr>
          <w:lang w:val="en-GB"/>
        </w:rPr>
      </w:pPr>
      <w:r w:rsidRPr="00867F8A">
        <w:rPr>
          <w:lang w:val="en-GB"/>
        </w:rPr>
        <w:lastRenderedPageBreak/>
        <w:t>Exhibit 1:</w:t>
      </w:r>
      <w:r w:rsidR="00646BD6" w:rsidRPr="00867F8A">
        <w:rPr>
          <w:lang w:val="en-GB"/>
        </w:rPr>
        <w:t xml:space="preserve"> </w:t>
      </w:r>
      <w:r w:rsidRPr="00867F8A">
        <w:rPr>
          <w:lang w:val="en-GB"/>
        </w:rPr>
        <w:t>Raintree</w:t>
      </w:r>
      <w:r w:rsidR="00646BD6" w:rsidRPr="00867F8A">
        <w:rPr>
          <w:lang w:val="en-GB"/>
        </w:rPr>
        <w:t xml:space="preserve">’s </w:t>
      </w:r>
      <w:r w:rsidRPr="00867F8A">
        <w:rPr>
          <w:lang w:val="en-GB"/>
        </w:rPr>
        <w:t xml:space="preserve">History </w:t>
      </w:r>
      <w:r w:rsidR="00646BD6" w:rsidRPr="00867F8A">
        <w:rPr>
          <w:lang w:val="en-GB"/>
        </w:rPr>
        <w:t xml:space="preserve">in stages, </w:t>
      </w:r>
      <w:r w:rsidRPr="00867F8A">
        <w:rPr>
          <w:lang w:val="en-GB"/>
        </w:rPr>
        <w:t>1997</w:t>
      </w:r>
      <w:r w:rsidR="00C36116" w:rsidRPr="00867F8A">
        <w:rPr>
          <w:lang w:val="en-GB"/>
        </w:rPr>
        <w:t>–</w:t>
      </w:r>
      <w:r w:rsidRPr="00867F8A">
        <w:rPr>
          <w:lang w:val="en-GB"/>
        </w:rPr>
        <w:t>2017</w:t>
      </w:r>
    </w:p>
    <w:p w14:paraId="491D9759" w14:textId="77777777" w:rsidR="00C63A73" w:rsidRPr="00867F8A" w:rsidRDefault="00C63A73" w:rsidP="00E24460">
      <w:pPr>
        <w:pStyle w:val="ExhibitHeading"/>
        <w:rPr>
          <w:lang w:val="en-GB"/>
        </w:rPr>
      </w:pPr>
    </w:p>
    <w:p w14:paraId="190AFB67" w14:textId="18BDABC3" w:rsidR="00C63A73" w:rsidRPr="00867F8A" w:rsidRDefault="00E24460" w:rsidP="00E24460">
      <w:pPr>
        <w:pStyle w:val="ExhibitText"/>
        <w:rPr>
          <w:lang w:val="en-GB"/>
        </w:rPr>
      </w:pPr>
      <w:r w:rsidRPr="00867F8A">
        <w:rPr>
          <w:b/>
          <w:lang w:val="en-GB"/>
        </w:rPr>
        <w:t xml:space="preserve">Stage </w:t>
      </w:r>
      <w:proofErr w:type="gramStart"/>
      <w:r w:rsidRPr="00867F8A">
        <w:rPr>
          <w:b/>
          <w:lang w:val="en-GB"/>
        </w:rPr>
        <w:t>I</w:t>
      </w:r>
      <w:proofErr w:type="gramEnd"/>
      <w:r w:rsidRPr="00867F8A">
        <w:rPr>
          <w:lang w:val="en-GB"/>
        </w:rPr>
        <w:t>:</w:t>
      </w:r>
    </w:p>
    <w:p w14:paraId="2CFB288E" w14:textId="47E17C99" w:rsidR="00E24460" w:rsidRPr="00867F8A" w:rsidRDefault="00E24460" w:rsidP="00E24460">
      <w:pPr>
        <w:pStyle w:val="ExhibitText"/>
        <w:rPr>
          <w:lang w:val="en-GB"/>
        </w:rPr>
      </w:pPr>
      <w:r w:rsidRPr="00867F8A">
        <w:rPr>
          <w:lang w:val="en-GB"/>
        </w:rPr>
        <w:t xml:space="preserve">The early years (1997–2002): As </w:t>
      </w:r>
      <w:proofErr w:type="spellStart"/>
      <w:r w:rsidR="008657DD" w:rsidRPr="00867F8A">
        <w:rPr>
          <w:lang w:val="en-GB"/>
        </w:rPr>
        <w:t>Bech</w:t>
      </w:r>
      <w:proofErr w:type="spellEnd"/>
      <w:r w:rsidRPr="00867F8A">
        <w:rPr>
          <w:lang w:val="en-GB"/>
        </w:rPr>
        <w:t xml:space="preserve"> assembled his team in 1997, his initial strategy was to build a portfolio of high</w:t>
      </w:r>
      <w:r w:rsidR="003A6BBD" w:rsidRPr="00867F8A">
        <w:rPr>
          <w:lang w:val="en-GB"/>
        </w:rPr>
        <w:t>-</w:t>
      </w:r>
      <w:r w:rsidRPr="00867F8A">
        <w:rPr>
          <w:lang w:val="en-GB"/>
        </w:rPr>
        <w:t>quality properties through acquisitions</w:t>
      </w:r>
      <w:r w:rsidR="003A6BBD" w:rsidRPr="00867F8A">
        <w:rPr>
          <w:lang w:val="en-GB"/>
        </w:rPr>
        <w:t xml:space="preserve">; </w:t>
      </w:r>
      <w:r w:rsidR="00281632" w:rsidRPr="00867F8A">
        <w:rPr>
          <w:lang w:val="en-GB"/>
        </w:rPr>
        <w:t>h</w:t>
      </w:r>
      <w:r w:rsidRPr="00867F8A">
        <w:rPr>
          <w:lang w:val="en-GB"/>
        </w:rPr>
        <w:t xml:space="preserve">e also considered ground-up developments with the right opportunity. Reports about available sites came across </w:t>
      </w:r>
      <w:proofErr w:type="spellStart"/>
      <w:r w:rsidR="008657DD" w:rsidRPr="00867F8A">
        <w:rPr>
          <w:lang w:val="en-GB"/>
        </w:rPr>
        <w:t>Bech</w:t>
      </w:r>
      <w:r w:rsidRPr="00867F8A">
        <w:rPr>
          <w:lang w:val="en-GB"/>
        </w:rPr>
        <w:t>’s</w:t>
      </w:r>
      <w:proofErr w:type="spellEnd"/>
      <w:r w:rsidRPr="00867F8A">
        <w:rPr>
          <w:lang w:val="en-GB"/>
        </w:rPr>
        <w:t xml:space="preserve"> desk, but of particular interest were properties that would </w:t>
      </w:r>
      <w:r w:rsidR="003A6BBD" w:rsidRPr="00867F8A">
        <w:rPr>
          <w:lang w:val="en-GB"/>
        </w:rPr>
        <w:t xml:space="preserve">leave </w:t>
      </w:r>
      <w:r w:rsidRPr="00867F8A">
        <w:rPr>
          <w:lang w:val="en-GB"/>
        </w:rPr>
        <w:t>an immediate</w:t>
      </w:r>
      <w:r w:rsidR="003A6BBD" w:rsidRPr="00867F8A">
        <w:rPr>
          <w:lang w:val="en-GB"/>
        </w:rPr>
        <w:t xml:space="preserve"> and</w:t>
      </w:r>
      <w:r w:rsidRPr="00867F8A">
        <w:rPr>
          <w:lang w:val="en-GB"/>
        </w:rPr>
        <w:t xml:space="preserve"> distinct impression in </w:t>
      </w:r>
      <w:r w:rsidR="003A6BBD" w:rsidRPr="00867F8A">
        <w:rPr>
          <w:lang w:val="en-GB"/>
        </w:rPr>
        <w:t xml:space="preserve">customers’ </w:t>
      </w:r>
      <w:r w:rsidRPr="00867F8A">
        <w:rPr>
          <w:lang w:val="en-GB"/>
        </w:rPr>
        <w:t xml:space="preserve">minds. Some of these sites might be distressed, but if the destinations were interesting, </w:t>
      </w:r>
      <w:proofErr w:type="spellStart"/>
      <w:r w:rsidR="008657DD" w:rsidRPr="00867F8A">
        <w:rPr>
          <w:lang w:val="en-GB"/>
        </w:rPr>
        <w:t>Bech</w:t>
      </w:r>
      <w:proofErr w:type="spellEnd"/>
      <w:r w:rsidRPr="00867F8A">
        <w:rPr>
          <w:lang w:val="en-GB"/>
        </w:rPr>
        <w:t xml:space="preserve"> sought to see if the property acquisition would make good business sense. An ill-timed effort to go public for equity funding led to a need to restructure the company debt to enable smart acquisitions.</w:t>
      </w:r>
    </w:p>
    <w:p w14:paraId="3A4F8AB4" w14:textId="77777777" w:rsidR="00E24460" w:rsidRPr="00867F8A" w:rsidRDefault="00E24460" w:rsidP="00E24460">
      <w:pPr>
        <w:pStyle w:val="ExhibitText"/>
        <w:rPr>
          <w:lang w:val="en-GB"/>
        </w:rPr>
      </w:pPr>
    </w:p>
    <w:p w14:paraId="2FBFBD8F" w14:textId="3075CC9B" w:rsidR="00C63A73" w:rsidRPr="00867F8A" w:rsidRDefault="00E24460" w:rsidP="00E24460">
      <w:pPr>
        <w:pStyle w:val="ExhibitText"/>
        <w:rPr>
          <w:lang w:val="en-GB"/>
        </w:rPr>
      </w:pPr>
      <w:r w:rsidRPr="00867F8A">
        <w:rPr>
          <w:b/>
          <w:lang w:val="en-GB"/>
        </w:rPr>
        <w:t>Stage II</w:t>
      </w:r>
      <w:r w:rsidRPr="00867F8A">
        <w:rPr>
          <w:lang w:val="en-GB"/>
        </w:rPr>
        <w:t>:</w:t>
      </w:r>
    </w:p>
    <w:p w14:paraId="1889014C" w14:textId="7FFC1C83" w:rsidR="00E24460" w:rsidRPr="00867F8A" w:rsidRDefault="00E24460" w:rsidP="00E24460">
      <w:pPr>
        <w:pStyle w:val="ExhibitText"/>
        <w:rPr>
          <w:lang w:val="en-GB"/>
        </w:rPr>
      </w:pPr>
      <w:r w:rsidRPr="00867F8A">
        <w:rPr>
          <w:lang w:val="en-GB"/>
        </w:rPr>
        <w:t>Capital restructuring and rationalizing the company (2002–2006): During this stage, much of the company activity was focus</w:t>
      </w:r>
      <w:r w:rsidR="00281632" w:rsidRPr="00867F8A">
        <w:rPr>
          <w:lang w:val="en-GB"/>
        </w:rPr>
        <w:t>ed</w:t>
      </w:r>
      <w:r w:rsidRPr="00867F8A">
        <w:rPr>
          <w:lang w:val="en-GB"/>
        </w:rPr>
        <w:t xml:space="preserve"> on debt default and other restructuring while building the portfolio of companies. Given the </w:t>
      </w:r>
      <w:r w:rsidR="00281632" w:rsidRPr="00867F8A">
        <w:rPr>
          <w:lang w:val="en-GB"/>
        </w:rPr>
        <w:t xml:space="preserve">company </w:t>
      </w:r>
      <w:r w:rsidRPr="00867F8A">
        <w:rPr>
          <w:lang w:val="en-GB"/>
        </w:rPr>
        <w:t>vision, this was a period when that</w:t>
      </w:r>
      <w:r w:rsidR="001C4863" w:rsidRPr="00867F8A">
        <w:rPr>
          <w:lang w:val="en-GB"/>
        </w:rPr>
        <w:t xml:space="preserve"> restructuring</w:t>
      </w:r>
      <w:r w:rsidRPr="00867F8A">
        <w:rPr>
          <w:lang w:val="en-GB"/>
        </w:rPr>
        <w:t xml:space="preserve"> had to be recognized</w:t>
      </w:r>
      <w:r w:rsidR="001C4863" w:rsidRPr="00867F8A">
        <w:rPr>
          <w:lang w:val="en-GB"/>
        </w:rPr>
        <w:t>,</w:t>
      </w:r>
      <w:r w:rsidRPr="00867F8A">
        <w:rPr>
          <w:lang w:val="en-GB"/>
        </w:rPr>
        <w:t xml:space="preserve"> along with the growing or shrinking demand of some of the properties in the portfolio. Aside from restructuring, </w:t>
      </w:r>
      <w:proofErr w:type="spellStart"/>
      <w:r w:rsidR="008657DD" w:rsidRPr="00867F8A">
        <w:rPr>
          <w:lang w:val="en-GB"/>
        </w:rPr>
        <w:t>Bech</w:t>
      </w:r>
      <w:proofErr w:type="spellEnd"/>
      <w:r w:rsidRPr="00867F8A">
        <w:rPr>
          <w:lang w:val="en-GB"/>
        </w:rPr>
        <w:t xml:space="preserve"> completed acquisitions in the </w:t>
      </w:r>
      <w:r w:rsidR="00281632" w:rsidRPr="00867F8A">
        <w:rPr>
          <w:lang w:val="en-GB"/>
        </w:rPr>
        <w:t>s</w:t>
      </w:r>
      <w:r w:rsidRPr="00867F8A">
        <w:rPr>
          <w:lang w:val="en-GB"/>
        </w:rPr>
        <w:t>tates of Washington and Colorad</w:t>
      </w:r>
      <w:r w:rsidR="00281632" w:rsidRPr="00867F8A">
        <w:rPr>
          <w:lang w:val="en-GB"/>
        </w:rPr>
        <w:t>o—</w:t>
      </w:r>
      <w:r w:rsidRPr="00867F8A">
        <w:rPr>
          <w:lang w:val="en-GB"/>
        </w:rPr>
        <w:t>maintaining the need to build a high</w:t>
      </w:r>
      <w:r w:rsidR="00281632" w:rsidRPr="00867F8A">
        <w:rPr>
          <w:lang w:val="en-GB"/>
        </w:rPr>
        <w:t>-</w:t>
      </w:r>
      <w:r w:rsidRPr="00867F8A">
        <w:rPr>
          <w:lang w:val="en-GB"/>
        </w:rPr>
        <w:t xml:space="preserve">quality portfolio of properties. </w:t>
      </w:r>
    </w:p>
    <w:p w14:paraId="5B037548" w14:textId="77777777" w:rsidR="00E24460" w:rsidRPr="00867F8A" w:rsidRDefault="00E24460" w:rsidP="00E24460">
      <w:pPr>
        <w:pStyle w:val="ExhibitText"/>
        <w:rPr>
          <w:lang w:val="en-GB"/>
        </w:rPr>
      </w:pPr>
    </w:p>
    <w:p w14:paraId="45149C9D" w14:textId="77777777" w:rsidR="00C63A73" w:rsidRPr="00867F8A" w:rsidRDefault="00E24460" w:rsidP="00E24460">
      <w:pPr>
        <w:pStyle w:val="ExhibitText"/>
        <w:rPr>
          <w:lang w:val="en-GB"/>
        </w:rPr>
      </w:pPr>
      <w:r w:rsidRPr="00867F8A">
        <w:rPr>
          <w:b/>
          <w:lang w:val="en-GB"/>
        </w:rPr>
        <w:t>Stage III</w:t>
      </w:r>
      <w:r w:rsidRPr="00867F8A">
        <w:rPr>
          <w:lang w:val="en-GB"/>
        </w:rPr>
        <w:t>:</w:t>
      </w:r>
    </w:p>
    <w:p w14:paraId="2EB73F99" w14:textId="320DD5D0" w:rsidR="00E24460" w:rsidRPr="00867F8A" w:rsidRDefault="00E24460" w:rsidP="00E24460">
      <w:pPr>
        <w:pStyle w:val="ExhibitText"/>
        <w:rPr>
          <w:lang w:val="en-GB"/>
        </w:rPr>
      </w:pPr>
      <w:r w:rsidRPr="00867F8A">
        <w:rPr>
          <w:lang w:val="en-GB"/>
        </w:rPr>
        <w:t xml:space="preserve">Challenging times due to the </w:t>
      </w:r>
      <w:r w:rsidR="00592A79" w:rsidRPr="00867F8A">
        <w:rPr>
          <w:lang w:val="en-GB"/>
        </w:rPr>
        <w:t xml:space="preserve">global </w:t>
      </w:r>
      <w:r w:rsidRPr="00867F8A">
        <w:rPr>
          <w:lang w:val="en-GB"/>
        </w:rPr>
        <w:t xml:space="preserve">recession (2006–2009): In Stage III, the collapse of the credit market virtually eliminated access to capital </w:t>
      </w:r>
      <w:r w:rsidR="00281632" w:rsidRPr="00867F8A">
        <w:rPr>
          <w:lang w:val="en-GB"/>
        </w:rPr>
        <w:t xml:space="preserve">for </w:t>
      </w:r>
      <w:r w:rsidRPr="00867F8A">
        <w:rPr>
          <w:lang w:val="en-GB"/>
        </w:rPr>
        <w:t>financ</w:t>
      </w:r>
      <w:r w:rsidR="00281632" w:rsidRPr="00867F8A">
        <w:rPr>
          <w:lang w:val="en-GB"/>
        </w:rPr>
        <w:t>ing</w:t>
      </w:r>
      <w:r w:rsidRPr="00867F8A">
        <w:rPr>
          <w:lang w:val="en-GB"/>
        </w:rPr>
        <w:t xml:space="preserve"> the consumer finance aspects of selling timeshares. </w:t>
      </w:r>
      <w:r w:rsidR="00281632" w:rsidRPr="00867F8A">
        <w:rPr>
          <w:lang w:val="en-GB"/>
        </w:rPr>
        <w:t>S</w:t>
      </w:r>
      <w:r w:rsidRPr="00867F8A">
        <w:rPr>
          <w:lang w:val="en-GB"/>
        </w:rPr>
        <w:t>pecifically, Mexican drug violence and the resulting negative impact on Mexican tourism had a significant impact on Raintree’s revenues. The only acquisition that occurred was that of Desert Arroyo in Phoenix, Arizona.</w:t>
      </w:r>
    </w:p>
    <w:p w14:paraId="470F8E66" w14:textId="77777777" w:rsidR="00E24460" w:rsidRPr="00867F8A" w:rsidRDefault="00E24460" w:rsidP="00E24460">
      <w:pPr>
        <w:pStyle w:val="ExhibitText"/>
        <w:rPr>
          <w:lang w:val="en-GB"/>
        </w:rPr>
      </w:pPr>
    </w:p>
    <w:p w14:paraId="6258ACCC" w14:textId="77777777" w:rsidR="00C63A73" w:rsidRPr="00867F8A" w:rsidRDefault="00E24460" w:rsidP="00E24460">
      <w:pPr>
        <w:pStyle w:val="ExhibitText"/>
        <w:rPr>
          <w:lang w:val="en-GB"/>
        </w:rPr>
      </w:pPr>
      <w:r w:rsidRPr="00867F8A">
        <w:rPr>
          <w:b/>
          <w:lang w:val="en-GB"/>
        </w:rPr>
        <w:t>Stage IV</w:t>
      </w:r>
      <w:r w:rsidRPr="00867F8A">
        <w:rPr>
          <w:lang w:val="en-GB"/>
        </w:rPr>
        <w:t>:</w:t>
      </w:r>
    </w:p>
    <w:p w14:paraId="3AD6B346" w14:textId="290CD367" w:rsidR="00E24460" w:rsidRPr="00867F8A" w:rsidRDefault="00E24460" w:rsidP="00E24460">
      <w:pPr>
        <w:pStyle w:val="ExhibitText"/>
        <w:rPr>
          <w:lang w:val="en-GB"/>
        </w:rPr>
      </w:pPr>
      <w:r w:rsidRPr="00867F8A">
        <w:rPr>
          <w:lang w:val="en-GB"/>
        </w:rPr>
        <w:t>Hospitality focus</w:t>
      </w:r>
      <w:r w:rsidR="00281632" w:rsidRPr="00867F8A">
        <w:rPr>
          <w:lang w:val="en-GB"/>
        </w:rPr>
        <w:t>—</w:t>
      </w:r>
      <w:r w:rsidRPr="00867F8A">
        <w:rPr>
          <w:lang w:val="en-GB"/>
        </w:rPr>
        <w:t xml:space="preserve">improve operations and refurbish the resorts as needed (2010–2014): During this period, Raintree’s focus was on investing in some properties while selling others. </w:t>
      </w:r>
      <w:proofErr w:type="spellStart"/>
      <w:r w:rsidR="008657DD" w:rsidRPr="00867F8A">
        <w:rPr>
          <w:lang w:val="en-GB"/>
        </w:rPr>
        <w:t>Bech</w:t>
      </w:r>
      <w:proofErr w:type="spellEnd"/>
      <w:r w:rsidRPr="00867F8A">
        <w:rPr>
          <w:lang w:val="en-GB"/>
        </w:rPr>
        <w:t xml:space="preserve"> was open to invest</w:t>
      </w:r>
      <w:r w:rsidR="00281632" w:rsidRPr="00867F8A">
        <w:rPr>
          <w:lang w:val="en-GB"/>
        </w:rPr>
        <w:t>ing</w:t>
      </w:r>
      <w:r w:rsidRPr="00867F8A">
        <w:rPr>
          <w:lang w:val="en-GB"/>
        </w:rPr>
        <w:t xml:space="preserve"> in renovations at the properties in Mexico, including opening restaurants and completing</w:t>
      </w:r>
      <w:r w:rsidR="00592A79" w:rsidRPr="00867F8A">
        <w:rPr>
          <w:lang w:val="en-GB"/>
        </w:rPr>
        <w:t xml:space="preserve"> other</w:t>
      </w:r>
      <w:r w:rsidRPr="00867F8A">
        <w:rPr>
          <w:lang w:val="en-GB"/>
        </w:rPr>
        <w:t xml:space="preserve"> needed renovations. Simultaneously, properties were sold in Arizona and</w:t>
      </w:r>
      <w:r w:rsidR="00281632" w:rsidRPr="00867F8A">
        <w:rPr>
          <w:lang w:val="en-GB"/>
        </w:rPr>
        <w:t xml:space="preserve"> </w:t>
      </w:r>
      <w:r w:rsidRPr="00867F8A">
        <w:rPr>
          <w:lang w:val="en-GB"/>
        </w:rPr>
        <w:t xml:space="preserve">Acapulco to reduce </w:t>
      </w:r>
      <w:r w:rsidR="00281632" w:rsidRPr="00867F8A">
        <w:rPr>
          <w:lang w:val="en-GB"/>
        </w:rPr>
        <w:t xml:space="preserve">company </w:t>
      </w:r>
      <w:r w:rsidRPr="00867F8A">
        <w:rPr>
          <w:lang w:val="en-GB"/>
        </w:rPr>
        <w:t xml:space="preserve">debt. </w:t>
      </w:r>
      <w:proofErr w:type="spellStart"/>
      <w:r w:rsidR="008657DD" w:rsidRPr="00867F8A">
        <w:rPr>
          <w:lang w:val="en-GB"/>
        </w:rPr>
        <w:t>Bech</w:t>
      </w:r>
      <w:proofErr w:type="spellEnd"/>
      <w:r w:rsidRPr="00867F8A">
        <w:rPr>
          <w:lang w:val="en-GB"/>
        </w:rPr>
        <w:t xml:space="preserve"> </w:t>
      </w:r>
      <w:r w:rsidR="00646BD6" w:rsidRPr="00867F8A">
        <w:rPr>
          <w:lang w:val="en-GB"/>
        </w:rPr>
        <w:t xml:space="preserve">was </w:t>
      </w:r>
      <w:r w:rsidRPr="00867F8A">
        <w:rPr>
          <w:lang w:val="en-GB"/>
        </w:rPr>
        <w:t>keen</w:t>
      </w:r>
      <w:r w:rsidR="00646BD6" w:rsidRPr="00867F8A">
        <w:rPr>
          <w:lang w:val="en-GB"/>
        </w:rPr>
        <w:t>ly</w:t>
      </w:r>
      <w:r w:rsidRPr="00867F8A">
        <w:rPr>
          <w:lang w:val="en-GB"/>
        </w:rPr>
        <w:t xml:space="preserve"> focus</w:t>
      </w:r>
      <w:r w:rsidR="00646BD6" w:rsidRPr="00867F8A">
        <w:rPr>
          <w:lang w:val="en-GB"/>
        </w:rPr>
        <w:t>ed</w:t>
      </w:r>
      <w:r w:rsidRPr="00867F8A">
        <w:rPr>
          <w:lang w:val="en-GB"/>
        </w:rPr>
        <w:t xml:space="preserve"> on </w:t>
      </w:r>
      <w:proofErr w:type="spellStart"/>
      <w:r w:rsidRPr="00867F8A">
        <w:rPr>
          <w:lang w:val="en-GB"/>
        </w:rPr>
        <w:t>reevaluating</w:t>
      </w:r>
      <w:proofErr w:type="spellEnd"/>
      <w:r w:rsidRPr="00867F8A">
        <w:rPr>
          <w:lang w:val="en-GB"/>
        </w:rPr>
        <w:t xml:space="preserve"> properties that were not as productive from a financial perspective. A surprise came when Hurricane Odile hit Mexico in September 2014.</w:t>
      </w:r>
    </w:p>
    <w:p w14:paraId="59A86490" w14:textId="77777777" w:rsidR="00E24460" w:rsidRPr="00867F8A" w:rsidRDefault="00E24460" w:rsidP="00E24460">
      <w:pPr>
        <w:pStyle w:val="ExhibitText"/>
        <w:rPr>
          <w:lang w:val="en-GB"/>
        </w:rPr>
      </w:pPr>
    </w:p>
    <w:p w14:paraId="71D28026" w14:textId="77777777" w:rsidR="00C63A73" w:rsidRPr="00867F8A" w:rsidRDefault="00E24460" w:rsidP="00E24460">
      <w:pPr>
        <w:pStyle w:val="ExhibitText"/>
        <w:rPr>
          <w:lang w:val="en-GB"/>
        </w:rPr>
      </w:pPr>
      <w:r w:rsidRPr="00867F8A">
        <w:rPr>
          <w:b/>
          <w:lang w:val="en-GB"/>
        </w:rPr>
        <w:t>Stage V</w:t>
      </w:r>
      <w:r w:rsidRPr="00867F8A">
        <w:rPr>
          <w:lang w:val="en-GB"/>
        </w:rPr>
        <w:t>:</w:t>
      </w:r>
    </w:p>
    <w:p w14:paraId="2C26C3E0" w14:textId="4434A65E" w:rsidR="00E24460" w:rsidRPr="00867F8A" w:rsidRDefault="00E24460" w:rsidP="00E24460">
      <w:pPr>
        <w:pStyle w:val="ExhibitText"/>
        <w:rPr>
          <w:lang w:val="en-GB"/>
        </w:rPr>
      </w:pPr>
      <w:r w:rsidRPr="00867F8A">
        <w:rPr>
          <w:lang w:val="en-GB"/>
        </w:rPr>
        <w:t>Div</w:t>
      </w:r>
      <w:r w:rsidR="00AB592D" w:rsidRPr="00867F8A">
        <w:rPr>
          <w:lang w:val="en-GB"/>
        </w:rPr>
        <w:t>ing deeper</w:t>
      </w:r>
      <w:r w:rsidRPr="00867F8A">
        <w:rPr>
          <w:lang w:val="en-GB"/>
        </w:rPr>
        <w:t xml:space="preserve"> into excellence in hospitality, considering internal operations and growth (2015–2016): This period was one of beginning to realize the positive financial environment. For the properties in Mexico that </w:t>
      </w:r>
      <w:r w:rsidR="00646BD6" w:rsidRPr="00867F8A">
        <w:rPr>
          <w:lang w:val="en-GB"/>
        </w:rPr>
        <w:t xml:space="preserve">had </w:t>
      </w:r>
      <w:r w:rsidRPr="00867F8A">
        <w:rPr>
          <w:lang w:val="en-GB"/>
        </w:rPr>
        <w:t>represented a high financial risk in the past 10 years, sales began to increase. Raintree outsourced sales efforts</w:t>
      </w:r>
      <w:r w:rsidR="00646BD6" w:rsidRPr="00867F8A">
        <w:rPr>
          <w:lang w:val="en-GB"/>
        </w:rPr>
        <w:t xml:space="preserve">, which brought </w:t>
      </w:r>
      <w:r w:rsidRPr="00867F8A">
        <w:rPr>
          <w:lang w:val="en-GB"/>
        </w:rPr>
        <w:t>a positive return. In conjunction with this</w:t>
      </w:r>
      <w:r w:rsidR="00646BD6" w:rsidRPr="00867F8A">
        <w:rPr>
          <w:lang w:val="en-GB"/>
        </w:rPr>
        <w:t xml:space="preserve"> outsourcing</w:t>
      </w:r>
      <w:r w:rsidRPr="00867F8A">
        <w:rPr>
          <w:lang w:val="en-GB"/>
        </w:rPr>
        <w:t xml:space="preserve">, the Los Cabos properties were rebuilt. </w:t>
      </w:r>
      <w:r w:rsidR="00281632" w:rsidRPr="00867F8A">
        <w:rPr>
          <w:lang w:val="en-GB"/>
        </w:rPr>
        <w:t xml:space="preserve">Also, </w:t>
      </w:r>
      <w:proofErr w:type="spellStart"/>
      <w:r w:rsidR="008657DD" w:rsidRPr="00867F8A">
        <w:rPr>
          <w:lang w:val="en-GB"/>
        </w:rPr>
        <w:t>Bech</w:t>
      </w:r>
      <w:proofErr w:type="spellEnd"/>
      <w:r w:rsidRPr="00867F8A">
        <w:rPr>
          <w:lang w:val="en-GB"/>
        </w:rPr>
        <w:t xml:space="preserve"> began to think about developing more efficient resort operations that</w:t>
      </w:r>
      <w:r w:rsidR="00281632" w:rsidRPr="00867F8A">
        <w:rPr>
          <w:lang w:val="en-GB"/>
        </w:rPr>
        <w:t xml:space="preserve"> would</w:t>
      </w:r>
      <w:r w:rsidRPr="00867F8A">
        <w:rPr>
          <w:lang w:val="en-GB"/>
        </w:rPr>
        <w:t xml:space="preserve"> enable members to have high</w:t>
      </w:r>
      <w:r w:rsidR="00281632" w:rsidRPr="00867F8A">
        <w:rPr>
          <w:lang w:val="en-GB"/>
        </w:rPr>
        <w:t>-</w:t>
      </w:r>
      <w:r w:rsidRPr="00867F8A">
        <w:rPr>
          <w:lang w:val="en-GB"/>
        </w:rPr>
        <w:t>level travel experiences.</w:t>
      </w:r>
    </w:p>
    <w:p w14:paraId="663540DD" w14:textId="77777777" w:rsidR="00E24460" w:rsidRPr="00867F8A" w:rsidRDefault="00E24460" w:rsidP="00E24460">
      <w:pPr>
        <w:pStyle w:val="ExhibitText"/>
        <w:rPr>
          <w:lang w:val="en-GB"/>
        </w:rPr>
      </w:pPr>
    </w:p>
    <w:p w14:paraId="7CB157FD" w14:textId="77777777" w:rsidR="00C63A73" w:rsidRPr="00867F8A" w:rsidRDefault="00E24460" w:rsidP="00E24460">
      <w:pPr>
        <w:pStyle w:val="ExhibitText"/>
        <w:rPr>
          <w:lang w:val="en-GB"/>
        </w:rPr>
      </w:pPr>
      <w:r w:rsidRPr="00867F8A">
        <w:rPr>
          <w:b/>
          <w:lang w:val="en-GB"/>
        </w:rPr>
        <w:t>Stage VI</w:t>
      </w:r>
      <w:r w:rsidRPr="00867F8A">
        <w:rPr>
          <w:lang w:val="en-GB"/>
        </w:rPr>
        <w:t>:</w:t>
      </w:r>
    </w:p>
    <w:p w14:paraId="24064BFB" w14:textId="32DF446F" w:rsidR="00E24460" w:rsidRPr="00867F8A" w:rsidRDefault="00E24460" w:rsidP="00E24460">
      <w:pPr>
        <w:pStyle w:val="ExhibitText"/>
        <w:rPr>
          <w:lang w:val="en-GB"/>
        </w:rPr>
      </w:pPr>
      <w:r w:rsidRPr="00867F8A">
        <w:rPr>
          <w:lang w:val="en-GB"/>
        </w:rPr>
        <w:t>Next</w:t>
      </w:r>
      <w:r w:rsidR="00AB592D" w:rsidRPr="00867F8A">
        <w:rPr>
          <w:lang w:val="en-GB"/>
        </w:rPr>
        <w:t>-</w:t>
      </w:r>
      <w:r w:rsidRPr="00867F8A">
        <w:rPr>
          <w:lang w:val="en-GB"/>
        </w:rPr>
        <w:t>level expansion (2017 and beyond): This time period represent</w:t>
      </w:r>
      <w:r w:rsidR="00592A79" w:rsidRPr="00867F8A">
        <w:rPr>
          <w:lang w:val="en-GB"/>
        </w:rPr>
        <w:t>ed</w:t>
      </w:r>
      <w:r w:rsidRPr="00867F8A">
        <w:rPr>
          <w:lang w:val="en-GB"/>
        </w:rPr>
        <w:t xml:space="preserve"> one of considering the overall strategic direction for the company. While the portfolio ha</w:t>
      </w:r>
      <w:r w:rsidR="00592A79" w:rsidRPr="00867F8A">
        <w:rPr>
          <w:lang w:val="en-GB"/>
        </w:rPr>
        <w:t>d</w:t>
      </w:r>
      <w:r w:rsidRPr="00867F8A">
        <w:rPr>
          <w:lang w:val="en-GB"/>
        </w:rPr>
        <w:t xml:space="preserve"> performed well, different markets ha</w:t>
      </w:r>
      <w:r w:rsidR="00592A79" w:rsidRPr="00867F8A">
        <w:rPr>
          <w:lang w:val="en-GB"/>
        </w:rPr>
        <w:t>d</w:t>
      </w:r>
      <w:r w:rsidRPr="00867F8A">
        <w:rPr>
          <w:lang w:val="en-GB"/>
        </w:rPr>
        <w:t xml:space="preserve"> emerged with new customer preferences. In addition, technology </w:t>
      </w:r>
      <w:r w:rsidR="00592A79" w:rsidRPr="00867F8A">
        <w:rPr>
          <w:lang w:val="en-GB"/>
        </w:rPr>
        <w:t xml:space="preserve">was </w:t>
      </w:r>
      <w:r w:rsidRPr="00867F8A">
        <w:rPr>
          <w:lang w:val="en-GB"/>
        </w:rPr>
        <w:t>enabl</w:t>
      </w:r>
      <w:r w:rsidR="00592A79" w:rsidRPr="00867F8A">
        <w:rPr>
          <w:lang w:val="en-GB"/>
        </w:rPr>
        <w:t>ing</w:t>
      </w:r>
      <w:r w:rsidRPr="00867F8A">
        <w:rPr>
          <w:lang w:val="en-GB"/>
        </w:rPr>
        <w:t xml:space="preserve"> the notion of “disruption” to surface. New business models that were </w:t>
      </w:r>
      <w:r w:rsidR="00592A79" w:rsidRPr="00867F8A">
        <w:rPr>
          <w:lang w:val="en-GB"/>
        </w:rPr>
        <w:t>previous</w:t>
      </w:r>
      <w:r w:rsidR="00281632" w:rsidRPr="00867F8A">
        <w:rPr>
          <w:lang w:val="en-GB"/>
        </w:rPr>
        <w:t xml:space="preserve">ly </w:t>
      </w:r>
      <w:r w:rsidRPr="00867F8A">
        <w:rPr>
          <w:lang w:val="en-GB"/>
        </w:rPr>
        <w:t>thought</w:t>
      </w:r>
      <w:r w:rsidR="00592A79" w:rsidRPr="00867F8A">
        <w:rPr>
          <w:lang w:val="en-GB"/>
        </w:rPr>
        <w:t xml:space="preserve"> to</w:t>
      </w:r>
      <w:r w:rsidRPr="00867F8A">
        <w:rPr>
          <w:lang w:val="en-GB"/>
        </w:rPr>
        <w:t xml:space="preserve"> not be possible invited new ideas (e.g., Uber, Airbnb, Gilt, </w:t>
      </w:r>
      <w:r w:rsidR="00281632" w:rsidRPr="00867F8A">
        <w:rPr>
          <w:lang w:val="en-GB"/>
        </w:rPr>
        <w:t xml:space="preserve">and </w:t>
      </w:r>
      <w:proofErr w:type="spellStart"/>
      <w:r w:rsidRPr="00867F8A">
        <w:rPr>
          <w:lang w:val="en-GB"/>
        </w:rPr>
        <w:t>Udacity</w:t>
      </w:r>
      <w:proofErr w:type="spellEnd"/>
      <w:r w:rsidRPr="00867F8A">
        <w:rPr>
          <w:lang w:val="en-GB"/>
        </w:rPr>
        <w:t>).</w:t>
      </w:r>
    </w:p>
    <w:p w14:paraId="209DB307" w14:textId="77777777" w:rsidR="00E24460" w:rsidRPr="00867F8A" w:rsidRDefault="00E24460" w:rsidP="006F1D9E">
      <w:pPr>
        <w:pStyle w:val="Footnote"/>
        <w:rPr>
          <w:lang w:val="en-GB"/>
        </w:rPr>
      </w:pPr>
    </w:p>
    <w:p w14:paraId="5CE9DB06" w14:textId="3A511976" w:rsidR="00E24460" w:rsidRPr="00867F8A" w:rsidRDefault="00E24460" w:rsidP="00E72122">
      <w:pPr>
        <w:pStyle w:val="Footnote"/>
        <w:rPr>
          <w:lang w:val="en-GB"/>
        </w:rPr>
      </w:pPr>
      <w:r w:rsidRPr="00867F8A">
        <w:rPr>
          <w:lang w:val="en-GB"/>
        </w:rPr>
        <w:t>Source:</w:t>
      </w:r>
      <w:r w:rsidR="00C36116" w:rsidRPr="00867F8A">
        <w:rPr>
          <w:lang w:val="en-GB"/>
        </w:rPr>
        <w:t xml:space="preserve"> </w:t>
      </w:r>
      <w:r w:rsidR="00281632" w:rsidRPr="00867F8A">
        <w:rPr>
          <w:rStyle w:val="CommentReference"/>
          <w:sz w:val="17"/>
          <w:szCs w:val="17"/>
          <w:lang w:val="en-GB"/>
        </w:rPr>
        <w:t xml:space="preserve">Company </w:t>
      </w:r>
      <w:r w:rsidR="00AB592D" w:rsidRPr="00867F8A">
        <w:rPr>
          <w:rStyle w:val="CommentReference"/>
          <w:sz w:val="17"/>
          <w:szCs w:val="17"/>
          <w:lang w:val="en-GB"/>
        </w:rPr>
        <w:t>documents</w:t>
      </w:r>
      <w:r w:rsidR="0046578E" w:rsidRPr="00867F8A">
        <w:rPr>
          <w:rStyle w:val="CommentReference"/>
          <w:sz w:val="17"/>
          <w:szCs w:val="17"/>
          <w:lang w:val="en-GB"/>
        </w:rPr>
        <w:t>.</w:t>
      </w:r>
    </w:p>
    <w:p w14:paraId="128459F6" w14:textId="77777777" w:rsidR="00E24460" w:rsidRPr="00867F8A" w:rsidRDefault="00E24460" w:rsidP="006F1D9E">
      <w:pPr>
        <w:pStyle w:val="Footnote"/>
        <w:rPr>
          <w:lang w:val="en-GB"/>
        </w:rPr>
      </w:pPr>
    </w:p>
    <w:p w14:paraId="4B9B7521" w14:textId="6FC657A1" w:rsidR="0036018A" w:rsidRPr="00867F8A" w:rsidRDefault="00E24460" w:rsidP="0036018A">
      <w:pPr>
        <w:pStyle w:val="ExhibitHeading"/>
        <w:rPr>
          <w:lang w:val="en-GB"/>
        </w:rPr>
      </w:pPr>
      <w:r w:rsidRPr="00867F8A">
        <w:rPr>
          <w:lang w:val="en-GB"/>
        </w:rPr>
        <w:br w:type="page"/>
      </w:r>
      <w:r w:rsidR="0036018A" w:rsidRPr="00867F8A">
        <w:rPr>
          <w:lang w:val="en-GB"/>
        </w:rPr>
        <w:lastRenderedPageBreak/>
        <w:t xml:space="preserve">Exhibit </w:t>
      </w:r>
      <w:r w:rsidR="00CA05B2" w:rsidRPr="00867F8A">
        <w:rPr>
          <w:lang w:val="en-GB"/>
        </w:rPr>
        <w:t>2</w:t>
      </w:r>
      <w:r w:rsidR="0036018A" w:rsidRPr="00867F8A">
        <w:rPr>
          <w:lang w:val="en-GB"/>
        </w:rPr>
        <w:t>: Raintree Organizational Structure</w:t>
      </w:r>
    </w:p>
    <w:p w14:paraId="4C1016E9" w14:textId="77777777" w:rsidR="0036018A" w:rsidRPr="00867F8A" w:rsidRDefault="0036018A">
      <w:pPr>
        <w:spacing w:after="200" w:line="276" w:lineRule="auto"/>
        <w:rPr>
          <w:lang w:val="en-GB"/>
        </w:rPr>
      </w:pPr>
    </w:p>
    <w:p w14:paraId="52DA972E" w14:textId="77777777" w:rsidR="0036018A" w:rsidRPr="00867F8A" w:rsidRDefault="0036018A">
      <w:pPr>
        <w:spacing w:after="200" w:line="276" w:lineRule="auto"/>
        <w:rPr>
          <w:lang w:val="en-GB"/>
        </w:rPr>
      </w:pPr>
      <w:r w:rsidRPr="00867F8A">
        <w:rPr>
          <w:rFonts w:ascii="Arial" w:hAnsi="Arial" w:cs="Arial"/>
          <w:b/>
          <w:noProof/>
          <w:shd w:val="clear" w:color="auto" w:fill="FFFFFF" w:themeFill="background1"/>
          <w:lang w:val="en-CA" w:eastAsia="en-CA"/>
        </w:rPr>
        <w:drawing>
          <wp:inline distT="0" distB="0" distL="0" distR="0" wp14:anchorId="14A1EA08" wp14:editId="7130EE9C">
            <wp:extent cx="5854889" cy="2590800"/>
            <wp:effectExtent l="0" t="57150" r="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AE856" w14:textId="77777777" w:rsidR="0036018A" w:rsidRPr="00867F8A" w:rsidRDefault="0036018A" w:rsidP="0036018A">
      <w:pPr>
        <w:pStyle w:val="Footnote"/>
        <w:rPr>
          <w:lang w:val="en-GB"/>
        </w:rPr>
      </w:pPr>
      <w:r w:rsidRPr="00867F8A">
        <w:rPr>
          <w:lang w:val="en-GB"/>
        </w:rPr>
        <w:t>Source: Company documents.</w:t>
      </w:r>
    </w:p>
    <w:p w14:paraId="13BAAACA" w14:textId="77777777" w:rsidR="00CA05B2" w:rsidRPr="00867F8A" w:rsidRDefault="00CA05B2" w:rsidP="00CA05B2">
      <w:pPr>
        <w:pStyle w:val="ExhibitHeading"/>
        <w:rPr>
          <w:lang w:val="en-GB"/>
        </w:rPr>
      </w:pPr>
    </w:p>
    <w:p w14:paraId="7B36C08D" w14:textId="77777777" w:rsidR="00CA05B2" w:rsidRPr="00867F8A" w:rsidRDefault="00CA05B2" w:rsidP="00CA05B2">
      <w:pPr>
        <w:pStyle w:val="ExhibitHeading"/>
        <w:rPr>
          <w:lang w:val="en-GB"/>
        </w:rPr>
      </w:pPr>
    </w:p>
    <w:p w14:paraId="0FA70AD2" w14:textId="77777777" w:rsidR="00CA05B2" w:rsidRPr="00867F8A" w:rsidRDefault="00CA05B2" w:rsidP="00CA05B2">
      <w:pPr>
        <w:pStyle w:val="ExhibitHeading"/>
        <w:rPr>
          <w:lang w:val="en-GB"/>
        </w:rPr>
      </w:pPr>
      <w:r w:rsidRPr="00867F8A">
        <w:rPr>
          <w:lang w:val="en-GB"/>
        </w:rPr>
        <w:t>Exhibit 3: ARD Inventory by Level</w:t>
      </w:r>
    </w:p>
    <w:p w14:paraId="1656C48D" w14:textId="77777777" w:rsidR="00CA05B2" w:rsidRPr="00867F8A" w:rsidRDefault="00CA05B2" w:rsidP="00CA05B2">
      <w:pPr>
        <w:rPr>
          <w:rFonts w:ascii="Arial" w:hAnsi="Arial" w:cs="Arial"/>
          <w:lang w:val="en-GB"/>
        </w:rPr>
      </w:pPr>
    </w:p>
    <w:tbl>
      <w:tblPr>
        <w:tblStyle w:val="GridTable4-Accent11"/>
        <w:tblW w:w="855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170"/>
        <w:gridCol w:w="1260"/>
        <w:gridCol w:w="1350"/>
        <w:gridCol w:w="3150"/>
      </w:tblGrid>
      <w:tr w:rsidR="00CA05B2" w:rsidRPr="00867F8A" w14:paraId="2E0674F2" w14:textId="77777777" w:rsidTr="0015532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auto"/>
          </w:tcPr>
          <w:p w14:paraId="19BF19C9" w14:textId="77777777" w:rsidR="00CA05B2" w:rsidRPr="00867F8A" w:rsidRDefault="00CA05B2" w:rsidP="00155328">
            <w:pPr>
              <w:pStyle w:val="ExhibitText"/>
              <w:rPr>
                <w:color w:val="auto"/>
                <w:lang w:val="en-GB"/>
              </w:rPr>
            </w:pPr>
          </w:p>
        </w:tc>
        <w:tc>
          <w:tcPr>
            <w:tcW w:w="1170" w:type="dxa"/>
            <w:tcBorders>
              <w:top w:val="none" w:sz="0" w:space="0" w:color="auto"/>
              <w:left w:val="none" w:sz="0" w:space="0" w:color="auto"/>
              <w:bottom w:val="none" w:sz="0" w:space="0" w:color="auto"/>
              <w:right w:val="none" w:sz="0" w:space="0" w:color="auto"/>
            </w:tcBorders>
            <w:shd w:val="clear" w:color="auto" w:fill="auto"/>
          </w:tcPr>
          <w:p w14:paraId="534CEF36" w14:textId="77777777" w:rsidR="00CA05B2" w:rsidRPr="00867F8A" w:rsidRDefault="00CA05B2" w:rsidP="00155328">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Points</w:t>
            </w:r>
          </w:p>
        </w:tc>
        <w:tc>
          <w:tcPr>
            <w:tcW w:w="1260" w:type="dxa"/>
            <w:tcBorders>
              <w:top w:val="none" w:sz="0" w:space="0" w:color="auto"/>
              <w:left w:val="none" w:sz="0" w:space="0" w:color="auto"/>
              <w:bottom w:val="none" w:sz="0" w:space="0" w:color="auto"/>
              <w:right w:val="none" w:sz="0" w:space="0" w:color="auto"/>
            </w:tcBorders>
            <w:shd w:val="clear" w:color="auto" w:fill="auto"/>
          </w:tcPr>
          <w:p w14:paraId="4981D77D" w14:textId="77777777" w:rsidR="00CA05B2" w:rsidRPr="00867F8A" w:rsidRDefault="00CA05B2" w:rsidP="00155328">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Price (US$)</w:t>
            </w:r>
          </w:p>
        </w:tc>
        <w:tc>
          <w:tcPr>
            <w:tcW w:w="1350" w:type="dxa"/>
            <w:tcBorders>
              <w:top w:val="none" w:sz="0" w:space="0" w:color="auto"/>
              <w:left w:val="none" w:sz="0" w:space="0" w:color="auto"/>
              <w:bottom w:val="none" w:sz="0" w:space="0" w:color="auto"/>
              <w:right w:val="none" w:sz="0" w:space="0" w:color="auto"/>
            </w:tcBorders>
            <w:shd w:val="clear" w:color="auto" w:fill="auto"/>
          </w:tcPr>
          <w:p w14:paraId="1534AD54" w14:textId="77777777" w:rsidR="00CA05B2" w:rsidRPr="00867F8A" w:rsidRDefault="00CA05B2" w:rsidP="00155328">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Annual Fee</w:t>
            </w:r>
          </w:p>
          <w:p w14:paraId="20EA3DF8" w14:textId="77777777" w:rsidR="00CA05B2" w:rsidRPr="00867F8A" w:rsidRDefault="00CA05B2" w:rsidP="00155328">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(US$)</w:t>
            </w:r>
          </w:p>
        </w:tc>
        <w:tc>
          <w:tcPr>
            <w:tcW w:w="3150" w:type="dxa"/>
            <w:tcBorders>
              <w:top w:val="none" w:sz="0" w:space="0" w:color="auto"/>
              <w:left w:val="none" w:sz="0" w:space="0" w:color="auto"/>
              <w:bottom w:val="none" w:sz="0" w:space="0" w:color="auto"/>
              <w:right w:val="none" w:sz="0" w:space="0" w:color="auto"/>
            </w:tcBorders>
            <w:shd w:val="clear" w:color="auto" w:fill="auto"/>
          </w:tcPr>
          <w:p w14:paraId="55580D63" w14:textId="77777777" w:rsidR="00CA05B2" w:rsidRPr="00867F8A" w:rsidRDefault="00CA05B2" w:rsidP="00155328">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Annual Use Example</w:t>
            </w:r>
          </w:p>
        </w:tc>
      </w:tr>
      <w:tr w:rsidR="00CA05B2" w:rsidRPr="00867F8A" w14:paraId="7FB9C5D8" w14:textId="77777777" w:rsidTr="001553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48C1238F" w14:textId="77777777" w:rsidR="00CA05B2" w:rsidRPr="00867F8A" w:rsidRDefault="00CA05B2" w:rsidP="00155328">
            <w:pPr>
              <w:pStyle w:val="ExhibitText"/>
              <w:rPr>
                <w:lang w:val="en-GB"/>
              </w:rPr>
            </w:pPr>
            <w:r w:rsidRPr="00867F8A">
              <w:rPr>
                <w:lang w:val="en-GB"/>
              </w:rPr>
              <w:t>Gold</w:t>
            </w:r>
          </w:p>
        </w:tc>
        <w:tc>
          <w:tcPr>
            <w:tcW w:w="1170" w:type="dxa"/>
            <w:shd w:val="clear" w:color="auto" w:fill="auto"/>
          </w:tcPr>
          <w:p w14:paraId="347DEEE8"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50,000</w:t>
            </w:r>
          </w:p>
        </w:tc>
        <w:tc>
          <w:tcPr>
            <w:tcW w:w="1260" w:type="dxa"/>
            <w:shd w:val="clear" w:color="auto" w:fill="auto"/>
          </w:tcPr>
          <w:p w14:paraId="5E42F878"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24,750</w:t>
            </w:r>
          </w:p>
        </w:tc>
        <w:tc>
          <w:tcPr>
            <w:tcW w:w="1350" w:type="dxa"/>
            <w:shd w:val="clear" w:color="auto" w:fill="auto"/>
          </w:tcPr>
          <w:p w14:paraId="4A430AA8"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1,250</w:t>
            </w:r>
          </w:p>
        </w:tc>
        <w:tc>
          <w:tcPr>
            <w:tcW w:w="3150" w:type="dxa"/>
            <w:shd w:val="clear" w:color="auto" w:fill="auto"/>
          </w:tcPr>
          <w:p w14:paraId="08FC9A90" w14:textId="77777777" w:rsidR="00CA05B2" w:rsidRPr="00867F8A" w:rsidRDefault="00CA05B2" w:rsidP="00155328">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1 BR in prime season</w:t>
            </w:r>
          </w:p>
          <w:p w14:paraId="5DC23D62" w14:textId="77777777" w:rsidR="00CA05B2" w:rsidRPr="00867F8A" w:rsidRDefault="00CA05B2" w:rsidP="00155328">
            <w:pPr>
              <w:pStyle w:val="ExhibitText"/>
              <w:jc w:val="left"/>
              <w:cnfStyle w:val="000000100000" w:firstRow="0" w:lastRow="0" w:firstColumn="0" w:lastColumn="0" w:oddVBand="0" w:evenVBand="0" w:oddHBand="1" w:evenHBand="0" w:firstRowFirstColumn="0" w:firstRowLastColumn="0" w:lastRowFirstColumn="0" w:lastRowLastColumn="0"/>
              <w:rPr>
                <w:lang w:val="en-GB"/>
              </w:rPr>
            </w:pPr>
          </w:p>
        </w:tc>
      </w:tr>
      <w:tr w:rsidR="00CA05B2" w:rsidRPr="00867F8A" w14:paraId="534584A7" w14:textId="77777777" w:rsidTr="00155328">
        <w:trPr>
          <w:cantSplit/>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14E7E93B" w14:textId="77777777" w:rsidR="00CA05B2" w:rsidRPr="00867F8A" w:rsidRDefault="00CA05B2" w:rsidP="00155328">
            <w:pPr>
              <w:pStyle w:val="ExhibitText"/>
              <w:rPr>
                <w:lang w:val="en-GB"/>
              </w:rPr>
            </w:pPr>
            <w:r w:rsidRPr="00867F8A">
              <w:rPr>
                <w:lang w:val="en-GB"/>
              </w:rPr>
              <w:t>Platinum</w:t>
            </w:r>
          </w:p>
        </w:tc>
        <w:tc>
          <w:tcPr>
            <w:tcW w:w="1170" w:type="dxa"/>
            <w:shd w:val="clear" w:color="auto" w:fill="auto"/>
          </w:tcPr>
          <w:p w14:paraId="1FEB365B"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80,000</w:t>
            </w:r>
          </w:p>
        </w:tc>
        <w:tc>
          <w:tcPr>
            <w:tcW w:w="1260" w:type="dxa"/>
            <w:shd w:val="clear" w:color="auto" w:fill="auto"/>
          </w:tcPr>
          <w:p w14:paraId="1D910432"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34,499</w:t>
            </w:r>
          </w:p>
        </w:tc>
        <w:tc>
          <w:tcPr>
            <w:tcW w:w="1350" w:type="dxa"/>
            <w:shd w:val="clear" w:color="auto" w:fill="auto"/>
          </w:tcPr>
          <w:p w14:paraId="5F5AC269"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1,421</w:t>
            </w:r>
          </w:p>
        </w:tc>
        <w:tc>
          <w:tcPr>
            <w:tcW w:w="3150" w:type="dxa"/>
            <w:shd w:val="clear" w:color="auto" w:fill="auto"/>
          </w:tcPr>
          <w:p w14:paraId="37E12497" w14:textId="77777777" w:rsidR="00CA05B2" w:rsidRPr="00867F8A" w:rsidRDefault="00CA05B2" w:rsidP="00155328">
            <w:pPr>
              <w:pStyle w:val="ExhibitText"/>
              <w:jc w:val="lef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 BR in high season or 2 BR in prime season</w:t>
            </w:r>
          </w:p>
        </w:tc>
      </w:tr>
      <w:tr w:rsidR="00CA05B2" w:rsidRPr="00867F8A" w14:paraId="5F2C02EE" w14:textId="77777777" w:rsidTr="001553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2CFEE5AB" w14:textId="77777777" w:rsidR="00CA05B2" w:rsidRPr="00867F8A" w:rsidRDefault="00CA05B2" w:rsidP="00155328">
            <w:pPr>
              <w:pStyle w:val="ExhibitText"/>
              <w:rPr>
                <w:lang w:val="en-GB"/>
              </w:rPr>
            </w:pPr>
            <w:r w:rsidRPr="00867F8A">
              <w:rPr>
                <w:lang w:val="en-GB"/>
              </w:rPr>
              <w:t>Sapphire</w:t>
            </w:r>
          </w:p>
        </w:tc>
        <w:tc>
          <w:tcPr>
            <w:tcW w:w="1170" w:type="dxa"/>
            <w:shd w:val="clear" w:color="auto" w:fill="auto"/>
          </w:tcPr>
          <w:p w14:paraId="49BD9348"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130,000</w:t>
            </w:r>
          </w:p>
        </w:tc>
        <w:tc>
          <w:tcPr>
            <w:tcW w:w="1260" w:type="dxa"/>
            <w:shd w:val="clear" w:color="auto" w:fill="auto"/>
          </w:tcPr>
          <w:p w14:paraId="08C819E9"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52,999</w:t>
            </w:r>
          </w:p>
        </w:tc>
        <w:tc>
          <w:tcPr>
            <w:tcW w:w="1350" w:type="dxa"/>
            <w:shd w:val="clear" w:color="auto" w:fill="auto"/>
          </w:tcPr>
          <w:p w14:paraId="7F96B092"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2,111</w:t>
            </w:r>
          </w:p>
        </w:tc>
        <w:tc>
          <w:tcPr>
            <w:tcW w:w="3150" w:type="dxa"/>
            <w:shd w:val="clear" w:color="auto" w:fill="auto"/>
          </w:tcPr>
          <w:p w14:paraId="5300C254" w14:textId="77777777" w:rsidR="00CA05B2" w:rsidRPr="00867F8A" w:rsidRDefault="00CA05B2" w:rsidP="00155328">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2 BR in high season or 3 BR in prime season</w:t>
            </w:r>
          </w:p>
        </w:tc>
      </w:tr>
      <w:tr w:rsidR="00CA05B2" w:rsidRPr="00867F8A" w14:paraId="1D640DF2" w14:textId="77777777" w:rsidTr="00155328">
        <w:trPr>
          <w:cantSplit/>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36794C50" w14:textId="77777777" w:rsidR="00CA05B2" w:rsidRPr="00867F8A" w:rsidRDefault="00CA05B2" w:rsidP="00155328">
            <w:pPr>
              <w:pStyle w:val="ExhibitText"/>
              <w:rPr>
                <w:lang w:val="en-GB"/>
              </w:rPr>
            </w:pPr>
            <w:r w:rsidRPr="00867F8A">
              <w:rPr>
                <w:lang w:val="en-GB"/>
              </w:rPr>
              <w:t>Emerald</w:t>
            </w:r>
          </w:p>
        </w:tc>
        <w:tc>
          <w:tcPr>
            <w:tcW w:w="1170" w:type="dxa"/>
            <w:shd w:val="clear" w:color="auto" w:fill="auto"/>
          </w:tcPr>
          <w:p w14:paraId="66716975"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160,000</w:t>
            </w:r>
          </w:p>
        </w:tc>
        <w:tc>
          <w:tcPr>
            <w:tcW w:w="1260" w:type="dxa"/>
            <w:shd w:val="clear" w:color="auto" w:fill="auto"/>
          </w:tcPr>
          <w:p w14:paraId="27E7A9E3"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62,599</w:t>
            </w:r>
          </w:p>
        </w:tc>
        <w:tc>
          <w:tcPr>
            <w:tcW w:w="1350" w:type="dxa"/>
            <w:shd w:val="clear" w:color="auto" w:fill="auto"/>
          </w:tcPr>
          <w:p w14:paraId="7D6D3105"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2,562</w:t>
            </w:r>
          </w:p>
        </w:tc>
        <w:tc>
          <w:tcPr>
            <w:tcW w:w="3150" w:type="dxa"/>
            <w:shd w:val="clear" w:color="auto" w:fill="auto"/>
          </w:tcPr>
          <w:p w14:paraId="60FE7890" w14:textId="77777777" w:rsidR="00CA05B2" w:rsidRPr="00867F8A" w:rsidRDefault="00CA05B2" w:rsidP="00155328">
            <w:pPr>
              <w:pStyle w:val="ExhibitText"/>
              <w:jc w:val="lef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2 weeks in a 2 BR in high season</w:t>
            </w:r>
          </w:p>
        </w:tc>
      </w:tr>
      <w:tr w:rsidR="00CA05B2" w:rsidRPr="00867F8A" w14:paraId="1648621F" w14:textId="77777777" w:rsidTr="001553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2277CA64" w14:textId="77777777" w:rsidR="00CA05B2" w:rsidRPr="00867F8A" w:rsidRDefault="00CA05B2" w:rsidP="00155328">
            <w:pPr>
              <w:pStyle w:val="ExhibitText"/>
              <w:rPr>
                <w:lang w:val="en-GB"/>
              </w:rPr>
            </w:pPr>
            <w:r w:rsidRPr="00867F8A">
              <w:rPr>
                <w:lang w:val="en-GB"/>
              </w:rPr>
              <w:t>Ruby</w:t>
            </w:r>
          </w:p>
        </w:tc>
        <w:tc>
          <w:tcPr>
            <w:tcW w:w="1170" w:type="dxa"/>
            <w:shd w:val="clear" w:color="auto" w:fill="auto"/>
          </w:tcPr>
          <w:p w14:paraId="689C311F"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240,000</w:t>
            </w:r>
          </w:p>
        </w:tc>
        <w:tc>
          <w:tcPr>
            <w:tcW w:w="1260" w:type="dxa"/>
            <w:shd w:val="clear" w:color="auto" w:fill="auto"/>
          </w:tcPr>
          <w:p w14:paraId="4B156773"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89,999</w:t>
            </w:r>
          </w:p>
        </w:tc>
        <w:tc>
          <w:tcPr>
            <w:tcW w:w="1350" w:type="dxa"/>
            <w:shd w:val="clear" w:color="auto" w:fill="auto"/>
          </w:tcPr>
          <w:p w14:paraId="0F2E83EB" w14:textId="77777777" w:rsidR="00CA05B2" w:rsidRPr="00867F8A" w:rsidRDefault="00CA05B2" w:rsidP="00155328">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3,619</w:t>
            </w:r>
          </w:p>
        </w:tc>
        <w:tc>
          <w:tcPr>
            <w:tcW w:w="3150" w:type="dxa"/>
            <w:shd w:val="clear" w:color="auto" w:fill="auto"/>
          </w:tcPr>
          <w:p w14:paraId="06877962" w14:textId="77777777" w:rsidR="00CA05B2" w:rsidRPr="00867F8A" w:rsidRDefault="00CA05B2" w:rsidP="00155328">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2 weeks in a 2 BR in a fractional resort</w:t>
            </w:r>
          </w:p>
        </w:tc>
      </w:tr>
      <w:tr w:rsidR="00CA05B2" w:rsidRPr="00867F8A" w14:paraId="4300C719" w14:textId="77777777" w:rsidTr="00155328">
        <w:trPr>
          <w:cantSplit/>
        </w:trPr>
        <w:tc>
          <w:tcPr>
            <w:cnfStyle w:val="001000000000" w:firstRow="0" w:lastRow="0" w:firstColumn="1" w:lastColumn="0" w:oddVBand="0" w:evenVBand="0" w:oddHBand="0" w:evenHBand="0" w:firstRowFirstColumn="0" w:firstRowLastColumn="0" w:lastRowFirstColumn="0" w:lastRowLastColumn="0"/>
            <w:tcW w:w="1620" w:type="dxa"/>
            <w:shd w:val="clear" w:color="auto" w:fill="auto"/>
          </w:tcPr>
          <w:p w14:paraId="71E8F79B" w14:textId="77777777" w:rsidR="00CA05B2" w:rsidRPr="00867F8A" w:rsidRDefault="00CA05B2" w:rsidP="00155328">
            <w:pPr>
              <w:pStyle w:val="ExhibitText"/>
              <w:rPr>
                <w:lang w:val="en-GB"/>
              </w:rPr>
            </w:pPr>
            <w:r w:rsidRPr="00867F8A">
              <w:rPr>
                <w:lang w:val="en-GB"/>
              </w:rPr>
              <w:t>Diamond</w:t>
            </w:r>
          </w:p>
        </w:tc>
        <w:tc>
          <w:tcPr>
            <w:tcW w:w="1170" w:type="dxa"/>
            <w:shd w:val="clear" w:color="auto" w:fill="auto"/>
          </w:tcPr>
          <w:p w14:paraId="116FE5EE"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320,000</w:t>
            </w:r>
          </w:p>
        </w:tc>
        <w:tc>
          <w:tcPr>
            <w:tcW w:w="1260" w:type="dxa"/>
            <w:shd w:val="clear" w:color="auto" w:fill="auto"/>
          </w:tcPr>
          <w:p w14:paraId="0CD48F3D"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121,999</w:t>
            </w:r>
          </w:p>
        </w:tc>
        <w:tc>
          <w:tcPr>
            <w:tcW w:w="1350" w:type="dxa"/>
            <w:shd w:val="clear" w:color="auto" w:fill="auto"/>
          </w:tcPr>
          <w:p w14:paraId="5187DE57" w14:textId="77777777" w:rsidR="00CA05B2" w:rsidRPr="00867F8A" w:rsidRDefault="00CA05B2" w:rsidP="00155328">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4,699</w:t>
            </w:r>
          </w:p>
        </w:tc>
        <w:tc>
          <w:tcPr>
            <w:tcW w:w="3150" w:type="dxa"/>
            <w:shd w:val="clear" w:color="auto" w:fill="auto"/>
          </w:tcPr>
          <w:p w14:paraId="64699EDF" w14:textId="77777777" w:rsidR="00CA05B2" w:rsidRPr="00867F8A" w:rsidRDefault="00CA05B2" w:rsidP="00155328">
            <w:pPr>
              <w:pStyle w:val="ExhibitText"/>
              <w:jc w:val="lef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4 weeks in a 2 BR in a fractional resort</w:t>
            </w:r>
          </w:p>
        </w:tc>
      </w:tr>
    </w:tbl>
    <w:p w14:paraId="0FE2EE1D" w14:textId="77777777" w:rsidR="00CA05B2" w:rsidRPr="00867F8A" w:rsidRDefault="00CA05B2" w:rsidP="00CA05B2">
      <w:pPr>
        <w:rPr>
          <w:rFonts w:ascii="Arial" w:hAnsi="Arial" w:cs="Arial"/>
          <w:lang w:val="en-GB"/>
        </w:rPr>
      </w:pPr>
    </w:p>
    <w:p w14:paraId="0FD594D2" w14:textId="0B165ED1" w:rsidR="00CA05B2" w:rsidRPr="00867F8A" w:rsidRDefault="00CA05B2" w:rsidP="00CA05B2">
      <w:pPr>
        <w:pStyle w:val="Footnote"/>
        <w:rPr>
          <w:lang w:val="en-GB"/>
        </w:rPr>
      </w:pPr>
      <w:r w:rsidRPr="00867F8A">
        <w:rPr>
          <w:lang w:val="en-GB"/>
        </w:rPr>
        <w:t>Note: BR = bedroom</w:t>
      </w:r>
    </w:p>
    <w:p w14:paraId="0FBAFE4E" w14:textId="544A941D" w:rsidR="00CA05B2" w:rsidRPr="00867F8A" w:rsidRDefault="00CA05B2" w:rsidP="00CA05B2">
      <w:pPr>
        <w:pStyle w:val="Footnote"/>
        <w:rPr>
          <w:lang w:val="en-GB"/>
        </w:rPr>
      </w:pPr>
      <w:r w:rsidRPr="00867F8A">
        <w:rPr>
          <w:lang w:val="en-GB"/>
        </w:rPr>
        <w:t xml:space="preserve">Source: Company </w:t>
      </w:r>
      <w:r w:rsidR="00AB592D" w:rsidRPr="00867F8A">
        <w:rPr>
          <w:lang w:val="en-GB"/>
        </w:rPr>
        <w:t>documents</w:t>
      </w:r>
      <w:r w:rsidRPr="00867F8A">
        <w:rPr>
          <w:lang w:val="en-GB"/>
        </w:rPr>
        <w:t>.</w:t>
      </w:r>
    </w:p>
    <w:p w14:paraId="4A4F93C8" w14:textId="26E6ABD6" w:rsidR="00AE62EE" w:rsidRPr="00867F8A" w:rsidRDefault="00AE62EE">
      <w:pPr>
        <w:spacing w:after="200" w:line="276" w:lineRule="auto"/>
        <w:rPr>
          <w:rFonts w:ascii="Arial" w:hAnsi="Arial" w:cs="Arial"/>
          <w:sz w:val="17"/>
          <w:szCs w:val="17"/>
          <w:lang w:val="en-GB"/>
        </w:rPr>
      </w:pPr>
      <w:r w:rsidRPr="00867F8A">
        <w:rPr>
          <w:lang w:val="en-GB"/>
        </w:rPr>
        <w:br w:type="page"/>
      </w:r>
    </w:p>
    <w:p w14:paraId="16F7FC45" w14:textId="1A230B73" w:rsidR="00AE62EE" w:rsidRPr="00867F8A" w:rsidRDefault="002267C2" w:rsidP="00AE62EE">
      <w:pPr>
        <w:pStyle w:val="ExhibitHeading"/>
        <w:rPr>
          <w:lang w:val="en-GB"/>
        </w:rPr>
      </w:pPr>
      <w:r w:rsidRPr="00867F8A">
        <w:rPr>
          <w:lang w:val="en-GB"/>
        </w:rPr>
        <w:lastRenderedPageBreak/>
        <w:t>Exhibit</w:t>
      </w:r>
      <w:r w:rsidR="0036018A" w:rsidRPr="00867F8A">
        <w:rPr>
          <w:lang w:val="en-GB"/>
        </w:rPr>
        <w:t xml:space="preserve"> </w:t>
      </w:r>
      <w:r w:rsidRPr="00867F8A">
        <w:rPr>
          <w:lang w:val="en-GB"/>
        </w:rPr>
        <w:t>4</w:t>
      </w:r>
      <w:r w:rsidR="00AE62EE" w:rsidRPr="00867F8A">
        <w:rPr>
          <w:lang w:val="en-GB"/>
        </w:rPr>
        <w:t>: Raintree Resort Sales by Year</w:t>
      </w:r>
      <w:r w:rsidR="00E72122" w:rsidRPr="00867F8A">
        <w:rPr>
          <w:lang w:val="en-GB"/>
        </w:rPr>
        <w:t xml:space="preserve"> (</w:t>
      </w:r>
      <w:r w:rsidR="00081D8E" w:rsidRPr="00867F8A">
        <w:rPr>
          <w:lang w:val="en-GB"/>
        </w:rPr>
        <w:t xml:space="preserve">in </w:t>
      </w:r>
      <w:r w:rsidR="00E72122" w:rsidRPr="00867F8A">
        <w:rPr>
          <w:lang w:val="en-GB"/>
        </w:rPr>
        <w:t>US$ MILLION)</w:t>
      </w:r>
    </w:p>
    <w:p w14:paraId="4295B0D8" w14:textId="77777777" w:rsidR="00AE62EE" w:rsidRPr="00867F8A" w:rsidRDefault="00AE62EE" w:rsidP="00AE62EE">
      <w:pPr>
        <w:rPr>
          <w:rFonts w:ascii="Arial" w:hAnsi="Arial" w:cs="Arial"/>
          <w:lang w:val="en-GB"/>
        </w:rPr>
      </w:pPr>
    </w:p>
    <w:tbl>
      <w:tblPr>
        <w:tblStyle w:val="GridTable4-Accent11"/>
        <w:tblW w:w="2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394"/>
      </w:tblGrid>
      <w:tr w:rsidR="00AE62EE" w:rsidRPr="00867F8A" w14:paraId="1EE8BB7D" w14:textId="77777777" w:rsidTr="00AE62EE">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74" w:type="dxa"/>
            <w:tcBorders>
              <w:top w:val="none" w:sz="0" w:space="0" w:color="auto"/>
              <w:left w:val="none" w:sz="0" w:space="0" w:color="auto"/>
              <w:bottom w:val="none" w:sz="0" w:space="0" w:color="auto"/>
              <w:right w:val="none" w:sz="0" w:space="0" w:color="auto"/>
            </w:tcBorders>
            <w:shd w:val="clear" w:color="auto" w:fill="auto"/>
          </w:tcPr>
          <w:p w14:paraId="03AE16C7" w14:textId="77777777" w:rsidR="00AE62EE" w:rsidRPr="00867F8A" w:rsidRDefault="00AE62EE" w:rsidP="00143496">
            <w:pPr>
              <w:pStyle w:val="ExhibitText"/>
              <w:jc w:val="center"/>
              <w:rPr>
                <w:color w:val="auto"/>
                <w:lang w:val="en-GB"/>
              </w:rPr>
            </w:pPr>
            <w:r w:rsidRPr="00867F8A">
              <w:rPr>
                <w:color w:val="auto"/>
                <w:lang w:val="en-GB"/>
              </w:rPr>
              <w:t>Year</w:t>
            </w:r>
          </w:p>
        </w:tc>
        <w:tc>
          <w:tcPr>
            <w:tcW w:w="1394" w:type="dxa"/>
            <w:tcBorders>
              <w:top w:val="none" w:sz="0" w:space="0" w:color="auto"/>
              <w:left w:val="none" w:sz="0" w:space="0" w:color="auto"/>
              <w:bottom w:val="none" w:sz="0" w:space="0" w:color="auto"/>
              <w:right w:val="none" w:sz="0" w:space="0" w:color="auto"/>
            </w:tcBorders>
            <w:shd w:val="clear" w:color="auto" w:fill="auto"/>
          </w:tcPr>
          <w:p w14:paraId="48AC8EA2" w14:textId="77777777"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Sales</w:t>
            </w:r>
          </w:p>
        </w:tc>
      </w:tr>
      <w:tr w:rsidR="00AE62EE" w:rsidRPr="00867F8A" w14:paraId="726A2208" w14:textId="77777777" w:rsidTr="00AE62E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616D6DB2" w14:textId="77777777" w:rsidR="00AE62EE" w:rsidRPr="00867F8A" w:rsidRDefault="00AE62EE" w:rsidP="00AE62EE">
            <w:pPr>
              <w:pStyle w:val="ExhibitText"/>
              <w:rPr>
                <w:lang w:val="en-GB"/>
              </w:rPr>
            </w:pPr>
            <w:r w:rsidRPr="00867F8A">
              <w:rPr>
                <w:lang w:val="en-GB"/>
              </w:rPr>
              <w:t>2009</w:t>
            </w:r>
          </w:p>
        </w:tc>
        <w:tc>
          <w:tcPr>
            <w:tcW w:w="1394" w:type="dxa"/>
            <w:shd w:val="clear" w:color="auto" w:fill="auto"/>
          </w:tcPr>
          <w:p w14:paraId="3E1623D9" w14:textId="4D7B046E"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44</w:t>
            </w:r>
            <w:r w:rsidR="00081D8E" w:rsidRPr="00867F8A">
              <w:rPr>
                <w:lang w:val="en-GB"/>
              </w:rPr>
              <w:t>.0</w:t>
            </w:r>
          </w:p>
        </w:tc>
      </w:tr>
      <w:tr w:rsidR="00AE62EE" w:rsidRPr="00867F8A" w14:paraId="0024995E" w14:textId="77777777" w:rsidTr="00AE62EE">
        <w:trPr>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6CA883D1" w14:textId="77777777" w:rsidR="00AE62EE" w:rsidRPr="00867F8A" w:rsidRDefault="00AE62EE" w:rsidP="00AE62EE">
            <w:pPr>
              <w:pStyle w:val="ExhibitText"/>
              <w:rPr>
                <w:lang w:val="en-GB"/>
              </w:rPr>
            </w:pPr>
            <w:r w:rsidRPr="00867F8A">
              <w:rPr>
                <w:lang w:val="en-GB"/>
              </w:rPr>
              <w:t>2010</w:t>
            </w:r>
          </w:p>
        </w:tc>
        <w:tc>
          <w:tcPr>
            <w:tcW w:w="1394" w:type="dxa"/>
            <w:shd w:val="clear" w:color="auto" w:fill="auto"/>
          </w:tcPr>
          <w:p w14:paraId="17D5CCF5" w14:textId="0365DF02" w:rsidR="00AE62EE" w:rsidRPr="00867F8A" w:rsidRDefault="00E72122"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27</w:t>
            </w:r>
            <w:r w:rsidR="00081D8E" w:rsidRPr="00867F8A">
              <w:rPr>
                <w:lang w:val="en-GB"/>
              </w:rPr>
              <w:t>.0</w:t>
            </w:r>
          </w:p>
        </w:tc>
      </w:tr>
      <w:tr w:rsidR="00AE62EE" w:rsidRPr="00867F8A" w14:paraId="3A73F578" w14:textId="77777777" w:rsidTr="00AE62E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171C4DC5" w14:textId="77777777" w:rsidR="00AE62EE" w:rsidRPr="00867F8A" w:rsidRDefault="00AE62EE" w:rsidP="00AE62EE">
            <w:pPr>
              <w:pStyle w:val="ExhibitText"/>
              <w:rPr>
                <w:lang w:val="en-GB"/>
              </w:rPr>
            </w:pPr>
            <w:r w:rsidRPr="00867F8A">
              <w:rPr>
                <w:lang w:val="en-GB"/>
              </w:rPr>
              <w:t>2011</w:t>
            </w:r>
          </w:p>
        </w:tc>
        <w:tc>
          <w:tcPr>
            <w:tcW w:w="1394" w:type="dxa"/>
            <w:shd w:val="clear" w:color="auto" w:fill="auto"/>
          </w:tcPr>
          <w:p w14:paraId="33E02EE6" w14:textId="76290A8B" w:rsidR="00AE62EE" w:rsidRPr="00867F8A" w:rsidRDefault="00E72122"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12</w:t>
            </w:r>
            <w:r w:rsidR="00081D8E" w:rsidRPr="00867F8A">
              <w:rPr>
                <w:lang w:val="en-GB"/>
              </w:rPr>
              <w:t>.0</w:t>
            </w:r>
          </w:p>
        </w:tc>
      </w:tr>
      <w:tr w:rsidR="00AE62EE" w:rsidRPr="00867F8A" w14:paraId="5AF6EE88" w14:textId="77777777" w:rsidTr="00AE62EE">
        <w:trPr>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0D9CC654" w14:textId="77777777" w:rsidR="00AE62EE" w:rsidRPr="00867F8A" w:rsidRDefault="00AE62EE" w:rsidP="00AE62EE">
            <w:pPr>
              <w:pStyle w:val="ExhibitText"/>
              <w:rPr>
                <w:lang w:val="en-GB"/>
              </w:rPr>
            </w:pPr>
            <w:r w:rsidRPr="00867F8A">
              <w:rPr>
                <w:lang w:val="en-GB"/>
              </w:rPr>
              <w:t>2012</w:t>
            </w:r>
          </w:p>
        </w:tc>
        <w:tc>
          <w:tcPr>
            <w:tcW w:w="1394" w:type="dxa"/>
            <w:shd w:val="clear" w:color="auto" w:fill="auto"/>
          </w:tcPr>
          <w:p w14:paraId="52712DCD" w14:textId="1F8666E4" w:rsidR="00AE62EE" w:rsidRPr="00867F8A" w:rsidRDefault="00E72122"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5</w:t>
            </w:r>
            <w:r w:rsidR="00081D8E" w:rsidRPr="00867F8A">
              <w:rPr>
                <w:lang w:val="en-GB"/>
              </w:rPr>
              <w:t>.0</w:t>
            </w:r>
          </w:p>
        </w:tc>
      </w:tr>
      <w:tr w:rsidR="00AE62EE" w:rsidRPr="00867F8A" w14:paraId="4597CCE2" w14:textId="77777777" w:rsidTr="00AE62E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4E29C82C" w14:textId="77777777" w:rsidR="00AE62EE" w:rsidRPr="00867F8A" w:rsidRDefault="00AE62EE" w:rsidP="00AE62EE">
            <w:pPr>
              <w:pStyle w:val="ExhibitText"/>
              <w:rPr>
                <w:lang w:val="en-GB"/>
              </w:rPr>
            </w:pPr>
            <w:r w:rsidRPr="00867F8A">
              <w:rPr>
                <w:lang w:val="en-GB"/>
              </w:rPr>
              <w:t>2013</w:t>
            </w:r>
          </w:p>
        </w:tc>
        <w:tc>
          <w:tcPr>
            <w:tcW w:w="1394" w:type="dxa"/>
            <w:shd w:val="clear" w:color="auto" w:fill="auto"/>
          </w:tcPr>
          <w:p w14:paraId="33F127FC" w14:textId="0225FDFE" w:rsidR="00AE62EE" w:rsidRPr="00867F8A" w:rsidRDefault="00E72122"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5</w:t>
            </w:r>
            <w:r w:rsidR="00081D8E" w:rsidRPr="00867F8A">
              <w:rPr>
                <w:lang w:val="en-GB"/>
              </w:rPr>
              <w:t>.0</w:t>
            </w:r>
          </w:p>
        </w:tc>
      </w:tr>
      <w:tr w:rsidR="00AE62EE" w:rsidRPr="00867F8A" w14:paraId="5A2D49C6" w14:textId="77777777" w:rsidTr="00AE62EE">
        <w:trPr>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6B9BC7E0" w14:textId="77777777" w:rsidR="00AE62EE" w:rsidRPr="00867F8A" w:rsidRDefault="00AE62EE" w:rsidP="00AE62EE">
            <w:pPr>
              <w:pStyle w:val="ExhibitText"/>
              <w:rPr>
                <w:lang w:val="en-GB"/>
              </w:rPr>
            </w:pPr>
            <w:r w:rsidRPr="00867F8A">
              <w:rPr>
                <w:lang w:val="en-GB"/>
              </w:rPr>
              <w:t>2014</w:t>
            </w:r>
          </w:p>
        </w:tc>
        <w:tc>
          <w:tcPr>
            <w:tcW w:w="1394" w:type="dxa"/>
            <w:shd w:val="clear" w:color="auto" w:fill="auto"/>
          </w:tcPr>
          <w:p w14:paraId="524FCB0B" w14:textId="068D9F7E" w:rsidR="00AE62EE" w:rsidRPr="00867F8A" w:rsidRDefault="00E72122"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3.5</w:t>
            </w:r>
          </w:p>
        </w:tc>
      </w:tr>
      <w:tr w:rsidR="00AE62EE" w:rsidRPr="00867F8A" w14:paraId="260E6363" w14:textId="77777777" w:rsidTr="00AE62EE">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16741689" w14:textId="77777777" w:rsidR="00AE62EE" w:rsidRPr="00867F8A" w:rsidRDefault="00AE62EE" w:rsidP="00AE62EE">
            <w:pPr>
              <w:pStyle w:val="ExhibitText"/>
              <w:rPr>
                <w:lang w:val="en-GB"/>
              </w:rPr>
            </w:pPr>
            <w:r w:rsidRPr="00867F8A">
              <w:rPr>
                <w:lang w:val="en-GB"/>
              </w:rPr>
              <w:t>2015</w:t>
            </w:r>
          </w:p>
        </w:tc>
        <w:tc>
          <w:tcPr>
            <w:tcW w:w="1394" w:type="dxa"/>
            <w:shd w:val="clear" w:color="auto" w:fill="auto"/>
          </w:tcPr>
          <w:p w14:paraId="7E9144EE" w14:textId="022C4A52" w:rsidR="00AE62EE" w:rsidRPr="00867F8A" w:rsidRDefault="00E72122"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8</w:t>
            </w:r>
            <w:r w:rsidR="00081D8E" w:rsidRPr="00867F8A">
              <w:rPr>
                <w:lang w:val="en-GB"/>
              </w:rPr>
              <w:t>.0</w:t>
            </w:r>
          </w:p>
        </w:tc>
      </w:tr>
      <w:tr w:rsidR="00AE62EE" w:rsidRPr="00867F8A" w14:paraId="78DC7579" w14:textId="77777777" w:rsidTr="00AE62EE">
        <w:trPr>
          <w:cantSplit/>
          <w:jc w:val="center"/>
        </w:trPr>
        <w:tc>
          <w:tcPr>
            <w:cnfStyle w:val="001000000000" w:firstRow="0" w:lastRow="0" w:firstColumn="1" w:lastColumn="0" w:oddVBand="0" w:evenVBand="0" w:oddHBand="0" w:evenHBand="0" w:firstRowFirstColumn="0" w:firstRowLastColumn="0" w:lastRowFirstColumn="0" w:lastRowLastColumn="0"/>
            <w:tcW w:w="874" w:type="dxa"/>
            <w:shd w:val="clear" w:color="auto" w:fill="auto"/>
          </w:tcPr>
          <w:p w14:paraId="1107896F" w14:textId="77777777" w:rsidR="00AE62EE" w:rsidRPr="00867F8A" w:rsidRDefault="00AE62EE" w:rsidP="00AE62EE">
            <w:pPr>
              <w:pStyle w:val="ExhibitText"/>
              <w:rPr>
                <w:lang w:val="en-GB"/>
              </w:rPr>
            </w:pPr>
            <w:r w:rsidRPr="00867F8A">
              <w:rPr>
                <w:lang w:val="en-GB"/>
              </w:rPr>
              <w:t>2016</w:t>
            </w:r>
          </w:p>
        </w:tc>
        <w:tc>
          <w:tcPr>
            <w:tcW w:w="1394" w:type="dxa"/>
            <w:shd w:val="clear" w:color="auto" w:fill="auto"/>
          </w:tcPr>
          <w:p w14:paraId="69303134" w14:textId="782BCFF8" w:rsidR="00AE62EE" w:rsidRPr="00867F8A" w:rsidRDefault="00E72122"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12</w:t>
            </w:r>
            <w:r w:rsidR="00081D8E" w:rsidRPr="00867F8A">
              <w:rPr>
                <w:lang w:val="en-GB"/>
              </w:rPr>
              <w:t>.0</w:t>
            </w:r>
          </w:p>
        </w:tc>
      </w:tr>
    </w:tbl>
    <w:p w14:paraId="031A5385" w14:textId="77777777" w:rsidR="00352682" w:rsidRPr="00867F8A" w:rsidRDefault="00352682" w:rsidP="00352682">
      <w:pPr>
        <w:pStyle w:val="Footnote"/>
        <w:rPr>
          <w:lang w:val="en-GB"/>
        </w:rPr>
      </w:pPr>
    </w:p>
    <w:p w14:paraId="3C939E24" w14:textId="4009BFFB" w:rsidR="00AE62EE" w:rsidRPr="00867F8A" w:rsidRDefault="00352682" w:rsidP="00352682">
      <w:pPr>
        <w:pStyle w:val="Footnote"/>
        <w:rPr>
          <w:lang w:val="en-GB"/>
        </w:rPr>
      </w:pPr>
      <w:r w:rsidRPr="00867F8A">
        <w:rPr>
          <w:lang w:val="en-GB"/>
        </w:rPr>
        <w:t xml:space="preserve">Source: Company documents. </w:t>
      </w:r>
    </w:p>
    <w:p w14:paraId="02D3D9F2" w14:textId="77777777" w:rsidR="00E72122" w:rsidRPr="00867F8A" w:rsidRDefault="00E72122" w:rsidP="00AE62EE">
      <w:pPr>
        <w:pStyle w:val="ExhibitHeading"/>
        <w:rPr>
          <w:lang w:val="en-GB"/>
        </w:rPr>
      </w:pPr>
    </w:p>
    <w:p w14:paraId="4AD4FB4A" w14:textId="77777777" w:rsidR="00E72122" w:rsidRPr="00867F8A" w:rsidRDefault="00E72122" w:rsidP="00AE62EE">
      <w:pPr>
        <w:pStyle w:val="ExhibitHeading"/>
        <w:rPr>
          <w:lang w:val="en-GB"/>
        </w:rPr>
      </w:pPr>
    </w:p>
    <w:p w14:paraId="115E3665" w14:textId="43D643C7" w:rsidR="00AE62EE" w:rsidRPr="00867F8A" w:rsidRDefault="00AE62EE" w:rsidP="00AE62EE">
      <w:pPr>
        <w:pStyle w:val="ExhibitHeading"/>
        <w:rPr>
          <w:lang w:val="en-GB"/>
        </w:rPr>
      </w:pPr>
      <w:r w:rsidRPr="00867F8A">
        <w:rPr>
          <w:lang w:val="en-GB"/>
        </w:rPr>
        <w:t xml:space="preserve">Exhibit </w:t>
      </w:r>
      <w:r w:rsidR="00D75DC1" w:rsidRPr="00867F8A">
        <w:rPr>
          <w:lang w:val="en-GB"/>
        </w:rPr>
        <w:t>5</w:t>
      </w:r>
      <w:r w:rsidRPr="00867F8A">
        <w:rPr>
          <w:lang w:val="en-GB"/>
        </w:rPr>
        <w:t>: Timeshare Resort</w:t>
      </w:r>
      <w:r w:rsidR="00592A79" w:rsidRPr="00867F8A">
        <w:rPr>
          <w:lang w:val="en-GB"/>
        </w:rPr>
        <w:t xml:space="preserve"> numbers</w:t>
      </w:r>
      <w:r w:rsidRPr="00867F8A">
        <w:rPr>
          <w:lang w:val="en-GB"/>
        </w:rPr>
        <w:t xml:space="preserve"> since 1974</w:t>
      </w:r>
    </w:p>
    <w:p w14:paraId="665975D0" w14:textId="77777777" w:rsidR="00AE62EE" w:rsidRPr="00867F8A" w:rsidRDefault="00AE62EE" w:rsidP="00AE62EE">
      <w:pPr>
        <w:textAlignment w:val="baseline"/>
        <w:rPr>
          <w:rFonts w:ascii="Arial" w:hAnsi="Arial" w:cs="Arial"/>
          <w:spacing w:val="15"/>
          <w:lang w:val="en-GB"/>
        </w:rPr>
      </w:pPr>
    </w:p>
    <w:p w14:paraId="1109A473" w14:textId="77777777" w:rsidR="00AE62EE" w:rsidRPr="00867F8A" w:rsidRDefault="00AE62EE" w:rsidP="00AE62EE">
      <w:pPr>
        <w:pStyle w:val="ListParagraph"/>
        <w:spacing w:before="120"/>
        <w:contextualSpacing w:val="0"/>
        <w:jc w:val="left"/>
        <w:textAlignment w:val="baseline"/>
        <w:rPr>
          <w:rFonts w:ascii="Arial" w:eastAsia="Times New Roman" w:hAnsi="Arial"/>
          <w:spacing w:val="15"/>
          <w:lang w:val="en-GB"/>
        </w:rPr>
      </w:pPr>
      <w:r w:rsidRPr="00867F8A">
        <w:rPr>
          <w:noProof/>
          <w:lang w:val="en-CA" w:eastAsia="en-CA"/>
        </w:rPr>
        <w:drawing>
          <wp:inline distT="0" distB="0" distL="0" distR="0" wp14:anchorId="046B0F4A" wp14:editId="2362FE79">
            <wp:extent cx="4572000" cy="23717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F69B3B" w14:textId="77777777" w:rsidR="00AE62EE" w:rsidRPr="00B44DBB" w:rsidRDefault="00AE62EE" w:rsidP="00352682">
      <w:pPr>
        <w:pStyle w:val="Footnote"/>
        <w:rPr>
          <w:spacing w:val="-2"/>
          <w:kern w:val="17"/>
          <w:lang w:val="en-GB"/>
        </w:rPr>
      </w:pPr>
    </w:p>
    <w:p w14:paraId="44ADFCE7" w14:textId="2BA1BF90" w:rsidR="00AE62EE" w:rsidRPr="00B44DBB" w:rsidRDefault="00AE62EE" w:rsidP="00352682">
      <w:pPr>
        <w:pStyle w:val="Footnote"/>
        <w:rPr>
          <w:spacing w:val="-2"/>
          <w:kern w:val="17"/>
          <w:lang w:val="en-GB"/>
        </w:rPr>
      </w:pPr>
      <w:r w:rsidRPr="00B44DBB">
        <w:rPr>
          <w:spacing w:val="-2"/>
          <w:kern w:val="17"/>
          <w:lang w:val="en-GB"/>
        </w:rPr>
        <w:t xml:space="preserve">Source: </w:t>
      </w:r>
      <w:r w:rsidR="001C5010" w:rsidRPr="00B44DBB">
        <w:rPr>
          <w:spacing w:val="-2"/>
          <w:kern w:val="17"/>
          <w:lang w:val="en-GB"/>
        </w:rPr>
        <w:t xml:space="preserve">American Resort Development Association International Foundation, </w:t>
      </w:r>
      <w:r w:rsidR="001C5010" w:rsidRPr="00B44DBB">
        <w:rPr>
          <w:i/>
          <w:spacing w:val="-2"/>
          <w:kern w:val="17"/>
          <w:lang w:val="en-GB"/>
        </w:rPr>
        <w:t>State of the Vacation Timeshare Industry</w:t>
      </w:r>
      <w:r w:rsidR="00F01DD5" w:rsidRPr="00B44DBB">
        <w:rPr>
          <w:spacing w:val="-2"/>
          <w:kern w:val="17"/>
          <w:lang w:val="en-GB"/>
        </w:rPr>
        <w:t xml:space="preserve">, </w:t>
      </w:r>
      <w:r w:rsidR="001C5010" w:rsidRPr="00B44DBB">
        <w:rPr>
          <w:spacing w:val="-2"/>
          <w:kern w:val="17"/>
          <w:lang w:val="en-GB"/>
        </w:rPr>
        <w:t>2016, 25.</w:t>
      </w:r>
    </w:p>
    <w:p w14:paraId="61CBF4EB" w14:textId="77777777" w:rsidR="00AE62EE" w:rsidRPr="00867F8A" w:rsidRDefault="00AE62EE" w:rsidP="00AE62EE">
      <w:pPr>
        <w:textAlignment w:val="baseline"/>
        <w:rPr>
          <w:rFonts w:ascii="Arial" w:hAnsi="Arial" w:cs="Arial"/>
          <w:spacing w:val="15"/>
          <w:lang w:val="en-GB"/>
        </w:rPr>
      </w:pPr>
    </w:p>
    <w:p w14:paraId="687FD4C1" w14:textId="46D8BB1C" w:rsidR="00E72122" w:rsidRPr="00867F8A" w:rsidRDefault="00E72122">
      <w:pPr>
        <w:spacing w:after="200" w:line="276" w:lineRule="auto"/>
        <w:rPr>
          <w:rFonts w:ascii="Arial" w:hAnsi="Arial" w:cs="Arial"/>
          <w:spacing w:val="15"/>
          <w:lang w:val="en-GB"/>
        </w:rPr>
      </w:pPr>
      <w:r w:rsidRPr="00867F8A">
        <w:rPr>
          <w:rFonts w:ascii="Arial" w:hAnsi="Arial" w:cs="Arial"/>
          <w:spacing w:val="15"/>
          <w:lang w:val="en-GB"/>
        </w:rPr>
        <w:br w:type="page"/>
      </w:r>
    </w:p>
    <w:p w14:paraId="0B11D3D9" w14:textId="0C18426A" w:rsidR="00AE62EE" w:rsidRPr="00867F8A" w:rsidRDefault="00AE62EE" w:rsidP="00AE62EE">
      <w:pPr>
        <w:pStyle w:val="ExhibitHeading"/>
        <w:rPr>
          <w:lang w:val="en-GB"/>
        </w:rPr>
      </w:pPr>
      <w:r w:rsidRPr="00867F8A">
        <w:rPr>
          <w:lang w:val="en-GB"/>
        </w:rPr>
        <w:lastRenderedPageBreak/>
        <w:t xml:space="preserve">Exhibit </w:t>
      </w:r>
      <w:r w:rsidR="008E015A" w:rsidRPr="00867F8A">
        <w:rPr>
          <w:lang w:val="en-GB"/>
        </w:rPr>
        <w:t>6</w:t>
      </w:r>
      <w:r w:rsidRPr="00867F8A">
        <w:rPr>
          <w:lang w:val="en-GB"/>
        </w:rPr>
        <w:t>:</w:t>
      </w:r>
      <w:r w:rsidR="00352682" w:rsidRPr="00867F8A">
        <w:rPr>
          <w:lang w:val="en-GB"/>
        </w:rPr>
        <w:t xml:space="preserve"> </w:t>
      </w:r>
      <w:r w:rsidRPr="00867F8A">
        <w:rPr>
          <w:lang w:val="en-GB"/>
        </w:rPr>
        <w:t>Timeshare sale</w:t>
      </w:r>
      <w:r w:rsidR="00E72122" w:rsidRPr="00867F8A">
        <w:rPr>
          <w:lang w:val="en-GB"/>
        </w:rPr>
        <w:t>s</w:t>
      </w:r>
      <w:r w:rsidRPr="00867F8A">
        <w:rPr>
          <w:lang w:val="en-GB"/>
        </w:rPr>
        <w:t xml:space="preserve"> since 1974</w:t>
      </w:r>
    </w:p>
    <w:p w14:paraId="45F8D63E" w14:textId="77777777" w:rsidR="00AE62EE" w:rsidRPr="00867F8A" w:rsidRDefault="00AE62EE" w:rsidP="00AE62EE">
      <w:pPr>
        <w:textAlignment w:val="baseline"/>
        <w:rPr>
          <w:rFonts w:ascii="Arial" w:hAnsi="Arial" w:cs="Arial"/>
          <w:spacing w:val="15"/>
          <w:lang w:val="en-GB"/>
        </w:rPr>
      </w:pPr>
    </w:p>
    <w:p w14:paraId="763FDB04" w14:textId="77777777" w:rsidR="00AE62EE" w:rsidRPr="00867F8A" w:rsidRDefault="00AE62EE" w:rsidP="00352682">
      <w:pPr>
        <w:jc w:val="center"/>
        <w:textAlignment w:val="baseline"/>
        <w:rPr>
          <w:rFonts w:ascii="Arial" w:hAnsi="Arial" w:cs="Arial"/>
          <w:spacing w:val="15"/>
          <w:lang w:val="en-GB"/>
        </w:rPr>
      </w:pPr>
      <w:r w:rsidRPr="00867F8A">
        <w:rPr>
          <w:noProof/>
          <w:lang w:val="en-CA" w:eastAsia="en-CA"/>
        </w:rPr>
        <w:drawing>
          <wp:inline distT="0" distB="0" distL="0" distR="0" wp14:anchorId="163F8B74" wp14:editId="4C29C237">
            <wp:extent cx="5200650" cy="27908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C22822" w14:textId="77777777" w:rsidR="00AE62EE" w:rsidRPr="00867F8A" w:rsidRDefault="00AE62EE" w:rsidP="00AE62EE">
      <w:pPr>
        <w:textAlignment w:val="baseline"/>
        <w:rPr>
          <w:rFonts w:ascii="Arial" w:hAnsi="Arial" w:cs="Arial"/>
          <w:spacing w:val="15"/>
          <w:lang w:val="en-GB"/>
        </w:rPr>
      </w:pPr>
    </w:p>
    <w:p w14:paraId="1B63EAE0" w14:textId="41DD30EE" w:rsidR="00B25FC4" w:rsidRPr="00B44DBB" w:rsidRDefault="00AE62EE" w:rsidP="00143496">
      <w:pPr>
        <w:pStyle w:val="Footnote"/>
        <w:rPr>
          <w:spacing w:val="-2"/>
          <w:kern w:val="17"/>
          <w:lang w:val="en-GB"/>
        </w:rPr>
      </w:pPr>
      <w:r w:rsidRPr="00B44DBB">
        <w:rPr>
          <w:spacing w:val="-2"/>
          <w:kern w:val="17"/>
          <w:lang w:val="en-GB"/>
        </w:rPr>
        <w:t xml:space="preserve">Source: </w:t>
      </w:r>
      <w:r w:rsidR="001C5010" w:rsidRPr="00B44DBB">
        <w:rPr>
          <w:spacing w:val="-2"/>
          <w:kern w:val="17"/>
          <w:lang w:val="en-GB"/>
        </w:rPr>
        <w:t>American Resort Development Association</w:t>
      </w:r>
      <w:r w:rsidR="00F01DD5" w:rsidRPr="00B44DBB">
        <w:rPr>
          <w:spacing w:val="-2"/>
          <w:kern w:val="17"/>
          <w:lang w:val="en-GB"/>
        </w:rPr>
        <w:t xml:space="preserve"> </w:t>
      </w:r>
      <w:r w:rsidR="001C5010" w:rsidRPr="00B44DBB">
        <w:rPr>
          <w:spacing w:val="-2"/>
          <w:kern w:val="17"/>
          <w:lang w:val="en-GB"/>
        </w:rPr>
        <w:t xml:space="preserve">International Foundation: </w:t>
      </w:r>
      <w:r w:rsidR="001C5010" w:rsidRPr="00B44DBB">
        <w:rPr>
          <w:i/>
          <w:spacing w:val="-2"/>
          <w:kern w:val="17"/>
          <w:lang w:val="en-GB"/>
        </w:rPr>
        <w:t>State of the Vacation Timeshare Industry</w:t>
      </w:r>
      <w:r w:rsidR="00F01DD5" w:rsidRPr="00B44DBB">
        <w:rPr>
          <w:spacing w:val="-2"/>
          <w:kern w:val="17"/>
          <w:lang w:val="en-GB"/>
        </w:rPr>
        <w:t xml:space="preserve">, </w:t>
      </w:r>
      <w:r w:rsidR="001C5010" w:rsidRPr="00B44DBB">
        <w:rPr>
          <w:spacing w:val="-2"/>
          <w:kern w:val="17"/>
          <w:lang w:val="en-GB"/>
        </w:rPr>
        <w:t>2016, 28.</w:t>
      </w:r>
    </w:p>
    <w:p w14:paraId="39B59B8C" w14:textId="5DAAF233" w:rsidR="00AE62EE" w:rsidRPr="00867F8A" w:rsidRDefault="00AE62EE">
      <w:pPr>
        <w:spacing w:after="200" w:line="276" w:lineRule="auto"/>
        <w:rPr>
          <w:rFonts w:ascii="Arial" w:hAnsi="Arial" w:cs="Arial"/>
          <w:sz w:val="17"/>
          <w:szCs w:val="17"/>
          <w:lang w:val="en-GB"/>
        </w:rPr>
      </w:pPr>
    </w:p>
    <w:p w14:paraId="071D1577" w14:textId="73EACBF6" w:rsidR="00AE62EE" w:rsidRPr="00867F8A" w:rsidRDefault="00AE62EE" w:rsidP="00AE62EE">
      <w:pPr>
        <w:pStyle w:val="ExhibitHeading"/>
        <w:rPr>
          <w:lang w:val="en-GB"/>
        </w:rPr>
      </w:pPr>
      <w:r w:rsidRPr="00867F8A">
        <w:rPr>
          <w:lang w:val="en-GB"/>
        </w:rPr>
        <w:t xml:space="preserve">Exhibit </w:t>
      </w:r>
      <w:r w:rsidR="008E015A" w:rsidRPr="00867F8A">
        <w:rPr>
          <w:lang w:val="en-GB"/>
        </w:rPr>
        <w:t>7</w:t>
      </w:r>
      <w:r w:rsidRPr="00867F8A">
        <w:rPr>
          <w:lang w:val="en-GB"/>
        </w:rPr>
        <w:t>:</w:t>
      </w:r>
      <w:r w:rsidR="00352682" w:rsidRPr="00867F8A">
        <w:rPr>
          <w:lang w:val="en-GB"/>
        </w:rPr>
        <w:t xml:space="preserve"> </w:t>
      </w:r>
      <w:r w:rsidRPr="00867F8A">
        <w:rPr>
          <w:lang w:val="en-GB"/>
        </w:rPr>
        <w:t>Performance trends in the timeshare industry (2011–2015)</w:t>
      </w:r>
    </w:p>
    <w:p w14:paraId="01CD3446" w14:textId="77777777" w:rsidR="00AE62EE" w:rsidRPr="00867F8A" w:rsidRDefault="00AE62EE" w:rsidP="00AE62EE">
      <w:pPr>
        <w:textAlignment w:val="baseline"/>
        <w:rPr>
          <w:rFonts w:ascii="Calibri" w:hAnsi="Calibri" w:cs="Arial"/>
          <w:spacing w:val="15"/>
          <w:lang w:val="en-GB"/>
        </w:rPr>
      </w:pP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170"/>
        <w:gridCol w:w="1260"/>
        <w:gridCol w:w="1170"/>
        <w:gridCol w:w="1170"/>
        <w:gridCol w:w="1094"/>
        <w:gridCol w:w="1331"/>
      </w:tblGrid>
      <w:tr w:rsidR="00AE62EE" w:rsidRPr="00867F8A" w14:paraId="19883895" w14:textId="77777777" w:rsidTr="0014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none" w:sz="0" w:space="0" w:color="auto"/>
              <w:right w:val="none" w:sz="0" w:space="0" w:color="auto"/>
            </w:tcBorders>
            <w:shd w:val="clear" w:color="auto" w:fill="auto"/>
          </w:tcPr>
          <w:p w14:paraId="385B2431" w14:textId="77777777" w:rsidR="00AE62EE" w:rsidRPr="00867F8A" w:rsidRDefault="00AE62EE" w:rsidP="00AE62EE">
            <w:pPr>
              <w:pStyle w:val="ExhibitText"/>
              <w:rPr>
                <w:color w:val="auto"/>
                <w:lang w:val="en-GB"/>
              </w:rPr>
            </w:pPr>
          </w:p>
        </w:tc>
        <w:tc>
          <w:tcPr>
            <w:tcW w:w="1170" w:type="dxa"/>
            <w:tcBorders>
              <w:top w:val="none" w:sz="0" w:space="0" w:color="auto"/>
              <w:left w:val="none" w:sz="0" w:space="0" w:color="auto"/>
              <w:bottom w:val="none" w:sz="0" w:space="0" w:color="auto"/>
              <w:right w:val="none" w:sz="0" w:space="0" w:color="auto"/>
            </w:tcBorders>
            <w:shd w:val="clear" w:color="auto" w:fill="auto"/>
          </w:tcPr>
          <w:p w14:paraId="1B883F93" w14:textId="1B5B8D04"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2011</w:t>
            </w:r>
          </w:p>
        </w:tc>
        <w:tc>
          <w:tcPr>
            <w:tcW w:w="1260" w:type="dxa"/>
            <w:tcBorders>
              <w:top w:val="none" w:sz="0" w:space="0" w:color="auto"/>
              <w:left w:val="none" w:sz="0" w:space="0" w:color="auto"/>
              <w:bottom w:val="none" w:sz="0" w:space="0" w:color="auto"/>
              <w:right w:val="none" w:sz="0" w:space="0" w:color="auto"/>
            </w:tcBorders>
            <w:shd w:val="clear" w:color="auto" w:fill="auto"/>
          </w:tcPr>
          <w:p w14:paraId="54FBB7BA" w14:textId="54F6CE77"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2012</w:t>
            </w:r>
          </w:p>
        </w:tc>
        <w:tc>
          <w:tcPr>
            <w:tcW w:w="1170" w:type="dxa"/>
            <w:tcBorders>
              <w:top w:val="none" w:sz="0" w:space="0" w:color="auto"/>
              <w:left w:val="none" w:sz="0" w:space="0" w:color="auto"/>
              <w:bottom w:val="none" w:sz="0" w:space="0" w:color="auto"/>
              <w:right w:val="none" w:sz="0" w:space="0" w:color="auto"/>
            </w:tcBorders>
            <w:shd w:val="clear" w:color="auto" w:fill="auto"/>
          </w:tcPr>
          <w:p w14:paraId="57C445CB" w14:textId="4DEE95D4"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2013</w:t>
            </w:r>
          </w:p>
        </w:tc>
        <w:tc>
          <w:tcPr>
            <w:tcW w:w="1170" w:type="dxa"/>
            <w:tcBorders>
              <w:top w:val="none" w:sz="0" w:space="0" w:color="auto"/>
              <w:left w:val="none" w:sz="0" w:space="0" w:color="auto"/>
              <w:bottom w:val="none" w:sz="0" w:space="0" w:color="auto"/>
              <w:right w:val="none" w:sz="0" w:space="0" w:color="auto"/>
            </w:tcBorders>
            <w:shd w:val="clear" w:color="auto" w:fill="auto"/>
          </w:tcPr>
          <w:p w14:paraId="1FB653D1" w14:textId="137D6DEB"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2014</w:t>
            </w:r>
          </w:p>
        </w:tc>
        <w:tc>
          <w:tcPr>
            <w:tcW w:w="1094" w:type="dxa"/>
            <w:tcBorders>
              <w:top w:val="none" w:sz="0" w:space="0" w:color="auto"/>
              <w:left w:val="none" w:sz="0" w:space="0" w:color="auto"/>
              <w:bottom w:val="none" w:sz="0" w:space="0" w:color="auto"/>
              <w:right w:val="none" w:sz="0" w:space="0" w:color="auto"/>
            </w:tcBorders>
            <w:shd w:val="clear" w:color="auto" w:fill="auto"/>
          </w:tcPr>
          <w:p w14:paraId="30BA2EF3" w14:textId="77777777"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2015</w:t>
            </w:r>
          </w:p>
          <w:p w14:paraId="71A7F8B1" w14:textId="77777777"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p>
        </w:tc>
        <w:tc>
          <w:tcPr>
            <w:tcW w:w="1331" w:type="dxa"/>
            <w:tcBorders>
              <w:top w:val="none" w:sz="0" w:space="0" w:color="auto"/>
              <w:left w:val="none" w:sz="0" w:space="0" w:color="auto"/>
              <w:bottom w:val="none" w:sz="0" w:space="0" w:color="auto"/>
              <w:right w:val="none" w:sz="0" w:space="0" w:color="auto"/>
            </w:tcBorders>
            <w:shd w:val="clear" w:color="auto" w:fill="auto"/>
          </w:tcPr>
          <w:p w14:paraId="53FC8507" w14:textId="77777777" w:rsidR="00AE62EE" w:rsidRPr="00867F8A" w:rsidRDefault="00AE62EE" w:rsidP="00AE62EE">
            <w:pPr>
              <w:pStyle w:val="ExhibitText"/>
              <w:cnfStyle w:val="100000000000" w:firstRow="1" w:lastRow="0" w:firstColumn="0" w:lastColumn="0" w:oddVBand="0" w:evenVBand="0" w:oddHBand="0" w:evenHBand="0" w:firstRowFirstColumn="0" w:firstRowLastColumn="0" w:lastRowFirstColumn="0" w:lastRowLastColumn="0"/>
              <w:rPr>
                <w:color w:val="auto"/>
                <w:lang w:val="en-GB"/>
              </w:rPr>
            </w:pPr>
          </w:p>
        </w:tc>
      </w:tr>
      <w:tr w:rsidR="00AE62EE" w:rsidRPr="00867F8A" w14:paraId="6CDD799A" w14:textId="77777777" w:rsidTr="0014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tcPr>
          <w:p w14:paraId="19EF7A35" w14:textId="021A8345" w:rsidR="00AE62EE" w:rsidRPr="00867F8A" w:rsidRDefault="00AE62EE" w:rsidP="00143496">
            <w:pPr>
              <w:pStyle w:val="ExhibitText"/>
              <w:jc w:val="left"/>
              <w:rPr>
                <w:lang w:val="en-GB"/>
              </w:rPr>
            </w:pPr>
            <w:r w:rsidRPr="00867F8A">
              <w:rPr>
                <w:lang w:val="en-GB"/>
              </w:rPr>
              <w:t xml:space="preserve">Sales </w:t>
            </w:r>
            <w:r w:rsidR="0037043C" w:rsidRPr="00867F8A">
              <w:rPr>
                <w:lang w:val="en-GB"/>
              </w:rPr>
              <w:t>(US</w:t>
            </w:r>
            <w:r w:rsidRPr="00867F8A">
              <w:rPr>
                <w:lang w:val="en-GB"/>
              </w:rPr>
              <w:t>$</w:t>
            </w:r>
            <w:r w:rsidR="0037043C" w:rsidRPr="00867F8A">
              <w:rPr>
                <w:lang w:val="en-GB"/>
              </w:rPr>
              <w:t xml:space="preserve"> billion</w:t>
            </w:r>
            <w:r w:rsidR="00D47F19" w:rsidRPr="00867F8A">
              <w:rPr>
                <w:lang w:val="en-GB"/>
              </w:rPr>
              <w:t>)</w:t>
            </w:r>
          </w:p>
        </w:tc>
        <w:tc>
          <w:tcPr>
            <w:tcW w:w="1170" w:type="dxa"/>
            <w:shd w:val="clear" w:color="auto" w:fill="auto"/>
          </w:tcPr>
          <w:p w14:paraId="13300113"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6.5</w:t>
            </w:r>
          </w:p>
        </w:tc>
        <w:tc>
          <w:tcPr>
            <w:tcW w:w="1260" w:type="dxa"/>
            <w:shd w:val="clear" w:color="auto" w:fill="auto"/>
          </w:tcPr>
          <w:p w14:paraId="33A5E3C2"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6.9</w:t>
            </w:r>
          </w:p>
        </w:tc>
        <w:tc>
          <w:tcPr>
            <w:tcW w:w="1170" w:type="dxa"/>
            <w:shd w:val="clear" w:color="auto" w:fill="auto"/>
          </w:tcPr>
          <w:p w14:paraId="7E1F699B"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7.6</w:t>
            </w:r>
          </w:p>
        </w:tc>
        <w:tc>
          <w:tcPr>
            <w:tcW w:w="1170" w:type="dxa"/>
            <w:shd w:val="clear" w:color="auto" w:fill="auto"/>
          </w:tcPr>
          <w:p w14:paraId="1623613D" w14:textId="223D8781"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7.9</w:t>
            </w:r>
          </w:p>
        </w:tc>
        <w:tc>
          <w:tcPr>
            <w:tcW w:w="1094" w:type="dxa"/>
            <w:shd w:val="clear" w:color="auto" w:fill="auto"/>
          </w:tcPr>
          <w:p w14:paraId="6656136F"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8.6</w:t>
            </w:r>
          </w:p>
        </w:tc>
        <w:tc>
          <w:tcPr>
            <w:tcW w:w="1331" w:type="dxa"/>
            <w:shd w:val="clear" w:color="auto" w:fill="auto"/>
          </w:tcPr>
          <w:p w14:paraId="0F3484F6" w14:textId="77777777" w:rsidR="00AE62EE" w:rsidRPr="00867F8A" w:rsidRDefault="00AE62EE" w:rsidP="00AE62EE">
            <w:pPr>
              <w:pStyle w:val="ExhibitTex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 CAGR</w:t>
            </w:r>
          </w:p>
        </w:tc>
      </w:tr>
      <w:tr w:rsidR="00AE62EE" w:rsidRPr="00867F8A" w14:paraId="5E1AEA98" w14:textId="77777777" w:rsidTr="00143496">
        <w:tc>
          <w:tcPr>
            <w:cnfStyle w:val="001000000000" w:firstRow="0" w:lastRow="0" w:firstColumn="1" w:lastColumn="0" w:oddVBand="0" w:evenVBand="0" w:oddHBand="0" w:evenHBand="0" w:firstRowFirstColumn="0" w:firstRowLastColumn="0" w:lastRowFirstColumn="0" w:lastRowLastColumn="0"/>
            <w:tcW w:w="2155" w:type="dxa"/>
            <w:shd w:val="clear" w:color="auto" w:fill="auto"/>
          </w:tcPr>
          <w:p w14:paraId="078EF78B" w14:textId="4E2AA164" w:rsidR="00AE62EE" w:rsidRPr="00867F8A" w:rsidRDefault="00AE62EE" w:rsidP="00143496">
            <w:pPr>
              <w:pStyle w:val="ExhibitText"/>
              <w:jc w:val="left"/>
              <w:rPr>
                <w:lang w:val="en-GB"/>
              </w:rPr>
            </w:pPr>
            <w:r w:rsidRPr="00867F8A">
              <w:rPr>
                <w:lang w:val="en-GB"/>
              </w:rPr>
              <w:t>Sale prices</w:t>
            </w:r>
            <w:r w:rsidR="0037043C" w:rsidRPr="00867F8A">
              <w:rPr>
                <w:lang w:val="en-GB"/>
              </w:rPr>
              <w:t xml:space="preserve"> (US$)</w:t>
            </w:r>
          </w:p>
        </w:tc>
        <w:tc>
          <w:tcPr>
            <w:tcW w:w="1170" w:type="dxa"/>
            <w:shd w:val="clear" w:color="auto" w:fill="auto"/>
          </w:tcPr>
          <w:p w14:paraId="12BB46DF" w14:textId="547E636E"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18,401</w:t>
            </w:r>
          </w:p>
        </w:tc>
        <w:tc>
          <w:tcPr>
            <w:tcW w:w="1260" w:type="dxa"/>
            <w:shd w:val="clear" w:color="auto" w:fill="auto"/>
          </w:tcPr>
          <w:p w14:paraId="359A9568" w14:textId="0FB9453C"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18,723</w:t>
            </w:r>
          </w:p>
        </w:tc>
        <w:tc>
          <w:tcPr>
            <w:tcW w:w="1170" w:type="dxa"/>
            <w:shd w:val="clear" w:color="auto" w:fill="auto"/>
          </w:tcPr>
          <w:p w14:paraId="066279B2" w14:textId="51A1D335"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20,460</w:t>
            </w:r>
          </w:p>
        </w:tc>
        <w:tc>
          <w:tcPr>
            <w:tcW w:w="1170" w:type="dxa"/>
            <w:shd w:val="clear" w:color="auto" w:fill="auto"/>
          </w:tcPr>
          <w:p w14:paraId="0AE35D03" w14:textId="48306BE0"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20,020</w:t>
            </w:r>
          </w:p>
        </w:tc>
        <w:tc>
          <w:tcPr>
            <w:tcW w:w="1094" w:type="dxa"/>
            <w:shd w:val="clear" w:color="auto" w:fill="auto"/>
          </w:tcPr>
          <w:p w14:paraId="4F73EA2C" w14:textId="04A73F21"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22,240</w:t>
            </w:r>
          </w:p>
        </w:tc>
        <w:tc>
          <w:tcPr>
            <w:tcW w:w="1331" w:type="dxa"/>
            <w:shd w:val="clear" w:color="auto" w:fill="auto"/>
          </w:tcPr>
          <w:p w14:paraId="2CEB68A9" w14:textId="77777777" w:rsidR="00AE62EE" w:rsidRPr="00867F8A" w:rsidRDefault="00AE62EE" w:rsidP="00AE62EE">
            <w:pPr>
              <w:pStyle w:val="ExhibitTex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5% CAGR</w:t>
            </w:r>
          </w:p>
        </w:tc>
      </w:tr>
      <w:tr w:rsidR="00AE62EE" w:rsidRPr="00867F8A" w14:paraId="5E3E27DE" w14:textId="77777777" w:rsidTr="0014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tcPr>
          <w:p w14:paraId="49A6A2D5" w14:textId="77777777" w:rsidR="00AE62EE" w:rsidRPr="00867F8A" w:rsidRDefault="00AE62EE" w:rsidP="00143496">
            <w:pPr>
              <w:pStyle w:val="ExhibitText"/>
              <w:jc w:val="left"/>
              <w:rPr>
                <w:lang w:val="en-GB"/>
              </w:rPr>
            </w:pPr>
            <w:r w:rsidRPr="00867F8A">
              <w:rPr>
                <w:lang w:val="en-GB"/>
              </w:rPr>
              <w:t>Occupancy</w:t>
            </w:r>
          </w:p>
        </w:tc>
        <w:tc>
          <w:tcPr>
            <w:tcW w:w="1170" w:type="dxa"/>
            <w:shd w:val="clear" w:color="auto" w:fill="auto"/>
          </w:tcPr>
          <w:p w14:paraId="18C1A883"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78.9%</w:t>
            </w:r>
          </w:p>
        </w:tc>
        <w:tc>
          <w:tcPr>
            <w:tcW w:w="1260" w:type="dxa"/>
            <w:shd w:val="clear" w:color="auto" w:fill="auto"/>
          </w:tcPr>
          <w:p w14:paraId="586A68FA"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76.9%</w:t>
            </w:r>
          </w:p>
        </w:tc>
        <w:tc>
          <w:tcPr>
            <w:tcW w:w="1170" w:type="dxa"/>
            <w:shd w:val="clear" w:color="auto" w:fill="auto"/>
          </w:tcPr>
          <w:p w14:paraId="054A324A"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76.8%</w:t>
            </w:r>
          </w:p>
        </w:tc>
        <w:tc>
          <w:tcPr>
            <w:tcW w:w="1170" w:type="dxa"/>
            <w:shd w:val="clear" w:color="auto" w:fill="auto"/>
          </w:tcPr>
          <w:p w14:paraId="0A77F0D7"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78.3%</w:t>
            </w:r>
          </w:p>
        </w:tc>
        <w:tc>
          <w:tcPr>
            <w:tcW w:w="1094" w:type="dxa"/>
            <w:shd w:val="clear" w:color="auto" w:fill="auto"/>
          </w:tcPr>
          <w:p w14:paraId="365F252C" w14:textId="77777777"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79.9%</w:t>
            </w:r>
          </w:p>
        </w:tc>
        <w:tc>
          <w:tcPr>
            <w:tcW w:w="1331" w:type="dxa"/>
            <w:shd w:val="clear" w:color="auto" w:fill="auto"/>
          </w:tcPr>
          <w:p w14:paraId="7B21E43E" w14:textId="4A7CB20C" w:rsidR="00AE62EE" w:rsidRPr="00867F8A" w:rsidRDefault="00217B78" w:rsidP="00217B78">
            <w:pPr>
              <w:pStyle w:val="ExhibitTex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1.0 % </w:t>
            </w:r>
            <w:r w:rsidR="00AE62EE" w:rsidRPr="00867F8A">
              <w:rPr>
                <w:lang w:val="en-GB"/>
              </w:rPr>
              <w:t>point increase</w:t>
            </w:r>
          </w:p>
        </w:tc>
      </w:tr>
      <w:tr w:rsidR="00AE62EE" w:rsidRPr="00867F8A" w14:paraId="390837BC" w14:textId="77777777" w:rsidTr="00143496">
        <w:tc>
          <w:tcPr>
            <w:cnfStyle w:val="001000000000" w:firstRow="0" w:lastRow="0" w:firstColumn="1" w:lastColumn="0" w:oddVBand="0" w:evenVBand="0" w:oddHBand="0" w:evenHBand="0" w:firstRowFirstColumn="0" w:firstRowLastColumn="0" w:lastRowFirstColumn="0" w:lastRowLastColumn="0"/>
            <w:tcW w:w="2155" w:type="dxa"/>
            <w:shd w:val="clear" w:color="auto" w:fill="auto"/>
          </w:tcPr>
          <w:p w14:paraId="118C478B" w14:textId="63D08D06" w:rsidR="00AE62EE" w:rsidRPr="00867F8A" w:rsidRDefault="00AE62EE" w:rsidP="00143496">
            <w:pPr>
              <w:pStyle w:val="ExhibitText"/>
              <w:jc w:val="left"/>
              <w:rPr>
                <w:lang w:val="en-GB"/>
              </w:rPr>
            </w:pPr>
            <w:r w:rsidRPr="00867F8A">
              <w:rPr>
                <w:lang w:val="en-GB"/>
              </w:rPr>
              <w:t>Average resort size</w:t>
            </w:r>
            <w:r w:rsidR="00231A34" w:rsidRPr="00867F8A">
              <w:rPr>
                <w:lang w:val="en-GB"/>
              </w:rPr>
              <w:t xml:space="preserve"> (m</w:t>
            </w:r>
            <w:r w:rsidR="00231A34" w:rsidRPr="00867F8A">
              <w:rPr>
                <w:vertAlign w:val="superscript"/>
                <w:lang w:val="en-GB"/>
              </w:rPr>
              <w:t>2</w:t>
            </w:r>
            <w:r w:rsidR="00231A34" w:rsidRPr="00867F8A">
              <w:rPr>
                <w:lang w:val="en-GB"/>
              </w:rPr>
              <w:t>)</w:t>
            </w:r>
          </w:p>
        </w:tc>
        <w:tc>
          <w:tcPr>
            <w:tcW w:w="1170" w:type="dxa"/>
            <w:shd w:val="clear" w:color="auto" w:fill="auto"/>
          </w:tcPr>
          <w:p w14:paraId="4DA15572" w14:textId="77777777"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125</w:t>
            </w:r>
          </w:p>
        </w:tc>
        <w:tc>
          <w:tcPr>
            <w:tcW w:w="1260" w:type="dxa"/>
            <w:shd w:val="clear" w:color="auto" w:fill="auto"/>
          </w:tcPr>
          <w:p w14:paraId="4157C7DD" w14:textId="77777777"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122</w:t>
            </w:r>
          </w:p>
        </w:tc>
        <w:tc>
          <w:tcPr>
            <w:tcW w:w="1170" w:type="dxa"/>
            <w:shd w:val="clear" w:color="auto" w:fill="auto"/>
          </w:tcPr>
          <w:p w14:paraId="5F9B2DC5" w14:textId="77777777"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125</w:t>
            </w:r>
          </w:p>
        </w:tc>
        <w:tc>
          <w:tcPr>
            <w:tcW w:w="1170" w:type="dxa"/>
            <w:shd w:val="clear" w:color="auto" w:fill="auto"/>
          </w:tcPr>
          <w:p w14:paraId="5F37B927" w14:textId="77777777"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128</w:t>
            </w:r>
          </w:p>
        </w:tc>
        <w:tc>
          <w:tcPr>
            <w:tcW w:w="1094" w:type="dxa"/>
            <w:shd w:val="clear" w:color="auto" w:fill="auto"/>
          </w:tcPr>
          <w:p w14:paraId="77C6FE28" w14:textId="77777777" w:rsidR="00AE62EE" w:rsidRPr="00867F8A" w:rsidRDefault="00AE62EE" w:rsidP="00143496">
            <w:pPr>
              <w:pStyle w:val="ExhibitText"/>
              <w:jc w:val="righ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130</w:t>
            </w:r>
          </w:p>
        </w:tc>
        <w:tc>
          <w:tcPr>
            <w:tcW w:w="1331" w:type="dxa"/>
            <w:shd w:val="clear" w:color="auto" w:fill="auto"/>
          </w:tcPr>
          <w:p w14:paraId="28114170" w14:textId="77777777" w:rsidR="00AE62EE" w:rsidRPr="00867F8A" w:rsidRDefault="00AE62EE" w:rsidP="00AE62EE">
            <w:pPr>
              <w:pStyle w:val="ExhibitTex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1% CAGR</w:t>
            </w:r>
          </w:p>
        </w:tc>
      </w:tr>
      <w:tr w:rsidR="00AE62EE" w:rsidRPr="00867F8A" w14:paraId="4B06455A" w14:textId="77777777" w:rsidTr="0014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tcPr>
          <w:p w14:paraId="0B4EFD2B" w14:textId="7B85C66F" w:rsidR="00AE62EE" w:rsidRPr="00867F8A" w:rsidRDefault="00AE62EE" w:rsidP="00143496">
            <w:pPr>
              <w:pStyle w:val="ExhibitText"/>
              <w:jc w:val="left"/>
              <w:rPr>
                <w:lang w:val="en-GB"/>
              </w:rPr>
            </w:pPr>
            <w:r w:rsidRPr="00867F8A">
              <w:rPr>
                <w:lang w:val="en-GB"/>
              </w:rPr>
              <w:t>Maintenance fee per interval</w:t>
            </w:r>
            <w:r w:rsidR="0037043C" w:rsidRPr="00867F8A">
              <w:rPr>
                <w:lang w:val="en-GB"/>
              </w:rPr>
              <w:t xml:space="preserve"> (US$)</w:t>
            </w:r>
          </w:p>
        </w:tc>
        <w:tc>
          <w:tcPr>
            <w:tcW w:w="1170" w:type="dxa"/>
            <w:shd w:val="clear" w:color="auto" w:fill="auto"/>
          </w:tcPr>
          <w:p w14:paraId="7053143D" w14:textId="1F2D84CB"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786</w:t>
            </w:r>
          </w:p>
        </w:tc>
        <w:tc>
          <w:tcPr>
            <w:tcW w:w="1260" w:type="dxa"/>
            <w:shd w:val="clear" w:color="auto" w:fill="auto"/>
          </w:tcPr>
          <w:p w14:paraId="3E3C5C26" w14:textId="304C353E"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822</w:t>
            </w:r>
          </w:p>
        </w:tc>
        <w:tc>
          <w:tcPr>
            <w:tcW w:w="1170" w:type="dxa"/>
            <w:shd w:val="clear" w:color="auto" w:fill="auto"/>
          </w:tcPr>
          <w:p w14:paraId="2CA7FE8A" w14:textId="76A348A9"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845</w:t>
            </w:r>
          </w:p>
        </w:tc>
        <w:tc>
          <w:tcPr>
            <w:tcW w:w="1170" w:type="dxa"/>
            <w:shd w:val="clear" w:color="auto" w:fill="auto"/>
          </w:tcPr>
          <w:p w14:paraId="43DCBAB7" w14:textId="712783FC"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880</w:t>
            </w:r>
          </w:p>
        </w:tc>
        <w:tc>
          <w:tcPr>
            <w:tcW w:w="1094" w:type="dxa"/>
            <w:shd w:val="clear" w:color="auto" w:fill="auto"/>
          </w:tcPr>
          <w:p w14:paraId="05F3DC5F" w14:textId="13FF5FD9" w:rsidR="00AE62EE" w:rsidRPr="00867F8A" w:rsidRDefault="00AE62EE" w:rsidP="00143496">
            <w:pPr>
              <w:pStyle w:val="ExhibitText"/>
              <w:jc w:val="righ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920</w:t>
            </w:r>
          </w:p>
        </w:tc>
        <w:tc>
          <w:tcPr>
            <w:tcW w:w="1331" w:type="dxa"/>
            <w:shd w:val="clear" w:color="auto" w:fill="auto"/>
          </w:tcPr>
          <w:p w14:paraId="7759CC79" w14:textId="77777777" w:rsidR="00AE62EE" w:rsidRPr="00867F8A" w:rsidRDefault="00AE62EE" w:rsidP="00AE62EE">
            <w:pPr>
              <w:pStyle w:val="ExhibitTex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4% CAGR</w:t>
            </w:r>
          </w:p>
        </w:tc>
      </w:tr>
    </w:tbl>
    <w:p w14:paraId="4A9F703A" w14:textId="77777777" w:rsidR="00AE62EE" w:rsidRPr="00867F8A" w:rsidRDefault="00AE62EE" w:rsidP="00AE62EE">
      <w:pPr>
        <w:textAlignment w:val="baseline"/>
        <w:rPr>
          <w:rFonts w:ascii="Arial" w:hAnsi="Arial" w:cs="Arial"/>
          <w:spacing w:val="15"/>
          <w:lang w:val="en-GB"/>
        </w:rPr>
      </w:pPr>
    </w:p>
    <w:p w14:paraId="5DCC75BA" w14:textId="27CFD67A" w:rsidR="00592A79" w:rsidRPr="00867F8A" w:rsidRDefault="00592A79" w:rsidP="00143496">
      <w:pPr>
        <w:pStyle w:val="Footnote"/>
        <w:jc w:val="left"/>
        <w:rPr>
          <w:lang w:val="en-GB"/>
        </w:rPr>
      </w:pPr>
      <w:r w:rsidRPr="00867F8A">
        <w:rPr>
          <w:lang w:val="en-GB"/>
        </w:rPr>
        <w:t xml:space="preserve">Note: CAGR = </w:t>
      </w:r>
      <w:r w:rsidR="00856143" w:rsidRPr="00867F8A">
        <w:rPr>
          <w:lang w:val="en-GB"/>
        </w:rPr>
        <w:t>compound annual growth</w:t>
      </w:r>
      <w:r w:rsidRPr="00867F8A">
        <w:rPr>
          <w:lang w:val="en-GB"/>
        </w:rPr>
        <w:t xml:space="preserve"> rate.</w:t>
      </w:r>
    </w:p>
    <w:p w14:paraId="61A13570" w14:textId="39283268" w:rsidR="00AE62EE" w:rsidRPr="00B44DBB" w:rsidRDefault="00AE62EE">
      <w:pPr>
        <w:pStyle w:val="Footnote"/>
        <w:rPr>
          <w:spacing w:val="-2"/>
          <w:kern w:val="17"/>
          <w:lang w:val="en-GB"/>
        </w:rPr>
      </w:pPr>
      <w:r w:rsidRPr="00B44DBB">
        <w:rPr>
          <w:spacing w:val="-2"/>
          <w:kern w:val="17"/>
          <w:lang w:val="en-GB"/>
        </w:rPr>
        <w:t>Source:</w:t>
      </w:r>
      <w:r w:rsidR="00F01DD5" w:rsidRPr="00B44DBB">
        <w:rPr>
          <w:spacing w:val="-2"/>
          <w:kern w:val="17"/>
          <w:lang w:val="en-GB"/>
        </w:rPr>
        <w:t xml:space="preserve"> </w:t>
      </w:r>
      <w:r w:rsidR="001C5010" w:rsidRPr="00B44DBB">
        <w:rPr>
          <w:spacing w:val="-2"/>
          <w:kern w:val="17"/>
          <w:lang w:val="en-GB"/>
        </w:rPr>
        <w:t>American Resort Development Association</w:t>
      </w:r>
      <w:r w:rsidR="00F01DD5" w:rsidRPr="00B44DBB">
        <w:rPr>
          <w:spacing w:val="-2"/>
          <w:kern w:val="17"/>
          <w:lang w:val="en-GB"/>
        </w:rPr>
        <w:t xml:space="preserve"> </w:t>
      </w:r>
      <w:r w:rsidR="001C5010" w:rsidRPr="00B44DBB">
        <w:rPr>
          <w:spacing w:val="-2"/>
          <w:kern w:val="17"/>
          <w:lang w:val="en-GB"/>
        </w:rPr>
        <w:t>International Foundation</w:t>
      </w:r>
      <w:r w:rsidR="00F01DD5" w:rsidRPr="00B44DBB">
        <w:rPr>
          <w:spacing w:val="-2"/>
          <w:kern w:val="17"/>
          <w:lang w:val="en-GB"/>
        </w:rPr>
        <w:t>,</w:t>
      </w:r>
      <w:r w:rsidR="00CC6A52" w:rsidRPr="00B44DBB">
        <w:rPr>
          <w:spacing w:val="-2"/>
          <w:kern w:val="17"/>
          <w:lang w:val="en-GB"/>
        </w:rPr>
        <w:t xml:space="preserve"> </w:t>
      </w:r>
      <w:r w:rsidR="001C5010" w:rsidRPr="00B44DBB">
        <w:rPr>
          <w:i/>
          <w:spacing w:val="-2"/>
          <w:kern w:val="17"/>
          <w:lang w:val="en-GB"/>
        </w:rPr>
        <w:t>State of the Vacation Timeshare Industry</w:t>
      </w:r>
      <w:r w:rsidR="00F01DD5" w:rsidRPr="00B44DBB">
        <w:rPr>
          <w:spacing w:val="-2"/>
          <w:kern w:val="17"/>
          <w:lang w:val="en-GB"/>
        </w:rPr>
        <w:t>,</w:t>
      </w:r>
      <w:r w:rsidR="001C5010" w:rsidRPr="00B44DBB">
        <w:rPr>
          <w:spacing w:val="-2"/>
          <w:kern w:val="17"/>
          <w:lang w:val="en-GB"/>
        </w:rPr>
        <w:t xml:space="preserve"> 2016, 30. </w:t>
      </w:r>
    </w:p>
    <w:p w14:paraId="008BF7C3" w14:textId="77777777" w:rsidR="00AE62EE" w:rsidRPr="00867F8A" w:rsidRDefault="00AE62EE">
      <w:pPr>
        <w:textAlignment w:val="baseline"/>
        <w:rPr>
          <w:rFonts w:ascii="Arial" w:hAnsi="Arial" w:cs="Arial"/>
          <w:spacing w:val="15"/>
          <w:lang w:val="en-GB"/>
        </w:rPr>
      </w:pPr>
    </w:p>
    <w:p w14:paraId="14ACA0CD" w14:textId="77777777" w:rsidR="00AE62EE" w:rsidRPr="00867F8A" w:rsidRDefault="00AE62EE" w:rsidP="006F1D9E">
      <w:pPr>
        <w:pStyle w:val="Footnote"/>
        <w:rPr>
          <w:lang w:val="en-GB"/>
        </w:rPr>
      </w:pPr>
    </w:p>
    <w:p w14:paraId="57BC2D5C" w14:textId="77777777" w:rsidR="00B25FC4" w:rsidRPr="00867F8A" w:rsidRDefault="00B25FC4">
      <w:pPr>
        <w:spacing w:after="200" w:line="276" w:lineRule="auto"/>
        <w:rPr>
          <w:rFonts w:ascii="Arial" w:hAnsi="Arial" w:cs="Arial"/>
          <w:b/>
          <w:caps/>
          <w:lang w:val="en-GB"/>
        </w:rPr>
      </w:pPr>
      <w:r w:rsidRPr="00867F8A">
        <w:rPr>
          <w:lang w:val="en-GB"/>
        </w:rPr>
        <w:br w:type="page"/>
      </w:r>
    </w:p>
    <w:p w14:paraId="618A45D7" w14:textId="5AF0821B" w:rsidR="008E015A" w:rsidRPr="00867F8A" w:rsidRDefault="008E015A" w:rsidP="008E015A">
      <w:pPr>
        <w:pStyle w:val="ExhibitHeading"/>
        <w:rPr>
          <w:lang w:val="en-GB"/>
        </w:rPr>
      </w:pPr>
      <w:r w:rsidRPr="00867F8A">
        <w:rPr>
          <w:lang w:val="en-GB"/>
        </w:rPr>
        <w:lastRenderedPageBreak/>
        <w:t xml:space="preserve">Exhibit 8: Highlights of the Ernst &amp; Young 2015 </w:t>
      </w:r>
      <w:r w:rsidR="008123BD" w:rsidRPr="00867F8A">
        <w:rPr>
          <w:lang w:val="en-GB"/>
        </w:rPr>
        <w:t xml:space="preserve">timeshare </w:t>
      </w:r>
      <w:r w:rsidRPr="00867F8A">
        <w:rPr>
          <w:lang w:val="en-GB"/>
        </w:rPr>
        <w:t>Report</w:t>
      </w:r>
    </w:p>
    <w:p w14:paraId="10A6245F" w14:textId="77777777" w:rsidR="008E015A" w:rsidRPr="00867F8A" w:rsidRDefault="008E015A" w:rsidP="008E015A">
      <w:pPr>
        <w:pStyle w:val="ExhibitText"/>
        <w:rPr>
          <w:lang w:val="en-GB"/>
        </w:rPr>
      </w:pPr>
    </w:p>
    <w:p w14:paraId="50CE0D21" w14:textId="56228E15" w:rsidR="008E015A" w:rsidRPr="00867F8A" w:rsidRDefault="008E015A" w:rsidP="00203F03">
      <w:pPr>
        <w:pStyle w:val="ExhibitText"/>
        <w:numPr>
          <w:ilvl w:val="0"/>
          <w:numId w:val="29"/>
        </w:numPr>
        <w:ind w:left="270" w:hanging="270"/>
        <w:rPr>
          <w:lang w:val="en-GB"/>
        </w:rPr>
      </w:pPr>
      <w:r w:rsidRPr="00867F8A">
        <w:rPr>
          <w:lang w:val="en-GB"/>
        </w:rPr>
        <w:t xml:space="preserve">1,547 timeshare resorts comprised of 200,720 timeshare units, averaging 130 units per resort with an average occupancy </w:t>
      </w:r>
      <w:r w:rsidR="008123BD" w:rsidRPr="00867F8A">
        <w:rPr>
          <w:lang w:val="en-GB"/>
        </w:rPr>
        <w:t>of</w:t>
      </w:r>
      <w:r w:rsidRPr="00867F8A">
        <w:rPr>
          <w:lang w:val="en-GB"/>
        </w:rPr>
        <w:t xml:space="preserve"> just under 80% (hotel occupancy was 65.6%)</w:t>
      </w:r>
      <w:r w:rsidR="008123BD" w:rsidRPr="00867F8A">
        <w:rPr>
          <w:lang w:val="en-GB"/>
        </w:rPr>
        <w:t>.</w:t>
      </w:r>
    </w:p>
    <w:p w14:paraId="0BDA82CF" w14:textId="77777777" w:rsidR="008E015A" w:rsidRPr="00867F8A" w:rsidRDefault="008E015A" w:rsidP="00203F03">
      <w:pPr>
        <w:pStyle w:val="ExhibitText"/>
        <w:numPr>
          <w:ilvl w:val="0"/>
          <w:numId w:val="29"/>
        </w:numPr>
        <w:ind w:left="270" w:hanging="270"/>
        <w:rPr>
          <w:lang w:val="en-GB"/>
        </w:rPr>
      </w:pPr>
      <w:r w:rsidRPr="00867F8A">
        <w:rPr>
          <w:lang w:val="en-GB"/>
        </w:rPr>
        <w:t xml:space="preserve">9.2 million </w:t>
      </w:r>
      <w:proofErr w:type="gramStart"/>
      <w:r w:rsidRPr="00867F8A">
        <w:rPr>
          <w:lang w:val="en-GB"/>
        </w:rPr>
        <w:t>timeshare</w:t>
      </w:r>
      <w:proofErr w:type="gramEnd"/>
      <w:r w:rsidRPr="00867F8A">
        <w:rPr>
          <w:lang w:val="en-GB"/>
        </w:rPr>
        <w:t xml:space="preserve"> weekly intervals owned in the United States.</w:t>
      </w:r>
    </w:p>
    <w:p w14:paraId="58D8EE2E" w14:textId="089B9BC6" w:rsidR="008E015A" w:rsidRPr="00867F8A" w:rsidRDefault="008E015A" w:rsidP="00203F03">
      <w:pPr>
        <w:pStyle w:val="ExhibitText"/>
        <w:numPr>
          <w:ilvl w:val="0"/>
          <w:numId w:val="29"/>
        </w:numPr>
        <w:ind w:left="270" w:hanging="270"/>
        <w:rPr>
          <w:lang w:val="en-GB"/>
        </w:rPr>
      </w:pPr>
      <w:r w:rsidRPr="00867F8A">
        <w:rPr>
          <w:lang w:val="en-GB"/>
        </w:rPr>
        <w:t xml:space="preserve">Sales volume from 2014 to 2015 increased by 9% from </w:t>
      </w:r>
      <w:r w:rsidR="00A56C2F" w:rsidRPr="00867F8A">
        <w:rPr>
          <w:lang w:val="en-GB"/>
        </w:rPr>
        <w:t>US</w:t>
      </w:r>
      <w:r w:rsidRPr="00867F8A">
        <w:rPr>
          <w:lang w:val="en-GB"/>
        </w:rPr>
        <w:t>$7.9 billion to $8.6 billion, the second largest increase (percentage</w:t>
      </w:r>
      <w:r w:rsidR="008123BD" w:rsidRPr="00867F8A">
        <w:rPr>
          <w:lang w:val="en-GB"/>
        </w:rPr>
        <w:t>-</w:t>
      </w:r>
      <w:r w:rsidRPr="00867F8A">
        <w:rPr>
          <w:lang w:val="en-GB"/>
        </w:rPr>
        <w:t>wise) since the recession.</w:t>
      </w:r>
    </w:p>
    <w:p w14:paraId="15363048" w14:textId="2303347B" w:rsidR="008E015A" w:rsidRPr="00867F8A" w:rsidRDefault="008E015A" w:rsidP="00203F03">
      <w:pPr>
        <w:pStyle w:val="ExhibitText"/>
        <w:numPr>
          <w:ilvl w:val="0"/>
          <w:numId w:val="29"/>
        </w:numPr>
        <w:ind w:left="270" w:hanging="270"/>
        <w:rPr>
          <w:lang w:val="en-GB"/>
        </w:rPr>
      </w:pPr>
      <w:r w:rsidRPr="00867F8A">
        <w:rPr>
          <w:lang w:val="en-GB"/>
        </w:rPr>
        <w:t>Rental revenue decreased by 5% from US</w:t>
      </w:r>
      <w:r w:rsidR="008123BD" w:rsidRPr="00867F8A">
        <w:rPr>
          <w:lang w:val="en-GB"/>
        </w:rPr>
        <w:t>$</w:t>
      </w:r>
      <w:r w:rsidRPr="00867F8A">
        <w:rPr>
          <w:lang w:val="en-GB"/>
        </w:rPr>
        <w:t xml:space="preserve">1.9 billion in 2014 to </w:t>
      </w:r>
      <w:r w:rsidR="008123BD" w:rsidRPr="00867F8A">
        <w:rPr>
          <w:lang w:val="en-GB"/>
        </w:rPr>
        <w:t>$</w:t>
      </w:r>
      <w:r w:rsidRPr="00867F8A">
        <w:rPr>
          <w:lang w:val="en-GB"/>
        </w:rPr>
        <w:t>1.8 billion in 2015.</w:t>
      </w:r>
    </w:p>
    <w:p w14:paraId="5AE6FE44" w14:textId="4D0123AE" w:rsidR="008E015A" w:rsidRPr="00867F8A" w:rsidRDefault="008E015A" w:rsidP="00203F03">
      <w:pPr>
        <w:pStyle w:val="ExhibitText"/>
        <w:numPr>
          <w:ilvl w:val="0"/>
          <w:numId w:val="29"/>
        </w:numPr>
        <w:ind w:left="270" w:hanging="270"/>
        <w:rPr>
          <w:lang w:val="en-GB"/>
        </w:rPr>
      </w:pPr>
      <w:r w:rsidRPr="00867F8A">
        <w:rPr>
          <w:lang w:val="en-GB"/>
        </w:rPr>
        <w:t xml:space="preserve">619 new units were added in 2015, down from 1,312 units built in 2014. The number of units built in 2016 was 2,115, and 2,397 units </w:t>
      </w:r>
      <w:r w:rsidR="00592A79" w:rsidRPr="00867F8A">
        <w:rPr>
          <w:lang w:val="en-GB"/>
        </w:rPr>
        <w:t>were</w:t>
      </w:r>
      <w:r w:rsidRPr="00867F8A">
        <w:rPr>
          <w:lang w:val="en-GB"/>
        </w:rPr>
        <w:t xml:space="preserve"> being built in 2017. </w:t>
      </w:r>
    </w:p>
    <w:p w14:paraId="6AB554D0" w14:textId="3FC2B19D" w:rsidR="008E015A" w:rsidRPr="00867F8A" w:rsidRDefault="008E015A" w:rsidP="00203F03">
      <w:pPr>
        <w:pStyle w:val="ExhibitText"/>
        <w:numPr>
          <w:ilvl w:val="0"/>
          <w:numId w:val="29"/>
        </w:numPr>
        <w:ind w:left="270" w:hanging="270"/>
        <w:rPr>
          <w:lang w:val="en-GB"/>
        </w:rPr>
      </w:pPr>
      <w:r w:rsidRPr="00867F8A">
        <w:rPr>
          <w:lang w:val="en-GB"/>
        </w:rPr>
        <w:t xml:space="preserve">11 new resorts </w:t>
      </w:r>
      <w:r w:rsidR="00592A79" w:rsidRPr="00867F8A">
        <w:rPr>
          <w:lang w:val="en-GB"/>
        </w:rPr>
        <w:t>were</w:t>
      </w:r>
      <w:r w:rsidRPr="00867F8A">
        <w:rPr>
          <w:lang w:val="en-GB"/>
        </w:rPr>
        <w:t xml:space="preserve"> planned for 2016 and 9 new resorts in 2017.</w:t>
      </w:r>
    </w:p>
    <w:p w14:paraId="23D2399C" w14:textId="77777777" w:rsidR="00352682" w:rsidRPr="00867F8A" w:rsidRDefault="00352682" w:rsidP="00352682">
      <w:pPr>
        <w:pStyle w:val="ExhibitText"/>
        <w:rPr>
          <w:lang w:val="en-GB"/>
        </w:rPr>
      </w:pPr>
    </w:p>
    <w:p w14:paraId="49838ECC" w14:textId="532AAF1B" w:rsidR="008E015A" w:rsidRPr="00217B78" w:rsidRDefault="001C5010" w:rsidP="00352682">
      <w:pPr>
        <w:pStyle w:val="Footnote"/>
        <w:rPr>
          <w:spacing w:val="-2"/>
          <w:kern w:val="17"/>
          <w:lang w:val="en-GB"/>
        </w:rPr>
      </w:pPr>
      <w:bookmarkStart w:id="0" w:name="_GoBack"/>
      <w:r w:rsidRPr="00217B78">
        <w:rPr>
          <w:spacing w:val="-2"/>
          <w:kern w:val="17"/>
          <w:lang w:val="en-GB"/>
        </w:rPr>
        <w:t>Source: American Resort Development Association International Foundation</w:t>
      </w:r>
      <w:r w:rsidR="00F01DD5" w:rsidRPr="00217B78">
        <w:rPr>
          <w:spacing w:val="-2"/>
          <w:kern w:val="17"/>
          <w:lang w:val="en-GB"/>
        </w:rPr>
        <w:t>,</w:t>
      </w:r>
      <w:r w:rsidRPr="00217B78">
        <w:rPr>
          <w:spacing w:val="-2"/>
          <w:kern w:val="17"/>
          <w:lang w:val="en-GB"/>
        </w:rPr>
        <w:t xml:space="preserve"> </w:t>
      </w:r>
      <w:r w:rsidRPr="00217B78">
        <w:rPr>
          <w:i/>
          <w:spacing w:val="-2"/>
          <w:kern w:val="17"/>
          <w:lang w:val="en-GB"/>
        </w:rPr>
        <w:t>State of the Vacation Timeshare Industry</w:t>
      </w:r>
      <w:r w:rsidR="00F01DD5" w:rsidRPr="00217B78">
        <w:rPr>
          <w:i/>
          <w:spacing w:val="-2"/>
          <w:kern w:val="17"/>
          <w:lang w:val="en-GB"/>
        </w:rPr>
        <w:t>,</w:t>
      </w:r>
      <w:r w:rsidRPr="00217B78">
        <w:rPr>
          <w:spacing w:val="-2"/>
          <w:kern w:val="17"/>
          <w:lang w:val="en-GB"/>
        </w:rPr>
        <w:t xml:space="preserve"> 2016</w:t>
      </w:r>
      <w:r w:rsidR="00F01DD5" w:rsidRPr="00217B78">
        <w:rPr>
          <w:spacing w:val="-2"/>
          <w:kern w:val="17"/>
          <w:lang w:val="en-GB"/>
        </w:rPr>
        <w:t>,</w:t>
      </w:r>
      <w:r w:rsidRPr="00217B78">
        <w:rPr>
          <w:spacing w:val="-2"/>
          <w:kern w:val="17"/>
          <w:lang w:val="en-GB"/>
        </w:rPr>
        <w:t xml:space="preserve"> 6.</w:t>
      </w:r>
    </w:p>
    <w:bookmarkEnd w:id="0"/>
    <w:p w14:paraId="56B78AF1" w14:textId="77777777" w:rsidR="008E015A" w:rsidRPr="00867F8A" w:rsidRDefault="008E015A" w:rsidP="00AE62EE">
      <w:pPr>
        <w:pStyle w:val="ExhibitHeading"/>
        <w:rPr>
          <w:lang w:val="en-GB"/>
        </w:rPr>
      </w:pPr>
    </w:p>
    <w:p w14:paraId="0B1D536B" w14:textId="77777777" w:rsidR="008E015A" w:rsidRPr="00867F8A" w:rsidRDefault="008E015A" w:rsidP="00AE62EE">
      <w:pPr>
        <w:pStyle w:val="ExhibitHeading"/>
        <w:rPr>
          <w:lang w:val="en-GB"/>
        </w:rPr>
      </w:pPr>
    </w:p>
    <w:p w14:paraId="3DA18B5A" w14:textId="531FC86C" w:rsidR="00AE62EE" w:rsidRPr="00867F8A" w:rsidRDefault="00AE62EE" w:rsidP="00AE62EE">
      <w:pPr>
        <w:pStyle w:val="ExhibitHeading"/>
        <w:rPr>
          <w:lang w:val="en-GB"/>
        </w:rPr>
      </w:pPr>
      <w:r w:rsidRPr="00867F8A">
        <w:rPr>
          <w:lang w:val="en-GB"/>
        </w:rPr>
        <w:t>Exhibit 9: Millennial approach and Raintree’s possible response</w:t>
      </w:r>
    </w:p>
    <w:p w14:paraId="796BC77B" w14:textId="77777777" w:rsidR="00AE62EE" w:rsidRPr="00867F8A" w:rsidRDefault="00AE62EE" w:rsidP="00AE62EE">
      <w:pPr>
        <w:textAlignment w:val="baseline"/>
        <w:rPr>
          <w:rFonts w:ascii="Arial Narrow" w:hAnsi="Arial Narrow" w:cs="Arial"/>
          <w:spacing w:val="15"/>
          <w:lang w:val="en-GB"/>
        </w:rPr>
      </w:pP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AE62EE" w:rsidRPr="00867F8A" w14:paraId="7E7E7C4F" w14:textId="77777777" w:rsidTr="00AE6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auto"/>
          </w:tcPr>
          <w:p w14:paraId="36D0C2A7" w14:textId="0558CBE7" w:rsidR="00AE62EE" w:rsidRPr="00867F8A" w:rsidRDefault="00AE62EE" w:rsidP="00143496">
            <w:pPr>
              <w:pStyle w:val="ExhibitText"/>
              <w:jc w:val="center"/>
              <w:rPr>
                <w:color w:val="auto"/>
                <w:lang w:val="en-GB"/>
              </w:rPr>
            </w:pPr>
            <w:r w:rsidRPr="00867F8A">
              <w:rPr>
                <w:color w:val="auto"/>
                <w:lang w:val="en-GB"/>
              </w:rPr>
              <w:t xml:space="preserve">Millennial </w:t>
            </w:r>
            <w:r w:rsidR="008123BD" w:rsidRPr="00867F8A">
              <w:rPr>
                <w:color w:val="auto"/>
                <w:lang w:val="en-GB"/>
              </w:rPr>
              <w:t>A</w:t>
            </w:r>
            <w:r w:rsidRPr="00867F8A">
              <w:rPr>
                <w:color w:val="auto"/>
                <w:lang w:val="en-GB"/>
              </w:rPr>
              <w:t>pproach</w:t>
            </w:r>
          </w:p>
        </w:tc>
        <w:tc>
          <w:tcPr>
            <w:tcW w:w="4675" w:type="dxa"/>
            <w:tcBorders>
              <w:top w:val="none" w:sz="0" w:space="0" w:color="auto"/>
              <w:left w:val="none" w:sz="0" w:space="0" w:color="auto"/>
              <w:bottom w:val="none" w:sz="0" w:space="0" w:color="auto"/>
              <w:right w:val="none" w:sz="0" w:space="0" w:color="auto"/>
            </w:tcBorders>
            <w:shd w:val="clear" w:color="auto" w:fill="auto"/>
          </w:tcPr>
          <w:p w14:paraId="01C85C02" w14:textId="3A930947"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867F8A">
              <w:rPr>
                <w:color w:val="auto"/>
                <w:lang w:val="en-GB"/>
              </w:rPr>
              <w:t xml:space="preserve">Raintree </w:t>
            </w:r>
            <w:r w:rsidR="008123BD" w:rsidRPr="00867F8A">
              <w:rPr>
                <w:color w:val="auto"/>
                <w:lang w:val="en-GB"/>
              </w:rPr>
              <w:t>R</w:t>
            </w:r>
            <w:r w:rsidRPr="00867F8A">
              <w:rPr>
                <w:color w:val="auto"/>
                <w:lang w:val="en-GB"/>
              </w:rPr>
              <w:t>esponse</w:t>
            </w:r>
          </w:p>
        </w:tc>
      </w:tr>
      <w:tr w:rsidR="00AE62EE" w:rsidRPr="00867F8A" w14:paraId="7A93CC81" w14:textId="77777777" w:rsidTr="00AE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573DCC2" w14:textId="77777777" w:rsidR="00AE62EE" w:rsidRPr="00867F8A" w:rsidRDefault="00AE62EE" w:rsidP="00143496">
            <w:pPr>
              <w:pStyle w:val="ExhibitText"/>
              <w:jc w:val="left"/>
              <w:rPr>
                <w:b w:val="0"/>
                <w:lang w:val="en-GB"/>
              </w:rPr>
            </w:pPr>
            <w:r w:rsidRPr="00867F8A">
              <w:rPr>
                <w:b w:val="0"/>
                <w:lang w:val="en-GB"/>
              </w:rPr>
              <w:t>Needs personalized, unique and interesting experiences to be shared with friends on social media</w:t>
            </w:r>
          </w:p>
        </w:tc>
        <w:tc>
          <w:tcPr>
            <w:tcW w:w="4675" w:type="dxa"/>
            <w:shd w:val="clear" w:color="auto" w:fill="auto"/>
          </w:tcPr>
          <w:p w14:paraId="58E8EB32" w14:textId="4C210AFB" w:rsidR="00AE62EE" w:rsidRPr="00867F8A" w:rsidRDefault="00AE62EE" w:rsidP="00143496">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 xml:space="preserve">Work with </w:t>
            </w:r>
            <w:proofErr w:type="spellStart"/>
            <w:r w:rsidRPr="00867F8A">
              <w:rPr>
                <w:lang w:val="en-GB"/>
              </w:rPr>
              <w:t>Xplora</w:t>
            </w:r>
            <w:proofErr w:type="spellEnd"/>
            <w:r w:rsidRPr="00867F8A">
              <w:rPr>
                <w:lang w:val="en-GB"/>
              </w:rPr>
              <w:t xml:space="preserve"> to source experiences and post reviews on social media (</w:t>
            </w:r>
            <w:r w:rsidR="009306E2" w:rsidRPr="00867F8A">
              <w:rPr>
                <w:lang w:val="en-GB"/>
              </w:rPr>
              <w:t>e.g.</w:t>
            </w:r>
            <w:r w:rsidRPr="00867F8A">
              <w:rPr>
                <w:lang w:val="en-GB"/>
              </w:rPr>
              <w:t>, www.xploracancun.com)</w:t>
            </w:r>
          </w:p>
        </w:tc>
      </w:tr>
      <w:tr w:rsidR="00AE62EE" w:rsidRPr="00867F8A" w14:paraId="366C60AF" w14:textId="77777777" w:rsidTr="00AE62EE">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13196DEC" w14:textId="77777777" w:rsidR="00AE62EE" w:rsidRPr="00867F8A" w:rsidRDefault="00AE62EE" w:rsidP="00143496">
            <w:pPr>
              <w:pStyle w:val="ExhibitText"/>
              <w:jc w:val="left"/>
              <w:rPr>
                <w:b w:val="0"/>
                <w:lang w:val="en-GB"/>
              </w:rPr>
            </w:pPr>
            <w:r w:rsidRPr="00867F8A">
              <w:rPr>
                <w:b w:val="0"/>
                <w:lang w:val="en-GB"/>
              </w:rPr>
              <w:t>Booking travel through smartphones</w:t>
            </w:r>
          </w:p>
        </w:tc>
        <w:tc>
          <w:tcPr>
            <w:tcW w:w="4675" w:type="dxa"/>
            <w:shd w:val="clear" w:color="auto" w:fill="auto"/>
          </w:tcPr>
          <w:p w14:paraId="519AB05A" w14:textId="77777777" w:rsidR="00AE62EE" w:rsidRPr="00867F8A" w:rsidRDefault="00AE62EE" w:rsidP="00143496">
            <w:pPr>
              <w:pStyle w:val="ExhibitText"/>
              <w:jc w:val="lef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Responsive design for booking; full website overhaul</w:t>
            </w:r>
          </w:p>
        </w:tc>
      </w:tr>
      <w:tr w:rsidR="00AE62EE" w:rsidRPr="00867F8A" w14:paraId="0B59FB32" w14:textId="77777777" w:rsidTr="00AE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76C5FA4E" w14:textId="77777777" w:rsidR="00AE62EE" w:rsidRPr="00867F8A" w:rsidRDefault="00AE62EE" w:rsidP="00143496">
            <w:pPr>
              <w:pStyle w:val="ExhibitText"/>
              <w:jc w:val="left"/>
              <w:rPr>
                <w:b w:val="0"/>
                <w:lang w:val="en-GB"/>
              </w:rPr>
            </w:pPr>
            <w:r w:rsidRPr="00867F8A">
              <w:rPr>
                <w:b w:val="0"/>
                <w:lang w:val="en-GB"/>
              </w:rPr>
              <w:t>Spontaneous/last-minute travel</w:t>
            </w:r>
          </w:p>
        </w:tc>
        <w:tc>
          <w:tcPr>
            <w:tcW w:w="4675" w:type="dxa"/>
            <w:shd w:val="clear" w:color="auto" w:fill="auto"/>
          </w:tcPr>
          <w:p w14:paraId="24206F49" w14:textId="2EA0B190" w:rsidR="00AE62EE" w:rsidRPr="00867F8A" w:rsidRDefault="008123BD" w:rsidP="00143496">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 xml:space="preserve">Emphasize </w:t>
            </w:r>
            <w:r w:rsidR="00AE62EE" w:rsidRPr="00867F8A">
              <w:rPr>
                <w:lang w:val="en-GB"/>
              </w:rPr>
              <w:t xml:space="preserve">drive-to destinations </w:t>
            </w:r>
          </w:p>
        </w:tc>
      </w:tr>
      <w:tr w:rsidR="00AE62EE" w:rsidRPr="00867F8A" w14:paraId="18C4D1F0" w14:textId="77777777" w:rsidTr="00AE62EE">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16065F12" w14:textId="77777777" w:rsidR="00AE62EE" w:rsidRPr="00867F8A" w:rsidRDefault="00AE62EE" w:rsidP="00143496">
            <w:pPr>
              <w:pStyle w:val="ExhibitText"/>
              <w:jc w:val="left"/>
              <w:rPr>
                <w:b w:val="0"/>
                <w:lang w:val="en-GB"/>
              </w:rPr>
            </w:pPr>
            <w:r w:rsidRPr="00867F8A">
              <w:rPr>
                <w:b w:val="0"/>
                <w:lang w:val="en-GB"/>
              </w:rPr>
              <w:t>Travel in groups</w:t>
            </w:r>
          </w:p>
        </w:tc>
        <w:tc>
          <w:tcPr>
            <w:tcW w:w="4675" w:type="dxa"/>
            <w:shd w:val="clear" w:color="auto" w:fill="auto"/>
          </w:tcPr>
          <w:p w14:paraId="0D79E7F8" w14:textId="77777777" w:rsidR="00AE62EE" w:rsidRPr="00867F8A" w:rsidRDefault="00AE62EE" w:rsidP="00143496">
            <w:pPr>
              <w:pStyle w:val="ExhibitText"/>
              <w:jc w:val="lef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Emphasize larger unit availability in promotional material</w:t>
            </w:r>
          </w:p>
        </w:tc>
      </w:tr>
      <w:tr w:rsidR="00AE62EE" w:rsidRPr="00867F8A" w14:paraId="53505FCC" w14:textId="77777777" w:rsidTr="00AE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1B6AA8B" w14:textId="77777777" w:rsidR="00AE62EE" w:rsidRPr="00867F8A" w:rsidRDefault="00AE62EE" w:rsidP="00143496">
            <w:pPr>
              <w:pStyle w:val="ExhibitText"/>
              <w:jc w:val="left"/>
              <w:rPr>
                <w:b w:val="0"/>
                <w:lang w:val="en-GB"/>
              </w:rPr>
            </w:pPr>
            <w:r w:rsidRPr="00867F8A">
              <w:rPr>
                <w:b w:val="0"/>
                <w:lang w:val="en-GB"/>
              </w:rPr>
              <w:t>Learning something new while on vacation</w:t>
            </w:r>
          </w:p>
        </w:tc>
        <w:tc>
          <w:tcPr>
            <w:tcW w:w="4675" w:type="dxa"/>
            <w:shd w:val="clear" w:color="auto" w:fill="auto"/>
          </w:tcPr>
          <w:p w14:paraId="67B985D6" w14:textId="77777777" w:rsidR="00AE62EE" w:rsidRPr="00867F8A" w:rsidRDefault="00AE62EE" w:rsidP="00143496">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Offer special regional experiences</w:t>
            </w:r>
          </w:p>
        </w:tc>
      </w:tr>
      <w:tr w:rsidR="00AE62EE" w:rsidRPr="00867F8A" w14:paraId="1EFD11D0" w14:textId="77777777" w:rsidTr="00AE62EE">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4D77F504" w14:textId="77777777" w:rsidR="00AE62EE" w:rsidRPr="00867F8A" w:rsidRDefault="00AE62EE" w:rsidP="00143496">
            <w:pPr>
              <w:pStyle w:val="ExhibitText"/>
              <w:jc w:val="left"/>
              <w:rPr>
                <w:b w:val="0"/>
                <w:lang w:val="en-GB"/>
              </w:rPr>
            </w:pPr>
            <w:r w:rsidRPr="00867F8A">
              <w:rPr>
                <w:b w:val="0"/>
                <w:lang w:val="en-GB"/>
              </w:rPr>
              <w:t>Technologically astute</w:t>
            </w:r>
          </w:p>
        </w:tc>
        <w:tc>
          <w:tcPr>
            <w:tcW w:w="4675" w:type="dxa"/>
            <w:shd w:val="clear" w:color="auto" w:fill="auto"/>
          </w:tcPr>
          <w:p w14:paraId="0DFF877A" w14:textId="65C8B24F" w:rsidR="00AE62EE" w:rsidRPr="00867F8A" w:rsidRDefault="008123BD" w:rsidP="00143496">
            <w:pPr>
              <w:pStyle w:val="ExhibitText"/>
              <w:jc w:val="left"/>
              <w:cnfStyle w:val="000000000000" w:firstRow="0" w:lastRow="0" w:firstColumn="0" w:lastColumn="0" w:oddVBand="0" w:evenVBand="0" w:oddHBand="0" w:evenHBand="0" w:firstRowFirstColumn="0" w:firstRowLastColumn="0" w:lastRowFirstColumn="0" w:lastRowLastColumn="0"/>
              <w:rPr>
                <w:lang w:val="en-GB"/>
              </w:rPr>
            </w:pPr>
            <w:r w:rsidRPr="00867F8A">
              <w:rPr>
                <w:lang w:val="en-GB"/>
              </w:rPr>
              <w:t>Provide te</w:t>
            </w:r>
            <w:r w:rsidR="00AE62EE" w:rsidRPr="00867F8A">
              <w:rPr>
                <w:lang w:val="en-GB"/>
              </w:rPr>
              <w:t>chnological connectedness throughout the vacation</w:t>
            </w:r>
          </w:p>
        </w:tc>
      </w:tr>
      <w:tr w:rsidR="00AE62EE" w:rsidRPr="00867F8A" w14:paraId="2D63CB65" w14:textId="77777777" w:rsidTr="00AE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DA11EC5" w14:textId="77777777" w:rsidR="00AE62EE" w:rsidRPr="00867F8A" w:rsidRDefault="00AE62EE" w:rsidP="00143496">
            <w:pPr>
              <w:pStyle w:val="ExhibitText"/>
              <w:jc w:val="left"/>
              <w:rPr>
                <w:b w:val="0"/>
                <w:lang w:val="en-GB"/>
              </w:rPr>
            </w:pPr>
            <w:r w:rsidRPr="00867F8A">
              <w:rPr>
                <w:b w:val="0"/>
                <w:lang w:val="en-GB"/>
              </w:rPr>
              <w:t>Travel more, spend less</w:t>
            </w:r>
          </w:p>
        </w:tc>
        <w:tc>
          <w:tcPr>
            <w:tcW w:w="4675" w:type="dxa"/>
            <w:shd w:val="clear" w:color="auto" w:fill="auto"/>
          </w:tcPr>
          <w:p w14:paraId="59264CF9" w14:textId="77777777" w:rsidR="00AE62EE" w:rsidRPr="00867F8A" w:rsidRDefault="00AE62EE" w:rsidP="00143496">
            <w:pPr>
              <w:pStyle w:val="ExhibitText"/>
              <w:jc w:val="left"/>
              <w:cnfStyle w:val="000000100000" w:firstRow="0" w:lastRow="0" w:firstColumn="0" w:lastColumn="0" w:oddVBand="0" w:evenVBand="0" w:oddHBand="1" w:evenHBand="0" w:firstRowFirstColumn="0" w:firstRowLastColumn="0" w:lastRowFirstColumn="0" w:lastRowLastColumn="0"/>
              <w:rPr>
                <w:lang w:val="en-GB"/>
              </w:rPr>
            </w:pPr>
            <w:r w:rsidRPr="00867F8A">
              <w:rPr>
                <w:lang w:val="en-GB"/>
              </w:rPr>
              <w:t>Ensure membership provides more value than competitors</w:t>
            </w:r>
          </w:p>
        </w:tc>
      </w:tr>
    </w:tbl>
    <w:p w14:paraId="687E9A7C" w14:textId="77777777" w:rsidR="00AE62EE" w:rsidRPr="00867F8A" w:rsidRDefault="00AE62EE" w:rsidP="00AE62EE">
      <w:pPr>
        <w:pStyle w:val="ExhibitText"/>
        <w:rPr>
          <w:b/>
          <w:lang w:val="en-GB"/>
        </w:rPr>
      </w:pPr>
    </w:p>
    <w:p w14:paraId="25CAFBD7" w14:textId="2AAF0EFC" w:rsidR="00AE62EE" w:rsidRPr="00867F8A" w:rsidRDefault="00AE62EE" w:rsidP="00352682">
      <w:pPr>
        <w:pStyle w:val="Footnote"/>
        <w:rPr>
          <w:lang w:val="en-GB"/>
        </w:rPr>
      </w:pPr>
      <w:r w:rsidRPr="00867F8A">
        <w:rPr>
          <w:lang w:val="en-GB"/>
        </w:rPr>
        <w:t xml:space="preserve">Source: </w:t>
      </w:r>
      <w:r w:rsidR="00F01DD5" w:rsidRPr="00867F8A">
        <w:rPr>
          <w:lang w:val="en-GB"/>
        </w:rPr>
        <w:t xml:space="preserve">Company </w:t>
      </w:r>
      <w:r w:rsidR="00AB592D" w:rsidRPr="00867F8A">
        <w:rPr>
          <w:lang w:val="en-GB"/>
        </w:rPr>
        <w:t>documents.</w:t>
      </w:r>
      <w:r w:rsidRPr="00867F8A">
        <w:rPr>
          <w:lang w:val="en-GB"/>
        </w:rPr>
        <w:br w:type="page"/>
      </w:r>
    </w:p>
    <w:p w14:paraId="0A944D77" w14:textId="5272A20E" w:rsidR="00ED2A92" w:rsidRPr="00867F8A" w:rsidRDefault="00AE62EE" w:rsidP="00AE62EE">
      <w:pPr>
        <w:pStyle w:val="ExhibitHeading"/>
        <w:rPr>
          <w:lang w:val="en-GB"/>
        </w:rPr>
      </w:pPr>
      <w:r w:rsidRPr="00867F8A">
        <w:rPr>
          <w:lang w:val="en-GB"/>
        </w:rPr>
        <w:lastRenderedPageBreak/>
        <w:t>Exhibit 10a:</w:t>
      </w:r>
      <w:r w:rsidR="00D9498B" w:rsidRPr="00867F8A">
        <w:rPr>
          <w:lang w:val="en-GB"/>
        </w:rPr>
        <w:t xml:space="preserve"> </w:t>
      </w:r>
      <w:r w:rsidRPr="00867F8A">
        <w:rPr>
          <w:lang w:val="en-GB"/>
        </w:rPr>
        <w:t>Raintree Consolidated Income Statement REVENUE</w:t>
      </w:r>
      <w:r w:rsidR="00ED2A92" w:rsidRPr="00867F8A">
        <w:rPr>
          <w:lang w:val="en-GB"/>
        </w:rPr>
        <w:t>,</w:t>
      </w:r>
      <w:r w:rsidRPr="00867F8A">
        <w:rPr>
          <w:lang w:val="en-GB"/>
        </w:rPr>
        <w:t xml:space="preserve"> </w:t>
      </w:r>
    </w:p>
    <w:p w14:paraId="772C1F00" w14:textId="66BD4862" w:rsidR="00AE62EE" w:rsidRPr="00867F8A" w:rsidRDefault="00AE62EE" w:rsidP="00AE62EE">
      <w:pPr>
        <w:pStyle w:val="ExhibitHeading"/>
        <w:rPr>
          <w:lang w:val="en-GB"/>
        </w:rPr>
      </w:pPr>
      <w:r w:rsidRPr="00867F8A">
        <w:rPr>
          <w:lang w:val="en-GB"/>
        </w:rPr>
        <w:t xml:space="preserve">December 31, 2016, Year to Date </w:t>
      </w:r>
      <w:r w:rsidR="00ED2A92" w:rsidRPr="00867F8A">
        <w:rPr>
          <w:lang w:val="en-GB"/>
        </w:rPr>
        <w:t>(IN US$)</w:t>
      </w:r>
    </w:p>
    <w:p w14:paraId="72AE302B" w14:textId="77777777" w:rsidR="00AE62EE" w:rsidRPr="00867F8A" w:rsidRDefault="00AE62EE" w:rsidP="00AE62EE">
      <w:pPr>
        <w:rPr>
          <w:rFonts w:ascii="Cambria" w:eastAsia="Cambria" w:hAnsi="Cambria"/>
          <w:lang w:val="en-GB"/>
        </w:rPr>
      </w:pPr>
    </w:p>
    <w:tbl>
      <w:tblPr>
        <w:tblStyle w:val="GridTable4-Accent11"/>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980"/>
        <w:gridCol w:w="1276"/>
        <w:gridCol w:w="1329"/>
        <w:gridCol w:w="1080"/>
        <w:gridCol w:w="810"/>
        <w:gridCol w:w="1350"/>
        <w:gridCol w:w="1620"/>
      </w:tblGrid>
      <w:tr w:rsidR="00F42128" w:rsidRPr="00867F8A" w14:paraId="5963548E" w14:textId="77777777" w:rsidTr="0014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1F7AD47D" w14:textId="77777777" w:rsidR="00AE62EE" w:rsidRPr="00867F8A" w:rsidRDefault="00AE62EE" w:rsidP="001117FE">
            <w:pPr>
              <w:pStyle w:val="ExhibitText"/>
              <w:rPr>
                <w:rFonts w:eastAsia="Cambria"/>
                <w:color w:val="000000" w:themeColor="text1"/>
                <w:sz w:val="18"/>
                <w:lang w:val="en-GB"/>
              </w:rPr>
            </w:pPr>
          </w:p>
        </w:tc>
        <w:tc>
          <w:tcPr>
            <w:tcW w:w="1276" w:type="dxa"/>
            <w:shd w:val="clear" w:color="auto" w:fill="auto"/>
            <w:noWrap/>
          </w:tcPr>
          <w:p w14:paraId="4636846B" w14:textId="6192C05A"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lang w:val="en-GB"/>
              </w:rPr>
            </w:pPr>
            <w:r w:rsidRPr="00867F8A">
              <w:rPr>
                <w:rFonts w:eastAsia="Cambria"/>
                <w:color w:val="000000" w:themeColor="text1"/>
                <w:sz w:val="18"/>
                <w:lang w:val="en-GB"/>
              </w:rPr>
              <w:t>Trust</w:t>
            </w:r>
          </w:p>
        </w:tc>
        <w:tc>
          <w:tcPr>
            <w:tcW w:w="1329" w:type="dxa"/>
            <w:shd w:val="clear" w:color="auto" w:fill="auto"/>
            <w:noWrap/>
          </w:tcPr>
          <w:p w14:paraId="3482E1E0" w14:textId="55EA2957"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lang w:val="en-GB"/>
              </w:rPr>
            </w:pPr>
            <w:r w:rsidRPr="00867F8A">
              <w:rPr>
                <w:rFonts w:eastAsia="Cambria"/>
                <w:color w:val="000000" w:themeColor="text1"/>
                <w:sz w:val="18"/>
                <w:lang w:val="en-GB"/>
              </w:rPr>
              <w:t>Hospitality</w:t>
            </w:r>
          </w:p>
        </w:tc>
        <w:tc>
          <w:tcPr>
            <w:tcW w:w="1080" w:type="dxa"/>
            <w:shd w:val="clear" w:color="auto" w:fill="auto"/>
            <w:noWrap/>
          </w:tcPr>
          <w:p w14:paraId="1C202286" w14:textId="1340D6FC"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lang w:val="en-GB"/>
              </w:rPr>
            </w:pPr>
            <w:r w:rsidRPr="00867F8A">
              <w:rPr>
                <w:rFonts w:eastAsia="Cambria"/>
                <w:color w:val="000000" w:themeColor="text1"/>
                <w:sz w:val="18"/>
                <w:lang w:val="en-GB"/>
              </w:rPr>
              <w:t>ARD/SM</w:t>
            </w:r>
          </w:p>
        </w:tc>
        <w:tc>
          <w:tcPr>
            <w:tcW w:w="810" w:type="dxa"/>
            <w:shd w:val="clear" w:color="auto" w:fill="auto"/>
            <w:noWrap/>
          </w:tcPr>
          <w:p w14:paraId="17D9217C" w14:textId="398435FF" w:rsidR="00AE62EE" w:rsidRPr="00867F8A" w:rsidRDefault="00AE62E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lang w:val="en-GB"/>
              </w:rPr>
            </w:pPr>
            <w:r w:rsidRPr="00867F8A">
              <w:rPr>
                <w:rFonts w:eastAsia="Cambria"/>
                <w:color w:val="000000" w:themeColor="text1"/>
                <w:sz w:val="18"/>
                <w:lang w:val="en-GB"/>
              </w:rPr>
              <w:t>NRRI</w:t>
            </w:r>
          </w:p>
        </w:tc>
        <w:tc>
          <w:tcPr>
            <w:tcW w:w="1350" w:type="dxa"/>
            <w:shd w:val="clear" w:color="auto" w:fill="auto"/>
            <w:noWrap/>
          </w:tcPr>
          <w:p w14:paraId="7FE64B5D" w14:textId="2018572C" w:rsidR="00AE62EE" w:rsidRPr="00867F8A" w:rsidRDefault="00352682"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lang w:val="en-GB"/>
              </w:rPr>
            </w:pPr>
            <w:r w:rsidRPr="00867F8A">
              <w:rPr>
                <w:rFonts w:eastAsia="Cambria"/>
                <w:color w:val="000000" w:themeColor="text1"/>
                <w:sz w:val="18"/>
                <w:lang w:val="en-GB"/>
              </w:rPr>
              <w:t>Elimin</w:t>
            </w:r>
            <w:r w:rsidR="00AE62EE" w:rsidRPr="00867F8A">
              <w:rPr>
                <w:rFonts w:eastAsia="Cambria"/>
                <w:color w:val="000000" w:themeColor="text1"/>
                <w:sz w:val="18"/>
                <w:lang w:val="en-GB"/>
              </w:rPr>
              <w:t>ations</w:t>
            </w:r>
          </w:p>
        </w:tc>
        <w:tc>
          <w:tcPr>
            <w:tcW w:w="1620" w:type="dxa"/>
            <w:shd w:val="clear" w:color="auto" w:fill="auto"/>
            <w:noWrap/>
          </w:tcPr>
          <w:p w14:paraId="40E62D44" w14:textId="60D4FD29" w:rsidR="00AE62EE" w:rsidRPr="00867F8A" w:rsidRDefault="00352682"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lang w:val="en-GB"/>
              </w:rPr>
            </w:pPr>
            <w:r w:rsidRPr="00867F8A">
              <w:rPr>
                <w:rFonts w:eastAsia="Cambria"/>
                <w:color w:val="000000" w:themeColor="text1"/>
                <w:sz w:val="18"/>
                <w:lang w:val="en-GB"/>
              </w:rPr>
              <w:t>Consol</w:t>
            </w:r>
            <w:r w:rsidR="00AE62EE" w:rsidRPr="00867F8A">
              <w:rPr>
                <w:rFonts w:eastAsia="Cambria"/>
                <w:color w:val="000000" w:themeColor="text1"/>
                <w:sz w:val="18"/>
                <w:lang w:val="en-GB"/>
              </w:rPr>
              <w:t>idated</w:t>
            </w:r>
          </w:p>
        </w:tc>
      </w:tr>
      <w:tr w:rsidR="00F42128" w:rsidRPr="00867F8A" w14:paraId="694BFF38" w14:textId="77777777" w:rsidTr="0014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52AFB708" w14:textId="77777777" w:rsidR="00AE62EE" w:rsidRPr="00867F8A" w:rsidRDefault="00AE62EE" w:rsidP="00143496">
            <w:pPr>
              <w:pStyle w:val="ExhibitText"/>
              <w:jc w:val="left"/>
              <w:rPr>
                <w:rFonts w:eastAsia="Cambria"/>
                <w:b w:val="0"/>
                <w:bCs w:val="0"/>
                <w:sz w:val="18"/>
                <w:lang w:val="en-GB"/>
              </w:rPr>
            </w:pPr>
            <w:r w:rsidRPr="00867F8A">
              <w:rPr>
                <w:rFonts w:eastAsia="Cambria"/>
                <w:sz w:val="18"/>
                <w:lang w:val="en-GB"/>
              </w:rPr>
              <w:t>REVENUES</w:t>
            </w:r>
          </w:p>
        </w:tc>
        <w:tc>
          <w:tcPr>
            <w:tcW w:w="1276" w:type="dxa"/>
            <w:shd w:val="clear" w:color="auto" w:fill="auto"/>
            <w:noWrap/>
          </w:tcPr>
          <w:p w14:paraId="3A0D99E1" w14:textId="77777777" w:rsidR="00AE62EE" w:rsidRPr="00867F8A" w:rsidRDefault="00AE62EE" w:rsidP="00352682">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w:t>
            </w:r>
          </w:p>
        </w:tc>
        <w:tc>
          <w:tcPr>
            <w:tcW w:w="1329" w:type="dxa"/>
            <w:shd w:val="clear" w:color="auto" w:fill="auto"/>
            <w:noWrap/>
          </w:tcPr>
          <w:p w14:paraId="36D51CC3" w14:textId="77777777" w:rsidR="00AE62EE" w:rsidRPr="00867F8A" w:rsidRDefault="00AE62EE" w:rsidP="00352682">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w:t>
            </w:r>
          </w:p>
        </w:tc>
        <w:tc>
          <w:tcPr>
            <w:tcW w:w="1080" w:type="dxa"/>
            <w:shd w:val="clear" w:color="auto" w:fill="auto"/>
            <w:noWrap/>
          </w:tcPr>
          <w:p w14:paraId="28BD3E62" w14:textId="77777777" w:rsidR="00AE62EE" w:rsidRPr="00867F8A" w:rsidRDefault="00AE62EE" w:rsidP="00352682">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w:t>
            </w:r>
          </w:p>
        </w:tc>
        <w:tc>
          <w:tcPr>
            <w:tcW w:w="810" w:type="dxa"/>
            <w:shd w:val="clear" w:color="auto" w:fill="auto"/>
            <w:noWrap/>
          </w:tcPr>
          <w:p w14:paraId="7F0EEB66" w14:textId="77777777" w:rsidR="00AE62EE" w:rsidRPr="00867F8A" w:rsidRDefault="00AE62EE" w:rsidP="00352682">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w:t>
            </w:r>
          </w:p>
        </w:tc>
        <w:tc>
          <w:tcPr>
            <w:tcW w:w="1350" w:type="dxa"/>
            <w:shd w:val="clear" w:color="auto" w:fill="auto"/>
            <w:noWrap/>
          </w:tcPr>
          <w:p w14:paraId="7A6991ED" w14:textId="77777777" w:rsidR="00AE62EE" w:rsidRPr="00867F8A" w:rsidRDefault="00AE62EE" w:rsidP="00352682">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w:t>
            </w:r>
          </w:p>
        </w:tc>
        <w:tc>
          <w:tcPr>
            <w:tcW w:w="1620" w:type="dxa"/>
            <w:shd w:val="clear" w:color="auto" w:fill="auto"/>
            <w:noWrap/>
          </w:tcPr>
          <w:p w14:paraId="3F102443" w14:textId="77777777" w:rsidR="00AE62EE" w:rsidRPr="00867F8A" w:rsidRDefault="00AE62EE" w:rsidP="00352682">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w:t>
            </w:r>
          </w:p>
        </w:tc>
      </w:tr>
      <w:tr w:rsidR="00F42128" w:rsidRPr="00867F8A" w14:paraId="0C530A81"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238B023A"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Vacation interval sales </w:t>
            </w:r>
          </w:p>
        </w:tc>
        <w:tc>
          <w:tcPr>
            <w:tcW w:w="1276" w:type="dxa"/>
            <w:shd w:val="clear" w:color="auto" w:fill="auto"/>
            <w:noWrap/>
            <w:vAlign w:val="center"/>
          </w:tcPr>
          <w:p w14:paraId="26E140B7" w14:textId="2EC0A51E"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2A7C778F" w14:textId="09545A7B"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040382F1" w14:textId="041FCCD2"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26,500 </w:t>
            </w:r>
          </w:p>
        </w:tc>
        <w:tc>
          <w:tcPr>
            <w:tcW w:w="810" w:type="dxa"/>
            <w:shd w:val="clear" w:color="auto" w:fill="auto"/>
            <w:noWrap/>
            <w:vAlign w:val="center"/>
          </w:tcPr>
          <w:p w14:paraId="15C310CD" w14:textId="5301473D"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 </w:t>
            </w:r>
          </w:p>
        </w:tc>
        <w:tc>
          <w:tcPr>
            <w:tcW w:w="1350" w:type="dxa"/>
            <w:shd w:val="clear" w:color="auto" w:fill="auto"/>
            <w:noWrap/>
            <w:vAlign w:val="center"/>
          </w:tcPr>
          <w:p w14:paraId="77683341" w14:textId="4F20B48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738339F3" w14:textId="34BA9129"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26,500 </w:t>
            </w:r>
          </w:p>
        </w:tc>
      </w:tr>
      <w:tr w:rsidR="00F42128" w:rsidRPr="00867F8A" w14:paraId="4D18AE63"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68C6A7A4"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Provision for uncollectible vacation interval sales </w:t>
            </w:r>
          </w:p>
        </w:tc>
        <w:tc>
          <w:tcPr>
            <w:tcW w:w="1276" w:type="dxa"/>
            <w:shd w:val="clear" w:color="auto" w:fill="auto"/>
            <w:noWrap/>
            <w:vAlign w:val="center"/>
          </w:tcPr>
          <w:p w14:paraId="281A21EF" w14:textId="745F9DDE"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0D94A21F" w14:textId="133854E6"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1A1C4001" w14:textId="731DA9C8"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48D01771" w14:textId="540760A1"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722022EA" w14:textId="3A12EDCF"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55E8552E" w14:textId="0339F891"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r>
      <w:tr w:rsidR="00F42128" w:rsidRPr="00867F8A" w14:paraId="1404D013"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46E6DC4A"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Net vacation interval sales </w:t>
            </w:r>
          </w:p>
        </w:tc>
        <w:tc>
          <w:tcPr>
            <w:tcW w:w="1276" w:type="dxa"/>
            <w:shd w:val="clear" w:color="auto" w:fill="auto"/>
            <w:noWrap/>
            <w:vAlign w:val="center"/>
          </w:tcPr>
          <w:p w14:paraId="219DD1EF" w14:textId="62018866"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3E8B8981" w14:textId="6FDA93F6"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0A26DEE0"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26,500 </w:t>
            </w:r>
          </w:p>
        </w:tc>
        <w:tc>
          <w:tcPr>
            <w:tcW w:w="810" w:type="dxa"/>
            <w:shd w:val="clear" w:color="auto" w:fill="auto"/>
            <w:noWrap/>
            <w:vAlign w:val="center"/>
          </w:tcPr>
          <w:p w14:paraId="1040F605" w14:textId="2F6B2C38"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272ACB99" w14:textId="3D8C30E4"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2FD185BF"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26,500 </w:t>
            </w:r>
          </w:p>
        </w:tc>
      </w:tr>
      <w:tr w:rsidR="00F42128" w:rsidRPr="00867F8A" w14:paraId="5026E721"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17AF1AA8"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Management fees </w:t>
            </w:r>
          </w:p>
        </w:tc>
        <w:tc>
          <w:tcPr>
            <w:tcW w:w="1276" w:type="dxa"/>
            <w:shd w:val="clear" w:color="auto" w:fill="auto"/>
            <w:noWrap/>
            <w:vAlign w:val="center"/>
          </w:tcPr>
          <w:p w14:paraId="339E69E3" w14:textId="463C7EC8"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5F50EE8C"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2,935,347 </w:t>
            </w:r>
          </w:p>
        </w:tc>
        <w:tc>
          <w:tcPr>
            <w:tcW w:w="1080" w:type="dxa"/>
            <w:shd w:val="clear" w:color="auto" w:fill="auto"/>
            <w:noWrap/>
            <w:vAlign w:val="center"/>
          </w:tcPr>
          <w:p w14:paraId="3EDC5CD5" w14:textId="19D8A456"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26E22767" w14:textId="27253D60"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4D0E73F5"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(2,935,347)</w:t>
            </w:r>
          </w:p>
        </w:tc>
        <w:tc>
          <w:tcPr>
            <w:tcW w:w="1620" w:type="dxa"/>
            <w:shd w:val="clear" w:color="auto" w:fill="auto"/>
            <w:noWrap/>
            <w:vAlign w:val="center"/>
          </w:tcPr>
          <w:p w14:paraId="3E835A2B" w14:textId="5AB06650"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r>
      <w:tr w:rsidR="00F42128" w:rsidRPr="00867F8A" w14:paraId="1ABF977E"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7F7DD013"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Maintenance fee income </w:t>
            </w:r>
          </w:p>
        </w:tc>
        <w:tc>
          <w:tcPr>
            <w:tcW w:w="1276" w:type="dxa"/>
            <w:shd w:val="clear" w:color="auto" w:fill="auto"/>
            <w:noWrap/>
            <w:vAlign w:val="center"/>
          </w:tcPr>
          <w:p w14:paraId="18A4691B"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31,581,996 </w:t>
            </w:r>
          </w:p>
        </w:tc>
        <w:tc>
          <w:tcPr>
            <w:tcW w:w="1329" w:type="dxa"/>
            <w:shd w:val="clear" w:color="auto" w:fill="auto"/>
            <w:noWrap/>
            <w:vAlign w:val="center"/>
          </w:tcPr>
          <w:p w14:paraId="7661028D" w14:textId="3C51EE1E"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02ABE1F3" w14:textId="2E28D3AF"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1707CB2C" w14:textId="6F4DB1CB"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210A0AB1" w14:textId="12AAB50E"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1948D928"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31,581,996 </w:t>
            </w:r>
          </w:p>
        </w:tc>
      </w:tr>
      <w:tr w:rsidR="00F42128" w:rsidRPr="00867F8A" w14:paraId="77EFD834"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43238CF2" w14:textId="189FA31A" w:rsidR="00AE62EE" w:rsidRPr="00867F8A" w:rsidRDefault="00AE62EE" w:rsidP="00143496">
            <w:pPr>
              <w:pStyle w:val="ExhibitText"/>
              <w:jc w:val="left"/>
              <w:rPr>
                <w:rFonts w:eastAsia="Cambria"/>
                <w:b w:val="0"/>
                <w:sz w:val="18"/>
                <w:lang w:val="en-GB"/>
              </w:rPr>
            </w:pPr>
            <w:r w:rsidRPr="00867F8A">
              <w:rPr>
                <w:rFonts w:eastAsia="Cambria"/>
                <w:sz w:val="18"/>
                <w:lang w:val="en-GB"/>
              </w:rPr>
              <w:t>Reserve for maintenance fee/</w:t>
            </w:r>
            <w:r w:rsidR="00561339" w:rsidRPr="00867F8A">
              <w:rPr>
                <w:rFonts w:eastAsia="Cambria"/>
                <w:sz w:val="18"/>
                <w:lang w:val="en-GB"/>
              </w:rPr>
              <w:t>l</w:t>
            </w:r>
            <w:r w:rsidRPr="00867F8A">
              <w:rPr>
                <w:rFonts w:eastAsia="Cambria"/>
                <w:sz w:val="18"/>
                <w:lang w:val="en-GB"/>
              </w:rPr>
              <w:t xml:space="preserve">ate </w:t>
            </w:r>
            <w:r w:rsidR="008123BD" w:rsidRPr="00867F8A">
              <w:rPr>
                <w:rFonts w:eastAsia="Cambria"/>
                <w:sz w:val="18"/>
                <w:lang w:val="en-GB"/>
              </w:rPr>
              <w:t>and</w:t>
            </w:r>
            <w:r w:rsidRPr="00867F8A">
              <w:rPr>
                <w:rFonts w:eastAsia="Cambria"/>
                <w:sz w:val="18"/>
                <w:lang w:val="en-GB"/>
              </w:rPr>
              <w:t xml:space="preserve"> collection fees </w:t>
            </w:r>
          </w:p>
        </w:tc>
        <w:tc>
          <w:tcPr>
            <w:tcW w:w="1276" w:type="dxa"/>
            <w:shd w:val="clear" w:color="auto" w:fill="auto"/>
            <w:noWrap/>
            <w:vAlign w:val="center"/>
          </w:tcPr>
          <w:p w14:paraId="45E30764" w14:textId="77777777" w:rsidR="00AE62EE" w:rsidRPr="00867F8A" w:rsidRDefault="00AE62EE" w:rsidP="00B44DBB">
            <w:pPr>
              <w:pStyle w:val="ExhibitText"/>
              <w:ind w:right="-93"/>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(546,003)</w:t>
            </w:r>
          </w:p>
        </w:tc>
        <w:tc>
          <w:tcPr>
            <w:tcW w:w="1329" w:type="dxa"/>
            <w:shd w:val="clear" w:color="auto" w:fill="auto"/>
            <w:noWrap/>
            <w:vAlign w:val="center"/>
          </w:tcPr>
          <w:p w14:paraId="319F5B40" w14:textId="3F40E234"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497C6A82" w14:textId="3732C2DA"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450EE946" w14:textId="3169F67E"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6817F96B" w14:textId="49221CAF"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7AC879A6"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(546,003)</w:t>
            </w:r>
          </w:p>
        </w:tc>
      </w:tr>
      <w:tr w:rsidR="00F42128" w:rsidRPr="00867F8A" w14:paraId="636C78FB"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47462951"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Renewal fees </w:t>
            </w:r>
          </w:p>
        </w:tc>
        <w:tc>
          <w:tcPr>
            <w:tcW w:w="1276" w:type="dxa"/>
            <w:shd w:val="clear" w:color="auto" w:fill="auto"/>
            <w:noWrap/>
            <w:vAlign w:val="center"/>
          </w:tcPr>
          <w:p w14:paraId="69ABEDF4"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254,624 </w:t>
            </w:r>
          </w:p>
        </w:tc>
        <w:tc>
          <w:tcPr>
            <w:tcW w:w="1329" w:type="dxa"/>
            <w:shd w:val="clear" w:color="auto" w:fill="auto"/>
            <w:noWrap/>
            <w:vAlign w:val="center"/>
          </w:tcPr>
          <w:p w14:paraId="03D48834" w14:textId="3CB34868"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0B79EF36" w14:textId="44ED87A9"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5FDAA68F" w14:textId="677A3BFA"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6234A1C6" w14:textId="575BE100"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182F235E"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254,624 </w:t>
            </w:r>
          </w:p>
        </w:tc>
      </w:tr>
      <w:tr w:rsidR="00F42128" w:rsidRPr="00867F8A" w14:paraId="646B19AB"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536A18FD"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Late and collection fees </w:t>
            </w:r>
          </w:p>
        </w:tc>
        <w:tc>
          <w:tcPr>
            <w:tcW w:w="1276" w:type="dxa"/>
            <w:shd w:val="clear" w:color="auto" w:fill="auto"/>
            <w:noWrap/>
            <w:vAlign w:val="center"/>
          </w:tcPr>
          <w:p w14:paraId="284D79A7"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790,142 </w:t>
            </w:r>
          </w:p>
        </w:tc>
        <w:tc>
          <w:tcPr>
            <w:tcW w:w="1329" w:type="dxa"/>
            <w:shd w:val="clear" w:color="auto" w:fill="auto"/>
            <w:noWrap/>
            <w:vAlign w:val="center"/>
          </w:tcPr>
          <w:p w14:paraId="3F40CA0B" w14:textId="7AD3AE83"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3393E1B0" w14:textId="25DADEEA"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4B45E0AC" w14:textId="58A66C48"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52C9081D" w14:textId="0394E59E"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05493461"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790,142 </w:t>
            </w:r>
          </w:p>
        </w:tc>
      </w:tr>
      <w:tr w:rsidR="00F42128" w:rsidRPr="00867F8A" w14:paraId="57EDA16C"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7BC4AA4E"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Rental and service fee income </w:t>
            </w:r>
          </w:p>
        </w:tc>
        <w:tc>
          <w:tcPr>
            <w:tcW w:w="1276" w:type="dxa"/>
            <w:shd w:val="clear" w:color="auto" w:fill="auto"/>
            <w:noWrap/>
            <w:vAlign w:val="center"/>
          </w:tcPr>
          <w:p w14:paraId="42C675D6"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3,016,733 </w:t>
            </w:r>
          </w:p>
        </w:tc>
        <w:tc>
          <w:tcPr>
            <w:tcW w:w="1329" w:type="dxa"/>
            <w:shd w:val="clear" w:color="auto" w:fill="auto"/>
            <w:noWrap/>
            <w:vAlign w:val="center"/>
          </w:tcPr>
          <w:p w14:paraId="52A36430"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1,213,808 </w:t>
            </w:r>
          </w:p>
        </w:tc>
        <w:tc>
          <w:tcPr>
            <w:tcW w:w="1080" w:type="dxa"/>
            <w:shd w:val="clear" w:color="auto" w:fill="auto"/>
            <w:noWrap/>
            <w:vAlign w:val="center"/>
          </w:tcPr>
          <w:p w14:paraId="61477049"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1,800,000 </w:t>
            </w:r>
          </w:p>
        </w:tc>
        <w:tc>
          <w:tcPr>
            <w:tcW w:w="810" w:type="dxa"/>
            <w:shd w:val="clear" w:color="auto" w:fill="auto"/>
            <w:noWrap/>
            <w:vAlign w:val="center"/>
          </w:tcPr>
          <w:p w14:paraId="0CAB7B1C" w14:textId="0239A19D"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299EABCD"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(1,213,808)</w:t>
            </w:r>
          </w:p>
        </w:tc>
        <w:tc>
          <w:tcPr>
            <w:tcW w:w="1620" w:type="dxa"/>
            <w:shd w:val="clear" w:color="auto" w:fill="auto"/>
            <w:noWrap/>
            <w:vAlign w:val="center"/>
          </w:tcPr>
          <w:p w14:paraId="4731AE04"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4,816,733 </w:t>
            </w:r>
          </w:p>
        </w:tc>
      </w:tr>
      <w:tr w:rsidR="00F42128" w:rsidRPr="00867F8A" w14:paraId="39EAE43A"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5256A17F"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Food and beverage revenue </w:t>
            </w:r>
          </w:p>
        </w:tc>
        <w:tc>
          <w:tcPr>
            <w:tcW w:w="1276" w:type="dxa"/>
            <w:shd w:val="clear" w:color="auto" w:fill="auto"/>
            <w:noWrap/>
            <w:vAlign w:val="center"/>
          </w:tcPr>
          <w:p w14:paraId="607E693D" w14:textId="77F9B4E3"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6C983CC6"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3,302,426 </w:t>
            </w:r>
          </w:p>
        </w:tc>
        <w:tc>
          <w:tcPr>
            <w:tcW w:w="1080" w:type="dxa"/>
            <w:shd w:val="clear" w:color="auto" w:fill="auto"/>
            <w:noWrap/>
            <w:vAlign w:val="center"/>
          </w:tcPr>
          <w:p w14:paraId="27605C30" w14:textId="419D52CA"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36BD526A" w14:textId="4B7DF68F"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180F7019" w14:textId="3A68AA5C"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234C1C6A"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3,302,426 </w:t>
            </w:r>
          </w:p>
        </w:tc>
      </w:tr>
      <w:tr w:rsidR="00F42128" w:rsidRPr="00867F8A" w14:paraId="5701F3BE"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0342571F"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Club administrative fee </w:t>
            </w:r>
          </w:p>
        </w:tc>
        <w:tc>
          <w:tcPr>
            <w:tcW w:w="1276" w:type="dxa"/>
            <w:shd w:val="clear" w:color="auto" w:fill="auto"/>
            <w:noWrap/>
            <w:vAlign w:val="center"/>
          </w:tcPr>
          <w:p w14:paraId="2314EFC5"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vanish/>
                <w:sz w:val="18"/>
                <w:lang w:val="en-GB"/>
              </w:rPr>
            </w:pPr>
            <w:r w:rsidRPr="00867F8A">
              <w:rPr>
                <w:rFonts w:eastAsia="Cambria"/>
                <w:vanish/>
                <w:sz w:val="18"/>
                <w:lang w:val="en-GB"/>
              </w:rPr>
              <w:t xml:space="preserve"> - </w:t>
            </w:r>
          </w:p>
        </w:tc>
        <w:tc>
          <w:tcPr>
            <w:tcW w:w="1329" w:type="dxa"/>
            <w:shd w:val="clear" w:color="auto" w:fill="auto"/>
            <w:noWrap/>
            <w:vAlign w:val="center"/>
          </w:tcPr>
          <w:p w14:paraId="753F1230"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vanish/>
                <w:sz w:val="18"/>
                <w:lang w:val="en-GB"/>
              </w:rPr>
            </w:pPr>
            <w:r w:rsidRPr="00867F8A">
              <w:rPr>
                <w:rFonts w:eastAsia="Cambria"/>
                <w:vanish/>
                <w:sz w:val="18"/>
                <w:lang w:val="en-GB"/>
              </w:rPr>
              <w:t xml:space="preserve"> - </w:t>
            </w:r>
          </w:p>
        </w:tc>
        <w:tc>
          <w:tcPr>
            <w:tcW w:w="1080" w:type="dxa"/>
            <w:shd w:val="clear" w:color="auto" w:fill="auto"/>
            <w:noWrap/>
            <w:vAlign w:val="center"/>
          </w:tcPr>
          <w:p w14:paraId="0FA9A012"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vanish/>
                <w:sz w:val="18"/>
                <w:lang w:val="en-GB"/>
              </w:rPr>
            </w:pPr>
            <w:r w:rsidRPr="00867F8A">
              <w:rPr>
                <w:rFonts w:eastAsia="Cambria"/>
                <w:vanish/>
                <w:sz w:val="18"/>
                <w:lang w:val="en-GB"/>
              </w:rPr>
              <w:t xml:space="preserve"> - </w:t>
            </w:r>
          </w:p>
        </w:tc>
        <w:tc>
          <w:tcPr>
            <w:tcW w:w="810" w:type="dxa"/>
            <w:shd w:val="clear" w:color="auto" w:fill="auto"/>
            <w:noWrap/>
            <w:vAlign w:val="center"/>
          </w:tcPr>
          <w:p w14:paraId="796E83EA"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vanish/>
                <w:sz w:val="18"/>
                <w:lang w:val="en-GB"/>
              </w:rPr>
            </w:pPr>
            <w:r w:rsidRPr="00867F8A">
              <w:rPr>
                <w:rFonts w:eastAsia="Cambria"/>
                <w:vanish/>
                <w:sz w:val="18"/>
                <w:lang w:val="en-GB"/>
              </w:rPr>
              <w:t xml:space="preserve"> - </w:t>
            </w:r>
          </w:p>
        </w:tc>
        <w:tc>
          <w:tcPr>
            <w:tcW w:w="1350" w:type="dxa"/>
            <w:shd w:val="clear" w:color="auto" w:fill="auto"/>
            <w:noWrap/>
            <w:vAlign w:val="center"/>
          </w:tcPr>
          <w:p w14:paraId="1FC79CC0"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vanish/>
                <w:sz w:val="18"/>
                <w:lang w:val="en-GB"/>
              </w:rPr>
            </w:pPr>
            <w:r w:rsidRPr="00867F8A">
              <w:rPr>
                <w:rFonts w:eastAsia="Cambria"/>
                <w:vanish/>
                <w:sz w:val="18"/>
                <w:lang w:val="en-GB"/>
              </w:rPr>
              <w:t xml:space="preserve"> - </w:t>
            </w:r>
          </w:p>
        </w:tc>
        <w:tc>
          <w:tcPr>
            <w:tcW w:w="1620" w:type="dxa"/>
            <w:shd w:val="clear" w:color="auto" w:fill="auto"/>
            <w:noWrap/>
            <w:vAlign w:val="center"/>
          </w:tcPr>
          <w:p w14:paraId="47D5253A"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vanish/>
                <w:sz w:val="18"/>
                <w:lang w:val="en-GB"/>
              </w:rPr>
            </w:pPr>
            <w:r w:rsidRPr="00867F8A">
              <w:rPr>
                <w:rFonts w:eastAsia="Cambria"/>
                <w:vanish/>
                <w:sz w:val="18"/>
                <w:lang w:val="en-GB"/>
              </w:rPr>
              <w:t xml:space="preserve"> - </w:t>
            </w:r>
          </w:p>
        </w:tc>
      </w:tr>
      <w:tr w:rsidR="00F42128" w:rsidRPr="00867F8A" w14:paraId="7617CCE7"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00F0996B"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Other income </w:t>
            </w:r>
          </w:p>
        </w:tc>
        <w:tc>
          <w:tcPr>
            <w:tcW w:w="1276" w:type="dxa"/>
            <w:shd w:val="clear" w:color="auto" w:fill="auto"/>
            <w:noWrap/>
            <w:vAlign w:val="center"/>
          </w:tcPr>
          <w:p w14:paraId="293A45BC" w14:textId="5C5C602A"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3B92090D"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605,676 </w:t>
            </w:r>
          </w:p>
        </w:tc>
        <w:tc>
          <w:tcPr>
            <w:tcW w:w="1080" w:type="dxa"/>
            <w:shd w:val="clear" w:color="auto" w:fill="auto"/>
            <w:noWrap/>
            <w:vAlign w:val="center"/>
          </w:tcPr>
          <w:p w14:paraId="6C720F33"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61,712 </w:t>
            </w:r>
          </w:p>
        </w:tc>
        <w:tc>
          <w:tcPr>
            <w:tcW w:w="810" w:type="dxa"/>
            <w:shd w:val="clear" w:color="auto" w:fill="auto"/>
            <w:noWrap/>
            <w:vAlign w:val="center"/>
          </w:tcPr>
          <w:p w14:paraId="6EBE0705" w14:textId="5EE215CE"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0B202F73" w14:textId="226B64EB"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6CC90027"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667,388 </w:t>
            </w:r>
          </w:p>
        </w:tc>
      </w:tr>
      <w:tr w:rsidR="00F42128" w:rsidRPr="00867F8A" w14:paraId="109C134F"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0A1CBA20" w14:textId="77777777" w:rsidR="00AE62EE" w:rsidRPr="00867F8A" w:rsidRDefault="00AE62EE" w:rsidP="00143496">
            <w:pPr>
              <w:pStyle w:val="ExhibitText"/>
              <w:jc w:val="left"/>
              <w:rPr>
                <w:rFonts w:eastAsia="Cambria"/>
                <w:b w:val="0"/>
                <w:sz w:val="18"/>
                <w:lang w:val="en-GB"/>
              </w:rPr>
            </w:pPr>
            <w:proofErr w:type="spellStart"/>
            <w:r w:rsidRPr="00867F8A">
              <w:rPr>
                <w:rFonts w:eastAsia="Cambria"/>
                <w:sz w:val="18"/>
                <w:lang w:val="en-GB"/>
              </w:rPr>
              <w:t>Xplora</w:t>
            </w:r>
            <w:proofErr w:type="spellEnd"/>
            <w:r w:rsidRPr="00867F8A">
              <w:rPr>
                <w:rFonts w:eastAsia="Cambria"/>
                <w:sz w:val="18"/>
                <w:lang w:val="en-GB"/>
              </w:rPr>
              <w:t xml:space="preserve"> revenue </w:t>
            </w:r>
          </w:p>
        </w:tc>
        <w:tc>
          <w:tcPr>
            <w:tcW w:w="1276" w:type="dxa"/>
            <w:shd w:val="clear" w:color="auto" w:fill="auto"/>
            <w:noWrap/>
            <w:vAlign w:val="center"/>
          </w:tcPr>
          <w:p w14:paraId="0B1D0903" w14:textId="0D0B4020"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73EF7215"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52,952 </w:t>
            </w:r>
          </w:p>
        </w:tc>
        <w:tc>
          <w:tcPr>
            <w:tcW w:w="1080" w:type="dxa"/>
            <w:shd w:val="clear" w:color="auto" w:fill="auto"/>
            <w:noWrap/>
            <w:vAlign w:val="center"/>
          </w:tcPr>
          <w:p w14:paraId="43F88019" w14:textId="03A7BA4F"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810" w:type="dxa"/>
            <w:shd w:val="clear" w:color="auto" w:fill="auto"/>
            <w:noWrap/>
            <w:vAlign w:val="center"/>
          </w:tcPr>
          <w:p w14:paraId="2F570B49" w14:textId="54A32265"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3958BEF2" w14:textId="116B514A"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1CA21213"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52,952 </w:t>
            </w:r>
          </w:p>
        </w:tc>
      </w:tr>
      <w:tr w:rsidR="00F42128" w:rsidRPr="00867F8A" w14:paraId="34A81DE7"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4E9D7E36"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Interest income on vacation interval sales </w:t>
            </w:r>
          </w:p>
        </w:tc>
        <w:tc>
          <w:tcPr>
            <w:tcW w:w="1276" w:type="dxa"/>
            <w:shd w:val="clear" w:color="auto" w:fill="auto"/>
            <w:noWrap/>
            <w:vAlign w:val="center"/>
          </w:tcPr>
          <w:p w14:paraId="0AFFC685" w14:textId="5D1A3A21"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116F9B2F" w14:textId="5234F14F"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01A11CC4"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241,073 </w:t>
            </w:r>
          </w:p>
        </w:tc>
        <w:tc>
          <w:tcPr>
            <w:tcW w:w="810" w:type="dxa"/>
            <w:shd w:val="clear" w:color="auto" w:fill="auto"/>
            <w:noWrap/>
            <w:vAlign w:val="center"/>
          </w:tcPr>
          <w:p w14:paraId="1CD931A5" w14:textId="541A3E10"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53524163" w14:textId="0DCBC7E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15A34C05"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241,073 </w:t>
            </w:r>
          </w:p>
        </w:tc>
      </w:tr>
      <w:tr w:rsidR="00F42128" w:rsidRPr="00867F8A" w14:paraId="4D79B52B" w14:textId="77777777" w:rsidTr="00B44DBB">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309008B3" w14:textId="77777777" w:rsidR="00AE62EE" w:rsidRPr="00867F8A" w:rsidRDefault="00AE62EE" w:rsidP="00143496">
            <w:pPr>
              <w:pStyle w:val="ExhibitText"/>
              <w:jc w:val="left"/>
              <w:rPr>
                <w:rFonts w:eastAsia="Cambria"/>
                <w:b w:val="0"/>
                <w:sz w:val="18"/>
                <w:lang w:val="en-GB"/>
              </w:rPr>
            </w:pPr>
            <w:r w:rsidRPr="00867F8A">
              <w:rPr>
                <w:rFonts w:eastAsia="Cambria"/>
                <w:sz w:val="18"/>
                <w:lang w:val="en-GB"/>
              </w:rPr>
              <w:t xml:space="preserve">Interval sales commission </w:t>
            </w:r>
          </w:p>
        </w:tc>
        <w:tc>
          <w:tcPr>
            <w:tcW w:w="1276" w:type="dxa"/>
            <w:shd w:val="clear" w:color="auto" w:fill="auto"/>
            <w:noWrap/>
            <w:vAlign w:val="center"/>
          </w:tcPr>
          <w:p w14:paraId="20AA9671" w14:textId="5DC0A575"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29" w:type="dxa"/>
            <w:shd w:val="clear" w:color="auto" w:fill="auto"/>
            <w:noWrap/>
            <w:vAlign w:val="center"/>
          </w:tcPr>
          <w:p w14:paraId="4B5A379B" w14:textId="429870B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080" w:type="dxa"/>
            <w:shd w:val="clear" w:color="auto" w:fill="auto"/>
            <w:noWrap/>
            <w:vAlign w:val="center"/>
          </w:tcPr>
          <w:p w14:paraId="5F1404E2"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1,067,797 </w:t>
            </w:r>
          </w:p>
        </w:tc>
        <w:tc>
          <w:tcPr>
            <w:tcW w:w="810" w:type="dxa"/>
            <w:shd w:val="clear" w:color="auto" w:fill="auto"/>
            <w:noWrap/>
            <w:vAlign w:val="center"/>
          </w:tcPr>
          <w:p w14:paraId="1E0C2832" w14:textId="6D28F5F1"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536ED4B0" w14:textId="57701A1B"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620" w:type="dxa"/>
            <w:shd w:val="clear" w:color="auto" w:fill="auto"/>
            <w:noWrap/>
            <w:vAlign w:val="center"/>
          </w:tcPr>
          <w:p w14:paraId="5DE24B90" w14:textId="77777777" w:rsidR="00AE62EE" w:rsidRPr="00867F8A" w:rsidRDefault="00AE62E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sz w:val="18"/>
                <w:lang w:val="en-GB"/>
              </w:rPr>
            </w:pPr>
            <w:r w:rsidRPr="00867F8A">
              <w:rPr>
                <w:rFonts w:eastAsia="Cambria"/>
                <w:sz w:val="18"/>
                <w:lang w:val="en-GB"/>
              </w:rPr>
              <w:t xml:space="preserve"> 1,067,797 </w:t>
            </w:r>
          </w:p>
        </w:tc>
      </w:tr>
      <w:tr w:rsidR="00F42128" w:rsidRPr="00867F8A" w14:paraId="5A530835"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tcPr>
          <w:p w14:paraId="51281500" w14:textId="02A66BE2" w:rsidR="00AE62EE" w:rsidRPr="00867F8A" w:rsidRDefault="00AE62EE" w:rsidP="001117FE">
            <w:pPr>
              <w:pStyle w:val="ExhibitText"/>
              <w:rPr>
                <w:rFonts w:eastAsia="Cambria"/>
                <w:b w:val="0"/>
                <w:bCs w:val="0"/>
                <w:sz w:val="18"/>
                <w:lang w:val="en-GB"/>
              </w:rPr>
            </w:pPr>
            <w:r w:rsidRPr="00867F8A">
              <w:rPr>
                <w:rFonts w:eastAsia="Cambria"/>
                <w:sz w:val="18"/>
                <w:lang w:val="en-GB"/>
              </w:rPr>
              <w:t>TOTAL REVENUE</w:t>
            </w:r>
          </w:p>
        </w:tc>
        <w:tc>
          <w:tcPr>
            <w:tcW w:w="1276" w:type="dxa"/>
            <w:shd w:val="clear" w:color="auto" w:fill="auto"/>
            <w:noWrap/>
            <w:vAlign w:val="center"/>
          </w:tcPr>
          <w:p w14:paraId="09BA8DCD"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35,097,492 </w:t>
            </w:r>
          </w:p>
        </w:tc>
        <w:tc>
          <w:tcPr>
            <w:tcW w:w="1329" w:type="dxa"/>
            <w:shd w:val="clear" w:color="auto" w:fill="auto"/>
            <w:noWrap/>
            <w:vAlign w:val="center"/>
          </w:tcPr>
          <w:p w14:paraId="54DE9B0F"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8,110,209 </w:t>
            </w:r>
          </w:p>
        </w:tc>
        <w:tc>
          <w:tcPr>
            <w:tcW w:w="1080" w:type="dxa"/>
            <w:shd w:val="clear" w:color="auto" w:fill="auto"/>
            <w:noWrap/>
            <w:vAlign w:val="center"/>
          </w:tcPr>
          <w:p w14:paraId="7AEF6104"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3,197,082 </w:t>
            </w:r>
          </w:p>
        </w:tc>
        <w:tc>
          <w:tcPr>
            <w:tcW w:w="810" w:type="dxa"/>
            <w:shd w:val="clear" w:color="auto" w:fill="auto"/>
            <w:noWrap/>
            <w:vAlign w:val="center"/>
          </w:tcPr>
          <w:p w14:paraId="4C69DD19" w14:textId="45856A0F"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 </w:t>
            </w:r>
            <w:r w:rsidR="002311D3" w:rsidRPr="00867F8A">
              <w:rPr>
                <w:rFonts w:eastAsia="Cambria"/>
                <w:sz w:val="18"/>
                <w:lang w:val="en-GB"/>
              </w:rPr>
              <w:t>–</w:t>
            </w:r>
            <w:r w:rsidRPr="00867F8A">
              <w:rPr>
                <w:rFonts w:eastAsia="Cambria"/>
                <w:sz w:val="18"/>
                <w:lang w:val="en-GB"/>
              </w:rPr>
              <w:t xml:space="preserve"> </w:t>
            </w:r>
          </w:p>
        </w:tc>
        <w:tc>
          <w:tcPr>
            <w:tcW w:w="1350" w:type="dxa"/>
            <w:shd w:val="clear" w:color="auto" w:fill="auto"/>
            <w:noWrap/>
            <w:vAlign w:val="center"/>
          </w:tcPr>
          <w:p w14:paraId="1453F1A9"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(4,149,155)</w:t>
            </w:r>
          </w:p>
        </w:tc>
        <w:tc>
          <w:tcPr>
            <w:tcW w:w="1620" w:type="dxa"/>
            <w:shd w:val="clear" w:color="auto" w:fill="auto"/>
            <w:noWrap/>
            <w:vAlign w:val="center"/>
          </w:tcPr>
          <w:p w14:paraId="736A913F" w14:textId="77777777" w:rsidR="00AE62EE" w:rsidRPr="00867F8A" w:rsidRDefault="00AE62E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sz w:val="18"/>
                <w:lang w:val="en-GB"/>
              </w:rPr>
            </w:pPr>
            <w:r w:rsidRPr="00867F8A">
              <w:rPr>
                <w:rFonts w:eastAsia="Cambria"/>
                <w:sz w:val="18"/>
                <w:lang w:val="en-GB"/>
              </w:rPr>
              <w:t xml:space="preserve">42,255,627 </w:t>
            </w:r>
          </w:p>
        </w:tc>
      </w:tr>
    </w:tbl>
    <w:p w14:paraId="3E6ECFDE" w14:textId="77777777" w:rsidR="00AE62EE" w:rsidRPr="00867F8A" w:rsidRDefault="00AE62EE" w:rsidP="00AE62EE">
      <w:pPr>
        <w:rPr>
          <w:rFonts w:ascii="Cambria" w:eastAsia="Cambria" w:hAnsi="Cambria"/>
          <w:lang w:val="en-GB"/>
        </w:rPr>
      </w:pPr>
    </w:p>
    <w:p w14:paraId="3C293FBB" w14:textId="02653EB2" w:rsidR="001117FE" w:rsidRPr="00867F8A" w:rsidRDefault="001117FE" w:rsidP="001117FE">
      <w:pPr>
        <w:pStyle w:val="Footnote"/>
        <w:rPr>
          <w:rFonts w:eastAsia="Cambria" w:cs="Times New Roman"/>
          <w:lang w:val="en-GB"/>
        </w:rPr>
      </w:pPr>
      <w:r w:rsidRPr="00867F8A">
        <w:rPr>
          <w:rFonts w:eastAsia="Cambria"/>
          <w:lang w:val="en-GB"/>
        </w:rPr>
        <w:t xml:space="preserve">Source: </w:t>
      </w:r>
      <w:r w:rsidR="00352682" w:rsidRPr="00867F8A">
        <w:rPr>
          <w:rFonts w:eastAsia="Cambria"/>
          <w:lang w:val="en-GB"/>
        </w:rPr>
        <w:t xml:space="preserve">Company documents. </w:t>
      </w:r>
    </w:p>
    <w:p w14:paraId="157EB8BC" w14:textId="77777777" w:rsidR="00AE62EE" w:rsidRPr="00867F8A" w:rsidRDefault="00AE62EE" w:rsidP="006F1D9E">
      <w:pPr>
        <w:pStyle w:val="Footnote"/>
        <w:rPr>
          <w:lang w:val="en-GB"/>
        </w:rPr>
      </w:pPr>
    </w:p>
    <w:p w14:paraId="3981C8EF" w14:textId="77777777" w:rsidR="00AE62EE" w:rsidRPr="00867F8A" w:rsidRDefault="00AE62EE">
      <w:pPr>
        <w:spacing w:after="200" w:line="276" w:lineRule="auto"/>
        <w:rPr>
          <w:rFonts w:ascii="Arial" w:hAnsi="Arial" w:cs="Arial"/>
          <w:sz w:val="17"/>
          <w:szCs w:val="17"/>
          <w:lang w:val="en-GB"/>
        </w:rPr>
      </w:pPr>
      <w:r w:rsidRPr="00867F8A">
        <w:rPr>
          <w:lang w:val="en-GB"/>
        </w:rPr>
        <w:br w:type="page"/>
      </w:r>
    </w:p>
    <w:p w14:paraId="43063AFC" w14:textId="71C2820B" w:rsidR="001117FE" w:rsidRPr="00867F8A" w:rsidRDefault="001117FE" w:rsidP="00143496">
      <w:pPr>
        <w:pStyle w:val="ExhibitHeading"/>
        <w:rPr>
          <w:lang w:val="en-GB"/>
        </w:rPr>
      </w:pPr>
      <w:r w:rsidRPr="00867F8A">
        <w:rPr>
          <w:lang w:val="en-GB"/>
        </w:rPr>
        <w:lastRenderedPageBreak/>
        <w:t>Exhibit 10b:</w:t>
      </w:r>
      <w:r w:rsidR="00F01DD5" w:rsidRPr="00867F8A">
        <w:rPr>
          <w:lang w:val="en-GB"/>
        </w:rPr>
        <w:t xml:space="preserve"> </w:t>
      </w:r>
      <w:r w:rsidRPr="00867F8A">
        <w:rPr>
          <w:lang w:val="en-GB"/>
        </w:rPr>
        <w:t>Raintree Consolidated Income Statement Expenses</w:t>
      </w:r>
      <w:r w:rsidR="00ED2A92" w:rsidRPr="00867F8A">
        <w:rPr>
          <w:lang w:val="en-GB"/>
        </w:rPr>
        <w:t>,</w:t>
      </w:r>
      <w:r w:rsidRPr="00867F8A">
        <w:rPr>
          <w:lang w:val="en-GB"/>
        </w:rPr>
        <w:t xml:space="preserve"> December 31, 2016, Year to Date</w:t>
      </w:r>
      <w:r w:rsidR="00F01DD5" w:rsidRPr="00867F8A">
        <w:rPr>
          <w:lang w:val="en-GB"/>
        </w:rPr>
        <w:t xml:space="preserve"> (</w:t>
      </w:r>
      <w:r w:rsidRPr="00867F8A">
        <w:rPr>
          <w:lang w:val="en-GB"/>
        </w:rPr>
        <w:t>in U</w:t>
      </w:r>
      <w:r w:rsidR="00F01DD5" w:rsidRPr="00867F8A">
        <w:rPr>
          <w:lang w:val="en-GB"/>
        </w:rPr>
        <w:t>S$)</w:t>
      </w:r>
    </w:p>
    <w:p w14:paraId="6111BE4C" w14:textId="77777777" w:rsidR="001117FE" w:rsidRPr="00867F8A" w:rsidRDefault="001117FE" w:rsidP="001117FE">
      <w:pPr>
        <w:rPr>
          <w:rFonts w:ascii="Cambria" w:eastAsia="Cambria" w:hAnsi="Cambria"/>
          <w:sz w:val="12"/>
          <w:lang w:val="en-GB"/>
        </w:rPr>
      </w:pPr>
    </w:p>
    <w:tbl>
      <w:tblPr>
        <w:tblStyle w:val="GridTable4-Accent1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2122"/>
        <w:gridCol w:w="1134"/>
        <w:gridCol w:w="1134"/>
        <w:gridCol w:w="1134"/>
        <w:gridCol w:w="1057"/>
        <w:gridCol w:w="1244"/>
        <w:gridCol w:w="1350"/>
      </w:tblGrid>
      <w:tr w:rsidR="00143496" w:rsidRPr="00867F8A" w14:paraId="0492367F" w14:textId="77777777" w:rsidTr="0014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0BE40E8" w14:textId="77777777" w:rsidR="001117FE" w:rsidRPr="00867F8A" w:rsidRDefault="001117FE" w:rsidP="001117FE">
            <w:pPr>
              <w:pStyle w:val="ExhibitText"/>
              <w:rPr>
                <w:rFonts w:eastAsia="Cambria"/>
                <w:b w:val="0"/>
                <w:color w:val="000000" w:themeColor="text1"/>
                <w:sz w:val="18"/>
                <w:szCs w:val="19"/>
                <w:lang w:val="en-GB"/>
              </w:rPr>
            </w:pPr>
          </w:p>
        </w:tc>
        <w:tc>
          <w:tcPr>
            <w:tcW w:w="1134" w:type="dxa"/>
            <w:shd w:val="clear" w:color="auto" w:fill="auto"/>
            <w:noWrap/>
          </w:tcPr>
          <w:p w14:paraId="1DCCA8D9" w14:textId="4E0A2B36" w:rsidR="001117FE" w:rsidRPr="00867F8A" w:rsidRDefault="001117F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szCs w:val="19"/>
                <w:lang w:val="en-GB"/>
              </w:rPr>
            </w:pPr>
            <w:r w:rsidRPr="00867F8A">
              <w:rPr>
                <w:rFonts w:eastAsia="Cambria"/>
                <w:color w:val="000000" w:themeColor="text1"/>
                <w:sz w:val="18"/>
                <w:szCs w:val="19"/>
                <w:lang w:val="en-GB"/>
              </w:rPr>
              <w:t>Trust</w:t>
            </w:r>
          </w:p>
        </w:tc>
        <w:tc>
          <w:tcPr>
            <w:tcW w:w="1134" w:type="dxa"/>
            <w:shd w:val="clear" w:color="auto" w:fill="auto"/>
            <w:noWrap/>
          </w:tcPr>
          <w:p w14:paraId="4F7658E3" w14:textId="7728A49C" w:rsidR="001117FE" w:rsidRPr="00867F8A" w:rsidRDefault="001117F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szCs w:val="19"/>
                <w:lang w:val="en-GB"/>
              </w:rPr>
            </w:pPr>
            <w:r w:rsidRPr="00867F8A">
              <w:rPr>
                <w:rFonts w:eastAsia="Cambria"/>
                <w:color w:val="000000" w:themeColor="text1"/>
                <w:sz w:val="18"/>
                <w:szCs w:val="19"/>
                <w:lang w:val="en-GB"/>
              </w:rPr>
              <w:t>Hospitality</w:t>
            </w:r>
          </w:p>
        </w:tc>
        <w:tc>
          <w:tcPr>
            <w:tcW w:w="1134" w:type="dxa"/>
            <w:shd w:val="clear" w:color="auto" w:fill="auto"/>
            <w:noWrap/>
          </w:tcPr>
          <w:p w14:paraId="0A3CC975" w14:textId="6D3FE762" w:rsidR="001117FE" w:rsidRPr="00867F8A" w:rsidRDefault="001117F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szCs w:val="19"/>
                <w:lang w:val="en-GB"/>
              </w:rPr>
            </w:pPr>
            <w:r w:rsidRPr="00867F8A">
              <w:rPr>
                <w:rFonts w:eastAsia="Cambria"/>
                <w:color w:val="000000" w:themeColor="text1"/>
                <w:sz w:val="18"/>
                <w:szCs w:val="19"/>
                <w:lang w:val="en-GB"/>
              </w:rPr>
              <w:t>ARD/SM</w:t>
            </w:r>
          </w:p>
        </w:tc>
        <w:tc>
          <w:tcPr>
            <w:tcW w:w="1057" w:type="dxa"/>
            <w:shd w:val="clear" w:color="auto" w:fill="auto"/>
            <w:noWrap/>
          </w:tcPr>
          <w:p w14:paraId="59094626" w14:textId="5E759C60" w:rsidR="001117FE" w:rsidRPr="00867F8A" w:rsidRDefault="001117FE"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szCs w:val="19"/>
                <w:lang w:val="en-GB"/>
              </w:rPr>
            </w:pPr>
            <w:r w:rsidRPr="00867F8A">
              <w:rPr>
                <w:rFonts w:eastAsia="Cambria"/>
                <w:color w:val="000000" w:themeColor="text1"/>
                <w:sz w:val="18"/>
                <w:szCs w:val="19"/>
                <w:lang w:val="en-GB"/>
              </w:rPr>
              <w:t>NRRI</w:t>
            </w:r>
          </w:p>
        </w:tc>
        <w:tc>
          <w:tcPr>
            <w:tcW w:w="1244" w:type="dxa"/>
            <w:shd w:val="clear" w:color="auto" w:fill="auto"/>
            <w:noWrap/>
          </w:tcPr>
          <w:p w14:paraId="53D505EE" w14:textId="60FCE93D" w:rsidR="001117FE" w:rsidRPr="00867F8A" w:rsidRDefault="00352682"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szCs w:val="19"/>
                <w:lang w:val="en-GB"/>
              </w:rPr>
            </w:pPr>
            <w:r w:rsidRPr="00867F8A">
              <w:rPr>
                <w:rFonts w:eastAsia="Cambria"/>
                <w:color w:val="000000" w:themeColor="text1"/>
                <w:sz w:val="18"/>
                <w:szCs w:val="19"/>
                <w:lang w:val="en-GB"/>
              </w:rPr>
              <w:t>Elimina</w:t>
            </w:r>
            <w:r w:rsidR="001117FE" w:rsidRPr="00867F8A">
              <w:rPr>
                <w:rFonts w:eastAsia="Cambria"/>
                <w:color w:val="000000" w:themeColor="text1"/>
                <w:sz w:val="18"/>
                <w:szCs w:val="19"/>
                <w:lang w:val="en-GB"/>
              </w:rPr>
              <w:t>tions</w:t>
            </w:r>
          </w:p>
        </w:tc>
        <w:tc>
          <w:tcPr>
            <w:tcW w:w="1350" w:type="dxa"/>
            <w:shd w:val="clear" w:color="auto" w:fill="auto"/>
            <w:noWrap/>
          </w:tcPr>
          <w:p w14:paraId="2E516B68" w14:textId="618CA53F" w:rsidR="001117FE" w:rsidRPr="00867F8A" w:rsidRDefault="00352682" w:rsidP="00143496">
            <w:pPr>
              <w:pStyle w:val="ExhibitText"/>
              <w:jc w:val="center"/>
              <w:cnfStyle w:val="100000000000" w:firstRow="1" w:lastRow="0" w:firstColumn="0" w:lastColumn="0" w:oddVBand="0" w:evenVBand="0" w:oddHBand="0" w:evenHBand="0" w:firstRowFirstColumn="0" w:firstRowLastColumn="0" w:lastRowFirstColumn="0" w:lastRowLastColumn="0"/>
              <w:rPr>
                <w:rFonts w:eastAsia="Cambria"/>
                <w:bCs w:val="0"/>
                <w:color w:val="000000" w:themeColor="text1"/>
                <w:sz w:val="18"/>
                <w:szCs w:val="19"/>
                <w:lang w:val="en-GB"/>
              </w:rPr>
            </w:pPr>
            <w:r w:rsidRPr="00867F8A">
              <w:rPr>
                <w:rFonts w:eastAsia="Cambria"/>
                <w:color w:val="000000" w:themeColor="text1"/>
                <w:sz w:val="18"/>
                <w:szCs w:val="19"/>
                <w:lang w:val="en-GB"/>
              </w:rPr>
              <w:t>Consolid</w:t>
            </w:r>
            <w:r w:rsidR="001117FE" w:rsidRPr="00867F8A">
              <w:rPr>
                <w:rFonts w:eastAsia="Cambria"/>
                <w:color w:val="000000" w:themeColor="text1"/>
                <w:sz w:val="18"/>
                <w:szCs w:val="19"/>
                <w:lang w:val="en-GB"/>
              </w:rPr>
              <w:t>ated</w:t>
            </w:r>
          </w:p>
        </w:tc>
      </w:tr>
      <w:tr w:rsidR="001117FE" w:rsidRPr="00867F8A" w14:paraId="5D664193"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78416513" w14:textId="77777777" w:rsidR="001117FE" w:rsidRPr="00867F8A" w:rsidRDefault="001117FE" w:rsidP="00352682">
            <w:pPr>
              <w:pStyle w:val="ExhibitText"/>
              <w:jc w:val="left"/>
              <w:rPr>
                <w:rFonts w:eastAsia="Cambria"/>
                <w:b w:val="0"/>
                <w:bCs w:val="0"/>
                <w:sz w:val="18"/>
                <w:szCs w:val="19"/>
                <w:lang w:val="en-GB"/>
              </w:rPr>
            </w:pPr>
            <w:r w:rsidRPr="00867F8A">
              <w:rPr>
                <w:rFonts w:eastAsia="Cambria"/>
                <w:sz w:val="18"/>
                <w:szCs w:val="19"/>
                <w:lang w:val="en-GB"/>
              </w:rPr>
              <w:t>GENERAL AND OPERATING EXPENSES</w:t>
            </w:r>
          </w:p>
        </w:tc>
        <w:tc>
          <w:tcPr>
            <w:tcW w:w="1134" w:type="dxa"/>
            <w:shd w:val="clear" w:color="auto" w:fill="auto"/>
            <w:noWrap/>
            <w:vAlign w:val="center"/>
          </w:tcPr>
          <w:p w14:paraId="7FCF79EB"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134" w:type="dxa"/>
            <w:shd w:val="clear" w:color="auto" w:fill="auto"/>
            <w:noWrap/>
            <w:vAlign w:val="center"/>
          </w:tcPr>
          <w:p w14:paraId="55851B7D"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134" w:type="dxa"/>
            <w:shd w:val="clear" w:color="auto" w:fill="auto"/>
            <w:noWrap/>
            <w:vAlign w:val="center"/>
          </w:tcPr>
          <w:p w14:paraId="6E7C72A2"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057" w:type="dxa"/>
            <w:shd w:val="clear" w:color="auto" w:fill="auto"/>
            <w:noWrap/>
            <w:vAlign w:val="center"/>
          </w:tcPr>
          <w:p w14:paraId="3746A418"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244" w:type="dxa"/>
            <w:shd w:val="clear" w:color="auto" w:fill="auto"/>
            <w:noWrap/>
            <w:vAlign w:val="center"/>
          </w:tcPr>
          <w:p w14:paraId="2C11EE48"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350" w:type="dxa"/>
            <w:shd w:val="clear" w:color="auto" w:fill="auto"/>
            <w:noWrap/>
            <w:vAlign w:val="center"/>
          </w:tcPr>
          <w:p w14:paraId="46EF1786"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r>
      <w:tr w:rsidR="001117FE" w:rsidRPr="00867F8A" w14:paraId="1A6EC13D"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36EE92B3" w14:textId="77777777" w:rsidR="001117FE" w:rsidRPr="00867F8A" w:rsidRDefault="001117FE" w:rsidP="00352682">
            <w:pPr>
              <w:pStyle w:val="ExhibitText"/>
              <w:jc w:val="left"/>
              <w:rPr>
                <w:rFonts w:eastAsia="Cambria"/>
                <w:b w:val="0"/>
                <w:w w:val="90"/>
                <w:sz w:val="18"/>
                <w:szCs w:val="19"/>
                <w:lang w:val="en-GB"/>
              </w:rPr>
            </w:pPr>
            <w:r w:rsidRPr="00867F8A">
              <w:rPr>
                <w:rFonts w:eastAsia="Cambria"/>
                <w:w w:val="90"/>
                <w:sz w:val="18"/>
                <w:szCs w:val="19"/>
                <w:lang w:val="en-GB"/>
              </w:rPr>
              <w:t>Cost: vacation interval sales</w:t>
            </w:r>
          </w:p>
        </w:tc>
        <w:tc>
          <w:tcPr>
            <w:tcW w:w="1134" w:type="dxa"/>
            <w:shd w:val="clear" w:color="auto" w:fill="auto"/>
            <w:noWrap/>
            <w:vAlign w:val="center"/>
          </w:tcPr>
          <w:p w14:paraId="797E9EE3" w14:textId="1FB7C883"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2311D3" w:rsidRPr="00867F8A">
              <w:rPr>
                <w:rFonts w:eastAsia="Cambria"/>
                <w:color w:val="000000"/>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09A25DB5" w14:textId="68940EF9"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34F1AA51" w14:textId="130F47F1"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2311D3" w:rsidRPr="00867F8A">
              <w:rPr>
                <w:rFonts w:eastAsia="Cambria"/>
                <w:color w:val="000000"/>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361FBCCB" w14:textId="4C47A81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7A9A89A4" w14:textId="74085564"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159F46E0" w14:textId="7EC0D1C3"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3F9A42CE"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25F80E0A"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Advertising, sales marketing</w:t>
            </w:r>
          </w:p>
        </w:tc>
        <w:tc>
          <w:tcPr>
            <w:tcW w:w="1134" w:type="dxa"/>
            <w:shd w:val="clear" w:color="auto" w:fill="auto"/>
            <w:noWrap/>
            <w:vAlign w:val="center"/>
          </w:tcPr>
          <w:p w14:paraId="383F570C" w14:textId="463C3088"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0FB30C9" w14:textId="0E1EB3A4"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6F8B8F85"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38,247 </w:t>
            </w:r>
          </w:p>
        </w:tc>
        <w:tc>
          <w:tcPr>
            <w:tcW w:w="1057" w:type="dxa"/>
            <w:shd w:val="clear" w:color="auto" w:fill="auto"/>
            <w:noWrap/>
            <w:vAlign w:val="center"/>
          </w:tcPr>
          <w:p w14:paraId="580DCEEF" w14:textId="4ADE5313"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24C89D23" w14:textId="4E25D818"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3F411A49"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38,247 </w:t>
            </w:r>
          </w:p>
        </w:tc>
      </w:tr>
      <w:tr w:rsidR="001117FE" w:rsidRPr="00867F8A" w14:paraId="60298CE5"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1C019BF9" w14:textId="77777777" w:rsidR="001117FE" w:rsidRPr="00867F8A" w:rsidRDefault="001117FE" w:rsidP="00352682">
            <w:pPr>
              <w:pStyle w:val="ExhibitText"/>
              <w:jc w:val="left"/>
              <w:rPr>
                <w:rFonts w:eastAsia="Cambria"/>
                <w:b w:val="0"/>
                <w:sz w:val="18"/>
                <w:szCs w:val="19"/>
                <w:lang w:val="en-GB"/>
              </w:rPr>
            </w:pPr>
            <w:proofErr w:type="spellStart"/>
            <w:r w:rsidRPr="00867F8A">
              <w:rPr>
                <w:rFonts w:eastAsia="Cambria"/>
                <w:sz w:val="18"/>
                <w:szCs w:val="19"/>
                <w:lang w:val="en-GB"/>
              </w:rPr>
              <w:t>Xplora</w:t>
            </w:r>
            <w:proofErr w:type="spellEnd"/>
            <w:r w:rsidRPr="00867F8A">
              <w:rPr>
                <w:rFonts w:eastAsia="Cambria"/>
                <w:sz w:val="18"/>
                <w:szCs w:val="19"/>
                <w:lang w:val="en-GB"/>
              </w:rPr>
              <w:t xml:space="preserve"> expense </w:t>
            </w:r>
          </w:p>
        </w:tc>
        <w:tc>
          <w:tcPr>
            <w:tcW w:w="1134" w:type="dxa"/>
            <w:shd w:val="clear" w:color="auto" w:fill="auto"/>
            <w:noWrap/>
            <w:vAlign w:val="center"/>
          </w:tcPr>
          <w:p w14:paraId="04C96FB6" w14:textId="1CDFE28B"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3ECF3AD6" w14:textId="5402AF75"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2F10F38B" w14:textId="061207DB"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385BE022" w14:textId="7CC402B2"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37B23A84" w14:textId="06A851F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4B7B9C57" w14:textId="025D2868"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6981A5FE"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350F1E7C"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Club operating expenses </w:t>
            </w:r>
          </w:p>
        </w:tc>
        <w:tc>
          <w:tcPr>
            <w:tcW w:w="1134" w:type="dxa"/>
            <w:shd w:val="clear" w:color="auto" w:fill="auto"/>
            <w:noWrap/>
            <w:vAlign w:val="center"/>
          </w:tcPr>
          <w:p w14:paraId="2011471A"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6,773,553 </w:t>
            </w:r>
          </w:p>
        </w:tc>
        <w:tc>
          <w:tcPr>
            <w:tcW w:w="1134" w:type="dxa"/>
            <w:shd w:val="clear" w:color="auto" w:fill="auto"/>
            <w:noWrap/>
            <w:vAlign w:val="center"/>
          </w:tcPr>
          <w:p w14:paraId="51E171EF" w14:textId="4AE3CFAF"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50DCAE39" w14:textId="20A3455E"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3D1496BA" w14:textId="32A8FAFF"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59E72520" w14:textId="17B1C5EE"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13882860"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6,773,553 </w:t>
            </w:r>
          </w:p>
        </w:tc>
      </w:tr>
      <w:tr w:rsidR="001117FE" w:rsidRPr="00867F8A" w14:paraId="4E78DA67"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2DC9E72D"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Club management fees </w:t>
            </w:r>
          </w:p>
        </w:tc>
        <w:tc>
          <w:tcPr>
            <w:tcW w:w="1134" w:type="dxa"/>
            <w:shd w:val="clear" w:color="auto" w:fill="auto"/>
            <w:noWrap/>
            <w:vAlign w:val="center"/>
          </w:tcPr>
          <w:p w14:paraId="35B68463"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2,935,347 </w:t>
            </w:r>
          </w:p>
        </w:tc>
        <w:tc>
          <w:tcPr>
            <w:tcW w:w="1134" w:type="dxa"/>
            <w:shd w:val="clear" w:color="auto" w:fill="auto"/>
            <w:noWrap/>
            <w:vAlign w:val="center"/>
          </w:tcPr>
          <w:p w14:paraId="3601980B" w14:textId="1A030545"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6329BCF" w14:textId="00EDD853"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0E904EC9" w14:textId="3F909ABB"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512B2ECA"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(2,935,347)</w:t>
            </w:r>
          </w:p>
        </w:tc>
        <w:tc>
          <w:tcPr>
            <w:tcW w:w="1350" w:type="dxa"/>
            <w:shd w:val="clear" w:color="auto" w:fill="auto"/>
            <w:noWrap/>
            <w:vAlign w:val="center"/>
          </w:tcPr>
          <w:p w14:paraId="00AED6F3" w14:textId="298CC2B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5F6F8013"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D5F8F1E"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Resort operations </w:t>
            </w:r>
          </w:p>
        </w:tc>
        <w:tc>
          <w:tcPr>
            <w:tcW w:w="1134" w:type="dxa"/>
            <w:shd w:val="clear" w:color="auto" w:fill="auto"/>
            <w:noWrap/>
            <w:vAlign w:val="center"/>
          </w:tcPr>
          <w:p w14:paraId="26022DD8" w14:textId="7CCCFAA6" w:rsidR="001117FE" w:rsidRPr="00867F8A" w:rsidRDefault="00141DA0"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1</w:t>
            </w:r>
            <w:r w:rsidR="001117FE" w:rsidRPr="00867F8A">
              <w:rPr>
                <w:rFonts w:eastAsia="Cambria"/>
                <w:color w:val="000000"/>
                <w:sz w:val="18"/>
                <w:szCs w:val="19"/>
                <w:lang w:val="en-GB"/>
              </w:rPr>
              <w:t xml:space="preserve">9,480,546 </w:t>
            </w:r>
          </w:p>
        </w:tc>
        <w:tc>
          <w:tcPr>
            <w:tcW w:w="1134" w:type="dxa"/>
            <w:shd w:val="clear" w:color="auto" w:fill="auto"/>
            <w:noWrap/>
            <w:vAlign w:val="center"/>
          </w:tcPr>
          <w:p w14:paraId="3CA576EF" w14:textId="1816B010"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32D082E5" w14:textId="396D1786"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043A5D64" w14:textId="292C54FC"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4E1D82C5" w14:textId="24C51134"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5D2E974E"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19,480,546 </w:t>
            </w:r>
          </w:p>
        </w:tc>
      </w:tr>
      <w:tr w:rsidR="001117FE" w:rsidRPr="00867F8A" w14:paraId="3A629F25"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53913297" w14:textId="3731C092"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Other </w:t>
            </w:r>
            <w:r w:rsidR="008123BD" w:rsidRPr="00867F8A">
              <w:rPr>
                <w:rFonts w:eastAsia="Cambria"/>
                <w:sz w:val="18"/>
                <w:szCs w:val="19"/>
                <w:lang w:val="en-GB"/>
              </w:rPr>
              <w:t>e</w:t>
            </w:r>
            <w:r w:rsidRPr="00867F8A">
              <w:rPr>
                <w:rFonts w:eastAsia="Cambria"/>
                <w:sz w:val="18"/>
                <w:szCs w:val="19"/>
                <w:lang w:val="en-GB"/>
              </w:rPr>
              <w:t xml:space="preserve">xpenses </w:t>
            </w:r>
          </w:p>
        </w:tc>
        <w:tc>
          <w:tcPr>
            <w:tcW w:w="1134" w:type="dxa"/>
            <w:shd w:val="clear" w:color="auto" w:fill="auto"/>
            <w:noWrap/>
            <w:vAlign w:val="center"/>
          </w:tcPr>
          <w:p w14:paraId="044EB4F5" w14:textId="0AB5823A"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5A80D645"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85,724 </w:t>
            </w:r>
          </w:p>
        </w:tc>
        <w:tc>
          <w:tcPr>
            <w:tcW w:w="1134" w:type="dxa"/>
            <w:shd w:val="clear" w:color="auto" w:fill="auto"/>
            <w:noWrap/>
            <w:vAlign w:val="center"/>
          </w:tcPr>
          <w:p w14:paraId="1BA908E8"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308,247 </w:t>
            </w:r>
          </w:p>
        </w:tc>
        <w:tc>
          <w:tcPr>
            <w:tcW w:w="1057" w:type="dxa"/>
            <w:shd w:val="clear" w:color="auto" w:fill="auto"/>
            <w:noWrap/>
            <w:vAlign w:val="center"/>
          </w:tcPr>
          <w:p w14:paraId="3EC77F14" w14:textId="70518EBC"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0662F118" w14:textId="03DDADD3"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1CC7DC7E"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393,971 </w:t>
            </w:r>
          </w:p>
        </w:tc>
      </w:tr>
      <w:tr w:rsidR="001117FE" w:rsidRPr="00867F8A" w14:paraId="71B70E60"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74803251" w14:textId="6A621DF0"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Food </w:t>
            </w:r>
            <w:r w:rsidR="008123BD" w:rsidRPr="00867F8A">
              <w:rPr>
                <w:rFonts w:eastAsia="Cambria"/>
                <w:sz w:val="18"/>
                <w:szCs w:val="19"/>
                <w:lang w:val="en-GB"/>
              </w:rPr>
              <w:t>and</w:t>
            </w:r>
            <w:r w:rsidRPr="00867F8A">
              <w:rPr>
                <w:rFonts w:eastAsia="Cambria"/>
                <w:sz w:val="18"/>
                <w:szCs w:val="19"/>
                <w:lang w:val="en-GB"/>
              </w:rPr>
              <w:t xml:space="preserve"> beverage expense </w:t>
            </w:r>
          </w:p>
        </w:tc>
        <w:tc>
          <w:tcPr>
            <w:tcW w:w="1134" w:type="dxa"/>
            <w:shd w:val="clear" w:color="auto" w:fill="auto"/>
            <w:noWrap/>
            <w:vAlign w:val="center"/>
          </w:tcPr>
          <w:p w14:paraId="7517527F" w14:textId="5123796C"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1AC4C2C2"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2,491,314 </w:t>
            </w:r>
          </w:p>
        </w:tc>
        <w:tc>
          <w:tcPr>
            <w:tcW w:w="1134" w:type="dxa"/>
            <w:shd w:val="clear" w:color="auto" w:fill="auto"/>
            <w:noWrap/>
            <w:vAlign w:val="center"/>
          </w:tcPr>
          <w:p w14:paraId="09704041" w14:textId="58F5FA0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325DC4CC" w14:textId="6F85B78E"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52538F04" w14:textId="77DFBAB1"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6AA25C2D"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2,491,314 </w:t>
            </w:r>
          </w:p>
        </w:tc>
      </w:tr>
      <w:tr w:rsidR="001117FE" w:rsidRPr="00867F8A" w14:paraId="0D2CCBA2"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16AF6586"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Special assessment expense </w:t>
            </w:r>
          </w:p>
        </w:tc>
        <w:tc>
          <w:tcPr>
            <w:tcW w:w="1134" w:type="dxa"/>
            <w:shd w:val="clear" w:color="auto" w:fill="auto"/>
            <w:noWrap/>
            <w:vAlign w:val="center"/>
          </w:tcPr>
          <w:p w14:paraId="61D687D7" w14:textId="5D0A1F18"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E262BDA" w14:textId="6857D33A"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196D47DA" w14:textId="0C4F4D69"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106A4134" w14:textId="595979DA"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5754148C" w14:textId="58A48FB0"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4FA52297" w14:textId="3C293791"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06AC1AD6"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A8CB1FD"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Consumer finance processing fees </w:t>
            </w:r>
          </w:p>
        </w:tc>
        <w:tc>
          <w:tcPr>
            <w:tcW w:w="1134" w:type="dxa"/>
            <w:shd w:val="clear" w:color="auto" w:fill="auto"/>
            <w:noWrap/>
            <w:vAlign w:val="center"/>
          </w:tcPr>
          <w:p w14:paraId="5294E9DC" w14:textId="14458D58"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35DC8A8B" w14:textId="4B4C3060"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68BBC65E"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159,408 </w:t>
            </w:r>
          </w:p>
        </w:tc>
        <w:tc>
          <w:tcPr>
            <w:tcW w:w="1057" w:type="dxa"/>
            <w:shd w:val="clear" w:color="auto" w:fill="auto"/>
            <w:noWrap/>
            <w:vAlign w:val="center"/>
          </w:tcPr>
          <w:p w14:paraId="06B5F61E" w14:textId="44E8B0AF"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0DAF9AF1" w14:textId="2DCF134D"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24D7D250"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159,408 </w:t>
            </w:r>
          </w:p>
        </w:tc>
      </w:tr>
      <w:tr w:rsidR="001117FE" w:rsidRPr="00867F8A" w14:paraId="7E3F11F7"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138E3A11" w14:textId="7C242FC2"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General </w:t>
            </w:r>
            <w:r w:rsidR="008123BD" w:rsidRPr="00867F8A">
              <w:rPr>
                <w:rFonts w:eastAsia="Cambria"/>
                <w:sz w:val="18"/>
                <w:szCs w:val="19"/>
                <w:lang w:val="en-GB"/>
              </w:rPr>
              <w:t>and</w:t>
            </w:r>
            <w:r w:rsidRPr="00867F8A">
              <w:rPr>
                <w:rFonts w:eastAsia="Cambria"/>
                <w:sz w:val="18"/>
                <w:szCs w:val="19"/>
                <w:lang w:val="en-GB"/>
              </w:rPr>
              <w:t xml:space="preserve"> administrative </w:t>
            </w:r>
          </w:p>
        </w:tc>
        <w:tc>
          <w:tcPr>
            <w:tcW w:w="1134" w:type="dxa"/>
            <w:shd w:val="clear" w:color="auto" w:fill="auto"/>
            <w:noWrap/>
            <w:vAlign w:val="center"/>
          </w:tcPr>
          <w:p w14:paraId="52566C1A"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2,420,329 </w:t>
            </w:r>
          </w:p>
        </w:tc>
        <w:tc>
          <w:tcPr>
            <w:tcW w:w="1134" w:type="dxa"/>
            <w:shd w:val="clear" w:color="auto" w:fill="auto"/>
            <w:noWrap/>
            <w:vAlign w:val="center"/>
          </w:tcPr>
          <w:p w14:paraId="587DF7B0" w14:textId="13492DED"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393F765"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606,235 </w:t>
            </w:r>
          </w:p>
        </w:tc>
        <w:tc>
          <w:tcPr>
            <w:tcW w:w="1057" w:type="dxa"/>
            <w:shd w:val="clear" w:color="auto" w:fill="auto"/>
            <w:noWrap/>
            <w:vAlign w:val="center"/>
          </w:tcPr>
          <w:p w14:paraId="0E86E371"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140,720 </w:t>
            </w:r>
          </w:p>
        </w:tc>
        <w:tc>
          <w:tcPr>
            <w:tcW w:w="1244" w:type="dxa"/>
            <w:shd w:val="clear" w:color="auto" w:fill="auto"/>
            <w:noWrap/>
            <w:vAlign w:val="center"/>
          </w:tcPr>
          <w:p w14:paraId="67D0225E" w14:textId="797387BB"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36C35275"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3,167,283 </w:t>
            </w:r>
          </w:p>
        </w:tc>
      </w:tr>
      <w:tr w:rsidR="001117FE" w:rsidRPr="00867F8A" w14:paraId="2A356F3E"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54A12B2A"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Rent commission expense</w:t>
            </w:r>
          </w:p>
        </w:tc>
        <w:tc>
          <w:tcPr>
            <w:tcW w:w="1134" w:type="dxa"/>
            <w:shd w:val="clear" w:color="auto" w:fill="auto"/>
            <w:noWrap/>
            <w:vAlign w:val="center"/>
          </w:tcPr>
          <w:p w14:paraId="4601BC9B"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1,206,693 </w:t>
            </w:r>
          </w:p>
        </w:tc>
        <w:tc>
          <w:tcPr>
            <w:tcW w:w="1134" w:type="dxa"/>
            <w:shd w:val="clear" w:color="auto" w:fill="auto"/>
            <w:noWrap/>
            <w:vAlign w:val="center"/>
          </w:tcPr>
          <w:p w14:paraId="4BAD51B0" w14:textId="602AF855"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53239C70"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7,115 </w:t>
            </w:r>
          </w:p>
        </w:tc>
        <w:tc>
          <w:tcPr>
            <w:tcW w:w="1057" w:type="dxa"/>
            <w:shd w:val="clear" w:color="auto" w:fill="auto"/>
            <w:noWrap/>
            <w:vAlign w:val="center"/>
          </w:tcPr>
          <w:p w14:paraId="183543D1" w14:textId="6B85C831"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4E775535"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(1,213,808)</w:t>
            </w:r>
          </w:p>
        </w:tc>
        <w:tc>
          <w:tcPr>
            <w:tcW w:w="1350" w:type="dxa"/>
            <w:shd w:val="clear" w:color="auto" w:fill="auto"/>
            <w:noWrap/>
            <w:vAlign w:val="center"/>
          </w:tcPr>
          <w:p w14:paraId="530CB981" w14:textId="065DEE8C"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2680E5C6"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5EF96E25" w14:textId="6351A9E0"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Recovered maintenance fees/</w:t>
            </w:r>
            <w:r w:rsidR="008123BD" w:rsidRPr="00867F8A">
              <w:rPr>
                <w:rFonts w:eastAsia="Cambria"/>
                <w:sz w:val="18"/>
                <w:szCs w:val="19"/>
                <w:lang w:val="en-GB"/>
              </w:rPr>
              <w:t>d</w:t>
            </w:r>
            <w:r w:rsidRPr="00867F8A">
              <w:rPr>
                <w:rFonts w:eastAsia="Cambria"/>
                <w:sz w:val="18"/>
                <w:szCs w:val="19"/>
                <w:lang w:val="en-GB"/>
              </w:rPr>
              <w:t xml:space="preserve">eveloper subsidy </w:t>
            </w:r>
          </w:p>
        </w:tc>
        <w:tc>
          <w:tcPr>
            <w:tcW w:w="1134" w:type="dxa"/>
            <w:shd w:val="clear" w:color="auto" w:fill="auto"/>
            <w:noWrap/>
            <w:vAlign w:val="center"/>
          </w:tcPr>
          <w:p w14:paraId="22036C5E" w14:textId="4EEED828"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8610D57" w14:textId="3BE751F2"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3E49AF7A" w14:textId="343F7B78"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2BDDB250" w14:textId="02707A2C"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730E7C7A" w14:textId="300B99B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0DCA5739" w14:textId="4814D002"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0BA0D106"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39FB9C05"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Indirect corporate allocation </w:t>
            </w:r>
          </w:p>
        </w:tc>
        <w:tc>
          <w:tcPr>
            <w:tcW w:w="1134" w:type="dxa"/>
            <w:shd w:val="clear" w:color="auto" w:fill="auto"/>
            <w:noWrap/>
            <w:vAlign w:val="center"/>
          </w:tcPr>
          <w:p w14:paraId="049D4369" w14:textId="617CB4FE"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202FD396" w14:textId="08384D11"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65D4DD0F" w14:textId="72F14204"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323171CD" w14:textId="2C7E802D"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2DE787C9" w14:textId="0C080768"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2650FA58" w14:textId="2B10D814"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3F6446AB"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337F787F" w14:textId="403E530E"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Additional reserve of maintenance fee</w:t>
            </w:r>
            <w:r w:rsidR="00790EE4" w:rsidRPr="00867F8A">
              <w:rPr>
                <w:rFonts w:eastAsia="Cambria"/>
                <w:sz w:val="18"/>
                <w:szCs w:val="19"/>
                <w:lang w:val="en-GB"/>
              </w:rPr>
              <w:t>s</w:t>
            </w:r>
          </w:p>
        </w:tc>
        <w:tc>
          <w:tcPr>
            <w:tcW w:w="1134" w:type="dxa"/>
            <w:shd w:val="clear" w:color="auto" w:fill="auto"/>
            <w:noWrap/>
            <w:vAlign w:val="center"/>
          </w:tcPr>
          <w:p w14:paraId="3C3E6525" w14:textId="3205071E"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40BB2172" w14:textId="05EEEB3C"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65FEE68E" w14:textId="39C30E66"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7EDFD51C" w14:textId="0B0C425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6BFF9937" w14:textId="7059AA91"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47A5D189" w14:textId="3AF167E6"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1038ADF8"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4F7D60E" w14:textId="77777777" w:rsidR="001117FE" w:rsidRPr="00867F8A" w:rsidRDefault="001117FE" w:rsidP="00352682">
            <w:pPr>
              <w:pStyle w:val="ExhibitText"/>
              <w:jc w:val="left"/>
              <w:rPr>
                <w:rFonts w:eastAsia="Cambria"/>
                <w:b w:val="0"/>
                <w:bCs w:val="0"/>
                <w:sz w:val="18"/>
                <w:szCs w:val="19"/>
                <w:lang w:val="en-GB"/>
              </w:rPr>
            </w:pPr>
            <w:r w:rsidRPr="00867F8A">
              <w:rPr>
                <w:rFonts w:eastAsia="Cambria"/>
                <w:sz w:val="18"/>
                <w:szCs w:val="19"/>
                <w:lang w:val="en-GB"/>
              </w:rPr>
              <w:t>TOTAL GENERAL AND OPERATING EXPENSES</w:t>
            </w:r>
          </w:p>
        </w:tc>
        <w:tc>
          <w:tcPr>
            <w:tcW w:w="1134" w:type="dxa"/>
            <w:shd w:val="clear" w:color="auto" w:fill="auto"/>
            <w:noWrap/>
            <w:vAlign w:val="center"/>
          </w:tcPr>
          <w:p w14:paraId="32DB98F3"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32,816,468 </w:t>
            </w:r>
          </w:p>
        </w:tc>
        <w:tc>
          <w:tcPr>
            <w:tcW w:w="1134" w:type="dxa"/>
            <w:shd w:val="clear" w:color="auto" w:fill="auto"/>
            <w:noWrap/>
            <w:vAlign w:val="center"/>
          </w:tcPr>
          <w:p w14:paraId="2D876F28"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2,577,038 </w:t>
            </w:r>
          </w:p>
        </w:tc>
        <w:tc>
          <w:tcPr>
            <w:tcW w:w="1134" w:type="dxa"/>
            <w:shd w:val="clear" w:color="auto" w:fill="auto"/>
            <w:noWrap/>
            <w:vAlign w:val="center"/>
          </w:tcPr>
          <w:p w14:paraId="3FC012F2"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1,119,251 </w:t>
            </w:r>
          </w:p>
        </w:tc>
        <w:tc>
          <w:tcPr>
            <w:tcW w:w="1057" w:type="dxa"/>
            <w:shd w:val="clear" w:color="auto" w:fill="auto"/>
            <w:noWrap/>
            <w:vAlign w:val="center"/>
          </w:tcPr>
          <w:p w14:paraId="46A39758"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140,720 </w:t>
            </w:r>
          </w:p>
        </w:tc>
        <w:tc>
          <w:tcPr>
            <w:tcW w:w="1244" w:type="dxa"/>
            <w:shd w:val="clear" w:color="auto" w:fill="auto"/>
            <w:noWrap/>
            <w:vAlign w:val="center"/>
          </w:tcPr>
          <w:p w14:paraId="0CF1E51C"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(4,149,155)</w:t>
            </w:r>
          </w:p>
        </w:tc>
        <w:tc>
          <w:tcPr>
            <w:tcW w:w="1350" w:type="dxa"/>
            <w:shd w:val="clear" w:color="auto" w:fill="auto"/>
            <w:noWrap/>
            <w:vAlign w:val="center"/>
          </w:tcPr>
          <w:p w14:paraId="36EF2A5B"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32,504,321 </w:t>
            </w:r>
          </w:p>
        </w:tc>
      </w:tr>
      <w:tr w:rsidR="001117FE" w:rsidRPr="00867F8A" w14:paraId="38C004C4"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6976AC74" w14:textId="77777777" w:rsidR="001117FE" w:rsidRPr="00867F8A" w:rsidRDefault="001117FE" w:rsidP="00352682">
            <w:pPr>
              <w:pStyle w:val="ExhibitText"/>
              <w:jc w:val="left"/>
              <w:rPr>
                <w:rFonts w:eastAsia="Cambria"/>
                <w:b w:val="0"/>
                <w:bCs w:val="0"/>
                <w:sz w:val="18"/>
                <w:szCs w:val="19"/>
                <w:lang w:val="en-GB"/>
              </w:rPr>
            </w:pPr>
            <w:r w:rsidRPr="00867F8A">
              <w:rPr>
                <w:rFonts w:eastAsia="Cambria"/>
                <w:sz w:val="18"/>
                <w:szCs w:val="19"/>
                <w:lang w:val="en-GB"/>
              </w:rPr>
              <w:t>OPERATING INCOME</w:t>
            </w:r>
          </w:p>
        </w:tc>
        <w:tc>
          <w:tcPr>
            <w:tcW w:w="1134" w:type="dxa"/>
            <w:shd w:val="clear" w:color="auto" w:fill="auto"/>
            <w:noWrap/>
            <w:vAlign w:val="center"/>
          </w:tcPr>
          <w:p w14:paraId="08C2C22C"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2,281,024 </w:t>
            </w:r>
          </w:p>
        </w:tc>
        <w:tc>
          <w:tcPr>
            <w:tcW w:w="1134" w:type="dxa"/>
            <w:shd w:val="clear" w:color="auto" w:fill="auto"/>
            <w:noWrap/>
            <w:vAlign w:val="center"/>
          </w:tcPr>
          <w:p w14:paraId="329FD845"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5,533,171 </w:t>
            </w:r>
          </w:p>
        </w:tc>
        <w:tc>
          <w:tcPr>
            <w:tcW w:w="1134" w:type="dxa"/>
            <w:shd w:val="clear" w:color="auto" w:fill="auto"/>
            <w:noWrap/>
            <w:vAlign w:val="center"/>
          </w:tcPr>
          <w:p w14:paraId="39389114"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2,077,831 </w:t>
            </w:r>
          </w:p>
        </w:tc>
        <w:tc>
          <w:tcPr>
            <w:tcW w:w="1057" w:type="dxa"/>
            <w:shd w:val="clear" w:color="auto" w:fill="auto"/>
            <w:noWrap/>
            <w:vAlign w:val="center"/>
          </w:tcPr>
          <w:p w14:paraId="4A228714"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(140,720)</w:t>
            </w:r>
          </w:p>
        </w:tc>
        <w:tc>
          <w:tcPr>
            <w:tcW w:w="1244" w:type="dxa"/>
            <w:shd w:val="clear" w:color="auto" w:fill="auto"/>
            <w:noWrap/>
            <w:vAlign w:val="center"/>
          </w:tcPr>
          <w:p w14:paraId="29A4E9CD" w14:textId="5A2BB9B2"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36AA27A7"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9,751,306 </w:t>
            </w:r>
          </w:p>
        </w:tc>
      </w:tr>
      <w:tr w:rsidR="001117FE" w:rsidRPr="00867F8A" w14:paraId="5610E760"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3983978A" w14:textId="77777777" w:rsidR="001117FE" w:rsidRPr="00867F8A" w:rsidRDefault="001117FE" w:rsidP="00352682">
            <w:pPr>
              <w:pStyle w:val="ExhibitText"/>
              <w:jc w:val="left"/>
              <w:rPr>
                <w:rFonts w:eastAsia="Cambria"/>
                <w:b w:val="0"/>
                <w:bCs w:val="0"/>
                <w:sz w:val="18"/>
                <w:szCs w:val="19"/>
                <w:lang w:val="en-GB"/>
              </w:rPr>
            </w:pPr>
            <w:r w:rsidRPr="00867F8A">
              <w:rPr>
                <w:rFonts w:eastAsia="Cambria"/>
                <w:w w:val="90"/>
                <w:sz w:val="18"/>
                <w:szCs w:val="19"/>
                <w:lang w:val="en-GB"/>
              </w:rPr>
              <w:t>OTHER INCOME (EXPENSE</w:t>
            </w:r>
            <w:r w:rsidRPr="00867F8A">
              <w:rPr>
                <w:rFonts w:eastAsia="Cambria"/>
                <w:sz w:val="18"/>
                <w:szCs w:val="19"/>
                <w:lang w:val="en-GB"/>
              </w:rPr>
              <w:t>)</w:t>
            </w:r>
          </w:p>
        </w:tc>
        <w:tc>
          <w:tcPr>
            <w:tcW w:w="1134" w:type="dxa"/>
            <w:shd w:val="clear" w:color="auto" w:fill="auto"/>
            <w:noWrap/>
            <w:vAlign w:val="center"/>
          </w:tcPr>
          <w:p w14:paraId="085955CA"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134" w:type="dxa"/>
            <w:shd w:val="clear" w:color="auto" w:fill="auto"/>
            <w:noWrap/>
            <w:vAlign w:val="center"/>
          </w:tcPr>
          <w:p w14:paraId="663CD2E3"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134" w:type="dxa"/>
            <w:shd w:val="clear" w:color="auto" w:fill="auto"/>
            <w:noWrap/>
            <w:vAlign w:val="center"/>
          </w:tcPr>
          <w:p w14:paraId="46734A9F"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057" w:type="dxa"/>
            <w:shd w:val="clear" w:color="auto" w:fill="auto"/>
            <w:noWrap/>
            <w:vAlign w:val="center"/>
          </w:tcPr>
          <w:p w14:paraId="50028EC7"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244" w:type="dxa"/>
            <w:shd w:val="clear" w:color="auto" w:fill="auto"/>
            <w:noWrap/>
            <w:vAlign w:val="center"/>
          </w:tcPr>
          <w:p w14:paraId="0D2C3A0B"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c>
          <w:tcPr>
            <w:tcW w:w="1350" w:type="dxa"/>
            <w:shd w:val="clear" w:color="auto" w:fill="auto"/>
            <w:noWrap/>
            <w:vAlign w:val="center"/>
          </w:tcPr>
          <w:p w14:paraId="74BB71FD"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w:t>
            </w:r>
          </w:p>
        </w:tc>
      </w:tr>
      <w:tr w:rsidR="001117FE" w:rsidRPr="00867F8A" w14:paraId="08701ACF"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61894070"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Interest expense </w:t>
            </w:r>
          </w:p>
        </w:tc>
        <w:tc>
          <w:tcPr>
            <w:tcW w:w="1134" w:type="dxa"/>
            <w:shd w:val="clear" w:color="auto" w:fill="auto"/>
            <w:noWrap/>
            <w:vAlign w:val="center"/>
          </w:tcPr>
          <w:p w14:paraId="6979FE79" w14:textId="5A7FC505"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0824567B" w14:textId="72B6251C"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5165D16"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(55,049)</w:t>
            </w:r>
          </w:p>
        </w:tc>
        <w:tc>
          <w:tcPr>
            <w:tcW w:w="1057" w:type="dxa"/>
            <w:shd w:val="clear" w:color="auto" w:fill="auto"/>
            <w:noWrap/>
            <w:vAlign w:val="center"/>
          </w:tcPr>
          <w:p w14:paraId="75FDFBDE" w14:textId="50BA8A46"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2BB45CA0" w14:textId="1F5776E0"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41522C09"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(55,049)</w:t>
            </w:r>
          </w:p>
        </w:tc>
      </w:tr>
      <w:tr w:rsidR="001117FE" w:rsidRPr="00867F8A" w14:paraId="5EBCC1D2"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4FC119E4" w14:textId="36B0883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Recovery of VAT write</w:t>
            </w:r>
            <w:r w:rsidR="001D03AB" w:rsidRPr="00867F8A">
              <w:rPr>
                <w:rFonts w:eastAsia="Cambria"/>
                <w:sz w:val="18"/>
                <w:szCs w:val="19"/>
                <w:lang w:val="en-GB"/>
              </w:rPr>
              <w:t>-</w:t>
            </w:r>
            <w:r w:rsidRPr="00867F8A">
              <w:rPr>
                <w:rFonts w:eastAsia="Cambria"/>
                <w:sz w:val="18"/>
                <w:szCs w:val="19"/>
                <w:lang w:val="en-GB"/>
              </w:rPr>
              <w:t xml:space="preserve">off/VAT cancellation </w:t>
            </w:r>
          </w:p>
        </w:tc>
        <w:tc>
          <w:tcPr>
            <w:tcW w:w="1134" w:type="dxa"/>
            <w:shd w:val="clear" w:color="auto" w:fill="auto"/>
            <w:noWrap/>
            <w:vAlign w:val="center"/>
          </w:tcPr>
          <w:p w14:paraId="3E0B1D7D" w14:textId="5791071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4B772032" w14:textId="71C9F2C4"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341B0B8F"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413,599 </w:t>
            </w:r>
          </w:p>
        </w:tc>
        <w:tc>
          <w:tcPr>
            <w:tcW w:w="1057" w:type="dxa"/>
            <w:shd w:val="clear" w:color="auto" w:fill="auto"/>
            <w:noWrap/>
            <w:vAlign w:val="center"/>
          </w:tcPr>
          <w:p w14:paraId="0C974E49" w14:textId="6B733B3E"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23A2F820" w14:textId="3EB4A50C"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3E15A08B" w14:textId="77777777"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413,599 </w:t>
            </w:r>
          </w:p>
        </w:tc>
      </w:tr>
      <w:tr w:rsidR="001117FE" w:rsidRPr="00867F8A" w14:paraId="122D3047"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A648084"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Foreign currency gains/(losses) </w:t>
            </w:r>
          </w:p>
        </w:tc>
        <w:tc>
          <w:tcPr>
            <w:tcW w:w="1134" w:type="dxa"/>
            <w:shd w:val="clear" w:color="auto" w:fill="auto"/>
            <w:noWrap/>
            <w:vAlign w:val="center"/>
          </w:tcPr>
          <w:p w14:paraId="4CA2F8A8" w14:textId="52C3C24F"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(53,011)</w:t>
            </w:r>
          </w:p>
        </w:tc>
        <w:tc>
          <w:tcPr>
            <w:tcW w:w="1134" w:type="dxa"/>
            <w:shd w:val="clear" w:color="auto" w:fill="auto"/>
            <w:noWrap/>
            <w:vAlign w:val="center"/>
          </w:tcPr>
          <w:p w14:paraId="232A216B"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54,285 </w:t>
            </w:r>
          </w:p>
        </w:tc>
        <w:tc>
          <w:tcPr>
            <w:tcW w:w="1134" w:type="dxa"/>
            <w:shd w:val="clear" w:color="auto" w:fill="auto"/>
            <w:noWrap/>
            <w:vAlign w:val="center"/>
          </w:tcPr>
          <w:p w14:paraId="2250DE4A"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(91,278)</w:t>
            </w:r>
          </w:p>
        </w:tc>
        <w:tc>
          <w:tcPr>
            <w:tcW w:w="1057" w:type="dxa"/>
            <w:shd w:val="clear" w:color="auto" w:fill="auto"/>
            <w:noWrap/>
            <w:vAlign w:val="center"/>
          </w:tcPr>
          <w:p w14:paraId="136C7D40" w14:textId="332C8A03"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440DB4DA" w14:textId="4EB767F6"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5CDFD64D"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(90,004)</w:t>
            </w:r>
          </w:p>
        </w:tc>
      </w:tr>
      <w:tr w:rsidR="001117FE" w:rsidRPr="00867F8A" w14:paraId="404DC738"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6AA1C146"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Income tax </w:t>
            </w:r>
          </w:p>
        </w:tc>
        <w:tc>
          <w:tcPr>
            <w:tcW w:w="1134" w:type="dxa"/>
            <w:shd w:val="clear" w:color="auto" w:fill="auto"/>
            <w:noWrap/>
            <w:vAlign w:val="center"/>
          </w:tcPr>
          <w:p w14:paraId="5A807E15" w14:textId="6D1C1E28"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0E71DBCD" w14:textId="6ABDE3E8"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4109F7BA" w14:textId="11DD3365"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36717383" w14:textId="6E0963AF"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3969335E" w14:textId="7942210A"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13E481A1" w14:textId="78FA6F32"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11C237E0"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2E07EFF"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Amortization of deferred loan cost </w:t>
            </w:r>
          </w:p>
        </w:tc>
        <w:tc>
          <w:tcPr>
            <w:tcW w:w="1134" w:type="dxa"/>
            <w:shd w:val="clear" w:color="auto" w:fill="auto"/>
            <w:noWrap/>
            <w:vAlign w:val="center"/>
          </w:tcPr>
          <w:p w14:paraId="7974B355" w14:textId="3A88C70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0D10B4A7" w14:textId="2C4826BE"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54EF1CF2"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(34,304)</w:t>
            </w:r>
          </w:p>
        </w:tc>
        <w:tc>
          <w:tcPr>
            <w:tcW w:w="1057" w:type="dxa"/>
            <w:shd w:val="clear" w:color="auto" w:fill="auto"/>
            <w:noWrap/>
            <w:vAlign w:val="center"/>
          </w:tcPr>
          <w:p w14:paraId="7436452E" w14:textId="670320A3"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6108EAAC" w14:textId="7E07F05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2E1FB728"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(34,304)</w:t>
            </w:r>
          </w:p>
        </w:tc>
      </w:tr>
      <w:tr w:rsidR="001117FE" w:rsidRPr="00867F8A" w14:paraId="1F73025F"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62E644A5" w14:textId="77777777" w:rsidR="001117FE" w:rsidRPr="00867F8A" w:rsidRDefault="001117FE" w:rsidP="00352682">
            <w:pPr>
              <w:pStyle w:val="ExhibitText"/>
              <w:jc w:val="left"/>
              <w:rPr>
                <w:rFonts w:eastAsia="Cambria"/>
                <w:b w:val="0"/>
                <w:sz w:val="18"/>
                <w:szCs w:val="19"/>
                <w:lang w:val="en-GB"/>
              </w:rPr>
            </w:pPr>
            <w:r w:rsidRPr="00867F8A">
              <w:rPr>
                <w:rFonts w:eastAsia="Cambria"/>
                <w:sz w:val="18"/>
                <w:szCs w:val="19"/>
                <w:lang w:val="en-GB"/>
              </w:rPr>
              <w:t xml:space="preserve">Other non-recurring income (expenses) </w:t>
            </w:r>
          </w:p>
        </w:tc>
        <w:tc>
          <w:tcPr>
            <w:tcW w:w="1134" w:type="dxa"/>
            <w:shd w:val="clear" w:color="auto" w:fill="auto"/>
            <w:noWrap/>
            <w:vAlign w:val="center"/>
          </w:tcPr>
          <w:p w14:paraId="36E45797" w14:textId="119C45B9"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71011A0A" w14:textId="332B9776"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5250D7D6" w14:textId="2A5E47C2"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057" w:type="dxa"/>
            <w:shd w:val="clear" w:color="auto" w:fill="auto"/>
            <w:noWrap/>
            <w:vAlign w:val="center"/>
          </w:tcPr>
          <w:p w14:paraId="0274FD4B" w14:textId="7DF3B8A9"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5D25E3D6" w14:textId="0A002DC6"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11A26E6D" w14:textId="43E8BA81"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r>
      <w:tr w:rsidR="001117FE" w:rsidRPr="00867F8A" w14:paraId="6A7406C1" w14:textId="77777777" w:rsidTr="00B44DBB">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1A2EC7E3" w14:textId="77777777" w:rsidR="001117FE" w:rsidRPr="00867F8A" w:rsidRDefault="001117FE" w:rsidP="00352682">
            <w:pPr>
              <w:pStyle w:val="ExhibitText"/>
              <w:jc w:val="left"/>
              <w:rPr>
                <w:rFonts w:eastAsia="Cambria"/>
                <w:b w:val="0"/>
                <w:w w:val="90"/>
                <w:sz w:val="18"/>
                <w:szCs w:val="19"/>
                <w:lang w:val="en-GB"/>
              </w:rPr>
            </w:pPr>
            <w:r w:rsidRPr="00867F8A">
              <w:rPr>
                <w:rFonts w:eastAsia="Cambria"/>
                <w:w w:val="90"/>
                <w:sz w:val="18"/>
                <w:szCs w:val="19"/>
                <w:lang w:val="en-GB"/>
              </w:rPr>
              <w:t>Net from sale of properties</w:t>
            </w:r>
          </w:p>
        </w:tc>
        <w:tc>
          <w:tcPr>
            <w:tcW w:w="1134" w:type="dxa"/>
            <w:shd w:val="clear" w:color="auto" w:fill="auto"/>
            <w:noWrap/>
            <w:vAlign w:val="center"/>
          </w:tcPr>
          <w:p w14:paraId="0FB70CFC"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175,510 </w:t>
            </w:r>
          </w:p>
        </w:tc>
        <w:tc>
          <w:tcPr>
            <w:tcW w:w="1134" w:type="dxa"/>
            <w:shd w:val="clear" w:color="auto" w:fill="auto"/>
            <w:noWrap/>
            <w:vAlign w:val="center"/>
          </w:tcPr>
          <w:p w14:paraId="7C79D7E4" w14:textId="5247BBD5"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134" w:type="dxa"/>
            <w:shd w:val="clear" w:color="auto" w:fill="auto"/>
            <w:noWrap/>
            <w:vAlign w:val="center"/>
          </w:tcPr>
          <w:p w14:paraId="695C3671"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186,218 </w:t>
            </w:r>
          </w:p>
        </w:tc>
        <w:tc>
          <w:tcPr>
            <w:tcW w:w="1057" w:type="dxa"/>
            <w:shd w:val="clear" w:color="auto" w:fill="auto"/>
            <w:noWrap/>
            <w:vAlign w:val="center"/>
          </w:tcPr>
          <w:p w14:paraId="11A18D8E" w14:textId="24FDB378"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244" w:type="dxa"/>
            <w:shd w:val="clear" w:color="auto" w:fill="auto"/>
            <w:noWrap/>
            <w:vAlign w:val="center"/>
          </w:tcPr>
          <w:p w14:paraId="7DC047C4" w14:textId="33DADB4F"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548E1979" w14:textId="77777777" w:rsidR="001117FE" w:rsidRPr="00867F8A" w:rsidRDefault="001117FE" w:rsidP="00B44DBB">
            <w:pPr>
              <w:pStyle w:val="ExhibitText"/>
              <w:jc w:val="right"/>
              <w:cnfStyle w:val="000000000000" w:firstRow="0" w:lastRow="0" w:firstColumn="0" w:lastColumn="0" w:oddVBand="0" w:evenVBand="0" w:oddHBand="0"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361,728 </w:t>
            </w:r>
          </w:p>
        </w:tc>
      </w:tr>
      <w:tr w:rsidR="001117FE" w:rsidRPr="00867F8A" w14:paraId="1225929C" w14:textId="77777777" w:rsidTr="00B4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0034051D" w14:textId="4D1A5EAA" w:rsidR="001117FE" w:rsidRPr="00867F8A" w:rsidRDefault="001117FE">
            <w:pPr>
              <w:pStyle w:val="ExhibitText"/>
              <w:jc w:val="left"/>
              <w:rPr>
                <w:rFonts w:eastAsia="Cambria"/>
                <w:b w:val="0"/>
                <w:bCs w:val="0"/>
                <w:sz w:val="18"/>
                <w:szCs w:val="19"/>
                <w:lang w:val="en-GB"/>
              </w:rPr>
            </w:pPr>
            <w:r w:rsidRPr="00867F8A">
              <w:rPr>
                <w:rFonts w:eastAsia="Cambria"/>
                <w:sz w:val="18"/>
                <w:szCs w:val="19"/>
                <w:lang w:val="en-GB"/>
              </w:rPr>
              <w:t>NET INCOME/(LOSS)</w:t>
            </w:r>
          </w:p>
        </w:tc>
        <w:tc>
          <w:tcPr>
            <w:tcW w:w="1134" w:type="dxa"/>
            <w:shd w:val="clear" w:color="auto" w:fill="auto"/>
            <w:noWrap/>
            <w:vAlign w:val="center"/>
          </w:tcPr>
          <w:p w14:paraId="66B4EBB2" w14:textId="07AE8EE1"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2,403,522 </w:t>
            </w:r>
          </w:p>
        </w:tc>
        <w:tc>
          <w:tcPr>
            <w:tcW w:w="1134" w:type="dxa"/>
            <w:shd w:val="clear" w:color="auto" w:fill="auto"/>
            <w:noWrap/>
            <w:vAlign w:val="center"/>
          </w:tcPr>
          <w:p w14:paraId="45C2F46A" w14:textId="4EAC0F86"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5,587,457 </w:t>
            </w:r>
          </w:p>
        </w:tc>
        <w:tc>
          <w:tcPr>
            <w:tcW w:w="1134" w:type="dxa"/>
            <w:shd w:val="clear" w:color="auto" w:fill="auto"/>
            <w:noWrap/>
            <w:vAlign w:val="center"/>
          </w:tcPr>
          <w:p w14:paraId="63276C2F" w14:textId="39DC73F4"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2,497,017 </w:t>
            </w:r>
          </w:p>
        </w:tc>
        <w:tc>
          <w:tcPr>
            <w:tcW w:w="1057" w:type="dxa"/>
            <w:shd w:val="clear" w:color="auto" w:fill="auto"/>
            <w:noWrap/>
            <w:vAlign w:val="center"/>
          </w:tcPr>
          <w:p w14:paraId="7A6E3391" w14:textId="59591D2C"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(140,720)</w:t>
            </w:r>
          </w:p>
        </w:tc>
        <w:tc>
          <w:tcPr>
            <w:tcW w:w="1244" w:type="dxa"/>
            <w:shd w:val="clear" w:color="auto" w:fill="auto"/>
            <w:noWrap/>
            <w:vAlign w:val="center"/>
          </w:tcPr>
          <w:p w14:paraId="70BD427A" w14:textId="6B9F1D13"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sz w:val="18"/>
                <w:szCs w:val="19"/>
                <w:lang w:val="en-GB"/>
              </w:rPr>
            </w:pPr>
            <w:r w:rsidRPr="00867F8A">
              <w:rPr>
                <w:rFonts w:eastAsia="Cambria"/>
                <w:color w:val="000000"/>
                <w:sz w:val="18"/>
                <w:szCs w:val="19"/>
                <w:lang w:val="en-GB"/>
              </w:rPr>
              <w:t xml:space="preserve"> </w:t>
            </w:r>
            <w:r w:rsidR="009C3472" w:rsidRPr="00867F8A">
              <w:rPr>
                <w:rFonts w:eastAsia="Cambria"/>
                <w:sz w:val="18"/>
                <w:szCs w:val="19"/>
                <w:lang w:val="en-GB"/>
              </w:rPr>
              <w:t>–</w:t>
            </w:r>
            <w:r w:rsidRPr="00867F8A">
              <w:rPr>
                <w:rFonts w:eastAsia="Cambria"/>
                <w:color w:val="000000"/>
                <w:sz w:val="18"/>
                <w:szCs w:val="19"/>
                <w:lang w:val="en-GB"/>
              </w:rPr>
              <w:t xml:space="preserve"> </w:t>
            </w:r>
          </w:p>
        </w:tc>
        <w:tc>
          <w:tcPr>
            <w:tcW w:w="1350" w:type="dxa"/>
            <w:shd w:val="clear" w:color="auto" w:fill="auto"/>
            <w:noWrap/>
            <w:vAlign w:val="center"/>
          </w:tcPr>
          <w:p w14:paraId="27AC2574" w14:textId="522B640D" w:rsidR="001117FE" w:rsidRPr="00867F8A" w:rsidRDefault="001117FE" w:rsidP="00B44DBB">
            <w:pPr>
              <w:pStyle w:val="ExhibitText"/>
              <w:jc w:val="right"/>
              <w:cnfStyle w:val="000000100000" w:firstRow="0" w:lastRow="0" w:firstColumn="0" w:lastColumn="0" w:oddVBand="0" w:evenVBand="0" w:oddHBand="1" w:evenHBand="0" w:firstRowFirstColumn="0" w:firstRowLastColumn="0" w:lastRowFirstColumn="0" w:lastRowLastColumn="0"/>
              <w:rPr>
                <w:rFonts w:eastAsia="Cambria"/>
                <w:color w:val="000000"/>
                <w:w w:val="90"/>
                <w:sz w:val="18"/>
                <w:szCs w:val="19"/>
                <w:lang w:val="en-GB"/>
              </w:rPr>
            </w:pPr>
            <w:r w:rsidRPr="00867F8A">
              <w:rPr>
                <w:rFonts w:eastAsia="Cambria"/>
                <w:color w:val="000000"/>
                <w:w w:val="90"/>
                <w:sz w:val="18"/>
                <w:szCs w:val="19"/>
                <w:lang w:val="en-GB"/>
              </w:rPr>
              <w:t xml:space="preserve">10,347,276 </w:t>
            </w:r>
          </w:p>
        </w:tc>
      </w:tr>
    </w:tbl>
    <w:p w14:paraId="46761861" w14:textId="77777777" w:rsidR="00AE62EE" w:rsidRPr="00867F8A" w:rsidRDefault="00AE62EE" w:rsidP="006F1D9E">
      <w:pPr>
        <w:pStyle w:val="Footnote"/>
        <w:rPr>
          <w:lang w:val="en-GB"/>
        </w:rPr>
      </w:pPr>
    </w:p>
    <w:p w14:paraId="6E006D20" w14:textId="3C24F1C4" w:rsidR="001117FE" w:rsidRPr="00867F8A" w:rsidRDefault="001117FE" w:rsidP="006F1D9E">
      <w:pPr>
        <w:pStyle w:val="Footnote"/>
        <w:rPr>
          <w:lang w:val="en-GB"/>
        </w:rPr>
      </w:pPr>
      <w:r w:rsidRPr="00867F8A">
        <w:rPr>
          <w:lang w:val="en-GB"/>
        </w:rPr>
        <w:t xml:space="preserve">Source: </w:t>
      </w:r>
      <w:r w:rsidR="00352682" w:rsidRPr="00867F8A">
        <w:rPr>
          <w:lang w:val="en-GB"/>
        </w:rPr>
        <w:t xml:space="preserve">Company documents. </w:t>
      </w:r>
    </w:p>
    <w:p w14:paraId="705BB388" w14:textId="77777777" w:rsidR="00975692" w:rsidRPr="00867F8A" w:rsidRDefault="00975692" w:rsidP="006F1D9E">
      <w:pPr>
        <w:pStyle w:val="Footnote"/>
        <w:rPr>
          <w:lang w:val="en-GB"/>
        </w:rPr>
      </w:pPr>
    </w:p>
    <w:p w14:paraId="23973488" w14:textId="77777777" w:rsidR="002267C2" w:rsidRPr="00867F8A" w:rsidRDefault="002267C2" w:rsidP="00352682">
      <w:pPr>
        <w:pStyle w:val="ExhibitHeading"/>
        <w:rPr>
          <w:sz w:val="22"/>
          <w:szCs w:val="22"/>
          <w:lang w:val="en-GB"/>
        </w:rPr>
      </w:pPr>
    </w:p>
    <w:sectPr w:rsidR="002267C2" w:rsidRPr="00867F8A"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96716E" w16cid:durableId="1D84AB4B"/>
  <w16cid:commentId w16cid:paraId="74C1EF9C" w16cid:durableId="1D84AB8C"/>
  <w16cid:commentId w16cid:paraId="1AD08F23" w16cid:durableId="1D84ABAB"/>
  <w16cid:commentId w16cid:paraId="6B6166A5" w16cid:durableId="1D84ABE8"/>
  <w16cid:commentId w16cid:paraId="6F104F34" w16cid:durableId="1D84ABFA"/>
  <w16cid:commentId w16cid:paraId="19703A8E" w16cid:durableId="1D84ACDF"/>
  <w16cid:commentId w16cid:paraId="5D56CE88" w16cid:durableId="1D84ACFF"/>
  <w16cid:commentId w16cid:paraId="3BD6EDFE" w16cid:durableId="1D84AD05"/>
  <w16cid:commentId w16cid:paraId="4CC0321A" w16cid:durableId="1D84AD0C"/>
  <w16cid:commentId w16cid:paraId="3C957C1E" w16cid:durableId="1D84AD1A"/>
  <w16cid:commentId w16cid:paraId="6B56B1AE" w16cid:durableId="1D84AD21"/>
  <w16cid:commentId w16cid:paraId="7D574FA3" w16cid:durableId="1D84AD13"/>
  <w16cid:commentId w16cid:paraId="23D572CD" w16cid:durableId="1D84AD29"/>
  <w16cid:commentId w16cid:paraId="416DC00E" w16cid:durableId="1D84AD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A4AF6" w14:textId="77777777" w:rsidR="00867F8A" w:rsidRDefault="00867F8A" w:rsidP="00D75295">
      <w:r>
        <w:separator/>
      </w:r>
    </w:p>
  </w:endnote>
  <w:endnote w:type="continuationSeparator" w:id="0">
    <w:p w14:paraId="39D7EE57" w14:textId="77777777" w:rsidR="00867F8A" w:rsidRDefault="00867F8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D5E64" w14:textId="77777777" w:rsidR="00867F8A" w:rsidRDefault="00867F8A" w:rsidP="00D75295">
      <w:r>
        <w:separator/>
      </w:r>
    </w:p>
  </w:footnote>
  <w:footnote w:type="continuationSeparator" w:id="0">
    <w:p w14:paraId="34DB32C9" w14:textId="77777777" w:rsidR="00867F8A" w:rsidRDefault="00867F8A" w:rsidP="00D75295">
      <w:r>
        <w:continuationSeparator/>
      </w:r>
    </w:p>
  </w:footnote>
  <w:footnote w:id="1">
    <w:p w14:paraId="29FDC5AD" w14:textId="1844C928" w:rsidR="00867F8A" w:rsidRPr="00520C00" w:rsidRDefault="00867F8A" w:rsidP="00231A34">
      <w:pPr>
        <w:pStyle w:val="Footnote"/>
      </w:pPr>
      <w:r w:rsidRPr="00520C00">
        <w:rPr>
          <w:rStyle w:val="FootnoteReference"/>
        </w:rPr>
        <w:footnoteRef/>
      </w:r>
      <w:r w:rsidRPr="00520C00">
        <w:t xml:space="preserve"> All currency amounts are in US</w:t>
      </w:r>
      <w:r>
        <w:t xml:space="preserve">$ unless otherwise specified. </w:t>
      </w:r>
    </w:p>
  </w:footnote>
  <w:footnote w:id="2">
    <w:p w14:paraId="600E1483" w14:textId="1AA5EE2C" w:rsidR="00867F8A" w:rsidRPr="00E24460" w:rsidRDefault="00867F8A" w:rsidP="00231A34">
      <w:pPr>
        <w:pStyle w:val="Footnote"/>
      </w:pPr>
      <w:r w:rsidRPr="00E24460">
        <w:rPr>
          <w:rStyle w:val="FootnoteReference"/>
        </w:rPr>
        <w:footnoteRef/>
      </w:r>
      <w:r w:rsidRPr="00E24460">
        <w:t xml:space="preserve"> Peter Roth, “Today</w:t>
      </w:r>
      <w:r>
        <w:t>’</w:t>
      </w:r>
      <w:r w:rsidRPr="00E24460">
        <w:t xml:space="preserve">s </w:t>
      </w:r>
      <w:r>
        <w:t>T</w:t>
      </w:r>
      <w:r w:rsidRPr="00E24460">
        <w:t xml:space="preserve">imeshare </w:t>
      </w:r>
      <w:r>
        <w:t>O</w:t>
      </w:r>
      <w:r w:rsidRPr="00E24460">
        <w:t xml:space="preserve">wner </w:t>
      </w:r>
      <w:r>
        <w:t>M</w:t>
      </w:r>
      <w:r w:rsidRPr="00E24460">
        <w:t xml:space="preserve">ore </w:t>
      </w:r>
      <w:r>
        <w:t>D</w:t>
      </w:r>
      <w:r w:rsidRPr="00E24460">
        <w:t xml:space="preserve">iverse, </w:t>
      </w:r>
      <w:r>
        <w:t>Y</w:t>
      </w:r>
      <w:r w:rsidRPr="00E24460">
        <w:t xml:space="preserve">ounger,” </w:t>
      </w:r>
      <w:r>
        <w:t xml:space="preserve">VacationBetter.org, </w:t>
      </w:r>
      <w:r w:rsidRPr="00E24460">
        <w:t>November</w:t>
      </w:r>
      <w:r>
        <w:t xml:space="preserve"> 3,</w:t>
      </w:r>
      <w:r w:rsidRPr="00E24460">
        <w:t xml:space="preserve"> 2014, accessed January</w:t>
      </w:r>
      <w:r>
        <w:t> </w:t>
      </w:r>
      <w:r w:rsidRPr="00E24460">
        <w:t xml:space="preserve">3, 2017, http://vacationbetter.org/todays-timeshare-owner-more-diverse-younger/. </w:t>
      </w:r>
    </w:p>
  </w:footnote>
  <w:footnote w:id="3">
    <w:p w14:paraId="30B8007C" w14:textId="5CAAED45" w:rsidR="00867F8A" w:rsidRPr="00231A34" w:rsidRDefault="00867F8A" w:rsidP="00231A34">
      <w:pPr>
        <w:pStyle w:val="Footnote"/>
      </w:pPr>
      <w:r>
        <w:rPr>
          <w:rStyle w:val="FootnoteReference"/>
        </w:rPr>
        <w:footnoteRef/>
      </w:r>
      <w:r>
        <w:t xml:space="preserve"> American Resort Development Association, “Timeshare Industry Adds $79.5 Billion to U.S. Economy,” ARDA.org, August 9, 2016, accessed on </w:t>
      </w:r>
      <w:r w:rsidR="00B44DBB">
        <w:t>December 11, 2017,</w:t>
      </w:r>
      <w:r>
        <w:t xml:space="preserve"> </w:t>
      </w:r>
      <w:r w:rsidRPr="00867F8A">
        <w:t>www.arda.org/timeshare-industry-adds-79-billion-to-US-economy.aspx</w:t>
      </w:r>
      <w:r>
        <w:t>.</w:t>
      </w:r>
    </w:p>
  </w:footnote>
  <w:footnote w:id="4">
    <w:p w14:paraId="3AA4E780" w14:textId="44ECF39C" w:rsidR="00867F8A" w:rsidRPr="00231A34" w:rsidRDefault="00867F8A" w:rsidP="00231A34">
      <w:pPr>
        <w:pStyle w:val="Footnote"/>
      </w:pPr>
      <w:r>
        <w:rPr>
          <w:rStyle w:val="FootnoteReference"/>
        </w:rPr>
        <w:footnoteRef/>
      </w:r>
      <w:r>
        <w:t xml:space="preserve"> “Global Hospitality Insights: Top 10 Thoughts for 2016,” Ernst &amp; Young,</w:t>
      </w:r>
      <w:r w:rsidRPr="009E16E0">
        <w:t xml:space="preserve"> </w:t>
      </w:r>
      <w:r>
        <w:t xml:space="preserve">accessed November 14, 2017, </w:t>
      </w:r>
      <w:r w:rsidRPr="00867F8A">
        <w:t>www.ey.com/gl/en/industries/real-estate/ey-global-hospitality-insights-2016</w:t>
      </w:r>
      <w:r>
        <w:t xml:space="preserve">. </w:t>
      </w:r>
    </w:p>
  </w:footnote>
  <w:footnote w:id="5">
    <w:p w14:paraId="071FAC8E" w14:textId="514A8ACD" w:rsidR="00867F8A" w:rsidRPr="00217B78" w:rsidRDefault="00867F8A" w:rsidP="00231A34">
      <w:pPr>
        <w:pStyle w:val="Footnote"/>
        <w:rPr>
          <w:spacing w:val="-4"/>
          <w:kern w:val="17"/>
        </w:rPr>
      </w:pPr>
      <w:r w:rsidRPr="00217B78">
        <w:rPr>
          <w:rStyle w:val="FootnoteReference"/>
          <w:spacing w:val="-4"/>
          <w:kern w:val="17"/>
        </w:rPr>
        <w:footnoteRef/>
      </w:r>
      <w:r w:rsidRPr="00217B78">
        <w:rPr>
          <w:spacing w:val="-4"/>
          <w:kern w:val="17"/>
        </w:rPr>
        <w:t xml:space="preserve"> Luke </w:t>
      </w:r>
      <w:proofErr w:type="spellStart"/>
      <w:r w:rsidRPr="00217B78">
        <w:rPr>
          <w:spacing w:val="-4"/>
          <w:kern w:val="17"/>
        </w:rPr>
        <w:t>Bujarski</w:t>
      </w:r>
      <w:proofErr w:type="spellEnd"/>
      <w:r w:rsidRPr="00217B78">
        <w:rPr>
          <w:spacing w:val="-4"/>
          <w:kern w:val="17"/>
        </w:rPr>
        <w:t xml:space="preserve">, “The </w:t>
      </w:r>
      <w:proofErr w:type="spellStart"/>
      <w:r w:rsidRPr="00217B78">
        <w:rPr>
          <w:spacing w:val="-4"/>
          <w:kern w:val="17"/>
        </w:rPr>
        <w:t>Supertraveler</w:t>
      </w:r>
      <w:proofErr w:type="spellEnd"/>
      <w:r w:rsidRPr="00217B78">
        <w:rPr>
          <w:spacing w:val="-4"/>
          <w:kern w:val="17"/>
        </w:rPr>
        <w:t xml:space="preserve"> Manifesto,” </w:t>
      </w:r>
      <w:proofErr w:type="spellStart"/>
      <w:r w:rsidRPr="00217B78">
        <w:rPr>
          <w:spacing w:val="-4"/>
          <w:kern w:val="17"/>
        </w:rPr>
        <w:t>Skift</w:t>
      </w:r>
      <w:proofErr w:type="spellEnd"/>
      <w:r w:rsidRPr="00217B78">
        <w:rPr>
          <w:spacing w:val="-4"/>
          <w:kern w:val="17"/>
        </w:rPr>
        <w:t xml:space="preserve">, 2016, accessed February 2, 2017, https://skift.com/supertraveler-manifesto/. </w:t>
      </w:r>
    </w:p>
  </w:footnote>
  <w:footnote w:id="6">
    <w:p w14:paraId="29E5E52F" w14:textId="04013FC7" w:rsidR="00B44DBB" w:rsidRDefault="00867F8A" w:rsidP="00B44DBB">
      <w:pPr>
        <w:pStyle w:val="Footnote"/>
        <w:keepNext/>
        <w:keepLines/>
        <w:rPr>
          <w:spacing w:val="-4"/>
          <w:kern w:val="17"/>
        </w:rPr>
      </w:pPr>
      <w:r w:rsidRPr="00B44DBB">
        <w:rPr>
          <w:rStyle w:val="FootnoteReference"/>
          <w:color w:val="000000" w:themeColor="text1"/>
          <w:spacing w:val="-2"/>
          <w:kern w:val="17"/>
        </w:rPr>
        <w:footnoteRef/>
      </w:r>
      <w:r w:rsidRPr="00B44DBB">
        <w:rPr>
          <w:color w:val="000000" w:themeColor="text1"/>
          <w:spacing w:val="-2"/>
          <w:kern w:val="17"/>
        </w:rPr>
        <w:t xml:space="preserve"> C</w:t>
      </w:r>
      <w:r w:rsidR="00B44DBB" w:rsidRPr="00B44DBB">
        <w:rPr>
          <w:color w:val="000000" w:themeColor="text1"/>
          <w:spacing w:val="-2"/>
          <w:kern w:val="17"/>
        </w:rPr>
        <w:t xml:space="preserve">hristine Barton, Julia Haywood, </w:t>
      </w:r>
      <w:proofErr w:type="spellStart"/>
      <w:r w:rsidR="00B44DBB" w:rsidRPr="00B44DBB">
        <w:rPr>
          <w:color w:val="000000" w:themeColor="text1"/>
          <w:spacing w:val="-2"/>
          <w:kern w:val="17"/>
        </w:rPr>
        <w:t>Pranay</w:t>
      </w:r>
      <w:proofErr w:type="spellEnd"/>
      <w:r w:rsidR="00B44DBB" w:rsidRPr="00B44DBB">
        <w:rPr>
          <w:color w:val="000000" w:themeColor="text1"/>
          <w:spacing w:val="-2"/>
          <w:kern w:val="17"/>
        </w:rPr>
        <w:t xml:space="preserve"> </w:t>
      </w:r>
      <w:proofErr w:type="spellStart"/>
      <w:r w:rsidR="00B44DBB" w:rsidRPr="00B44DBB">
        <w:rPr>
          <w:color w:val="000000" w:themeColor="text1"/>
          <w:spacing w:val="-2"/>
          <w:kern w:val="17"/>
        </w:rPr>
        <w:t>Jhunjhunwala</w:t>
      </w:r>
      <w:proofErr w:type="spellEnd"/>
      <w:r w:rsidR="00B44DBB" w:rsidRPr="00B44DBB">
        <w:rPr>
          <w:color w:val="000000" w:themeColor="text1"/>
          <w:spacing w:val="-2"/>
          <w:kern w:val="17"/>
        </w:rPr>
        <w:t xml:space="preserve">, and </w:t>
      </w:r>
      <w:r w:rsidRPr="00B44DBB">
        <w:rPr>
          <w:color w:val="000000" w:themeColor="text1"/>
          <w:spacing w:val="-2"/>
          <w:kern w:val="17"/>
        </w:rPr>
        <w:t xml:space="preserve">Vikrant Bhatia, “Traveling with Millennials,” Boston Consulting </w:t>
      </w:r>
      <w:r w:rsidRPr="00B44DBB">
        <w:rPr>
          <w:color w:val="000000" w:themeColor="text1"/>
          <w:spacing w:val="-4"/>
          <w:kern w:val="17"/>
        </w:rPr>
        <w:t>Group, March 18, 2013</w:t>
      </w:r>
      <w:r w:rsidRPr="00B44DBB">
        <w:rPr>
          <w:spacing w:val="-4"/>
          <w:kern w:val="17"/>
        </w:rPr>
        <w:t xml:space="preserve">, accessed November 17, 2017, </w:t>
      </w:r>
      <w:r w:rsidR="00B44DBB" w:rsidRPr="00B44DBB">
        <w:rPr>
          <w:spacing w:val="-4"/>
          <w:kern w:val="17"/>
        </w:rPr>
        <w:t>https://www.bcgperspectives.com/content/articles/transportation_travel</w:t>
      </w:r>
    </w:p>
    <w:p w14:paraId="2A2257D5" w14:textId="394868B6" w:rsidR="00867F8A" w:rsidRPr="00B44DBB" w:rsidRDefault="00867F8A" w:rsidP="00B44DBB">
      <w:pPr>
        <w:pStyle w:val="Footnote"/>
        <w:keepNext/>
        <w:keepLines/>
        <w:rPr>
          <w:color w:val="303030"/>
          <w:spacing w:val="-2"/>
          <w:kern w:val="17"/>
          <w:sz w:val="18"/>
          <w:szCs w:val="18"/>
        </w:rPr>
      </w:pPr>
      <w:r w:rsidRPr="00B44DBB">
        <w:rPr>
          <w:spacing w:val="-4"/>
          <w:kern w:val="17"/>
        </w:rPr>
        <w:t>_</w:t>
      </w:r>
      <w:proofErr w:type="spellStart"/>
      <w:r w:rsidRPr="00B44DBB">
        <w:rPr>
          <w:spacing w:val="-4"/>
          <w:kern w:val="17"/>
        </w:rPr>
        <w:t>tourism_consumer_insight_traveling_with_millennials</w:t>
      </w:r>
      <w:proofErr w:type="spellEnd"/>
      <w:r w:rsidRPr="00B44DBB">
        <w:rPr>
          <w:spacing w:val="-4"/>
          <w:kern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8E61D" w14:textId="3B0A0198" w:rsidR="00867F8A" w:rsidRPr="00867F8A" w:rsidRDefault="00867F8A" w:rsidP="006A58A9">
    <w:pPr>
      <w:pBdr>
        <w:bottom w:val="single" w:sz="18" w:space="1" w:color="auto"/>
      </w:pBdr>
      <w:tabs>
        <w:tab w:val="left" w:pos="-1440"/>
        <w:tab w:val="left" w:pos="-720"/>
        <w:tab w:val="right" w:pos="9360"/>
        <w:tab w:val="right" w:pos="10800"/>
      </w:tabs>
      <w:rPr>
        <w:rFonts w:ascii="Arial" w:hAnsi="Arial"/>
        <w:sz w:val="20"/>
        <w:szCs w:val="20"/>
      </w:rPr>
    </w:pPr>
    <w:r w:rsidRPr="00867F8A">
      <w:rPr>
        <w:rFonts w:ascii="Arial" w:hAnsi="Arial"/>
        <w:b/>
        <w:sz w:val="20"/>
        <w:szCs w:val="20"/>
      </w:rPr>
      <w:t xml:space="preserve">Page </w:t>
    </w:r>
    <w:r w:rsidRPr="00867F8A">
      <w:rPr>
        <w:rFonts w:ascii="Arial" w:hAnsi="Arial"/>
        <w:b/>
        <w:sz w:val="20"/>
        <w:szCs w:val="20"/>
      </w:rPr>
      <w:fldChar w:fldCharType="begin"/>
    </w:r>
    <w:r w:rsidRPr="00867F8A">
      <w:rPr>
        <w:rFonts w:ascii="Arial" w:hAnsi="Arial"/>
        <w:b/>
        <w:sz w:val="20"/>
        <w:szCs w:val="20"/>
      </w:rPr>
      <w:instrText>PAGE</w:instrText>
    </w:r>
    <w:r w:rsidRPr="00867F8A">
      <w:rPr>
        <w:rFonts w:ascii="Arial" w:hAnsi="Arial"/>
        <w:b/>
        <w:sz w:val="20"/>
        <w:szCs w:val="20"/>
      </w:rPr>
      <w:fldChar w:fldCharType="separate"/>
    </w:r>
    <w:r w:rsidR="00217B78">
      <w:rPr>
        <w:rFonts w:ascii="Arial" w:hAnsi="Arial"/>
        <w:b/>
        <w:noProof/>
        <w:sz w:val="20"/>
        <w:szCs w:val="20"/>
      </w:rPr>
      <w:t>14</w:t>
    </w:r>
    <w:r w:rsidRPr="00867F8A">
      <w:rPr>
        <w:rFonts w:ascii="Arial" w:hAnsi="Arial"/>
        <w:b/>
        <w:sz w:val="20"/>
        <w:szCs w:val="20"/>
      </w:rPr>
      <w:fldChar w:fldCharType="end"/>
    </w:r>
    <w:r w:rsidRPr="00867F8A">
      <w:rPr>
        <w:rFonts w:ascii="Arial" w:hAnsi="Arial"/>
        <w:b/>
        <w:sz w:val="20"/>
        <w:szCs w:val="20"/>
      </w:rPr>
      <w:tab/>
      <w:t>9B17M</w:t>
    </w:r>
    <w:r w:rsidR="00FA53CE">
      <w:rPr>
        <w:rFonts w:ascii="Arial" w:hAnsi="Arial"/>
        <w:b/>
        <w:sz w:val="20"/>
        <w:szCs w:val="20"/>
      </w:rPr>
      <w:t>183</w:t>
    </w:r>
  </w:p>
  <w:p w14:paraId="4480AE64" w14:textId="77777777" w:rsidR="00867F8A" w:rsidRPr="00C92CC4" w:rsidRDefault="00867F8A">
    <w:pPr>
      <w:pStyle w:val="Header"/>
      <w:rPr>
        <w:sz w:val="18"/>
        <w:szCs w:val="18"/>
      </w:rPr>
    </w:pPr>
  </w:p>
  <w:p w14:paraId="17AF1396" w14:textId="77777777" w:rsidR="00867F8A" w:rsidRPr="00C92CC4" w:rsidRDefault="00867F8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5C002EAE"/>
    <w:multiLevelType w:val="hybridMultilevel"/>
    <w:tmpl w:val="2DEAD8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977370"/>
    <w:multiLevelType w:val="hybridMultilevel"/>
    <w:tmpl w:val="5DE47BBE"/>
    <w:lvl w:ilvl="0" w:tplc="CD9C77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4C"/>
    <w:rsid w:val="0000085A"/>
    <w:rsid w:val="00013360"/>
    <w:rsid w:val="000216CE"/>
    <w:rsid w:val="00025DC7"/>
    <w:rsid w:val="00026486"/>
    <w:rsid w:val="00032D2E"/>
    <w:rsid w:val="0003352A"/>
    <w:rsid w:val="00040C16"/>
    <w:rsid w:val="00044ECC"/>
    <w:rsid w:val="000531D3"/>
    <w:rsid w:val="0005646B"/>
    <w:rsid w:val="0005706E"/>
    <w:rsid w:val="00072DA9"/>
    <w:rsid w:val="0008102D"/>
    <w:rsid w:val="000815BF"/>
    <w:rsid w:val="00081905"/>
    <w:rsid w:val="00081D8E"/>
    <w:rsid w:val="000933E8"/>
    <w:rsid w:val="00094C0E"/>
    <w:rsid w:val="000B08CB"/>
    <w:rsid w:val="000E0A79"/>
    <w:rsid w:val="000F0C22"/>
    <w:rsid w:val="000F6B09"/>
    <w:rsid w:val="000F6FDC"/>
    <w:rsid w:val="00104567"/>
    <w:rsid w:val="001052A5"/>
    <w:rsid w:val="00105817"/>
    <w:rsid w:val="001117FE"/>
    <w:rsid w:val="00115479"/>
    <w:rsid w:val="0012732D"/>
    <w:rsid w:val="00141DA0"/>
    <w:rsid w:val="00143496"/>
    <w:rsid w:val="00154B42"/>
    <w:rsid w:val="00154FC9"/>
    <w:rsid w:val="00155328"/>
    <w:rsid w:val="00155886"/>
    <w:rsid w:val="00160044"/>
    <w:rsid w:val="00170D7A"/>
    <w:rsid w:val="00171DE6"/>
    <w:rsid w:val="0019241A"/>
    <w:rsid w:val="001A04F0"/>
    <w:rsid w:val="001A0BE8"/>
    <w:rsid w:val="001A5335"/>
    <w:rsid w:val="001A674D"/>
    <w:rsid w:val="001A752D"/>
    <w:rsid w:val="001B7D78"/>
    <w:rsid w:val="001C4863"/>
    <w:rsid w:val="001C5010"/>
    <w:rsid w:val="001D03AB"/>
    <w:rsid w:val="001D3B06"/>
    <w:rsid w:val="001F1DD4"/>
    <w:rsid w:val="001F6110"/>
    <w:rsid w:val="00203AA1"/>
    <w:rsid w:val="00203F03"/>
    <w:rsid w:val="0021113B"/>
    <w:rsid w:val="00213E98"/>
    <w:rsid w:val="00217B78"/>
    <w:rsid w:val="00220588"/>
    <w:rsid w:val="002267C2"/>
    <w:rsid w:val="002311D3"/>
    <w:rsid w:val="00231A34"/>
    <w:rsid w:val="0024497D"/>
    <w:rsid w:val="00263C26"/>
    <w:rsid w:val="0027109A"/>
    <w:rsid w:val="00281632"/>
    <w:rsid w:val="0029246F"/>
    <w:rsid w:val="00294C6A"/>
    <w:rsid w:val="002975D4"/>
    <w:rsid w:val="002B1F8B"/>
    <w:rsid w:val="002C1A5A"/>
    <w:rsid w:val="002D1421"/>
    <w:rsid w:val="002D5CFF"/>
    <w:rsid w:val="002E32F0"/>
    <w:rsid w:val="002E4CA0"/>
    <w:rsid w:val="002F1BCB"/>
    <w:rsid w:val="002F24F2"/>
    <w:rsid w:val="002F460C"/>
    <w:rsid w:val="002F48D6"/>
    <w:rsid w:val="00324166"/>
    <w:rsid w:val="00326DE8"/>
    <w:rsid w:val="00327720"/>
    <w:rsid w:val="0035167F"/>
    <w:rsid w:val="00352682"/>
    <w:rsid w:val="00354899"/>
    <w:rsid w:val="00355FD6"/>
    <w:rsid w:val="0036018A"/>
    <w:rsid w:val="00361C8E"/>
    <w:rsid w:val="003648F2"/>
    <w:rsid w:val="00364A5C"/>
    <w:rsid w:val="0037043C"/>
    <w:rsid w:val="00373FB1"/>
    <w:rsid w:val="00390832"/>
    <w:rsid w:val="00391A8A"/>
    <w:rsid w:val="003A6270"/>
    <w:rsid w:val="003A6BBD"/>
    <w:rsid w:val="003B30D8"/>
    <w:rsid w:val="003B3D71"/>
    <w:rsid w:val="003B7EF2"/>
    <w:rsid w:val="003C3FA4"/>
    <w:rsid w:val="003D64C9"/>
    <w:rsid w:val="003D72FC"/>
    <w:rsid w:val="003F2B0C"/>
    <w:rsid w:val="003F41C3"/>
    <w:rsid w:val="003F5593"/>
    <w:rsid w:val="003F7676"/>
    <w:rsid w:val="0041333D"/>
    <w:rsid w:val="004221E4"/>
    <w:rsid w:val="00431804"/>
    <w:rsid w:val="00457CBA"/>
    <w:rsid w:val="0046578E"/>
    <w:rsid w:val="00471088"/>
    <w:rsid w:val="0047566A"/>
    <w:rsid w:val="004820B0"/>
    <w:rsid w:val="00483AF9"/>
    <w:rsid w:val="0048757F"/>
    <w:rsid w:val="004A4B80"/>
    <w:rsid w:val="004B1CCB"/>
    <w:rsid w:val="004C29BE"/>
    <w:rsid w:val="004D73A5"/>
    <w:rsid w:val="004F015C"/>
    <w:rsid w:val="005125A6"/>
    <w:rsid w:val="00520C00"/>
    <w:rsid w:val="005248B2"/>
    <w:rsid w:val="00532CF5"/>
    <w:rsid w:val="00541A58"/>
    <w:rsid w:val="005459A5"/>
    <w:rsid w:val="005528CB"/>
    <w:rsid w:val="00554D12"/>
    <w:rsid w:val="0056026E"/>
    <w:rsid w:val="00561339"/>
    <w:rsid w:val="00566771"/>
    <w:rsid w:val="00573B2D"/>
    <w:rsid w:val="0057446A"/>
    <w:rsid w:val="00575612"/>
    <w:rsid w:val="00581E2E"/>
    <w:rsid w:val="00584F15"/>
    <w:rsid w:val="00591D16"/>
    <w:rsid w:val="00592A79"/>
    <w:rsid w:val="005B071F"/>
    <w:rsid w:val="005B25C9"/>
    <w:rsid w:val="005D7B7F"/>
    <w:rsid w:val="005E1958"/>
    <w:rsid w:val="005E7869"/>
    <w:rsid w:val="0061494A"/>
    <w:rsid w:val="006163F7"/>
    <w:rsid w:val="006206C9"/>
    <w:rsid w:val="00636129"/>
    <w:rsid w:val="006400FD"/>
    <w:rsid w:val="00646BD6"/>
    <w:rsid w:val="00652606"/>
    <w:rsid w:val="00653328"/>
    <w:rsid w:val="00682754"/>
    <w:rsid w:val="006A34ED"/>
    <w:rsid w:val="006A58A9"/>
    <w:rsid w:val="006A606D"/>
    <w:rsid w:val="006B7F7A"/>
    <w:rsid w:val="006C0371"/>
    <w:rsid w:val="006C08B6"/>
    <w:rsid w:val="006C0B1A"/>
    <w:rsid w:val="006C4384"/>
    <w:rsid w:val="006C6065"/>
    <w:rsid w:val="006C7F9F"/>
    <w:rsid w:val="006D4C61"/>
    <w:rsid w:val="006D6E98"/>
    <w:rsid w:val="006E1E50"/>
    <w:rsid w:val="006E2F6D"/>
    <w:rsid w:val="006E58F6"/>
    <w:rsid w:val="006E77E1"/>
    <w:rsid w:val="006F131D"/>
    <w:rsid w:val="006F1D9E"/>
    <w:rsid w:val="006F55D9"/>
    <w:rsid w:val="00703773"/>
    <w:rsid w:val="00710C54"/>
    <w:rsid w:val="00743A66"/>
    <w:rsid w:val="00744C5B"/>
    <w:rsid w:val="007514F3"/>
    <w:rsid w:val="00752BCD"/>
    <w:rsid w:val="00756F35"/>
    <w:rsid w:val="00766DA1"/>
    <w:rsid w:val="0077078E"/>
    <w:rsid w:val="00781AF6"/>
    <w:rsid w:val="0078319B"/>
    <w:rsid w:val="007866A6"/>
    <w:rsid w:val="00787676"/>
    <w:rsid w:val="00790EE4"/>
    <w:rsid w:val="007A130D"/>
    <w:rsid w:val="007C0BE9"/>
    <w:rsid w:val="007D4102"/>
    <w:rsid w:val="007E5921"/>
    <w:rsid w:val="007F1829"/>
    <w:rsid w:val="007F6F7A"/>
    <w:rsid w:val="008123BD"/>
    <w:rsid w:val="00821FFC"/>
    <w:rsid w:val="0082558F"/>
    <w:rsid w:val="008271CA"/>
    <w:rsid w:val="008467D5"/>
    <w:rsid w:val="00846B52"/>
    <w:rsid w:val="00856143"/>
    <w:rsid w:val="00856D9F"/>
    <w:rsid w:val="00857156"/>
    <w:rsid w:val="008657DD"/>
    <w:rsid w:val="00866F6D"/>
    <w:rsid w:val="00867F8A"/>
    <w:rsid w:val="00886DE4"/>
    <w:rsid w:val="008907EE"/>
    <w:rsid w:val="00892E75"/>
    <w:rsid w:val="008A0F9A"/>
    <w:rsid w:val="008A4DC4"/>
    <w:rsid w:val="008C25FA"/>
    <w:rsid w:val="008C40CD"/>
    <w:rsid w:val="008D33F9"/>
    <w:rsid w:val="008E015A"/>
    <w:rsid w:val="008F0458"/>
    <w:rsid w:val="008F1F12"/>
    <w:rsid w:val="008F33FA"/>
    <w:rsid w:val="009016C4"/>
    <w:rsid w:val="009067A4"/>
    <w:rsid w:val="0090722E"/>
    <w:rsid w:val="00907358"/>
    <w:rsid w:val="00911368"/>
    <w:rsid w:val="0091655D"/>
    <w:rsid w:val="00924A68"/>
    <w:rsid w:val="009306E2"/>
    <w:rsid w:val="00933165"/>
    <w:rsid w:val="009340DB"/>
    <w:rsid w:val="00945F9E"/>
    <w:rsid w:val="009465EA"/>
    <w:rsid w:val="0095264D"/>
    <w:rsid w:val="009609D2"/>
    <w:rsid w:val="00972498"/>
    <w:rsid w:val="00972FF9"/>
    <w:rsid w:val="00974CC6"/>
    <w:rsid w:val="00975692"/>
    <w:rsid w:val="00976AD4"/>
    <w:rsid w:val="009856FE"/>
    <w:rsid w:val="009A3071"/>
    <w:rsid w:val="009A312F"/>
    <w:rsid w:val="009A5348"/>
    <w:rsid w:val="009A67BB"/>
    <w:rsid w:val="009B3BD0"/>
    <w:rsid w:val="009B7905"/>
    <w:rsid w:val="009C3472"/>
    <w:rsid w:val="009C62CE"/>
    <w:rsid w:val="009C76D5"/>
    <w:rsid w:val="009E16E0"/>
    <w:rsid w:val="009E45A1"/>
    <w:rsid w:val="009F18EE"/>
    <w:rsid w:val="009F3C08"/>
    <w:rsid w:val="009F7AA4"/>
    <w:rsid w:val="00A01801"/>
    <w:rsid w:val="00A27D07"/>
    <w:rsid w:val="00A375E0"/>
    <w:rsid w:val="00A45B6F"/>
    <w:rsid w:val="00A559DB"/>
    <w:rsid w:val="00A56C2F"/>
    <w:rsid w:val="00A63EA5"/>
    <w:rsid w:val="00A92C27"/>
    <w:rsid w:val="00AB592D"/>
    <w:rsid w:val="00AB7A1C"/>
    <w:rsid w:val="00AC4A3C"/>
    <w:rsid w:val="00AE36F0"/>
    <w:rsid w:val="00AE62EE"/>
    <w:rsid w:val="00AE77AE"/>
    <w:rsid w:val="00AF0834"/>
    <w:rsid w:val="00AF35FC"/>
    <w:rsid w:val="00AF419B"/>
    <w:rsid w:val="00AF6965"/>
    <w:rsid w:val="00B01977"/>
    <w:rsid w:val="00B0262D"/>
    <w:rsid w:val="00B02AB1"/>
    <w:rsid w:val="00B03639"/>
    <w:rsid w:val="00B04F6F"/>
    <w:rsid w:val="00B0652A"/>
    <w:rsid w:val="00B25FC4"/>
    <w:rsid w:val="00B34BD9"/>
    <w:rsid w:val="00B3757D"/>
    <w:rsid w:val="00B40937"/>
    <w:rsid w:val="00B41EAB"/>
    <w:rsid w:val="00B423EF"/>
    <w:rsid w:val="00B44DBB"/>
    <w:rsid w:val="00B453DE"/>
    <w:rsid w:val="00B45F9E"/>
    <w:rsid w:val="00B4736B"/>
    <w:rsid w:val="00B4742F"/>
    <w:rsid w:val="00B4749B"/>
    <w:rsid w:val="00B47DEC"/>
    <w:rsid w:val="00B54704"/>
    <w:rsid w:val="00B716AB"/>
    <w:rsid w:val="00B900FD"/>
    <w:rsid w:val="00B901F9"/>
    <w:rsid w:val="00B92770"/>
    <w:rsid w:val="00BA6B8B"/>
    <w:rsid w:val="00BD6E9E"/>
    <w:rsid w:val="00BD6EFB"/>
    <w:rsid w:val="00BF34F1"/>
    <w:rsid w:val="00C06149"/>
    <w:rsid w:val="00C15BE2"/>
    <w:rsid w:val="00C22219"/>
    <w:rsid w:val="00C31093"/>
    <w:rsid w:val="00C32F41"/>
    <w:rsid w:val="00C3447F"/>
    <w:rsid w:val="00C36116"/>
    <w:rsid w:val="00C54D9E"/>
    <w:rsid w:val="00C63A73"/>
    <w:rsid w:val="00C81491"/>
    <w:rsid w:val="00C81676"/>
    <w:rsid w:val="00C91B5F"/>
    <w:rsid w:val="00C92CC4"/>
    <w:rsid w:val="00CA05B2"/>
    <w:rsid w:val="00CA0AFB"/>
    <w:rsid w:val="00CA2BA8"/>
    <w:rsid w:val="00CA2CE1"/>
    <w:rsid w:val="00CA3976"/>
    <w:rsid w:val="00CA5AD6"/>
    <w:rsid w:val="00CA60E1"/>
    <w:rsid w:val="00CA757B"/>
    <w:rsid w:val="00CB6620"/>
    <w:rsid w:val="00CB6B09"/>
    <w:rsid w:val="00CC1787"/>
    <w:rsid w:val="00CC182C"/>
    <w:rsid w:val="00CC6A52"/>
    <w:rsid w:val="00CD0824"/>
    <w:rsid w:val="00CD2908"/>
    <w:rsid w:val="00CD43BC"/>
    <w:rsid w:val="00CD6707"/>
    <w:rsid w:val="00CE4069"/>
    <w:rsid w:val="00CF49B9"/>
    <w:rsid w:val="00D03A82"/>
    <w:rsid w:val="00D03D06"/>
    <w:rsid w:val="00D07D73"/>
    <w:rsid w:val="00D15344"/>
    <w:rsid w:val="00D31BEC"/>
    <w:rsid w:val="00D43CFF"/>
    <w:rsid w:val="00D46197"/>
    <w:rsid w:val="00D47F19"/>
    <w:rsid w:val="00D614F4"/>
    <w:rsid w:val="00D62AEE"/>
    <w:rsid w:val="00D63150"/>
    <w:rsid w:val="00D64A32"/>
    <w:rsid w:val="00D64EFC"/>
    <w:rsid w:val="00D75295"/>
    <w:rsid w:val="00D75DC1"/>
    <w:rsid w:val="00D76CE9"/>
    <w:rsid w:val="00D80A1F"/>
    <w:rsid w:val="00D825CB"/>
    <w:rsid w:val="00D9105D"/>
    <w:rsid w:val="00D9498B"/>
    <w:rsid w:val="00D97F12"/>
    <w:rsid w:val="00DA7F9C"/>
    <w:rsid w:val="00DB1A92"/>
    <w:rsid w:val="00DB42E7"/>
    <w:rsid w:val="00DD43BC"/>
    <w:rsid w:val="00DD5A04"/>
    <w:rsid w:val="00DF32C2"/>
    <w:rsid w:val="00E01DB7"/>
    <w:rsid w:val="00E02743"/>
    <w:rsid w:val="00E11C21"/>
    <w:rsid w:val="00E24460"/>
    <w:rsid w:val="00E401D2"/>
    <w:rsid w:val="00E4273F"/>
    <w:rsid w:val="00E471A7"/>
    <w:rsid w:val="00E635CF"/>
    <w:rsid w:val="00E72122"/>
    <w:rsid w:val="00E90D5D"/>
    <w:rsid w:val="00EA08E5"/>
    <w:rsid w:val="00EB5410"/>
    <w:rsid w:val="00EC6E0A"/>
    <w:rsid w:val="00ED269C"/>
    <w:rsid w:val="00ED2A92"/>
    <w:rsid w:val="00ED3BCE"/>
    <w:rsid w:val="00ED4E18"/>
    <w:rsid w:val="00ED6050"/>
    <w:rsid w:val="00ED723B"/>
    <w:rsid w:val="00EE1F37"/>
    <w:rsid w:val="00EE3CFF"/>
    <w:rsid w:val="00F0159C"/>
    <w:rsid w:val="00F01DD5"/>
    <w:rsid w:val="00F105B7"/>
    <w:rsid w:val="00F1437C"/>
    <w:rsid w:val="00F17A21"/>
    <w:rsid w:val="00F35A77"/>
    <w:rsid w:val="00F42128"/>
    <w:rsid w:val="00F50E91"/>
    <w:rsid w:val="00F57D29"/>
    <w:rsid w:val="00F74710"/>
    <w:rsid w:val="00F76FCE"/>
    <w:rsid w:val="00F83C21"/>
    <w:rsid w:val="00F87008"/>
    <w:rsid w:val="00F91736"/>
    <w:rsid w:val="00F921F5"/>
    <w:rsid w:val="00F92A99"/>
    <w:rsid w:val="00F96201"/>
    <w:rsid w:val="00FA117A"/>
    <w:rsid w:val="00FA53CE"/>
    <w:rsid w:val="00FB6B2D"/>
    <w:rsid w:val="00FC30E9"/>
    <w:rsid w:val="00FC4082"/>
    <w:rsid w:val="00FD0B18"/>
    <w:rsid w:val="00FD0F82"/>
    <w:rsid w:val="00FE6F9C"/>
    <w:rsid w:val="00FE714F"/>
    <w:rsid w:val="00FF4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0BD68A"/>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3A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rPr>
  </w:style>
  <w:style w:type="paragraph" w:customStyle="1" w:styleId="BodyTextMain">
    <w:name w:val="Body Text Main"/>
    <w:basedOn w:val="Normal"/>
    <w:link w:val="BodyTextMainChar"/>
    <w:qFormat/>
    <w:rsid w:val="000F0C22"/>
    <w:pPr>
      <w:jc w:val="both"/>
    </w:pPr>
    <w:rPr>
      <w:rFonts w:eastAsia="Times New Roman"/>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rFonts w:eastAsia="Times New Roman"/>
      <w:sz w:val="20"/>
      <w:szCs w:val="20"/>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rFonts w:eastAsia="Times New Roman"/>
      <w:sz w:val="22"/>
      <w:szCs w:val="20"/>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Subhead1">
    <w:name w:val="Subhead 1"/>
    <w:basedOn w:val="Normal"/>
    <w:qFormat/>
    <w:rsid w:val="00E24460"/>
    <w:pPr>
      <w:keepNext/>
      <w:keepLines/>
      <w:spacing w:before="360" w:after="120"/>
    </w:pPr>
    <w:rPr>
      <w:rFonts w:ascii="Arial" w:hAnsi="Arial" w:cstheme="minorBidi"/>
      <w:b/>
      <w:color w:val="365F91" w:themeColor="accent1" w:themeShade="BF"/>
      <w:sz w:val="30"/>
      <w:szCs w:val="22"/>
    </w:rPr>
  </w:style>
  <w:style w:type="paragraph" w:customStyle="1" w:styleId="BodyTextFirstIndent1">
    <w:name w:val="Body Text First Indent1"/>
    <w:basedOn w:val="Normal"/>
    <w:next w:val="BodyText"/>
    <w:rsid w:val="00352682"/>
    <w:pPr>
      <w:spacing w:before="120" w:after="160"/>
      <w:ind w:firstLine="360"/>
    </w:pPr>
    <w:rPr>
      <w:rFonts w:cs="Arial"/>
      <w:sz w:val="22"/>
      <w:szCs w:val="22"/>
    </w:rPr>
  </w:style>
  <w:style w:type="paragraph" w:customStyle="1" w:styleId="Subhead2">
    <w:name w:val="Subhead 2"/>
    <w:basedOn w:val="Subhead1"/>
    <w:qFormat/>
    <w:rsid w:val="00E24460"/>
    <w:rPr>
      <w:b w:val="0"/>
      <w:i/>
      <w:color w:val="404040" w:themeColor="text1" w:themeTint="BF"/>
      <w:sz w:val="26"/>
    </w:rPr>
  </w:style>
  <w:style w:type="paragraph" w:customStyle="1" w:styleId="Bodyblockindentquote">
    <w:name w:val="Body block indent quote"/>
    <w:basedOn w:val="BodyTextFirstIndent1"/>
    <w:rsid w:val="00E24460"/>
    <w:pPr>
      <w:ind w:left="720" w:firstLine="0"/>
      <w:jc w:val="both"/>
    </w:pPr>
  </w:style>
  <w:style w:type="paragraph" w:customStyle="1" w:styleId="Subhead3">
    <w:name w:val="Subhead 3"/>
    <w:basedOn w:val="Subhead2"/>
    <w:qFormat/>
    <w:rsid w:val="00E24460"/>
    <w:pPr>
      <w:ind w:left="720"/>
    </w:pPr>
    <w:rPr>
      <w:b/>
      <w:i w:val="0"/>
      <w:sz w:val="22"/>
    </w:rPr>
  </w:style>
  <w:style w:type="paragraph" w:customStyle="1" w:styleId="Chronologyitem">
    <w:name w:val="Chronology item"/>
    <w:basedOn w:val="Normal"/>
    <w:qFormat/>
    <w:rsid w:val="00E24460"/>
    <w:pPr>
      <w:tabs>
        <w:tab w:val="left" w:pos="1800"/>
      </w:tabs>
      <w:spacing w:before="120" w:after="120"/>
      <w:ind w:left="1440" w:hanging="1440"/>
    </w:pPr>
    <w:rPr>
      <w:rFonts w:ascii="Calibri" w:hAnsi="Calibri" w:cs="Arial"/>
      <w:sz w:val="22"/>
      <w:szCs w:val="22"/>
    </w:rPr>
  </w:style>
  <w:style w:type="paragraph" w:customStyle="1" w:styleId="Exhibitheading0">
    <w:name w:val="Exhibit heading"/>
    <w:basedOn w:val="Normal"/>
    <w:qFormat/>
    <w:rsid w:val="00E24460"/>
    <w:pPr>
      <w:keepNext/>
      <w:pBdr>
        <w:top w:val="single" w:sz="6" w:space="12" w:color="4F81BD" w:themeColor="accent1"/>
      </w:pBdr>
      <w:spacing w:before="480"/>
      <w:ind w:left="1584" w:hanging="1584"/>
    </w:pPr>
    <w:rPr>
      <w:rFonts w:ascii="Calibri" w:eastAsia="Cambria" w:hAnsi="Calibri"/>
      <w:bCs/>
      <w:sz w:val="28"/>
      <w:szCs w:val="32"/>
    </w:rPr>
  </w:style>
  <w:style w:type="table" w:customStyle="1" w:styleId="GridTable4-Accent11">
    <w:name w:val="Grid Table 4 - Accent 11"/>
    <w:basedOn w:val="TableNormal"/>
    <w:uiPriority w:val="49"/>
    <w:rsid w:val="00E244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AE62EE"/>
    <w:pPr>
      <w:spacing w:after="0" w:line="240" w:lineRule="auto"/>
    </w:pPr>
  </w:style>
  <w:style w:type="character" w:customStyle="1" w:styleId="author">
    <w:name w:val="author"/>
    <w:basedOn w:val="DefaultParagraphFont"/>
    <w:rsid w:val="001D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040219">
      <w:bodyDiv w:val="1"/>
      <w:marLeft w:val="0"/>
      <w:marRight w:val="0"/>
      <w:marTop w:val="0"/>
      <w:marBottom w:val="0"/>
      <w:divBdr>
        <w:top w:val="none" w:sz="0" w:space="0" w:color="auto"/>
        <w:left w:val="none" w:sz="0" w:space="0" w:color="auto"/>
        <w:bottom w:val="none" w:sz="0" w:space="0" w:color="auto"/>
        <w:right w:val="none" w:sz="0" w:space="0" w:color="auto"/>
      </w:divBdr>
      <w:divsChild>
        <w:div w:id="572815751">
          <w:marLeft w:val="0"/>
          <w:marRight w:val="0"/>
          <w:marTop w:val="75"/>
          <w:marBottom w:val="0"/>
          <w:divBdr>
            <w:top w:val="none" w:sz="0" w:space="0" w:color="auto"/>
            <w:left w:val="none" w:sz="0" w:space="0" w:color="auto"/>
            <w:bottom w:val="none" w:sz="0" w:space="0" w:color="auto"/>
            <w:right w:val="none" w:sz="0" w:space="0" w:color="auto"/>
          </w:divBdr>
        </w:div>
      </w:divsChild>
    </w:div>
    <w:div w:id="19173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80253718285214E-2"/>
          <c:y val="0.21692147856517899"/>
          <c:w val="0.85219685039370097"/>
          <c:h val="0.67567913385826806"/>
        </c:manualLayout>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Sheet1!$A$3:$A$43</c:f>
              <c:numCache>
                <c:formatCode>General</c:formatCode>
                <c:ptCount val="4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numCache>
            </c:numRef>
          </c:xVal>
          <c:yVal>
            <c:numRef>
              <c:f>Sheet1!$B$3:$B$43</c:f>
              <c:numCache>
                <c:formatCode>General</c:formatCode>
                <c:ptCount val="41"/>
                <c:pt idx="0">
                  <c:v>23</c:v>
                </c:pt>
                <c:pt idx="1">
                  <c:v>45</c:v>
                </c:pt>
                <c:pt idx="2">
                  <c:v>183</c:v>
                </c:pt>
                <c:pt idx="3">
                  <c:v>231</c:v>
                </c:pt>
                <c:pt idx="4">
                  <c:v>393</c:v>
                </c:pt>
                <c:pt idx="5">
                  <c:v>601</c:v>
                </c:pt>
                <c:pt idx="6">
                  <c:v>798</c:v>
                </c:pt>
                <c:pt idx="7">
                  <c:v>875</c:v>
                </c:pt>
                <c:pt idx="8">
                  <c:v>903</c:v>
                </c:pt>
                <c:pt idx="9">
                  <c:v>966</c:v>
                </c:pt>
                <c:pt idx="10">
                  <c:v>1024</c:v>
                </c:pt>
                <c:pt idx="11">
                  <c:v>1065</c:v>
                </c:pt>
                <c:pt idx="12">
                  <c:v>1101</c:v>
                </c:pt>
                <c:pt idx="13">
                  <c:v>1128</c:v>
                </c:pt>
                <c:pt idx="14">
                  <c:v>1143</c:v>
                </c:pt>
                <c:pt idx="15">
                  <c:v>1156</c:v>
                </c:pt>
                <c:pt idx="16">
                  <c:v>1175</c:v>
                </c:pt>
                <c:pt idx="17">
                  <c:v>1185</c:v>
                </c:pt>
                <c:pt idx="18">
                  <c:v>1197</c:v>
                </c:pt>
                <c:pt idx="19">
                  <c:v>1199</c:v>
                </c:pt>
                <c:pt idx="20">
                  <c:v>1201</c:v>
                </c:pt>
                <c:pt idx="21">
                  <c:v>1239</c:v>
                </c:pt>
                <c:pt idx="22">
                  <c:v>1357</c:v>
                </c:pt>
                <c:pt idx="23">
                  <c:v>1478</c:v>
                </c:pt>
                <c:pt idx="24">
                  <c:v>1531</c:v>
                </c:pt>
                <c:pt idx="25">
                  <c:v>1565</c:v>
                </c:pt>
                <c:pt idx="26">
                  <c:v>1571</c:v>
                </c:pt>
                <c:pt idx="27">
                  <c:v>1582</c:v>
                </c:pt>
                <c:pt idx="28">
                  <c:v>1613</c:v>
                </c:pt>
                <c:pt idx="29">
                  <c:v>1654</c:v>
                </c:pt>
                <c:pt idx="30">
                  <c:v>1593</c:v>
                </c:pt>
                <c:pt idx="31">
                  <c:v>1600</c:v>
                </c:pt>
                <c:pt idx="32">
                  <c:v>1611</c:v>
                </c:pt>
                <c:pt idx="33">
                  <c:v>1612</c:v>
                </c:pt>
                <c:pt idx="34">
                  <c:v>1575</c:v>
                </c:pt>
                <c:pt idx="35">
                  <c:v>1576</c:v>
                </c:pt>
                <c:pt idx="36">
                  <c:v>1577</c:v>
                </c:pt>
                <c:pt idx="37">
                  <c:v>1578</c:v>
                </c:pt>
                <c:pt idx="38">
                  <c:v>1564</c:v>
                </c:pt>
                <c:pt idx="39">
                  <c:v>1581</c:v>
                </c:pt>
                <c:pt idx="40">
                  <c:v>1547</c:v>
                </c:pt>
              </c:numCache>
            </c:numRef>
          </c:yVal>
          <c:smooth val="0"/>
          <c:extLst>
            <c:ext xmlns:c16="http://schemas.microsoft.com/office/drawing/2014/chart" uri="{C3380CC4-5D6E-409C-BE32-E72D297353CC}">
              <c16:uniqueId val="{00000000-FC9A-407E-9375-9CC751964E16}"/>
            </c:ext>
          </c:extLst>
        </c:ser>
        <c:dLbls>
          <c:showLegendKey val="0"/>
          <c:showVal val="0"/>
          <c:showCatName val="0"/>
          <c:showSerName val="0"/>
          <c:showPercent val="0"/>
          <c:showBubbleSize val="0"/>
        </c:dLbls>
        <c:axId val="1505507200"/>
        <c:axId val="1505925328"/>
      </c:scatterChart>
      <c:valAx>
        <c:axId val="150550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925328"/>
        <c:crosses val="autoZero"/>
        <c:crossBetween val="midCat"/>
      </c:valAx>
      <c:valAx>
        <c:axId val="15059253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507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numRef>
              <c:f>Sheet1!$E$51:$E$91</c:f>
              <c:numCache>
                <c:formatCode>General</c:formatCode>
                <c:ptCount val="4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numCache>
            </c:numRef>
          </c:cat>
          <c:val>
            <c:numRef>
              <c:f>Sheet1!$F$51:$F$91</c:f>
              <c:numCache>
                <c:formatCode>"$"#,##0.0</c:formatCode>
                <c:ptCount val="41"/>
                <c:pt idx="0">
                  <c:v>0.1</c:v>
                </c:pt>
                <c:pt idx="1">
                  <c:v>0.2</c:v>
                </c:pt>
                <c:pt idx="2">
                  <c:v>0.3</c:v>
                </c:pt>
                <c:pt idx="3">
                  <c:v>0.4</c:v>
                </c:pt>
                <c:pt idx="4">
                  <c:v>0.5</c:v>
                </c:pt>
                <c:pt idx="5">
                  <c:v>0.6</c:v>
                </c:pt>
                <c:pt idx="6">
                  <c:v>0.7</c:v>
                </c:pt>
                <c:pt idx="7">
                  <c:v>0.8</c:v>
                </c:pt>
                <c:pt idx="8">
                  <c:v>0.9</c:v>
                </c:pt>
                <c:pt idx="9">
                  <c:v>1</c:v>
                </c:pt>
                <c:pt idx="10">
                  <c:v>1.2</c:v>
                </c:pt>
                <c:pt idx="11">
                  <c:v>1.25</c:v>
                </c:pt>
                <c:pt idx="12">
                  <c:v>1.3</c:v>
                </c:pt>
                <c:pt idx="13">
                  <c:v>1.4</c:v>
                </c:pt>
                <c:pt idx="14">
                  <c:v>1.5</c:v>
                </c:pt>
                <c:pt idx="15">
                  <c:v>1.6</c:v>
                </c:pt>
                <c:pt idx="16">
                  <c:v>1.6</c:v>
                </c:pt>
                <c:pt idx="17">
                  <c:v>1.7</c:v>
                </c:pt>
                <c:pt idx="18">
                  <c:v>1.7</c:v>
                </c:pt>
                <c:pt idx="19">
                  <c:v>1.8</c:v>
                </c:pt>
                <c:pt idx="20">
                  <c:v>2</c:v>
                </c:pt>
                <c:pt idx="21">
                  <c:v>2.5</c:v>
                </c:pt>
                <c:pt idx="22">
                  <c:v>2.8</c:v>
                </c:pt>
                <c:pt idx="23">
                  <c:v>3</c:v>
                </c:pt>
                <c:pt idx="24">
                  <c:v>3.3</c:v>
                </c:pt>
                <c:pt idx="25">
                  <c:v>4</c:v>
                </c:pt>
                <c:pt idx="26">
                  <c:v>5</c:v>
                </c:pt>
                <c:pt idx="27">
                  <c:v>6</c:v>
                </c:pt>
                <c:pt idx="28">
                  <c:v>7</c:v>
                </c:pt>
                <c:pt idx="29">
                  <c:v>8</c:v>
                </c:pt>
                <c:pt idx="30">
                  <c:v>9</c:v>
                </c:pt>
                <c:pt idx="31">
                  <c:v>10.1</c:v>
                </c:pt>
                <c:pt idx="32">
                  <c:v>11.2</c:v>
                </c:pt>
                <c:pt idx="33">
                  <c:v>9.7000000000000011</c:v>
                </c:pt>
                <c:pt idx="34">
                  <c:v>6.2</c:v>
                </c:pt>
                <c:pt idx="35">
                  <c:v>6.5</c:v>
                </c:pt>
                <c:pt idx="36">
                  <c:v>6.6</c:v>
                </c:pt>
                <c:pt idx="37">
                  <c:v>6.8</c:v>
                </c:pt>
                <c:pt idx="38">
                  <c:v>6.9</c:v>
                </c:pt>
                <c:pt idx="39">
                  <c:v>7.2</c:v>
                </c:pt>
                <c:pt idx="40">
                  <c:v>8.6</c:v>
                </c:pt>
              </c:numCache>
            </c:numRef>
          </c:val>
          <c:smooth val="0"/>
          <c:extLst>
            <c:ext xmlns:c16="http://schemas.microsoft.com/office/drawing/2014/chart" uri="{C3380CC4-5D6E-409C-BE32-E72D297353CC}">
              <c16:uniqueId val="{00000000-5212-486F-A787-693E6FB86426}"/>
            </c:ext>
          </c:extLst>
        </c:ser>
        <c:dLbls>
          <c:showLegendKey val="0"/>
          <c:showVal val="0"/>
          <c:showCatName val="0"/>
          <c:showSerName val="0"/>
          <c:showPercent val="0"/>
          <c:showBubbleSize val="0"/>
        </c:dLbls>
        <c:smooth val="0"/>
        <c:axId val="1505254528"/>
        <c:axId val="1506153184"/>
      </c:lineChart>
      <c:catAx>
        <c:axId val="150525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as of December 31st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153184"/>
        <c:crosses val="autoZero"/>
        <c:auto val="1"/>
        <c:lblAlgn val="ctr"/>
        <c:lblOffset val="100"/>
        <c:noMultiLvlLbl val="0"/>
      </c:catAx>
      <c:valAx>
        <c:axId val="150615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Billions of US$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25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91151-7045-40D4-A18F-FFF2B2901F47}"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1D9B9C8F-3F2A-4AC4-BF53-51BFC03C43AF}">
      <dgm:prSet phldrT="[Text]" custT="1"/>
      <dgm:spPr/>
      <dgm:t>
        <a:bodyPr/>
        <a:lstStyle/>
        <a:p>
          <a:pPr algn="ctr"/>
          <a:r>
            <a:rPr lang="en-US" sz="1200">
              <a:effectLst/>
            </a:rPr>
            <a:t>DY </a:t>
          </a:r>
          <a:r>
            <a:rPr lang="en-US" sz="1200" b="0" cap="none" spc="0">
              <a:ln w="0"/>
              <a:effectLst/>
            </a:rPr>
            <a:t>Bech</a:t>
          </a:r>
          <a:r>
            <a:rPr lang="en-US" sz="1200">
              <a:effectLst/>
            </a:rPr>
            <a:t> Holdings</a:t>
          </a:r>
        </a:p>
      </dgm:t>
    </dgm:pt>
    <dgm:pt modelId="{87591FC3-F8DB-4BDB-9465-709314A45C6C}" type="parTrans" cxnId="{8BF1574F-66F9-4DE6-A016-B639554888AA}">
      <dgm:prSet/>
      <dgm:spPr/>
      <dgm:t>
        <a:bodyPr/>
        <a:lstStyle/>
        <a:p>
          <a:pPr algn="ctr"/>
          <a:endParaRPr lang="en-US">
            <a:solidFill>
              <a:sysClr val="windowText" lastClr="000000"/>
            </a:solidFill>
            <a:effectLst/>
          </a:endParaRPr>
        </a:p>
      </dgm:t>
    </dgm:pt>
    <dgm:pt modelId="{C32518BA-23EA-4E98-B42D-5C98D7BDEA1B}" type="sibTrans" cxnId="{8BF1574F-66F9-4DE6-A016-B639554888AA}">
      <dgm:prSet/>
      <dgm:spPr/>
      <dgm:t>
        <a:bodyPr/>
        <a:lstStyle/>
        <a:p>
          <a:pPr algn="ctr"/>
          <a:endParaRPr lang="en-US">
            <a:solidFill>
              <a:sysClr val="windowText" lastClr="000000"/>
            </a:solidFill>
            <a:effectLst/>
          </a:endParaRPr>
        </a:p>
      </dgm:t>
    </dgm:pt>
    <dgm:pt modelId="{3E8C3065-2E0F-4D28-96C9-5344D87D6C3E}" type="asst">
      <dgm:prSet phldrT="[Text]" custT="1"/>
      <dgm:spPr/>
      <dgm:t>
        <a:bodyPr/>
        <a:lstStyle/>
        <a:p>
          <a:pPr algn="ctr"/>
          <a:r>
            <a:rPr lang="en-US" sz="1200">
              <a:effectLst/>
            </a:rPr>
            <a:t>Raintree Hospitality, LLC</a:t>
          </a:r>
        </a:p>
      </dgm:t>
    </dgm:pt>
    <dgm:pt modelId="{3137DADD-EC82-4269-B40E-B180CD3E6126}" type="parTrans" cxnId="{98F39436-6239-46AB-8158-87DFE195420D}">
      <dgm:prSet/>
      <dgm:spPr/>
      <dgm:t>
        <a:bodyPr/>
        <a:lstStyle/>
        <a:p>
          <a:pPr algn="ctr"/>
          <a:endParaRPr lang="en-US">
            <a:solidFill>
              <a:sysClr val="windowText" lastClr="000000"/>
            </a:solidFill>
            <a:effectLst/>
          </a:endParaRPr>
        </a:p>
      </dgm:t>
    </dgm:pt>
    <dgm:pt modelId="{05802EB5-AE8B-4EAC-946E-2A102C66076A}" type="sibTrans" cxnId="{98F39436-6239-46AB-8158-87DFE195420D}">
      <dgm:prSet/>
      <dgm:spPr/>
      <dgm:t>
        <a:bodyPr/>
        <a:lstStyle/>
        <a:p>
          <a:pPr algn="ctr"/>
          <a:endParaRPr lang="en-US">
            <a:solidFill>
              <a:sysClr val="windowText" lastClr="000000"/>
            </a:solidFill>
            <a:effectLst/>
          </a:endParaRPr>
        </a:p>
      </dgm:t>
    </dgm:pt>
    <dgm:pt modelId="{DB91C898-CDDF-4A55-A3C5-FB6E03A47303}">
      <dgm:prSet phldrT="[Text]" custT="1"/>
      <dgm:spPr/>
      <dgm:t>
        <a:bodyPr/>
        <a:lstStyle/>
        <a:p>
          <a:pPr algn="ctr"/>
          <a:r>
            <a:rPr lang="en-US" sz="1200">
              <a:effectLst/>
            </a:rPr>
            <a:t>RVC Members Trust</a:t>
          </a:r>
        </a:p>
      </dgm:t>
    </dgm:pt>
    <dgm:pt modelId="{5D7D4EBA-78D7-4DD3-9C9A-D205D39A8D7A}" type="parTrans" cxnId="{8A8DABA2-8875-4274-9BE6-8369229BE331}">
      <dgm:prSet/>
      <dgm:spPr/>
      <dgm:t>
        <a:bodyPr/>
        <a:lstStyle/>
        <a:p>
          <a:pPr algn="ctr"/>
          <a:endParaRPr lang="en-US">
            <a:solidFill>
              <a:sysClr val="windowText" lastClr="000000"/>
            </a:solidFill>
            <a:effectLst/>
          </a:endParaRPr>
        </a:p>
      </dgm:t>
    </dgm:pt>
    <dgm:pt modelId="{9AA2A0EA-AFFB-417E-B00D-FB375ADE0D4E}" type="sibTrans" cxnId="{8A8DABA2-8875-4274-9BE6-8369229BE331}">
      <dgm:prSet/>
      <dgm:spPr/>
      <dgm:t>
        <a:bodyPr/>
        <a:lstStyle/>
        <a:p>
          <a:pPr algn="ctr"/>
          <a:endParaRPr lang="en-US">
            <a:solidFill>
              <a:sysClr val="windowText" lastClr="000000"/>
            </a:solidFill>
            <a:effectLst/>
          </a:endParaRPr>
        </a:p>
      </dgm:t>
    </dgm:pt>
    <dgm:pt modelId="{812B7394-A255-4568-9310-E9BB61E08A28}">
      <dgm:prSet phldrT="[Text]" custT="1"/>
      <dgm:spPr/>
      <dgm:t>
        <a:bodyPr/>
        <a:lstStyle/>
        <a:p>
          <a:pPr algn="ctr"/>
          <a:r>
            <a:rPr lang="en-US" sz="1200">
              <a:effectLst/>
            </a:rPr>
            <a:t>ARD Inventory, LLCs</a:t>
          </a:r>
        </a:p>
      </dgm:t>
    </dgm:pt>
    <dgm:pt modelId="{2F163EB3-B1C4-47F5-A00F-333E317053B1}" type="parTrans" cxnId="{CE2097FC-2271-4EFF-B3AC-7A0248DDF4E7}">
      <dgm:prSet/>
      <dgm:spPr/>
      <dgm:t>
        <a:bodyPr/>
        <a:lstStyle/>
        <a:p>
          <a:pPr algn="ctr"/>
          <a:endParaRPr lang="en-US">
            <a:solidFill>
              <a:sysClr val="windowText" lastClr="000000"/>
            </a:solidFill>
            <a:effectLst/>
          </a:endParaRPr>
        </a:p>
      </dgm:t>
    </dgm:pt>
    <dgm:pt modelId="{863A761C-7091-44ED-A4A0-3F1B9439D3E7}" type="sibTrans" cxnId="{CE2097FC-2271-4EFF-B3AC-7A0248DDF4E7}">
      <dgm:prSet/>
      <dgm:spPr/>
      <dgm:t>
        <a:bodyPr/>
        <a:lstStyle/>
        <a:p>
          <a:pPr algn="ctr"/>
          <a:endParaRPr lang="en-US">
            <a:solidFill>
              <a:sysClr val="windowText" lastClr="000000"/>
            </a:solidFill>
            <a:effectLst/>
          </a:endParaRPr>
        </a:p>
      </dgm:t>
    </dgm:pt>
    <dgm:pt modelId="{EEF23FA7-FEBF-4DBB-9A39-1960AC3F4E31}">
      <dgm:prSet phldrT="[Text]" custT="1"/>
      <dgm:spPr/>
      <dgm:t>
        <a:bodyPr/>
        <a:lstStyle/>
        <a:p>
          <a:pPr algn="ctr"/>
          <a:r>
            <a:rPr lang="en-US" sz="1200">
              <a:effectLst/>
            </a:rPr>
            <a:t>Raintree Sales &amp; Marketing, LLC </a:t>
          </a:r>
        </a:p>
      </dgm:t>
    </dgm:pt>
    <dgm:pt modelId="{411DF7EA-DA46-4F31-9467-9FFC1FC924D8}" type="parTrans" cxnId="{19FF7DB1-A979-463E-9525-D3CBD8637D64}">
      <dgm:prSet/>
      <dgm:spPr/>
      <dgm:t>
        <a:bodyPr/>
        <a:lstStyle/>
        <a:p>
          <a:pPr algn="ctr"/>
          <a:endParaRPr lang="en-US">
            <a:solidFill>
              <a:sysClr val="windowText" lastClr="000000"/>
            </a:solidFill>
            <a:effectLst/>
          </a:endParaRPr>
        </a:p>
      </dgm:t>
    </dgm:pt>
    <dgm:pt modelId="{207E66EE-F5DA-4B71-B0C9-DEEF57D90464}" type="sibTrans" cxnId="{19FF7DB1-A979-463E-9525-D3CBD8637D64}">
      <dgm:prSet/>
      <dgm:spPr/>
      <dgm:t>
        <a:bodyPr/>
        <a:lstStyle/>
        <a:p>
          <a:pPr algn="ctr"/>
          <a:endParaRPr lang="en-US">
            <a:solidFill>
              <a:sysClr val="windowText" lastClr="000000"/>
            </a:solidFill>
            <a:effectLst/>
          </a:endParaRPr>
        </a:p>
      </dgm:t>
    </dgm:pt>
    <dgm:pt modelId="{A879F795-D4EA-4310-84E8-F072320D09EC}" type="asst">
      <dgm:prSet custT="1"/>
      <dgm:spPr/>
      <dgm:t>
        <a:bodyPr/>
        <a:lstStyle/>
        <a:p>
          <a:pPr algn="ctr"/>
          <a:r>
            <a:rPr lang="en-US" sz="1200">
              <a:effectLst/>
            </a:rPr>
            <a:t>ARD Holdings, LLC</a:t>
          </a:r>
        </a:p>
      </dgm:t>
    </dgm:pt>
    <dgm:pt modelId="{749881CF-E0E1-4C36-A50A-19D6AADFDF72}" type="parTrans" cxnId="{68CDD35A-3718-4D38-8395-5F7A7C82CF7D}">
      <dgm:prSet/>
      <dgm:spPr/>
      <dgm:t>
        <a:bodyPr/>
        <a:lstStyle/>
        <a:p>
          <a:pPr algn="ctr"/>
          <a:endParaRPr lang="en-US">
            <a:solidFill>
              <a:sysClr val="windowText" lastClr="000000"/>
            </a:solidFill>
            <a:effectLst/>
          </a:endParaRPr>
        </a:p>
      </dgm:t>
    </dgm:pt>
    <dgm:pt modelId="{A605A2A6-06F1-432C-9AEF-C791FE56C3B9}" type="sibTrans" cxnId="{68CDD35A-3718-4D38-8395-5F7A7C82CF7D}">
      <dgm:prSet/>
      <dgm:spPr/>
      <dgm:t>
        <a:bodyPr/>
        <a:lstStyle/>
        <a:p>
          <a:pPr algn="ctr"/>
          <a:endParaRPr lang="en-US">
            <a:solidFill>
              <a:sysClr val="windowText" lastClr="000000"/>
            </a:solidFill>
            <a:effectLst/>
          </a:endParaRPr>
        </a:p>
      </dgm:t>
    </dgm:pt>
    <dgm:pt modelId="{2EC6B152-E233-4729-9292-652C4DF8D124}" type="pres">
      <dgm:prSet presAssocID="{6F391151-7045-40D4-A18F-FFF2B2901F47}" presName="hierChild1" presStyleCnt="0">
        <dgm:presLayoutVars>
          <dgm:orgChart val="1"/>
          <dgm:chPref val="1"/>
          <dgm:dir/>
          <dgm:animOne val="branch"/>
          <dgm:animLvl val="lvl"/>
          <dgm:resizeHandles/>
        </dgm:presLayoutVars>
      </dgm:prSet>
      <dgm:spPr/>
      <dgm:t>
        <a:bodyPr/>
        <a:lstStyle/>
        <a:p>
          <a:endParaRPr lang="en-US"/>
        </a:p>
      </dgm:t>
    </dgm:pt>
    <dgm:pt modelId="{800D4390-70FF-41DC-86B1-2C6006A2AA83}" type="pres">
      <dgm:prSet presAssocID="{1D9B9C8F-3F2A-4AC4-BF53-51BFC03C43AF}" presName="hierRoot1" presStyleCnt="0">
        <dgm:presLayoutVars>
          <dgm:hierBranch val="init"/>
        </dgm:presLayoutVars>
      </dgm:prSet>
      <dgm:spPr/>
    </dgm:pt>
    <dgm:pt modelId="{4077571E-7C97-4CB6-8E76-A32ABB002DAD}" type="pres">
      <dgm:prSet presAssocID="{1D9B9C8F-3F2A-4AC4-BF53-51BFC03C43AF}" presName="rootComposite1" presStyleCnt="0"/>
      <dgm:spPr/>
    </dgm:pt>
    <dgm:pt modelId="{761CBB65-E6AF-4918-B24C-6FF8611557E8}" type="pres">
      <dgm:prSet presAssocID="{1D9B9C8F-3F2A-4AC4-BF53-51BFC03C43AF}" presName="rootText1" presStyleLbl="node0" presStyleIdx="0" presStyleCnt="1" custScaleX="71260" custScaleY="46468">
        <dgm:presLayoutVars>
          <dgm:chPref val="3"/>
        </dgm:presLayoutVars>
      </dgm:prSet>
      <dgm:spPr/>
      <dgm:t>
        <a:bodyPr/>
        <a:lstStyle/>
        <a:p>
          <a:endParaRPr lang="en-US"/>
        </a:p>
      </dgm:t>
    </dgm:pt>
    <dgm:pt modelId="{60F8E948-2561-4453-90C2-E402F3247E06}" type="pres">
      <dgm:prSet presAssocID="{1D9B9C8F-3F2A-4AC4-BF53-51BFC03C43AF}" presName="rootConnector1" presStyleLbl="node1" presStyleIdx="0" presStyleCnt="0"/>
      <dgm:spPr/>
      <dgm:t>
        <a:bodyPr/>
        <a:lstStyle/>
        <a:p>
          <a:endParaRPr lang="en-US"/>
        </a:p>
      </dgm:t>
    </dgm:pt>
    <dgm:pt modelId="{FC381580-AD4D-45A3-A0B9-9648CFC3FF0D}" type="pres">
      <dgm:prSet presAssocID="{1D9B9C8F-3F2A-4AC4-BF53-51BFC03C43AF}" presName="hierChild2" presStyleCnt="0"/>
      <dgm:spPr/>
    </dgm:pt>
    <dgm:pt modelId="{39A51AA6-20D0-477F-9A33-A50AE66D53C9}" type="pres">
      <dgm:prSet presAssocID="{5D7D4EBA-78D7-4DD3-9C9A-D205D39A8D7A}" presName="Name37" presStyleLbl="parChTrans1D2" presStyleIdx="0" presStyleCnt="5"/>
      <dgm:spPr/>
      <dgm:t>
        <a:bodyPr/>
        <a:lstStyle/>
        <a:p>
          <a:endParaRPr lang="en-US"/>
        </a:p>
      </dgm:t>
    </dgm:pt>
    <dgm:pt modelId="{4C1D8686-AD47-461E-AEB5-65A6CD9900E9}" type="pres">
      <dgm:prSet presAssocID="{DB91C898-CDDF-4A55-A3C5-FB6E03A47303}" presName="hierRoot2" presStyleCnt="0">
        <dgm:presLayoutVars>
          <dgm:hierBranch val="init"/>
        </dgm:presLayoutVars>
      </dgm:prSet>
      <dgm:spPr/>
    </dgm:pt>
    <dgm:pt modelId="{8898B540-3B4B-491E-BD57-B6F6997F8ECE}" type="pres">
      <dgm:prSet presAssocID="{DB91C898-CDDF-4A55-A3C5-FB6E03A47303}" presName="rootComposite" presStyleCnt="0"/>
      <dgm:spPr/>
    </dgm:pt>
    <dgm:pt modelId="{EA7EA7FE-A57C-4C40-965A-2DC19E1AB510}" type="pres">
      <dgm:prSet presAssocID="{DB91C898-CDDF-4A55-A3C5-FB6E03A47303}" presName="rootText" presStyleLbl="node2" presStyleIdx="0" presStyleCnt="3" custScaleX="72887" custScaleY="38461">
        <dgm:presLayoutVars>
          <dgm:chPref val="3"/>
        </dgm:presLayoutVars>
      </dgm:prSet>
      <dgm:spPr/>
      <dgm:t>
        <a:bodyPr/>
        <a:lstStyle/>
        <a:p>
          <a:endParaRPr lang="en-US"/>
        </a:p>
      </dgm:t>
    </dgm:pt>
    <dgm:pt modelId="{765551E3-FD07-4717-920F-41C34BBAD6A1}" type="pres">
      <dgm:prSet presAssocID="{DB91C898-CDDF-4A55-A3C5-FB6E03A47303}" presName="rootConnector" presStyleLbl="node2" presStyleIdx="0" presStyleCnt="3"/>
      <dgm:spPr/>
      <dgm:t>
        <a:bodyPr/>
        <a:lstStyle/>
        <a:p>
          <a:endParaRPr lang="en-US"/>
        </a:p>
      </dgm:t>
    </dgm:pt>
    <dgm:pt modelId="{EDB6B67B-9F3D-4A90-9D63-86319499CA23}" type="pres">
      <dgm:prSet presAssocID="{DB91C898-CDDF-4A55-A3C5-FB6E03A47303}" presName="hierChild4" presStyleCnt="0"/>
      <dgm:spPr/>
    </dgm:pt>
    <dgm:pt modelId="{798B9485-92AB-40C2-8774-40F4FC2BF4C8}" type="pres">
      <dgm:prSet presAssocID="{DB91C898-CDDF-4A55-A3C5-FB6E03A47303}" presName="hierChild5" presStyleCnt="0"/>
      <dgm:spPr/>
    </dgm:pt>
    <dgm:pt modelId="{EECBA213-BEA1-497D-AA46-1A3253F5B65D}" type="pres">
      <dgm:prSet presAssocID="{2F163EB3-B1C4-47F5-A00F-333E317053B1}" presName="Name37" presStyleLbl="parChTrans1D2" presStyleIdx="1" presStyleCnt="5"/>
      <dgm:spPr/>
      <dgm:t>
        <a:bodyPr/>
        <a:lstStyle/>
        <a:p>
          <a:endParaRPr lang="en-US"/>
        </a:p>
      </dgm:t>
    </dgm:pt>
    <dgm:pt modelId="{2E7E905F-B8A9-41F9-BEA7-0264AF3489CB}" type="pres">
      <dgm:prSet presAssocID="{812B7394-A255-4568-9310-E9BB61E08A28}" presName="hierRoot2" presStyleCnt="0">
        <dgm:presLayoutVars>
          <dgm:hierBranch val="init"/>
        </dgm:presLayoutVars>
      </dgm:prSet>
      <dgm:spPr/>
    </dgm:pt>
    <dgm:pt modelId="{8E2B2A4F-0F91-4391-B143-FB1427916F10}" type="pres">
      <dgm:prSet presAssocID="{812B7394-A255-4568-9310-E9BB61E08A28}" presName="rootComposite" presStyleCnt="0"/>
      <dgm:spPr/>
    </dgm:pt>
    <dgm:pt modelId="{C988DCC1-B6D9-4016-8A20-DCC5CE2A2053}" type="pres">
      <dgm:prSet presAssocID="{812B7394-A255-4568-9310-E9BB61E08A28}" presName="rootText" presStyleLbl="node2" presStyleIdx="1" presStyleCnt="3" custScaleX="86000" custScaleY="45643" custLinFactNeighborX="1390">
        <dgm:presLayoutVars>
          <dgm:chPref val="3"/>
        </dgm:presLayoutVars>
      </dgm:prSet>
      <dgm:spPr/>
      <dgm:t>
        <a:bodyPr/>
        <a:lstStyle/>
        <a:p>
          <a:endParaRPr lang="en-US"/>
        </a:p>
      </dgm:t>
    </dgm:pt>
    <dgm:pt modelId="{AFAC9814-D860-4CB8-A35C-DE7E6C7DFD31}" type="pres">
      <dgm:prSet presAssocID="{812B7394-A255-4568-9310-E9BB61E08A28}" presName="rootConnector" presStyleLbl="node2" presStyleIdx="1" presStyleCnt="3"/>
      <dgm:spPr/>
      <dgm:t>
        <a:bodyPr/>
        <a:lstStyle/>
        <a:p>
          <a:endParaRPr lang="en-US"/>
        </a:p>
      </dgm:t>
    </dgm:pt>
    <dgm:pt modelId="{CE7F4C65-3346-469A-B4F1-EAAF193C9C3D}" type="pres">
      <dgm:prSet presAssocID="{812B7394-A255-4568-9310-E9BB61E08A28}" presName="hierChild4" presStyleCnt="0"/>
      <dgm:spPr/>
    </dgm:pt>
    <dgm:pt modelId="{D236B6EB-654C-412F-865A-DD518F80CD20}" type="pres">
      <dgm:prSet presAssocID="{812B7394-A255-4568-9310-E9BB61E08A28}" presName="hierChild5" presStyleCnt="0"/>
      <dgm:spPr/>
    </dgm:pt>
    <dgm:pt modelId="{AEA29AA1-3A60-4C96-B99E-BC7AF0198587}" type="pres">
      <dgm:prSet presAssocID="{411DF7EA-DA46-4F31-9467-9FFC1FC924D8}" presName="Name37" presStyleLbl="parChTrans1D2" presStyleIdx="2" presStyleCnt="5"/>
      <dgm:spPr/>
      <dgm:t>
        <a:bodyPr/>
        <a:lstStyle/>
        <a:p>
          <a:endParaRPr lang="en-US"/>
        </a:p>
      </dgm:t>
    </dgm:pt>
    <dgm:pt modelId="{DB2C9EAE-315C-49D2-A96D-0A40086B2EC3}" type="pres">
      <dgm:prSet presAssocID="{EEF23FA7-FEBF-4DBB-9A39-1960AC3F4E31}" presName="hierRoot2" presStyleCnt="0">
        <dgm:presLayoutVars>
          <dgm:hierBranch val="init"/>
        </dgm:presLayoutVars>
      </dgm:prSet>
      <dgm:spPr/>
    </dgm:pt>
    <dgm:pt modelId="{10D9B0D6-AD4E-423B-94C2-9D4DC5017F7A}" type="pres">
      <dgm:prSet presAssocID="{EEF23FA7-FEBF-4DBB-9A39-1960AC3F4E31}" presName="rootComposite" presStyleCnt="0"/>
      <dgm:spPr/>
    </dgm:pt>
    <dgm:pt modelId="{48D4DB3A-8A68-4CF1-B494-2068429B7F1F}" type="pres">
      <dgm:prSet presAssocID="{EEF23FA7-FEBF-4DBB-9A39-1960AC3F4E31}" presName="rootText" presStyleLbl="node2" presStyleIdx="2" presStyleCnt="3" custScaleX="59605" custScaleY="47588" custLinFactNeighborX="-2159" custLinFactNeighborY="1079">
        <dgm:presLayoutVars>
          <dgm:chPref val="3"/>
        </dgm:presLayoutVars>
      </dgm:prSet>
      <dgm:spPr/>
      <dgm:t>
        <a:bodyPr/>
        <a:lstStyle/>
        <a:p>
          <a:endParaRPr lang="en-US"/>
        </a:p>
      </dgm:t>
    </dgm:pt>
    <dgm:pt modelId="{21179328-CD45-4DAE-A908-3796041A36B1}" type="pres">
      <dgm:prSet presAssocID="{EEF23FA7-FEBF-4DBB-9A39-1960AC3F4E31}" presName="rootConnector" presStyleLbl="node2" presStyleIdx="2" presStyleCnt="3"/>
      <dgm:spPr/>
      <dgm:t>
        <a:bodyPr/>
        <a:lstStyle/>
        <a:p>
          <a:endParaRPr lang="en-US"/>
        </a:p>
      </dgm:t>
    </dgm:pt>
    <dgm:pt modelId="{D3CCF335-97E5-4AF1-988B-23ACC6ADCE27}" type="pres">
      <dgm:prSet presAssocID="{EEF23FA7-FEBF-4DBB-9A39-1960AC3F4E31}" presName="hierChild4" presStyleCnt="0"/>
      <dgm:spPr/>
    </dgm:pt>
    <dgm:pt modelId="{33F32C0B-8A98-403A-905C-D4E33787C8E6}" type="pres">
      <dgm:prSet presAssocID="{EEF23FA7-FEBF-4DBB-9A39-1960AC3F4E31}" presName="hierChild5" presStyleCnt="0"/>
      <dgm:spPr/>
    </dgm:pt>
    <dgm:pt modelId="{4AE74D4F-41C0-43CE-8A50-FB0433E748A1}" type="pres">
      <dgm:prSet presAssocID="{1D9B9C8F-3F2A-4AC4-BF53-51BFC03C43AF}" presName="hierChild3" presStyleCnt="0"/>
      <dgm:spPr/>
    </dgm:pt>
    <dgm:pt modelId="{4D125B92-0247-4C01-8838-A751E04C78A9}" type="pres">
      <dgm:prSet presAssocID="{3137DADD-EC82-4269-B40E-B180CD3E6126}" presName="Name111" presStyleLbl="parChTrans1D2" presStyleIdx="3" presStyleCnt="5"/>
      <dgm:spPr/>
      <dgm:t>
        <a:bodyPr/>
        <a:lstStyle/>
        <a:p>
          <a:endParaRPr lang="en-US"/>
        </a:p>
      </dgm:t>
    </dgm:pt>
    <dgm:pt modelId="{827C1454-349A-4DD0-B394-A9C2020E8F3F}" type="pres">
      <dgm:prSet presAssocID="{3E8C3065-2E0F-4D28-96C9-5344D87D6C3E}" presName="hierRoot3" presStyleCnt="0">
        <dgm:presLayoutVars>
          <dgm:hierBranch val="init"/>
        </dgm:presLayoutVars>
      </dgm:prSet>
      <dgm:spPr/>
    </dgm:pt>
    <dgm:pt modelId="{2AF430D7-DE30-4F48-803A-827EFA903EEC}" type="pres">
      <dgm:prSet presAssocID="{3E8C3065-2E0F-4D28-96C9-5344D87D6C3E}" presName="rootComposite3" presStyleCnt="0"/>
      <dgm:spPr/>
    </dgm:pt>
    <dgm:pt modelId="{E610AF43-B80A-4A08-A6C3-47F536E60407}" type="pres">
      <dgm:prSet presAssocID="{3E8C3065-2E0F-4D28-96C9-5344D87D6C3E}" presName="rootText3" presStyleLbl="asst1" presStyleIdx="0" presStyleCnt="2" custScaleX="53166" custScaleY="44602">
        <dgm:presLayoutVars>
          <dgm:chPref val="3"/>
        </dgm:presLayoutVars>
      </dgm:prSet>
      <dgm:spPr/>
      <dgm:t>
        <a:bodyPr/>
        <a:lstStyle/>
        <a:p>
          <a:endParaRPr lang="en-US"/>
        </a:p>
      </dgm:t>
    </dgm:pt>
    <dgm:pt modelId="{DF64D240-E3E8-40E8-A94F-6B1DD5169719}" type="pres">
      <dgm:prSet presAssocID="{3E8C3065-2E0F-4D28-96C9-5344D87D6C3E}" presName="rootConnector3" presStyleLbl="asst1" presStyleIdx="0" presStyleCnt="2"/>
      <dgm:spPr/>
      <dgm:t>
        <a:bodyPr/>
        <a:lstStyle/>
        <a:p>
          <a:endParaRPr lang="en-US"/>
        </a:p>
      </dgm:t>
    </dgm:pt>
    <dgm:pt modelId="{F633CAAF-A3C9-4DDE-BDFA-FBDA5DE3418C}" type="pres">
      <dgm:prSet presAssocID="{3E8C3065-2E0F-4D28-96C9-5344D87D6C3E}" presName="hierChild6" presStyleCnt="0"/>
      <dgm:spPr/>
    </dgm:pt>
    <dgm:pt modelId="{8DD19D56-9E6C-4BDE-8F91-01EE08182C14}" type="pres">
      <dgm:prSet presAssocID="{3E8C3065-2E0F-4D28-96C9-5344D87D6C3E}" presName="hierChild7" presStyleCnt="0"/>
      <dgm:spPr/>
    </dgm:pt>
    <dgm:pt modelId="{BBD7B1B2-3253-4068-A096-DFCC708B35F9}" type="pres">
      <dgm:prSet presAssocID="{749881CF-E0E1-4C36-A50A-19D6AADFDF72}" presName="Name111" presStyleLbl="parChTrans1D2" presStyleIdx="4" presStyleCnt="5"/>
      <dgm:spPr/>
      <dgm:t>
        <a:bodyPr/>
        <a:lstStyle/>
        <a:p>
          <a:endParaRPr lang="en-US"/>
        </a:p>
      </dgm:t>
    </dgm:pt>
    <dgm:pt modelId="{232E6BBA-9F3C-44E5-89ED-26FA34C70384}" type="pres">
      <dgm:prSet presAssocID="{A879F795-D4EA-4310-84E8-F072320D09EC}" presName="hierRoot3" presStyleCnt="0">
        <dgm:presLayoutVars>
          <dgm:hierBranch val="init"/>
        </dgm:presLayoutVars>
      </dgm:prSet>
      <dgm:spPr/>
    </dgm:pt>
    <dgm:pt modelId="{66DB69B1-9943-412B-AC7D-2CEEF15964A2}" type="pres">
      <dgm:prSet presAssocID="{A879F795-D4EA-4310-84E8-F072320D09EC}" presName="rootComposite3" presStyleCnt="0"/>
      <dgm:spPr/>
    </dgm:pt>
    <dgm:pt modelId="{75599E70-B9A6-4499-B710-2C5FEA300C35}" type="pres">
      <dgm:prSet presAssocID="{A879F795-D4EA-4310-84E8-F072320D09EC}" presName="rootText3" presStyleLbl="asst1" presStyleIdx="1" presStyleCnt="2" custScaleX="53834" custScaleY="35543">
        <dgm:presLayoutVars>
          <dgm:chPref val="3"/>
        </dgm:presLayoutVars>
      </dgm:prSet>
      <dgm:spPr/>
      <dgm:t>
        <a:bodyPr/>
        <a:lstStyle/>
        <a:p>
          <a:endParaRPr lang="en-US"/>
        </a:p>
      </dgm:t>
    </dgm:pt>
    <dgm:pt modelId="{2DB5F4D2-6286-451B-828A-632B98C52387}" type="pres">
      <dgm:prSet presAssocID="{A879F795-D4EA-4310-84E8-F072320D09EC}" presName="rootConnector3" presStyleLbl="asst1" presStyleIdx="1" presStyleCnt="2"/>
      <dgm:spPr/>
      <dgm:t>
        <a:bodyPr/>
        <a:lstStyle/>
        <a:p>
          <a:endParaRPr lang="en-US"/>
        </a:p>
      </dgm:t>
    </dgm:pt>
    <dgm:pt modelId="{845B8BE7-B12F-4053-80C2-9A2DE0A97DB1}" type="pres">
      <dgm:prSet presAssocID="{A879F795-D4EA-4310-84E8-F072320D09EC}" presName="hierChild6" presStyleCnt="0"/>
      <dgm:spPr/>
    </dgm:pt>
    <dgm:pt modelId="{1CA2FBCF-5533-4065-AB3C-92480C4D7715}" type="pres">
      <dgm:prSet presAssocID="{A879F795-D4EA-4310-84E8-F072320D09EC}" presName="hierChild7" presStyleCnt="0"/>
      <dgm:spPr/>
    </dgm:pt>
  </dgm:ptLst>
  <dgm:cxnLst>
    <dgm:cxn modelId="{373D3946-B696-E34B-BD15-4368130947CF}" type="presOf" srcId="{3E8C3065-2E0F-4D28-96C9-5344D87D6C3E}" destId="{E610AF43-B80A-4A08-A6C3-47F536E60407}" srcOrd="0" destOrd="0" presId="urn:microsoft.com/office/officeart/2005/8/layout/orgChart1"/>
    <dgm:cxn modelId="{44C0A13D-1936-3842-8F01-6287BD37BC1E}" type="presOf" srcId="{812B7394-A255-4568-9310-E9BB61E08A28}" destId="{C988DCC1-B6D9-4016-8A20-DCC5CE2A2053}" srcOrd="0" destOrd="0" presId="urn:microsoft.com/office/officeart/2005/8/layout/orgChart1"/>
    <dgm:cxn modelId="{49895789-C14F-E04E-9622-15221574F39D}" type="presOf" srcId="{411DF7EA-DA46-4F31-9467-9FFC1FC924D8}" destId="{AEA29AA1-3A60-4C96-B99E-BC7AF0198587}" srcOrd="0" destOrd="0" presId="urn:microsoft.com/office/officeart/2005/8/layout/orgChart1"/>
    <dgm:cxn modelId="{35B9A50A-8E72-154E-A231-1F468439ED68}" type="presOf" srcId="{1D9B9C8F-3F2A-4AC4-BF53-51BFC03C43AF}" destId="{60F8E948-2561-4453-90C2-E402F3247E06}" srcOrd="1" destOrd="0" presId="urn:microsoft.com/office/officeart/2005/8/layout/orgChart1"/>
    <dgm:cxn modelId="{A3DC6FFA-560D-C94A-8594-CC3DB0D406C1}" type="presOf" srcId="{6F391151-7045-40D4-A18F-FFF2B2901F47}" destId="{2EC6B152-E233-4729-9292-652C4DF8D124}" srcOrd="0" destOrd="0" presId="urn:microsoft.com/office/officeart/2005/8/layout/orgChart1"/>
    <dgm:cxn modelId="{F776AEDB-726F-964F-98A1-C4C23A6C892D}" type="presOf" srcId="{EEF23FA7-FEBF-4DBB-9A39-1960AC3F4E31}" destId="{21179328-CD45-4DAE-A908-3796041A36B1}" srcOrd="1" destOrd="0" presId="urn:microsoft.com/office/officeart/2005/8/layout/orgChart1"/>
    <dgm:cxn modelId="{14DBBD9C-984A-4C4B-88D1-DB27DAD2B000}" type="presOf" srcId="{A879F795-D4EA-4310-84E8-F072320D09EC}" destId="{2DB5F4D2-6286-451B-828A-632B98C52387}" srcOrd="1" destOrd="0" presId="urn:microsoft.com/office/officeart/2005/8/layout/orgChart1"/>
    <dgm:cxn modelId="{122E0B43-640A-104C-9E05-B7CD63CD2A5D}" type="presOf" srcId="{5D7D4EBA-78D7-4DD3-9C9A-D205D39A8D7A}" destId="{39A51AA6-20D0-477F-9A33-A50AE66D53C9}" srcOrd="0" destOrd="0" presId="urn:microsoft.com/office/officeart/2005/8/layout/orgChart1"/>
    <dgm:cxn modelId="{DA9A6839-10E7-8341-8640-A19C13A2A6FB}" type="presOf" srcId="{DB91C898-CDDF-4A55-A3C5-FB6E03A47303}" destId="{EA7EA7FE-A57C-4C40-965A-2DC19E1AB510}" srcOrd="0" destOrd="0" presId="urn:microsoft.com/office/officeart/2005/8/layout/orgChart1"/>
    <dgm:cxn modelId="{19FF7DB1-A979-463E-9525-D3CBD8637D64}" srcId="{1D9B9C8F-3F2A-4AC4-BF53-51BFC03C43AF}" destId="{EEF23FA7-FEBF-4DBB-9A39-1960AC3F4E31}" srcOrd="4" destOrd="0" parTransId="{411DF7EA-DA46-4F31-9467-9FFC1FC924D8}" sibTransId="{207E66EE-F5DA-4B71-B0C9-DEEF57D90464}"/>
    <dgm:cxn modelId="{362733C8-651F-9446-A779-72DDF7A86868}" type="presOf" srcId="{3E8C3065-2E0F-4D28-96C9-5344D87D6C3E}" destId="{DF64D240-E3E8-40E8-A94F-6B1DD5169719}" srcOrd="1" destOrd="0" presId="urn:microsoft.com/office/officeart/2005/8/layout/orgChart1"/>
    <dgm:cxn modelId="{8A8DABA2-8875-4274-9BE6-8369229BE331}" srcId="{1D9B9C8F-3F2A-4AC4-BF53-51BFC03C43AF}" destId="{DB91C898-CDDF-4A55-A3C5-FB6E03A47303}" srcOrd="2" destOrd="0" parTransId="{5D7D4EBA-78D7-4DD3-9C9A-D205D39A8D7A}" sibTransId="{9AA2A0EA-AFFB-417E-B00D-FB375ADE0D4E}"/>
    <dgm:cxn modelId="{8BF1574F-66F9-4DE6-A016-B639554888AA}" srcId="{6F391151-7045-40D4-A18F-FFF2B2901F47}" destId="{1D9B9C8F-3F2A-4AC4-BF53-51BFC03C43AF}" srcOrd="0" destOrd="0" parTransId="{87591FC3-F8DB-4BDB-9465-709314A45C6C}" sibTransId="{C32518BA-23EA-4E98-B42D-5C98D7BDEA1B}"/>
    <dgm:cxn modelId="{CE2097FC-2271-4EFF-B3AC-7A0248DDF4E7}" srcId="{1D9B9C8F-3F2A-4AC4-BF53-51BFC03C43AF}" destId="{812B7394-A255-4568-9310-E9BB61E08A28}" srcOrd="3" destOrd="0" parTransId="{2F163EB3-B1C4-47F5-A00F-333E317053B1}" sibTransId="{863A761C-7091-44ED-A4A0-3F1B9439D3E7}"/>
    <dgm:cxn modelId="{68CDD35A-3718-4D38-8395-5F7A7C82CF7D}" srcId="{1D9B9C8F-3F2A-4AC4-BF53-51BFC03C43AF}" destId="{A879F795-D4EA-4310-84E8-F072320D09EC}" srcOrd="1" destOrd="0" parTransId="{749881CF-E0E1-4C36-A50A-19D6AADFDF72}" sibTransId="{A605A2A6-06F1-432C-9AEF-C791FE56C3B9}"/>
    <dgm:cxn modelId="{362C34E7-296F-AB48-A232-B6A3A80ADDB4}" type="presOf" srcId="{812B7394-A255-4568-9310-E9BB61E08A28}" destId="{AFAC9814-D860-4CB8-A35C-DE7E6C7DFD31}" srcOrd="1" destOrd="0" presId="urn:microsoft.com/office/officeart/2005/8/layout/orgChart1"/>
    <dgm:cxn modelId="{EDDE9B86-67A9-0740-A123-CC70A7FE70C3}" type="presOf" srcId="{A879F795-D4EA-4310-84E8-F072320D09EC}" destId="{75599E70-B9A6-4499-B710-2C5FEA300C35}" srcOrd="0" destOrd="0" presId="urn:microsoft.com/office/officeart/2005/8/layout/orgChart1"/>
    <dgm:cxn modelId="{0E688DB3-F63B-6D48-BC1A-36D6657AA743}" type="presOf" srcId="{EEF23FA7-FEBF-4DBB-9A39-1960AC3F4E31}" destId="{48D4DB3A-8A68-4CF1-B494-2068429B7F1F}" srcOrd="0" destOrd="0" presId="urn:microsoft.com/office/officeart/2005/8/layout/orgChart1"/>
    <dgm:cxn modelId="{0E3A50AF-BF94-F243-BEE5-C8C843874A12}" type="presOf" srcId="{2F163EB3-B1C4-47F5-A00F-333E317053B1}" destId="{EECBA213-BEA1-497D-AA46-1A3253F5B65D}" srcOrd="0" destOrd="0" presId="urn:microsoft.com/office/officeart/2005/8/layout/orgChart1"/>
    <dgm:cxn modelId="{98F39436-6239-46AB-8158-87DFE195420D}" srcId="{1D9B9C8F-3F2A-4AC4-BF53-51BFC03C43AF}" destId="{3E8C3065-2E0F-4D28-96C9-5344D87D6C3E}" srcOrd="0" destOrd="0" parTransId="{3137DADD-EC82-4269-B40E-B180CD3E6126}" sibTransId="{05802EB5-AE8B-4EAC-946E-2A102C66076A}"/>
    <dgm:cxn modelId="{D5065977-F0B0-2D49-883E-5C0B5871B891}" type="presOf" srcId="{DB91C898-CDDF-4A55-A3C5-FB6E03A47303}" destId="{765551E3-FD07-4717-920F-41C34BBAD6A1}" srcOrd="1" destOrd="0" presId="urn:microsoft.com/office/officeart/2005/8/layout/orgChart1"/>
    <dgm:cxn modelId="{7582C1CD-FB8C-DC4D-9D96-3D5DA18C6412}" type="presOf" srcId="{3137DADD-EC82-4269-B40E-B180CD3E6126}" destId="{4D125B92-0247-4C01-8838-A751E04C78A9}" srcOrd="0" destOrd="0" presId="urn:microsoft.com/office/officeart/2005/8/layout/orgChart1"/>
    <dgm:cxn modelId="{F48E82CB-DFB9-6C48-A75E-4CFE7DFB34DA}" type="presOf" srcId="{749881CF-E0E1-4C36-A50A-19D6AADFDF72}" destId="{BBD7B1B2-3253-4068-A096-DFCC708B35F9}" srcOrd="0" destOrd="0" presId="urn:microsoft.com/office/officeart/2005/8/layout/orgChart1"/>
    <dgm:cxn modelId="{110E332C-F0E2-4848-B967-1EC4F4F5E1A3}" type="presOf" srcId="{1D9B9C8F-3F2A-4AC4-BF53-51BFC03C43AF}" destId="{761CBB65-E6AF-4918-B24C-6FF8611557E8}" srcOrd="0" destOrd="0" presId="urn:microsoft.com/office/officeart/2005/8/layout/orgChart1"/>
    <dgm:cxn modelId="{D03E9989-B7DE-2944-802B-32D91DF5684F}" type="presParOf" srcId="{2EC6B152-E233-4729-9292-652C4DF8D124}" destId="{800D4390-70FF-41DC-86B1-2C6006A2AA83}" srcOrd="0" destOrd="0" presId="urn:microsoft.com/office/officeart/2005/8/layout/orgChart1"/>
    <dgm:cxn modelId="{547D5AE4-B74C-FD4F-90C4-5B69AE742335}" type="presParOf" srcId="{800D4390-70FF-41DC-86B1-2C6006A2AA83}" destId="{4077571E-7C97-4CB6-8E76-A32ABB002DAD}" srcOrd="0" destOrd="0" presId="urn:microsoft.com/office/officeart/2005/8/layout/orgChart1"/>
    <dgm:cxn modelId="{27A774A4-E72E-B340-9292-16734493D18F}" type="presParOf" srcId="{4077571E-7C97-4CB6-8E76-A32ABB002DAD}" destId="{761CBB65-E6AF-4918-B24C-6FF8611557E8}" srcOrd="0" destOrd="0" presId="urn:microsoft.com/office/officeart/2005/8/layout/orgChart1"/>
    <dgm:cxn modelId="{50BF82A7-A240-4543-B7C1-6522F654CEDF}" type="presParOf" srcId="{4077571E-7C97-4CB6-8E76-A32ABB002DAD}" destId="{60F8E948-2561-4453-90C2-E402F3247E06}" srcOrd="1" destOrd="0" presId="urn:microsoft.com/office/officeart/2005/8/layout/orgChart1"/>
    <dgm:cxn modelId="{C75C74DD-D496-6349-8A7A-285DD7B85C19}" type="presParOf" srcId="{800D4390-70FF-41DC-86B1-2C6006A2AA83}" destId="{FC381580-AD4D-45A3-A0B9-9648CFC3FF0D}" srcOrd="1" destOrd="0" presId="urn:microsoft.com/office/officeart/2005/8/layout/orgChart1"/>
    <dgm:cxn modelId="{F0960CCE-0713-0641-8315-656CCAF872DA}" type="presParOf" srcId="{FC381580-AD4D-45A3-A0B9-9648CFC3FF0D}" destId="{39A51AA6-20D0-477F-9A33-A50AE66D53C9}" srcOrd="0" destOrd="0" presId="urn:microsoft.com/office/officeart/2005/8/layout/orgChart1"/>
    <dgm:cxn modelId="{34578783-A967-F144-B810-FFE5F56A990C}" type="presParOf" srcId="{FC381580-AD4D-45A3-A0B9-9648CFC3FF0D}" destId="{4C1D8686-AD47-461E-AEB5-65A6CD9900E9}" srcOrd="1" destOrd="0" presId="urn:microsoft.com/office/officeart/2005/8/layout/orgChart1"/>
    <dgm:cxn modelId="{9C6F844B-C065-2648-A3DC-53AA51B617AD}" type="presParOf" srcId="{4C1D8686-AD47-461E-AEB5-65A6CD9900E9}" destId="{8898B540-3B4B-491E-BD57-B6F6997F8ECE}" srcOrd="0" destOrd="0" presId="urn:microsoft.com/office/officeart/2005/8/layout/orgChart1"/>
    <dgm:cxn modelId="{0FDB8F21-6CD5-A94D-867A-263896495E52}" type="presParOf" srcId="{8898B540-3B4B-491E-BD57-B6F6997F8ECE}" destId="{EA7EA7FE-A57C-4C40-965A-2DC19E1AB510}" srcOrd="0" destOrd="0" presId="urn:microsoft.com/office/officeart/2005/8/layout/orgChart1"/>
    <dgm:cxn modelId="{CD88C3AB-6B4E-3948-A66F-B5983FB32BAF}" type="presParOf" srcId="{8898B540-3B4B-491E-BD57-B6F6997F8ECE}" destId="{765551E3-FD07-4717-920F-41C34BBAD6A1}" srcOrd="1" destOrd="0" presId="urn:microsoft.com/office/officeart/2005/8/layout/orgChart1"/>
    <dgm:cxn modelId="{4D2069B0-0F79-1041-B299-86823ADE71AD}" type="presParOf" srcId="{4C1D8686-AD47-461E-AEB5-65A6CD9900E9}" destId="{EDB6B67B-9F3D-4A90-9D63-86319499CA23}" srcOrd="1" destOrd="0" presId="urn:microsoft.com/office/officeart/2005/8/layout/orgChart1"/>
    <dgm:cxn modelId="{AD64C1AA-64D9-6847-82DB-8F7F577F5878}" type="presParOf" srcId="{4C1D8686-AD47-461E-AEB5-65A6CD9900E9}" destId="{798B9485-92AB-40C2-8774-40F4FC2BF4C8}" srcOrd="2" destOrd="0" presId="urn:microsoft.com/office/officeart/2005/8/layout/orgChart1"/>
    <dgm:cxn modelId="{76CA91E1-B467-F94F-B5B1-C71700BCD5D5}" type="presParOf" srcId="{FC381580-AD4D-45A3-A0B9-9648CFC3FF0D}" destId="{EECBA213-BEA1-497D-AA46-1A3253F5B65D}" srcOrd="2" destOrd="0" presId="urn:microsoft.com/office/officeart/2005/8/layout/orgChart1"/>
    <dgm:cxn modelId="{63CAE5A9-CEBE-2F4F-85AF-D7D7A68C3FAC}" type="presParOf" srcId="{FC381580-AD4D-45A3-A0B9-9648CFC3FF0D}" destId="{2E7E905F-B8A9-41F9-BEA7-0264AF3489CB}" srcOrd="3" destOrd="0" presId="urn:microsoft.com/office/officeart/2005/8/layout/orgChart1"/>
    <dgm:cxn modelId="{E8156D63-5BE3-354F-ABF6-1B2D925718A7}" type="presParOf" srcId="{2E7E905F-B8A9-41F9-BEA7-0264AF3489CB}" destId="{8E2B2A4F-0F91-4391-B143-FB1427916F10}" srcOrd="0" destOrd="0" presId="urn:microsoft.com/office/officeart/2005/8/layout/orgChart1"/>
    <dgm:cxn modelId="{D141EB47-6CA3-DC46-B866-2547BB5BD494}" type="presParOf" srcId="{8E2B2A4F-0F91-4391-B143-FB1427916F10}" destId="{C988DCC1-B6D9-4016-8A20-DCC5CE2A2053}" srcOrd="0" destOrd="0" presId="urn:microsoft.com/office/officeart/2005/8/layout/orgChart1"/>
    <dgm:cxn modelId="{CCA8CD38-D663-B349-A671-211128A8F7FA}" type="presParOf" srcId="{8E2B2A4F-0F91-4391-B143-FB1427916F10}" destId="{AFAC9814-D860-4CB8-A35C-DE7E6C7DFD31}" srcOrd="1" destOrd="0" presId="urn:microsoft.com/office/officeart/2005/8/layout/orgChart1"/>
    <dgm:cxn modelId="{3339FB56-B0A4-2149-B8CC-7EA9417CDE6A}" type="presParOf" srcId="{2E7E905F-B8A9-41F9-BEA7-0264AF3489CB}" destId="{CE7F4C65-3346-469A-B4F1-EAAF193C9C3D}" srcOrd="1" destOrd="0" presId="urn:microsoft.com/office/officeart/2005/8/layout/orgChart1"/>
    <dgm:cxn modelId="{D53F5805-1C25-144B-A1AC-9BFA1D0F7FA7}" type="presParOf" srcId="{2E7E905F-B8A9-41F9-BEA7-0264AF3489CB}" destId="{D236B6EB-654C-412F-865A-DD518F80CD20}" srcOrd="2" destOrd="0" presId="urn:microsoft.com/office/officeart/2005/8/layout/orgChart1"/>
    <dgm:cxn modelId="{A1297896-C76A-F347-9A0A-208334B5AEDC}" type="presParOf" srcId="{FC381580-AD4D-45A3-A0B9-9648CFC3FF0D}" destId="{AEA29AA1-3A60-4C96-B99E-BC7AF0198587}" srcOrd="4" destOrd="0" presId="urn:microsoft.com/office/officeart/2005/8/layout/orgChart1"/>
    <dgm:cxn modelId="{B7189FC7-AC5A-C842-A64C-88E211F07BE7}" type="presParOf" srcId="{FC381580-AD4D-45A3-A0B9-9648CFC3FF0D}" destId="{DB2C9EAE-315C-49D2-A96D-0A40086B2EC3}" srcOrd="5" destOrd="0" presId="urn:microsoft.com/office/officeart/2005/8/layout/orgChart1"/>
    <dgm:cxn modelId="{D9626BA2-1501-BE49-89C7-202F1F9AF9EF}" type="presParOf" srcId="{DB2C9EAE-315C-49D2-A96D-0A40086B2EC3}" destId="{10D9B0D6-AD4E-423B-94C2-9D4DC5017F7A}" srcOrd="0" destOrd="0" presId="urn:microsoft.com/office/officeart/2005/8/layout/orgChart1"/>
    <dgm:cxn modelId="{9BCE84A3-8EB9-CD4F-B594-C3AC88456CF2}" type="presParOf" srcId="{10D9B0D6-AD4E-423B-94C2-9D4DC5017F7A}" destId="{48D4DB3A-8A68-4CF1-B494-2068429B7F1F}" srcOrd="0" destOrd="0" presId="urn:microsoft.com/office/officeart/2005/8/layout/orgChart1"/>
    <dgm:cxn modelId="{B8A0D32D-F4A5-F047-BBA9-E9F40530C15B}" type="presParOf" srcId="{10D9B0D6-AD4E-423B-94C2-9D4DC5017F7A}" destId="{21179328-CD45-4DAE-A908-3796041A36B1}" srcOrd="1" destOrd="0" presId="urn:microsoft.com/office/officeart/2005/8/layout/orgChart1"/>
    <dgm:cxn modelId="{8D0FAE84-58E8-1E41-BB22-2B24D9C424EB}" type="presParOf" srcId="{DB2C9EAE-315C-49D2-A96D-0A40086B2EC3}" destId="{D3CCF335-97E5-4AF1-988B-23ACC6ADCE27}" srcOrd="1" destOrd="0" presId="urn:microsoft.com/office/officeart/2005/8/layout/orgChart1"/>
    <dgm:cxn modelId="{ABBB5DA3-C700-E141-ADB2-FEAA88AE14F6}" type="presParOf" srcId="{DB2C9EAE-315C-49D2-A96D-0A40086B2EC3}" destId="{33F32C0B-8A98-403A-905C-D4E33787C8E6}" srcOrd="2" destOrd="0" presId="urn:microsoft.com/office/officeart/2005/8/layout/orgChart1"/>
    <dgm:cxn modelId="{465BABCC-9A21-9648-9264-E3727FC4A635}" type="presParOf" srcId="{800D4390-70FF-41DC-86B1-2C6006A2AA83}" destId="{4AE74D4F-41C0-43CE-8A50-FB0433E748A1}" srcOrd="2" destOrd="0" presId="urn:microsoft.com/office/officeart/2005/8/layout/orgChart1"/>
    <dgm:cxn modelId="{B9AD4F79-9127-A248-B566-267D99FD4A11}" type="presParOf" srcId="{4AE74D4F-41C0-43CE-8A50-FB0433E748A1}" destId="{4D125B92-0247-4C01-8838-A751E04C78A9}" srcOrd="0" destOrd="0" presId="urn:microsoft.com/office/officeart/2005/8/layout/orgChart1"/>
    <dgm:cxn modelId="{48CB79B2-11CF-1849-8D38-5DFDE3BC3A75}" type="presParOf" srcId="{4AE74D4F-41C0-43CE-8A50-FB0433E748A1}" destId="{827C1454-349A-4DD0-B394-A9C2020E8F3F}" srcOrd="1" destOrd="0" presId="urn:microsoft.com/office/officeart/2005/8/layout/orgChart1"/>
    <dgm:cxn modelId="{D068238F-4644-9240-A25C-CFB8A0F37A5E}" type="presParOf" srcId="{827C1454-349A-4DD0-B394-A9C2020E8F3F}" destId="{2AF430D7-DE30-4F48-803A-827EFA903EEC}" srcOrd="0" destOrd="0" presId="urn:microsoft.com/office/officeart/2005/8/layout/orgChart1"/>
    <dgm:cxn modelId="{BBF85F29-E7B5-904A-9704-265EA42E01A8}" type="presParOf" srcId="{2AF430D7-DE30-4F48-803A-827EFA903EEC}" destId="{E610AF43-B80A-4A08-A6C3-47F536E60407}" srcOrd="0" destOrd="0" presId="urn:microsoft.com/office/officeart/2005/8/layout/orgChart1"/>
    <dgm:cxn modelId="{D975B354-C314-C346-ADE9-0080619873BB}" type="presParOf" srcId="{2AF430D7-DE30-4F48-803A-827EFA903EEC}" destId="{DF64D240-E3E8-40E8-A94F-6B1DD5169719}" srcOrd="1" destOrd="0" presId="urn:microsoft.com/office/officeart/2005/8/layout/orgChart1"/>
    <dgm:cxn modelId="{672FD603-B341-AC4B-A6CA-A72362031FBC}" type="presParOf" srcId="{827C1454-349A-4DD0-B394-A9C2020E8F3F}" destId="{F633CAAF-A3C9-4DDE-BDFA-FBDA5DE3418C}" srcOrd="1" destOrd="0" presId="urn:microsoft.com/office/officeart/2005/8/layout/orgChart1"/>
    <dgm:cxn modelId="{18F2A3B4-3103-EB4D-8209-8BA64CEED70F}" type="presParOf" srcId="{827C1454-349A-4DD0-B394-A9C2020E8F3F}" destId="{8DD19D56-9E6C-4BDE-8F91-01EE08182C14}" srcOrd="2" destOrd="0" presId="urn:microsoft.com/office/officeart/2005/8/layout/orgChart1"/>
    <dgm:cxn modelId="{C06C5971-C41A-EB42-AF5B-E907620EA2AF}" type="presParOf" srcId="{4AE74D4F-41C0-43CE-8A50-FB0433E748A1}" destId="{BBD7B1B2-3253-4068-A096-DFCC708B35F9}" srcOrd="2" destOrd="0" presId="urn:microsoft.com/office/officeart/2005/8/layout/orgChart1"/>
    <dgm:cxn modelId="{1AE0DA73-C760-F544-936D-D4BE54E393A9}" type="presParOf" srcId="{4AE74D4F-41C0-43CE-8A50-FB0433E748A1}" destId="{232E6BBA-9F3C-44E5-89ED-26FA34C70384}" srcOrd="3" destOrd="0" presId="urn:microsoft.com/office/officeart/2005/8/layout/orgChart1"/>
    <dgm:cxn modelId="{462DC142-C261-8C4A-B5F9-60AF041D805D}" type="presParOf" srcId="{232E6BBA-9F3C-44E5-89ED-26FA34C70384}" destId="{66DB69B1-9943-412B-AC7D-2CEEF15964A2}" srcOrd="0" destOrd="0" presId="urn:microsoft.com/office/officeart/2005/8/layout/orgChart1"/>
    <dgm:cxn modelId="{A4C6AC6F-DFAD-234A-8E44-027F1C439CB9}" type="presParOf" srcId="{66DB69B1-9943-412B-AC7D-2CEEF15964A2}" destId="{75599E70-B9A6-4499-B710-2C5FEA300C35}" srcOrd="0" destOrd="0" presId="urn:microsoft.com/office/officeart/2005/8/layout/orgChart1"/>
    <dgm:cxn modelId="{537A3F22-0C1D-304E-9F11-08044EE55514}" type="presParOf" srcId="{66DB69B1-9943-412B-AC7D-2CEEF15964A2}" destId="{2DB5F4D2-6286-451B-828A-632B98C52387}" srcOrd="1" destOrd="0" presId="urn:microsoft.com/office/officeart/2005/8/layout/orgChart1"/>
    <dgm:cxn modelId="{2D0210E1-C1C6-C745-9779-F502698CC37F}" type="presParOf" srcId="{232E6BBA-9F3C-44E5-89ED-26FA34C70384}" destId="{845B8BE7-B12F-4053-80C2-9A2DE0A97DB1}" srcOrd="1" destOrd="0" presId="urn:microsoft.com/office/officeart/2005/8/layout/orgChart1"/>
    <dgm:cxn modelId="{0E830485-3831-CD4A-B7FC-3E23B885E749}" type="presParOf" srcId="{232E6BBA-9F3C-44E5-89ED-26FA34C70384}" destId="{1CA2FBCF-5533-4065-AB3C-92480C4D771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D7B1B2-3253-4068-A096-DFCC708B35F9}">
      <dsp:nvSpPr>
        <dsp:cNvPr id="0" name=""/>
        <dsp:cNvSpPr/>
      </dsp:nvSpPr>
      <dsp:spPr>
        <a:xfrm>
          <a:off x="2927444" y="433752"/>
          <a:ext cx="625253" cy="856434"/>
        </a:xfrm>
        <a:custGeom>
          <a:avLst/>
          <a:gdLst/>
          <a:ahLst/>
          <a:cxnLst/>
          <a:rect l="0" t="0" r="0" b="0"/>
          <a:pathLst>
            <a:path>
              <a:moveTo>
                <a:pt x="0" y="0"/>
              </a:moveTo>
              <a:lnTo>
                <a:pt x="0" y="856434"/>
              </a:lnTo>
              <a:lnTo>
                <a:pt x="625253" y="856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25B92-0247-4C01-8838-A751E04C78A9}">
      <dsp:nvSpPr>
        <dsp:cNvPr id="0" name=""/>
        <dsp:cNvSpPr/>
      </dsp:nvSpPr>
      <dsp:spPr>
        <a:xfrm>
          <a:off x="2731953" y="433752"/>
          <a:ext cx="195490" cy="856434"/>
        </a:xfrm>
        <a:custGeom>
          <a:avLst/>
          <a:gdLst/>
          <a:ahLst/>
          <a:cxnLst/>
          <a:rect l="0" t="0" r="0" b="0"/>
          <a:pathLst>
            <a:path>
              <a:moveTo>
                <a:pt x="195490" y="0"/>
              </a:moveTo>
              <a:lnTo>
                <a:pt x="195490" y="856434"/>
              </a:lnTo>
              <a:lnTo>
                <a:pt x="0" y="856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A29AA1-3A60-4C96-B99E-BC7AF0198587}">
      <dsp:nvSpPr>
        <dsp:cNvPr id="0" name=""/>
        <dsp:cNvSpPr/>
      </dsp:nvSpPr>
      <dsp:spPr>
        <a:xfrm>
          <a:off x="2927444" y="433752"/>
          <a:ext cx="1829875" cy="1714047"/>
        </a:xfrm>
        <a:custGeom>
          <a:avLst/>
          <a:gdLst/>
          <a:ahLst/>
          <a:cxnLst/>
          <a:rect l="0" t="0" r="0" b="0"/>
          <a:pathLst>
            <a:path>
              <a:moveTo>
                <a:pt x="0" y="0"/>
              </a:moveTo>
              <a:lnTo>
                <a:pt x="0" y="1518557"/>
              </a:lnTo>
              <a:lnTo>
                <a:pt x="1829875" y="1518557"/>
              </a:lnTo>
              <a:lnTo>
                <a:pt x="1829875" y="171404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BA213-BEA1-497D-AA46-1A3253F5B65D}">
      <dsp:nvSpPr>
        <dsp:cNvPr id="0" name=""/>
        <dsp:cNvSpPr/>
      </dsp:nvSpPr>
      <dsp:spPr>
        <a:xfrm>
          <a:off x="2927444" y="433752"/>
          <a:ext cx="149522" cy="1712869"/>
        </a:xfrm>
        <a:custGeom>
          <a:avLst/>
          <a:gdLst/>
          <a:ahLst/>
          <a:cxnLst/>
          <a:rect l="0" t="0" r="0" b="0"/>
          <a:pathLst>
            <a:path>
              <a:moveTo>
                <a:pt x="0" y="0"/>
              </a:moveTo>
              <a:lnTo>
                <a:pt x="0" y="1517378"/>
              </a:lnTo>
              <a:lnTo>
                <a:pt x="149522" y="1517378"/>
              </a:lnTo>
              <a:lnTo>
                <a:pt x="149522" y="17128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A51AA6-20D0-477F-9A33-A50AE66D53C9}">
      <dsp:nvSpPr>
        <dsp:cNvPr id="0" name=""/>
        <dsp:cNvSpPr/>
      </dsp:nvSpPr>
      <dsp:spPr>
        <a:xfrm>
          <a:off x="1181015" y="433752"/>
          <a:ext cx="1746428" cy="1712869"/>
        </a:xfrm>
        <a:custGeom>
          <a:avLst/>
          <a:gdLst/>
          <a:ahLst/>
          <a:cxnLst/>
          <a:rect l="0" t="0" r="0" b="0"/>
          <a:pathLst>
            <a:path>
              <a:moveTo>
                <a:pt x="1746428" y="0"/>
              </a:moveTo>
              <a:lnTo>
                <a:pt x="1746428" y="1517378"/>
              </a:lnTo>
              <a:lnTo>
                <a:pt x="0" y="1517378"/>
              </a:lnTo>
              <a:lnTo>
                <a:pt x="0" y="17128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CBB65-E6AF-4918-B24C-6FF8611557E8}">
      <dsp:nvSpPr>
        <dsp:cNvPr id="0" name=""/>
        <dsp:cNvSpPr/>
      </dsp:nvSpPr>
      <dsp:spPr>
        <a:xfrm>
          <a:off x="2264079" y="1178"/>
          <a:ext cx="1326729" cy="43257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effectLst/>
            </a:rPr>
            <a:t>DY </a:t>
          </a:r>
          <a:r>
            <a:rPr lang="en-US" sz="1200" b="0" kern="1200" cap="none" spc="0">
              <a:ln w="0"/>
              <a:effectLst/>
            </a:rPr>
            <a:t>Bech</a:t>
          </a:r>
          <a:r>
            <a:rPr lang="en-US" sz="1200" kern="1200">
              <a:effectLst/>
            </a:rPr>
            <a:t> Holdings</a:t>
          </a:r>
        </a:p>
      </dsp:txBody>
      <dsp:txXfrm>
        <a:off x="2264079" y="1178"/>
        <a:ext cx="1326729" cy="432574"/>
      </dsp:txXfrm>
    </dsp:sp>
    <dsp:sp modelId="{EA7EA7FE-A57C-4C40-965A-2DC19E1AB510}">
      <dsp:nvSpPr>
        <dsp:cNvPr id="0" name=""/>
        <dsp:cNvSpPr/>
      </dsp:nvSpPr>
      <dsp:spPr>
        <a:xfrm>
          <a:off x="502505" y="2146621"/>
          <a:ext cx="1357020" cy="35803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effectLst/>
            </a:rPr>
            <a:t>RVC Members Trust</a:t>
          </a:r>
        </a:p>
      </dsp:txBody>
      <dsp:txXfrm>
        <a:off x="502505" y="2146621"/>
        <a:ext cx="1357020" cy="358036"/>
      </dsp:txXfrm>
    </dsp:sp>
    <dsp:sp modelId="{C988DCC1-B6D9-4016-8A20-DCC5CE2A2053}">
      <dsp:nvSpPr>
        <dsp:cNvPr id="0" name=""/>
        <dsp:cNvSpPr/>
      </dsp:nvSpPr>
      <dsp:spPr>
        <a:xfrm>
          <a:off x="2276386" y="2146621"/>
          <a:ext cx="1601160" cy="4248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effectLst/>
            </a:rPr>
            <a:t>ARD Inventory, LLCs</a:t>
          </a:r>
        </a:p>
      </dsp:txBody>
      <dsp:txXfrm>
        <a:off x="2276386" y="2146621"/>
        <a:ext cx="1601160" cy="424894"/>
      </dsp:txXfrm>
    </dsp:sp>
    <dsp:sp modelId="{48D4DB3A-8A68-4CF1-B494-2068429B7F1F}">
      <dsp:nvSpPr>
        <dsp:cNvPr id="0" name=""/>
        <dsp:cNvSpPr/>
      </dsp:nvSpPr>
      <dsp:spPr>
        <a:xfrm>
          <a:off x="4202452" y="2147799"/>
          <a:ext cx="1109734" cy="4430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effectLst/>
            </a:rPr>
            <a:t>Raintree Sales &amp; Marketing, LLC </a:t>
          </a:r>
        </a:p>
      </dsp:txBody>
      <dsp:txXfrm>
        <a:off x="4202452" y="2147799"/>
        <a:ext cx="1109734" cy="443000"/>
      </dsp:txXfrm>
    </dsp:sp>
    <dsp:sp modelId="{E610AF43-B80A-4A08-A6C3-47F536E60407}">
      <dsp:nvSpPr>
        <dsp:cNvPr id="0" name=""/>
        <dsp:cNvSpPr/>
      </dsp:nvSpPr>
      <dsp:spPr>
        <a:xfrm>
          <a:off x="1742101" y="1082585"/>
          <a:ext cx="989852" cy="4152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effectLst/>
            </a:rPr>
            <a:t>Raintree Hospitality, LLC</a:t>
          </a:r>
        </a:p>
      </dsp:txBody>
      <dsp:txXfrm>
        <a:off x="1742101" y="1082585"/>
        <a:ext cx="989852" cy="415203"/>
      </dsp:txXfrm>
    </dsp:sp>
    <dsp:sp modelId="{75599E70-B9A6-4499-B710-2C5FEA300C35}">
      <dsp:nvSpPr>
        <dsp:cNvPr id="0" name=""/>
        <dsp:cNvSpPr/>
      </dsp:nvSpPr>
      <dsp:spPr>
        <a:xfrm>
          <a:off x="3552697" y="1124750"/>
          <a:ext cx="1002289" cy="33087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effectLst/>
            </a:rPr>
            <a:t>ARD Holdings, LLC</a:t>
          </a:r>
        </a:p>
      </dsp:txBody>
      <dsp:txXfrm>
        <a:off x="3552697" y="1124750"/>
        <a:ext cx="1002289" cy="3308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49AD2-DA94-44DE-AEAE-FE47BCE0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5223</Words>
  <Characters>29775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2017-11-04T18:50:00Z</cp:lastPrinted>
  <dcterms:created xsi:type="dcterms:W3CDTF">2017-12-11T15:28:00Z</dcterms:created>
  <dcterms:modified xsi:type="dcterms:W3CDTF">2017-12-15T13:15:00Z</dcterms:modified>
</cp:coreProperties>
</file>