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D644FF" w14:paraId="5F02CA01" w14:textId="77777777" w:rsidTr="0056537D">
        <w:tc>
          <w:tcPr>
            <w:tcW w:w="4788" w:type="dxa"/>
          </w:tcPr>
          <w:p w14:paraId="79563224" w14:textId="77777777" w:rsidR="00D644FF" w:rsidRDefault="00D644FF" w:rsidP="0056537D">
            <w:pPr>
              <w:tabs>
                <w:tab w:val="left" w:pos="-1440"/>
                <w:tab w:val="left" w:pos="-720"/>
                <w:tab w:val="left" w:pos="1"/>
              </w:tabs>
              <w:jc w:val="both"/>
              <w:rPr>
                <w:rFonts w:ascii="Arial" w:hAnsi="Arial"/>
                <w:b/>
                <w:sz w:val="24"/>
              </w:rPr>
            </w:pPr>
            <w:r w:rsidRPr="00521B55">
              <w:rPr>
                <w:rFonts w:ascii="Arial" w:hAnsi="Arial"/>
                <w:b/>
                <w:noProof/>
                <w:sz w:val="24"/>
                <w:lang w:val="en-CA" w:eastAsia="en-CA"/>
              </w:rPr>
              <w:drawing>
                <wp:inline distT="0" distB="0" distL="0" distR="0" wp14:anchorId="090C8114" wp14:editId="3FC08148">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7ACE7F9E" w14:textId="77777777" w:rsidR="00D644FF" w:rsidRDefault="00D644FF" w:rsidP="0056537D">
            <w:pPr>
              <w:tabs>
                <w:tab w:val="left" w:pos="-1440"/>
                <w:tab w:val="left" w:pos="-720"/>
                <w:tab w:val="left" w:pos="1"/>
              </w:tabs>
              <w:jc w:val="both"/>
              <w:rPr>
                <w:rFonts w:ascii="Arial" w:hAnsi="Arial"/>
                <w:b/>
                <w:sz w:val="24"/>
              </w:rPr>
            </w:pPr>
            <w:r>
              <w:rPr>
                <w:rFonts w:ascii="Arial" w:hAnsi="Arial"/>
                <w:b/>
                <w:noProof/>
                <w:sz w:val="24"/>
                <w:lang w:val="en-CA" w:eastAsia="en-CA"/>
              </w:rPr>
              <w:drawing>
                <wp:anchor distT="0" distB="0" distL="114300" distR="114300" simplePos="0" relativeHeight="251661312" behindDoc="1" locked="0" layoutInCell="1" allowOverlap="1" wp14:anchorId="572C76A7" wp14:editId="5FD0DA27">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7" name="Picture 7"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850D851" w14:textId="22BD7222" w:rsidR="00D644FF" w:rsidRPr="00D63AE2" w:rsidRDefault="00D644FF" w:rsidP="002F3C17">
      <w:pPr>
        <w:pBdr>
          <w:bottom w:val="single" w:sz="18" w:space="1" w:color="auto"/>
        </w:pBdr>
        <w:tabs>
          <w:tab w:val="left" w:pos="-1440"/>
          <w:tab w:val="left" w:pos="-720"/>
          <w:tab w:val="left" w:pos="1"/>
        </w:tabs>
        <w:jc w:val="both"/>
        <w:rPr>
          <w:rFonts w:ascii="Arial" w:hAnsi="Arial"/>
          <w:b/>
          <w:sz w:val="24"/>
        </w:rPr>
      </w:pPr>
    </w:p>
    <w:p w14:paraId="2968EE3E" w14:textId="3AAEB733" w:rsidR="00D75295" w:rsidRPr="00D63AE2" w:rsidRDefault="00655F9D" w:rsidP="002F3C17">
      <w:pPr>
        <w:pStyle w:val="ProductNumber"/>
        <w:outlineLvl w:val="0"/>
      </w:pPr>
      <w:r>
        <w:t>9B17</w:t>
      </w:r>
      <w:r w:rsidR="00041A76">
        <w:t>N</w:t>
      </w:r>
      <w:r w:rsidR="0017026D">
        <w:t>001</w:t>
      </w:r>
    </w:p>
    <w:p w14:paraId="39888A07" w14:textId="77777777" w:rsidR="00D75295" w:rsidRPr="00D63AE2" w:rsidRDefault="00D75295" w:rsidP="002F3C17">
      <w:pPr>
        <w:jc w:val="right"/>
        <w:rPr>
          <w:rFonts w:ascii="Arial" w:hAnsi="Arial"/>
          <w:b/>
          <w:sz w:val="28"/>
          <w:szCs w:val="28"/>
        </w:rPr>
      </w:pPr>
    </w:p>
    <w:p w14:paraId="46240FA6" w14:textId="77777777" w:rsidR="00866F6D" w:rsidRPr="00D63AE2" w:rsidRDefault="00866F6D" w:rsidP="002F3C17">
      <w:pPr>
        <w:jc w:val="right"/>
        <w:rPr>
          <w:rFonts w:ascii="Arial" w:hAnsi="Arial"/>
          <w:b/>
          <w:sz w:val="28"/>
          <w:szCs w:val="28"/>
        </w:rPr>
      </w:pPr>
    </w:p>
    <w:p w14:paraId="70793CBA" w14:textId="3F8B6FDB" w:rsidR="00986589" w:rsidRPr="00075B7C" w:rsidRDefault="006D61EA" w:rsidP="002F3C17">
      <w:pPr>
        <w:pStyle w:val="CaseTitle"/>
        <w:spacing w:after="0" w:line="240" w:lineRule="auto"/>
        <w:outlineLvl w:val="0"/>
      </w:pPr>
      <w:r w:rsidRPr="00D63AE2">
        <w:rPr>
          <w:smallCaps/>
        </w:rPr>
        <w:t>A</w:t>
      </w:r>
      <w:r w:rsidRPr="00075B7C">
        <w:rPr>
          <w:smallCaps/>
        </w:rPr>
        <w:t>LIBABA’S BONDS DILEMMA: LOCATION, TIMING</w:t>
      </w:r>
      <w:r w:rsidR="00A85C01">
        <w:rPr>
          <w:smallCaps/>
        </w:rPr>
        <w:t>,</w:t>
      </w:r>
      <w:r w:rsidRPr="00075B7C">
        <w:rPr>
          <w:smallCaps/>
        </w:rPr>
        <w:t xml:space="preserve"> AND PRICIN</w:t>
      </w:r>
      <w:r w:rsidRPr="000D250E">
        <w:rPr>
          <w:caps w:val="0"/>
          <w:smallCaps/>
          <w:spacing w:val="20"/>
        </w:rPr>
        <w:t>G</w:t>
      </w:r>
      <w:r w:rsidR="00986589" w:rsidRPr="00075B7C">
        <w:rPr>
          <w:rStyle w:val="EndnoteReference"/>
          <w:smallCaps/>
        </w:rPr>
        <w:endnoteReference w:id="1"/>
      </w:r>
    </w:p>
    <w:p w14:paraId="761B9B36" w14:textId="77777777" w:rsidR="00986589" w:rsidRPr="00075B7C" w:rsidRDefault="00986589" w:rsidP="002F3C17">
      <w:pPr>
        <w:pStyle w:val="CaseTitle"/>
        <w:spacing w:after="0" w:line="240" w:lineRule="auto"/>
        <w:rPr>
          <w:sz w:val="20"/>
          <w:szCs w:val="20"/>
        </w:rPr>
      </w:pPr>
    </w:p>
    <w:p w14:paraId="1C1E5956" w14:textId="77777777" w:rsidR="00986589" w:rsidRPr="00075B7C" w:rsidRDefault="00986589" w:rsidP="002F3C17">
      <w:pPr>
        <w:pStyle w:val="CaseTitle"/>
        <w:spacing w:after="0" w:line="240" w:lineRule="auto"/>
        <w:rPr>
          <w:sz w:val="20"/>
          <w:szCs w:val="20"/>
        </w:rPr>
      </w:pPr>
    </w:p>
    <w:p w14:paraId="5355EF50" w14:textId="77777777" w:rsidR="00986589" w:rsidRPr="00075B7C" w:rsidRDefault="00986589" w:rsidP="002F3C17">
      <w:pPr>
        <w:pStyle w:val="CaseTitle"/>
        <w:spacing w:after="0" w:line="240" w:lineRule="auto"/>
        <w:rPr>
          <w:sz w:val="20"/>
          <w:szCs w:val="20"/>
        </w:rPr>
      </w:pPr>
    </w:p>
    <w:p w14:paraId="22CABD4F" w14:textId="1C74E056" w:rsidR="00986589" w:rsidRPr="00075B7C" w:rsidRDefault="00986589" w:rsidP="002F3C17">
      <w:pPr>
        <w:pStyle w:val="StyleCopyrightStatementAfter0ptBottomSinglesolidline1"/>
      </w:pPr>
      <w:r w:rsidRPr="00075B7C">
        <w:rPr>
          <w:rFonts w:cs="Arial"/>
          <w:szCs w:val="16"/>
        </w:rPr>
        <w:t xml:space="preserve">Emir </w:t>
      </w:r>
      <w:proofErr w:type="spellStart"/>
      <w:r w:rsidRPr="00075B7C">
        <w:rPr>
          <w:rFonts w:cs="Arial"/>
          <w:szCs w:val="16"/>
        </w:rPr>
        <w:t>Hrnji</w:t>
      </w:r>
      <w:r w:rsidR="00360808">
        <w:rPr>
          <w:rFonts w:cs="Arial"/>
          <w:szCs w:val="16"/>
        </w:rPr>
        <w:t>ć</w:t>
      </w:r>
      <w:proofErr w:type="spellEnd"/>
      <w:r w:rsidRPr="00075B7C">
        <w:t xml:space="preserve"> wrote this case solely to provide material for class discussion. The author do</w:t>
      </w:r>
      <w:r w:rsidR="008172CF">
        <w:t>es</w:t>
      </w:r>
      <w:r w:rsidRPr="00075B7C">
        <w:t xml:space="preserve"> not intend to illustrate either effective or ineffective handling of a managerial situation. The author may have disguised certain names and other identifying information to protect confidentiality.</w:t>
      </w:r>
    </w:p>
    <w:p w14:paraId="56CD5318" w14:textId="77777777" w:rsidR="00986589" w:rsidRPr="00075B7C" w:rsidRDefault="00986589" w:rsidP="002F3C17">
      <w:pPr>
        <w:pStyle w:val="StyleCopyrightStatementAfter0ptBottomSinglesolidline1"/>
      </w:pPr>
    </w:p>
    <w:p w14:paraId="2758F3B9" w14:textId="77777777" w:rsidR="00F2675C" w:rsidRDefault="00F2675C" w:rsidP="002F3C17">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1A8AC871" w14:textId="77777777" w:rsidR="00F2675C" w:rsidRDefault="00F2675C" w:rsidP="002F3C17">
      <w:pPr>
        <w:pStyle w:val="StyleCopyrightStatementAfter0ptBottomSinglesolidline1"/>
        <w:pBdr>
          <w:top w:val="none" w:sz="0" w:space="0" w:color="auto"/>
        </w:pBdr>
      </w:pPr>
    </w:p>
    <w:p w14:paraId="225A5971" w14:textId="47460319" w:rsidR="00986589" w:rsidRPr="00075B7C" w:rsidRDefault="00F2675C" w:rsidP="002F3C17">
      <w:pPr>
        <w:pStyle w:val="StyleStyleCopyrightStatementAfter0ptBottomSinglesolid"/>
      </w:pPr>
      <w:r>
        <w:t>Copyright © 201</w:t>
      </w:r>
      <w:r w:rsidR="009A6B9D">
        <w:t>7</w:t>
      </w:r>
      <w:r>
        <w:t>, Richard Ivey School of Business Foundation</w:t>
      </w:r>
      <w:r w:rsidR="00986589">
        <w:tab/>
        <w:t>Version: 20</w:t>
      </w:r>
      <w:r w:rsidR="008172CF">
        <w:t>20</w:t>
      </w:r>
      <w:r>
        <w:t>-</w:t>
      </w:r>
      <w:r w:rsidR="00051105">
        <w:t>0</w:t>
      </w:r>
      <w:r w:rsidR="008172CF">
        <w:t>7</w:t>
      </w:r>
      <w:r w:rsidR="00986589" w:rsidRPr="00075B7C">
        <w:t>-</w:t>
      </w:r>
      <w:r w:rsidR="00051105">
        <w:t>2</w:t>
      </w:r>
      <w:r w:rsidR="008172CF">
        <w:t>0</w:t>
      </w:r>
    </w:p>
    <w:p w14:paraId="7F260456" w14:textId="77777777" w:rsidR="00986589" w:rsidRPr="00075B7C" w:rsidRDefault="00986589" w:rsidP="002F3C17">
      <w:pPr>
        <w:pStyle w:val="StyleCopyrightStatementAfter0ptBottomSinglesolidline1"/>
        <w:rPr>
          <w:rFonts w:ascii="Times New Roman" w:hAnsi="Times New Roman"/>
          <w:sz w:val="20"/>
        </w:rPr>
      </w:pPr>
    </w:p>
    <w:p w14:paraId="70815199" w14:textId="77777777" w:rsidR="00986589" w:rsidRPr="00075B7C" w:rsidRDefault="00986589" w:rsidP="002F3C17">
      <w:pPr>
        <w:pStyle w:val="StyleCopyrightStatementAfter0ptBottomSinglesolidline1"/>
        <w:pBdr>
          <w:top w:val="none" w:sz="0" w:space="0" w:color="auto"/>
        </w:pBdr>
        <w:rPr>
          <w:rFonts w:ascii="Times New Roman" w:hAnsi="Times New Roman"/>
          <w:i w:val="0"/>
          <w:sz w:val="22"/>
          <w:szCs w:val="22"/>
        </w:rPr>
      </w:pPr>
    </w:p>
    <w:p w14:paraId="2C244C40" w14:textId="66FE421B" w:rsidR="00986589" w:rsidRPr="00075B7C" w:rsidRDefault="00986589" w:rsidP="002F3C17">
      <w:pPr>
        <w:pStyle w:val="BodyTextMain"/>
      </w:pPr>
      <w:r w:rsidRPr="00075B7C">
        <w:t xml:space="preserve">In November 2014, </w:t>
      </w:r>
      <w:r>
        <w:t>the chief financial officer (</w:t>
      </w:r>
      <w:r w:rsidRPr="00075B7C">
        <w:t>CFO</w:t>
      </w:r>
      <w:r>
        <w:t xml:space="preserve">) of Alibaba Group Holding Limited (Alibaba) </w:t>
      </w:r>
      <w:r w:rsidRPr="00075B7C">
        <w:t xml:space="preserve">embarked on </w:t>
      </w:r>
      <w:r w:rsidR="00041A76">
        <w:t xml:space="preserve">a series of meetings with </w:t>
      </w:r>
      <w:r w:rsidR="002D6B8B">
        <w:t xml:space="preserve">potential </w:t>
      </w:r>
      <w:r w:rsidR="00041A76">
        <w:t>investors</w:t>
      </w:r>
      <w:r w:rsidRPr="00075B7C">
        <w:t xml:space="preserve"> </w:t>
      </w:r>
      <w:bookmarkStart w:id="0" w:name="_GoBack"/>
      <w:bookmarkEnd w:id="0"/>
      <w:r w:rsidR="00041A76">
        <w:t xml:space="preserve">to gather information about the </w:t>
      </w:r>
      <w:r w:rsidRPr="00075B7C">
        <w:t xml:space="preserve">impending bond issue. </w:t>
      </w:r>
      <w:r>
        <w:t>Maggie Wu</w:t>
      </w:r>
      <w:r w:rsidRPr="00075B7C">
        <w:t xml:space="preserve"> was scheduled to lead Alibaba’s team in Hong Kong, Singapore</w:t>
      </w:r>
      <w:r>
        <w:t>,</w:t>
      </w:r>
      <w:r w:rsidRPr="00075B7C">
        <w:t xml:space="preserve"> and London over the course of three days.</w:t>
      </w:r>
      <w:r w:rsidRPr="00075B7C">
        <w:rPr>
          <w:rStyle w:val="EndnoteReference"/>
        </w:rPr>
        <w:endnoteReference w:id="2"/>
      </w:r>
      <w:r w:rsidRPr="00075B7C">
        <w:t xml:space="preserve"> </w:t>
      </w:r>
    </w:p>
    <w:p w14:paraId="078DFBDC" w14:textId="77777777" w:rsidR="00986589" w:rsidRPr="00075B7C" w:rsidRDefault="00986589" w:rsidP="002F3C17">
      <w:pPr>
        <w:pStyle w:val="BodyTextMain"/>
      </w:pPr>
    </w:p>
    <w:p w14:paraId="6BCA8303" w14:textId="71BF897B" w:rsidR="00731E29" w:rsidRDefault="00986589" w:rsidP="002F3C17">
      <w:pPr>
        <w:pStyle w:val="BodyTextMain"/>
      </w:pPr>
      <w:r w:rsidRPr="00075B7C">
        <w:t>Alibaba</w:t>
      </w:r>
      <w:r>
        <w:t xml:space="preserve"> was</w:t>
      </w:r>
      <w:r w:rsidRPr="00075B7C">
        <w:t xml:space="preserve"> listed on</w:t>
      </w:r>
      <w:r>
        <w:t xml:space="preserve"> the New York Stock Exchange</w:t>
      </w:r>
      <w:r w:rsidRPr="00075B7C">
        <w:t xml:space="preserve"> </w:t>
      </w:r>
      <w:r>
        <w:t>(</w:t>
      </w:r>
      <w:r w:rsidRPr="00075B7C">
        <w:t>NYSE</w:t>
      </w:r>
      <w:r>
        <w:t>)</w:t>
      </w:r>
      <w:r w:rsidRPr="00075B7C">
        <w:t xml:space="preserve">, </w:t>
      </w:r>
      <w:r w:rsidR="003E6299">
        <w:t xml:space="preserve">but </w:t>
      </w:r>
      <w:r>
        <w:t xml:space="preserve">an </w:t>
      </w:r>
      <w:r w:rsidRPr="00075B7C">
        <w:t xml:space="preserve">overwhelming majority of its revenues originated in China. </w:t>
      </w:r>
      <w:r w:rsidR="00731E29">
        <w:t>M</w:t>
      </w:r>
      <w:r w:rsidR="00731E29" w:rsidRPr="00731E29">
        <w:t xml:space="preserve">ost U.S. investors had not heard of Alibaba until just a few months prior to its </w:t>
      </w:r>
      <w:r w:rsidR="000E79D6">
        <w:t>initial public offering (</w:t>
      </w:r>
      <w:r w:rsidR="00731E29" w:rsidRPr="00731E29">
        <w:t>IPO</w:t>
      </w:r>
      <w:r w:rsidR="000E79D6">
        <w:t>)</w:t>
      </w:r>
      <w:r w:rsidR="00731E29" w:rsidRPr="00731E29">
        <w:t xml:space="preserve"> in September 2014</w:t>
      </w:r>
      <w:r w:rsidR="00731E29">
        <w:t xml:space="preserve">. </w:t>
      </w:r>
      <w:r w:rsidR="003E6299">
        <w:t xml:space="preserve">Also, being a </w:t>
      </w:r>
      <w:r>
        <w:t>high-</w:t>
      </w:r>
      <w:r w:rsidRPr="00075B7C">
        <w:t xml:space="preserve">tech </w:t>
      </w:r>
      <w:r w:rsidR="003E6299" w:rsidRPr="00075B7C">
        <w:t>compan</w:t>
      </w:r>
      <w:r w:rsidR="003E6299">
        <w:t xml:space="preserve">y, Alibaba was subject to the potential for </w:t>
      </w:r>
      <w:r w:rsidRPr="00075B7C">
        <w:t>large swings in valuations</w:t>
      </w:r>
      <w:r w:rsidR="00731E29">
        <w:t xml:space="preserve"> typical for the industry, making it difficult to price the bond issue.</w:t>
      </w:r>
      <w:r w:rsidRPr="00075B7C">
        <w:t xml:space="preserve"> </w:t>
      </w:r>
    </w:p>
    <w:p w14:paraId="4CAB54B0" w14:textId="77777777" w:rsidR="00731E29" w:rsidRDefault="00731E29" w:rsidP="002F3C17">
      <w:pPr>
        <w:pStyle w:val="BodyTextMain"/>
      </w:pPr>
    </w:p>
    <w:p w14:paraId="6D03DAC5" w14:textId="663814E2" w:rsidR="00986589" w:rsidRPr="00075B7C" w:rsidRDefault="00986589" w:rsidP="002F3C17">
      <w:pPr>
        <w:pStyle w:val="BodyTextMain"/>
      </w:pPr>
      <w:r w:rsidRPr="00075B7C">
        <w:t xml:space="preserve">An arduous task </w:t>
      </w:r>
      <w:r>
        <w:t xml:space="preserve">for </w:t>
      </w:r>
      <w:r w:rsidRPr="00075B7C">
        <w:t>Wu’s team</w:t>
      </w:r>
      <w:r>
        <w:t xml:space="preserve"> lay ahead</w:t>
      </w:r>
      <w:r w:rsidRPr="00075B7C">
        <w:t>.</w:t>
      </w:r>
      <w:r>
        <w:t xml:space="preserve"> </w:t>
      </w:r>
      <w:r w:rsidR="00731E29">
        <w:t>Would</w:t>
      </w:r>
      <w:r w:rsidR="00731E29" w:rsidRPr="00075B7C">
        <w:t xml:space="preserve"> investors subscribe to the </w:t>
      </w:r>
      <w:r w:rsidR="00731E29">
        <w:t>bond issue?</w:t>
      </w:r>
      <w:r w:rsidR="00731E29" w:rsidRPr="00075B7C">
        <w:t xml:space="preserve"> </w:t>
      </w:r>
      <w:r>
        <w:t xml:space="preserve">What would be the best location for </w:t>
      </w:r>
      <w:r w:rsidR="003E6299">
        <w:t xml:space="preserve">issuing </w:t>
      </w:r>
      <w:r>
        <w:t xml:space="preserve">Alibaba’s bonds? </w:t>
      </w:r>
      <w:r w:rsidR="00731E29">
        <w:t>When should the bonds be issued</w:t>
      </w:r>
      <w:r>
        <w:t>? And, most importantly, how would the bonds be priced?</w:t>
      </w:r>
    </w:p>
    <w:p w14:paraId="47ECAC14" w14:textId="77777777" w:rsidR="00986589" w:rsidRPr="00075B7C" w:rsidRDefault="00986589" w:rsidP="002F3C17">
      <w:pPr>
        <w:pStyle w:val="BodyTextMain"/>
      </w:pPr>
    </w:p>
    <w:p w14:paraId="5D92667D" w14:textId="77777777" w:rsidR="00986589" w:rsidRPr="00075B7C" w:rsidRDefault="00986589" w:rsidP="002F3C17">
      <w:pPr>
        <w:pStyle w:val="BodyTextMain"/>
      </w:pPr>
    </w:p>
    <w:p w14:paraId="5472A07A" w14:textId="10EC05EA" w:rsidR="00986589" w:rsidRPr="00075B7C" w:rsidRDefault="00986589" w:rsidP="009A6B9D">
      <w:pPr>
        <w:pStyle w:val="Casehead1"/>
        <w:rPr>
          <w:sz w:val="22"/>
          <w:szCs w:val="22"/>
        </w:rPr>
      </w:pPr>
      <w:r w:rsidRPr="00075B7C">
        <w:t>ALIBABA GROUP</w:t>
      </w:r>
    </w:p>
    <w:p w14:paraId="4C8344B5" w14:textId="77777777" w:rsidR="00986589" w:rsidRPr="00075B7C" w:rsidRDefault="00986589" w:rsidP="002F3C17">
      <w:pPr>
        <w:pStyle w:val="BodyTextMain"/>
      </w:pPr>
    </w:p>
    <w:p w14:paraId="73A9374C" w14:textId="159B040F" w:rsidR="00986589" w:rsidRPr="00075B7C" w:rsidRDefault="00986589" w:rsidP="002F3C17">
      <w:pPr>
        <w:pStyle w:val="BodyTextMain"/>
      </w:pPr>
      <w:r w:rsidRPr="00075B7C">
        <w:t>After its IPO in September 2014, Alibaba became China’s largest e-commerce company.</w:t>
      </w:r>
      <w:r w:rsidRPr="00075B7C">
        <w:rPr>
          <w:rStyle w:val="EndnoteReference"/>
        </w:rPr>
        <w:endnoteReference w:id="3"/>
      </w:r>
      <w:r w:rsidRPr="00075B7C">
        <w:t xml:space="preserve"> Alibaba’s </w:t>
      </w:r>
      <w:r>
        <w:t xml:space="preserve">online shopping website, </w:t>
      </w:r>
      <w:r w:rsidRPr="00E03A43">
        <w:t>Taobao.com</w:t>
      </w:r>
      <w:r>
        <w:t>,</w:t>
      </w:r>
      <w:r w:rsidRPr="00075B7C">
        <w:t xml:space="preserve"> accounted for roughly 90 per cent of China’s consumer-to-consumer (C2C) market</w:t>
      </w:r>
      <w:r>
        <w:t>.</w:t>
      </w:r>
      <w:r w:rsidRPr="00075B7C">
        <w:t xml:space="preserve"> </w:t>
      </w:r>
      <w:r>
        <w:t>I</w:t>
      </w:r>
      <w:r w:rsidRPr="00075B7C">
        <w:t>ts</w:t>
      </w:r>
      <w:r>
        <w:t xml:space="preserve"> online retail outlet,</w:t>
      </w:r>
      <w:r w:rsidRPr="00075B7C">
        <w:t xml:space="preserve"> </w:t>
      </w:r>
      <w:r w:rsidRPr="00E03A43">
        <w:t>Tmall.com</w:t>
      </w:r>
      <w:r>
        <w:t>,</w:t>
      </w:r>
      <w:r w:rsidRPr="00075B7C">
        <w:t xml:space="preserve"> captured more than 50 per cent of </w:t>
      </w:r>
      <w:r w:rsidR="00037BD6">
        <w:t xml:space="preserve">the </w:t>
      </w:r>
      <w:r w:rsidRPr="00075B7C">
        <w:t>business-to-consumer (B2C) market share in China.</w:t>
      </w:r>
      <w:r>
        <w:rPr>
          <w:rStyle w:val="EndnoteReference"/>
        </w:rPr>
        <w:endnoteReference w:id="4"/>
      </w:r>
      <w:r w:rsidRPr="00075B7C">
        <w:t xml:space="preserve"> In global terms, the gross merchandise volume of Alibaba’s market places (US$248 billion)</w:t>
      </w:r>
      <w:r>
        <w:rPr>
          <w:rStyle w:val="EndnoteReference"/>
        </w:rPr>
        <w:endnoteReference w:id="5"/>
      </w:r>
      <w:r w:rsidRPr="00075B7C">
        <w:t xml:space="preserve"> exceeded th</w:t>
      </w:r>
      <w:r w:rsidR="005379FC">
        <w:t>at</w:t>
      </w:r>
      <w:r w:rsidRPr="00075B7C">
        <w:t xml:space="preserve"> </w:t>
      </w:r>
      <w:r w:rsidR="00037BD6">
        <w:t xml:space="preserve">of </w:t>
      </w:r>
      <w:r w:rsidR="005379FC">
        <w:t xml:space="preserve">each of </w:t>
      </w:r>
      <w:r w:rsidR="00037BD6">
        <w:t xml:space="preserve">its </w:t>
      </w:r>
      <w:r w:rsidRPr="00075B7C">
        <w:t>major competitors.</w:t>
      </w:r>
      <w:r w:rsidRPr="00075B7C">
        <w:rPr>
          <w:rStyle w:val="EndnoteReference"/>
        </w:rPr>
        <w:endnoteReference w:id="6"/>
      </w:r>
      <w:r w:rsidR="008B46BE">
        <w:t xml:space="preserve"> </w:t>
      </w:r>
      <w:r w:rsidR="00761CC3">
        <w:t>(</w:t>
      </w:r>
      <w:r w:rsidR="008B46BE">
        <w:t>See Exhibits 1 for Alibaba’s selected financial results and ratios</w:t>
      </w:r>
      <w:r w:rsidR="00D864FB">
        <w:t>, Exhibit 2 for</w:t>
      </w:r>
      <w:r w:rsidR="008B46BE">
        <w:t xml:space="preserve"> Alibaba’s income statement</w:t>
      </w:r>
      <w:r w:rsidR="00D864FB">
        <w:t>, Exhibit 3 for</w:t>
      </w:r>
      <w:r w:rsidR="008B46BE">
        <w:t xml:space="preserve"> components of </w:t>
      </w:r>
      <w:r w:rsidR="00D864FB">
        <w:t>Alibaba’s</w:t>
      </w:r>
      <w:r w:rsidR="008B46BE">
        <w:t xml:space="preserve"> revenue,</w:t>
      </w:r>
      <w:r w:rsidR="00D864FB">
        <w:t xml:space="preserve"> and Exhibit 4 for Alibaba’s balance sheet</w:t>
      </w:r>
      <w:r w:rsidR="00761CC3">
        <w:t>)</w:t>
      </w:r>
      <w:r w:rsidR="00D864FB">
        <w:t xml:space="preserve">. </w:t>
      </w:r>
    </w:p>
    <w:p w14:paraId="5D70B2E9" w14:textId="77777777" w:rsidR="00986589" w:rsidRDefault="00986589" w:rsidP="002F3C17">
      <w:pPr>
        <w:pStyle w:val="BodyTextMain"/>
      </w:pPr>
    </w:p>
    <w:p w14:paraId="62EFAC2B" w14:textId="3CE6755F" w:rsidR="00986589" w:rsidRPr="00075B7C" w:rsidRDefault="00986589" w:rsidP="002F3C17">
      <w:pPr>
        <w:pStyle w:val="BodyTextMain"/>
      </w:pPr>
      <w:r>
        <w:t>Alibaba</w:t>
      </w:r>
      <w:r w:rsidRPr="00075B7C">
        <w:t xml:space="preserve"> was described as a mixture of “retailers like Amazon and eBay, financial services like PayPal</w:t>
      </w:r>
      <w:r>
        <w:t>,</w:t>
      </w:r>
      <w:r w:rsidRPr="00075B7C">
        <w:t xml:space="preserve"> and a search engine giant like Google.”</w:t>
      </w:r>
      <w:r w:rsidRPr="00075B7C">
        <w:rPr>
          <w:rStyle w:val="EndnoteReference"/>
        </w:rPr>
        <w:endnoteReference w:id="7"/>
      </w:r>
      <w:r w:rsidRPr="00075B7C">
        <w:t xml:space="preserve"> As a dominant </w:t>
      </w:r>
      <w:r>
        <w:t>company</w:t>
      </w:r>
      <w:r w:rsidRPr="00075B7C">
        <w:t xml:space="preserve"> in China’s e-commerce sector, Alibaba was perfectly positioned to benefit from the rise of China’s middle class and </w:t>
      </w:r>
      <w:r>
        <w:t>its</w:t>
      </w:r>
      <w:r w:rsidRPr="00075B7C">
        <w:t xml:space="preserve"> purchasing power. </w:t>
      </w:r>
    </w:p>
    <w:p w14:paraId="1FACD45A" w14:textId="77777777" w:rsidR="00986589" w:rsidRDefault="00986589" w:rsidP="002F3C17">
      <w:pPr>
        <w:pStyle w:val="BodyTextMain"/>
      </w:pPr>
    </w:p>
    <w:p w14:paraId="1CA8DC58" w14:textId="77777777" w:rsidR="00986589" w:rsidRPr="00075B7C" w:rsidRDefault="00986589" w:rsidP="002F3C17">
      <w:pPr>
        <w:pStyle w:val="BodyTextMain"/>
      </w:pPr>
    </w:p>
    <w:p w14:paraId="7A186BB7" w14:textId="70319673" w:rsidR="00986589" w:rsidRPr="00075B7C" w:rsidRDefault="00986589" w:rsidP="002F3C17">
      <w:pPr>
        <w:pStyle w:val="Casehead1"/>
        <w:keepNext/>
        <w:outlineLvl w:val="0"/>
      </w:pPr>
      <w:r w:rsidRPr="00075B7C">
        <w:lastRenderedPageBreak/>
        <w:t xml:space="preserve">ALIBABA’S RECENT </w:t>
      </w:r>
      <w:r w:rsidRPr="0013470A">
        <w:t>FUNDRAISING</w:t>
      </w:r>
    </w:p>
    <w:p w14:paraId="15E933C9" w14:textId="77777777" w:rsidR="00986589" w:rsidRPr="00075B7C" w:rsidRDefault="00986589" w:rsidP="002F3C17">
      <w:pPr>
        <w:pStyle w:val="BodyTextMain"/>
        <w:keepNext/>
      </w:pPr>
    </w:p>
    <w:p w14:paraId="2E745381" w14:textId="3996DF5B" w:rsidR="00986589" w:rsidRPr="00075B7C" w:rsidRDefault="00986589" w:rsidP="002F3C17">
      <w:pPr>
        <w:pStyle w:val="BodyTextMain"/>
      </w:pPr>
      <w:r w:rsidRPr="00075B7C">
        <w:t xml:space="preserve">Alibaba </w:t>
      </w:r>
      <w:r>
        <w:t>had been</w:t>
      </w:r>
      <w:r w:rsidRPr="0013470A">
        <w:t xml:space="preserve"> active</w:t>
      </w:r>
      <w:r>
        <w:t>ly</w:t>
      </w:r>
      <w:r w:rsidRPr="0013470A">
        <w:t xml:space="preserve"> </w:t>
      </w:r>
      <w:r w:rsidRPr="00075B7C">
        <w:t>raising</w:t>
      </w:r>
      <w:r w:rsidR="00037BD6">
        <w:t xml:space="preserve"> funds for growth</w:t>
      </w:r>
      <w:r w:rsidRPr="00075B7C">
        <w:t>. While</w:t>
      </w:r>
      <w:r>
        <w:t xml:space="preserve"> an</w:t>
      </w:r>
      <w:r w:rsidRPr="00075B7C">
        <w:t xml:space="preserve"> overwhelming majority of its early stage financing came from private equity investors (which is typical for start-up companies), </w:t>
      </w:r>
      <w:r>
        <w:t>Alibaba</w:t>
      </w:r>
      <w:r w:rsidRPr="00075B7C">
        <w:t xml:space="preserve"> started </w:t>
      </w:r>
      <w:r>
        <w:t>using</w:t>
      </w:r>
      <w:r w:rsidRPr="00075B7C">
        <w:t xml:space="preserve"> different forms of financing </w:t>
      </w:r>
      <w:r>
        <w:t>between</w:t>
      </w:r>
      <w:r w:rsidRPr="00075B7C">
        <w:t xml:space="preserve"> 2012</w:t>
      </w:r>
      <w:r>
        <w:t xml:space="preserve"> and </w:t>
      </w:r>
      <w:r w:rsidRPr="00075B7C">
        <w:t xml:space="preserve">2014. For instance, in 2012, Alibaba raised </w:t>
      </w:r>
      <w:r w:rsidRPr="0005575C">
        <w:t>$3 billion</w:t>
      </w:r>
      <w:r w:rsidRPr="00075B7C">
        <w:t xml:space="preserve"> </w:t>
      </w:r>
      <w:r>
        <w:t>through</w:t>
      </w:r>
      <w:r w:rsidRPr="00075B7C">
        <w:t xml:space="preserve"> syndicated loan</w:t>
      </w:r>
      <w:r>
        <w:t>s</w:t>
      </w:r>
      <w:r w:rsidRPr="00075B7C">
        <w:t xml:space="preserve"> to take </w:t>
      </w:r>
      <w:r w:rsidRPr="0005575C">
        <w:t>Alibaba.com</w:t>
      </w:r>
      <w:r w:rsidRPr="00075B7C">
        <w:t xml:space="preserve"> private</w:t>
      </w:r>
      <w:r>
        <w:t xml:space="preserve">, bringing it </w:t>
      </w:r>
      <w:r w:rsidR="00ED491E">
        <w:t xml:space="preserve">back </w:t>
      </w:r>
      <w:r>
        <w:t>within the Alibaba Group</w:t>
      </w:r>
      <w:r w:rsidRPr="00075B7C">
        <w:t xml:space="preserve">. </w:t>
      </w:r>
      <w:r w:rsidRPr="00284835">
        <w:t xml:space="preserve">In 2013, the company </w:t>
      </w:r>
      <w:r w:rsidRPr="005754D0">
        <w:t>used proceeds from another syndicated loan to buy back</w:t>
      </w:r>
      <w:r>
        <w:t>, at a cost of about $7 billion,</w:t>
      </w:r>
      <w:r w:rsidRPr="005754D0">
        <w:t xml:space="preserve"> half of the stake </w:t>
      </w:r>
      <w:r w:rsidRPr="00284835">
        <w:t>Yahoo!</w:t>
      </w:r>
      <w:r w:rsidRPr="005754D0">
        <w:t xml:space="preserve"> had in Alibaba.</w:t>
      </w:r>
      <w:r w:rsidRPr="00284835">
        <w:t xml:space="preserve"> </w:t>
      </w:r>
      <w:r w:rsidRPr="00075B7C">
        <w:t xml:space="preserve">Finally, Alibaba went public on </w:t>
      </w:r>
      <w:r>
        <w:t xml:space="preserve">the </w:t>
      </w:r>
      <w:r w:rsidRPr="00075B7C">
        <w:t>NYSE in September 2014. Each of these financing rounds had different challenges and pricing.</w:t>
      </w:r>
    </w:p>
    <w:p w14:paraId="3FB43928" w14:textId="77777777" w:rsidR="00986589" w:rsidRPr="00075B7C" w:rsidRDefault="00986589" w:rsidP="002F3C17">
      <w:pPr>
        <w:pStyle w:val="BodyTextMain"/>
      </w:pPr>
    </w:p>
    <w:p w14:paraId="00017D57" w14:textId="77777777" w:rsidR="00986589" w:rsidRPr="00075B7C" w:rsidRDefault="00986589" w:rsidP="002F3C17">
      <w:pPr>
        <w:pStyle w:val="BodyTextMain"/>
      </w:pPr>
    </w:p>
    <w:p w14:paraId="543222DC" w14:textId="511CE68E" w:rsidR="00986589" w:rsidRPr="00075B7C" w:rsidRDefault="00986589" w:rsidP="002F3C17">
      <w:pPr>
        <w:pStyle w:val="Casehead2"/>
        <w:outlineLvl w:val="0"/>
      </w:pPr>
      <w:r w:rsidRPr="00075B7C">
        <w:t>Syndicated Loans in 2012 and 201</w:t>
      </w:r>
      <w:r w:rsidRPr="005754D0">
        <w:rPr>
          <w:rFonts w:ascii="Arial Bold" w:hAnsi="Arial Bold"/>
          <w:spacing w:val="20"/>
        </w:rPr>
        <w:t>3</w:t>
      </w:r>
      <w:r w:rsidRPr="005754D0">
        <w:rPr>
          <w:b w:val="0"/>
          <w:vertAlign w:val="superscript"/>
        </w:rPr>
        <w:endnoteReference w:id="8"/>
      </w:r>
    </w:p>
    <w:p w14:paraId="22702ADE" w14:textId="77777777" w:rsidR="00986589" w:rsidRPr="00075B7C" w:rsidRDefault="00986589" w:rsidP="002F3C17">
      <w:pPr>
        <w:pStyle w:val="BodyTextMain"/>
      </w:pPr>
    </w:p>
    <w:p w14:paraId="442938ED" w14:textId="5BED41C1" w:rsidR="00986589" w:rsidRPr="00B0282E" w:rsidRDefault="00986589" w:rsidP="002F3C17">
      <w:pPr>
        <w:jc w:val="both"/>
        <w:rPr>
          <w:sz w:val="22"/>
          <w:szCs w:val="22"/>
        </w:rPr>
      </w:pPr>
      <w:r w:rsidRPr="00075B7C">
        <w:rPr>
          <w:sz w:val="22"/>
          <w:szCs w:val="22"/>
        </w:rPr>
        <w:t xml:space="preserve">In March 2012, Alibaba received a $3 billion syndicated loan from five mandated </w:t>
      </w:r>
      <w:r w:rsidRPr="007E70C4">
        <w:rPr>
          <w:sz w:val="22"/>
          <w:szCs w:val="22"/>
        </w:rPr>
        <w:t>lead arrangers and book</w:t>
      </w:r>
      <w:r>
        <w:rPr>
          <w:sz w:val="22"/>
          <w:szCs w:val="22"/>
        </w:rPr>
        <w:t xml:space="preserve"> </w:t>
      </w:r>
      <w:r w:rsidRPr="007E70C4">
        <w:rPr>
          <w:sz w:val="22"/>
          <w:szCs w:val="22"/>
        </w:rPr>
        <w:t>runners</w:t>
      </w:r>
      <w:r w:rsidRPr="00075B7C">
        <w:rPr>
          <w:sz w:val="22"/>
          <w:szCs w:val="22"/>
        </w:rPr>
        <w:t xml:space="preserve">. </w:t>
      </w:r>
      <w:r w:rsidRPr="00631F40">
        <w:rPr>
          <w:sz w:val="22"/>
          <w:szCs w:val="22"/>
        </w:rPr>
        <w:t xml:space="preserve">This dual-tranche loan consisted of a $1 billion three-year loan (designated as Facility A) at the rate </w:t>
      </w:r>
      <w:r w:rsidR="00ED491E">
        <w:rPr>
          <w:sz w:val="22"/>
          <w:szCs w:val="22"/>
        </w:rPr>
        <w:t>of</w:t>
      </w:r>
      <w:r>
        <w:rPr>
          <w:sz w:val="22"/>
          <w:szCs w:val="22"/>
        </w:rPr>
        <w:t xml:space="preserve"> the London Interbank </w:t>
      </w:r>
      <w:r w:rsidR="00ED491E">
        <w:rPr>
          <w:sz w:val="22"/>
          <w:szCs w:val="22"/>
        </w:rPr>
        <w:t xml:space="preserve">Offered Rate </w:t>
      </w:r>
      <w:r>
        <w:rPr>
          <w:sz w:val="22"/>
          <w:szCs w:val="22"/>
        </w:rPr>
        <w:t>(</w:t>
      </w:r>
      <w:r w:rsidRPr="00631F40">
        <w:rPr>
          <w:sz w:val="22"/>
          <w:szCs w:val="22"/>
        </w:rPr>
        <w:t>LIBOR</w:t>
      </w:r>
      <w:r>
        <w:rPr>
          <w:sz w:val="22"/>
          <w:szCs w:val="22"/>
        </w:rPr>
        <w:t>)</w:t>
      </w:r>
      <w:r w:rsidRPr="00631F40">
        <w:rPr>
          <w:sz w:val="22"/>
          <w:szCs w:val="22"/>
        </w:rPr>
        <w:t xml:space="preserve"> </w:t>
      </w:r>
      <w:r>
        <w:rPr>
          <w:sz w:val="22"/>
          <w:szCs w:val="22"/>
        </w:rPr>
        <w:t>plus</w:t>
      </w:r>
      <w:r w:rsidRPr="00631F40">
        <w:rPr>
          <w:sz w:val="22"/>
          <w:szCs w:val="22"/>
        </w:rPr>
        <w:t xml:space="preserve"> 450 b</w:t>
      </w:r>
      <w:r>
        <w:rPr>
          <w:sz w:val="22"/>
          <w:szCs w:val="22"/>
        </w:rPr>
        <w:t xml:space="preserve">asis points </w:t>
      </w:r>
      <w:r w:rsidRPr="00631F40">
        <w:rPr>
          <w:sz w:val="22"/>
          <w:szCs w:val="22"/>
        </w:rPr>
        <w:t>(</w:t>
      </w:r>
      <w:r>
        <w:rPr>
          <w:sz w:val="22"/>
          <w:szCs w:val="22"/>
        </w:rPr>
        <w:t>bps</w:t>
      </w:r>
      <w:r w:rsidRPr="00631F40">
        <w:rPr>
          <w:sz w:val="22"/>
          <w:szCs w:val="22"/>
        </w:rPr>
        <w:t>)</w:t>
      </w:r>
      <w:r>
        <w:rPr>
          <w:sz w:val="22"/>
          <w:szCs w:val="22"/>
        </w:rPr>
        <w:t>,</w:t>
      </w:r>
      <w:r w:rsidRPr="00631F40">
        <w:rPr>
          <w:sz w:val="22"/>
          <w:szCs w:val="22"/>
        </w:rPr>
        <w:t xml:space="preserve"> and a $2 billion one-year loan (designated as Facility B) at the rate of LIBOR </w:t>
      </w:r>
      <w:r>
        <w:rPr>
          <w:sz w:val="22"/>
          <w:szCs w:val="22"/>
        </w:rPr>
        <w:t>plus</w:t>
      </w:r>
      <w:r w:rsidRPr="00631F40">
        <w:rPr>
          <w:sz w:val="22"/>
          <w:szCs w:val="22"/>
        </w:rPr>
        <w:t xml:space="preserve"> 350 bps</w:t>
      </w:r>
      <w:r w:rsidRPr="00B0282E">
        <w:rPr>
          <w:sz w:val="22"/>
          <w:szCs w:val="22"/>
        </w:rPr>
        <w:t>.</w:t>
      </w:r>
      <w:r w:rsidRPr="00B0282E">
        <w:rPr>
          <w:rStyle w:val="EndnoteReference"/>
          <w:sz w:val="22"/>
          <w:szCs w:val="22"/>
        </w:rPr>
        <w:endnoteReference w:id="9"/>
      </w:r>
      <w:r w:rsidRPr="00B0282E">
        <w:rPr>
          <w:sz w:val="22"/>
          <w:szCs w:val="22"/>
        </w:rPr>
        <w:t xml:space="preserve"> </w:t>
      </w:r>
      <w:r>
        <w:rPr>
          <w:sz w:val="22"/>
          <w:szCs w:val="22"/>
        </w:rPr>
        <w:t xml:space="preserve">The </w:t>
      </w:r>
      <w:r w:rsidRPr="00B0282E">
        <w:rPr>
          <w:sz w:val="22"/>
          <w:szCs w:val="22"/>
        </w:rPr>
        <w:t xml:space="preserve">Facility B loan had </w:t>
      </w:r>
      <w:r w:rsidR="00020422">
        <w:rPr>
          <w:sz w:val="22"/>
          <w:szCs w:val="22"/>
        </w:rPr>
        <w:t xml:space="preserve">interest rate increases </w:t>
      </w:r>
      <w:r w:rsidRPr="00B0282E">
        <w:rPr>
          <w:sz w:val="22"/>
          <w:szCs w:val="22"/>
        </w:rPr>
        <w:t>after the sixth and ninth months, translating to a blended margin of 481 bps over LIBOR. Alibaba was not rated at the time of the issuance.</w:t>
      </w:r>
      <w:r w:rsidRPr="00B0282E">
        <w:rPr>
          <w:rStyle w:val="EndnoteReference"/>
          <w:sz w:val="22"/>
          <w:szCs w:val="22"/>
        </w:rPr>
        <w:endnoteReference w:id="10"/>
      </w:r>
      <w:r w:rsidRPr="00B0282E">
        <w:rPr>
          <w:sz w:val="22"/>
          <w:szCs w:val="22"/>
        </w:rPr>
        <w:t xml:space="preserve"> </w:t>
      </w:r>
      <w:r w:rsidR="00761CC3">
        <w:rPr>
          <w:sz w:val="22"/>
          <w:szCs w:val="22"/>
        </w:rPr>
        <w:t>(</w:t>
      </w:r>
      <w:r w:rsidR="00D864FB">
        <w:rPr>
          <w:sz w:val="22"/>
          <w:szCs w:val="22"/>
        </w:rPr>
        <w:t>See Exhibits 5 and 6 for spreads and fees for this loan</w:t>
      </w:r>
      <w:r w:rsidR="00761CC3">
        <w:rPr>
          <w:sz w:val="22"/>
          <w:szCs w:val="22"/>
        </w:rPr>
        <w:t>)</w:t>
      </w:r>
      <w:r w:rsidR="00D864FB">
        <w:rPr>
          <w:sz w:val="22"/>
          <w:szCs w:val="22"/>
        </w:rPr>
        <w:t>.</w:t>
      </w:r>
    </w:p>
    <w:p w14:paraId="7C79B15D" w14:textId="77777777" w:rsidR="00986589" w:rsidRPr="00B0282E" w:rsidRDefault="00986589" w:rsidP="002F3C17">
      <w:pPr>
        <w:pStyle w:val="BodyTextMain"/>
      </w:pPr>
    </w:p>
    <w:p w14:paraId="75ED01E1" w14:textId="77777777" w:rsidR="00D864FB" w:rsidRDefault="00986589" w:rsidP="002F3C17">
      <w:pPr>
        <w:pStyle w:val="BodyTextMain"/>
      </w:pPr>
      <w:r>
        <w:t>I</w:t>
      </w:r>
      <w:r w:rsidRPr="00B0282E">
        <w:t xml:space="preserve">n August 2012, Alibaba signed a new $1 billion four-year loan agreement with eight banks at the rate of LIBOR </w:t>
      </w:r>
      <w:r>
        <w:t>plus</w:t>
      </w:r>
      <w:r w:rsidRPr="00B0282E">
        <w:t xml:space="preserve"> 475 bps.</w:t>
      </w:r>
      <w:r w:rsidRPr="00B0282E">
        <w:rPr>
          <w:rStyle w:val="EndnoteReference"/>
        </w:rPr>
        <w:endnoteReference w:id="11"/>
      </w:r>
      <w:r w:rsidRPr="00B0282E">
        <w:t xml:space="preserve"> </w:t>
      </w:r>
    </w:p>
    <w:p w14:paraId="67B1089E" w14:textId="77777777" w:rsidR="00D864FB" w:rsidRDefault="00D864FB" w:rsidP="002F3C17">
      <w:pPr>
        <w:pStyle w:val="BodyTextMain"/>
      </w:pPr>
    </w:p>
    <w:p w14:paraId="46550CCA" w14:textId="14E95D4F" w:rsidR="00986589" w:rsidRPr="00761CC3" w:rsidRDefault="00986589" w:rsidP="002F3C17">
      <w:pPr>
        <w:pStyle w:val="BodyTextMain"/>
        <w:rPr>
          <w:spacing w:val="-4"/>
          <w:kern w:val="22"/>
        </w:rPr>
      </w:pPr>
      <w:r w:rsidRPr="00761CC3">
        <w:rPr>
          <w:spacing w:val="-4"/>
          <w:kern w:val="22"/>
        </w:rPr>
        <w:t>Alibaba’s $8 billion loan was launched to syndication in May 2013 by nine underwriters. The new loan was priced lower than the $3 billion loan taken out in 2012. The new loan comprised a $1.5 billion, three-year revolving loan yielding LIBOR plus 225 bps; a $2.5 billion, three-year term loan (Facility A), also yielding LIBOR plus 225 bps; and</w:t>
      </w:r>
      <w:r w:rsidR="000B4C6B" w:rsidRPr="00761CC3">
        <w:rPr>
          <w:spacing w:val="-4"/>
          <w:kern w:val="22"/>
        </w:rPr>
        <w:t xml:space="preserve"> </w:t>
      </w:r>
      <w:r w:rsidRPr="00761CC3">
        <w:rPr>
          <w:spacing w:val="-4"/>
          <w:kern w:val="22"/>
        </w:rPr>
        <w:t>a $4 billion, five-year term loan (Facility C) with a spread of LIBOR plus 275 bps. The spreads would drop</w:t>
      </w:r>
      <w:r w:rsidR="00ED491E" w:rsidRPr="00761CC3">
        <w:rPr>
          <w:spacing w:val="-4"/>
          <w:kern w:val="22"/>
        </w:rPr>
        <w:t xml:space="preserve"> as</w:t>
      </w:r>
      <w:r w:rsidRPr="00761CC3">
        <w:rPr>
          <w:spacing w:val="-4"/>
          <w:kern w:val="22"/>
        </w:rPr>
        <w:t xml:space="preserve"> </w:t>
      </w:r>
      <w:r w:rsidR="00020422" w:rsidRPr="00761CC3">
        <w:rPr>
          <w:spacing w:val="-4"/>
          <w:kern w:val="22"/>
        </w:rPr>
        <w:t>Alibaba’s total leverage decreased</w:t>
      </w:r>
      <w:r w:rsidRPr="00761CC3">
        <w:rPr>
          <w:spacing w:val="-4"/>
          <w:kern w:val="22"/>
        </w:rPr>
        <w:t>.</w:t>
      </w:r>
      <w:r w:rsidR="00D864FB" w:rsidRPr="00761CC3">
        <w:rPr>
          <w:spacing w:val="-4"/>
          <w:kern w:val="22"/>
        </w:rPr>
        <w:t xml:space="preserve"> See Exhibit 7 for spreads and fees for this loan.</w:t>
      </w:r>
    </w:p>
    <w:p w14:paraId="57B4031A" w14:textId="77777777" w:rsidR="00986589" w:rsidRDefault="00986589" w:rsidP="002F3C17">
      <w:pPr>
        <w:pStyle w:val="BodyTextMain"/>
      </w:pPr>
    </w:p>
    <w:p w14:paraId="7856D7AF" w14:textId="77777777" w:rsidR="00986589" w:rsidRPr="00B0282E" w:rsidRDefault="00986589" w:rsidP="002F3C17">
      <w:pPr>
        <w:pStyle w:val="BodyTextMain"/>
      </w:pPr>
    </w:p>
    <w:p w14:paraId="2FE7DAA2" w14:textId="7423A832" w:rsidR="00986589" w:rsidRPr="00B0282E" w:rsidRDefault="00986589" w:rsidP="002F3C17">
      <w:pPr>
        <w:pStyle w:val="Casehead2"/>
        <w:outlineLvl w:val="0"/>
      </w:pPr>
      <w:r w:rsidRPr="00B0282E">
        <w:t>Initial Public Offerin</w:t>
      </w:r>
      <w:r w:rsidRPr="005754D0">
        <w:rPr>
          <w:spacing w:val="20"/>
        </w:rPr>
        <w:t>g</w:t>
      </w:r>
      <w:r w:rsidRPr="005754D0">
        <w:rPr>
          <w:b w:val="0"/>
          <w:vertAlign w:val="superscript"/>
        </w:rPr>
        <w:endnoteReference w:id="12"/>
      </w:r>
    </w:p>
    <w:p w14:paraId="6CBB38B0" w14:textId="77777777" w:rsidR="00986589" w:rsidRPr="00B0282E" w:rsidRDefault="00986589" w:rsidP="002F3C17">
      <w:pPr>
        <w:jc w:val="both"/>
        <w:rPr>
          <w:b/>
          <w:sz w:val="22"/>
          <w:szCs w:val="22"/>
        </w:rPr>
      </w:pPr>
    </w:p>
    <w:p w14:paraId="657AAED9" w14:textId="095DE1EC" w:rsidR="00986589" w:rsidRPr="00761CC3" w:rsidRDefault="00986589" w:rsidP="002F3C17">
      <w:pPr>
        <w:pStyle w:val="BodyTextMain"/>
        <w:rPr>
          <w:spacing w:val="-2"/>
          <w:kern w:val="22"/>
        </w:rPr>
      </w:pPr>
      <w:r w:rsidRPr="00761CC3">
        <w:rPr>
          <w:spacing w:val="-2"/>
          <w:kern w:val="22"/>
        </w:rPr>
        <w:t>The company continued with its fund</w:t>
      </w:r>
      <w:r w:rsidR="0031712C" w:rsidRPr="00761CC3">
        <w:rPr>
          <w:spacing w:val="-2"/>
          <w:kern w:val="22"/>
        </w:rPr>
        <w:t>-</w:t>
      </w:r>
      <w:r w:rsidRPr="00761CC3">
        <w:rPr>
          <w:spacing w:val="-2"/>
          <w:kern w:val="22"/>
        </w:rPr>
        <w:t xml:space="preserve">raising. </w:t>
      </w:r>
      <w:r w:rsidR="00F24C07" w:rsidRPr="00761CC3">
        <w:rPr>
          <w:spacing w:val="-2"/>
          <w:kern w:val="22"/>
        </w:rPr>
        <w:t xml:space="preserve">In </w:t>
      </w:r>
      <w:r w:rsidRPr="00761CC3">
        <w:rPr>
          <w:spacing w:val="-2"/>
          <w:kern w:val="22"/>
        </w:rPr>
        <w:t xml:space="preserve">May 2014, Alibaba filed with the U.S. Securities and Exchange Commission (SEC) to go public. Alibaba’s underwriters estimated the company’s fair value </w:t>
      </w:r>
      <w:r w:rsidR="00020422" w:rsidRPr="00761CC3">
        <w:rPr>
          <w:spacing w:val="-2"/>
          <w:kern w:val="22"/>
        </w:rPr>
        <w:t xml:space="preserve">would </w:t>
      </w:r>
      <w:r w:rsidRPr="00761CC3">
        <w:rPr>
          <w:spacing w:val="-2"/>
          <w:kern w:val="22"/>
        </w:rPr>
        <w:t>reach $50 per share.</w:t>
      </w:r>
      <w:r w:rsidRPr="00761CC3">
        <w:rPr>
          <w:rStyle w:val="EndnoteReference"/>
          <w:spacing w:val="-2"/>
          <w:kern w:val="22"/>
        </w:rPr>
        <w:endnoteReference w:id="13"/>
      </w:r>
      <w:r w:rsidRPr="00761CC3">
        <w:rPr>
          <w:spacing w:val="-2"/>
          <w:kern w:val="22"/>
        </w:rPr>
        <w:t xml:space="preserve"> On September 19, 2014, Alibaba went public at $68 per share. Its price rose to $93.89 on the first day of trading for a first-day return of 38 per cent. Its market capitalization reached $231 billion.</w:t>
      </w:r>
      <w:r w:rsidRPr="00761CC3">
        <w:rPr>
          <w:rStyle w:val="EndnoteReference"/>
          <w:spacing w:val="-2"/>
          <w:kern w:val="22"/>
        </w:rPr>
        <w:endnoteReference w:id="14"/>
      </w:r>
      <w:r w:rsidRPr="00761CC3">
        <w:rPr>
          <w:spacing w:val="-2"/>
          <w:kern w:val="22"/>
        </w:rPr>
        <w:t xml:space="preserve"> Alibaba received $25 billion and claimed the title of the largest IPO in the history of </w:t>
      </w:r>
      <w:r w:rsidR="00AA1859" w:rsidRPr="00761CC3">
        <w:rPr>
          <w:spacing w:val="-2"/>
          <w:kern w:val="22"/>
        </w:rPr>
        <w:t xml:space="preserve">the </w:t>
      </w:r>
      <w:r w:rsidRPr="00761CC3">
        <w:rPr>
          <w:spacing w:val="-2"/>
          <w:kern w:val="22"/>
        </w:rPr>
        <w:t>NYSE.</w:t>
      </w:r>
      <w:r w:rsidRPr="00761CC3">
        <w:rPr>
          <w:rStyle w:val="EndnoteReference"/>
          <w:spacing w:val="-2"/>
          <w:kern w:val="22"/>
        </w:rPr>
        <w:endnoteReference w:id="15"/>
      </w:r>
    </w:p>
    <w:p w14:paraId="2E929EDD" w14:textId="77777777" w:rsidR="00986589" w:rsidRPr="00B0282E" w:rsidRDefault="00986589" w:rsidP="002F3C17">
      <w:pPr>
        <w:pStyle w:val="BodyTextMain"/>
      </w:pPr>
    </w:p>
    <w:p w14:paraId="49E54A91" w14:textId="77777777" w:rsidR="00986589" w:rsidRPr="00B0282E" w:rsidRDefault="00986589" w:rsidP="002F3C17">
      <w:pPr>
        <w:pStyle w:val="BodyTextMain"/>
      </w:pPr>
    </w:p>
    <w:p w14:paraId="7C6A850C" w14:textId="77777777" w:rsidR="00986589" w:rsidRPr="00B0282E" w:rsidRDefault="00986589" w:rsidP="009A6B9D">
      <w:pPr>
        <w:pStyle w:val="Casehead1"/>
      </w:pPr>
      <w:r w:rsidRPr="00B0282E">
        <w:t>Acquisition Spree in 2014</w:t>
      </w:r>
    </w:p>
    <w:p w14:paraId="1D7F1E8A" w14:textId="77777777" w:rsidR="00986589" w:rsidRPr="00B0282E" w:rsidRDefault="00986589" w:rsidP="002F3C17">
      <w:pPr>
        <w:pStyle w:val="BodyTextMain"/>
      </w:pPr>
    </w:p>
    <w:p w14:paraId="0151620E" w14:textId="0CCAEFAF" w:rsidR="00986589" w:rsidRDefault="00986589" w:rsidP="002F3C17">
      <w:pPr>
        <w:pStyle w:val="BodyTextMain"/>
      </w:pPr>
      <w:r w:rsidRPr="00B0282E">
        <w:t>In 2014, Alibaba made numerous investments and acquisitions. Among others, the company invested $692 million in Intime Retail Group</w:t>
      </w:r>
      <w:r>
        <w:t>, a chain of department and grocery stores</w:t>
      </w:r>
      <w:r w:rsidRPr="002F3C17">
        <w:t>.</w:t>
      </w:r>
      <w:r w:rsidRPr="002F3C17">
        <w:rPr>
          <w:rStyle w:val="EndnoteReference"/>
        </w:rPr>
        <w:endnoteReference w:id="16"/>
      </w:r>
      <w:r w:rsidRPr="002F3C17">
        <w:t xml:space="preserve"> It also acquired a 60 per cent stake in </w:t>
      </w:r>
      <w:proofErr w:type="spellStart"/>
      <w:r w:rsidRPr="002F3C17">
        <w:t>Chinavision</w:t>
      </w:r>
      <w:proofErr w:type="spellEnd"/>
      <w:r w:rsidRPr="002F3C17">
        <w:t>, a Chinese entertainment company, for approximately $800 million.</w:t>
      </w:r>
      <w:r w:rsidRPr="002F3C17">
        <w:rPr>
          <w:rStyle w:val="EndnoteReference"/>
        </w:rPr>
        <w:endnoteReference w:id="17"/>
      </w:r>
      <w:r w:rsidRPr="00B0282E">
        <w:t xml:space="preserve"> Other notable investments included Tango</w:t>
      </w:r>
      <w:r>
        <w:t>, a messaging app</w:t>
      </w:r>
      <w:r w:rsidRPr="00B0282E">
        <w:t xml:space="preserve"> ($280 million)</w:t>
      </w:r>
      <w:r>
        <w:t>;</w:t>
      </w:r>
      <w:r w:rsidRPr="00B0282E">
        <w:t xml:space="preserve"> Lyft</w:t>
      </w:r>
      <w:r>
        <w:t>, a ride-sharing app</w:t>
      </w:r>
      <w:r w:rsidRPr="00B0282E">
        <w:t xml:space="preserve"> ($250 million)</w:t>
      </w:r>
      <w:r>
        <w:t>;</w:t>
      </w:r>
      <w:r w:rsidRPr="00B0282E">
        <w:t xml:space="preserve"> Youku </w:t>
      </w:r>
      <w:proofErr w:type="spellStart"/>
      <w:r>
        <w:t>Tudou</w:t>
      </w:r>
      <w:proofErr w:type="spellEnd"/>
      <w:r>
        <w:t xml:space="preserve">, a Chinese online video provider </w:t>
      </w:r>
      <w:r w:rsidRPr="00B0282E">
        <w:t>($1.22 billion)</w:t>
      </w:r>
      <w:r>
        <w:t>;</w:t>
      </w:r>
      <w:r w:rsidRPr="00B0282E">
        <w:t xml:space="preserve"> China Smart Logistics</w:t>
      </w:r>
      <w:r>
        <w:t xml:space="preserve"> Network, a logistics platform for e-commerce</w:t>
      </w:r>
      <w:r w:rsidRPr="00B0282E">
        <w:t xml:space="preserve"> ($269 million)</w:t>
      </w:r>
      <w:r>
        <w:t>;</w:t>
      </w:r>
      <w:r w:rsidRPr="00B0282E">
        <w:t xml:space="preserve"> Sing</w:t>
      </w:r>
      <w:r>
        <w:t xml:space="preserve">apore </w:t>
      </w:r>
      <w:r w:rsidRPr="00B0282E">
        <w:t>Post ($250 million)</w:t>
      </w:r>
      <w:r>
        <w:t>;</w:t>
      </w:r>
      <w:r w:rsidRPr="00B0282E">
        <w:t xml:space="preserve"> </w:t>
      </w:r>
      <w:proofErr w:type="spellStart"/>
      <w:r w:rsidRPr="00B0282E">
        <w:t>UCWeb</w:t>
      </w:r>
      <w:proofErr w:type="spellEnd"/>
      <w:r>
        <w:t>, a mobile browser and search engine</w:t>
      </w:r>
      <w:r w:rsidRPr="00B0282E">
        <w:t xml:space="preserve"> (undisclosed amount)</w:t>
      </w:r>
      <w:r>
        <w:t>;</w:t>
      </w:r>
      <w:r w:rsidRPr="00B0282E">
        <w:t xml:space="preserve"> AutoNavi </w:t>
      </w:r>
      <w:r>
        <w:t xml:space="preserve">Holdings Ltd., a Chinese digital mapping and navigation company </w:t>
      </w:r>
      <w:r w:rsidRPr="00B0282E">
        <w:t>($294 million)</w:t>
      </w:r>
      <w:r>
        <w:t>;</w:t>
      </w:r>
      <w:r w:rsidRPr="00B0282E">
        <w:t xml:space="preserve"> and </w:t>
      </w:r>
      <w:proofErr w:type="spellStart"/>
      <w:r w:rsidRPr="00B0282E">
        <w:t>Huayi</w:t>
      </w:r>
      <w:proofErr w:type="spellEnd"/>
      <w:r w:rsidRPr="00B0282E">
        <w:t xml:space="preserve"> Brothers</w:t>
      </w:r>
      <w:r>
        <w:t xml:space="preserve">, China’s largest private-sector film company </w:t>
      </w:r>
      <w:r w:rsidRPr="00B0282E">
        <w:t>($581 million).</w:t>
      </w:r>
      <w:r w:rsidRPr="00B0282E">
        <w:rPr>
          <w:rStyle w:val="EndnoteReference"/>
        </w:rPr>
        <w:endnoteReference w:id="18"/>
      </w:r>
      <w:r w:rsidRPr="00B0282E">
        <w:t xml:space="preserve"> It seemed that the company was spending substantial amounts of cash on these investments and had no intention </w:t>
      </w:r>
      <w:r>
        <w:t>of</w:t>
      </w:r>
      <w:r w:rsidRPr="00B0282E">
        <w:t xml:space="preserve"> slow</w:t>
      </w:r>
      <w:r>
        <w:t>ing</w:t>
      </w:r>
      <w:r w:rsidRPr="00B0282E">
        <w:t xml:space="preserve"> down. </w:t>
      </w:r>
    </w:p>
    <w:p w14:paraId="7AEFA42B" w14:textId="77777777" w:rsidR="00ED491E" w:rsidRDefault="00ED491E" w:rsidP="002F3C17">
      <w:pPr>
        <w:pStyle w:val="BodyTextMain"/>
      </w:pPr>
    </w:p>
    <w:p w14:paraId="29020E55" w14:textId="77777777" w:rsidR="00986589" w:rsidRPr="00B0282E" w:rsidRDefault="00986589" w:rsidP="002F3C17">
      <w:pPr>
        <w:pStyle w:val="Casehead1"/>
        <w:outlineLvl w:val="0"/>
      </w:pPr>
      <w:r w:rsidRPr="00B0282E">
        <w:lastRenderedPageBreak/>
        <w:t>GOVERNANCE</w:t>
      </w:r>
    </w:p>
    <w:p w14:paraId="4EEC95A4" w14:textId="77777777" w:rsidR="00986589" w:rsidRPr="00B0282E" w:rsidRDefault="00986589" w:rsidP="002F3C17">
      <w:pPr>
        <w:pStyle w:val="BodyTextMain"/>
      </w:pPr>
    </w:p>
    <w:p w14:paraId="65358859" w14:textId="1D0D747A" w:rsidR="00986589" w:rsidRPr="00B0282E" w:rsidRDefault="00986589" w:rsidP="002F3C17">
      <w:pPr>
        <w:pStyle w:val="Casehead2"/>
        <w:outlineLvl w:val="0"/>
        <w:rPr>
          <w:rFonts w:ascii="Times New Roman" w:hAnsi="Times New Roman" w:cs="Times New Roman"/>
          <w:sz w:val="22"/>
          <w:szCs w:val="22"/>
        </w:rPr>
      </w:pPr>
      <w:r w:rsidRPr="00B0282E">
        <w:t>Ownership Structur</w:t>
      </w:r>
      <w:r w:rsidRPr="005754D0">
        <w:rPr>
          <w:spacing w:val="20"/>
        </w:rPr>
        <w:t>e</w:t>
      </w:r>
      <w:r w:rsidRPr="005754D0">
        <w:rPr>
          <w:b w:val="0"/>
          <w:vertAlign w:val="superscript"/>
        </w:rPr>
        <w:endnoteReference w:id="19"/>
      </w:r>
    </w:p>
    <w:p w14:paraId="51BC9B04" w14:textId="44177C3A" w:rsidR="00986589" w:rsidRPr="00B0282E" w:rsidRDefault="00986589" w:rsidP="002F3C17">
      <w:pPr>
        <w:pStyle w:val="BodyTextMain"/>
      </w:pPr>
    </w:p>
    <w:p w14:paraId="4B93DCBE" w14:textId="179DACE7" w:rsidR="00986589" w:rsidRDefault="00986589" w:rsidP="002F3C17">
      <w:pPr>
        <w:pStyle w:val="BodyTextMain"/>
      </w:pPr>
      <w:r w:rsidRPr="00B0282E">
        <w:t>Alibaba’s senior management</w:t>
      </w:r>
      <w:r>
        <w:t>, consisting of</w:t>
      </w:r>
      <w:r w:rsidRPr="00B0282E">
        <w:t xml:space="preserve"> 28 partners</w:t>
      </w:r>
      <w:r>
        <w:t>,</w:t>
      </w:r>
      <w:r w:rsidRPr="00B0282E">
        <w:t xml:space="preserve"> had a right to nominate </w:t>
      </w:r>
      <w:r>
        <w:t xml:space="preserve">the </w:t>
      </w:r>
      <w:r w:rsidRPr="00B0282E">
        <w:t xml:space="preserve">majority of candidates for </w:t>
      </w:r>
      <w:r>
        <w:t xml:space="preserve">the company’s </w:t>
      </w:r>
      <w:r w:rsidR="003C1B77">
        <w:t>b</w:t>
      </w:r>
      <w:r w:rsidRPr="00B0282E">
        <w:t xml:space="preserve">oard of </w:t>
      </w:r>
      <w:r w:rsidR="003C1B77">
        <w:t>d</w:t>
      </w:r>
      <w:r w:rsidRPr="00B0282E">
        <w:t xml:space="preserve">irectors. These directors would have to be approved by the shareholders. Alibaba’s </w:t>
      </w:r>
      <w:r w:rsidRPr="009B006F">
        <w:t>vice</w:t>
      </w:r>
      <w:r>
        <w:t>-</w:t>
      </w:r>
      <w:r w:rsidRPr="009B006F">
        <w:t>chairman</w:t>
      </w:r>
      <w:r>
        <w:t>,</w:t>
      </w:r>
      <w:r w:rsidRPr="00B0282E">
        <w:t xml:space="preserve"> Joseph Tsai</w:t>
      </w:r>
      <w:r>
        <w:t>,</w:t>
      </w:r>
      <w:r w:rsidRPr="00B0282E">
        <w:t xml:space="preserve"> </w:t>
      </w:r>
      <w:r>
        <w:t>claimed</w:t>
      </w:r>
      <w:r w:rsidRPr="00B0282E">
        <w:t xml:space="preserve"> that this structure allow</w:t>
      </w:r>
      <w:r>
        <w:t>ed</w:t>
      </w:r>
      <w:r w:rsidRPr="00B0282E">
        <w:t xml:space="preserve"> management to focus on the long</w:t>
      </w:r>
      <w:r>
        <w:t>-</w:t>
      </w:r>
      <w:r w:rsidRPr="00B0282E">
        <w:t xml:space="preserve">term </w:t>
      </w:r>
      <w:r>
        <w:t xml:space="preserve">interest of the company </w:t>
      </w:r>
      <w:r w:rsidRPr="00B0282E">
        <w:t>and would</w:t>
      </w:r>
      <w:r>
        <w:t>,</w:t>
      </w:r>
      <w:r w:rsidRPr="00B0282E">
        <w:t xml:space="preserve"> </w:t>
      </w:r>
      <w:r>
        <w:t xml:space="preserve">therefore, </w:t>
      </w:r>
      <w:r w:rsidRPr="00B0282E">
        <w:t xml:space="preserve">be </w:t>
      </w:r>
      <w:r>
        <w:t xml:space="preserve">beneficial to </w:t>
      </w:r>
      <w:r w:rsidRPr="00B0282E">
        <w:t xml:space="preserve">shareholders. The structure was </w:t>
      </w:r>
      <w:r w:rsidR="00F24C07">
        <w:t>meant</w:t>
      </w:r>
      <w:r w:rsidR="00F24C07" w:rsidRPr="00B0282E">
        <w:t xml:space="preserve"> </w:t>
      </w:r>
      <w:r w:rsidRPr="00B0282E">
        <w:t xml:space="preserve">to sustain the company’s culture and innovation. Other Internet companies </w:t>
      </w:r>
      <w:r>
        <w:t>that had also gone</w:t>
      </w:r>
      <w:r w:rsidRPr="00B0282E">
        <w:t xml:space="preserve"> public with similar structures included Facebook, Google</w:t>
      </w:r>
      <w:r>
        <w:t>,</w:t>
      </w:r>
      <w:r w:rsidRPr="00B0282E">
        <w:t xml:space="preserve"> and LinkedIn. </w:t>
      </w:r>
      <w:r>
        <w:t>At</w:t>
      </w:r>
      <w:r w:rsidRPr="00B0282E">
        <w:t xml:space="preserve"> all</w:t>
      </w:r>
      <w:r>
        <w:t xml:space="preserve"> of</w:t>
      </w:r>
      <w:r w:rsidRPr="00B0282E">
        <w:t xml:space="preserve"> these companies, founders and top executives exerted control through superior</w:t>
      </w:r>
      <w:r>
        <w:t xml:space="preserve"> </w:t>
      </w:r>
      <w:r w:rsidRPr="00B0282E">
        <w:t xml:space="preserve">voting shares. </w:t>
      </w:r>
    </w:p>
    <w:p w14:paraId="11E54241" w14:textId="77777777" w:rsidR="00986589" w:rsidRDefault="00986589" w:rsidP="002F3C17">
      <w:pPr>
        <w:pStyle w:val="BodyTextMain"/>
      </w:pPr>
    </w:p>
    <w:p w14:paraId="232B6399" w14:textId="44EDFDEB" w:rsidR="00986589" w:rsidRPr="00B0282E" w:rsidRDefault="00986589" w:rsidP="002F3C17">
      <w:pPr>
        <w:pStyle w:val="BodyTextMain"/>
      </w:pPr>
      <w:r>
        <w:t>Tsai said on Alibaba’s web site:</w:t>
      </w:r>
    </w:p>
    <w:p w14:paraId="02883B45" w14:textId="77777777" w:rsidR="00986589" w:rsidRPr="00B0282E" w:rsidRDefault="00986589" w:rsidP="002F3C17">
      <w:pPr>
        <w:pStyle w:val="BodyTextMain"/>
      </w:pPr>
    </w:p>
    <w:p w14:paraId="3F567C2A" w14:textId="68EB5650" w:rsidR="00986589" w:rsidRPr="00761CC3" w:rsidRDefault="00986589" w:rsidP="002F3C17">
      <w:pPr>
        <w:pStyle w:val="BodyTextMain"/>
        <w:ind w:left="720"/>
        <w:rPr>
          <w:spacing w:val="-2"/>
          <w:kern w:val="22"/>
        </w:rPr>
      </w:pPr>
      <w:r w:rsidRPr="00761CC3">
        <w:rPr>
          <w:spacing w:val="-2"/>
          <w:kern w:val="22"/>
        </w:rPr>
        <w:t xml:space="preserve">[W]e have also noticed that many great companies quickly deteriorate after their founders leave; in the same vein, a number of successful founders have also made fatal mistakes. The final governance structure we have selected is to replace founders with partners. The reason is simple—a group of partners who cherish the same culture and ideals is more likely to carry forward our principles and make good decisions for all stakeholders with a long-term view. And in the decade to come, those partners will be guided by these principles when grappling with inevitable disruption and competition. </w:t>
      </w:r>
    </w:p>
    <w:p w14:paraId="73E636A4" w14:textId="77777777" w:rsidR="00986589" w:rsidRPr="00B0282E" w:rsidRDefault="00986589" w:rsidP="002F3C17">
      <w:pPr>
        <w:pStyle w:val="BodyTextMain"/>
        <w:ind w:left="720"/>
      </w:pPr>
    </w:p>
    <w:p w14:paraId="61CB2B2F" w14:textId="78CB2C50" w:rsidR="00986589" w:rsidRPr="00B0282E" w:rsidRDefault="00986589" w:rsidP="002F3C17">
      <w:pPr>
        <w:pStyle w:val="BodyTextMain"/>
        <w:ind w:left="720"/>
      </w:pPr>
      <w:r w:rsidRPr="00B0282E">
        <w:t>We believe this partnership system is the right way to build a sustainable business: partners are peers and, without bureaucracy or rigid hierarchy, they solve problems through collaboration.</w:t>
      </w:r>
      <w:r w:rsidR="000B4C6B">
        <w:t xml:space="preserve"> </w:t>
      </w:r>
      <w:r w:rsidRPr="00B0282E">
        <w:t>Partners are not just managers</w:t>
      </w:r>
      <w:r w:rsidR="003F2203">
        <w:t>,</w:t>
      </w:r>
      <w:r w:rsidRPr="00B0282E">
        <w:t xml:space="preserve"> but they are owners of the business with a keen sense of responsibility. The partnership is rejuvenated each year through admission of new partners and, as such, it provides both continuity and longevity because it is a living body. With this system, we believe we can sustain the flame of innovation and constantly improve the talent pool of people who run the Alibaba business.</w:t>
      </w:r>
      <w:r w:rsidRPr="00B0282E">
        <w:rPr>
          <w:rStyle w:val="EndnoteReference"/>
        </w:rPr>
        <w:endnoteReference w:id="20"/>
      </w:r>
    </w:p>
    <w:p w14:paraId="4A44A2C9" w14:textId="77777777" w:rsidR="00986589" w:rsidRPr="00B0282E" w:rsidRDefault="00986589" w:rsidP="002F3C17">
      <w:pPr>
        <w:pStyle w:val="BodyTextMain"/>
      </w:pPr>
    </w:p>
    <w:p w14:paraId="4625C466" w14:textId="77777777" w:rsidR="00986589" w:rsidRPr="00B0282E" w:rsidRDefault="00986589" w:rsidP="002F3C17">
      <w:pPr>
        <w:pStyle w:val="BodyTextMain"/>
      </w:pPr>
    </w:p>
    <w:p w14:paraId="31EC4C8E" w14:textId="07F60609" w:rsidR="00986589" w:rsidRPr="00B0282E" w:rsidRDefault="00986589" w:rsidP="002F3C17">
      <w:pPr>
        <w:pStyle w:val="Casehead2"/>
        <w:outlineLvl w:val="0"/>
      </w:pPr>
      <w:r w:rsidRPr="00B0282E">
        <w:t>Variable-Interest Entities (VIEs)</w:t>
      </w:r>
    </w:p>
    <w:p w14:paraId="5141B2B6" w14:textId="77777777" w:rsidR="00986589" w:rsidRPr="00B0282E" w:rsidRDefault="00986589" w:rsidP="002F3C17">
      <w:pPr>
        <w:pStyle w:val="BodyTextMain"/>
      </w:pPr>
    </w:p>
    <w:p w14:paraId="3FD8100F" w14:textId="5E4A2583" w:rsidR="00986589" w:rsidRPr="00761CC3" w:rsidRDefault="00986589" w:rsidP="002F3C17">
      <w:pPr>
        <w:pStyle w:val="BodyTextMain"/>
        <w:rPr>
          <w:spacing w:val="-2"/>
          <w:kern w:val="22"/>
        </w:rPr>
      </w:pPr>
      <w:r w:rsidRPr="00761CC3">
        <w:rPr>
          <w:spacing w:val="-2"/>
          <w:kern w:val="22"/>
        </w:rPr>
        <w:t xml:space="preserve">The Chinese government restricted foreign direct ownership in certain industries such as Internet content providers (ICPs). In order to circumvent these restrictions, Chinese companies designed variable interest entities (VIEs) that allowed these companies to invite foreign investment while staying within the Chinese law. The VIEs held the licenses to do business in China and paid fees and royalties to offshore holding companies based on the contractual agreement between the two. In the case of Alibaba, the licenses to operate various websites in China were held by VIEs that were majority-owned (between 80 and 90 per cent) by Jack Ma, founder and chairman of Alibaba, and minority-owned by Simon </w:t>
      </w:r>
      <w:proofErr w:type="spellStart"/>
      <w:r w:rsidRPr="00761CC3">
        <w:rPr>
          <w:spacing w:val="-2"/>
          <w:kern w:val="22"/>
        </w:rPr>
        <w:t>Xie</w:t>
      </w:r>
      <w:proofErr w:type="spellEnd"/>
      <w:r w:rsidRPr="00761CC3">
        <w:rPr>
          <w:spacing w:val="-2"/>
          <w:kern w:val="22"/>
        </w:rPr>
        <w:t>, an Alibaba co-founder.</w:t>
      </w:r>
      <w:r w:rsidRPr="00761CC3">
        <w:rPr>
          <w:spacing w:val="-2"/>
          <w:kern w:val="22"/>
          <w:vertAlign w:val="superscript"/>
        </w:rPr>
        <w:endnoteReference w:id="21"/>
      </w:r>
      <w:r w:rsidRPr="00761CC3">
        <w:rPr>
          <w:spacing w:val="-2"/>
          <w:kern w:val="22"/>
        </w:rPr>
        <w:t xml:space="preserve"> </w:t>
      </w:r>
    </w:p>
    <w:p w14:paraId="3F884708" w14:textId="77777777" w:rsidR="00986589" w:rsidRDefault="00986589" w:rsidP="002F3C17">
      <w:pPr>
        <w:pStyle w:val="BodyTextMain"/>
      </w:pPr>
    </w:p>
    <w:p w14:paraId="6071C2C3" w14:textId="116B2A96" w:rsidR="00986589" w:rsidRPr="00B0282E" w:rsidRDefault="00986589" w:rsidP="002F3C17">
      <w:pPr>
        <w:pStyle w:val="BodyTextMain"/>
      </w:pPr>
      <w:r>
        <w:t xml:space="preserve">The </w:t>
      </w:r>
      <w:r w:rsidRPr="00B0282E">
        <w:t xml:space="preserve">Chinese government </w:t>
      </w:r>
      <w:r>
        <w:t>and</w:t>
      </w:r>
      <w:r w:rsidRPr="00B0282E">
        <w:t xml:space="preserve"> courts maintained </w:t>
      </w:r>
      <w:r>
        <w:t>a</w:t>
      </w:r>
      <w:r w:rsidRPr="00B0282E">
        <w:t xml:space="preserve"> neutral stand with respect to the use of VIEs.</w:t>
      </w:r>
      <w:r w:rsidRPr="00B0282E">
        <w:rPr>
          <w:rStyle w:val="EndnoteReference"/>
        </w:rPr>
        <w:endnoteReference w:id="22"/>
      </w:r>
      <w:r w:rsidRPr="00B0282E">
        <w:t xml:space="preserve"> There were signs that the Chinese government was considering </w:t>
      </w:r>
      <w:r>
        <w:t>a</w:t>
      </w:r>
      <w:r w:rsidRPr="00B0282E">
        <w:t xml:space="preserve"> new law</w:t>
      </w:r>
      <w:r>
        <w:t xml:space="preserve"> that</w:t>
      </w:r>
      <w:r w:rsidRPr="00B0282E">
        <w:t xml:space="preserve"> would legitimize the VIE structure. </w:t>
      </w:r>
      <w:r w:rsidRPr="005754D0">
        <w:t>Foreign</w:t>
      </w:r>
      <w:r w:rsidR="00F24C07">
        <w:t>-</w:t>
      </w:r>
      <w:r w:rsidRPr="00B0282E">
        <w:t>listed Chinese companies (such as</w:t>
      </w:r>
      <w:r>
        <w:t xml:space="preserve"> the web services company</w:t>
      </w:r>
      <w:r w:rsidRPr="00B0282E">
        <w:t xml:space="preserve"> Baidu) as well as </w:t>
      </w:r>
      <w:r w:rsidRPr="005754D0">
        <w:t>Hong Kong</w:t>
      </w:r>
      <w:r w:rsidRPr="00B0282E">
        <w:t xml:space="preserve">-listed companies (such as </w:t>
      </w:r>
      <w:r>
        <w:t xml:space="preserve">the Internet service portal </w:t>
      </w:r>
      <w:r w:rsidRPr="00B0282E">
        <w:t xml:space="preserve">Tencent) used </w:t>
      </w:r>
      <w:r>
        <w:t xml:space="preserve">the </w:t>
      </w:r>
      <w:r w:rsidRPr="00B0282E">
        <w:t>VIE structure.</w:t>
      </w:r>
    </w:p>
    <w:p w14:paraId="07499A18" w14:textId="77777777" w:rsidR="00986589" w:rsidRPr="00B0282E" w:rsidRDefault="00986589" w:rsidP="002F3C17">
      <w:pPr>
        <w:pStyle w:val="BodyTextMain"/>
      </w:pPr>
    </w:p>
    <w:p w14:paraId="2DA949BC" w14:textId="574D7A02" w:rsidR="00986589" w:rsidRDefault="00986589" w:rsidP="002F3C17">
      <w:pPr>
        <w:pStyle w:val="BodyTextMain"/>
      </w:pPr>
      <w:r w:rsidRPr="00B0282E">
        <w:t>Typically, Chinese companies list</w:t>
      </w:r>
      <w:r>
        <w:t>ed</w:t>
      </w:r>
      <w:r w:rsidRPr="00B0282E">
        <w:t xml:space="preserve"> the uncertainty related to VIE structure</w:t>
      </w:r>
      <w:r>
        <w:t>s</w:t>
      </w:r>
      <w:r w:rsidRPr="00B0282E">
        <w:t xml:space="preserve"> in</w:t>
      </w:r>
      <w:r>
        <w:t xml:space="preserve"> an</w:t>
      </w:r>
      <w:r w:rsidRPr="00B0282E">
        <w:t xml:space="preserve"> IPO </w:t>
      </w:r>
      <w:r>
        <w:t>p</w:t>
      </w:r>
      <w:r w:rsidRPr="00B0282E">
        <w:t>rospectus. Specifically, Alibaba stated</w:t>
      </w:r>
      <w:r>
        <w:t xml:space="preserve"> the</w:t>
      </w:r>
      <w:r w:rsidRPr="00B0282E">
        <w:t xml:space="preserve"> following in its filing:</w:t>
      </w:r>
    </w:p>
    <w:p w14:paraId="54059170" w14:textId="77777777" w:rsidR="00DA418D" w:rsidRPr="00B0282E" w:rsidRDefault="00DA418D" w:rsidP="002F3C17">
      <w:pPr>
        <w:pStyle w:val="BodyTextMain"/>
      </w:pPr>
    </w:p>
    <w:p w14:paraId="5A4AFF4B" w14:textId="16FEE872" w:rsidR="00986589" w:rsidRPr="00B0282E" w:rsidRDefault="00986589" w:rsidP="002F3C17">
      <w:pPr>
        <w:pStyle w:val="BodyTextMain"/>
        <w:ind w:left="720"/>
      </w:pPr>
      <w:r w:rsidRPr="00B0282E">
        <w:t xml:space="preserve">The contractual arrangements give us effective control over each of the variable interest entities and enable us to obtain substantially all of the economic benefits arising from the variable interest entities as well as consolidate the financial results of the variable interest entities in our results of operations. Although the structure we have adopted is consistent with longstanding industry </w:t>
      </w:r>
      <w:r w:rsidRPr="00B0282E">
        <w:lastRenderedPageBreak/>
        <w:t>practice</w:t>
      </w:r>
      <w:r w:rsidR="003F2203">
        <w:t xml:space="preserve"> </w:t>
      </w:r>
      <w:r w:rsidRPr="00B0282E">
        <w:t>and is commonly adopted by comparable companies in China, the PRC</w:t>
      </w:r>
      <w:r w:rsidR="00DA418D">
        <w:t xml:space="preserve"> [People’s Republic of China]</w:t>
      </w:r>
      <w:r w:rsidRPr="00B0282E">
        <w:t xml:space="preserve"> government may not agree that these arrangements comply with PRC licensing, registration</w:t>
      </w:r>
      <w:r>
        <w:t>,</w:t>
      </w:r>
      <w:r w:rsidRPr="00B0282E">
        <w:t xml:space="preserve"> or other regulatory requirements, with existing policies</w:t>
      </w:r>
      <w:r>
        <w:t>,</w:t>
      </w:r>
      <w:r w:rsidRPr="00B0282E">
        <w:t xml:space="preserve"> or with requirements or policies that may be adopted in the future.</w:t>
      </w:r>
    </w:p>
    <w:p w14:paraId="0A30C1CE" w14:textId="77777777" w:rsidR="00986589" w:rsidRPr="00B0282E" w:rsidRDefault="00986589" w:rsidP="002F3C17">
      <w:pPr>
        <w:pStyle w:val="BodyTextMain"/>
        <w:ind w:left="720"/>
      </w:pPr>
    </w:p>
    <w:p w14:paraId="0B87C259" w14:textId="282EFBF1" w:rsidR="00986589" w:rsidRPr="00B0282E" w:rsidRDefault="00986589" w:rsidP="002F3C17">
      <w:pPr>
        <w:pStyle w:val="BodyTextMain"/>
        <w:ind w:left="720"/>
      </w:pPr>
      <w:r w:rsidRPr="00B0282E">
        <w:t>[T]</w:t>
      </w:r>
      <w:proofErr w:type="spellStart"/>
      <w:r w:rsidRPr="00B0282E">
        <w:t>hese</w:t>
      </w:r>
      <w:proofErr w:type="spellEnd"/>
      <w:r w:rsidRPr="00B0282E">
        <w:t xml:space="preserve"> contractual arrangements may not be as effective as direct ownership in providing [Alibaba] with control over [its] variable interest entities.</w:t>
      </w:r>
      <w:r w:rsidRPr="00B0282E">
        <w:rPr>
          <w:rStyle w:val="EndnoteReference"/>
        </w:rPr>
        <w:endnoteReference w:id="23"/>
      </w:r>
    </w:p>
    <w:p w14:paraId="723780E2" w14:textId="77777777" w:rsidR="00986589" w:rsidRPr="00B0282E" w:rsidRDefault="00986589" w:rsidP="002F3C17">
      <w:pPr>
        <w:pStyle w:val="BodyTextMain"/>
      </w:pPr>
    </w:p>
    <w:p w14:paraId="565852EA" w14:textId="77777777" w:rsidR="00986589" w:rsidRPr="00B0282E" w:rsidRDefault="00986589" w:rsidP="002F3C17">
      <w:pPr>
        <w:jc w:val="both"/>
        <w:rPr>
          <w:sz w:val="22"/>
          <w:szCs w:val="22"/>
        </w:rPr>
      </w:pPr>
    </w:p>
    <w:p w14:paraId="1571BBBE" w14:textId="77777777" w:rsidR="00986589" w:rsidRPr="00B0282E" w:rsidRDefault="00986589" w:rsidP="002F3C17">
      <w:pPr>
        <w:pStyle w:val="Casehead1"/>
        <w:outlineLvl w:val="0"/>
      </w:pPr>
      <w:r w:rsidRPr="00B0282E">
        <w:t>MARKET CONDITIONS</w:t>
      </w:r>
    </w:p>
    <w:p w14:paraId="473C2E9B" w14:textId="77777777" w:rsidR="00986589" w:rsidRPr="00B0282E" w:rsidRDefault="00986589" w:rsidP="002F3C17">
      <w:pPr>
        <w:pStyle w:val="BodyTextMain"/>
      </w:pPr>
    </w:p>
    <w:p w14:paraId="6AD4CE31" w14:textId="2D84269E" w:rsidR="00986589" w:rsidRPr="00B0282E" w:rsidRDefault="00986589" w:rsidP="002F3C17">
      <w:pPr>
        <w:pStyle w:val="Casehead2"/>
        <w:outlineLvl w:val="0"/>
      </w:pPr>
      <w:r w:rsidRPr="00B0282E">
        <w:t>Fed</w:t>
      </w:r>
      <w:r>
        <w:t>eral Reserve</w:t>
      </w:r>
      <w:r w:rsidRPr="00B0282E">
        <w:t xml:space="preserve"> Interest Rates</w:t>
      </w:r>
    </w:p>
    <w:p w14:paraId="00F71E7F" w14:textId="77777777" w:rsidR="00986589" w:rsidRPr="00B0282E" w:rsidRDefault="00986589" w:rsidP="002F3C17">
      <w:pPr>
        <w:pStyle w:val="BodyTextMain"/>
      </w:pPr>
    </w:p>
    <w:p w14:paraId="2359A8CF" w14:textId="4A117B25" w:rsidR="00986589" w:rsidRPr="00B0282E" w:rsidRDefault="00986589" w:rsidP="002F3C17">
      <w:pPr>
        <w:pStyle w:val="BodyTextMain"/>
      </w:pPr>
      <w:r w:rsidRPr="0018136F">
        <w:t>When the economy slowed</w:t>
      </w:r>
      <w:r w:rsidRPr="00B0282E">
        <w:t>, the Federal Reserve (the Fed) encourage</w:t>
      </w:r>
      <w:r>
        <w:t>d</w:t>
      </w:r>
      <w:r w:rsidRPr="00B0282E">
        <w:t xml:space="preserve"> banks to make more loans. It d</w:t>
      </w:r>
      <w:r>
        <w:t>id</w:t>
      </w:r>
      <w:r w:rsidRPr="00B0282E">
        <w:t xml:space="preserve"> so by reducing the interest rate at which banks borrow </w:t>
      </w:r>
      <w:r>
        <w:t xml:space="preserve">money </w:t>
      </w:r>
      <w:r w:rsidRPr="00B0282E">
        <w:t>overnight, making it cheaper for banks to lend. During the</w:t>
      </w:r>
      <w:r w:rsidR="00390749">
        <w:t xml:space="preserve"> global</w:t>
      </w:r>
      <w:r w:rsidRPr="00B0282E">
        <w:t xml:space="preserve"> financial crisis of 200</w:t>
      </w:r>
      <w:r w:rsidR="00390749">
        <w:t>7</w:t>
      </w:r>
      <w:r>
        <w:t>–20</w:t>
      </w:r>
      <w:r w:rsidRPr="00B0282E">
        <w:t>0</w:t>
      </w:r>
      <w:r w:rsidR="00390749">
        <w:t>8</w:t>
      </w:r>
      <w:r w:rsidRPr="00B0282E">
        <w:t xml:space="preserve">, the Fed reduced </w:t>
      </w:r>
      <w:r>
        <w:t xml:space="preserve">the </w:t>
      </w:r>
      <w:r w:rsidRPr="00B0282E">
        <w:t>overnight interest</w:t>
      </w:r>
      <w:r>
        <w:t xml:space="preserve"> </w:t>
      </w:r>
      <w:r w:rsidRPr="00B0282E">
        <w:t>rate to almost zero.</w:t>
      </w:r>
      <w:r w:rsidRPr="00B0282E">
        <w:rPr>
          <w:rStyle w:val="EndnoteReference"/>
        </w:rPr>
        <w:endnoteReference w:id="24"/>
      </w:r>
      <w:r w:rsidRPr="00B0282E">
        <w:t xml:space="preserve"> The low interest</w:t>
      </w:r>
      <w:r>
        <w:t xml:space="preserve"> </w:t>
      </w:r>
      <w:r w:rsidRPr="00B0282E">
        <w:t xml:space="preserve">rate environment, together with </w:t>
      </w:r>
      <w:r>
        <w:t>q</w:t>
      </w:r>
      <w:r w:rsidRPr="00B0282E">
        <w:t xml:space="preserve">uantitative </w:t>
      </w:r>
      <w:r>
        <w:t>e</w:t>
      </w:r>
      <w:r w:rsidRPr="00B0282E">
        <w:t xml:space="preserve">asing and some other measures </w:t>
      </w:r>
      <w:r>
        <w:t xml:space="preserve">taken by the </w:t>
      </w:r>
      <w:r w:rsidRPr="00B0282E">
        <w:t>Fed, kept the U</w:t>
      </w:r>
      <w:r>
        <w:t>.</w:t>
      </w:r>
      <w:r w:rsidRPr="00B0282E">
        <w:t>S</w:t>
      </w:r>
      <w:r>
        <w:t>.</w:t>
      </w:r>
      <w:r w:rsidRPr="00B0282E">
        <w:t xml:space="preserve"> economy going for several years after </w:t>
      </w:r>
      <w:r>
        <w:t>the g</w:t>
      </w:r>
      <w:r w:rsidRPr="00B0282E">
        <w:t xml:space="preserve">lobal </w:t>
      </w:r>
      <w:r>
        <w:t>f</w:t>
      </w:r>
      <w:r w:rsidRPr="00B0282E">
        <w:t xml:space="preserve">inancial </w:t>
      </w:r>
      <w:r>
        <w:t>c</w:t>
      </w:r>
      <w:r w:rsidRPr="00B0282E">
        <w:t xml:space="preserve">risis. This environment </w:t>
      </w:r>
      <w:r>
        <w:t>made it</w:t>
      </w:r>
      <w:r w:rsidRPr="00B0282E">
        <w:t xml:space="preserve"> favo</w:t>
      </w:r>
      <w:r>
        <w:t>u</w:t>
      </w:r>
      <w:r w:rsidRPr="00B0282E">
        <w:t xml:space="preserve">rable for companies to issue debt. </w:t>
      </w:r>
    </w:p>
    <w:p w14:paraId="41ADC94B" w14:textId="77777777" w:rsidR="00986589" w:rsidRPr="00B0282E" w:rsidRDefault="00986589" w:rsidP="002F3C17">
      <w:pPr>
        <w:pStyle w:val="BodyTextMain"/>
      </w:pPr>
    </w:p>
    <w:p w14:paraId="43101B26" w14:textId="4C281EAD" w:rsidR="00986589" w:rsidRPr="00B0282E" w:rsidRDefault="00986589" w:rsidP="002F3C17">
      <w:pPr>
        <w:pStyle w:val="BodyTextMain"/>
      </w:pPr>
      <w:r>
        <w:t xml:space="preserve">The financial climate in </w:t>
      </w:r>
      <w:r w:rsidRPr="00B0282E">
        <w:t xml:space="preserve">2014 </w:t>
      </w:r>
      <w:r>
        <w:t>was</w:t>
      </w:r>
      <w:r w:rsidRPr="00B0282E">
        <w:t xml:space="preserve"> great for corporations interested in raising money through fixed income instruments. Specifically, more than $3 trillion of global corporate bonds </w:t>
      </w:r>
      <w:r>
        <w:t>were</w:t>
      </w:r>
      <w:r w:rsidRPr="00B0282E">
        <w:t xml:space="preserve"> issued in the U</w:t>
      </w:r>
      <w:r>
        <w:t xml:space="preserve">nited </w:t>
      </w:r>
      <w:r w:rsidRPr="00B0282E">
        <w:t>S</w:t>
      </w:r>
      <w:r>
        <w:t>tates</w:t>
      </w:r>
      <w:r w:rsidRPr="00B0282E">
        <w:t xml:space="preserve"> </w:t>
      </w:r>
      <w:r>
        <w:t xml:space="preserve">that year, </w:t>
      </w:r>
      <w:r w:rsidRPr="00B0282E">
        <w:t>making 2014 a record-breaking year for corporate bonds issues.</w:t>
      </w:r>
      <w:r w:rsidRPr="00B0282E">
        <w:rPr>
          <w:rStyle w:val="EndnoteReference"/>
        </w:rPr>
        <w:endnoteReference w:id="25"/>
      </w:r>
      <w:r w:rsidRPr="00B0282E">
        <w:t xml:space="preserve"> Treasury yields dropped to new lows</w:t>
      </w:r>
      <w:r>
        <w:t>:</w:t>
      </w:r>
      <w:r w:rsidRPr="00B0282E">
        <w:t xml:space="preserve"> the yield on the </w:t>
      </w:r>
      <w:r>
        <w:t>10</w:t>
      </w:r>
      <w:r w:rsidRPr="00B0282E">
        <w:t xml:space="preserve">-year Treasury fell from 3.00 per cent on January 1, 2014 to 2.34 per cent </w:t>
      </w:r>
      <w:r w:rsidR="008C3288">
        <w:t>on</w:t>
      </w:r>
      <w:r w:rsidRPr="00B0282E">
        <w:t xml:space="preserve"> October 31, 2014 (</w:t>
      </w:r>
      <w:r>
        <w:t>s</w:t>
      </w:r>
      <w:r w:rsidRPr="00B0282E">
        <w:t xml:space="preserve">ee </w:t>
      </w:r>
      <w:r>
        <w:t>E</w:t>
      </w:r>
      <w:r w:rsidRPr="00B0282E">
        <w:t>xhibits 8 and 9). At the same time, low default rates encouraged investors and contributed to increased demand for corporate bonds.</w:t>
      </w:r>
      <w:r w:rsidRPr="00B0282E">
        <w:rPr>
          <w:rStyle w:val="EndnoteReference"/>
        </w:rPr>
        <w:endnoteReference w:id="26"/>
      </w:r>
    </w:p>
    <w:p w14:paraId="5BEE5B51" w14:textId="77777777" w:rsidR="00986589" w:rsidRPr="00B0282E" w:rsidRDefault="00986589" w:rsidP="002F3C17">
      <w:pPr>
        <w:pStyle w:val="BodyTextMain"/>
      </w:pPr>
    </w:p>
    <w:p w14:paraId="62321C73" w14:textId="3A2DB4B4" w:rsidR="00986589" w:rsidRPr="00B0282E" w:rsidRDefault="00986589" w:rsidP="002F3C17">
      <w:pPr>
        <w:pStyle w:val="BodyTextMain"/>
      </w:pPr>
      <w:r w:rsidRPr="00B0282E">
        <w:t xml:space="preserve">However, </w:t>
      </w:r>
      <w:r>
        <w:t xml:space="preserve">the </w:t>
      </w:r>
      <w:r w:rsidRPr="00B0282E">
        <w:t>International Monetary Fund (IMF) warned that “more than half a decade in which official borrowing costs have been close to zero had encouraged speculation rather than the hoped-for pick</w:t>
      </w:r>
      <w:r>
        <w:t>-</w:t>
      </w:r>
      <w:r w:rsidRPr="00B0282E">
        <w:t>up in investment.”</w:t>
      </w:r>
      <w:r w:rsidRPr="00B0282E">
        <w:rPr>
          <w:rStyle w:val="EndnoteReference"/>
        </w:rPr>
        <w:endnoteReference w:id="27"/>
      </w:r>
      <w:r w:rsidRPr="00B0282E">
        <w:t xml:space="preserve"> In fact, José </w:t>
      </w:r>
      <w:proofErr w:type="spellStart"/>
      <w:r w:rsidRPr="00B0282E">
        <w:t>Viñals</w:t>
      </w:r>
      <w:proofErr w:type="spellEnd"/>
      <w:r w:rsidRPr="00B0282E">
        <w:t>, the IMF’s financial counsel</w:t>
      </w:r>
      <w:r>
        <w:t>l</w:t>
      </w:r>
      <w:r w:rsidRPr="00B0282E">
        <w:t>or, said</w:t>
      </w:r>
      <w:r>
        <w:t>,</w:t>
      </w:r>
      <w:r w:rsidRPr="00B0282E">
        <w:t xml:space="preserve"> “Policymakers are facing a new global imbalance: not enough economic risk-taking in support of growth but increasing excesses in financial risk-taking posing stability challenges.”</w:t>
      </w:r>
      <w:r w:rsidRPr="00B0282E">
        <w:rPr>
          <w:rStyle w:val="EndnoteReference"/>
        </w:rPr>
        <w:endnoteReference w:id="28"/>
      </w:r>
      <w:r w:rsidRPr="00B0282E">
        <w:t xml:space="preserve"> Additionally, senior Fed officials</w:t>
      </w:r>
      <w:r>
        <w:t>,</w:t>
      </w:r>
      <w:r w:rsidRPr="00B0282E">
        <w:t xml:space="preserve"> such as James Bullard and Charles </w:t>
      </w:r>
      <w:proofErr w:type="spellStart"/>
      <w:r w:rsidRPr="00B0282E">
        <w:t>Plosser</w:t>
      </w:r>
      <w:proofErr w:type="spellEnd"/>
      <w:r>
        <w:t>,</w:t>
      </w:r>
      <w:r w:rsidRPr="00B0282E">
        <w:t xml:space="preserve"> </w:t>
      </w:r>
      <w:r>
        <w:t>were</w:t>
      </w:r>
      <w:r w:rsidRPr="00B0282E">
        <w:t xml:space="preserve"> advocating higher interest rates.</w:t>
      </w:r>
      <w:r w:rsidRPr="00B0282E">
        <w:rPr>
          <w:rStyle w:val="EndnoteReference"/>
        </w:rPr>
        <w:endnoteReference w:id="29"/>
      </w:r>
      <w:r w:rsidRPr="00B0282E">
        <w:t xml:space="preserve"> The </w:t>
      </w:r>
      <w:r>
        <w:t xml:space="preserve">concerns of the </w:t>
      </w:r>
      <w:r w:rsidRPr="00B0282E">
        <w:t xml:space="preserve">IMF, </w:t>
      </w:r>
      <w:r>
        <w:t xml:space="preserve">the arguments of the </w:t>
      </w:r>
      <w:r w:rsidRPr="00B0282E">
        <w:t xml:space="preserve">Fed officials, </w:t>
      </w:r>
      <w:r>
        <w:t>and the</w:t>
      </w:r>
      <w:r w:rsidRPr="00B0282E">
        <w:t xml:space="preserve"> tapering (reducing) of </w:t>
      </w:r>
      <w:r>
        <w:t>q</w:t>
      </w:r>
      <w:r w:rsidRPr="00B0282E">
        <w:t xml:space="preserve">uantitative </w:t>
      </w:r>
      <w:r>
        <w:t>e</w:t>
      </w:r>
      <w:r w:rsidRPr="00B0282E">
        <w:t xml:space="preserve">asing </w:t>
      </w:r>
      <w:r>
        <w:t>that</w:t>
      </w:r>
      <w:r w:rsidRPr="00B0282E">
        <w:t xml:space="preserve"> started in January 2014</w:t>
      </w:r>
      <w:r w:rsidRPr="00B0282E">
        <w:rPr>
          <w:rStyle w:val="EndnoteReference"/>
        </w:rPr>
        <w:endnoteReference w:id="30"/>
      </w:r>
      <w:r w:rsidRPr="00B0282E">
        <w:t xml:space="preserve"> </w:t>
      </w:r>
      <w:r>
        <w:t>caused</w:t>
      </w:r>
      <w:r w:rsidRPr="00B0282E">
        <w:t xml:space="preserve"> market participants </w:t>
      </w:r>
      <w:r>
        <w:t xml:space="preserve">to worry </w:t>
      </w:r>
      <w:r w:rsidRPr="00B0282E">
        <w:t xml:space="preserve">that rates might start rising </w:t>
      </w:r>
      <w:r w:rsidRPr="00041A76">
        <w:rPr>
          <w:i/>
        </w:rPr>
        <w:t>soon</w:t>
      </w:r>
      <w:r w:rsidRPr="00B0282E">
        <w:t>.</w:t>
      </w:r>
    </w:p>
    <w:p w14:paraId="377A4271" w14:textId="77777777" w:rsidR="00986589" w:rsidRPr="00B0282E" w:rsidRDefault="00986589" w:rsidP="002F3C17">
      <w:pPr>
        <w:pStyle w:val="BodyTextMain"/>
      </w:pPr>
    </w:p>
    <w:p w14:paraId="6853BAA5" w14:textId="7AB4C5B5" w:rsidR="00986589" w:rsidRDefault="00986589" w:rsidP="002F3C17">
      <w:pPr>
        <w:pStyle w:val="BodyTextMain"/>
      </w:pPr>
      <w:r w:rsidRPr="00B0282E">
        <w:t xml:space="preserve">Even though it </w:t>
      </w:r>
      <w:r>
        <w:t>was</w:t>
      </w:r>
      <w:r w:rsidRPr="00B0282E">
        <w:t xml:space="preserve"> widely expected that the Fed </w:t>
      </w:r>
      <w:r>
        <w:t>would</w:t>
      </w:r>
      <w:r w:rsidRPr="00B0282E">
        <w:t xml:space="preserve"> </w:t>
      </w:r>
      <w:r w:rsidRPr="00041A76">
        <w:rPr>
          <w:i/>
        </w:rPr>
        <w:t>eventually</w:t>
      </w:r>
      <w:r w:rsidRPr="00B0282E">
        <w:t xml:space="preserve"> move from low to more normal interest rates, this shift would </w:t>
      </w:r>
      <w:r w:rsidR="00E84893">
        <w:t>probably</w:t>
      </w:r>
      <w:r w:rsidR="00E84893" w:rsidRPr="00B0282E">
        <w:t xml:space="preserve"> </w:t>
      </w:r>
      <w:r w:rsidRPr="00B0282E">
        <w:t xml:space="preserve">be gradual since sudden change would likely lead to more volatility in financial markets. In agreement, on November 7, 2014, Federal Reserve Chair Janet Yellen said: </w:t>
      </w:r>
    </w:p>
    <w:p w14:paraId="0411B65B" w14:textId="77777777" w:rsidR="00761CC3" w:rsidRPr="00B0282E" w:rsidRDefault="00761CC3" w:rsidP="002F3C17">
      <w:pPr>
        <w:pStyle w:val="BodyTextMain"/>
      </w:pPr>
    </w:p>
    <w:p w14:paraId="105565EB" w14:textId="1896370B" w:rsidR="00986589" w:rsidRPr="00B0282E" w:rsidRDefault="00986589" w:rsidP="002F3C17">
      <w:pPr>
        <w:pStyle w:val="BodyTextMain"/>
        <w:ind w:left="720"/>
      </w:pPr>
      <w:r w:rsidRPr="00B0282E">
        <w:t>I continue to anticipate that the headwinds associated with the financial crisis will wane. As employment, economic activity, and inflation rates return to normal, monetary policy will eventually need to normalize too, although the speed and timing of this normalization will likely differ across countries based on differences in the pace of recovery in domestic conditions. This normalization could lead to some heightened financial volatility. But as I have noted on other occasions, for our part, the Federal Reserve will strive to clearly and transparently communicate its monetary policy strategy in order to minimize the likelihood of surprises that could disrupt financial markets, both at home and around the world. More importantly, the normalization of monetary policy will be an important sign that economic conditions more generally are finally emerging from the shadow of the Great Recession.</w:t>
      </w:r>
      <w:r>
        <w:t>”</w:t>
      </w:r>
      <w:r>
        <w:rPr>
          <w:rStyle w:val="EndnoteReference"/>
        </w:rPr>
        <w:endnoteReference w:id="31"/>
      </w:r>
    </w:p>
    <w:p w14:paraId="3733B3D3" w14:textId="77777777" w:rsidR="00986589" w:rsidRPr="00B0282E" w:rsidRDefault="00986589" w:rsidP="002F3C17">
      <w:pPr>
        <w:pStyle w:val="BodyTextMain"/>
      </w:pPr>
    </w:p>
    <w:p w14:paraId="55867C1E" w14:textId="77777777" w:rsidR="00986589" w:rsidRPr="00B0282E" w:rsidRDefault="00986589" w:rsidP="002F3C17">
      <w:pPr>
        <w:pStyle w:val="BodyTextMain"/>
      </w:pPr>
    </w:p>
    <w:p w14:paraId="23547C44" w14:textId="77777777" w:rsidR="00986589" w:rsidRPr="00B0282E" w:rsidRDefault="00986589" w:rsidP="002F3C17">
      <w:pPr>
        <w:pStyle w:val="Casehead2"/>
        <w:outlineLvl w:val="0"/>
      </w:pPr>
      <w:r w:rsidRPr="00B0282E">
        <w:lastRenderedPageBreak/>
        <w:t>China's Exchange Rate Policy</w:t>
      </w:r>
    </w:p>
    <w:p w14:paraId="7B300FB8" w14:textId="77777777" w:rsidR="00986589" w:rsidRPr="00B0282E" w:rsidRDefault="00986589" w:rsidP="002F3C17">
      <w:pPr>
        <w:pStyle w:val="BodyTextMain"/>
      </w:pPr>
    </w:p>
    <w:p w14:paraId="7DD80FEF" w14:textId="031B7F80" w:rsidR="00986589" w:rsidRPr="00B0282E" w:rsidRDefault="00986589" w:rsidP="002F3C17">
      <w:pPr>
        <w:pStyle w:val="BodyTextMain"/>
      </w:pPr>
      <w:r w:rsidRPr="00B0282E">
        <w:t>China’s central bank</w:t>
      </w:r>
      <w:r>
        <w:t xml:space="preserve">, the </w:t>
      </w:r>
      <w:r w:rsidRPr="00B0282E">
        <w:t xml:space="preserve">People’s Bank of China </w:t>
      </w:r>
      <w:r>
        <w:t>(</w:t>
      </w:r>
      <w:r w:rsidRPr="00B0282E">
        <w:t>PB</w:t>
      </w:r>
      <w:r>
        <w:t>O</w:t>
      </w:r>
      <w:r w:rsidRPr="00B0282E">
        <w:t>C</w:t>
      </w:r>
      <w:r>
        <w:t>),</w:t>
      </w:r>
      <w:r w:rsidRPr="00B0282E">
        <w:t xml:space="preserve"> maintained a policy of fix</w:t>
      </w:r>
      <w:r>
        <w:t>ing</w:t>
      </w:r>
      <w:r w:rsidRPr="00B0282E">
        <w:t xml:space="preserve"> </w:t>
      </w:r>
      <w:r>
        <w:t xml:space="preserve">the Chinese yuan’s </w:t>
      </w:r>
      <w:r w:rsidRPr="00B0282E">
        <w:t xml:space="preserve">exchange rate with </w:t>
      </w:r>
      <w:r>
        <w:t xml:space="preserve">the U.S. </w:t>
      </w:r>
      <w:r w:rsidRPr="00B0282E">
        <w:t xml:space="preserve">dollar. Many analysts believed that China’s exchange rate </w:t>
      </w:r>
      <w:r>
        <w:t>w</w:t>
      </w:r>
      <w:r w:rsidRPr="00B0282E">
        <w:t>as</w:t>
      </w:r>
      <w:r>
        <w:t xml:space="preserve"> kept</w:t>
      </w:r>
      <w:r w:rsidRPr="00B0282E">
        <w:t xml:space="preserve"> historically low relative to </w:t>
      </w:r>
      <w:r w:rsidR="00B34A12">
        <w:t>the yuan’s</w:t>
      </w:r>
      <w:r w:rsidR="00B34A12" w:rsidRPr="00B0282E">
        <w:t xml:space="preserve"> </w:t>
      </w:r>
      <w:r w:rsidRPr="00B0282E">
        <w:t xml:space="preserve">true value in order to keep China’s exports cheaper. </w:t>
      </w:r>
      <w:r>
        <w:t>Because China’s economy relied</w:t>
      </w:r>
      <w:r w:rsidRPr="00B0282E">
        <w:t xml:space="preserve"> on exports</w:t>
      </w:r>
      <w:r>
        <w:t>,</w:t>
      </w:r>
      <w:r w:rsidRPr="00B0282E">
        <w:t xml:space="preserve"> </w:t>
      </w:r>
      <w:r>
        <w:t>the bank’s</w:t>
      </w:r>
      <w:r w:rsidRPr="00B0282E">
        <w:t xml:space="preserve"> policy fostered growth </w:t>
      </w:r>
      <w:r>
        <w:t xml:space="preserve">in the country </w:t>
      </w:r>
      <w:r w:rsidRPr="00B0282E">
        <w:t xml:space="preserve">and </w:t>
      </w:r>
      <w:r w:rsidR="00E84893">
        <w:t>reduced</w:t>
      </w:r>
      <w:r w:rsidR="00E84893" w:rsidRPr="00B0282E">
        <w:t xml:space="preserve"> </w:t>
      </w:r>
      <w:r w:rsidRPr="00B0282E">
        <w:t>uncertainty.</w:t>
      </w:r>
      <w:r w:rsidRPr="00B0282E">
        <w:rPr>
          <w:rStyle w:val="EndnoteReference"/>
        </w:rPr>
        <w:endnoteReference w:id="32"/>
      </w:r>
    </w:p>
    <w:p w14:paraId="64E83B09" w14:textId="77777777" w:rsidR="00986589" w:rsidRPr="00B0282E" w:rsidRDefault="00986589" w:rsidP="002F3C17">
      <w:pPr>
        <w:pStyle w:val="BodyTextMain"/>
      </w:pPr>
    </w:p>
    <w:p w14:paraId="3C2DA1CF" w14:textId="067A3FC6" w:rsidR="00986589" w:rsidRPr="00761CC3" w:rsidRDefault="00986589" w:rsidP="002F3C17">
      <w:pPr>
        <w:pStyle w:val="BodyTextMain"/>
        <w:rPr>
          <w:spacing w:val="-2"/>
          <w:kern w:val="22"/>
        </w:rPr>
      </w:pPr>
      <w:r w:rsidRPr="00761CC3">
        <w:rPr>
          <w:spacing w:val="-2"/>
          <w:kern w:val="22"/>
        </w:rPr>
        <w:t xml:space="preserve">However, in order to achieve a fixed exchange rate, the PBOC needed to assure markets that it would exchange yuan for U.S. dollars at the fixed rate. If the yuan was indeed undervalued, Chinese exports would increase and exporters would have </w:t>
      </w:r>
      <w:r w:rsidR="008C3288" w:rsidRPr="00761CC3">
        <w:rPr>
          <w:spacing w:val="-2"/>
          <w:kern w:val="22"/>
        </w:rPr>
        <w:t>many</w:t>
      </w:r>
      <w:r w:rsidRPr="00761CC3">
        <w:rPr>
          <w:spacing w:val="-2"/>
          <w:kern w:val="22"/>
        </w:rPr>
        <w:t xml:space="preserve"> U.S. dollars that they would need to exchange for yuan. In order to avoid a buying (upward) pressure on the yuan, the PBOC accumulated a reserve of U.S. dollars and Treasuries.</w:t>
      </w:r>
      <w:r w:rsidRPr="00761CC3">
        <w:rPr>
          <w:rStyle w:val="EndnoteReference"/>
          <w:spacing w:val="-2"/>
          <w:kern w:val="22"/>
        </w:rPr>
        <w:endnoteReference w:id="33"/>
      </w:r>
    </w:p>
    <w:p w14:paraId="3DA55E5D" w14:textId="77777777" w:rsidR="00986589" w:rsidRPr="00B0282E" w:rsidRDefault="00986589" w:rsidP="002F3C17">
      <w:pPr>
        <w:pStyle w:val="BodyTextMain"/>
      </w:pPr>
    </w:p>
    <w:p w14:paraId="0C21D94D" w14:textId="1DF0A0BC" w:rsidR="00986589" w:rsidRPr="00B0282E" w:rsidRDefault="00986589" w:rsidP="002F3C17">
      <w:pPr>
        <w:pStyle w:val="BodyTextMain"/>
      </w:pPr>
      <w:r>
        <w:t xml:space="preserve">The </w:t>
      </w:r>
      <w:r w:rsidRPr="00B0282E">
        <w:t xml:space="preserve">internationalization of </w:t>
      </w:r>
      <w:r>
        <w:t>the yuan</w:t>
      </w:r>
      <w:r w:rsidRPr="00B0282E">
        <w:t xml:space="preserve"> accelerated in 2014.</w:t>
      </w:r>
      <w:r w:rsidRPr="00B0282E">
        <w:rPr>
          <w:rStyle w:val="EndnoteReference"/>
        </w:rPr>
        <w:endnoteReference w:id="34"/>
      </w:r>
      <w:r w:rsidRPr="00B0282E">
        <w:t xml:space="preserve"> This mean</w:t>
      </w:r>
      <w:r>
        <w:t>t</w:t>
      </w:r>
      <w:r w:rsidRPr="00B0282E">
        <w:t xml:space="preserve"> that </w:t>
      </w:r>
      <w:r>
        <w:t>the yuan</w:t>
      </w:r>
      <w:r w:rsidRPr="00B0282E">
        <w:t xml:space="preserve"> </w:t>
      </w:r>
      <w:r>
        <w:t>was circulating outside</w:t>
      </w:r>
      <w:r w:rsidRPr="0098624B">
        <w:t xml:space="preserve"> the jurisdiction</w:t>
      </w:r>
      <w:r w:rsidRPr="00B0282E">
        <w:t xml:space="preserve"> of the PB</w:t>
      </w:r>
      <w:r>
        <w:t>O</w:t>
      </w:r>
      <w:r w:rsidRPr="00B0282E">
        <w:t>C.</w:t>
      </w:r>
      <w:r w:rsidRPr="00B0282E">
        <w:rPr>
          <w:rStyle w:val="EndnoteReference"/>
        </w:rPr>
        <w:endnoteReference w:id="35"/>
      </w:r>
      <w:r w:rsidRPr="00B0282E">
        <w:t xml:space="preserve"> Some analysts predicted that </w:t>
      </w:r>
      <w:r>
        <w:t>at some point</w:t>
      </w:r>
      <w:r w:rsidRPr="00B0282E">
        <w:t xml:space="preserve">, </w:t>
      </w:r>
      <w:r>
        <w:t>the Chinese yuan</w:t>
      </w:r>
      <w:r w:rsidRPr="00B0282E">
        <w:t xml:space="preserve"> would share equal status with the </w:t>
      </w:r>
      <w:r>
        <w:t>U.S.</w:t>
      </w:r>
      <w:r w:rsidRPr="00B0282E">
        <w:t xml:space="preserve"> dollar, euro,</w:t>
      </w:r>
      <w:r w:rsidR="005A49D6">
        <w:t xml:space="preserve"> </w:t>
      </w:r>
      <w:r w:rsidRPr="00B0282E">
        <w:t>pound, and yen.</w:t>
      </w:r>
      <w:r w:rsidRPr="00B0282E">
        <w:rPr>
          <w:rStyle w:val="EndnoteReference"/>
        </w:rPr>
        <w:endnoteReference w:id="36"/>
      </w:r>
    </w:p>
    <w:p w14:paraId="099A0557" w14:textId="77777777" w:rsidR="00986589" w:rsidRPr="00B0282E" w:rsidRDefault="00986589" w:rsidP="002F3C17">
      <w:pPr>
        <w:pStyle w:val="BodyTextMain"/>
      </w:pPr>
    </w:p>
    <w:p w14:paraId="74CB8E14" w14:textId="77777777" w:rsidR="00986589" w:rsidRPr="00B0282E" w:rsidRDefault="00986589" w:rsidP="002F3C17">
      <w:pPr>
        <w:pStyle w:val="BodyTextMain"/>
      </w:pPr>
    </w:p>
    <w:p w14:paraId="40168D4D" w14:textId="77777777" w:rsidR="00986589" w:rsidRPr="00B0282E" w:rsidRDefault="00986589" w:rsidP="002F3C17">
      <w:pPr>
        <w:pStyle w:val="Casehead1"/>
        <w:keepNext/>
        <w:outlineLvl w:val="0"/>
      </w:pPr>
      <w:r w:rsidRPr="00B0282E">
        <w:t>ALIBABA’S BOND RATINGS</w:t>
      </w:r>
    </w:p>
    <w:p w14:paraId="3C379C83" w14:textId="77777777" w:rsidR="00986589" w:rsidRPr="00B0282E" w:rsidRDefault="00986589" w:rsidP="002F3C17">
      <w:pPr>
        <w:pStyle w:val="BodyTextMain"/>
        <w:keepNext/>
      </w:pPr>
    </w:p>
    <w:p w14:paraId="3C7C29C1" w14:textId="0EEAEE73" w:rsidR="006D61EA" w:rsidRPr="0017026D" w:rsidRDefault="00986589" w:rsidP="002F3C17">
      <w:pPr>
        <w:pStyle w:val="BodyTextMain"/>
        <w:rPr>
          <w:spacing w:val="-4"/>
          <w:kern w:val="22"/>
        </w:rPr>
      </w:pPr>
      <w:r w:rsidRPr="0017026D">
        <w:rPr>
          <w:spacing w:val="-4"/>
          <w:kern w:val="22"/>
        </w:rPr>
        <w:t>After announcing plans for a bond issue, Alibaba received its first debt rating: “A-plus” from Standard &amp; Poor's and Fitch Ratings, and an equivalent “A1” rating from Moody’s Investor Service.</w:t>
      </w:r>
      <w:r w:rsidRPr="0017026D">
        <w:rPr>
          <w:rStyle w:val="EndnoteReference"/>
          <w:spacing w:val="-4"/>
          <w:kern w:val="22"/>
        </w:rPr>
        <w:endnoteReference w:id="37"/>
      </w:r>
      <w:r w:rsidRPr="0017026D">
        <w:rPr>
          <w:spacing w:val="-4"/>
          <w:kern w:val="22"/>
        </w:rPr>
        <w:t xml:space="preserve"> These ratings were considered to be investment grade. According to Standard &amp; Poor’s website, an obligor (bond issuer) with an “A” rating has a “strong capacity to meet its financial commitments but is somewhat more susceptible to the adverse effects of changes in circumstances and economic conditions than obligors in higher-rated categories [AAA and AA].”</w:t>
      </w:r>
      <w:r w:rsidRPr="0017026D">
        <w:rPr>
          <w:rStyle w:val="EndnoteReference"/>
          <w:spacing w:val="-4"/>
          <w:kern w:val="22"/>
        </w:rPr>
        <w:endnoteReference w:id="38"/>
      </w:r>
      <w:r w:rsidRPr="0017026D">
        <w:rPr>
          <w:spacing w:val="-4"/>
          <w:kern w:val="22"/>
        </w:rPr>
        <w:t xml:space="preserve"> Standard &amp; Poor</w:t>
      </w:r>
      <w:r w:rsidR="00304E30" w:rsidRPr="0017026D">
        <w:rPr>
          <w:spacing w:val="-4"/>
          <w:kern w:val="22"/>
        </w:rPr>
        <w:t>’s</w:t>
      </w:r>
      <w:r w:rsidRPr="0017026D">
        <w:rPr>
          <w:spacing w:val="-4"/>
          <w:kern w:val="22"/>
        </w:rPr>
        <w:t xml:space="preserve"> also added that “the ratings from ‘AA’ to ‘CCC’ may be modified by the addition of a plus (+) or minus (-) sign to show relative standing </w:t>
      </w:r>
      <w:r w:rsidRPr="0017026D">
        <w:rPr>
          <w:i/>
          <w:spacing w:val="-4"/>
          <w:kern w:val="22"/>
        </w:rPr>
        <w:t>within</w:t>
      </w:r>
      <w:r w:rsidRPr="0017026D">
        <w:rPr>
          <w:spacing w:val="-4"/>
          <w:kern w:val="22"/>
        </w:rPr>
        <w:t xml:space="preserve"> the major rating categories”</w:t>
      </w:r>
      <w:r w:rsidRPr="0017026D">
        <w:rPr>
          <w:rStyle w:val="EndnoteReference"/>
          <w:spacing w:val="-4"/>
          <w:kern w:val="22"/>
        </w:rPr>
        <w:endnoteReference w:id="39"/>
      </w:r>
      <w:r w:rsidRPr="0017026D">
        <w:rPr>
          <w:spacing w:val="-4"/>
          <w:kern w:val="22"/>
        </w:rPr>
        <w:t xml:space="preserve"> </w:t>
      </w:r>
      <w:r w:rsidR="00DC78E2" w:rsidRPr="0017026D">
        <w:rPr>
          <w:spacing w:val="-4"/>
          <w:kern w:val="22"/>
        </w:rPr>
        <w:t xml:space="preserve">(see Exhibit 10). </w:t>
      </w:r>
      <w:r w:rsidR="00FD71AF" w:rsidRPr="0017026D">
        <w:rPr>
          <w:spacing w:val="-4"/>
          <w:kern w:val="22"/>
        </w:rPr>
        <w:t xml:space="preserve">Exhibit 11 shows financial characteristics, while </w:t>
      </w:r>
      <w:r w:rsidR="00F25820" w:rsidRPr="0017026D">
        <w:rPr>
          <w:spacing w:val="-4"/>
          <w:kern w:val="22"/>
        </w:rPr>
        <w:t>E</w:t>
      </w:r>
      <w:r w:rsidR="00FD71AF" w:rsidRPr="0017026D">
        <w:rPr>
          <w:spacing w:val="-4"/>
          <w:kern w:val="22"/>
        </w:rPr>
        <w:t xml:space="preserve">xhibit 12 shows recent bond issues by similar companies. </w:t>
      </w:r>
    </w:p>
    <w:p w14:paraId="025A94A1" w14:textId="77777777" w:rsidR="006D61EA" w:rsidRPr="00B0282E" w:rsidRDefault="006D61EA" w:rsidP="002F3C17">
      <w:pPr>
        <w:pStyle w:val="BodyTextMain"/>
      </w:pPr>
    </w:p>
    <w:p w14:paraId="68048AD9" w14:textId="77777777" w:rsidR="006D61EA" w:rsidRPr="00B0282E" w:rsidRDefault="006D61EA" w:rsidP="002F3C17">
      <w:pPr>
        <w:pStyle w:val="BodyTextMain"/>
      </w:pPr>
    </w:p>
    <w:p w14:paraId="114FA70A" w14:textId="77777777" w:rsidR="006D61EA" w:rsidRPr="00B0282E" w:rsidRDefault="006D61EA" w:rsidP="002F3C17">
      <w:pPr>
        <w:pStyle w:val="Casehead1"/>
        <w:outlineLvl w:val="0"/>
      </w:pPr>
      <w:r w:rsidRPr="00B0282E">
        <w:t>EPILOGUE</w:t>
      </w:r>
    </w:p>
    <w:p w14:paraId="37C7ECF2" w14:textId="77777777" w:rsidR="006D61EA" w:rsidRPr="00B0282E" w:rsidRDefault="006D61EA" w:rsidP="002F3C17">
      <w:pPr>
        <w:pStyle w:val="BodyTextMain"/>
      </w:pPr>
    </w:p>
    <w:p w14:paraId="66B75EFA" w14:textId="7D7CD5EB" w:rsidR="00DC78E2" w:rsidRDefault="00470F10" w:rsidP="002F3C17">
      <w:pPr>
        <w:pStyle w:val="BodyTextMain"/>
      </w:pPr>
      <w:r>
        <w:t xml:space="preserve">Analysts </w:t>
      </w:r>
      <w:r w:rsidR="00FD71AF">
        <w:t>wondered if</w:t>
      </w:r>
      <w:r w:rsidR="00DC78E2">
        <w:t xml:space="preserve"> </w:t>
      </w:r>
      <w:r w:rsidR="006D61EA" w:rsidRPr="00B0282E">
        <w:t xml:space="preserve">investors </w:t>
      </w:r>
      <w:r w:rsidR="00FD71AF">
        <w:t>would</w:t>
      </w:r>
      <w:r w:rsidR="00FD71AF" w:rsidRPr="00B0282E">
        <w:t xml:space="preserve"> </w:t>
      </w:r>
      <w:r w:rsidR="006D61EA" w:rsidRPr="00B0282E">
        <w:t xml:space="preserve">subscribe to the issue and how </w:t>
      </w:r>
      <w:r w:rsidR="00DC78E2" w:rsidRPr="00B0282E">
        <w:t xml:space="preserve">should </w:t>
      </w:r>
      <w:r w:rsidR="006D61EA" w:rsidRPr="00B0282E">
        <w:t>Alibaba determine the pricing</w:t>
      </w:r>
      <w:r w:rsidR="00DC78E2">
        <w:t>?</w:t>
      </w:r>
      <w:r w:rsidR="006D61EA" w:rsidRPr="00B0282E">
        <w:t xml:space="preserve"> </w:t>
      </w:r>
      <w:r>
        <w:t>Additionally</w:t>
      </w:r>
      <w:r w:rsidR="00FD71AF">
        <w:t xml:space="preserve">, what would the best location for Alibaba’s bonds be? When should the bonds be issued? Would investors subscribe to the issue? </w:t>
      </w:r>
      <w:r w:rsidRPr="00470F10">
        <w:t xml:space="preserve">Analysts also wondered if investors would expect a country risk premium given </w:t>
      </w:r>
      <w:r>
        <w:t xml:space="preserve">that Alibaba was </w:t>
      </w:r>
      <w:r w:rsidRPr="00470F10">
        <w:t>based in China</w:t>
      </w:r>
      <w:r w:rsidR="00F7091A">
        <w:t>.</w:t>
      </w:r>
      <w:r>
        <w:t xml:space="preserve"> </w:t>
      </w:r>
      <w:r w:rsidR="006D61EA" w:rsidRPr="00B0282E">
        <w:t>Additionally, certain governance issue</w:t>
      </w:r>
      <w:r w:rsidR="002D489A">
        <w:t>s</w:t>
      </w:r>
      <w:r w:rsidR="006D61EA" w:rsidRPr="00B0282E">
        <w:t xml:space="preserve"> (specifically, dual class ownership structure</w:t>
      </w:r>
      <w:r w:rsidR="00A52288">
        <w:t>s</w:t>
      </w:r>
      <w:r w:rsidR="006D61EA" w:rsidRPr="00B0282E">
        <w:t xml:space="preserve"> and VIEs) made some investors uneasy. </w:t>
      </w:r>
      <w:r w:rsidR="002D489A">
        <w:t>A l</w:t>
      </w:r>
      <w:r w:rsidR="006D61EA" w:rsidRPr="00B0282E">
        <w:t xml:space="preserve">ong week </w:t>
      </w:r>
      <w:r w:rsidR="002D489A">
        <w:t xml:space="preserve">lay </w:t>
      </w:r>
      <w:r w:rsidR="006D61EA" w:rsidRPr="00B0282E">
        <w:t>ahead.</w:t>
      </w:r>
    </w:p>
    <w:p w14:paraId="11556162" w14:textId="77777777" w:rsidR="009A6B9D" w:rsidRPr="00B0282E" w:rsidRDefault="009A6B9D" w:rsidP="002F3C17">
      <w:pPr>
        <w:pStyle w:val="BodyTextMain"/>
      </w:pPr>
    </w:p>
    <w:p w14:paraId="3E168336" w14:textId="77777777" w:rsidR="006D61EA" w:rsidRPr="00B0282E" w:rsidRDefault="006D61EA" w:rsidP="002F3C17">
      <w:pPr>
        <w:pStyle w:val="BodyTextMain"/>
        <w:rPr>
          <w:rFonts w:ascii="Arial" w:hAnsi="Arial" w:cs="Arial"/>
        </w:rPr>
      </w:pPr>
      <w:r w:rsidRPr="00B0282E">
        <w:rPr>
          <w:noProof/>
          <w:lang w:val="en-CA" w:eastAsia="en-CA"/>
        </w:rPr>
        <mc:AlternateContent>
          <mc:Choice Requires="wps">
            <w:drawing>
              <wp:anchor distT="0" distB="0" distL="114300" distR="114300" simplePos="0" relativeHeight="251659264" behindDoc="0" locked="0" layoutInCell="1" allowOverlap="1" wp14:anchorId="2B36E0DE" wp14:editId="0301CDD5">
                <wp:simplePos x="0" y="0"/>
                <wp:positionH relativeFrom="column">
                  <wp:posOffset>0</wp:posOffset>
                </wp:positionH>
                <wp:positionV relativeFrom="paragraph">
                  <wp:posOffset>147500</wp:posOffset>
                </wp:positionV>
                <wp:extent cx="5925787" cy="771099"/>
                <wp:effectExtent l="0" t="0" r="18415" b="101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787" cy="771099"/>
                        </a:xfrm>
                        <a:prstGeom prst="rect">
                          <a:avLst/>
                        </a:prstGeom>
                        <a:solidFill>
                          <a:srgbClr val="FFFFFF"/>
                        </a:solidFill>
                        <a:ln w="9525">
                          <a:solidFill>
                            <a:srgbClr val="000000"/>
                          </a:solidFill>
                          <a:miter lim="800000"/>
                          <a:headEnd/>
                          <a:tailEnd/>
                        </a:ln>
                      </wps:spPr>
                      <wps:txbx>
                        <w:txbxContent>
                          <w:p w14:paraId="3ECFE4CD" w14:textId="7596C2E5" w:rsidR="00761CC3" w:rsidRDefault="00761CC3" w:rsidP="006D61EA">
                            <w:pPr>
                              <w:rPr>
                                <w:rFonts w:ascii="Arial" w:hAnsi="Arial" w:cs="Arial"/>
                                <w:i/>
                                <w:sz w:val="17"/>
                                <w:szCs w:val="17"/>
                              </w:rPr>
                            </w:pPr>
                            <w:r>
                              <w:rPr>
                                <w:rFonts w:ascii="Arial" w:hAnsi="Arial" w:cs="Arial"/>
                                <w:i/>
                                <w:sz w:val="17"/>
                                <w:szCs w:val="17"/>
                              </w:rPr>
                              <w:t xml:space="preserve">Emir </w:t>
                            </w:r>
                            <w:r w:rsidRPr="009A6B9D">
                              <w:rPr>
                                <w:rFonts w:ascii="Arial" w:hAnsi="Arial" w:cs="Arial"/>
                                <w:i/>
                                <w:sz w:val="16"/>
                                <w:szCs w:val="16"/>
                              </w:rPr>
                              <w:t>Hrnjić</w:t>
                            </w:r>
                            <w:r>
                              <w:rPr>
                                <w:rFonts w:ascii="Arial" w:hAnsi="Arial" w:cs="Arial"/>
                                <w:i/>
                                <w:sz w:val="17"/>
                                <w:szCs w:val="17"/>
                              </w:rPr>
                              <w:t xml:space="preserve"> is a chief executive officer of the Centre For Islamic Banking, Finance, and Management (CIBFM), Autoriti Monetari Brunei Darussalam (AMBD). </w:t>
                            </w:r>
                          </w:p>
                          <w:p w14:paraId="1B704ADE" w14:textId="77777777" w:rsidR="00761CC3" w:rsidRDefault="00761CC3" w:rsidP="006D61EA">
                            <w:pPr>
                              <w:rPr>
                                <w:rFonts w:ascii="Arial" w:hAnsi="Arial" w:cs="Arial"/>
                                <w:i/>
                                <w:sz w:val="17"/>
                                <w:szCs w:val="17"/>
                              </w:rPr>
                            </w:pPr>
                          </w:p>
                          <w:p w14:paraId="7CF953AD" w14:textId="74298A2D" w:rsidR="00761CC3" w:rsidRDefault="00761CC3" w:rsidP="006D61EA">
                            <w:r>
                              <w:rPr>
                                <w:rFonts w:ascii="Arial" w:hAnsi="Arial" w:cs="Arial"/>
                                <w:i/>
                                <w:sz w:val="17"/>
                                <w:szCs w:val="17"/>
                              </w:rPr>
                              <w:t xml:space="preserve">The author </w:t>
                            </w:r>
                            <w:r w:rsidRPr="00D465E7">
                              <w:rPr>
                                <w:rFonts w:ascii="Arial" w:hAnsi="Arial" w:cs="Arial"/>
                                <w:i/>
                                <w:sz w:val="17"/>
                                <w:szCs w:val="17"/>
                              </w:rPr>
                              <w:t>would like to thank</w:t>
                            </w:r>
                            <w:r>
                              <w:rPr>
                                <w:rFonts w:ascii="Arial" w:hAnsi="Arial" w:cs="Arial"/>
                                <w:i/>
                                <w:sz w:val="17"/>
                                <w:szCs w:val="17"/>
                              </w:rPr>
                              <w:t xml:space="preserve"> </w:t>
                            </w:r>
                            <w:r w:rsidRPr="00D465E7">
                              <w:rPr>
                                <w:rFonts w:ascii="Arial" w:hAnsi="Arial" w:cs="Arial"/>
                                <w:i/>
                                <w:sz w:val="17"/>
                                <w:szCs w:val="17"/>
                              </w:rPr>
                              <w:t xml:space="preserve">the </w:t>
                            </w:r>
                            <w:r w:rsidRPr="00D465E7">
                              <w:rPr>
                                <w:rFonts w:ascii="Arial" w:hAnsi="Arial" w:cs="Arial"/>
                                <w:bCs/>
                                <w:i/>
                                <w:sz w:val="17"/>
                                <w:szCs w:val="17"/>
                              </w:rPr>
                              <w:t>Centre for Asset Management Research &amp; Investments (CAMRI)</w:t>
                            </w:r>
                            <w:r>
                              <w:rPr>
                                <w:rFonts w:ascii="Arial" w:hAnsi="Arial" w:cs="Arial"/>
                                <w:bCs/>
                                <w:i/>
                                <w:sz w:val="17"/>
                                <w:szCs w:val="17"/>
                              </w:rPr>
                              <w:t xml:space="preserve"> for the donation to this case and Xiang Yu Zhou for excellent research assistance.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36E0DE" id="_x0000_t202" coordsize="21600,21600" o:spt="202" path="m,l,21600r21600,l21600,xe">
                <v:stroke joinstyle="miter"/>
                <v:path gradientshapeok="t" o:connecttype="rect"/>
              </v:shapetype>
              <v:shape id="Text Box 2" o:spid="_x0000_s1026" type="#_x0000_t202" style="position:absolute;left:0;text-align:left;margin-left:0;margin-top:11.6pt;width:466.6pt;height:6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">
                <v:textbox>
                  <w:txbxContent>
                    <w:p w14:paraId="3ECFE4CD" w14:textId="7596C2E5" w:rsidR="00761CC3" w:rsidRDefault="00761CC3" w:rsidP="006D61EA">
                      <w:pPr>
                        <w:rPr>
                          <w:rFonts w:ascii="Arial" w:hAnsi="Arial" w:cs="Arial"/>
                          <w:i/>
                          <w:sz w:val="17"/>
                          <w:szCs w:val="17"/>
                        </w:rPr>
                      </w:pPr>
                      <w:r>
                        <w:rPr>
                          <w:rFonts w:ascii="Arial" w:hAnsi="Arial" w:cs="Arial"/>
                          <w:i/>
                          <w:sz w:val="17"/>
                          <w:szCs w:val="17"/>
                        </w:rPr>
                        <w:t xml:space="preserve">Emir </w:t>
                      </w:r>
                      <w:r w:rsidRPr="009A6B9D">
                        <w:rPr>
                          <w:rFonts w:ascii="Arial" w:hAnsi="Arial" w:cs="Arial"/>
                          <w:i/>
                          <w:sz w:val="16"/>
                          <w:szCs w:val="16"/>
                        </w:rPr>
                        <w:t>Hrnjić</w:t>
                      </w:r>
                      <w:r>
                        <w:rPr>
                          <w:rFonts w:ascii="Arial" w:hAnsi="Arial" w:cs="Arial"/>
                          <w:i/>
                          <w:sz w:val="17"/>
                          <w:szCs w:val="17"/>
                        </w:rPr>
                        <w:t xml:space="preserve"> is a chief executive officer of the Centre For Islamic Banking, Finance, and Management (CIBFM), Autoriti Monetari Brunei Darussalam (AMBD). </w:t>
                      </w:r>
                    </w:p>
                    <w:p w14:paraId="1B704ADE" w14:textId="77777777" w:rsidR="00761CC3" w:rsidRDefault="00761CC3" w:rsidP="006D61EA">
                      <w:pPr>
                        <w:rPr>
                          <w:rFonts w:ascii="Arial" w:hAnsi="Arial" w:cs="Arial"/>
                          <w:i/>
                          <w:sz w:val="17"/>
                          <w:szCs w:val="17"/>
                        </w:rPr>
                      </w:pPr>
                    </w:p>
                    <w:p w14:paraId="7CF953AD" w14:textId="74298A2D" w:rsidR="00761CC3" w:rsidRDefault="00761CC3" w:rsidP="006D61EA">
                      <w:r>
                        <w:rPr>
                          <w:rFonts w:ascii="Arial" w:hAnsi="Arial" w:cs="Arial"/>
                          <w:i/>
                          <w:sz w:val="17"/>
                          <w:szCs w:val="17"/>
                        </w:rPr>
                        <w:t xml:space="preserve">The author </w:t>
                      </w:r>
                      <w:r w:rsidRPr="00D465E7">
                        <w:rPr>
                          <w:rFonts w:ascii="Arial" w:hAnsi="Arial" w:cs="Arial"/>
                          <w:i/>
                          <w:sz w:val="17"/>
                          <w:szCs w:val="17"/>
                        </w:rPr>
                        <w:t>would like to thank</w:t>
                      </w:r>
                      <w:r>
                        <w:rPr>
                          <w:rFonts w:ascii="Arial" w:hAnsi="Arial" w:cs="Arial"/>
                          <w:i/>
                          <w:sz w:val="17"/>
                          <w:szCs w:val="17"/>
                        </w:rPr>
                        <w:t xml:space="preserve"> </w:t>
                      </w:r>
                      <w:r w:rsidRPr="00D465E7">
                        <w:rPr>
                          <w:rFonts w:ascii="Arial" w:hAnsi="Arial" w:cs="Arial"/>
                          <w:i/>
                          <w:sz w:val="17"/>
                          <w:szCs w:val="17"/>
                        </w:rPr>
                        <w:t xml:space="preserve">the </w:t>
                      </w:r>
                      <w:r w:rsidRPr="00D465E7">
                        <w:rPr>
                          <w:rFonts w:ascii="Arial" w:hAnsi="Arial" w:cs="Arial"/>
                          <w:bCs/>
                          <w:i/>
                          <w:sz w:val="17"/>
                          <w:szCs w:val="17"/>
                        </w:rPr>
                        <w:t>Centre for Asset Management Research &amp; Investments (CAMRI)</w:t>
                      </w:r>
                      <w:r>
                        <w:rPr>
                          <w:rFonts w:ascii="Arial" w:hAnsi="Arial" w:cs="Arial"/>
                          <w:bCs/>
                          <w:i/>
                          <w:sz w:val="17"/>
                          <w:szCs w:val="17"/>
                        </w:rPr>
                        <w:t xml:space="preserve"> for the donation to this case and Xiang Yu Zhou for excellent research assistance.</w:t>
                      </w:r>
                    </w:p>
                  </w:txbxContent>
                </v:textbox>
              </v:shape>
            </w:pict>
          </mc:Fallback>
        </mc:AlternateContent>
      </w:r>
    </w:p>
    <w:p w14:paraId="26C47A9F" w14:textId="77777777" w:rsidR="006D61EA" w:rsidRPr="00B0282E" w:rsidRDefault="006D61EA" w:rsidP="002F3C17">
      <w:pPr>
        <w:rPr>
          <w:rFonts w:ascii="Arial" w:hAnsi="Arial" w:cs="Arial"/>
          <w:b/>
        </w:rPr>
        <w:sectPr w:rsidR="006D61EA" w:rsidRPr="00B0282E" w:rsidSect="0017026D">
          <w:headerReference w:type="default" r:id="rId12"/>
          <w:endnotePr>
            <w:numFmt w:val="decimal"/>
          </w:endnotePr>
          <w:pgSz w:w="12240" w:h="15840" w:code="1"/>
          <w:pgMar w:top="1080" w:right="1440" w:bottom="1440" w:left="1440" w:header="425" w:footer="720" w:gutter="0"/>
          <w:cols w:space="708"/>
          <w:titlePg/>
          <w:docGrid w:linePitch="360"/>
        </w:sectPr>
      </w:pPr>
    </w:p>
    <w:p w14:paraId="5AA0E467" w14:textId="09A69742" w:rsidR="006D61EA" w:rsidRPr="00B0282E" w:rsidRDefault="006D61EA" w:rsidP="002F3C17">
      <w:pPr>
        <w:pStyle w:val="ExhibitHeading"/>
        <w:outlineLvl w:val="0"/>
      </w:pPr>
      <w:r w:rsidRPr="00B0282E">
        <w:lastRenderedPageBreak/>
        <w:t>EXHIBIT 1: ALIBABA</w:t>
      </w:r>
      <w:r w:rsidR="00D36CC0">
        <w:t>’s</w:t>
      </w:r>
      <w:r w:rsidRPr="00B0282E">
        <w:t xml:space="preserve"> SELECTED FINANCIAL RESULTS AND RATIOS</w:t>
      </w:r>
    </w:p>
    <w:p w14:paraId="69672310" w14:textId="77777777" w:rsidR="006D61EA" w:rsidRPr="00B0282E" w:rsidRDefault="006D61EA" w:rsidP="002F3C17">
      <w:pPr>
        <w:pStyle w:val="ExhibitText"/>
      </w:pPr>
    </w:p>
    <w:tbl>
      <w:tblPr>
        <w:tblStyle w:val="IveyTable"/>
        <w:tblW w:w="0" w:type="auto"/>
        <w:tblLook w:val="0420" w:firstRow="1" w:lastRow="0" w:firstColumn="0" w:lastColumn="0" w:noHBand="0" w:noVBand="1"/>
      </w:tblPr>
      <w:tblGrid>
        <w:gridCol w:w="3574"/>
        <w:gridCol w:w="995"/>
        <w:gridCol w:w="1106"/>
        <w:gridCol w:w="1106"/>
      </w:tblGrid>
      <w:tr w:rsidR="00DF65CA" w:rsidRPr="007532BD" w14:paraId="3E70300A" w14:textId="77777777" w:rsidTr="00041A76">
        <w:trPr>
          <w:cnfStyle w:val="100000000000" w:firstRow="1" w:lastRow="0" w:firstColumn="0" w:lastColumn="0" w:oddVBand="0" w:evenVBand="0" w:oddHBand="0" w:evenHBand="0" w:firstRowFirstColumn="0" w:firstRowLastColumn="0" w:lastRowFirstColumn="0" w:lastRowLastColumn="0"/>
          <w:trHeight w:val="288"/>
        </w:trPr>
        <w:tc>
          <w:tcPr>
            <w:tcW w:w="0" w:type="auto"/>
            <w:shd w:val="clear" w:color="auto" w:fill="auto"/>
            <w:noWrap/>
            <w:hideMark/>
          </w:tcPr>
          <w:p w14:paraId="34B904AA" w14:textId="4D52DA78" w:rsidR="006D61EA" w:rsidRPr="007532BD" w:rsidRDefault="006D61EA" w:rsidP="00761CC3">
            <w:pPr>
              <w:pStyle w:val="ExhibitText"/>
              <w:jc w:val="left"/>
            </w:pPr>
          </w:p>
        </w:tc>
        <w:tc>
          <w:tcPr>
            <w:tcW w:w="0" w:type="auto"/>
            <w:shd w:val="clear" w:color="auto" w:fill="auto"/>
            <w:noWrap/>
            <w:hideMark/>
          </w:tcPr>
          <w:p w14:paraId="38F4BE28" w14:textId="77777777" w:rsidR="006D61EA" w:rsidRPr="007532BD" w:rsidRDefault="006D61EA" w:rsidP="002F3C17">
            <w:pPr>
              <w:pStyle w:val="ExhibitText"/>
            </w:pPr>
            <w:r w:rsidRPr="007532BD">
              <w:t>FY 2012</w:t>
            </w:r>
          </w:p>
        </w:tc>
        <w:tc>
          <w:tcPr>
            <w:tcW w:w="0" w:type="auto"/>
            <w:shd w:val="clear" w:color="auto" w:fill="auto"/>
            <w:noWrap/>
            <w:hideMark/>
          </w:tcPr>
          <w:p w14:paraId="202FDA8D" w14:textId="77777777" w:rsidR="006D61EA" w:rsidRPr="007532BD" w:rsidRDefault="006D61EA" w:rsidP="002F3C17">
            <w:pPr>
              <w:pStyle w:val="ExhibitText"/>
            </w:pPr>
            <w:r w:rsidRPr="007532BD">
              <w:t>FY 2013</w:t>
            </w:r>
          </w:p>
        </w:tc>
        <w:tc>
          <w:tcPr>
            <w:tcW w:w="0" w:type="auto"/>
            <w:shd w:val="clear" w:color="auto" w:fill="auto"/>
            <w:noWrap/>
            <w:hideMark/>
          </w:tcPr>
          <w:p w14:paraId="66E01AC7" w14:textId="77777777" w:rsidR="006D61EA" w:rsidRPr="007532BD" w:rsidRDefault="006D61EA" w:rsidP="002F3C17">
            <w:pPr>
              <w:pStyle w:val="ExhibitText"/>
            </w:pPr>
            <w:r w:rsidRPr="007532BD">
              <w:t>FY 2014</w:t>
            </w:r>
          </w:p>
        </w:tc>
      </w:tr>
      <w:tr w:rsidR="00894F0C" w:rsidRPr="007532BD" w14:paraId="35DD491F" w14:textId="77777777" w:rsidTr="00DF65CA">
        <w:trPr>
          <w:trHeight w:val="288"/>
        </w:trPr>
        <w:tc>
          <w:tcPr>
            <w:tcW w:w="0" w:type="auto"/>
            <w:noWrap/>
            <w:hideMark/>
          </w:tcPr>
          <w:p w14:paraId="70EFD11D" w14:textId="77777777" w:rsidR="006D61EA" w:rsidRPr="007532BD" w:rsidRDefault="006D61EA" w:rsidP="009A6B9D">
            <w:pPr>
              <w:pStyle w:val="ExhibitText"/>
              <w:jc w:val="left"/>
            </w:pPr>
            <w:r w:rsidRPr="007532BD">
              <w:t>Total Revenues</w:t>
            </w:r>
          </w:p>
        </w:tc>
        <w:tc>
          <w:tcPr>
            <w:tcW w:w="0" w:type="auto"/>
            <w:noWrap/>
            <w:hideMark/>
          </w:tcPr>
          <w:p w14:paraId="3B362B70" w14:textId="77777777" w:rsidR="006D61EA" w:rsidRPr="007532BD" w:rsidRDefault="006D61EA" w:rsidP="002F3C17">
            <w:pPr>
              <w:pStyle w:val="ExhibitText"/>
              <w:jc w:val="right"/>
            </w:pPr>
            <w:r w:rsidRPr="007532BD">
              <w:t>3,131.30</w:t>
            </w:r>
          </w:p>
        </w:tc>
        <w:tc>
          <w:tcPr>
            <w:tcW w:w="0" w:type="auto"/>
            <w:noWrap/>
            <w:hideMark/>
          </w:tcPr>
          <w:p w14:paraId="282D42BA" w14:textId="77777777" w:rsidR="006D61EA" w:rsidRPr="007532BD" w:rsidRDefault="006D61EA" w:rsidP="002F3C17">
            <w:pPr>
              <w:pStyle w:val="ExhibitText"/>
              <w:jc w:val="right"/>
            </w:pPr>
            <w:r w:rsidRPr="007532BD">
              <w:t>5,488.90</w:t>
            </w:r>
          </w:p>
        </w:tc>
        <w:tc>
          <w:tcPr>
            <w:tcW w:w="0" w:type="auto"/>
            <w:noWrap/>
            <w:hideMark/>
          </w:tcPr>
          <w:p w14:paraId="6B65A7A5" w14:textId="77777777" w:rsidR="006D61EA" w:rsidRPr="007532BD" w:rsidRDefault="006D61EA" w:rsidP="002F3C17">
            <w:pPr>
              <w:pStyle w:val="ExhibitText"/>
              <w:jc w:val="right"/>
            </w:pPr>
            <w:r w:rsidRPr="007532BD">
              <w:t>8,582.60</w:t>
            </w:r>
          </w:p>
        </w:tc>
      </w:tr>
      <w:tr w:rsidR="00894F0C" w:rsidRPr="007532BD" w14:paraId="36FADC9F" w14:textId="77777777" w:rsidTr="00041A76">
        <w:trPr>
          <w:cnfStyle w:val="000000010000" w:firstRow="0" w:lastRow="0" w:firstColumn="0" w:lastColumn="0" w:oddVBand="0" w:evenVBand="0" w:oddHBand="0" w:evenHBand="1" w:firstRowFirstColumn="0" w:firstRowLastColumn="0" w:lastRowFirstColumn="0" w:lastRowLastColumn="0"/>
          <w:trHeight w:val="288"/>
        </w:trPr>
        <w:tc>
          <w:tcPr>
            <w:tcW w:w="0" w:type="auto"/>
            <w:shd w:val="clear" w:color="auto" w:fill="auto"/>
            <w:noWrap/>
            <w:hideMark/>
          </w:tcPr>
          <w:p w14:paraId="054AFE8F" w14:textId="77777777" w:rsidR="006D61EA" w:rsidRPr="007532BD" w:rsidRDefault="006D61EA" w:rsidP="009A6B9D">
            <w:pPr>
              <w:pStyle w:val="ExhibitText"/>
              <w:jc w:val="left"/>
            </w:pPr>
            <w:r w:rsidRPr="007532BD">
              <w:t>Operating Income</w:t>
            </w:r>
          </w:p>
        </w:tc>
        <w:tc>
          <w:tcPr>
            <w:tcW w:w="0" w:type="auto"/>
            <w:shd w:val="clear" w:color="auto" w:fill="auto"/>
            <w:noWrap/>
            <w:hideMark/>
          </w:tcPr>
          <w:p w14:paraId="291474B0" w14:textId="29963D49" w:rsidR="006D61EA" w:rsidRPr="007532BD" w:rsidRDefault="006D61EA" w:rsidP="002F3C17">
            <w:pPr>
              <w:pStyle w:val="ExhibitText"/>
              <w:jc w:val="right"/>
            </w:pPr>
            <w:r w:rsidRPr="007532BD">
              <w:t>805.3</w:t>
            </w:r>
            <w:r w:rsidR="00D36CC0" w:rsidRPr="007532BD">
              <w:t>0</w:t>
            </w:r>
          </w:p>
        </w:tc>
        <w:tc>
          <w:tcPr>
            <w:tcW w:w="0" w:type="auto"/>
            <w:shd w:val="clear" w:color="auto" w:fill="auto"/>
            <w:noWrap/>
            <w:hideMark/>
          </w:tcPr>
          <w:p w14:paraId="10CD5B62" w14:textId="77777777" w:rsidR="006D61EA" w:rsidRPr="007532BD" w:rsidRDefault="006D61EA" w:rsidP="002F3C17">
            <w:pPr>
              <w:pStyle w:val="ExhibitText"/>
              <w:jc w:val="right"/>
            </w:pPr>
            <w:r w:rsidRPr="007532BD">
              <w:t>2,292.00</w:t>
            </w:r>
          </w:p>
        </w:tc>
        <w:tc>
          <w:tcPr>
            <w:tcW w:w="0" w:type="auto"/>
            <w:shd w:val="clear" w:color="auto" w:fill="auto"/>
            <w:noWrap/>
            <w:hideMark/>
          </w:tcPr>
          <w:p w14:paraId="3137711B" w14:textId="77777777" w:rsidR="006D61EA" w:rsidRPr="007532BD" w:rsidRDefault="006D61EA" w:rsidP="002F3C17">
            <w:pPr>
              <w:pStyle w:val="ExhibitText"/>
              <w:jc w:val="right"/>
            </w:pPr>
            <w:r w:rsidRPr="007532BD">
              <w:t>4,080.80</w:t>
            </w:r>
          </w:p>
        </w:tc>
      </w:tr>
      <w:tr w:rsidR="00894F0C" w:rsidRPr="007532BD" w14:paraId="7B43AA43" w14:textId="77777777" w:rsidTr="00DF65CA">
        <w:trPr>
          <w:trHeight w:val="288"/>
        </w:trPr>
        <w:tc>
          <w:tcPr>
            <w:tcW w:w="0" w:type="auto"/>
            <w:noWrap/>
            <w:hideMark/>
          </w:tcPr>
          <w:p w14:paraId="50EE81FF" w14:textId="77777777" w:rsidR="006D61EA" w:rsidRPr="007532BD" w:rsidRDefault="006D61EA" w:rsidP="009A6B9D">
            <w:pPr>
              <w:pStyle w:val="ExhibitText"/>
              <w:jc w:val="left"/>
            </w:pPr>
            <w:r w:rsidRPr="007532BD">
              <w:t>Net Income to Common Shareholders</w:t>
            </w:r>
          </w:p>
        </w:tc>
        <w:tc>
          <w:tcPr>
            <w:tcW w:w="0" w:type="auto"/>
            <w:noWrap/>
            <w:hideMark/>
          </w:tcPr>
          <w:p w14:paraId="68FE035A" w14:textId="60F2EFDC" w:rsidR="006D61EA" w:rsidRPr="007532BD" w:rsidRDefault="006D61EA" w:rsidP="002F3C17">
            <w:pPr>
              <w:pStyle w:val="ExhibitText"/>
              <w:jc w:val="right"/>
            </w:pPr>
            <w:r w:rsidRPr="007532BD">
              <w:t>661.1</w:t>
            </w:r>
            <w:r w:rsidR="00D36CC0" w:rsidRPr="007532BD">
              <w:t>0</w:t>
            </w:r>
          </w:p>
        </w:tc>
        <w:tc>
          <w:tcPr>
            <w:tcW w:w="0" w:type="auto"/>
            <w:noWrap/>
            <w:hideMark/>
          </w:tcPr>
          <w:p w14:paraId="73D38D3A" w14:textId="77777777" w:rsidR="006D61EA" w:rsidRPr="007532BD" w:rsidRDefault="006D61EA" w:rsidP="002F3C17">
            <w:pPr>
              <w:pStyle w:val="ExhibitText"/>
              <w:jc w:val="right"/>
            </w:pPr>
            <w:r w:rsidRPr="007532BD">
              <w:t>1,336.40</w:t>
            </w:r>
          </w:p>
        </w:tc>
        <w:tc>
          <w:tcPr>
            <w:tcW w:w="0" w:type="auto"/>
            <w:noWrap/>
            <w:hideMark/>
          </w:tcPr>
          <w:p w14:paraId="15DDDBBD" w14:textId="77777777" w:rsidR="006D61EA" w:rsidRPr="007532BD" w:rsidRDefault="006D61EA" w:rsidP="002F3C17">
            <w:pPr>
              <w:pStyle w:val="ExhibitText"/>
              <w:jc w:val="right"/>
            </w:pPr>
            <w:r w:rsidRPr="007532BD">
              <w:t>3,772.10</w:t>
            </w:r>
          </w:p>
        </w:tc>
      </w:tr>
      <w:tr w:rsidR="00894F0C" w:rsidRPr="007532BD" w14:paraId="0C2BB7CA" w14:textId="77777777" w:rsidTr="00041A76">
        <w:trPr>
          <w:cnfStyle w:val="000000010000" w:firstRow="0" w:lastRow="0" w:firstColumn="0" w:lastColumn="0" w:oddVBand="0" w:evenVBand="0" w:oddHBand="0" w:evenHBand="1" w:firstRowFirstColumn="0" w:firstRowLastColumn="0" w:lastRowFirstColumn="0" w:lastRowLastColumn="0"/>
          <w:trHeight w:val="288"/>
        </w:trPr>
        <w:tc>
          <w:tcPr>
            <w:tcW w:w="0" w:type="auto"/>
            <w:shd w:val="clear" w:color="auto" w:fill="auto"/>
            <w:noWrap/>
            <w:hideMark/>
          </w:tcPr>
          <w:p w14:paraId="6DE7CCEA" w14:textId="419AE6B3" w:rsidR="006D61EA" w:rsidRPr="007532BD" w:rsidRDefault="006D61EA" w:rsidP="009A6B9D">
            <w:pPr>
              <w:pStyle w:val="ExhibitText"/>
              <w:jc w:val="left"/>
            </w:pPr>
            <w:r w:rsidRPr="007532BD">
              <w:t>Basic EPS (</w:t>
            </w:r>
            <w:r w:rsidR="00F64A32">
              <w:t>dollars</w:t>
            </w:r>
            <w:r w:rsidRPr="007532BD">
              <w:t>)</w:t>
            </w:r>
          </w:p>
        </w:tc>
        <w:tc>
          <w:tcPr>
            <w:tcW w:w="0" w:type="auto"/>
            <w:shd w:val="clear" w:color="auto" w:fill="auto"/>
            <w:noWrap/>
            <w:hideMark/>
          </w:tcPr>
          <w:p w14:paraId="70AD2185" w14:textId="77777777" w:rsidR="006D61EA" w:rsidRPr="007532BD" w:rsidRDefault="006D61EA" w:rsidP="002F3C17">
            <w:pPr>
              <w:pStyle w:val="ExhibitText"/>
              <w:jc w:val="right"/>
            </w:pPr>
            <w:r w:rsidRPr="007532BD">
              <w:t>0.27</w:t>
            </w:r>
          </w:p>
        </w:tc>
        <w:tc>
          <w:tcPr>
            <w:tcW w:w="0" w:type="auto"/>
            <w:shd w:val="clear" w:color="auto" w:fill="auto"/>
            <w:noWrap/>
            <w:hideMark/>
          </w:tcPr>
          <w:p w14:paraId="3CEBD68A" w14:textId="77777777" w:rsidR="006D61EA" w:rsidRPr="007532BD" w:rsidRDefault="006D61EA" w:rsidP="002F3C17">
            <w:pPr>
              <w:pStyle w:val="ExhibitText"/>
              <w:jc w:val="right"/>
            </w:pPr>
            <w:r w:rsidRPr="007532BD">
              <w:t>0.58</w:t>
            </w:r>
          </w:p>
        </w:tc>
        <w:tc>
          <w:tcPr>
            <w:tcW w:w="0" w:type="auto"/>
            <w:shd w:val="clear" w:color="auto" w:fill="auto"/>
            <w:noWrap/>
            <w:hideMark/>
          </w:tcPr>
          <w:p w14:paraId="3E924346" w14:textId="77777777" w:rsidR="006D61EA" w:rsidRPr="007532BD" w:rsidRDefault="006D61EA" w:rsidP="002F3C17">
            <w:pPr>
              <w:pStyle w:val="ExhibitText"/>
              <w:jc w:val="right"/>
            </w:pPr>
            <w:r w:rsidRPr="007532BD">
              <w:t>1.73</w:t>
            </w:r>
          </w:p>
        </w:tc>
      </w:tr>
      <w:tr w:rsidR="00894F0C" w:rsidRPr="007532BD" w14:paraId="18682801" w14:textId="77777777" w:rsidTr="00DF65CA">
        <w:trPr>
          <w:trHeight w:val="288"/>
        </w:trPr>
        <w:tc>
          <w:tcPr>
            <w:tcW w:w="0" w:type="auto"/>
            <w:noWrap/>
            <w:hideMark/>
          </w:tcPr>
          <w:p w14:paraId="04366E51" w14:textId="6E912F7A" w:rsidR="006D61EA" w:rsidRPr="007532BD" w:rsidRDefault="006D61EA" w:rsidP="009A6B9D">
            <w:pPr>
              <w:pStyle w:val="ExhibitText"/>
              <w:jc w:val="left"/>
            </w:pPr>
            <w:r w:rsidRPr="007532BD">
              <w:t>Diluted EPS (</w:t>
            </w:r>
            <w:r w:rsidR="00F64A32">
              <w:t>dollars</w:t>
            </w:r>
            <w:r w:rsidRPr="007532BD">
              <w:t>)</w:t>
            </w:r>
          </w:p>
        </w:tc>
        <w:tc>
          <w:tcPr>
            <w:tcW w:w="0" w:type="auto"/>
            <w:noWrap/>
            <w:hideMark/>
          </w:tcPr>
          <w:p w14:paraId="3732DA2A" w14:textId="77777777" w:rsidR="006D61EA" w:rsidRPr="007532BD" w:rsidRDefault="006D61EA" w:rsidP="002F3C17">
            <w:pPr>
              <w:pStyle w:val="ExhibitText"/>
              <w:jc w:val="right"/>
            </w:pPr>
            <w:r w:rsidRPr="007532BD">
              <w:t>0.26</w:t>
            </w:r>
          </w:p>
        </w:tc>
        <w:tc>
          <w:tcPr>
            <w:tcW w:w="0" w:type="auto"/>
            <w:noWrap/>
            <w:hideMark/>
          </w:tcPr>
          <w:p w14:paraId="34E854B3" w14:textId="77777777" w:rsidR="006D61EA" w:rsidRPr="007532BD" w:rsidRDefault="006D61EA" w:rsidP="002F3C17">
            <w:pPr>
              <w:pStyle w:val="ExhibitText"/>
              <w:jc w:val="right"/>
            </w:pPr>
            <w:r w:rsidRPr="007532BD">
              <w:t>0.57</w:t>
            </w:r>
          </w:p>
        </w:tc>
        <w:tc>
          <w:tcPr>
            <w:tcW w:w="0" w:type="auto"/>
            <w:noWrap/>
            <w:hideMark/>
          </w:tcPr>
          <w:p w14:paraId="50062FE4" w14:textId="77777777" w:rsidR="006D61EA" w:rsidRPr="007532BD" w:rsidRDefault="006D61EA" w:rsidP="002F3C17">
            <w:pPr>
              <w:pStyle w:val="ExhibitText"/>
              <w:jc w:val="right"/>
            </w:pPr>
            <w:r w:rsidRPr="007532BD">
              <w:t>1.63</w:t>
            </w:r>
          </w:p>
        </w:tc>
      </w:tr>
      <w:tr w:rsidR="00894F0C" w:rsidRPr="007532BD" w14:paraId="7DB0D5F4" w14:textId="77777777" w:rsidTr="00041A76">
        <w:trPr>
          <w:cnfStyle w:val="000000010000" w:firstRow="0" w:lastRow="0" w:firstColumn="0" w:lastColumn="0" w:oddVBand="0" w:evenVBand="0" w:oddHBand="0" w:evenHBand="1" w:firstRowFirstColumn="0" w:firstRowLastColumn="0" w:lastRowFirstColumn="0" w:lastRowLastColumn="0"/>
          <w:trHeight w:val="288"/>
        </w:trPr>
        <w:tc>
          <w:tcPr>
            <w:tcW w:w="0" w:type="auto"/>
            <w:shd w:val="clear" w:color="auto" w:fill="auto"/>
            <w:noWrap/>
            <w:hideMark/>
          </w:tcPr>
          <w:p w14:paraId="6ED37099" w14:textId="77777777" w:rsidR="006D61EA" w:rsidRPr="007532BD" w:rsidRDefault="006D61EA" w:rsidP="009A6B9D">
            <w:pPr>
              <w:pStyle w:val="ExhibitText"/>
              <w:jc w:val="left"/>
            </w:pPr>
            <w:r w:rsidRPr="007532BD">
              <w:t>Total Assets</w:t>
            </w:r>
          </w:p>
        </w:tc>
        <w:tc>
          <w:tcPr>
            <w:tcW w:w="0" w:type="auto"/>
            <w:shd w:val="clear" w:color="auto" w:fill="auto"/>
            <w:noWrap/>
            <w:hideMark/>
          </w:tcPr>
          <w:p w14:paraId="40938D4D" w14:textId="77777777" w:rsidR="006D61EA" w:rsidRPr="007532BD" w:rsidRDefault="006D61EA" w:rsidP="002F3C17">
            <w:pPr>
              <w:pStyle w:val="ExhibitText"/>
              <w:jc w:val="right"/>
            </w:pPr>
            <w:r w:rsidRPr="007532BD">
              <w:t>7,495.30</w:t>
            </w:r>
          </w:p>
        </w:tc>
        <w:tc>
          <w:tcPr>
            <w:tcW w:w="0" w:type="auto"/>
            <w:shd w:val="clear" w:color="auto" w:fill="auto"/>
            <w:noWrap/>
            <w:hideMark/>
          </w:tcPr>
          <w:p w14:paraId="77A09637" w14:textId="77777777" w:rsidR="006D61EA" w:rsidRPr="007532BD" w:rsidRDefault="006D61EA" w:rsidP="002F3C17">
            <w:pPr>
              <w:pStyle w:val="ExhibitText"/>
              <w:jc w:val="right"/>
            </w:pPr>
            <w:r w:rsidRPr="007532BD">
              <w:t>10,270.20</w:t>
            </w:r>
          </w:p>
        </w:tc>
        <w:tc>
          <w:tcPr>
            <w:tcW w:w="0" w:type="auto"/>
            <w:shd w:val="clear" w:color="auto" w:fill="auto"/>
            <w:noWrap/>
            <w:hideMark/>
          </w:tcPr>
          <w:p w14:paraId="66AFB49D" w14:textId="77777777" w:rsidR="006D61EA" w:rsidRPr="007532BD" w:rsidRDefault="006D61EA" w:rsidP="002F3C17">
            <w:pPr>
              <w:pStyle w:val="ExhibitText"/>
              <w:jc w:val="right"/>
            </w:pPr>
            <w:r w:rsidRPr="007532BD">
              <w:t>17,938.20</w:t>
            </w:r>
          </w:p>
        </w:tc>
      </w:tr>
      <w:tr w:rsidR="00894F0C" w:rsidRPr="007532BD" w14:paraId="3C82FAF5" w14:textId="77777777" w:rsidTr="00DF65CA">
        <w:trPr>
          <w:trHeight w:val="288"/>
        </w:trPr>
        <w:tc>
          <w:tcPr>
            <w:tcW w:w="0" w:type="auto"/>
            <w:noWrap/>
            <w:hideMark/>
          </w:tcPr>
          <w:p w14:paraId="040CF991" w14:textId="77777777" w:rsidR="006D61EA" w:rsidRPr="007532BD" w:rsidRDefault="006D61EA" w:rsidP="009A6B9D">
            <w:pPr>
              <w:pStyle w:val="ExhibitText"/>
              <w:jc w:val="left"/>
            </w:pPr>
            <w:r w:rsidRPr="007532BD">
              <w:t>Total Current Liabilities</w:t>
            </w:r>
          </w:p>
        </w:tc>
        <w:tc>
          <w:tcPr>
            <w:tcW w:w="0" w:type="auto"/>
            <w:noWrap/>
            <w:hideMark/>
          </w:tcPr>
          <w:p w14:paraId="00CECFF9" w14:textId="77777777" w:rsidR="006D61EA" w:rsidRPr="007532BD" w:rsidRDefault="006D61EA" w:rsidP="002F3C17">
            <w:pPr>
              <w:pStyle w:val="ExhibitText"/>
              <w:jc w:val="right"/>
            </w:pPr>
            <w:r w:rsidRPr="007532BD">
              <w:t>1,865.70</w:t>
            </w:r>
          </w:p>
        </w:tc>
        <w:tc>
          <w:tcPr>
            <w:tcW w:w="0" w:type="auto"/>
            <w:noWrap/>
            <w:hideMark/>
          </w:tcPr>
          <w:p w14:paraId="190D41F3" w14:textId="77777777" w:rsidR="006D61EA" w:rsidRPr="007532BD" w:rsidRDefault="006D61EA" w:rsidP="002F3C17">
            <w:pPr>
              <w:pStyle w:val="ExhibitText"/>
              <w:jc w:val="right"/>
            </w:pPr>
            <w:r w:rsidRPr="007532BD">
              <w:t>3,863.40</w:t>
            </w:r>
          </w:p>
        </w:tc>
        <w:tc>
          <w:tcPr>
            <w:tcW w:w="0" w:type="auto"/>
            <w:noWrap/>
            <w:hideMark/>
          </w:tcPr>
          <w:p w14:paraId="2CA7CD7D" w14:textId="77777777" w:rsidR="006D61EA" w:rsidRPr="007532BD" w:rsidRDefault="006D61EA" w:rsidP="002F3C17">
            <w:pPr>
              <w:pStyle w:val="ExhibitText"/>
              <w:jc w:val="right"/>
            </w:pPr>
            <w:r w:rsidRPr="007532BD">
              <w:t>6,011.70</w:t>
            </w:r>
          </w:p>
        </w:tc>
      </w:tr>
      <w:tr w:rsidR="00894F0C" w:rsidRPr="007532BD" w14:paraId="7F7101F2" w14:textId="77777777" w:rsidTr="00041A76">
        <w:trPr>
          <w:cnfStyle w:val="000000010000" w:firstRow="0" w:lastRow="0" w:firstColumn="0" w:lastColumn="0" w:oddVBand="0" w:evenVBand="0" w:oddHBand="0" w:evenHBand="1" w:firstRowFirstColumn="0" w:firstRowLastColumn="0" w:lastRowFirstColumn="0" w:lastRowLastColumn="0"/>
          <w:trHeight w:val="288"/>
        </w:trPr>
        <w:tc>
          <w:tcPr>
            <w:tcW w:w="0" w:type="auto"/>
            <w:shd w:val="clear" w:color="auto" w:fill="auto"/>
            <w:noWrap/>
            <w:hideMark/>
          </w:tcPr>
          <w:p w14:paraId="07E2503A" w14:textId="77777777" w:rsidR="006D61EA" w:rsidRPr="007532BD" w:rsidRDefault="006D61EA" w:rsidP="009A6B9D">
            <w:pPr>
              <w:pStyle w:val="ExhibitText"/>
              <w:jc w:val="left"/>
            </w:pPr>
            <w:r w:rsidRPr="007532BD">
              <w:t>Total Long-Term Liabilities</w:t>
            </w:r>
          </w:p>
        </w:tc>
        <w:tc>
          <w:tcPr>
            <w:tcW w:w="0" w:type="auto"/>
            <w:shd w:val="clear" w:color="auto" w:fill="auto"/>
            <w:noWrap/>
            <w:hideMark/>
          </w:tcPr>
          <w:p w14:paraId="102C7A52" w14:textId="7C3B19F4" w:rsidR="006D61EA" w:rsidRPr="007532BD" w:rsidRDefault="006D61EA" w:rsidP="002F3C17">
            <w:pPr>
              <w:pStyle w:val="ExhibitText"/>
              <w:jc w:val="right"/>
            </w:pPr>
            <w:r w:rsidRPr="007532BD">
              <w:t>166.1</w:t>
            </w:r>
            <w:r w:rsidR="00D36CC0" w:rsidRPr="007532BD">
              <w:t>0</w:t>
            </w:r>
          </w:p>
        </w:tc>
        <w:tc>
          <w:tcPr>
            <w:tcW w:w="0" w:type="auto"/>
            <w:shd w:val="clear" w:color="auto" w:fill="auto"/>
            <w:noWrap/>
            <w:hideMark/>
          </w:tcPr>
          <w:p w14:paraId="155D4693" w14:textId="77777777" w:rsidR="006D61EA" w:rsidRPr="007532BD" w:rsidRDefault="006D61EA" w:rsidP="002F3C17">
            <w:pPr>
              <w:pStyle w:val="ExhibitText"/>
              <w:jc w:val="right"/>
            </w:pPr>
            <w:r w:rsidRPr="007532BD">
              <w:t>4,628.20</w:t>
            </w:r>
          </w:p>
        </w:tc>
        <w:tc>
          <w:tcPr>
            <w:tcW w:w="0" w:type="auto"/>
            <w:shd w:val="clear" w:color="auto" w:fill="auto"/>
            <w:noWrap/>
            <w:hideMark/>
          </w:tcPr>
          <w:p w14:paraId="36694461" w14:textId="77777777" w:rsidR="006D61EA" w:rsidRPr="007532BD" w:rsidRDefault="006D61EA" w:rsidP="002F3C17">
            <w:pPr>
              <w:pStyle w:val="ExhibitText"/>
              <w:jc w:val="right"/>
            </w:pPr>
            <w:r w:rsidRPr="007532BD">
              <w:t>5,362.50</w:t>
            </w:r>
          </w:p>
        </w:tc>
      </w:tr>
      <w:tr w:rsidR="00894F0C" w:rsidRPr="007532BD" w14:paraId="68F34EE7" w14:textId="77777777" w:rsidTr="00DF65CA">
        <w:trPr>
          <w:trHeight w:val="288"/>
        </w:trPr>
        <w:tc>
          <w:tcPr>
            <w:tcW w:w="0" w:type="auto"/>
            <w:noWrap/>
            <w:hideMark/>
          </w:tcPr>
          <w:p w14:paraId="2D649069" w14:textId="77777777" w:rsidR="006D61EA" w:rsidRPr="007532BD" w:rsidRDefault="006D61EA" w:rsidP="009A6B9D">
            <w:pPr>
              <w:pStyle w:val="ExhibitText"/>
              <w:jc w:val="left"/>
            </w:pPr>
            <w:r w:rsidRPr="007532BD">
              <w:t>Total Liabilities</w:t>
            </w:r>
          </w:p>
        </w:tc>
        <w:tc>
          <w:tcPr>
            <w:tcW w:w="0" w:type="auto"/>
            <w:noWrap/>
            <w:hideMark/>
          </w:tcPr>
          <w:p w14:paraId="0604CA6A" w14:textId="77777777" w:rsidR="006D61EA" w:rsidRPr="007532BD" w:rsidRDefault="006D61EA" w:rsidP="002F3C17">
            <w:pPr>
              <w:pStyle w:val="ExhibitText"/>
              <w:jc w:val="right"/>
            </w:pPr>
            <w:r w:rsidRPr="007532BD">
              <w:t>2,031.70</w:t>
            </w:r>
          </w:p>
        </w:tc>
        <w:tc>
          <w:tcPr>
            <w:tcW w:w="0" w:type="auto"/>
            <w:noWrap/>
            <w:hideMark/>
          </w:tcPr>
          <w:p w14:paraId="00D5F5D1" w14:textId="77777777" w:rsidR="006D61EA" w:rsidRPr="007532BD" w:rsidRDefault="006D61EA" w:rsidP="002F3C17">
            <w:pPr>
              <w:pStyle w:val="ExhibitText"/>
              <w:jc w:val="right"/>
            </w:pPr>
            <w:r w:rsidRPr="007532BD">
              <w:t>8,491.70</w:t>
            </w:r>
          </w:p>
        </w:tc>
        <w:tc>
          <w:tcPr>
            <w:tcW w:w="0" w:type="auto"/>
            <w:noWrap/>
            <w:hideMark/>
          </w:tcPr>
          <w:p w14:paraId="2B43F3F9" w14:textId="77777777" w:rsidR="006D61EA" w:rsidRPr="007532BD" w:rsidRDefault="006D61EA" w:rsidP="002F3C17">
            <w:pPr>
              <w:pStyle w:val="ExhibitText"/>
              <w:jc w:val="right"/>
            </w:pPr>
            <w:r w:rsidRPr="007532BD">
              <w:t>11,374.30</w:t>
            </w:r>
          </w:p>
        </w:tc>
      </w:tr>
      <w:tr w:rsidR="00894F0C" w:rsidRPr="007532BD" w14:paraId="0754FD8E" w14:textId="77777777" w:rsidTr="00041A76">
        <w:trPr>
          <w:cnfStyle w:val="000000010000" w:firstRow="0" w:lastRow="0" w:firstColumn="0" w:lastColumn="0" w:oddVBand="0" w:evenVBand="0" w:oddHBand="0" w:evenHBand="1" w:firstRowFirstColumn="0" w:firstRowLastColumn="0" w:lastRowFirstColumn="0" w:lastRowLastColumn="0"/>
          <w:trHeight w:val="288"/>
        </w:trPr>
        <w:tc>
          <w:tcPr>
            <w:tcW w:w="0" w:type="auto"/>
            <w:shd w:val="clear" w:color="auto" w:fill="auto"/>
            <w:noWrap/>
            <w:hideMark/>
          </w:tcPr>
          <w:p w14:paraId="5926E924" w14:textId="77777777" w:rsidR="006D61EA" w:rsidRPr="007532BD" w:rsidRDefault="006D61EA" w:rsidP="009A6B9D">
            <w:pPr>
              <w:pStyle w:val="ExhibitText"/>
              <w:jc w:val="left"/>
            </w:pPr>
            <w:r w:rsidRPr="007532BD">
              <w:t>Total Equity</w:t>
            </w:r>
          </w:p>
        </w:tc>
        <w:tc>
          <w:tcPr>
            <w:tcW w:w="0" w:type="auto"/>
            <w:shd w:val="clear" w:color="auto" w:fill="auto"/>
            <w:noWrap/>
            <w:hideMark/>
          </w:tcPr>
          <w:p w14:paraId="44CAFDEB" w14:textId="77777777" w:rsidR="006D61EA" w:rsidRPr="007532BD" w:rsidRDefault="006D61EA" w:rsidP="002F3C17">
            <w:pPr>
              <w:pStyle w:val="ExhibitText"/>
              <w:jc w:val="right"/>
            </w:pPr>
            <w:r w:rsidRPr="007532BD">
              <w:t>5,463.60</w:t>
            </w:r>
          </w:p>
        </w:tc>
        <w:tc>
          <w:tcPr>
            <w:tcW w:w="0" w:type="auto"/>
            <w:shd w:val="clear" w:color="auto" w:fill="auto"/>
            <w:noWrap/>
            <w:hideMark/>
          </w:tcPr>
          <w:p w14:paraId="3A7BF32B" w14:textId="77777777" w:rsidR="006D61EA" w:rsidRPr="007532BD" w:rsidRDefault="006D61EA" w:rsidP="002F3C17">
            <w:pPr>
              <w:pStyle w:val="ExhibitText"/>
              <w:jc w:val="right"/>
            </w:pPr>
            <w:r w:rsidRPr="007532BD">
              <w:t>1,778.50</w:t>
            </w:r>
          </w:p>
        </w:tc>
        <w:tc>
          <w:tcPr>
            <w:tcW w:w="0" w:type="auto"/>
            <w:shd w:val="clear" w:color="auto" w:fill="auto"/>
            <w:noWrap/>
            <w:hideMark/>
          </w:tcPr>
          <w:p w14:paraId="402C8772" w14:textId="77777777" w:rsidR="006D61EA" w:rsidRPr="007532BD" w:rsidRDefault="006D61EA" w:rsidP="002F3C17">
            <w:pPr>
              <w:pStyle w:val="ExhibitText"/>
              <w:jc w:val="right"/>
            </w:pPr>
            <w:r w:rsidRPr="007532BD">
              <w:t>6,564.00</w:t>
            </w:r>
          </w:p>
        </w:tc>
      </w:tr>
      <w:tr w:rsidR="00894F0C" w:rsidRPr="007532BD" w14:paraId="1990DF11" w14:textId="0FD444A5" w:rsidTr="007A326E">
        <w:trPr>
          <w:trHeight w:hRule="exact" w:val="144"/>
        </w:trPr>
        <w:tc>
          <w:tcPr>
            <w:tcW w:w="0" w:type="auto"/>
            <w:noWrap/>
            <w:hideMark/>
          </w:tcPr>
          <w:p w14:paraId="628FDB98" w14:textId="7C23C6E9" w:rsidR="006D61EA" w:rsidRPr="007532BD" w:rsidRDefault="000B4C6B" w:rsidP="009A6B9D">
            <w:pPr>
              <w:pStyle w:val="ExhibitText"/>
              <w:jc w:val="left"/>
            </w:pPr>
            <w:r w:rsidRPr="007532BD">
              <w:t xml:space="preserve"> </w:t>
            </w:r>
          </w:p>
        </w:tc>
        <w:tc>
          <w:tcPr>
            <w:tcW w:w="0" w:type="auto"/>
            <w:noWrap/>
            <w:hideMark/>
          </w:tcPr>
          <w:p w14:paraId="43E83A19" w14:textId="0392D64E" w:rsidR="006D61EA" w:rsidRPr="007532BD" w:rsidRDefault="000B4C6B" w:rsidP="002F3C17">
            <w:pPr>
              <w:pStyle w:val="ExhibitText"/>
              <w:jc w:val="right"/>
            </w:pPr>
            <w:r w:rsidRPr="007532BD">
              <w:t xml:space="preserve"> </w:t>
            </w:r>
          </w:p>
        </w:tc>
        <w:tc>
          <w:tcPr>
            <w:tcW w:w="0" w:type="auto"/>
            <w:noWrap/>
            <w:hideMark/>
          </w:tcPr>
          <w:p w14:paraId="3F09AFCB" w14:textId="333412FA" w:rsidR="006D61EA" w:rsidRPr="007532BD" w:rsidRDefault="000B4C6B" w:rsidP="002F3C17">
            <w:pPr>
              <w:pStyle w:val="ExhibitText"/>
              <w:jc w:val="right"/>
            </w:pPr>
            <w:r w:rsidRPr="007532BD">
              <w:t xml:space="preserve"> </w:t>
            </w:r>
          </w:p>
        </w:tc>
        <w:tc>
          <w:tcPr>
            <w:tcW w:w="0" w:type="auto"/>
            <w:noWrap/>
            <w:hideMark/>
          </w:tcPr>
          <w:p w14:paraId="71A9C8FF" w14:textId="6FC8D3D7" w:rsidR="006D61EA" w:rsidRPr="007532BD" w:rsidRDefault="000B4C6B" w:rsidP="002F3C17">
            <w:pPr>
              <w:pStyle w:val="ExhibitText"/>
              <w:jc w:val="right"/>
            </w:pPr>
            <w:r w:rsidRPr="007532BD">
              <w:t xml:space="preserve"> </w:t>
            </w:r>
          </w:p>
        </w:tc>
      </w:tr>
      <w:tr w:rsidR="00894F0C" w:rsidRPr="007532BD" w14:paraId="5FB69D81" w14:textId="77777777" w:rsidTr="00041A76">
        <w:trPr>
          <w:cnfStyle w:val="000000010000" w:firstRow="0" w:lastRow="0" w:firstColumn="0" w:lastColumn="0" w:oddVBand="0" w:evenVBand="0" w:oddHBand="0" w:evenHBand="1" w:firstRowFirstColumn="0" w:firstRowLastColumn="0" w:lastRowFirstColumn="0" w:lastRowLastColumn="0"/>
          <w:trHeight w:val="288"/>
        </w:trPr>
        <w:tc>
          <w:tcPr>
            <w:tcW w:w="0" w:type="auto"/>
            <w:tcBorders>
              <w:top w:val="single" w:sz="4" w:space="0" w:color="auto"/>
            </w:tcBorders>
            <w:shd w:val="clear" w:color="auto" w:fill="auto"/>
            <w:noWrap/>
            <w:hideMark/>
          </w:tcPr>
          <w:p w14:paraId="65CA4F8A" w14:textId="57FA4D14" w:rsidR="006D61EA" w:rsidRPr="007532BD" w:rsidRDefault="006D61EA" w:rsidP="009A6B9D">
            <w:pPr>
              <w:pStyle w:val="ExhibitText"/>
              <w:jc w:val="left"/>
            </w:pPr>
            <w:r w:rsidRPr="007532BD">
              <w:t>Gross Margin</w:t>
            </w:r>
            <w:r w:rsidR="00B62286" w:rsidRPr="007532BD">
              <w:t xml:space="preserve"> %</w:t>
            </w:r>
          </w:p>
        </w:tc>
        <w:tc>
          <w:tcPr>
            <w:tcW w:w="0" w:type="auto"/>
            <w:tcBorders>
              <w:top w:val="single" w:sz="4" w:space="0" w:color="auto"/>
            </w:tcBorders>
            <w:shd w:val="clear" w:color="auto" w:fill="auto"/>
            <w:noWrap/>
            <w:hideMark/>
          </w:tcPr>
          <w:p w14:paraId="1D5A3C19" w14:textId="07F773EC" w:rsidR="006D61EA" w:rsidRPr="007532BD" w:rsidRDefault="006D61EA" w:rsidP="002F3C17">
            <w:pPr>
              <w:pStyle w:val="ExhibitText"/>
              <w:jc w:val="right"/>
            </w:pPr>
            <w:r w:rsidRPr="007532BD">
              <w:t>67.3</w:t>
            </w:r>
          </w:p>
        </w:tc>
        <w:tc>
          <w:tcPr>
            <w:tcW w:w="0" w:type="auto"/>
            <w:tcBorders>
              <w:top w:val="single" w:sz="4" w:space="0" w:color="auto"/>
            </w:tcBorders>
            <w:shd w:val="clear" w:color="auto" w:fill="auto"/>
            <w:noWrap/>
            <w:hideMark/>
          </w:tcPr>
          <w:p w14:paraId="29C05231" w14:textId="3B26C7CD" w:rsidR="006D61EA" w:rsidRPr="007532BD" w:rsidRDefault="006D61EA" w:rsidP="002F3C17">
            <w:pPr>
              <w:pStyle w:val="ExhibitText"/>
              <w:jc w:val="right"/>
            </w:pPr>
            <w:r w:rsidRPr="007532BD">
              <w:t>71.8</w:t>
            </w:r>
          </w:p>
        </w:tc>
        <w:tc>
          <w:tcPr>
            <w:tcW w:w="0" w:type="auto"/>
            <w:tcBorders>
              <w:top w:val="single" w:sz="4" w:space="0" w:color="auto"/>
            </w:tcBorders>
            <w:shd w:val="clear" w:color="auto" w:fill="auto"/>
            <w:noWrap/>
            <w:hideMark/>
          </w:tcPr>
          <w:p w14:paraId="521DE3BD" w14:textId="59CBDD9C" w:rsidR="006D61EA" w:rsidRPr="007532BD" w:rsidRDefault="006D61EA" w:rsidP="002F3C17">
            <w:pPr>
              <w:pStyle w:val="ExhibitText"/>
              <w:jc w:val="right"/>
            </w:pPr>
            <w:r w:rsidRPr="007532BD">
              <w:t>74.5</w:t>
            </w:r>
          </w:p>
        </w:tc>
      </w:tr>
      <w:tr w:rsidR="00894F0C" w:rsidRPr="007532BD" w14:paraId="08D4D3E2" w14:textId="77777777" w:rsidTr="007A326E">
        <w:trPr>
          <w:trHeight w:val="288"/>
        </w:trPr>
        <w:tc>
          <w:tcPr>
            <w:tcW w:w="0" w:type="auto"/>
            <w:noWrap/>
            <w:hideMark/>
          </w:tcPr>
          <w:p w14:paraId="7BC54184" w14:textId="386BE0F1" w:rsidR="006D61EA" w:rsidRPr="007532BD" w:rsidRDefault="006D61EA" w:rsidP="009A6B9D">
            <w:pPr>
              <w:pStyle w:val="ExhibitText"/>
              <w:jc w:val="left"/>
            </w:pPr>
            <w:r w:rsidRPr="007532BD">
              <w:t>Operating Margin</w:t>
            </w:r>
            <w:r w:rsidR="00B62286" w:rsidRPr="007532BD">
              <w:t xml:space="preserve"> %</w:t>
            </w:r>
          </w:p>
        </w:tc>
        <w:tc>
          <w:tcPr>
            <w:tcW w:w="0" w:type="auto"/>
            <w:noWrap/>
            <w:hideMark/>
          </w:tcPr>
          <w:p w14:paraId="596F551F" w14:textId="7D019737" w:rsidR="006D61EA" w:rsidRPr="007532BD" w:rsidRDefault="006D61EA" w:rsidP="002F3C17">
            <w:pPr>
              <w:pStyle w:val="ExhibitText"/>
              <w:jc w:val="right"/>
            </w:pPr>
            <w:r w:rsidRPr="007532BD">
              <w:t>25.7</w:t>
            </w:r>
          </w:p>
        </w:tc>
        <w:tc>
          <w:tcPr>
            <w:tcW w:w="0" w:type="auto"/>
            <w:noWrap/>
            <w:hideMark/>
          </w:tcPr>
          <w:p w14:paraId="1F215CF5" w14:textId="41130840" w:rsidR="006D61EA" w:rsidRPr="007532BD" w:rsidRDefault="006D61EA" w:rsidP="002F3C17">
            <w:pPr>
              <w:pStyle w:val="ExhibitText"/>
              <w:jc w:val="right"/>
            </w:pPr>
            <w:r w:rsidRPr="007532BD">
              <w:t>41.8</w:t>
            </w:r>
          </w:p>
        </w:tc>
        <w:tc>
          <w:tcPr>
            <w:tcW w:w="0" w:type="auto"/>
            <w:noWrap/>
            <w:hideMark/>
          </w:tcPr>
          <w:p w14:paraId="5DF7DC8C" w14:textId="12304F0D" w:rsidR="006D61EA" w:rsidRPr="007532BD" w:rsidRDefault="006D61EA" w:rsidP="002F3C17">
            <w:pPr>
              <w:pStyle w:val="ExhibitText"/>
              <w:jc w:val="right"/>
            </w:pPr>
            <w:r w:rsidRPr="007532BD">
              <w:t>47.6</w:t>
            </w:r>
          </w:p>
        </w:tc>
      </w:tr>
      <w:tr w:rsidR="00894F0C" w:rsidRPr="007532BD" w14:paraId="1AC2B6C5" w14:textId="77777777" w:rsidTr="00041A76">
        <w:trPr>
          <w:cnfStyle w:val="000000010000" w:firstRow="0" w:lastRow="0" w:firstColumn="0" w:lastColumn="0" w:oddVBand="0" w:evenVBand="0" w:oddHBand="0" w:evenHBand="1" w:firstRowFirstColumn="0" w:firstRowLastColumn="0" w:lastRowFirstColumn="0" w:lastRowLastColumn="0"/>
          <w:trHeight w:val="288"/>
        </w:trPr>
        <w:tc>
          <w:tcPr>
            <w:tcW w:w="0" w:type="auto"/>
            <w:tcBorders>
              <w:bottom w:val="single" w:sz="4" w:space="0" w:color="auto"/>
            </w:tcBorders>
            <w:shd w:val="clear" w:color="auto" w:fill="auto"/>
            <w:noWrap/>
            <w:hideMark/>
          </w:tcPr>
          <w:p w14:paraId="67D14397" w14:textId="1DA14DE0" w:rsidR="006D61EA" w:rsidRPr="007532BD" w:rsidRDefault="006D61EA" w:rsidP="009A6B9D">
            <w:pPr>
              <w:pStyle w:val="ExhibitText"/>
              <w:jc w:val="left"/>
            </w:pPr>
            <w:r w:rsidRPr="007532BD">
              <w:t>Profit Margin</w:t>
            </w:r>
            <w:r w:rsidR="00B62286" w:rsidRPr="007532BD">
              <w:t xml:space="preserve"> %</w:t>
            </w:r>
          </w:p>
        </w:tc>
        <w:tc>
          <w:tcPr>
            <w:tcW w:w="0" w:type="auto"/>
            <w:tcBorders>
              <w:bottom w:val="single" w:sz="4" w:space="0" w:color="auto"/>
            </w:tcBorders>
            <w:shd w:val="clear" w:color="auto" w:fill="auto"/>
            <w:noWrap/>
            <w:hideMark/>
          </w:tcPr>
          <w:p w14:paraId="621AE46D" w14:textId="62556A5B" w:rsidR="006D61EA" w:rsidRPr="007532BD" w:rsidRDefault="006D61EA" w:rsidP="002F3C17">
            <w:pPr>
              <w:pStyle w:val="ExhibitText"/>
              <w:jc w:val="right"/>
            </w:pPr>
            <w:r w:rsidRPr="007532BD">
              <w:t>21.1</w:t>
            </w:r>
          </w:p>
        </w:tc>
        <w:tc>
          <w:tcPr>
            <w:tcW w:w="0" w:type="auto"/>
            <w:tcBorders>
              <w:bottom w:val="single" w:sz="4" w:space="0" w:color="auto"/>
            </w:tcBorders>
            <w:shd w:val="clear" w:color="auto" w:fill="auto"/>
            <w:noWrap/>
            <w:hideMark/>
          </w:tcPr>
          <w:p w14:paraId="3CBA0B01" w14:textId="01DE0D96" w:rsidR="006D61EA" w:rsidRPr="007532BD" w:rsidRDefault="006D61EA" w:rsidP="002F3C17">
            <w:pPr>
              <w:pStyle w:val="ExhibitText"/>
              <w:jc w:val="right"/>
            </w:pPr>
            <w:r w:rsidRPr="007532BD">
              <w:t>24.7</w:t>
            </w:r>
          </w:p>
        </w:tc>
        <w:tc>
          <w:tcPr>
            <w:tcW w:w="0" w:type="auto"/>
            <w:tcBorders>
              <w:bottom w:val="single" w:sz="4" w:space="0" w:color="auto"/>
            </w:tcBorders>
            <w:shd w:val="clear" w:color="auto" w:fill="auto"/>
            <w:noWrap/>
            <w:hideMark/>
          </w:tcPr>
          <w:p w14:paraId="4845044C" w14:textId="3EBBF5E1" w:rsidR="006D61EA" w:rsidRPr="007532BD" w:rsidRDefault="006D61EA" w:rsidP="002F3C17">
            <w:pPr>
              <w:pStyle w:val="ExhibitText"/>
              <w:jc w:val="right"/>
            </w:pPr>
            <w:r w:rsidRPr="007532BD">
              <w:t>44.4</w:t>
            </w:r>
          </w:p>
        </w:tc>
      </w:tr>
      <w:tr w:rsidR="00894F0C" w:rsidRPr="007532BD" w14:paraId="01713ED5" w14:textId="4B32DF2B" w:rsidTr="007A326E">
        <w:trPr>
          <w:trHeight w:hRule="exact" w:val="144"/>
        </w:trPr>
        <w:tc>
          <w:tcPr>
            <w:tcW w:w="0" w:type="auto"/>
            <w:tcBorders>
              <w:top w:val="single" w:sz="4" w:space="0" w:color="auto"/>
            </w:tcBorders>
            <w:noWrap/>
            <w:hideMark/>
          </w:tcPr>
          <w:p w14:paraId="3AEA7145" w14:textId="0673C2D7" w:rsidR="006D61EA" w:rsidRPr="007532BD" w:rsidRDefault="000B4C6B" w:rsidP="009A6B9D">
            <w:pPr>
              <w:pStyle w:val="ExhibitText"/>
              <w:jc w:val="left"/>
            </w:pPr>
            <w:r w:rsidRPr="007532BD">
              <w:t xml:space="preserve"> </w:t>
            </w:r>
          </w:p>
        </w:tc>
        <w:tc>
          <w:tcPr>
            <w:tcW w:w="0" w:type="auto"/>
            <w:tcBorders>
              <w:top w:val="single" w:sz="4" w:space="0" w:color="auto"/>
            </w:tcBorders>
            <w:noWrap/>
            <w:hideMark/>
          </w:tcPr>
          <w:p w14:paraId="4F082567" w14:textId="22065C98" w:rsidR="006D61EA" w:rsidRPr="007532BD" w:rsidRDefault="000B4C6B" w:rsidP="002F3C17">
            <w:pPr>
              <w:pStyle w:val="ExhibitText"/>
              <w:jc w:val="right"/>
            </w:pPr>
            <w:r w:rsidRPr="007532BD">
              <w:t xml:space="preserve"> </w:t>
            </w:r>
          </w:p>
        </w:tc>
        <w:tc>
          <w:tcPr>
            <w:tcW w:w="0" w:type="auto"/>
            <w:tcBorders>
              <w:top w:val="single" w:sz="4" w:space="0" w:color="auto"/>
            </w:tcBorders>
            <w:noWrap/>
            <w:hideMark/>
          </w:tcPr>
          <w:p w14:paraId="068FC93F" w14:textId="691AE651" w:rsidR="006D61EA" w:rsidRPr="007532BD" w:rsidRDefault="000B4C6B" w:rsidP="002F3C17">
            <w:pPr>
              <w:pStyle w:val="ExhibitText"/>
              <w:jc w:val="right"/>
            </w:pPr>
            <w:r w:rsidRPr="007532BD">
              <w:t xml:space="preserve"> </w:t>
            </w:r>
          </w:p>
        </w:tc>
        <w:tc>
          <w:tcPr>
            <w:tcW w:w="0" w:type="auto"/>
            <w:tcBorders>
              <w:top w:val="single" w:sz="4" w:space="0" w:color="auto"/>
            </w:tcBorders>
            <w:noWrap/>
            <w:hideMark/>
          </w:tcPr>
          <w:p w14:paraId="55282DC8" w14:textId="4802ACFB" w:rsidR="006D61EA" w:rsidRPr="007532BD" w:rsidRDefault="000B4C6B" w:rsidP="002F3C17">
            <w:pPr>
              <w:pStyle w:val="ExhibitText"/>
              <w:jc w:val="right"/>
            </w:pPr>
            <w:r w:rsidRPr="007532BD">
              <w:t xml:space="preserve"> </w:t>
            </w:r>
          </w:p>
        </w:tc>
      </w:tr>
      <w:tr w:rsidR="00894F0C" w:rsidRPr="007532BD" w14:paraId="5A16087E" w14:textId="77777777" w:rsidTr="00041A76">
        <w:trPr>
          <w:cnfStyle w:val="000000010000" w:firstRow="0" w:lastRow="0" w:firstColumn="0" w:lastColumn="0" w:oddVBand="0" w:evenVBand="0" w:oddHBand="0" w:evenHBand="1" w:firstRowFirstColumn="0" w:firstRowLastColumn="0" w:lastRowFirstColumn="0" w:lastRowLastColumn="0"/>
          <w:trHeight w:val="288"/>
        </w:trPr>
        <w:tc>
          <w:tcPr>
            <w:tcW w:w="0" w:type="auto"/>
            <w:shd w:val="clear" w:color="auto" w:fill="auto"/>
            <w:noWrap/>
            <w:hideMark/>
          </w:tcPr>
          <w:p w14:paraId="70841771" w14:textId="5035596C" w:rsidR="006D61EA" w:rsidRPr="007532BD" w:rsidRDefault="006D61EA" w:rsidP="009A6B9D">
            <w:pPr>
              <w:pStyle w:val="ExhibitText"/>
              <w:jc w:val="left"/>
            </w:pPr>
            <w:r w:rsidRPr="007532BD">
              <w:t>Total Debt/Total Assets</w:t>
            </w:r>
            <w:r w:rsidR="00B62286" w:rsidRPr="007532BD">
              <w:t xml:space="preserve"> %</w:t>
            </w:r>
          </w:p>
        </w:tc>
        <w:tc>
          <w:tcPr>
            <w:tcW w:w="0" w:type="auto"/>
            <w:shd w:val="clear" w:color="auto" w:fill="auto"/>
            <w:noWrap/>
            <w:hideMark/>
          </w:tcPr>
          <w:p w14:paraId="16842E62" w14:textId="01695434" w:rsidR="006D61EA" w:rsidRPr="007532BD" w:rsidRDefault="006D61EA" w:rsidP="002F3C17">
            <w:pPr>
              <w:pStyle w:val="ExhibitText"/>
              <w:jc w:val="right"/>
            </w:pPr>
            <w:r w:rsidRPr="007532BD">
              <w:t>2.7</w:t>
            </w:r>
            <w:r w:rsidR="00DF65CA" w:rsidRPr="007532BD">
              <w:t>0</w:t>
            </w:r>
          </w:p>
        </w:tc>
        <w:tc>
          <w:tcPr>
            <w:tcW w:w="0" w:type="auto"/>
            <w:shd w:val="clear" w:color="auto" w:fill="auto"/>
            <w:noWrap/>
            <w:hideMark/>
          </w:tcPr>
          <w:p w14:paraId="67F42D02" w14:textId="7A51192F" w:rsidR="006D61EA" w:rsidRPr="007532BD" w:rsidRDefault="006D61EA" w:rsidP="002F3C17">
            <w:pPr>
              <w:pStyle w:val="ExhibitText"/>
              <w:jc w:val="right"/>
            </w:pPr>
            <w:r w:rsidRPr="007532BD">
              <w:t>51.9</w:t>
            </w:r>
            <w:r w:rsidR="00DF65CA" w:rsidRPr="007532BD">
              <w:t>0</w:t>
            </w:r>
          </w:p>
        </w:tc>
        <w:tc>
          <w:tcPr>
            <w:tcW w:w="0" w:type="auto"/>
            <w:shd w:val="clear" w:color="auto" w:fill="auto"/>
            <w:noWrap/>
            <w:hideMark/>
          </w:tcPr>
          <w:p w14:paraId="1D6F838A" w14:textId="0F2390E2" w:rsidR="006D61EA" w:rsidRPr="007532BD" w:rsidRDefault="006D61EA" w:rsidP="002F3C17">
            <w:pPr>
              <w:pStyle w:val="ExhibitText"/>
              <w:jc w:val="right"/>
            </w:pPr>
            <w:r w:rsidRPr="007532BD">
              <w:t>36.8</w:t>
            </w:r>
            <w:r w:rsidR="006D3B48" w:rsidRPr="007532BD">
              <w:t>0</w:t>
            </w:r>
          </w:p>
        </w:tc>
      </w:tr>
      <w:tr w:rsidR="00894F0C" w:rsidRPr="007532BD" w14:paraId="70FD1597" w14:textId="77777777" w:rsidTr="00DF65CA">
        <w:trPr>
          <w:trHeight w:val="288"/>
        </w:trPr>
        <w:tc>
          <w:tcPr>
            <w:tcW w:w="0" w:type="auto"/>
            <w:noWrap/>
            <w:hideMark/>
          </w:tcPr>
          <w:p w14:paraId="1A50AEEE" w14:textId="77777777" w:rsidR="006D61EA" w:rsidRPr="007532BD" w:rsidRDefault="006D61EA" w:rsidP="009A6B9D">
            <w:pPr>
              <w:pStyle w:val="ExhibitText"/>
              <w:jc w:val="left"/>
            </w:pPr>
            <w:r w:rsidRPr="007532BD">
              <w:t>Current Ratio</w:t>
            </w:r>
          </w:p>
        </w:tc>
        <w:tc>
          <w:tcPr>
            <w:tcW w:w="0" w:type="auto"/>
            <w:noWrap/>
            <w:hideMark/>
          </w:tcPr>
          <w:p w14:paraId="24539C2E" w14:textId="77777777" w:rsidR="006D61EA" w:rsidRPr="007532BD" w:rsidRDefault="006D61EA" w:rsidP="002F3C17">
            <w:pPr>
              <w:pStyle w:val="ExhibitText"/>
              <w:jc w:val="right"/>
            </w:pPr>
            <w:r w:rsidRPr="007532BD">
              <w:t>2.37</w:t>
            </w:r>
          </w:p>
        </w:tc>
        <w:tc>
          <w:tcPr>
            <w:tcW w:w="0" w:type="auto"/>
            <w:noWrap/>
            <w:hideMark/>
          </w:tcPr>
          <w:p w14:paraId="369B61A2" w14:textId="77777777" w:rsidR="006D61EA" w:rsidRPr="007532BD" w:rsidRDefault="006D61EA" w:rsidP="002F3C17">
            <w:pPr>
              <w:pStyle w:val="ExhibitText"/>
              <w:jc w:val="right"/>
            </w:pPr>
            <w:r w:rsidRPr="007532BD">
              <w:t>1.80</w:t>
            </w:r>
          </w:p>
        </w:tc>
        <w:tc>
          <w:tcPr>
            <w:tcW w:w="0" w:type="auto"/>
            <w:noWrap/>
            <w:hideMark/>
          </w:tcPr>
          <w:p w14:paraId="01FD644A" w14:textId="77777777" w:rsidR="006D61EA" w:rsidRPr="007532BD" w:rsidRDefault="006D61EA" w:rsidP="002F3C17">
            <w:pPr>
              <w:pStyle w:val="ExhibitText"/>
              <w:jc w:val="right"/>
            </w:pPr>
            <w:r w:rsidRPr="007532BD">
              <w:t>1.81</w:t>
            </w:r>
          </w:p>
        </w:tc>
      </w:tr>
      <w:tr w:rsidR="00894F0C" w:rsidRPr="007532BD" w14:paraId="3651FA1D" w14:textId="77777777" w:rsidTr="00041A76">
        <w:trPr>
          <w:cnfStyle w:val="000000010000" w:firstRow="0" w:lastRow="0" w:firstColumn="0" w:lastColumn="0" w:oddVBand="0" w:evenVBand="0" w:oddHBand="0" w:evenHBand="1" w:firstRowFirstColumn="0" w:firstRowLastColumn="0" w:lastRowFirstColumn="0" w:lastRowLastColumn="0"/>
          <w:trHeight w:val="288"/>
        </w:trPr>
        <w:tc>
          <w:tcPr>
            <w:tcW w:w="0" w:type="auto"/>
            <w:shd w:val="clear" w:color="auto" w:fill="auto"/>
            <w:noWrap/>
            <w:hideMark/>
          </w:tcPr>
          <w:p w14:paraId="3832303A" w14:textId="77777777" w:rsidR="006D61EA" w:rsidRPr="007532BD" w:rsidRDefault="006D61EA" w:rsidP="009A6B9D">
            <w:pPr>
              <w:pStyle w:val="ExhibitText"/>
              <w:jc w:val="left"/>
            </w:pPr>
            <w:r w:rsidRPr="007532BD">
              <w:t>Quick Ratio</w:t>
            </w:r>
          </w:p>
        </w:tc>
        <w:tc>
          <w:tcPr>
            <w:tcW w:w="0" w:type="auto"/>
            <w:shd w:val="clear" w:color="auto" w:fill="auto"/>
            <w:noWrap/>
            <w:hideMark/>
          </w:tcPr>
          <w:p w14:paraId="787100E7" w14:textId="41DBCAB8" w:rsidR="006D61EA" w:rsidRPr="007532BD" w:rsidRDefault="006D61EA" w:rsidP="002F3C17">
            <w:pPr>
              <w:pStyle w:val="ExhibitText"/>
              <w:jc w:val="right"/>
            </w:pPr>
            <w:r w:rsidRPr="007532BD">
              <w:t>1.9</w:t>
            </w:r>
            <w:r w:rsidR="00DF65CA" w:rsidRPr="007532BD">
              <w:t>0</w:t>
            </w:r>
          </w:p>
        </w:tc>
        <w:tc>
          <w:tcPr>
            <w:tcW w:w="0" w:type="auto"/>
            <w:shd w:val="clear" w:color="auto" w:fill="auto"/>
            <w:noWrap/>
            <w:hideMark/>
          </w:tcPr>
          <w:p w14:paraId="223C83F9" w14:textId="77777777" w:rsidR="006D61EA" w:rsidRPr="007532BD" w:rsidRDefault="006D61EA" w:rsidP="002F3C17">
            <w:pPr>
              <w:pStyle w:val="ExhibitText"/>
              <w:jc w:val="right"/>
            </w:pPr>
            <w:r w:rsidRPr="007532BD">
              <w:t>1.39</w:t>
            </w:r>
          </w:p>
        </w:tc>
        <w:tc>
          <w:tcPr>
            <w:tcW w:w="0" w:type="auto"/>
            <w:shd w:val="clear" w:color="auto" w:fill="auto"/>
            <w:noWrap/>
            <w:hideMark/>
          </w:tcPr>
          <w:p w14:paraId="069FAA39" w14:textId="77777777" w:rsidR="006D61EA" w:rsidRPr="007532BD" w:rsidRDefault="006D61EA" w:rsidP="002F3C17">
            <w:pPr>
              <w:pStyle w:val="ExhibitText"/>
              <w:jc w:val="right"/>
            </w:pPr>
            <w:r w:rsidRPr="007532BD">
              <w:t>1.21</w:t>
            </w:r>
          </w:p>
        </w:tc>
      </w:tr>
      <w:tr w:rsidR="00894F0C" w:rsidRPr="007532BD" w14:paraId="0971F165" w14:textId="77777777" w:rsidTr="00DF65CA">
        <w:trPr>
          <w:trHeight w:val="288"/>
        </w:trPr>
        <w:tc>
          <w:tcPr>
            <w:tcW w:w="0" w:type="auto"/>
            <w:noWrap/>
            <w:hideMark/>
          </w:tcPr>
          <w:p w14:paraId="01F5073A" w14:textId="29B47647" w:rsidR="006D61EA" w:rsidRPr="007532BD" w:rsidRDefault="006D61EA" w:rsidP="009A6B9D">
            <w:pPr>
              <w:pStyle w:val="ExhibitText"/>
              <w:jc w:val="left"/>
            </w:pPr>
            <w:r w:rsidRPr="007532BD">
              <w:t>Asset Turnover</w:t>
            </w:r>
            <w:r w:rsidR="00B62286" w:rsidRPr="007532BD">
              <w:t xml:space="preserve"> %</w:t>
            </w:r>
          </w:p>
        </w:tc>
        <w:tc>
          <w:tcPr>
            <w:tcW w:w="0" w:type="auto"/>
            <w:noWrap/>
            <w:hideMark/>
          </w:tcPr>
          <w:p w14:paraId="3022E3A2" w14:textId="1F2F57A7" w:rsidR="006D61EA" w:rsidRPr="007532BD" w:rsidRDefault="006D61EA" w:rsidP="002F3C17">
            <w:pPr>
              <w:pStyle w:val="ExhibitText"/>
              <w:jc w:val="right"/>
            </w:pPr>
            <w:r w:rsidRPr="007532BD">
              <w:t>12.1</w:t>
            </w:r>
            <w:r w:rsidR="00DF65CA" w:rsidRPr="007532BD">
              <w:t>0</w:t>
            </w:r>
          </w:p>
        </w:tc>
        <w:tc>
          <w:tcPr>
            <w:tcW w:w="0" w:type="auto"/>
            <w:noWrap/>
            <w:hideMark/>
          </w:tcPr>
          <w:p w14:paraId="45839419" w14:textId="2AFD4F0C" w:rsidR="006D61EA" w:rsidRPr="007532BD" w:rsidRDefault="006D61EA" w:rsidP="002F3C17">
            <w:pPr>
              <w:pStyle w:val="ExhibitText"/>
              <w:jc w:val="right"/>
            </w:pPr>
            <w:r w:rsidRPr="007532BD">
              <w:t>37.5</w:t>
            </w:r>
            <w:r w:rsidR="006D3B48" w:rsidRPr="007532BD">
              <w:t>0</w:t>
            </w:r>
          </w:p>
        </w:tc>
        <w:tc>
          <w:tcPr>
            <w:tcW w:w="0" w:type="auto"/>
            <w:noWrap/>
            <w:hideMark/>
          </w:tcPr>
          <w:p w14:paraId="63D5502E" w14:textId="1D9701B7" w:rsidR="006D61EA" w:rsidRPr="007532BD" w:rsidRDefault="006D61EA" w:rsidP="002F3C17">
            <w:pPr>
              <w:pStyle w:val="ExhibitText"/>
              <w:jc w:val="right"/>
            </w:pPr>
            <w:r w:rsidRPr="007532BD">
              <w:t>91.4</w:t>
            </w:r>
            <w:r w:rsidR="006D3B48" w:rsidRPr="007532BD">
              <w:t>0</w:t>
            </w:r>
          </w:p>
        </w:tc>
      </w:tr>
      <w:tr w:rsidR="00894F0C" w:rsidRPr="007532BD" w14:paraId="3E8CF4B0" w14:textId="77777777" w:rsidTr="00041A76">
        <w:trPr>
          <w:cnfStyle w:val="000000010000" w:firstRow="0" w:lastRow="0" w:firstColumn="0" w:lastColumn="0" w:oddVBand="0" w:evenVBand="0" w:oddHBand="0" w:evenHBand="1" w:firstRowFirstColumn="0" w:firstRowLastColumn="0" w:lastRowFirstColumn="0" w:lastRowLastColumn="0"/>
          <w:trHeight w:val="70"/>
        </w:trPr>
        <w:tc>
          <w:tcPr>
            <w:tcW w:w="0" w:type="auto"/>
            <w:shd w:val="clear" w:color="auto" w:fill="auto"/>
            <w:noWrap/>
            <w:hideMark/>
          </w:tcPr>
          <w:p w14:paraId="73466CC1" w14:textId="0B2A46CE" w:rsidR="006D61EA" w:rsidRPr="007532BD" w:rsidRDefault="006D61EA" w:rsidP="009A6B9D">
            <w:pPr>
              <w:pStyle w:val="ExhibitText"/>
              <w:jc w:val="left"/>
            </w:pPr>
            <w:r w:rsidRPr="007532BD">
              <w:t>Return on Equity</w:t>
            </w:r>
            <w:r w:rsidR="00B62286" w:rsidRPr="007532BD">
              <w:t xml:space="preserve"> %</w:t>
            </w:r>
          </w:p>
        </w:tc>
        <w:tc>
          <w:tcPr>
            <w:tcW w:w="0" w:type="auto"/>
            <w:shd w:val="clear" w:color="auto" w:fill="auto"/>
            <w:noWrap/>
            <w:hideMark/>
          </w:tcPr>
          <w:p w14:paraId="6FC729BD" w14:textId="40560BB6" w:rsidR="006D61EA" w:rsidRPr="007532BD" w:rsidRDefault="006D61EA" w:rsidP="002F3C17">
            <w:pPr>
              <w:pStyle w:val="ExhibitText"/>
              <w:jc w:val="right"/>
            </w:pPr>
            <w:r w:rsidRPr="007532BD">
              <w:t>8.8</w:t>
            </w:r>
            <w:r w:rsidR="00DF65CA" w:rsidRPr="007532BD">
              <w:t>0</w:t>
            </w:r>
          </w:p>
        </w:tc>
        <w:tc>
          <w:tcPr>
            <w:tcW w:w="0" w:type="auto"/>
            <w:shd w:val="clear" w:color="auto" w:fill="auto"/>
            <w:noWrap/>
            <w:hideMark/>
          </w:tcPr>
          <w:p w14:paraId="46991ACA" w14:textId="7AFA66F5" w:rsidR="006D61EA" w:rsidRPr="007532BD" w:rsidRDefault="006D61EA" w:rsidP="002F3C17">
            <w:pPr>
              <w:pStyle w:val="ExhibitText"/>
              <w:jc w:val="right"/>
            </w:pPr>
            <w:r w:rsidRPr="007532BD">
              <w:t>15.3</w:t>
            </w:r>
            <w:r w:rsidR="006D3B48" w:rsidRPr="007532BD">
              <w:t>0</w:t>
            </w:r>
          </w:p>
        </w:tc>
        <w:tc>
          <w:tcPr>
            <w:tcW w:w="0" w:type="auto"/>
            <w:shd w:val="clear" w:color="auto" w:fill="auto"/>
            <w:noWrap/>
            <w:hideMark/>
          </w:tcPr>
          <w:p w14:paraId="7AA59D35" w14:textId="15E52270" w:rsidR="006D61EA" w:rsidRPr="007532BD" w:rsidRDefault="006D61EA" w:rsidP="002F3C17">
            <w:pPr>
              <w:pStyle w:val="ExhibitText"/>
              <w:jc w:val="right"/>
            </w:pPr>
            <w:r w:rsidRPr="007532BD">
              <w:t>27.0</w:t>
            </w:r>
            <w:r w:rsidR="006D3B48" w:rsidRPr="007532BD">
              <w:t>0</w:t>
            </w:r>
          </w:p>
        </w:tc>
      </w:tr>
      <w:tr w:rsidR="00894F0C" w:rsidRPr="007532BD" w14:paraId="04D36558" w14:textId="77777777" w:rsidTr="00DF65CA">
        <w:trPr>
          <w:trHeight w:val="288"/>
        </w:trPr>
        <w:tc>
          <w:tcPr>
            <w:tcW w:w="0" w:type="auto"/>
            <w:noWrap/>
            <w:hideMark/>
          </w:tcPr>
          <w:p w14:paraId="4093D649" w14:textId="2F3E7D79" w:rsidR="00B62286" w:rsidRPr="007532BD" w:rsidRDefault="006D61EA" w:rsidP="009A6B9D">
            <w:pPr>
              <w:pStyle w:val="ExhibitText"/>
              <w:jc w:val="left"/>
            </w:pPr>
            <w:r w:rsidRPr="007532BD">
              <w:t>Return on Assets</w:t>
            </w:r>
            <w:r w:rsidR="00B62286" w:rsidRPr="007532BD">
              <w:t xml:space="preserve"> %</w:t>
            </w:r>
          </w:p>
        </w:tc>
        <w:tc>
          <w:tcPr>
            <w:tcW w:w="0" w:type="auto"/>
            <w:noWrap/>
            <w:hideMark/>
          </w:tcPr>
          <w:p w14:paraId="029079E7" w14:textId="0F539CF8" w:rsidR="006D61EA" w:rsidRPr="007532BD" w:rsidRDefault="006D61EA" w:rsidP="002F3C17">
            <w:pPr>
              <w:pStyle w:val="ExhibitText"/>
              <w:jc w:val="right"/>
            </w:pPr>
            <w:r w:rsidRPr="007532BD">
              <w:t>41.8</w:t>
            </w:r>
            <w:r w:rsidR="00DF65CA" w:rsidRPr="007532BD">
              <w:t>0</w:t>
            </w:r>
          </w:p>
        </w:tc>
        <w:tc>
          <w:tcPr>
            <w:tcW w:w="0" w:type="auto"/>
            <w:noWrap/>
            <w:hideMark/>
          </w:tcPr>
          <w:p w14:paraId="7BA13C0D" w14:textId="39C28947" w:rsidR="006D61EA" w:rsidRPr="007532BD" w:rsidRDefault="006D61EA" w:rsidP="002F3C17">
            <w:pPr>
              <w:pStyle w:val="ExhibitText"/>
              <w:jc w:val="right"/>
            </w:pPr>
            <w:r w:rsidRPr="007532BD">
              <w:t>61.8</w:t>
            </w:r>
            <w:r w:rsidR="00DF65CA" w:rsidRPr="007532BD">
              <w:t>0</w:t>
            </w:r>
          </w:p>
        </w:tc>
        <w:tc>
          <w:tcPr>
            <w:tcW w:w="0" w:type="auto"/>
            <w:noWrap/>
            <w:hideMark/>
          </w:tcPr>
          <w:p w14:paraId="7389B436" w14:textId="7F27F231" w:rsidR="006D61EA" w:rsidRPr="007532BD" w:rsidRDefault="006D61EA" w:rsidP="002F3C17">
            <w:pPr>
              <w:pStyle w:val="ExhibitText"/>
              <w:jc w:val="right"/>
            </w:pPr>
            <w:r w:rsidRPr="007532BD">
              <w:t>60.9</w:t>
            </w:r>
            <w:r w:rsidR="006D3B48" w:rsidRPr="007532BD">
              <w:t>0</w:t>
            </w:r>
          </w:p>
        </w:tc>
      </w:tr>
    </w:tbl>
    <w:p w14:paraId="3CE39FD6" w14:textId="77777777" w:rsidR="006D61EA" w:rsidRPr="00B0282E" w:rsidRDefault="006D61EA" w:rsidP="00761CC3">
      <w:pPr>
        <w:pStyle w:val="Footnote"/>
      </w:pPr>
    </w:p>
    <w:p w14:paraId="3A389CAD" w14:textId="6BF47855" w:rsidR="007532BD" w:rsidRDefault="00761CC3" w:rsidP="00761CC3">
      <w:pPr>
        <w:pStyle w:val="Footnote"/>
      </w:pPr>
      <w:r>
        <w:t>Note: C</w:t>
      </w:r>
      <w:r w:rsidRPr="00F64A32">
        <w:t>urrency in $ millions, except where noted</w:t>
      </w:r>
      <w:r>
        <w:t>.</w:t>
      </w:r>
    </w:p>
    <w:p w14:paraId="4159BB64" w14:textId="16D40AEF" w:rsidR="007532BD" w:rsidRDefault="007532BD" w:rsidP="002F3C17">
      <w:pPr>
        <w:pStyle w:val="Footnote"/>
      </w:pPr>
      <w:r w:rsidRPr="00E22D9C">
        <w:t xml:space="preserve">Source: </w:t>
      </w:r>
      <w:r w:rsidRPr="000C222E">
        <w:t>Bloomberg L.P., “</w:t>
      </w:r>
      <w:r>
        <w:t xml:space="preserve">Alibaba’s Financial Results and Ratios </w:t>
      </w:r>
      <w:r w:rsidRPr="000C222E">
        <w:t>20</w:t>
      </w:r>
      <w:r>
        <w:t>12</w:t>
      </w:r>
      <w:r w:rsidRPr="000C222E">
        <w:t>–201</w:t>
      </w:r>
      <w:r>
        <w:t>4</w:t>
      </w:r>
      <w:r w:rsidRPr="000C222E">
        <w:t xml:space="preserve">,” Bloomberg Database, accessed </w:t>
      </w:r>
      <w:r>
        <w:t>December 23, 2014.</w:t>
      </w:r>
    </w:p>
    <w:p w14:paraId="0377976F" w14:textId="64B8216C" w:rsidR="006D61EA" w:rsidRPr="00B0282E" w:rsidRDefault="006D61EA" w:rsidP="002F3C17">
      <w:pPr>
        <w:pStyle w:val="Footnote"/>
        <w:sectPr w:rsidR="006D61EA" w:rsidRPr="00B0282E" w:rsidSect="006D61EA">
          <w:headerReference w:type="first" r:id="rId13"/>
          <w:pgSz w:w="12240" w:h="15840" w:code="1"/>
          <w:pgMar w:top="1440" w:right="1440" w:bottom="1440" w:left="1440" w:header="1080" w:footer="720" w:gutter="0"/>
          <w:cols w:space="708"/>
          <w:titlePg/>
          <w:docGrid w:linePitch="360"/>
        </w:sectPr>
      </w:pPr>
      <w:r w:rsidRPr="00B0282E">
        <w:br w:type="page"/>
      </w:r>
    </w:p>
    <w:p w14:paraId="1DF923C4" w14:textId="29B3072E" w:rsidR="006D61EA" w:rsidRPr="00B0282E" w:rsidRDefault="006D61EA" w:rsidP="002F3C17">
      <w:pPr>
        <w:pStyle w:val="ExhibitHeading"/>
        <w:outlineLvl w:val="0"/>
      </w:pPr>
      <w:r w:rsidRPr="00B0282E">
        <w:lastRenderedPageBreak/>
        <w:t>EXHIBIT 2: ALIBABA’S INCOME STATEMENT</w:t>
      </w:r>
    </w:p>
    <w:p w14:paraId="79DDD0A5" w14:textId="77777777" w:rsidR="006D61EA" w:rsidRPr="00B0282E" w:rsidRDefault="006D61EA" w:rsidP="002F3C17">
      <w:pPr>
        <w:pStyle w:val="ExhibitHeading"/>
      </w:pPr>
    </w:p>
    <w:tbl>
      <w:tblPr>
        <w:tblStyle w:val="IveyTable"/>
        <w:tblW w:w="5000" w:type="pct"/>
        <w:tblLayout w:type="fixed"/>
        <w:tblLook w:val="04A0" w:firstRow="1" w:lastRow="0" w:firstColumn="1" w:lastColumn="0" w:noHBand="0" w:noVBand="1"/>
      </w:tblPr>
      <w:tblGrid>
        <w:gridCol w:w="3785"/>
        <w:gridCol w:w="1146"/>
        <w:gridCol w:w="1148"/>
        <w:gridCol w:w="1148"/>
        <w:gridCol w:w="1146"/>
        <w:gridCol w:w="1148"/>
        <w:gridCol w:w="1148"/>
        <w:gridCol w:w="1148"/>
        <w:gridCol w:w="1143"/>
      </w:tblGrid>
      <w:tr w:rsidR="00C5549D" w:rsidRPr="007532BD" w14:paraId="073CBDE5" w14:textId="77777777" w:rsidTr="00041A76">
        <w:trPr>
          <w:cnfStyle w:val="100000000000" w:firstRow="1" w:lastRow="0" w:firstColumn="0" w:lastColumn="0" w:oddVBand="0" w:evenVBand="0" w:oddHBand="0" w:evenHBand="0" w:firstRowFirstColumn="0" w:firstRowLastColumn="0" w:lastRowFirstColumn="0" w:lastRowLastColumn="0"/>
          <w:trHeight w:val="331"/>
          <w:tblHeader/>
        </w:trPr>
        <w:tc>
          <w:tcPr>
            <w:tcW w:w="1460" w:type="pct"/>
            <w:shd w:val="clear" w:color="auto" w:fill="auto"/>
          </w:tcPr>
          <w:p w14:paraId="793F6BAC" w14:textId="77777777" w:rsidR="00C5549D" w:rsidRPr="007532BD" w:rsidRDefault="00C5549D" w:rsidP="009A6B9D">
            <w:pPr>
              <w:pStyle w:val="ExhibitText"/>
              <w:jc w:val="left"/>
            </w:pPr>
          </w:p>
        </w:tc>
        <w:tc>
          <w:tcPr>
            <w:tcW w:w="2213" w:type="pct"/>
            <w:gridSpan w:val="5"/>
            <w:tcBorders>
              <w:right w:val="double" w:sz="4" w:space="0" w:color="auto"/>
            </w:tcBorders>
            <w:shd w:val="clear" w:color="auto" w:fill="auto"/>
          </w:tcPr>
          <w:p w14:paraId="30E5F08F" w14:textId="536E4B3C" w:rsidR="00C5549D" w:rsidRPr="007532BD" w:rsidRDefault="00C5549D" w:rsidP="002F3C17">
            <w:pPr>
              <w:pStyle w:val="ExhibitText"/>
            </w:pPr>
            <w:r w:rsidRPr="007532BD">
              <w:t>Year ended March 31</w:t>
            </w:r>
          </w:p>
        </w:tc>
        <w:tc>
          <w:tcPr>
            <w:tcW w:w="1327" w:type="pct"/>
            <w:gridSpan w:val="3"/>
            <w:tcBorders>
              <w:left w:val="double" w:sz="4" w:space="0" w:color="auto"/>
            </w:tcBorders>
            <w:shd w:val="clear" w:color="auto" w:fill="auto"/>
          </w:tcPr>
          <w:p w14:paraId="6652881D" w14:textId="5D2987C5" w:rsidR="00C5549D" w:rsidRPr="007532BD" w:rsidRDefault="00C5549D" w:rsidP="002F3C17">
            <w:pPr>
              <w:pStyle w:val="ExhibitText"/>
            </w:pPr>
            <w:r w:rsidRPr="007532BD">
              <w:t>Nine months ended December 31</w:t>
            </w:r>
          </w:p>
        </w:tc>
      </w:tr>
      <w:tr w:rsidR="003E6299" w:rsidRPr="007532BD" w14:paraId="72E22013" w14:textId="77777777" w:rsidTr="00041A76">
        <w:trPr>
          <w:cnfStyle w:val="100000000000" w:firstRow="1" w:lastRow="0" w:firstColumn="0" w:lastColumn="0" w:oddVBand="0" w:evenVBand="0" w:oddHBand="0" w:evenHBand="0" w:firstRowFirstColumn="0" w:firstRowLastColumn="0" w:lastRowFirstColumn="0" w:lastRowLastColumn="0"/>
          <w:trHeight w:val="331"/>
          <w:tblHeader/>
        </w:trPr>
        <w:tc>
          <w:tcPr>
            <w:tcW w:w="1460" w:type="pct"/>
            <w:shd w:val="clear" w:color="auto" w:fill="auto"/>
            <w:hideMark/>
          </w:tcPr>
          <w:p w14:paraId="0C767F70" w14:textId="77777777" w:rsidR="00C5549D" w:rsidRPr="007532BD" w:rsidRDefault="00C5549D" w:rsidP="009A6B9D">
            <w:pPr>
              <w:pStyle w:val="ExhibitText"/>
              <w:jc w:val="left"/>
            </w:pPr>
          </w:p>
        </w:tc>
        <w:tc>
          <w:tcPr>
            <w:tcW w:w="442" w:type="pct"/>
            <w:shd w:val="clear" w:color="auto" w:fill="auto"/>
          </w:tcPr>
          <w:p w14:paraId="5C11D383" w14:textId="77777777" w:rsidR="00C5549D" w:rsidRPr="007532BD" w:rsidRDefault="00C5549D" w:rsidP="0017026D">
            <w:pPr>
              <w:pStyle w:val="ExhibitText"/>
              <w:jc w:val="center"/>
            </w:pPr>
            <w:r w:rsidRPr="007532BD">
              <w:t>2010</w:t>
            </w:r>
          </w:p>
        </w:tc>
        <w:tc>
          <w:tcPr>
            <w:tcW w:w="443" w:type="pct"/>
            <w:shd w:val="clear" w:color="auto" w:fill="auto"/>
            <w:hideMark/>
          </w:tcPr>
          <w:p w14:paraId="2BD43AE3" w14:textId="77777777" w:rsidR="00C5549D" w:rsidRPr="007532BD" w:rsidRDefault="00C5549D" w:rsidP="0017026D">
            <w:pPr>
              <w:pStyle w:val="ExhibitText"/>
              <w:jc w:val="center"/>
            </w:pPr>
            <w:r w:rsidRPr="007532BD">
              <w:rPr>
                <w:bCs/>
              </w:rPr>
              <w:t>2011</w:t>
            </w:r>
          </w:p>
        </w:tc>
        <w:tc>
          <w:tcPr>
            <w:tcW w:w="443" w:type="pct"/>
            <w:tcBorders>
              <w:right w:val="single" w:sz="4" w:space="0" w:color="auto"/>
            </w:tcBorders>
            <w:shd w:val="clear" w:color="auto" w:fill="auto"/>
            <w:hideMark/>
          </w:tcPr>
          <w:p w14:paraId="4D7E3DE8" w14:textId="77777777" w:rsidR="00C5549D" w:rsidRPr="007532BD" w:rsidRDefault="00C5549D" w:rsidP="0017026D">
            <w:pPr>
              <w:pStyle w:val="ExhibitText"/>
              <w:jc w:val="center"/>
            </w:pPr>
            <w:r w:rsidRPr="007532BD">
              <w:rPr>
                <w:bCs/>
              </w:rPr>
              <w:t>2012</w:t>
            </w:r>
          </w:p>
        </w:tc>
        <w:tc>
          <w:tcPr>
            <w:tcW w:w="885" w:type="pct"/>
            <w:gridSpan w:val="2"/>
            <w:tcBorders>
              <w:left w:val="single" w:sz="4" w:space="0" w:color="auto"/>
              <w:right w:val="double" w:sz="4" w:space="0" w:color="auto"/>
            </w:tcBorders>
            <w:shd w:val="clear" w:color="auto" w:fill="auto"/>
            <w:hideMark/>
          </w:tcPr>
          <w:p w14:paraId="71A9FC03" w14:textId="40618B4C" w:rsidR="00C5549D" w:rsidRPr="007532BD" w:rsidRDefault="00C5549D" w:rsidP="0017026D">
            <w:pPr>
              <w:pStyle w:val="ExhibitText"/>
              <w:jc w:val="center"/>
            </w:pPr>
            <w:r w:rsidRPr="007532BD">
              <w:rPr>
                <w:bCs/>
              </w:rPr>
              <w:t>2013</w:t>
            </w:r>
          </w:p>
        </w:tc>
        <w:tc>
          <w:tcPr>
            <w:tcW w:w="443" w:type="pct"/>
            <w:tcBorders>
              <w:left w:val="double" w:sz="4" w:space="0" w:color="auto"/>
              <w:right w:val="single" w:sz="4" w:space="0" w:color="auto"/>
            </w:tcBorders>
            <w:shd w:val="clear" w:color="auto" w:fill="auto"/>
          </w:tcPr>
          <w:p w14:paraId="6C889237" w14:textId="77777777" w:rsidR="00C5549D" w:rsidRPr="007532BD" w:rsidRDefault="00C5549D" w:rsidP="0017026D">
            <w:pPr>
              <w:pStyle w:val="ExhibitText"/>
              <w:jc w:val="center"/>
              <w:rPr>
                <w:b w:val="0"/>
              </w:rPr>
            </w:pPr>
            <w:r w:rsidRPr="007532BD">
              <w:t>2012</w:t>
            </w:r>
          </w:p>
        </w:tc>
        <w:tc>
          <w:tcPr>
            <w:tcW w:w="884" w:type="pct"/>
            <w:gridSpan w:val="2"/>
            <w:tcBorders>
              <w:left w:val="single" w:sz="4" w:space="0" w:color="auto"/>
            </w:tcBorders>
            <w:shd w:val="clear" w:color="auto" w:fill="auto"/>
          </w:tcPr>
          <w:p w14:paraId="6965D1A7" w14:textId="5DC8056A" w:rsidR="00C5549D" w:rsidRPr="007532BD" w:rsidRDefault="00C5549D" w:rsidP="0017026D">
            <w:pPr>
              <w:pStyle w:val="ExhibitText"/>
              <w:jc w:val="center"/>
            </w:pPr>
            <w:r w:rsidRPr="007532BD">
              <w:t>2013</w:t>
            </w:r>
          </w:p>
        </w:tc>
      </w:tr>
      <w:tr w:rsidR="003E6299" w:rsidRPr="00945E1C" w14:paraId="172E6635" w14:textId="77777777" w:rsidTr="00041A76">
        <w:trPr>
          <w:cnfStyle w:val="100000000000" w:firstRow="1" w:lastRow="0" w:firstColumn="0" w:lastColumn="0" w:oddVBand="0" w:evenVBand="0" w:oddHBand="0" w:evenHBand="0" w:firstRowFirstColumn="0" w:firstRowLastColumn="0" w:lastRowFirstColumn="0" w:lastRowLastColumn="0"/>
          <w:trHeight w:val="331"/>
          <w:tblHeader/>
        </w:trPr>
        <w:tc>
          <w:tcPr>
            <w:tcW w:w="1460" w:type="pct"/>
            <w:shd w:val="clear" w:color="auto" w:fill="auto"/>
            <w:hideMark/>
          </w:tcPr>
          <w:p w14:paraId="67F57F06" w14:textId="655CF648" w:rsidR="00C5549D" w:rsidRPr="009A6B9D" w:rsidRDefault="00C5549D" w:rsidP="009A6B9D">
            <w:pPr>
              <w:pStyle w:val="ExhibitText"/>
              <w:jc w:val="left"/>
            </w:pPr>
            <w:r w:rsidRPr="009A6B9D">
              <w:t>(in millions, except per share data)</w:t>
            </w:r>
          </w:p>
        </w:tc>
        <w:tc>
          <w:tcPr>
            <w:tcW w:w="442" w:type="pct"/>
            <w:shd w:val="clear" w:color="auto" w:fill="auto"/>
          </w:tcPr>
          <w:p w14:paraId="1D4E979B" w14:textId="4370F5D5" w:rsidR="00C5549D" w:rsidRPr="00945E1C" w:rsidRDefault="00C5549D" w:rsidP="0017026D">
            <w:pPr>
              <w:pStyle w:val="ExhibitText"/>
              <w:jc w:val="center"/>
            </w:pPr>
            <w:r w:rsidRPr="00945E1C">
              <w:rPr>
                <w:bCs/>
              </w:rPr>
              <w:t>CNY</w:t>
            </w:r>
          </w:p>
        </w:tc>
        <w:tc>
          <w:tcPr>
            <w:tcW w:w="443" w:type="pct"/>
            <w:shd w:val="clear" w:color="auto" w:fill="auto"/>
            <w:hideMark/>
          </w:tcPr>
          <w:p w14:paraId="7FC8FF57" w14:textId="5F93D5E0" w:rsidR="00C5549D" w:rsidRPr="00945E1C" w:rsidRDefault="00C5549D" w:rsidP="0017026D">
            <w:pPr>
              <w:pStyle w:val="ExhibitText"/>
              <w:jc w:val="center"/>
            </w:pPr>
            <w:r w:rsidRPr="00CE24EF">
              <w:rPr>
                <w:bCs/>
              </w:rPr>
              <w:t>CNY</w:t>
            </w:r>
          </w:p>
        </w:tc>
        <w:tc>
          <w:tcPr>
            <w:tcW w:w="443" w:type="pct"/>
            <w:tcBorders>
              <w:right w:val="single" w:sz="4" w:space="0" w:color="auto"/>
            </w:tcBorders>
            <w:shd w:val="clear" w:color="auto" w:fill="auto"/>
            <w:hideMark/>
          </w:tcPr>
          <w:p w14:paraId="4AAE5716" w14:textId="4580E8FD" w:rsidR="00C5549D" w:rsidRPr="00945E1C" w:rsidRDefault="00C5549D" w:rsidP="0017026D">
            <w:pPr>
              <w:pStyle w:val="ExhibitText"/>
              <w:jc w:val="center"/>
            </w:pPr>
            <w:r w:rsidRPr="00945E1C">
              <w:rPr>
                <w:bCs/>
              </w:rPr>
              <w:t>CNY</w:t>
            </w:r>
          </w:p>
        </w:tc>
        <w:tc>
          <w:tcPr>
            <w:tcW w:w="442" w:type="pct"/>
            <w:tcBorders>
              <w:left w:val="single" w:sz="4" w:space="0" w:color="auto"/>
            </w:tcBorders>
            <w:shd w:val="clear" w:color="auto" w:fill="auto"/>
            <w:hideMark/>
          </w:tcPr>
          <w:p w14:paraId="1563B70C" w14:textId="7D76F9FD" w:rsidR="00C5549D" w:rsidRPr="00945E1C" w:rsidRDefault="00C5549D" w:rsidP="0017026D">
            <w:pPr>
              <w:pStyle w:val="ExhibitText"/>
              <w:jc w:val="center"/>
            </w:pPr>
            <w:r w:rsidRPr="00945E1C">
              <w:rPr>
                <w:bCs/>
              </w:rPr>
              <w:t>CNY</w:t>
            </w:r>
          </w:p>
        </w:tc>
        <w:tc>
          <w:tcPr>
            <w:tcW w:w="443" w:type="pct"/>
            <w:tcBorders>
              <w:right w:val="double" w:sz="4" w:space="0" w:color="auto"/>
            </w:tcBorders>
            <w:shd w:val="clear" w:color="auto" w:fill="auto"/>
            <w:hideMark/>
          </w:tcPr>
          <w:p w14:paraId="0C066F02" w14:textId="30346D17" w:rsidR="00C5549D" w:rsidRPr="00945E1C" w:rsidRDefault="00C5549D" w:rsidP="0017026D">
            <w:pPr>
              <w:pStyle w:val="ExhibitText"/>
              <w:jc w:val="center"/>
            </w:pPr>
            <w:r w:rsidRPr="00945E1C">
              <w:rPr>
                <w:bCs/>
              </w:rPr>
              <w:t>US$</w:t>
            </w:r>
          </w:p>
        </w:tc>
        <w:tc>
          <w:tcPr>
            <w:tcW w:w="443" w:type="pct"/>
            <w:tcBorders>
              <w:left w:val="double" w:sz="4" w:space="0" w:color="auto"/>
            </w:tcBorders>
            <w:shd w:val="clear" w:color="auto" w:fill="auto"/>
            <w:hideMark/>
          </w:tcPr>
          <w:p w14:paraId="5F495E00" w14:textId="29097E9D" w:rsidR="00C5549D" w:rsidRPr="00945E1C" w:rsidRDefault="00C5549D" w:rsidP="0017026D">
            <w:pPr>
              <w:pStyle w:val="ExhibitText"/>
              <w:jc w:val="center"/>
            </w:pPr>
            <w:r w:rsidRPr="00945E1C">
              <w:rPr>
                <w:bCs/>
              </w:rPr>
              <w:t>CNY</w:t>
            </w:r>
          </w:p>
        </w:tc>
        <w:tc>
          <w:tcPr>
            <w:tcW w:w="443" w:type="pct"/>
            <w:tcBorders>
              <w:left w:val="single" w:sz="4" w:space="0" w:color="auto"/>
            </w:tcBorders>
            <w:shd w:val="clear" w:color="auto" w:fill="auto"/>
            <w:hideMark/>
          </w:tcPr>
          <w:p w14:paraId="7630D434" w14:textId="683F02F6" w:rsidR="00C5549D" w:rsidRPr="00945E1C" w:rsidRDefault="00C5549D" w:rsidP="0017026D">
            <w:pPr>
              <w:pStyle w:val="ExhibitText"/>
              <w:jc w:val="center"/>
            </w:pPr>
            <w:r w:rsidRPr="00945E1C">
              <w:rPr>
                <w:bCs/>
              </w:rPr>
              <w:t>CNY</w:t>
            </w:r>
          </w:p>
        </w:tc>
        <w:tc>
          <w:tcPr>
            <w:tcW w:w="441" w:type="pct"/>
            <w:shd w:val="clear" w:color="auto" w:fill="auto"/>
            <w:hideMark/>
          </w:tcPr>
          <w:p w14:paraId="0A2DB967" w14:textId="3998AA94" w:rsidR="00C5549D" w:rsidRPr="00945E1C" w:rsidRDefault="00C5549D" w:rsidP="0017026D">
            <w:pPr>
              <w:pStyle w:val="ExhibitText"/>
              <w:jc w:val="center"/>
            </w:pPr>
            <w:r w:rsidRPr="00945E1C">
              <w:rPr>
                <w:bCs/>
              </w:rPr>
              <w:t>US$</w:t>
            </w:r>
          </w:p>
        </w:tc>
      </w:tr>
      <w:tr w:rsidR="00C5549D" w:rsidRPr="007532BD" w14:paraId="598787FA" w14:textId="77777777" w:rsidTr="00041A76">
        <w:trPr>
          <w:trHeight w:val="331"/>
        </w:trPr>
        <w:tc>
          <w:tcPr>
            <w:tcW w:w="1460" w:type="pct"/>
            <w:hideMark/>
          </w:tcPr>
          <w:p w14:paraId="2E0F1281" w14:textId="77777777" w:rsidR="00C5549D" w:rsidRPr="007532BD" w:rsidRDefault="00C5549D" w:rsidP="009A6B9D">
            <w:pPr>
              <w:pStyle w:val="ExhibitText"/>
              <w:jc w:val="left"/>
              <w:rPr>
                <w:i/>
              </w:rPr>
            </w:pPr>
            <w:r w:rsidRPr="007532BD">
              <w:rPr>
                <w:i/>
              </w:rPr>
              <w:t>Revenue</w:t>
            </w:r>
          </w:p>
        </w:tc>
        <w:tc>
          <w:tcPr>
            <w:tcW w:w="442" w:type="pct"/>
            <w:hideMark/>
          </w:tcPr>
          <w:p w14:paraId="7483C64B" w14:textId="77777777" w:rsidR="00C5549D" w:rsidRPr="007532BD" w:rsidRDefault="00C5549D" w:rsidP="002F3C17">
            <w:pPr>
              <w:pStyle w:val="ExhibitText"/>
              <w:jc w:val="right"/>
              <w:rPr>
                <w:i/>
              </w:rPr>
            </w:pPr>
          </w:p>
        </w:tc>
        <w:tc>
          <w:tcPr>
            <w:tcW w:w="443" w:type="pct"/>
            <w:hideMark/>
          </w:tcPr>
          <w:p w14:paraId="08BEA20D" w14:textId="77777777" w:rsidR="00C5549D" w:rsidRPr="007532BD" w:rsidRDefault="00C5549D" w:rsidP="002F3C17">
            <w:pPr>
              <w:pStyle w:val="ExhibitText"/>
              <w:jc w:val="right"/>
              <w:rPr>
                <w:i/>
              </w:rPr>
            </w:pPr>
          </w:p>
        </w:tc>
        <w:tc>
          <w:tcPr>
            <w:tcW w:w="443" w:type="pct"/>
            <w:tcBorders>
              <w:right w:val="single" w:sz="4" w:space="0" w:color="auto"/>
            </w:tcBorders>
            <w:hideMark/>
          </w:tcPr>
          <w:p w14:paraId="14EA7ADC" w14:textId="77777777" w:rsidR="00C5549D" w:rsidRPr="007532BD" w:rsidRDefault="00C5549D" w:rsidP="002F3C17">
            <w:pPr>
              <w:pStyle w:val="ExhibitText"/>
              <w:jc w:val="right"/>
              <w:rPr>
                <w:i/>
              </w:rPr>
            </w:pPr>
          </w:p>
        </w:tc>
        <w:tc>
          <w:tcPr>
            <w:tcW w:w="442" w:type="pct"/>
            <w:tcBorders>
              <w:left w:val="single" w:sz="4" w:space="0" w:color="auto"/>
            </w:tcBorders>
            <w:hideMark/>
          </w:tcPr>
          <w:p w14:paraId="4F6C4D4C" w14:textId="77777777" w:rsidR="00C5549D" w:rsidRPr="007532BD" w:rsidRDefault="00C5549D" w:rsidP="002F3C17">
            <w:pPr>
              <w:pStyle w:val="ExhibitText"/>
              <w:jc w:val="right"/>
              <w:rPr>
                <w:i/>
              </w:rPr>
            </w:pPr>
          </w:p>
        </w:tc>
        <w:tc>
          <w:tcPr>
            <w:tcW w:w="443" w:type="pct"/>
            <w:tcBorders>
              <w:right w:val="double" w:sz="4" w:space="0" w:color="auto"/>
            </w:tcBorders>
            <w:hideMark/>
          </w:tcPr>
          <w:p w14:paraId="4F7FC697" w14:textId="77777777" w:rsidR="00C5549D" w:rsidRPr="007532BD" w:rsidRDefault="00C5549D" w:rsidP="002F3C17">
            <w:pPr>
              <w:pStyle w:val="ExhibitText"/>
              <w:jc w:val="right"/>
              <w:rPr>
                <w:i/>
              </w:rPr>
            </w:pPr>
          </w:p>
        </w:tc>
        <w:tc>
          <w:tcPr>
            <w:tcW w:w="443" w:type="pct"/>
            <w:tcBorders>
              <w:left w:val="double" w:sz="4" w:space="0" w:color="auto"/>
            </w:tcBorders>
            <w:hideMark/>
          </w:tcPr>
          <w:p w14:paraId="36BE19CB" w14:textId="77777777" w:rsidR="00C5549D" w:rsidRPr="007532BD" w:rsidRDefault="00C5549D" w:rsidP="002F3C17">
            <w:pPr>
              <w:pStyle w:val="ExhibitText"/>
              <w:jc w:val="right"/>
              <w:rPr>
                <w:i/>
              </w:rPr>
            </w:pPr>
          </w:p>
        </w:tc>
        <w:tc>
          <w:tcPr>
            <w:tcW w:w="443" w:type="pct"/>
            <w:tcBorders>
              <w:left w:val="single" w:sz="4" w:space="0" w:color="auto"/>
            </w:tcBorders>
            <w:hideMark/>
          </w:tcPr>
          <w:p w14:paraId="5E579A9D" w14:textId="3C9C4942" w:rsidR="00C5549D" w:rsidRPr="007532BD" w:rsidRDefault="00C5549D" w:rsidP="002F3C17">
            <w:pPr>
              <w:pStyle w:val="ExhibitText"/>
              <w:jc w:val="right"/>
              <w:rPr>
                <w:i/>
              </w:rPr>
            </w:pPr>
          </w:p>
        </w:tc>
        <w:tc>
          <w:tcPr>
            <w:tcW w:w="441" w:type="pct"/>
            <w:hideMark/>
          </w:tcPr>
          <w:p w14:paraId="06B143ED" w14:textId="77777777" w:rsidR="00C5549D" w:rsidRPr="007532BD" w:rsidRDefault="00C5549D" w:rsidP="002F3C17">
            <w:pPr>
              <w:pStyle w:val="ExhibitText"/>
              <w:jc w:val="right"/>
              <w:rPr>
                <w:i/>
              </w:rPr>
            </w:pPr>
          </w:p>
        </w:tc>
      </w:tr>
      <w:tr w:rsidR="003E6299" w:rsidRPr="007532BD" w14:paraId="37B20A70" w14:textId="77777777" w:rsidTr="00041A76">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hideMark/>
          </w:tcPr>
          <w:p w14:paraId="3F787A75" w14:textId="77777777" w:rsidR="00C5549D" w:rsidRPr="007532BD" w:rsidRDefault="00C5549D" w:rsidP="009A6B9D">
            <w:pPr>
              <w:pStyle w:val="ExhibitText"/>
              <w:jc w:val="left"/>
            </w:pPr>
            <w:r w:rsidRPr="007532BD">
              <w:t>China commerce</w:t>
            </w:r>
          </w:p>
        </w:tc>
        <w:tc>
          <w:tcPr>
            <w:tcW w:w="442" w:type="pct"/>
            <w:shd w:val="clear" w:color="auto" w:fill="auto"/>
            <w:hideMark/>
          </w:tcPr>
          <w:p w14:paraId="42234AA1" w14:textId="77777777" w:rsidR="00C5549D" w:rsidRPr="007532BD" w:rsidRDefault="00C5549D" w:rsidP="002F3C17">
            <w:pPr>
              <w:pStyle w:val="ExhibitText"/>
              <w:jc w:val="right"/>
            </w:pPr>
            <w:r w:rsidRPr="007532BD">
              <w:t>3,716</w:t>
            </w:r>
          </w:p>
        </w:tc>
        <w:tc>
          <w:tcPr>
            <w:tcW w:w="443" w:type="pct"/>
            <w:shd w:val="clear" w:color="auto" w:fill="auto"/>
            <w:hideMark/>
          </w:tcPr>
          <w:p w14:paraId="2451E754" w14:textId="77777777" w:rsidR="00C5549D" w:rsidRPr="007532BD" w:rsidRDefault="00C5549D" w:rsidP="002F3C17">
            <w:pPr>
              <w:pStyle w:val="ExhibitText"/>
              <w:jc w:val="right"/>
            </w:pPr>
            <w:r w:rsidRPr="007532BD">
              <w:t>7,665</w:t>
            </w:r>
          </w:p>
        </w:tc>
        <w:tc>
          <w:tcPr>
            <w:tcW w:w="443" w:type="pct"/>
            <w:tcBorders>
              <w:right w:val="single" w:sz="4" w:space="0" w:color="auto"/>
            </w:tcBorders>
            <w:shd w:val="clear" w:color="auto" w:fill="auto"/>
            <w:hideMark/>
          </w:tcPr>
          <w:p w14:paraId="0E2ACB3C" w14:textId="77777777" w:rsidR="00C5549D" w:rsidRPr="007532BD" w:rsidRDefault="00C5549D" w:rsidP="002F3C17">
            <w:pPr>
              <w:pStyle w:val="ExhibitText"/>
              <w:jc w:val="right"/>
            </w:pPr>
            <w:r w:rsidRPr="007532BD">
              <w:t>15,637</w:t>
            </w:r>
          </w:p>
        </w:tc>
        <w:tc>
          <w:tcPr>
            <w:tcW w:w="442" w:type="pct"/>
            <w:tcBorders>
              <w:left w:val="single" w:sz="4" w:space="0" w:color="auto"/>
            </w:tcBorders>
            <w:shd w:val="clear" w:color="auto" w:fill="auto"/>
            <w:hideMark/>
          </w:tcPr>
          <w:p w14:paraId="57F8F09E" w14:textId="77777777" w:rsidR="00C5549D" w:rsidRPr="007532BD" w:rsidRDefault="00C5549D" w:rsidP="002F3C17">
            <w:pPr>
              <w:pStyle w:val="ExhibitText"/>
              <w:jc w:val="right"/>
            </w:pPr>
            <w:r w:rsidRPr="007532BD">
              <w:t>29,167</w:t>
            </w:r>
          </w:p>
        </w:tc>
        <w:tc>
          <w:tcPr>
            <w:tcW w:w="443" w:type="pct"/>
            <w:tcBorders>
              <w:right w:val="double" w:sz="4" w:space="0" w:color="auto"/>
            </w:tcBorders>
            <w:shd w:val="clear" w:color="auto" w:fill="auto"/>
            <w:hideMark/>
          </w:tcPr>
          <w:p w14:paraId="4ECA33AD" w14:textId="77777777" w:rsidR="00C5549D" w:rsidRPr="007532BD" w:rsidRDefault="00C5549D" w:rsidP="002F3C17">
            <w:pPr>
              <w:pStyle w:val="ExhibitText"/>
              <w:jc w:val="right"/>
            </w:pPr>
            <w:r w:rsidRPr="007532BD">
              <w:t>4,692</w:t>
            </w:r>
          </w:p>
        </w:tc>
        <w:tc>
          <w:tcPr>
            <w:tcW w:w="443" w:type="pct"/>
            <w:tcBorders>
              <w:left w:val="double" w:sz="4" w:space="0" w:color="auto"/>
            </w:tcBorders>
            <w:shd w:val="clear" w:color="auto" w:fill="auto"/>
            <w:hideMark/>
          </w:tcPr>
          <w:p w14:paraId="6D0F9354" w14:textId="77777777" w:rsidR="00C5549D" w:rsidRPr="007532BD" w:rsidRDefault="00C5549D" w:rsidP="002F3C17">
            <w:pPr>
              <w:pStyle w:val="ExhibitText"/>
              <w:jc w:val="right"/>
            </w:pPr>
            <w:r w:rsidRPr="007532BD">
              <w:t>21,925</w:t>
            </w:r>
          </w:p>
        </w:tc>
        <w:tc>
          <w:tcPr>
            <w:tcW w:w="443" w:type="pct"/>
            <w:tcBorders>
              <w:left w:val="single" w:sz="4" w:space="0" w:color="auto"/>
            </w:tcBorders>
            <w:shd w:val="clear" w:color="auto" w:fill="auto"/>
            <w:hideMark/>
          </w:tcPr>
          <w:p w14:paraId="0B79A49D" w14:textId="41568643" w:rsidR="00C5549D" w:rsidRPr="007532BD" w:rsidRDefault="00C5549D" w:rsidP="002F3C17">
            <w:pPr>
              <w:pStyle w:val="ExhibitText"/>
              <w:jc w:val="right"/>
            </w:pPr>
            <w:r w:rsidRPr="007532BD">
              <w:t>35,167</w:t>
            </w:r>
          </w:p>
        </w:tc>
        <w:tc>
          <w:tcPr>
            <w:tcW w:w="441" w:type="pct"/>
            <w:shd w:val="clear" w:color="auto" w:fill="auto"/>
            <w:hideMark/>
          </w:tcPr>
          <w:p w14:paraId="062795FF" w14:textId="77777777" w:rsidR="00C5549D" w:rsidRPr="007532BD" w:rsidRDefault="00C5549D" w:rsidP="002F3C17">
            <w:pPr>
              <w:pStyle w:val="ExhibitText"/>
              <w:jc w:val="right"/>
            </w:pPr>
            <w:r w:rsidRPr="007532BD">
              <w:t>5,657</w:t>
            </w:r>
          </w:p>
        </w:tc>
      </w:tr>
      <w:tr w:rsidR="00C5549D" w:rsidRPr="007532BD" w14:paraId="287FFF1E" w14:textId="77777777" w:rsidTr="00041A76">
        <w:trPr>
          <w:trHeight w:val="331"/>
        </w:trPr>
        <w:tc>
          <w:tcPr>
            <w:tcW w:w="1460" w:type="pct"/>
            <w:hideMark/>
          </w:tcPr>
          <w:p w14:paraId="44474A5F" w14:textId="77777777" w:rsidR="00C5549D" w:rsidRPr="007532BD" w:rsidRDefault="00C5549D" w:rsidP="009A6B9D">
            <w:pPr>
              <w:pStyle w:val="ExhibitText"/>
              <w:jc w:val="left"/>
            </w:pPr>
            <w:r w:rsidRPr="007532BD">
              <w:t>International commerce</w:t>
            </w:r>
          </w:p>
        </w:tc>
        <w:tc>
          <w:tcPr>
            <w:tcW w:w="442" w:type="pct"/>
            <w:hideMark/>
          </w:tcPr>
          <w:p w14:paraId="6C8E4957" w14:textId="77777777" w:rsidR="00C5549D" w:rsidRPr="007532BD" w:rsidRDefault="00C5549D" w:rsidP="002F3C17">
            <w:pPr>
              <w:pStyle w:val="ExhibitText"/>
              <w:jc w:val="right"/>
            </w:pPr>
            <w:r w:rsidRPr="007532BD">
              <w:t>2,620</w:t>
            </w:r>
          </w:p>
        </w:tc>
        <w:tc>
          <w:tcPr>
            <w:tcW w:w="443" w:type="pct"/>
            <w:hideMark/>
          </w:tcPr>
          <w:p w14:paraId="0C7A10A5" w14:textId="77777777" w:rsidR="00C5549D" w:rsidRPr="007532BD" w:rsidRDefault="00C5549D" w:rsidP="002F3C17">
            <w:pPr>
              <w:pStyle w:val="ExhibitText"/>
              <w:jc w:val="right"/>
            </w:pPr>
            <w:r w:rsidRPr="007532BD">
              <w:t>3,433</w:t>
            </w:r>
          </w:p>
        </w:tc>
        <w:tc>
          <w:tcPr>
            <w:tcW w:w="443" w:type="pct"/>
            <w:tcBorders>
              <w:right w:val="single" w:sz="4" w:space="0" w:color="auto"/>
            </w:tcBorders>
            <w:hideMark/>
          </w:tcPr>
          <w:p w14:paraId="5E7EAF92" w14:textId="77777777" w:rsidR="00C5549D" w:rsidRPr="007532BD" w:rsidRDefault="00C5549D" w:rsidP="002F3C17">
            <w:pPr>
              <w:pStyle w:val="ExhibitText"/>
              <w:jc w:val="right"/>
            </w:pPr>
            <w:r w:rsidRPr="007532BD">
              <w:t>3,765</w:t>
            </w:r>
          </w:p>
        </w:tc>
        <w:tc>
          <w:tcPr>
            <w:tcW w:w="442" w:type="pct"/>
            <w:tcBorders>
              <w:left w:val="single" w:sz="4" w:space="0" w:color="auto"/>
            </w:tcBorders>
            <w:hideMark/>
          </w:tcPr>
          <w:p w14:paraId="67F2E3D5" w14:textId="77777777" w:rsidR="00C5549D" w:rsidRPr="007532BD" w:rsidRDefault="00C5549D" w:rsidP="002F3C17">
            <w:pPr>
              <w:pStyle w:val="ExhibitText"/>
              <w:jc w:val="right"/>
            </w:pPr>
            <w:r w:rsidRPr="007532BD">
              <w:t>4,160</w:t>
            </w:r>
          </w:p>
        </w:tc>
        <w:tc>
          <w:tcPr>
            <w:tcW w:w="443" w:type="pct"/>
            <w:tcBorders>
              <w:right w:val="double" w:sz="4" w:space="0" w:color="auto"/>
            </w:tcBorders>
            <w:hideMark/>
          </w:tcPr>
          <w:p w14:paraId="6CDC16C3" w14:textId="77777777" w:rsidR="00C5549D" w:rsidRPr="007532BD" w:rsidRDefault="00C5549D" w:rsidP="002F3C17">
            <w:pPr>
              <w:pStyle w:val="ExhibitText"/>
              <w:jc w:val="right"/>
            </w:pPr>
            <w:r w:rsidRPr="007532BD">
              <w:t>669</w:t>
            </w:r>
          </w:p>
        </w:tc>
        <w:tc>
          <w:tcPr>
            <w:tcW w:w="443" w:type="pct"/>
            <w:tcBorders>
              <w:left w:val="double" w:sz="4" w:space="0" w:color="auto"/>
            </w:tcBorders>
            <w:hideMark/>
          </w:tcPr>
          <w:p w14:paraId="1ADB4A48" w14:textId="77777777" w:rsidR="00C5549D" w:rsidRPr="007532BD" w:rsidRDefault="00C5549D" w:rsidP="002F3C17">
            <w:pPr>
              <w:pStyle w:val="ExhibitText"/>
              <w:jc w:val="right"/>
            </w:pPr>
            <w:r w:rsidRPr="007532BD">
              <w:t>3,117</w:t>
            </w:r>
          </w:p>
        </w:tc>
        <w:tc>
          <w:tcPr>
            <w:tcW w:w="443" w:type="pct"/>
            <w:tcBorders>
              <w:left w:val="single" w:sz="4" w:space="0" w:color="auto"/>
            </w:tcBorders>
            <w:hideMark/>
          </w:tcPr>
          <w:p w14:paraId="252F4BCE" w14:textId="012AD41A" w:rsidR="00C5549D" w:rsidRPr="007532BD" w:rsidRDefault="00C5549D" w:rsidP="002F3C17">
            <w:pPr>
              <w:pStyle w:val="ExhibitText"/>
              <w:jc w:val="right"/>
            </w:pPr>
            <w:r w:rsidRPr="007532BD">
              <w:t>3,557</w:t>
            </w:r>
          </w:p>
        </w:tc>
        <w:tc>
          <w:tcPr>
            <w:tcW w:w="441" w:type="pct"/>
            <w:hideMark/>
          </w:tcPr>
          <w:p w14:paraId="051C4497" w14:textId="77777777" w:rsidR="00C5549D" w:rsidRPr="007532BD" w:rsidRDefault="00C5549D" w:rsidP="002F3C17">
            <w:pPr>
              <w:pStyle w:val="ExhibitText"/>
              <w:jc w:val="right"/>
            </w:pPr>
            <w:r w:rsidRPr="007532BD">
              <w:t>572</w:t>
            </w:r>
          </w:p>
        </w:tc>
      </w:tr>
      <w:tr w:rsidR="003E6299" w:rsidRPr="007532BD" w14:paraId="1A4D649F" w14:textId="77777777" w:rsidTr="00041A76">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hideMark/>
          </w:tcPr>
          <w:p w14:paraId="516AE675" w14:textId="77777777" w:rsidR="00C5549D" w:rsidRPr="007532BD" w:rsidRDefault="00C5549D" w:rsidP="009A6B9D">
            <w:pPr>
              <w:pStyle w:val="ExhibitText"/>
              <w:jc w:val="left"/>
            </w:pPr>
            <w:r w:rsidRPr="007532BD">
              <w:t>Cloud computing and Internet infrastructure</w:t>
            </w:r>
          </w:p>
        </w:tc>
        <w:tc>
          <w:tcPr>
            <w:tcW w:w="442" w:type="pct"/>
            <w:shd w:val="clear" w:color="auto" w:fill="auto"/>
            <w:hideMark/>
          </w:tcPr>
          <w:p w14:paraId="6B944451" w14:textId="77777777" w:rsidR="00C5549D" w:rsidRPr="007532BD" w:rsidRDefault="00C5549D" w:rsidP="002F3C17">
            <w:pPr>
              <w:pStyle w:val="ExhibitText"/>
              <w:jc w:val="right"/>
            </w:pPr>
            <w:r w:rsidRPr="007532BD">
              <w:t>144</w:t>
            </w:r>
          </w:p>
        </w:tc>
        <w:tc>
          <w:tcPr>
            <w:tcW w:w="443" w:type="pct"/>
            <w:shd w:val="clear" w:color="auto" w:fill="auto"/>
            <w:hideMark/>
          </w:tcPr>
          <w:p w14:paraId="57A5F234" w14:textId="77777777" w:rsidR="00C5549D" w:rsidRPr="007532BD" w:rsidRDefault="00C5549D" w:rsidP="002F3C17">
            <w:pPr>
              <w:pStyle w:val="ExhibitText"/>
              <w:jc w:val="right"/>
            </w:pPr>
            <w:r w:rsidRPr="007532BD">
              <w:t>425</w:t>
            </w:r>
          </w:p>
        </w:tc>
        <w:tc>
          <w:tcPr>
            <w:tcW w:w="443" w:type="pct"/>
            <w:tcBorders>
              <w:right w:val="single" w:sz="4" w:space="0" w:color="auto"/>
            </w:tcBorders>
            <w:shd w:val="clear" w:color="auto" w:fill="auto"/>
            <w:hideMark/>
          </w:tcPr>
          <w:p w14:paraId="65FB01D6" w14:textId="77777777" w:rsidR="00C5549D" w:rsidRPr="007532BD" w:rsidRDefault="00C5549D" w:rsidP="002F3C17">
            <w:pPr>
              <w:pStyle w:val="ExhibitText"/>
              <w:jc w:val="right"/>
            </w:pPr>
            <w:r w:rsidRPr="007532BD">
              <w:t>515</w:t>
            </w:r>
          </w:p>
        </w:tc>
        <w:tc>
          <w:tcPr>
            <w:tcW w:w="442" w:type="pct"/>
            <w:tcBorders>
              <w:left w:val="single" w:sz="4" w:space="0" w:color="auto"/>
            </w:tcBorders>
            <w:shd w:val="clear" w:color="auto" w:fill="auto"/>
            <w:hideMark/>
          </w:tcPr>
          <w:p w14:paraId="47609FB4" w14:textId="77777777" w:rsidR="00C5549D" w:rsidRPr="007532BD" w:rsidRDefault="00C5549D" w:rsidP="002F3C17">
            <w:pPr>
              <w:pStyle w:val="ExhibitText"/>
              <w:jc w:val="right"/>
            </w:pPr>
            <w:r w:rsidRPr="007532BD">
              <w:t>650</w:t>
            </w:r>
          </w:p>
        </w:tc>
        <w:tc>
          <w:tcPr>
            <w:tcW w:w="443" w:type="pct"/>
            <w:tcBorders>
              <w:right w:val="double" w:sz="4" w:space="0" w:color="auto"/>
            </w:tcBorders>
            <w:shd w:val="clear" w:color="auto" w:fill="auto"/>
            <w:hideMark/>
          </w:tcPr>
          <w:p w14:paraId="64BA349C" w14:textId="77777777" w:rsidR="00C5549D" w:rsidRPr="007532BD" w:rsidRDefault="00C5549D" w:rsidP="002F3C17">
            <w:pPr>
              <w:pStyle w:val="ExhibitText"/>
              <w:jc w:val="right"/>
            </w:pPr>
            <w:r w:rsidRPr="007532BD">
              <w:t>105</w:t>
            </w:r>
          </w:p>
        </w:tc>
        <w:tc>
          <w:tcPr>
            <w:tcW w:w="443" w:type="pct"/>
            <w:tcBorders>
              <w:left w:val="double" w:sz="4" w:space="0" w:color="auto"/>
            </w:tcBorders>
            <w:shd w:val="clear" w:color="auto" w:fill="auto"/>
            <w:hideMark/>
          </w:tcPr>
          <w:p w14:paraId="36170FC0" w14:textId="77777777" w:rsidR="00C5549D" w:rsidRPr="007532BD" w:rsidRDefault="00C5549D" w:rsidP="002F3C17">
            <w:pPr>
              <w:pStyle w:val="ExhibitText"/>
              <w:jc w:val="right"/>
            </w:pPr>
            <w:r w:rsidRPr="007532BD">
              <w:t>484</w:t>
            </w:r>
          </w:p>
        </w:tc>
        <w:tc>
          <w:tcPr>
            <w:tcW w:w="443" w:type="pct"/>
            <w:tcBorders>
              <w:left w:val="single" w:sz="4" w:space="0" w:color="auto"/>
            </w:tcBorders>
            <w:shd w:val="clear" w:color="auto" w:fill="auto"/>
            <w:hideMark/>
          </w:tcPr>
          <w:p w14:paraId="5332BD3F" w14:textId="1AACC9C4" w:rsidR="00C5549D" w:rsidRPr="007532BD" w:rsidRDefault="00C5549D" w:rsidP="002F3C17">
            <w:pPr>
              <w:pStyle w:val="ExhibitText"/>
              <w:jc w:val="right"/>
            </w:pPr>
            <w:r w:rsidRPr="007532BD">
              <w:t>560</w:t>
            </w:r>
          </w:p>
        </w:tc>
        <w:tc>
          <w:tcPr>
            <w:tcW w:w="441" w:type="pct"/>
            <w:shd w:val="clear" w:color="auto" w:fill="auto"/>
            <w:hideMark/>
          </w:tcPr>
          <w:p w14:paraId="0D914D41" w14:textId="77777777" w:rsidR="00C5549D" w:rsidRPr="007532BD" w:rsidRDefault="00C5549D" w:rsidP="002F3C17">
            <w:pPr>
              <w:pStyle w:val="ExhibitText"/>
              <w:jc w:val="right"/>
            </w:pPr>
            <w:r w:rsidRPr="007532BD">
              <w:t>90</w:t>
            </w:r>
          </w:p>
        </w:tc>
      </w:tr>
      <w:tr w:rsidR="00C5549D" w:rsidRPr="007532BD" w14:paraId="4A6384E9" w14:textId="77777777" w:rsidTr="00041A76">
        <w:trPr>
          <w:trHeight w:val="331"/>
        </w:trPr>
        <w:tc>
          <w:tcPr>
            <w:tcW w:w="1460" w:type="pct"/>
            <w:hideMark/>
          </w:tcPr>
          <w:p w14:paraId="2619EF78" w14:textId="77777777" w:rsidR="00C5549D" w:rsidRPr="007532BD" w:rsidRDefault="00C5549D" w:rsidP="009A6B9D">
            <w:pPr>
              <w:pStyle w:val="ExhibitText"/>
              <w:jc w:val="left"/>
            </w:pPr>
            <w:r w:rsidRPr="007532BD">
              <w:t>Others</w:t>
            </w:r>
          </w:p>
        </w:tc>
        <w:tc>
          <w:tcPr>
            <w:tcW w:w="442" w:type="pct"/>
            <w:hideMark/>
          </w:tcPr>
          <w:p w14:paraId="68C4673F" w14:textId="77777777" w:rsidR="00C5549D" w:rsidRPr="007532BD" w:rsidRDefault="00C5549D" w:rsidP="002F3C17">
            <w:pPr>
              <w:pStyle w:val="ExhibitText"/>
              <w:jc w:val="right"/>
            </w:pPr>
            <w:r w:rsidRPr="007532BD">
              <w:t>190</w:t>
            </w:r>
          </w:p>
        </w:tc>
        <w:tc>
          <w:tcPr>
            <w:tcW w:w="443" w:type="pct"/>
            <w:hideMark/>
          </w:tcPr>
          <w:p w14:paraId="5E68FC20" w14:textId="77777777" w:rsidR="00C5549D" w:rsidRPr="007532BD" w:rsidRDefault="00C5549D" w:rsidP="002F3C17">
            <w:pPr>
              <w:pStyle w:val="ExhibitText"/>
              <w:jc w:val="right"/>
            </w:pPr>
            <w:r w:rsidRPr="007532BD">
              <w:t>380</w:t>
            </w:r>
          </w:p>
        </w:tc>
        <w:tc>
          <w:tcPr>
            <w:tcW w:w="443" w:type="pct"/>
            <w:tcBorders>
              <w:right w:val="single" w:sz="4" w:space="0" w:color="auto"/>
            </w:tcBorders>
            <w:hideMark/>
          </w:tcPr>
          <w:p w14:paraId="390EAAE8" w14:textId="77777777" w:rsidR="00C5549D" w:rsidRPr="007532BD" w:rsidRDefault="00C5549D" w:rsidP="002F3C17">
            <w:pPr>
              <w:pStyle w:val="ExhibitText"/>
              <w:jc w:val="right"/>
            </w:pPr>
            <w:r w:rsidRPr="007532BD">
              <w:t>108</w:t>
            </w:r>
          </w:p>
        </w:tc>
        <w:tc>
          <w:tcPr>
            <w:tcW w:w="442" w:type="pct"/>
            <w:tcBorders>
              <w:left w:val="single" w:sz="4" w:space="0" w:color="auto"/>
            </w:tcBorders>
            <w:hideMark/>
          </w:tcPr>
          <w:p w14:paraId="027B5B13" w14:textId="77777777" w:rsidR="00C5549D" w:rsidRPr="007532BD" w:rsidRDefault="00C5549D" w:rsidP="002F3C17">
            <w:pPr>
              <w:pStyle w:val="ExhibitText"/>
              <w:jc w:val="right"/>
            </w:pPr>
            <w:r w:rsidRPr="007532BD">
              <w:t>540</w:t>
            </w:r>
          </w:p>
        </w:tc>
        <w:tc>
          <w:tcPr>
            <w:tcW w:w="443" w:type="pct"/>
            <w:tcBorders>
              <w:right w:val="double" w:sz="4" w:space="0" w:color="auto"/>
            </w:tcBorders>
            <w:hideMark/>
          </w:tcPr>
          <w:p w14:paraId="2B0564B8" w14:textId="77777777" w:rsidR="00C5549D" w:rsidRPr="007532BD" w:rsidRDefault="00C5549D" w:rsidP="002F3C17">
            <w:pPr>
              <w:pStyle w:val="ExhibitText"/>
              <w:jc w:val="right"/>
            </w:pPr>
            <w:r w:rsidRPr="007532BD">
              <w:t>87</w:t>
            </w:r>
          </w:p>
        </w:tc>
        <w:tc>
          <w:tcPr>
            <w:tcW w:w="443" w:type="pct"/>
            <w:tcBorders>
              <w:left w:val="double" w:sz="4" w:space="0" w:color="auto"/>
            </w:tcBorders>
            <w:hideMark/>
          </w:tcPr>
          <w:p w14:paraId="51F46489" w14:textId="77777777" w:rsidR="00C5549D" w:rsidRPr="007532BD" w:rsidRDefault="00C5549D" w:rsidP="002F3C17">
            <w:pPr>
              <w:pStyle w:val="ExhibitText"/>
              <w:jc w:val="right"/>
            </w:pPr>
            <w:r w:rsidRPr="007532BD">
              <w:t>317</w:t>
            </w:r>
          </w:p>
        </w:tc>
        <w:tc>
          <w:tcPr>
            <w:tcW w:w="443" w:type="pct"/>
            <w:tcBorders>
              <w:left w:val="single" w:sz="4" w:space="0" w:color="auto"/>
            </w:tcBorders>
            <w:hideMark/>
          </w:tcPr>
          <w:p w14:paraId="50B0ED31" w14:textId="3260B1EB" w:rsidR="00C5549D" w:rsidRPr="007532BD" w:rsidRDefault="00C5549D" w:rsidP="002F3C17">
            <w:pPr>
              <w:pStyle w:val="ExhibitText"/>
              <w:jc w:val="right"/>
            </w:pPr>
            <w:r w:rsidRPr="007532BD">
              <w:t>1,189</w:t>
            </w:r>
          </w:p>
        </w:tc>
        <w:tc>
          <w:tcPr>
            <w:tcW w:w="441" w:type="pct"/>
            <w:hideMark/>
          </w:tcPr>
          <w:p w14:paraId="3F5C1377" w14:textId="77777777" w:rsidR="00C5549D" w:rsidRPr="007532BD" w:rsidRDefault="00C5549D" w:rsidP="002F3C17">
            <w:pPr>
              <w:pStyle w:val="ExhibitText"/>
              <w:jc w:val="right"/>
            </w:pPr>
            <w:r w:rsidRPr="007532BD">
              <w:t>192</w:t>
            </w:r>
          </w:p>
        </w:tc>
      </w:tr>
      <w:tr w:rsidR="003E6299" w:rsidRPr="007532BD" w14:paraId="28E47536" w14:textId="77777777" w:rsidTr="00041A76">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hideMark/>
          </w:tcPr>
          <w:p w14:paraId="6C75DD7C" w14:textId="77777777" w:rsidR="00C5549D" w:rsidRPr="007532BD" w:rsidRDefault="00C5549D" w:rsidP="009A6B9D">
            <w:pPr>
              <w:pStyle w:val="ExhibitText"/>
              <w:jc w:val="left"/>
            </w:pPr>
            <w:r w:rsidRPr="007532BD">
              <w:t>Total</w:t>
            </w:r>
          </w:p>
        </w:tc>
        <w:tc>
          <w:tcPr>
            <w:tcW w:w="442" w:type="pct"/>
            <w:shd w:val="clear" w:color="auto" w:fill="auto"/>
            <w:hideMark/>
          </w:tcPr>
          <w:p w14:paraId="3597AC9E" w14:textId="77777777" w:rsidR="00C5549D" w:rsidRPr="007532BD" w:rsidRDefault="00C5549D" w:rsidP="002F3C17">
            <w:pPr>
              <w:pStyle w:val="ExhibitText"/>
              <w:jc w:val="right"/>
            </w:pPr>
            <w:r w:rsidRPr="007532BD">
              <w:t>6,670</w:t>
            </w:r>
          </w:p>
        </w:tc>
        <w:tc>
          <w:tcPr>
            <w:tcW w:w="443" w:type="pct"/>
            <w:shd w:val="clear" w:color="auto" w:fill="auto"/>
            <w:hideMark/>
          </w:tcPr>
          <w:p w14:paraId="418065F3" w14:textId="77777777" w:rsidR="00C5549D" w:rsidRPr="007532BD" w:rsidRDefault="00C5549D" w:rsidP="002F3C17">
            <w:pPr>
              <w:pStyle w:val="ExhibitText"/>
              <w:jc w:val="right"/>
            </w:pPr>
            <w:r w:rsidRPr="007532BD">
              <w:t>11,903</w:t>
            </w:r>
          </w:p>
        </w:tc>
        <w:tc>
          <w:tcPr>
            <w:tcW w:w="443" w:type="pct"/>
            <w:tcBorders>
              <w:right w:val="single" w:sz="4" w:space="0" w:color="auto"/>
            </w:tcBorders>
            <w:shd w:val="clear" w:color="auto" w:fill="auto"/>
            <w:hideMark/>
          </w:tcPr>
          <w:p w14:paraId="5DB4A57C" w14:textId="77777777" w:rsidR="00C5549D" w:rsidRPr="007532BD" w:rsidRDefault="00C5549D" w:rsidP="002F3C17">
            <w:pPr>
              <w:pStyle w:val="ExhibitText"/>
              <w:jc w:val="right"/>
            </w:pPr>
            <w:r w:rsidRPr="007532BD">
              <w:t>20,025</w:t>
            </w:r>
          </w:p>
        </w:tc>
        <w:tc>
          <w:tcPr>
            <w:tcW w:w="442" w:type="pct"/>
            <w:tcBorders>
              <w:left w:val="single" w:sz="4" w:space="0" w:color="auto"/>
            </w:tcBorders>
            <w:shd w:val="clear" w:color="auto" w:fill="auto"/>
            <w:hideMark/>
          </w:tcPr>
          <w:p w14:paraId="2EA235F6" w14:textId="77777777" w:rsidR="00C5549D" w:rsidRPr="007532BD" w:rsidRDefault="00C5549D" w:rsidP="002F3C17">
            <w:pPr>
              <w:pStyle w:val="ExhibitText"/>
              <w:jc w:val="right"/>
            </w:pPr>
            <w:r w:rsidRPr="007532BD">
              <w:t>34,517</w:t>
            </w:r>
          </w:p>
        </w:tc>
        <w:tc>
          <w:tcPr>
            <w:tcW w:w="443" w:type="pct"/>
            <w:tcBorders>
              <w:right w:val="double" w:sz="4" w:space="0" w:color="auto"/>
            </w:tcBorders>
            <w:shd w:val="clear" w:color="auto" w:fill="auto"/>
            <w:hideMark/>
          </w:tcPr>
          <w:p w14:paraId="457D69ED" w14:textId="77777777" w:rsidR="00C5549D" w:rsidRPr="007532BD" w:rsidRDefault="00C5549D" w:rsidP="002F3C17">
            <w:pPr>
              <w:pStyle w:val="ExhibitText"/>
              <w:jc w:val="right"/>
            </w:pPr>
            <w:r w:rsidRPr="007532BD">
              <w:t>5,553</w:t>
            </w:r>
          </w:p>
        </w:tc>
        <w:tc>
          <w:tcPr>
            <w:tcW w:w="443" w:type="pct"/>
            <w:tcBorders>
              <w:left w:val="double" w:sz="4" w:space="0" w:color="auto"/>
            </w:tcBorders>
            <w:shd w:val="clear" w:color="auto" w:fill="auto"/>
            <w:hideMark/>
          </w:tcPr>
          <w:p w14:paraId="2922251E" w14:textId="77777777" w:rsidR="00C5549D" w:rsidRPr="007532BD" w:rsidRDefault="00C5549D" w:rsidP="002F3C17">
            <w:pPr>
              <w:pStyle w:val="ExhibitText"/>
              <w:jc w:val="right"/>
            </w:pPr>
            <w:r w:rsidRPr="007532BD">
              <w:t>25,843</w:t>
            </w:r>
          </w:p>
        </w:tc>
        <w:tc>
          <w:tcPr>
            <w:tcW w:w="443" w:type="pct"/>
            <w:tcBorders>
              <w:left w:val="single" w:sz="4" w:space="0" w:color="auto"/>
            </w:tcBorders>
            <w:shd w:val="clear" w:color="auto" w:fill="auto"/>
            <w:hideMark/>
          </w:tcPr>
          <w:p w14:paraId="1B8458ED" w14:textId="1A2837A4" w:rsidR="00C5549D" w:rsidRPr="007532BD" w:rsidRDefault="00C5549D" w:rsidP="002F3C17">
            <w:pPr>
              <w:pStyle w:val="ExhibitText"/>
              <w:jc w:val="right"/>
            </w:pPr>
            <w:r w:rsidRPr="007532BD">
              <w:t>40,473</w:t>
            </w:r>
          </w:p>
        </w:tc>
        <w:tc>
          <w:tcPr>
            <w:tcW w:w="441" w:type="pct"/>
            <w:shd w:val="clear" w:color="auto" w:fill="auto"/>
            <w:hideMark/>
          </w:tcPr>
          <w:p w14:paraId="1EAE89AD" w14:textId="77777777" w:rsidR="00C5549D" w:rsidRPr="007532BD" w:rsidRDefault="00C5549D" w:rsidP="002F3C17">
            <w:pPr>
              <w:pStyle w:val="ExhibitText"/>
              <w:jc w:val="right"/>
            </w:pPr>
            <w:r w:rsidRPr="007532BD">
              <w:t>6,511</w:t>
            </w:r>
          </w:p>
        </w:tc>
      </w:tr>
      <w:tr w:rsidR="00C5549D" w:rsidRPr="007532BD" w14:paraId="14E6E9E6" w14:textId="77777777" w:rsidTr="00041A76">
        <w:trPr>
          <w:trHeight w:val="331"/>
        </w:trPr>
        <w:tc>
          <w:tcPr>
            <w:tcW w:w="1460" w:type="pct"/>
            <w:hideMark/>
          </w:tcPr>
          <w:p w14:paraId="5F715768" w14:textId="77777777" w:rsidR="00C5549D" w:rsidRPr="007532BD" w:rsidRDefault="00C5549D" w:rsidP="009A6B9D">
            <w:pPr>
              <w:pStyle w:val="ExhibitText"/>
              <w:jc w:val="left"/>
            </w:pPr>
            <w:r w:rsidRPr="007532BD">
              <w:t>Cost of revenue</w:t>
            </w:r>
          </w:p>
        </w:tc>
        <w:tc>
          <w:tcPr>
            <w:tcW w:w="442" w:type="pct"/>
            <w:hideMark/>
          </w:tcPr>
          <w:p w14:paraId="34677935" w14:textId="77777777" w:rsidR="00C5549D" w:rsidRPr="007532BD" w:rsidRDefault="00C5549D" w:rsidP="002F3C17">
            <w:pPr>
              <w:pStyle w:val="ExhibitText"/>
              <w:jc w:val="right"/>
            </w:pPr>
            <w:r w:rsidRPr="007532BD">
              <w:t>(1,634)</w:t>
            </w:r>
          </w:p>
        </w:tc>
        <w:tc>
          <w:tcPr>
            <w:tcW w:w="443" w:type="pct"/>
            <w:hideMark/>
          </w:tcPr>
          <w:p w14:paraId="59501F02" w14:textId="77777777" w:rsidR="00C5549D" w:rsidRPr="007532BD" w:rsidRDefault="00C5549D" w:rsidP="002F3C17">
            <w:pPr>
              <w:pStyle w:val="ExhibitText"/>
              <w:jc w:val="right"/>
            </w:pPr>
            <w:r w:rsidRPr="007532BD">
              <w:t>(3,497)</w:t>
            </w:r>
          </w:p>
        </w:tc>
        <w:tc>
          <w:tcPr>
            <w:tcW w:w="443" w:type="pct"/>
            <w:tcBorders>
              <w:right w:val="single" w:sz="4" w:space="0" w:color="auto"/>
            </w:tcBorders>
            <w:hideMark/>
          </w:tcPr>
          <w:p w14:paraId="4D6C5960" w14:textId="77777777" w:rsidR="00C5549D" w:rsidRPr="007532BD" w:rsidRDefault="00C5549D" w:rsidP="002F3C17">
            <w:pPr>
              <w:pStyle w:val="ExhibitText"/>
              <w:jc w:val="right"/>
            </w:pPr>
            <w:r w:rsidRPr="007532BD">
              <w:t>(6,554)</w:t>
            </w:r>
          </w:p>
        </w:tc>
        <w:tc>
          <w:tcPr>
            <w:tcW w:w="442" w:type="pct"/>
            <w:tcBorders>
              <w:left w:val="single" w:sz="4" w:space="0" w:color="auto"/>
            </w:tcBorders>
            <w:hideMark/>
          </w:tcPr>
          <w:p w14:paraId="2FBB9422" w14:textId="77777777" w:rsidR="00C5549D" w:rsidRPr="007532BD" w:rsidRDefault="00C5549D" w:rsidP="002F3C17">
            <w:pPr>
              <w:pStyle w:val="ExhibitText"/>
              <w:jc w:val="right"/>
            </w:pPr>
            <w:r w:rsidRPr="007532BD">
              <w:t>(9,719)</w:t>
            </w:r>
          </w:p>
        </w:tc>
        <w:tc>
          <w:tcPr>
            <w:tcW w:w="443" w:type="pct"/>
            <w:tcBorders>
              <w:right w:val="double" w:sz="4" w:space="0" w:color="auto"/>
            </w:tcBorders>
            <w:hideMark/>
          </w:tcPr>
          <w:p w14:paraId="7C4CD043" w14:textId="77777777" w:rsidR="00C5549D" w:rsidRPr="007532BD" w:rsidRDefault="00C5549D" w:rsidP="002F3C17">
            <w:pPr>
              <w:pStyle w:val="ExhibitText"/>
              <w:jc w:val="right"/>
            </w:pPr>
            <w:r w:rsidRPr="007532BD">
              <w:t>(1,563)</w:t>
            </w:r>
          </w:p>
        </w:tc>
        <w:tc>
          <w:tcPr>
            <w:tcW w:w="443" w:type="pct"/>
            <w:tcBorders>
              <w:left w:val="double" w:sz="4" w:space="0" w:color="auto"/>
            </w:tcBorders>
            <w:hideMark/>
          </w:tcPr>
          <w:p w14:paraId="5D8AC4D8" w14:textId="77777777" w:rsidR="00C5549D" w:rsidRPr="007532BD" w:rsidRDefault="00C5549D" w:rsidP="002F3C17">
            <w:pPr>
              <w:pStyle w:val="ExhibitText"/>
              <w:jc w:val="right"/>
            </w:pPr>
            <w:r w:rsidRPr="007532BD">
              <w:t>(7,442)</w:t>
            </w:r>
          </w:p>
        </w:tc>
        <w:tc>
          <w:tcPr>
            <w:tcW w:w="443" w:type="pct"/>
            <w:tcBorders>
              <w:left w:val="single" w:sz="4" w:space="0" w:color="auto"/>
            </w:tcBorders>
            <w:hideMark/>
          </w:tcPr>
          <w:p w14:paraId="51D1409F" w14:textId="46378364" w:rsidR="00C5549D" w:rsidRPr="007532BD" w:rsidRDefault="00C5549D" w:rsidP="002F3C17">
            <w:pPr>
              <w:pStyle w:val="ExhibitText"/>
              <w:jc w:val="right"/>
            </w:pPr>
            <w:r w:rsidRPr="007532BD">
              <w:t>(9,899)</w:t>
            </w:r>
          </w:p>
        </w:tc>
        <w:tc>
          <w:tcPr>
            <w:tcW w:w="441" w:type="pct"/>
            <w:hideMark/>
          </w:tcPr>
          <w:p w14:paraId="61F52706" w14:textId="77777777" w:rsidR="00C5549D" w:rsidRPr="007532BD" w:rsidRDefault="00C5549D" w:rsidP="002F3C17">
            <w:pPr>
              <w:pStyle w:val="ExhibitText"/>
              <w:jc w:val="right"/>
            </w:pPr>
            <w:r w:rsidRPr="007532BD">
              <w:t>(1,592)</w:t>
            </w:r>
          </w:p>
        </w:tc>
      </w:tr>
      <w:tr w:rsidR="003E6299" w:rsidRPr="007532BD" w14:paraId="6D8F61CA" w14:textId="77777777" w:rsidTr="00041A76">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hideMark/>
          </w:tcPr>
          <w:p w14:paraId="79A7D26D" w14:textId="77777777" w:rsidR="00C5549D" w:rsidRPr="007532BD" w:rsidRDefault="00C5549D" w:rsidP="009A6B9D">
            <w:pPr>
              <w:pStyle w:val="ExhibitText"/>
              <w:jc w:val="left"/>
            </w:pPr>
            <w:r w:rsidRPr="007532BD">
              <w:t>Product development expenses</w:t>
            </w:r>
          </w:p>
        </w:tc>
        <w:tc>
          <w:tcPr>
            <w:tcW w:w="442" w:type="pct"/>
            <w:shd w:val="clear" w:color="auto" w:fill="auto"/>
            <w:hideMark/>
          </w:tcPr>
          <w:p w14:paraId="65F207CE" w14:textId="77777777" w:rsidR="00C5549D" w:rsidRPr="007532BD" w:rsidRDefault="00C5549D" w:rsidP="002F3C17">
            <w:pPr>
              <w:pStyle w:val="ExhibitText"/>
              <w:jc w:val="right"/>
            </w:pPr>
            <w:r w:rsidRPr="007532BD">
              <w:t>(1,135)</w:t>
            </w:r>
          </w:p>
        </w:tc>
        <w:tc>
          <w:tcPr>
            <w:tcW w:w="443" w:type="pct"/>
            <w:shd w:val="clear" w:color="auto" w:fill="auto"/>
            <w:hideMark/>
          </w:tcPr>
          <w:p w14:paraId="6CB01CD1" w14:textId="77777777" w:rsidR="00C5549D" w:rsidRPr="007532BD" w:rsidRDefault="00C5549D" w:rsidP="002F3C17">
            <w:pPr>
              <w:pStyle w:val="ExhibitText"/>
              <w:jc w:val="right"/>
            </w:pPr>
            <w:r w:rsidRPr="007532BD">
              <w:t>(2,062)</w:t>
            </w:r>
          </w:p>
        </w:tc>
        <w:tc>
          <w:tcPr>
            <w:tcW w:w="443" w:type="pct"/>
            <w:tcBorders>
              <w:right w:val="single" w:sz="4" w:space="0" w:color="auto"/>
            </w:tcBorders>
            <w:shd w:val="clear" w:color="auto" w:fill="auto"/>
            <w:hideMark/>
          </w:tcPr>
          <w:p w14:paraId="4A3E8CB5" w14:textId="77777777" w:rsidR="00C5549D" w:rsidRPr="007532BD" w:rsidRDefault="00C5549D" w:rsidP="002F3C17">
            <w:pPr>
              <w:pStyle w:val="ExhibitText"/>
              <w:jc w:val="right"/>
            </w:pPr>
            <w:r w:rsidRPr="007532BD">
              <w:t>(2,897)</w:t>
            </w:r>
          </w:p>
        </w:tc>
        <w:tc>
          <w:tcPr>
            <w:tcW w:w="442" w:type="pct"/>
            <w:tcBorders>
              <w:left w:val="single" w:sz="4" w:space="0" w:color="auto"/>
            </w:tcBorders>
            <w:shd w:val="clear" w:color="auto" w:fill="auto"/>
            <w:hideMark/>
          </w:tcPr>
          <w:p w14:paraId="54A9934B" w14:textId="77777777" w:rsidR="00C5549D" w:rsidRPr="007532BD" w:rsidRDefault="00C5549D" w:rsidP="002F3C17">
            <w:pPr>
              <w:pStyle w:val="ExhibitText"/>
              <w:jc w:val="right"/>
            </w:pPr>
            <w:r w:rsidRPr="007532BD">
              <w:t>(3,753)</w:t>
            </w:r>
          </w:p>
        </w:tc>
        <w:tc>
          <w:tcPr>
            <w:tcW w:w="443" w:type="pct"/>
            <w:tcBorders>
              <w:right w:val="double" w:sz="4" w:space="0" w:color="auto"/>
            </w:tcBorders>
            <w:shd w:val="clear" w:color="auto" w:fill="auto"/>
            <w:hideMark/>
          </w:tcPr>
          <w:p w14:paraId="60D421E9" w14:textId="77777777" w:rsidR="00C5549D" w:rsidRPr="007532BD" w:rsidRDefault="00C5549D" w:rsidP="002F3C17">
            <w:pPr>
              <w:pStyle w:val="ExhibitText"/>
              <w:jc w:val="right"/>
            </w:pPr>
            <w:r w:rsidRPr="007532BD">
              <w:t>(604)</w:t>
            </w:r>
          </w:p>
        </w:tc>
        <w:tc>
          <w:tcPr>
            <w:tcW w:w="443" w:type="pct"/>
            <w:tcBorders>
              <w:left w:val="double" w:sz="4" w:space="0" w:color="auto"/>
            </w:tcBorders>
            <w:shd w:val="clear" w:color="auto" w:fill="auto"/>
            <w:hideMark/>
          </w:tcPr>
          <w:p w14:paraId="5434A6F3" w14:textId="77777777" w:rsidR="00C5549D" w:rsidRPr="007532BD" w:rsidRDefault="00C5549D" w:rsidP="002F3C17">
            <w:pPr>
              <w:pStyle w:val="ExhibitText"/>
              <w:jc w:val="right"/>
            </w:pPr>
            <w:r w:rsidRPr="007532BD">
              <w:t>(2,899)</w:t>
            </w:r>
          </w:p>
        </w:tc>
        <w:tc>
          <w:tcPr>
            <w:tcW w:w="443" w:type="pct"/>
            <w:tcBorders>
              <w:left w:val="single" w:sz="4" w:space="0" w:color="auto"/>
            </w:tcBorders>
            <w:shd w:val="clear" w:color="auto" w:fill="auto"/>
            <w:hideMark/>
          </w:tcPr>
          <w:p w14:paraId="25D30DF4" w14:textId="71D34A2F" w:rsidR="00C5549D" w:rsidRPr="007532BD" w:rsidRDefault="00C5549D" w:rsidP="002F3C17">
            <w:pPr>
              <w:pStyle w:val="ExhibitText"/>
              <w:jc w:val="right"/>
            </w:pPr>
            <w:r w:rsidRPr="007532BD">
              <w:t>(3,893)</w:t>
            </w:r>
          </w:p>
        </w:tc>
        <w:tc>
          <w:tcPr>
            <w:tcW w:w="441" w:type="pct"/>
            <w:shd w:val="clear" w:color="auto" w:fill="auto"/>
            <w:hideMark/>
          </w:tcPr>
          <w:p w14:paraId="07B2B326" w14:textId="77777777" w:rsidR="00C5549D" w:rsidRPr="007532BD" w:rsidRDefault="00C5549D" w:rsidP="002F3C17">
            <w:pPr>
              <w:pStyle w:val="ExhibitText"/>
              <w:jc w:val="right"/>
            </w:pPr>
            <w:r w:rsidRPr="007532BD">
              <w:t>(626)</w:t>
            </w:r>
          </w:p>
        </w:tc>
      </w:tr>
      <w:tr w:rsidR="00C5549D" w:rsidRPr="007532BD" w14:paraId="588C629D" w14:textId="77777777" w:rsidTr="00041A76">
        <w:trPr>
          <w:trHeight w:val="331"/>
        </w:trPr>
        <w:tc>
          <w:tcPr>
            <w:tcW w:w="1460" w:type="pct"/>
            <w:hideMark/>
          </w:tcPr>
          <w:p w14:paraId="30A769EF" w14:textId="77777777" w:rsidR="00C5549D" w:rsidRPr="007532BD" w:rsidRDefault="00C5549D" w:rsidP="009A6B9D">
            <w:pPr>
              <w:pStyle w:val="ExhibitText"/>
              <w:jc w:val="left"/>
            </w:pPr>
            <w:r w:rsidRPr="007532BD">
              <w:t>Sales and marketing expenses</w:t>
            </w:r>
          </w:p>
        </w:tc>
        <w:tc>
          <w:tcPr>
            <w:tcW w:w="442" w:type="pct"/>
            <w:hideMark/>
          </w:tcPr>
          <w:p w14:paraId="58347C5C" w14:textId="77777777" w:rsidR="00C5549D" w:rsidRPr="007532BD" w:rsidRDefault="00C5549D" w:rsidP="002F3C17">
            <w:pPr>
              <w:pStyle w:val="ExhibitText"/>
              <w:jc w:val="right"/>
            </w:pPr>
            <w:r w:rsidRPr="007532BD">
              <w:t>(2,335)</w:t>
            </w:r>
          </w:p>
        </w:tc>
        <w:tc>
          <w:tcPr>
            <w:tcW w:w="443" w:type="pct"/>
            <w:hideMark/>
          </w:tcPr>
          <w:p w14:paraId="6E441D2A" w14:textId="77777777" w:rsidR="00C5549D" w:rsidRPr="007532BD" w:rsidRDefault="00C5549D" w:rsidP="002F3C17">
            <w:pPr>
              <w:pStyle w:val="ExhibitText"/>
              <w:jc w:val="right"/>
            </w:pPr>
            <w:r w:rsidRPr="007532BD">
              <w:t>(3,154)</w:t>
            </w:r>
          </w:p>
        </w:tc>
        <w:tc>
          <w:tcPr>
            <w:tcW w:w="443" w:type="pct"/>
            <w:tcBorders>
              <w:right w:val="single" w:sz="4" w:space="0" w:color="auto"/>
            </w:tcBorders>
            <w:hideMark/>
          </w:tcPr>
          <w:p w14:paraId="49583BF7" w14:textId="77777777" w:rsidR="00C5549D" w:rsidRPr="007532BD" w:rsidRDefault="00C5549D" w:rsidP="002F3C17">
            <w:pPr>
              <w:pStyle w:val="ExhibitText"/>
              <w:jc w:val="right"/>
            </w:pPr>
            <w:r w:rsidRPr="007532BD">
              <w:t>(3,058)</w:t>
            </w:r>
          </w:p>
        </w:tc>
        <w:tc>
          <w:tcPr>
            <w:tcW w:w="442" w:type="pct"/>
            <w:tcBorders>
              <w:left w:val="single" w:sz="4" w:space="0" w:color="auto"/>
            </w:tcBorders>
            <w:hideMark/>
          </w:tcPr>
          <w:p w14:paraId="22BAE503" w14:textId="77777777" w:rsidR="00C5549D" w:rsidRPr="007532BD" w:rsidRDefault="00C5549D" w:rsidP="002F3C17">
            <w:pPr>
              <w:pStyle w:val="ExhibitText"/>
              <w:jc w:val="right"/>
            </w:pPr>
            <w:r w:rsidRPr="007532BD">
              <w:t>(3,613)</w:t>
            </w:r>
          </w:p>
        </w:tc>
        <w:tc>
          <w:tcPr>
            <w:tcW w:w="443" w:type="pct"/>
            <w:tcBorders>
              <w:right w:val="double" w:sz="4" w:space="0" w:color="auto"/>
            </w:tcBorders>
            <w:hideMark/>
          </w:tcPr>
          <w:p w14:paraId="02B749AA" w14:textId="77777777" w:rsidR="00C5549D" w:rsidRPr="007532BD" w:rsidRDefault="00C5549D" w:rsidP="002F3C17">
            <w:pPr>
              <w:pStyle w:val="ExhibitText"/>
              <w:jc w:val="right"/>
            </w:pPr>
            <w:r w:rsidRPr="007532BD">
              <w:t>(581)</w:t>
            </w:r>
          </w:p>
        </w:tc>
        <w:tc>
          <w:tcPr>
            <w:tcW w:w="443" w:type="pct"/>
            <w:tcBorders>
              <w:left w:val="double" w:sz="4" w:space="0" w:color="auto"/>
            </w:tcBorders>
            <w:hideMark/>
          </w:tcPr>
          <w:p w14:paraId="0AFF8A07" w14:textId="77777777" w:rsidR="00C5549D" w:rsidRPr="007532BD" w:rsidRDefault="00C5549D" w:rsidP="002F3C17">
            <w:pPr>
              <w:pStyle w:val="ExhibitText"/>
              <w:jc w:val="right"/>
            </w:pPr>
            <w:r w:rsidRPr="007532BD">
              <w:t>(3,092)</w:t>
            </w:r>
          </w:p>
        </w:tc>
        <w:tc>
          <w:tcPr>
            <w:tcW w:w="443" w:type="pct"/>
            <w:tcBorders>
              <w:left w:val="single" w:sz="4" w:space="0" w:color="auto"/>
            </w:tcBorders>
            <w:hideMark/>
          </w:tcPr>
          <w:p w14:paraId="3D02F51E" w14:textId="7D3DD1E6" w:rsidR="00C5549D" w:rsidRPr="007532BD" w:rsidRDefault="00C5549D" w:rsidP="002F3C17">
            <w:pPr>
              <w:pStyle w:val="ExhibitText"/>
              <w:jc w:val="right"/>
            </w:pPr>
            <w:r w:rsidRPr="007532BD">
              <w:t>(3,267)</w:t>
            </w:r>
          </w:p>
        </w:tc>
        <w:tc>
          <w:tcPr>
            <w:tcW w:w="441" w:type="pct"/>
            <w:hideMark/>
          </w:tcPr>
          <w:p w14:paraId="614CC0C6" w14:textId="77777777" w:rsidR="00C5549D" w:rsidRPr="007532BD" w:rsidRDefault="00C5549D" w:rsidP="002F3C17">
            <w:pPr>
              <w:pStyle w:val="ExhibitText"/>
              <w:jc w:val="right"/>
            </w:pPr>
            <w:r w:rsidRPr="007532BD">
              <w:t>(526)</w:t>
            </w:r>
          </w:p>
        </w:tc>
      </w:tr>
      <w:tr w:rsidR="003E6299" w:rsidRPr="007532BD" w14:paraId="3EE17F6F" w14:textId="77777777" w:rsidTr="00041A76">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hideMark/>
          </w:tcPr>
          <w:p w14:paraId="1CB01673" w14:textId="77777777" w:rsidR="00C5549D" w:rsidRPr="007532BD" w:rsidRDefault="00C5549D" w:rsidP="009A6B9D">
            <w:pPr>
              <w:pStyle w:val="ExhibitText"/>
              <w:jc w:val="left"/>
            </w:pPr>
            <w:r w:rsidRPr="007532BD">
              <w:t>General and administrative expenses</w:t>
            </w:r>
          </w:p>
        </w:tc>
        <w:tc>
          <w:tcPr>
            <w:tcW w:w="442" w:type="pct"/>
            <w:shd w:val="clear" w:color="auto" w:fill="auto"/>
            <w:hideMark/>
          </w:tcPr>
          <w:p w14:paraId="5A901E83" w14:textId="77777777" w:rsidR="00C5549D" w:rsidRPr="007532BD" w:rsidRDefault="00C5549D" w:rsidP="002F3C17">
            <w:pPr>
              <w:pStyle w:val="ExhibitText"/>
              <w:jc w:val="right"/>
            </w:pPr>
            <w:r w:rsidRPr="007532BD">
              <w:t>(1,000)</w:t>
            </w:r>
          </w:p>
        </w:tc>
        <w:tc>
          <w:tcPr>
            <w:tcW w:w="443" w:type="pct"/>
            <w:shd w:val="clear" w:color="auto" w:fill="auto"/>
            <w:hideMark/>
          </w:tcPr>
          <w:p w14:paraId="2D25D75D" w14:textId="77777777" w:rsidR="00C5549D" w:rsidRPr="007532BD" w:rsidRDefault="00C5549D" w:rsidP="002F3C17">
            <w:pPr>
              <w:pStyle w:val="ExhibitText"/>
              <w:jc w:val="right"/>
            </w:pPr>
            <w:r w:rsidRPr="007532BD">
              <w:t>(1,724)</w:t>
            </w:r>
          </w:p>
        </w:tc>
        <w:tc>
          <w:tcPr>
            <w:tcW w:w="443" w:type="pct"/>
            <w:tcBorders>
              <w:right w:val="single" w:sz="4" w:space="0" w:color="auto"/>
            </w:tcBorders>
            <w:shd w:val="clear" w:color="auto" w:fill="auto"/>
            <w:hideMark/>
          </w:tcPr>
          <w:p w14:paraId="390CC0F6" w14:textId="77777777" w:rsidR="00C5549D" w:rsidRPr="007532BD" w:rsidRDefault="00C5549D" w:rsidP="002F3C17">
            <w:pPr>
              <w:pStyle w:val="ExhibitText"/>
              <w:jc w:val="right"/>
            </w:pPr>
            <w:r w:rsidRPr="007532BD">
              <w:t>(2,211)</w:t>
            </w:r>
          </w:p>
        </w:tc>
        <w:tc>
          <w:tcPr>
            <w:tcW w:w="442" w:type="pct"/>
            <w:tcBorders>
              <w:left w:val="single" w:sz="4" w:space="0" w:color="auto"/>
            </w:tcBorders>
            <w:shd w:val="clear" w:color="auto" w:fill="auto"/>
            <w:hideMark/>
          </w:tcPr>
          <w:p w14:paraId="51CEE0E6" w14:textId="77777777" w:rsidR="00C5549D" w:rsidRPr="007532BD" w:rsidRDefault="00C5549D" w:rsidP="002F3C17">
            <w:pPr>
              <w:pStyle w:val="ExhibitText"/>
              <w:jc w:val="right"/>
            </w:pPr>
            <w:r w:rsidRPr="007532BD">
              <w:t>(2,889)</w:t>
            </w:r>
          </w:p>
        </w:tc>
        <w:tc>
          <w:tcPr>
            <w:tcW w:w="443" w:type="pct"/>
            <w:tcBorders>
              <w:right w:val="double" w:sz="4" w:space="0" w:color="auto"/>
            </w:tcBorders>
            <w:shd w:val="clear" w:color="auto" w:fill="auto"/>
            <w:hideMark/>
          </w:tcPr>
          <w:p w14:paraId="1AC3C2F9" w14:textId="77777777" w:rsidR="00C5549D" w:rsidRPr="007532BD" w:rsidRDefault="00C5549D" w:rsidP="002F3C17">
            <w:pPr>
              <w:pStyle w:val="ExhibitText"/>
              <w:jc w:val="right"/>
            </w:pPr>
            <w:r w:rsidRPr="007532BD">
              <w:t>(465)</w:t>
            </w:r>
          </w:p>
        </w:tc>
        <w:tc>
          <w:tcPr>
            <w:tcW w:w="443" w:type="pct"/>
            <w:tcBorders>
              <w:left w:val="double" w:sz="4" w:space="0" w:color="auto"/>
            </w:tcBorders>
            <w:shd w:val="clear" w:color="auto" w:fill="auto"/>
            <w:hideMark/>
          </w:tcPr>
          <w:p w14:paraId="35023A39" w14:textId="77777777" w:rsidR="00C5549D" w:rsidRPr="007532BD" w:rsidRDefault="00C5549D" w:rsidP="002F3C17">
            <w:pPr>
              <w:pStyle w:val="ExhibitText"/>
              <w:jc w:val="right"/>
            </w:pPr>
            <w:r w:rsidRPr="007532BD">
              <w:t>(2,344)</w:t>
            </w:r>
          </w:p>
        </w:tc>
        <w:tc>
          <w:tcPr>
            <w:tcW w:w="443" w:type="pct"/>
            <w:tcBorders>
              <w:left w:val="single" w:sz="4" w:space="0" w:color="auto"/>
            </w:tcBorders>
            <w:shd w:val="clear" w:color="auto" w:fill="auto"/>
            <w:hideMark/>
          </w:tcPr>
          <w:p w14:paraId="28A9C686" w14:textId="6EB19A9A" w:rsidR="00C5549D" w:rsidRPr="007532BD" w:rsidRDefault="00C5549D" w:rsidP="002F3C17">
            <w:pPr>
              <w:pStyle w:val="ExhibitText"/>
              <w:jc w:val="right"/>
            </w:pPr>
            <w:r w:rsidRPr="007532BD">
              <w:t>(3,704)</w:t>
            </w:r>
          </w:p>
        </w:tc>
        <w:tc>
          <w:tcPr>
            <w:tcW w:w="441" w:type="pct"/>
            <w:shd w:val="clear" w:color="auto" w:fill="auto"/>
            <w:hideMark/>
          </w:tcPr>
          <w:p w14:paraId="55EEA29F" w14:textId="77777777" w:rsidR="00C5549D" w:rsidRPr="007532BD" w:rsidRDefault="00C5549D" w:rsidP="002F3C17">
            <w:pPr>
              <w:pStyle w:val="ExhibitText"/>
              <w:jc w:val="right"/>
            </w:pPr>
            <w:r w:rsidRPr="007532BD">
              <w:t>(596)</w:t>
            </w:r>
          </w:p>
        </w:tc>
      </w:tr>
      <w:tr w:rsidR="00C5549D" w:rsidRPr="007532BD" w14:paraId="3CC9A4A6" w14:textId="77777777" w:rsidTr="00041A76">
        <w:trPr>
          <w:trHeight w:val="331"/>
        </w:trPr>
        <w:tc>
          <w:tcPr>
            <w:tcW w:w="1460" w:type="pct"/>
            <w:hideMark/>
          </w:tcPr>
          <w:p w14:paraId="6BE29EB6" w14:textId="77777777" w:rsidR="00C5549D" w:rsidRPr="007532BD" w:rsidRDefault="00C5549D" w:rsidP="009A6B9D">
            <w:pPr>
              <w:pStyle w:val="ExhibitText"/>
              <w:jc w:val="left"/>
            </w:pPr>
            <w:r w:rsidRPr="007532BD">
              <w:t>Amortization of intangible assets</w:t>
            </w:r>
          </w:p>
        </w:tc>
        <w:tc>
          <w:tcPr>
            <w:tcW w:w="442" w:type="pct"/>
            <w:hideMark/>
          </w:tcPr>
          <w:p w14:paraId="56F50B81" w14:textId="77777777" w:rsidR="00C5549D" w:rsidRPr="007532BD" w:rsidRDefault="00C5549D" w:rsidP="002F3C17">
            <w:pPr>
              <w:pStyle w:val="ExhibitText"/>
              <w:jc w:val="right"/>
            </w:pPr>
            <w:r w:rsidRPr="007532BD">
              <w:t>(131)</w:t>
            </w:r>
          </w:p>
        </w:tc>
        <w:tc>
          <w:tcPr>
            <w:tcW w:w="443" w:type="pct"/>
            <w:hideMark/>
          </w:tcPr>
          <w:p w14:paraId="24DFF9A5" w14:textId="77777777" w:rsidR="00C5549D" w:rsidRPr="007532BD" w:rsidRDefault="00C5549D" w:rsidP="002F3C17">
            <w:pPr>
              <w:pStyle w:val="ExhibitText"/>
              <w:jc w:val="right"/>
            </w:pPr>
            <w:r w:rsidRPr="007532BD">
              <w:t>(144)</w:t>
            </w:r>
          </w:p>
        </w:tc>
        <w:tc>
          <w:tcPr>
            <w:tcW w:w="443" w:type="pct"/>
            <w:tcBorders>
              <w:right w:val="single" w:sz="4" w:space="0" w:color="auto"/>
            </w:tcBorders>
            <w:hideMark/>
          </w:tcPr>
          <w:p w14:paraId="1FE882A0" w14:textId="77777777" w:rsidR="00C5549D" w:rsidRPr="007532BD" w:rsidRDefault="00C5549D" w:rsidP="002F3C17">
            <w:pPr>
              <w:pStyle w:val="ExhibitText"/>
              <w:jc w:val="right"/>
            </w:pPr>
            <w:r w:rsidRPr="007532BD">
              <w:t>(155)</w:t>
            </w:r>
          </w:p>
        </w:tc>
        <w:tc>
          <w:tcPr>
            <w:tcW w:w="442" w:type="pct"/>
            <w:tcBorders>
              <w:left w:val="single" w:sz="4" w:space="0" w:color="auto"/>
            </w:tcBorders>
            <w:hideMark/>
          </w:tcPr>
          <w:p w14:paraId="1FAF2DF6" w14:textId="77777777" w:rsidR="00C5549D" w:rsidRPr="007532BD" w:rsidRDefault="00C5549D" w:rsidP="002F3C17">
            <w:pPr>
              <w:pStyle w:val="ExhibitText"/>
              <w:jc w:val="right"/>
            </w:pPr>
            <w:r w:rsidRPr="007532BD">
              <w:t>(130)</w:t>
            </w:r>
          </w:p>
        </w:tc>
        <w:tc>
          <w:tcPr>
            <w:tcW w:w="443" w:type="pct"/>
            <w:tcBorders>
              <w:right w:val="double" w:sz="4" w:space="0" w:color="auto"/>
            </w:tcBorders>
            <w:hideMark/>
          </w:tcPr>
          <w:p w14:paraId="207707F4" w14:textId="77777777" w:rsidR="00C5549D" w:rsidRPr="007532BD" w:rsidRDefault="00C5549D" w:rsidP="002F3C17">
            <w:pPr>
              <w:pStyle w:val="ExhibitText"/>
              <w:jc w:val="right"/>
            </w:pPr>
            <w:r w:rsidRPr="007532BD">
              <w:t>(21)</w:t>
            </w:r>
          </w:p>
        </w:tc>
        <w:tc>
          <w:tcPr>
            <w:tcW w:w="443" w:type="pct"/>
            <w:tcBorders>
              <w:left w:val="double" w:sz="4" w:space="0" w:color="auto"/>
            </w:tcBorders>
            <w:hideMark/>
          </w:tcPr>
          <w:p w14:paraId="62DC8180" w14:textId="77777777" w:rsidR="00C5549D" w:rsidRPr="007532BD" w:rsidRDefault="00C5549D" w:rsidP="002F3C17">
            <w:pPr>
              <w:pStyle w:val="ExhibitText"/>
              <w:jc w:val="right"/>
            </w:pPr>
            <w:r w:rsidRPr="007532BD">
              <w:t>(105)</w:t>
            </w:r>
          </w:p>
        </w:tc>
        <w:tc>
          <w:tcPr>
            <w:tcW w:w="443" w:type="pct"/>
            <w:tcBorders>
              <w:left w:val="single" w:sz="4" w:space="0" w:color="auto"/>
            </w:tcBorders>
            <w:hideMark/>
          </w:tcPr>
          <w:p w14:paraId="61D7BA6E" w14:textId="4074CFB0" w:rsidR="00C5549D" w:rsidRPr="007532BD" w:rsidRDefault="00C5549D" w:rsidP="002F3C17">
            <w:pPr>
              <w:pStyle w:val="ExhibitText"/>
              <w:jc w:val="right"/>
            </w:pPr>
            <w:r w:rsidRPr="007532BD">
              <w:t>(197)</w:t>
            </w:r>
          </w:p>
        </w:tc>
        <w:tc>
          <w:tcPr>
            <w:tcW w:w="441" w:type="pct"/>
            <w:hideMark/>
          </w:tcPr>
          <w:p w14:paraId="2D15EA48" w14:textId="77777777" w:rsidR="00C5549D" w:rsidRPr="007532BD" w:rsidRDefault="00C5549D" w:rsidP="002F3C17">
            <w:pPr>
              <w:pStyle w:val="ExhibitText"/>
              <w:jc w:val="right"/>
            </w:pPr>
            <w:r w:rsidRPr="007532BD">
              <w:t>(32)</w:t>
            </w:r>
          </w:p>
        </w:tc>
      </w:tr>
      <w:tr w:rsidR="003E6299" w:rsidRPr="007532BD" w14:paraId="0E0F8188" w14:textId="77777777" w:rsidTr="00041A76">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hideMark/>
          </w:tcPr>
          <w:p w14:paraId="1EBE3BA4" w14:textId="77777777" w:rsidR="00C5549D" w:rsidRPr="007532BD" w:rsidRDefault="00C5549D" w:rsidP="009A6B9D">
            <w:pPr>
              <w:pStyle w:val="ExhibitText"/>
              <w:jc w:val="left"/>
            </w:pPr>
            <w:r w:rsidRPr="007532BD">
              <w:t>Impairment of goodwill and intangible assets</w:t>
            </w:r>
          </w:p>
        </w:tc>
        <w:tc>
          <w:tcPr>
            <w:tcW w:w="442" w:type="pct"/>
            <w:shd w:val="clear" w:color="auto" w:fill="auto"/>
            <w:hideMark/>
          </w:tcPr>
          <w:p w14:paraId="199C0DEF" w14:textId="77777777" w:rsidR="00C5549D" w:rsidRPr="007532BD" w:rsidRDefault="00C5549D" w:rsidP="002F3C17">
            <w:pPr>
              <w:pStyle w:val="ExhibitText"/>
              <w:jc w:val="right"/>
            </w:pPr>
            <w:r w:rsidRPr="007532BD">
              <w:t>(1,308)</w:t>
            </w:r>
          </w:p>
        </w:tc>
        <w:tc>
          <w:tcPr>
            <w:tcW w:w="443" w:type="pct"/>
            <w:shd w:val="clear" w:color="auto" w:fill="auto"/>
            <w:noWrap/>
            <w:hideMark/>
          </w:tcPr>
          <w:p w14:paraId="351348C4" w14:textId="77777777" w:rsidR="00C5549D" w:rsidRPr="007532BD" w:rsidRDefault="00C5549D" w:rsidP="002F3C17">
            <w:pPr>
              <w:pStyle w:val="ExhibitText"/>
              <w:jc w:val="right"/>
            </w:pPr>
            <w:r w:rsidRPr="007532BD">
              <w:t>—</w:t>
            </w:r>
          </w:p>
        </w:tc>
        <w:tc>
          <w:tcPr>
            <w:tcW w:w="443" w:type="pct"/>
            <w:tcBorders>
              <w:right w:val="single" w:sz="4" w:space="0" w:color="auto"/>
            </w:tcBorders>
            <w:shd w:val="clear" w:color="auto" w:fill="auto"/>
            <w:hideMark/>
          </w:tcPr>
          <w:p w14:paraId="5E8B5024" w14:textId="77777777" w:rsidR="00C5549D" w:rsidRPr="007532BD" w:rsidRDefault="00C5549D" w:rsidP="002F3C17">
            <w:pPr>
              <w:pStyle w:val="ExhibitText"/>
              <w:jc w:val="right"/>
            </w:pPr>
            <w:r w:rsidRPr="007532BD">
              <w:t>(135)</w:t>
            </w:r>
          </w:p>
        </w:tc>
        <w:tc>
          <w:tcPr>
            <w:tcW w:w="442" w:type="pct"/>
            <w:tcBorders>
              <w:left w:val="single" w:sz="4" w:space="0" w:color="auto"/>
            </w:tcBorders>
            <w:shd w:val="clear" w:color="auto" w:fill="auto"/>
            <w:hideMark/>
          </w:tcPr>
          <w:p w14:paraId="6CC6AFE9" w14:textId="77777777" w:rsidR="00C5549D" w:rsidRPr="007532BD" w:rsidRDefault="00C5549D" w:rsidP="002F3C17">
            <w:pPr>
              <w:pStyle w:val="ExhibitText"/>
              <w:jc w:val="right"/>
            </w:pPr>
            <w:r w:rsidRPr="007532BD">
              <w:t>(175)</w:t>
            </w:r>
          </w:p>
        </w:tc>
        <w:tc>
          <w:tcPr>
            <w:tcW w:w="443" w:type="pct"/>
            <w:tcBorders>
              <w:right w:val="double" w:sz="4" w:space="0" w:color="auto"/>
            </w:tcBorders>
            <w:shd w:val="clear" w:color="auto" w:fill="auto"/>
            <w:hideMark/>
          </w:tcPr>
          <w:p w14:paraId="3D2E0610" w14:textId="77777777" w:rsidR="00C5549D" w:rsidRPr="007532BD" w:rsidRDefault="00C5549D" w:rsidP="002F3C17">
            <w:pPr>
              <w:pStyle w:val="ExhibitText"/>
              <w:jc w:val="right"/>
            </w:pPr>
            <w:r w:rsidRPr="007532BD">
              <w:t>(28)</w:t>
            </w:r>
          </w:p>
        </w:tc>
        <w:tc>
          <w:tcPr>
            <w:tcW w:w="443" w:type="pct"/>
            <w:tcBorders>
              <w:left w:val="double" w:sz="4" w:space="0" w:color="auto"/>
            </w:tcBorders>
            <w:shd w:val="clear" w:color="auto" w:fill="auto"/>
            <w:hideMark/>
          </w:tcPr>
          <w:p w14:paraId="32130066" w14:textId="77777777" w:rsidR="00C5549D" w:rsidRPr="007532BD" w:rsidRDefault="00C5549D" w:rsidP="002F3C17">
            <w:pPr>
              <w:pStyle w:val="ExhibitText"/>
              <w:jc w:val="right"/>
            </w:pPr>
            <w:r w:rsidRPr="007532BD">
              <w:t>(175)</w:t>
            </w:r>
          </w:p>
        </w:tc>
        <w:tc>
          <w:tcPr>
            <w:tcW w:w="443" w:type="pct"/>
            <w:tcBorders>
              <w:left w:val="single" w:sz="4" w:space="0" w:color="auto"/>
            </w:tcBorders>
            <w:shd w:val="clear" w:color="auto" w:fill="auto"/>
            <w:hideMark/>
          </w:tcPr>
          <w:p w14:paraId="78E2E26C" w14:textId="12EB912B" w:rsidR="00C5549D" w:rsidRPr="007532BD" w:rsidRDefault="00C5549D" w:rsidP="002F3C17">
            <w:pPr>
              <w:pStyle w:val="ExhibitText"/>
              <w:jc w:val="right"/>
            </w:pPr>
            <w:r w:rsidRPr="007532BD">
              <w:t>(44)</w:t>
            </w:r>
          </w:p>
        </w:tc>
        <w:tc>
          <w:tcPr>
            <w:tcW w:w="441" w:type="pct"/>
            <w:shd w:val="clear" w:color="auto" w:fill="auto"/>
            <w:hideMark/>
          </w:tcPr>
          <w:p w14:paraId="506D5981" w14:textId="77777777" w:rsidR="00C5549D" w:rsidRPr="007532BD" w:rsidRDefault="00C5549D" w:rsidP="002F3C17">
            <w:pPr>
              <w:pStyle w:val="ExhibitText"/>
              <w:jc w:val="right"/>
            </w:pPr>
            <w:r w:rsidRPr="007532BD">
              <w:t>(7)</w:t>
            </w:r>
          </w:p>
        </w:tc>
      </w:tr>
      <w:tr w:rsidR="00C5549D" w:rsidRPr="007532BD" w14:paraId="55E89823" w14:textId="77777777" w:rsidTr="00041A76">
        <w:trPr>
          <w:trHeight w:val="331"/>
        </w:trPr>
        <w:tc>
          <w:tcPr>
            <w:tcW w:w="1460" w:type="pct"/>
            <w:hideMark/>
          </w:tcPr>
          <w:p w14:paraId="03E905D1" w14:textId="77777777" w:rsidR="00C5549D" w:rsidRPr="007532BD" w:rsidRDefault="00C5549D" w:rsidP="009A6B9D">
            <w:pPr>
              <w:pStyle w:val="ExhibitText"/>
              <w:jc w:val="left"/>
            </w:pPr>
            <w:r w:rsidRPr="007532BD">
              <w:t>Yahoo TIPLA amendment payment</w:t>
            </w:r>
          </w:p>
        </w:tc>
        <w:tc>
          <w:tcPr>
            <w:tcW w:w="442" w:type="pct"/>
            <w:noWrap/>
            <w:hideMark/>
          </w:tcPr>
          <w:p w14:paraId="5916583C" w14:textId="77777777" w:rsidR="00C5549D" w:rsidRPr="007532BD" w:rsidRDefault="00C5549D" w:rsidP="002F3C17">
            <w:pPr>
              <w:pStyle w:val="ExhibitText"/>
              <w:jc w:val="right"/>
            </w:pPr>
            <w:r w:rsidRPr="007532BD">
              <w:t>—</w:t>
            </w:r>
          </w:p>
        </w:tc>
        <w:tc>
          <w:tcPr>
            <w:tcW w:w="443" w:type="pct"/>
            <w:noWrap/>
            <w:hideMark/>
          </w:tcPr>
          <w:p w14:paraId="4B337E5C" w14:textId="77777777" w:rsidR="00C5549D" w:rsidRPr="007532BD" w:rsidRDefault="00C5549D" w:rsidP="002F3C17">
            <w:pPr>
              <w:pStyle w:val="ExhibitText"/>
              <w:jc w:val="right"/>
            </w:pPr>
            <w:r w:rsidRPr="007532BD">
              <w:t>—</w:t>
            </w:r>
          </w:p>
        </w:tc>
        <w:tc>
          <w:tcPr>
            <w:tcW w:w="443" w:type="pct"/>
            <w:tcBorders>
              <w:right w:val="single" w:sz="4" w:space="0" w:color="auto"/>
            </w:tcBorders>
            <w:noWrap/>
            <w:hideMark/>
          </w:tcPr>
          <w:p w14:paraId="7813F066" w14:textId="77777777" w:rsidR="00C5549D" w:rsidRPr="007532BD" w:rsidRDefault="00C5549D" w:rsidP="002F3C17">
            <w:pPr>
              <w:pStyle w:val="ExhibitText"/>
              <w:jc w:val="right"/>
            </w:pPr>
            <w:r w:rsidRPr="007532BD">
              <w:t>—</w:t>
            </w:r>
          </w:p>
        </w:tc>
        <w:tc>
          <w:tcPr>
            <w:tcW w:w="442" w:type="pct"/>
            <w:tcBorders>
              <w:left w:val="single" w:sz="4" w:space="0" w:color="auto"/>
            </w:tcBorders>
            <w:hideMark/>
          </w:tcPr>
          <w:p w14:paraId="35BA59EE" w14:textId="77777777" w:rsidR="00C5549D" w:rsidRPr="007532BD" w:rsidRDefault="00C5549D" w:rsidP="002F3C17">
            <w:pPr>
              <w:pStyle w:val="ExhibitText"/>
              <w:jc w:val="right"/>
            </w:pPr>
            <w:r w:rsidRPr="007532BD">
              <w:t>(3,487)</w:t>
            </w:r>
          </w:p>
        </w:tc>
        <w:tc>
          <w:tcPr>
            <w:tcW w:w="443" w:type="pct"/>
            <w:tcBorders>
              <w:right w:val="double" w:sz="4" w:space="0" w:color="auto"/>
            </w:tcBorders>
            <w:hideMark/>
          </w:tcPr>
          <w:p w14:paraId="58DF55F2" w14:textId="77777777" w:rsidR="00C5549D" w:rsidRPr="007532BD" w:rsidRDefault="00C5549D" w:rsidP="002F3C17">
            <w:pPr>
              <w:pStyle w:val="ExhibitText"/>
              <w:jc w:val="right"/>
            </w:pPr>
            <w:r w:rsidRPr="007532BD">
              <w:t>(561)</w:t>
            </w:r>
          </w:p>
        </w:tc>
        <w:tc>
          <w:tcPr>
            <w:tcW w:w="443" w:type="pct"/>
            <w:tcBorders>
              <w:left w:val="double" w:sz="4" w:space="0" w:color="auto"/>
            </w:tcBorders>
            <w:hideMark/>
          </w:tcPr>
          <w:p w14:paraId="5CABC9CA" w14:textId="77777777" w:rsidR="00C5549D" w:rsidRPr="007532BD" w:rsidRDefault="00C5549D" w:rsidP="002F3C17">
            <w:pPr>
              <w:pStyle w:val="ExhibitText"/>
              <w:jc w:val="right"/>
            </w:pPr>
            <w:r w:rsidRPr="007532BD">
              <w:t>(3,487)</w:t>
            </w:r>
          </w:p>
        </w:tc>
        <w:tc>
          <w:tcPr>
            <w:tcW w:w="443" w:type="pct"/>
            <w:tcBorders>
              <w:left w:val="single" w:sz="4" w:space="0" w:color="auto"/>
            </w:tcBorders>
            <w:noWrap/>
            <w:hideMark/>
          </w:tcPr>
          <w:p w14:paraId="6FE6F620" w14:textId="3E1A2885" w:rsidR="00C5549D" w:rsidRPr="007532BD" w:rsidRDefault="00C5549D" w:rsidP="002F3C17">
            <w:pPr>
              <w:pStyle w:val="ExhibitText"/>
              <w:jc w:val="right"/>
            </w:pPr>
            <w:r w:rsidRPr="007532BD">
              <w:t>—</w:t>
            </w:r>
          </w:p>
        </w:tc>
        <w:tc>
          <w:tcPr>
            <w:tcW w:w="441" w:type="pct"/>
            <w:noWrap/>
            <w:hideMark/>
          </w:tcPr>
          <w:p w14:paraId="7A0611DF" w14:textId="77777777" w:rsidR="00C5549D" w:rsidRPr="007532BD" w:rsidRDefault="00C5549D" w:rsidP="002F3C17">
            <w:pPr>
              <w:pStyle w:val="ExhibitText"/>
              <w:jc w:val="right"/>
            </w:pPr>
            <w:r w:rsidRPr="007532BD">
              <w:t>—</w:t>
            </w:r>
          </w:p>
        </w:tc>
      </w:tr>
      <w:tr w:rsidR="003E6299" w:rsidRPr="007532BD" w14:paraId="3043A5F5" w14:textId="77777777" w:rsidTr="00041A76">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hideMark/>
          </w:tcPr>
          <w:p w14:paraId="264C628A" w14:textId="77777777" w:rsidR="00C5549D" w:rsidRPr="007532BD" w:rsidRDefault="00C5549D" w:rsidP="009A6B9D">
            <w:pPr>
              <w:pStyle w:val="ExhibitText"/>
              <w:jc w:val="left"/>
            </w:pPr>
            <w:r w:rsidRPr="007532BD">
              <w:t>Income (loss) from operations</w:t>
            </w:r>
          </w:p>
        </w:tc>
        <w:tc>
          <w:tcPr>
            <w:tcW w:w="442" w:type="pct"/>
            <w:shd w:val="clear" w:color="auto" w:fill="auto"/>
            <w:hideMark/>
          </w:tcPr>
          <w:p w14:paraId="7F539D76" w14:textId="77777777" w:rsidR="00C5549D" w:rsidRPr="007532BD" w:rsidRDefault="00C5549D" w:rsidP="002F3C17">
            <w:pPr>
              <w:pStyle w:val="ExhibitText"/>
              <w:jc w:val="right"/>
            </w:pPr>
            <w:r w:rsidRPr="007532BD">
              <w:t>(873)</w:t>
            </w:r>
          </w:p>
        </w:tc>
        <w:tc>
          <w:tcPr>
            <w:tcW w:w="443" w:type="pct"/>
            <w:shd w:val="clear" w:color="auto" w:fill="auto"/>
            <w:hideMark/>
          </w:tcPr>
          <w:p w14:paraId="58656BCE" w14:textId="77777777" w:rsidR="00C5549D" w:rsidRPr="007532BD" w:rsidRDefault="00C5549D" w:rsidP="002F3C17">
            <w:pPr>
              <w:pStyle w:val="ExhibitText"/>
              <w:jc w:val="right"/>
            </w:pPr>
            <w:r w:rsidRPr="007532BD">
              <w:t>1,322</w:t>
            </w:r>
          </w:p>
        </w:tc>
        <w:tc>
          <w:tcPr>
            <w:tcW w:w="443" w:type="pct"/>
            <w:tcBorders>
              <w:right w:val="single" w:sz="4" w:space="0" w:color="auto"/>
            </w:tcBorders>
            <w:shd w:val="clear" w:color="auto" w:fill="auto"/>
            <w:hideMark/>
          </w:tcPr>
          <w:p w14:paraId="1451B583" w14:textId="77777777" w:rsidR="00C5549D" w:rsidRPr="007532BD" w:rsidRDefault="00C5549D" w:rsidP="002F3C17">
            <w:pPr>
              <w:pStyle w:val="ExhibitText"/>
              <w:jc w:val="right"/>
            </w:pPr>
            <w:r w:rsidRPr="007532BD">
              <w:t>5,015</w:t>
            </w:r>
          </w:p>
        </w:tc>
        <w:tc>
          <w:tcPr>
            <w:tcW w:w="442" w:type="pct"/>
            <w:tcBorders>
              <w:left w:val="single" w:sz="4" w:space="0" w:color="auto"/>
            </w:tcBorders>
            <w:shd w:val="clear" w:color="auto" w:fill="auto"/>
            <w:hideMark/>
          </w:tcPr>
          <w:p w14:paraId="17FD1044" w14:textId="77777777" w:rsidR="00C5549D" w:rsidRPr="007532BD" w:rsidRDefault="00C5549D" w:rsidP="002F3C17">
            <w:pPr>
              <w:pStyle w:val="ExhibitText"/>
              <w:jc w:val="right"/>
            </w:pPr>
            <w:r w:rsidRPr="007532BD">
              <w:t>10,751</w:t>
            </w:r>
          </w:p>
        </w:tc>
        <w:tc>
          <w:tcPr>
            <w:tcW w:w="443" w:type="pct"/>
            <w:tcBorders>
              <w:right w:val="double" w:sz="4" w:space="0" w:color="auto"/>
            </w:tcBorders>
            <w:shd w:val="clear" w:color="auto" w:fill="auto"/>
            <w:hideMark/>
          </w:tcPr>
          <w:p w14:paraId="77448643" w14:textId="77777777" w:rsidR="00C5549D" w:rsidRPr="007532BD" w:rsidRDefault="00C5549D" w:rsidP="002F3C17">
            <w:pPr>
              <w:pStyle w:val="ExhibitText"/>
              <w:jc w:val="right"/>
            </w:pPr>
            <w:r w:rsidRPr="007532BD">
              <w:t>1,730</w:t>
            </w:r>
          </w:p>
        </w:tc>
        <w:tc>
          <w:tcPr>
            <w:tcW w:w="443" w:type="pct"/>
            <w:tcBorders>
              <w:left w:val="double" w:sz="4" w:space="0" w:color="auto"/>
            </w:tcBorders>
            <w:shd w:val="clear" w:color="auto" w:fill="auto"/>
            <w:hideMark/>
          </w:tcPr>
          <w:p w14:paraId="11F9F237" w14:textId="77777777" w:rsidR="00C5549D" w:rsidRPr="007532BD" w:rsidRDefault="00C5549D" w:rsidP="002F3C17">
            <w:pPr>
              <w:pStyle w:val="ExhibitText"/>
              <w:jc w:val="right"/>
            </w:pPr>
            <w:r w:rsidRPr="007532BD">
              <w:t>6,299</w:t>
            </w:r>
          </w:p>
        </w:tc>
        <w:tc>
          <w:tcPr>
            <w:tcW w:w="443" w:type="pct"/>
            <w:tcBorders>
              <w:left w:val="single" w:sz="4" w:space="0" w:color="auto"/>
            </w:tcBorders>
            <w:shd w:val="clear" w:color="auto" w:fill="auto"/>
            <w:hideMark/>
          </w:tcPr>
          <w:p w14:paraId="4414DEE3" w14:textId="3CD6EA8D" w:rsidR="00C5549D" w:rsidRPr="007532BD" w:rsidRDefault="00C5549D" w:rsidP="002F3C17">
            <w:pPr>
              <w:pStyle w:val="ExhibitText"/>
              <w:jc w:val="right"/>
            </w:pPr>
            <w:r w:rsidRPr="007532BD">
              <w:t>19,469</w:t>
            </w:r>
          </w:p>
        </w:tc>
        <w:tc>
          <w:tcPr>
            <w:tcW w:w="441" w:type="pct"/>
            <w:shd w:val="clear" w:color="auto" w:fill="auto"/>
            <w:hideMark/>
          </w:tcPr>
          <w:p w14:paraId="6D8F5F30" w14:textId="77777777" w:rsidR="00C5549D" w:rsidRPr="007532BD" w:rsidRDefault="00C5549D" w:rsidP="002F3C17">
            <w:pPr>
              <w:pStyle w:val="ExhibitText"/>
              <w:jc w:val="right"/>
            </w:pPr>
            <w:r w:rsidRPr="007532BD">
              <w:t>3,132</w:t>
            </w:r>
          </w:p>
        </w:tc>
      </w:tr>
      <w:tr w:rsidR="00C5549D" w:rsidRPr="007532BD" w14:paraId="68954669" w14:textId="77777777" w:rsidTr="00041A76">
        <w:trPr>
          <w:trHeight w:val="331"/>
        </w:trPr>
        <w:tc>
          <w:tcPr>
            <w:tcW w:w="1460" w:type="pct"/>
            <w:hideMark/>
          </w:tcPr>
          <w:p w14:paraId="2E4262AD" w14:textId="77777777" w:rsidR="00C5549D" w:rsidRPr="007532BD" w:rsidRDefault="00C5549D" w:rsidP="009A6B9D">
            <w:pPr>
              <w:pStyle w:val="ExhibitText"/>
              <w:jc w:val="left"/>
            </w:pPr>
            <w:r w:rsidRPr="007532BD">
              <w:t>Interest and investment income (loss), net</w:t>
            </w:r>
          </w:p>
        </w:tc>
        <w:tc>
          <w:tcPr>
            <w:tcW w:w="442" w:type="pct"/>
            <w:hideMark/>
          </w:tcPr>
          <w:p w14:paraId="27A4E4F4" w14:textId="77777777" w:rsidR="00C5549D" w:rsidRPr="007532BD" w:rsidRDefault="00C5549D" w:rsidP="002F3C17">
            <w:pPr>
              <w:pStyle w:val="ExhibitText"/>
              <w:jc w:val="right"/>
            </w:pPr>
            <w:r w:rsidRPr="007532BD">
              <w:t>384</w:t>
            </w:r>
          </w:p>
        </w:tc>
        <w:tc>
          <w:tcPr>
            <w:tcW w:w="443" w:type="pct"/>
            <w:hideMark/>
          </w:tcPr>
          <w:p w14:paraId="48803E8A" w14:textId="77777777" w:rsidR="00C5549D" w:rsidRPr="007532BD" w:rsidRDefault="00C5549D" w:rsidP="002F3C17">
            <w:pPr>
              <w:pStyle w:val="ExhibitText"/>
              <w:jc w:val="right"/>
            </w:pPr>
            <w:r w:rsidRPr="007532BD">
              <w:t>549</w:t>
            </w:r>
          </w:p>
        </w:tc>
        <w:tc>
          <w:tcPr>
            <w:tcW w:w="443" w:type="pct"/>
            <w:tcBorders>
              <w:right w:val="single" w:sz="4" w:space="0" w:color="auto"/>
            </w:tcBorders>
            <w:hideMark/>
          </w:tcPr>
          <w:p w14:paraId="4D53D5F5" w14:textId="77777777" w:rsidR="00C5549D" w:rsidRPr="007532BD" w:rsidRDefault="00C5549D" w:rsidP="002F3C17">
            <w:pPr>
              <w:pStyle w:val="ExhibitText"/>
              <w:jc w:val="right"/>
            </w:pPr>
            <w:r w:rsidRPr="007532BD">
              <w:t>258</w:t>
            </w:r>
          </w:p>
        </w:tc>
        <w:tc>
          <w:tcPr>
            <w:tcW w:w="442" w:type="pct"/>
            <w:tcBorders>
              <w:left w:val="single" w:sz="4" w:space="0" w:color="auto"/>
            </w:tcBorders>
            <w:hideMark/>
          </w:tcPr>
          <w:p w14:paraId="5BE15150" w14:textId="77777777" w:rsidR="00C5549D" w:rsidRPr="007532BD" w:rsidRDefault="00C5549D" w:rsidP="002F3C17">
            <w:pPr>
              <w:pStyle w:val="ExhibitText"/>
              <w:jc w:val="right"/>
            </w:pPr>
            <w:r w:rsidRPr="007532BD">
              <w:t>39</w:t>
            </w:r>
          </w:p>
        </w:tc>
        <w:tc>
          <w:tcPr>
            <w:tcW w:w="443" w:type="pct"/>
            <w:tcBorders>
              <w:right w:val="double" w:sz="4" w:space="0" w:color="auto"/>
            </w:tcBorders>
            <w:hideMark/>
          </w:tcPr>
          <w:p w14:paraId="12F8D531" w14:textId="77777777" w:rsidR="00C5549D" w:rsidRPr="007532BD" w:rsidRDefault="00C5549D" w:rsidP="002F3C17">
            <w:pPr>
              <w:pStyle w:val="ExhibitText"/>
              <w:jc w:val="right"/>
            </w:pPr>
            <w:r w:rsidRPr="007532BD">
              <w:t>6</w:t>
            </w:r>
          </w:p>
        </w:tc>
        <w:tc>
          <w:tcPr>
            <w:tcW w:w="443" w:type="pct"/>
            <w:tcBorders>
              <w:left w:val="double" w:sz="4" w:space="0" w:color="auto"/>
            </w:tcBorders>
            <w:hideMark/>
          </w:tcPr>
          <w:p w14:paraId="705CB491" w14:textId="77777777" w:rsidR="00C5549D" w:rsidRPr="007532BD" w:rsidRDefault="00C5549D" w:rsidP="002F3C17">
            <w:pPr>
              <w:pStyle w:val="ExhibitText"/>
              <w:jc w:val="right"/>
            </w:pPr>
            <w:r w:rsidRPr="007532BD">
              <w:t>(25)</w:t>
            </w:r>
          </w:p>
        </w:tc>
        <w:tc>
          <w:tcPr>
            <w:tcW w:w="443" w:type="pct"/>
            <w:tcBorders>
              <w:left w:val="single" w:sz="4" w:space="0" w:color="auto"/>
            </w:tcBorders>
            <w:hideMark/>
          </w:tcPr>
          <w:p w14:paraId="119D0BF1" w14:textId="04C1FC2A" w:rsidR="00C5549D" w:rsidRPr="007532BD" w:rsidRDefault="00C5549D" w:rsidP="002F3C17">
            <w:pPr>
              <w:pStyle w:val="ExhibitText"/>
              <w:jc w:val="right"/>
            </w:pPr>
            <w:r w:rsidRPr="007532BD">
              <w:t>1,080</w:t>
            </w:r>
          </w:p>
        </w:tc>
        <w:tc>
          <w:tcPr>
            <w:tcW w:w="441" w:type="pct"/>
            <w:hideMark/>
          </w:tcPr>
          <w:p w14:paraId="341A1B47" w14:textId="77777777" w:rsidR="00C5549D" w:rsidRPr="007532BD" w:rsidRDefault="00C5549D" w:rsidP="002F3C17">
            <w:pPr>
              <w:pStyle w:val="ExhibitText"/>
              <w:jc w:val="right"/>
            </w:pPr>
            <w:r w:rsidRPr="007532BD">
              <w:t>174</w:t>
            </w:r>
          </w:p>
        </w:tc>
      </w:tr>
      <w:tr w:rsidR="003E6299" w:rsidRPr="007532BD" w14:paraId="36C17D80" w14:textId="77777777" w:rsidTr="00041A76">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tcPr>
          <w:p w14:paraId="0267334F" w14:textId="77777777" w:rsidR="00C5549D" w:rsidRPr="007532BD" w:rsidRDefault="00C5549D" w:rsidP="009A6B9D">
            <w:pPr>
              <w:pStyle w:val="ExhibitText"/>
              <w:jc w:val="left"/>
            </w:pPr>
            <w:r w:rsidRPr="007532BD">
              <w:t>Interest expense</w:t>
            </w:r>
          </w:p>
        </w:tc>
        <w:tc>
          <w:tcPr>
            <w:tcW w:w="442" w:type="pct"/>
            <w:shd w:val="clear" w:color="auto" w:fill="auto"/>
          </w:tcPr>
          <w:p w14:paraId="4C28008A" w14:textId="77777777" w:rsidR="00C5549D" w:rsidRPr="007532BD" w:rsidRDefault="00C5549D" w:rsidP="002F3C17">
            <w:pPr>
              <w:pStyle w:val="ExhibitText"/>
              <w:jc w:val="right"/>
            </w:pPr>
            <w:r w:rsidRPr="007532BD">
              <w:t>—</w:t>
            </w:r>
          </w:p>
        </w:tc>
        <w:tc>
          <w:tcPr>
            <w:tcW w:w="443" w:type="pct"/>
            <w:shd w:val="clear" w:color="auto" w:fill="auto"/>
          </w:tcPr>
          <w:p w14:paraId="35A999BC" w14:textId="77777777" w:rsidR="00C5549D" w:rsidRPr="007532BD" w:rsidRDefault="00C5549D" w:rsidP="002F3C17">
            <w:pPr>
              <w:pStyle w:val="ExhibitText"/>
              <w:jc w:val="right"/>
            </w:pPr>
            <w:r w:rsidRPr="007532BD">
              <w:t>(4)</w:t>
            </w:r>
          </w:p>
        </w:tc>
        <w:tc>
          <w:tcPr>
            <w:tcW w:w="443" w:type="pct"/>
            <w:tcBorders>
              <w:right w:val="single" w:sz="4" w:space="0" w:color="auto"/>
            </w:tcBorders>
            <w:shd w:val="clear" w:color="auto" w:fill="auto"/>
          </w:tcPr>
          <w:p w14:paraId="467B857B" w14:textId="77777777" w:rsidR="00C5549D" w:rsidRPr="007532BD" w:rsidRDefault="00C5549D" w:rsidP="002F3C17">
            <w:pPr>
              <w:pStyle w:val="ExhibitText"/>
              <w:jc w:val="right"/>
            </w:pPr>
            <w:r w:rsidRPr="007532BD">
              <w:t>(68)</w:t>
            </w:r>
          </w:p>
        </w:tc>
        <w:tc>
          <w:tcPr>
            <w:tcW w:w="442" w:type="pct"/>
            <w:tcBorders>
              <w:left w:val="single" w:sz="4" w:space="0" w:color="auto"/>
            </w:tcBorders>
            <w:shd w:val="clear" w:color="auto" w:fill="auto"/>
          </w:tcPr>
          <w:p w14:paraId="0BBCA4C4" w14:textId="77777777" w:rsidR="00C5549D" w:rsidRPr="007532BD" w:rsidRDefault="00C5549D" w:rsidP="002F3C17">
            <w:pPr>
              <w:pStyle w:val="ExhibitText"/>
              <w:jc w:val="right"/>
            </w:pPr>
            <w:r w:rsidRPr="007532BD">
              <w:t>(1,572)</w:t>
            </w:r>
          </w:p>
        </w:tc>
        <w:tc>
          <w:tcPr>
            <w:tcW w:w="443" w:type="pct"/>
            <w:tcBorders>
              <w:right w:val="double" w:sz="4" w:space="0" w:color="auto"/>
            </w:tcBorders>
            <w:shd w:val="clear" w:color="auto" w:fill="auto"/>
          </w:tcPr>
          <w:p w14:paraId="5F09A7F3" w14:textId="3C4161C2" w:rsidR="00C5549D" w:rsidRPr="007532BD" w:rsidRDefault="00C5549D" w:rsidP="002F3C17">
            <w:pPr>
              <w:pStyle w:val="ExhibitText"/>
              <w:jc w:val="right"/>
            </w:pPr>
            <w:r w:rsidRPr="007532BD">
              <w:t>(253)</w:t>
            </w:r>
          </w:p>
        </w:tc>
        <w:tc>
          <w:tcPr>
            <w:tcW w:w="443" w:type="pct"/>
            <w:tcBorders>
              <w:left w:val="double" w:sz="4" w:space="0" w:color="auto"/>
            </w:tcBorders>
            <w:shd w:val="clear" w:color="auto" w:fill="auto"/>
          </w:tcPr>
          <w:p w14:paraId="107D10B0" w14:textId="77777777" w:rsidR="00C5549D" w:rsidRPr="007532BD" w:rsidRDefault="00C5549D" w:rsidP="002F3C17">
            <w:pPr>
              <w:pStyle w:val="ExhibitText"/>
              <w:jc w:val="right"/>
            </w:pPr>
            <w:r w:rsidRPr="007532BD">
              <w:t>(1,113)</w:t>
            </w:r>
          </w:p>
        </w:tc>
        <w:tc>
          <w:tcPr>
            <w:tcW w:w="443" w:type="pct"/>
            <w:tcBorders>
              <w:left w:val="single" w:sz="4" w:space="0" w:color="auto"/>
            </w:tcBorders>
            <w:shd w:val="clear" w:color="auto" w:fill="auto"/>
          </w:tcPr>
          <w:p w14:paraId="7D10C071" w14:textId="77777777" w:rsidR="00C5549D" w:rsidRPr="007532BD" w:rsidRDefault="00C5549D" w:rsidP="002F3C17">
            <w:pPr>
              <w:pStyle w:val="ExhibitText"/>
              <w:jc w:val="right"/>
            </w:pPr>
            <w:r w:rsidRPr="007532BD">
              <w:t>(1,842)</w:t>
            </w:r>
          </w:p>
        </w:tc>
        <w:tc>
          <w:tcPr>
            <w:tcW w:w="441" w:type="pct"/>
            <w:shd w:val="clear" w:color="auto" w:fill="auto"/>
          </w:tcPr>
          <w:p w14:paraId="06B3B207" w14:textId="77777777" w:rsidR="00C5549D" w:rsidRPr="007532BD" w:rsidRDefault="00C5549D" w:rsidP="002F3C17">
            <w:pPr>
              <w:pStyle w:val="ExhibitText"/>
              <w:jc w:val="right"/>
            </w:pPr>
            <w:r w:rsidRPr="007532BD">
              <w:t>(296)</w:t>
            </w:r>
          </w:p>
        </w:tc>
      </w:tr>
      <w:tr w:rsidR="00C5549D" w:rsidRPr="007532BD" w14:paraId="3E3D06AB" w14:textId="77777777" w:rsidTr="00041A76">
        <w:trPr>
          <w:trHeight w:val="331"/>
        </w:trPr>
        <w:tc>
          <w:tcPr>
            <w:tcW w:w="1460" w:type="pct"/>
          </w:tcPr>
          <w:p w14:paraId="37F871DD" w14:textId="77777777" w:rsidR="00C5549D" w:rsidRPr="007532BD" w:rsidRDefault="00C5549D" w:rsidP="009A6B9D">
            <w:pPr>
              <w:pStyle w:val="ExhibitText"/>
              <w:jc w:val="left"/>
            </w:pPr>
            <w:r w:rsidRPr="007532BD">
              <w:t>Other income, net</w:t>
            </w:r>
          </w:p>
        </w:tc>
        <w:tc>
          <w:tcPr>
            <w:tcW w:w="442" w:type="pct"/>
          </w:tcPr>
          <w:p w14:paraId="5135075F" w14:textId="77777777" w:rsidR="00C5549D" w:rsidRPr="007532BD" w:rsidRDefault="00C5549D" w:rsidP="002F3C17">
            <w:pPr>
              <w:pStyle w:val="ExhibitText"/>
              <w:jc w:val="right"/>
            </w:pPr>
            <w:r w:rsidRPr="007532BD">
              <w:t>200</w:t>
            </w:r>
          </w:p>
        </w:tc>
        <w:tc>
          <w:tcPr>
            <w:tcW w:w="443" w:type="pct"/>
          </w:tcPr>
          <w:p w14:paraId="7A68AA6A" w14:textId="77777777" w:rsidR="00C5549D" w:rsidRPr="007532BD" w:rsidRDefault="00C5549D" w:rsidP="002F3C17">
            <w:pPr>
              <w:pStyle w:val="ExhibitText"/>
              <w:jc w:val="right"/>
            </w:pPr>
            <w:r w:rsidRPr="007532BD">
              <w:t>68</w:t>
            </w:r>
          </w:p>
        </w:tc>
        <w:tc>
          <w:tcPr>
            <w:tcW w:w="443" w:type="pct"/>
            <w:tcBorders>
              <w:right w:val="single" w:sz="4" w:space="0" w:color="auto"/>
            </w:tcBorders>
          </w:tcPr>
          <w:p w14:paraId="1C5E9BB9" w14:textId="77777777" w:rsidR="00C5549D" w:rsidRPr="007532BD" w:rsidRDefault="00C5549D" w:rsidP="002F3C17">
            <w:pPr>
              <w:pStyle w:val="ExhibitText"/>
              <w:jc w:val="right"/>
            </w:pPr>
            <w:r w:rsidRPr="007532BD">
              <w:t>327</w:t>
            </w:r>
          </w:p>
        </w:tc>
        <w:tc>
          <w:tcPr>
            <w:tcW w:w="442" w:type="pct"/>
            <w:tcBorders>
              <w:left w:val="single" w:sz="4" w:space="0" w:color="auto"/>
            </w:tcBorders>
          </w:tcPr>
          <w:p w14:paraId="7488BB61" w14:textId="77777777" w:rsidR="00C5549D" w:rsidRPr="007532BD" w:rsidRDefault="00C5549D" w:rsidP="002F3C17">
            <w:pPr>
              <w:pStyle w:val="ExhibitText"/>
              <w:jc w:val="right"/>
            </w:pPr>
            <w:r w:rsidRPr="007532BD">
              <w:t>894</w:t>
            </w:r>
          </w:p>
        </w:tc>
        <w:tc>
          <w:tcPr>
            <w:tcW w:w="443" w:type="pct"/>
            <w:tcBorders>
              <w:right w:val="double" w:sz="4" w:space="0" w:color="auto"/>
            </w:tcBorders>
          </w:tcPr>
          <w:p w14:paraId="3C897AC4" w14:textId="33502053" w:rsidR="00C5549D" w:rsidRPr="007532BD" w:rsidRDefault="00C5549D" w:rsidP="002F3C17">
            <w:pPr>
              <w:pStyle w:val="ExhibitText"/>
              <w:jc w:val="right"/>
            </w:pPr>
            <w:r w:rsidRPr="007532BD">
              <w:t>144</w:t>
            </w:r>
          </w:p>
        </w:tc>
        <w:tc>
          <w:tcPr>
            <w:tcW w:w="443" w:type="pct"/>
            <w:tcBorders>
              <w:left w:val="double" w:sz="4" w:space="0" w:color="auto"/>
            </w:tcBorders>
          </w:tcPr>
          <w:p w14:paraId="013774DE" w14:textId="77777777" w:rsidR="00C5549D" w:rsidRPr="007532BD" w:rsidRDefault="00C5549D" w:rsidP="002F3C17">
            <w:pPr>
              <w:pStyle w:val="ExhibitText"/>
              <w:jc w:val="right"/>
            </w:pPr>
            <w:r w:rsidRPr="007532BD">
              <w:t>593</w:t>
            </w:r>
          </w:p>
        </w:tc>
        <w:tc>
          <w:tcPr>
            <w:tcW w:w="443" w:type="pct"/>
            <w:tcBorders>
              <w:left w:val="single" w:sz="4" w:space="0" w:color="auto"/>
            </w:tcBorders>
          </w:tcPr>
          <w:p w14:paraId="3EE267E0" w14:textId="77777777" w:rsidR="00C5549D" w:rsidRPr="007532BD" w:rsidRDefault="00C5549D" w:rsidP="002F3C17">
            <w:pPr>
              <w:pStyle w:val="ExhibitText"/>
              <w:jc w:val="right"/>
            </w:pPr>
            <w:r w:rsidRPr="007532BD">
              <w:t>1,178</w:t>
            </w:r>
          </w:p>
        </w:tc>
        <w:tc>
          <w:tcPr>
            <w:tcW w:w="441" w:type="pct"/>
          </w:tcPr>
          <w:p w14:paraId="0EB7DA43" w14:textId="77777777" w:rsidR="00C5549D" w:rsidRPr="007532BD" w:rsidRDefault="00C5549D" w:rsidP="002F3C17">
            <w:pPr>
              <w:pStyle w:val="ExhibitText"/>
              <w:jc w:val="right"/>
            </w:pPr>
            <w:r w:rsidRPr="007532BD">
              <w:t>189</w:t>
            </w:r>
          </w:p>
        </w:tc>
      </w:tr>
      <w:tr w:rsidR="003E6299" w:rsidRPr="007532BD" w14:paraId="5E651153" w14:textId="77777777" w:rsidTr="00041A76">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tcPr>
          <w:p w14:paraId="4635AF27" w14:textId="77777777" w:rsidR="00C5549D" w:rsidRPr="007532BD" w:rsidRDefault="00C5549D" w:rsidP="009A6B9D">
            <w:pPr>
              <w:pStyle w:val="ExhibitText"/>
              <w:jc w:val="left"/>
            </w:pPr>
            <w:r w:rsidRPr="007532BD">
              <w:t>Income (loss) before income tax and share of results of equity investees</w:t>
            </w:r>
          </w:p>
        </w:tc>
        <w:tc>
          <w:tcPr>
            <w:tcW w:w="442" w:type="pct"/>
            <w:shd w:val="clear" w:color="auto" w:fill="auto"/>
          </w:tcPr>
          <w:p w14:paraId="148D4DA0" w14:textId="77777777" w:rsidR="00C5549D" w:rsidRPr="007532BD" w:rsidRDefault="00C5549D" w:rsidP="002F3C17">
            <w:pPr>
              <w:pStyle w:val="ExhibitText"/>
              <w:jc w:val="right"/>
            </w:pPr>
            <w:r w:rsidRPr="007532BD">
              <w:t>(289)</w:t>
            </w:r>
          </w:p>
        </w:tc>
        <w:tc>
          <w:tcPr>
            <w:tcW w:w="443" w:type="pct"/>
            <w:shd w:val="clear" w:color="auto" w:fill="auto"/>
          </w:tcPr>
          <w:p w14:paraId="0BE7C088" w14:textId="77777777" w:rsidR="00C5549D" w:rsidRPr="007532BD" w:rsidRDefault="00C5549D" w:rsidP="002F3C17">
            <w:pPr>
              <w:pStyle w:val="ExhibitText"/>
              <w:jc w:val="right"/>
            </w:pPr>
            <w:r w:rsidRPr="007532BD">
              <w:t>1,935</w:t>
            </w:r>
          </w:p>
        </w:tc>
        <w:tc>
          <w:tcPr>
            <w:tcW w:w="443" w:type="pct"/>
            <w:tcBorders>
              <w:right w:val="single" w:sz="4" w:space="0" w:color="auto"/>
            </w:tcBorders>
            <w:shd w:val="clear" w:color="auto" w:fill="auto"/>
          </w:tcPr>
          <w:p w14:paraId="54D1C6DF" w14:textId="77777777" w:rsidR="00C5549D" w:rsidRPr="007532BD" w:rsidRDefault="00C5549D" w:rsidP="002F3C17">
            <w:pPr>
              <w:pStyle w:val="ExhibitText"/>
              <w:jc w:val="right"/>
            </w:pPr>
            <w:r w:rsidRPr="007532BD">
              <w:t>5,532</w:t>
            </w:r>
          </w:p>
        </w:tc>
        <w:tc>
          <w:tcPr>
            <w:tcW w:w="442" w:type="pct"/>
            <w:tcBorders>
              <w:left w:val="single" w:sz="4" w:space="0" w:color="auto"/>
            </w:tcBorders>
            <w:shd w:val="clear" w:color="auto" w:fill="auto"/>
          </w:tcPr>
          <w:p w14:paraId="0EC72BF6" w14:textId="77777777" w:rsidR="00C5549D" w:rsidRPr="007532BD" w:rsidRDefault="00C5549D" w:rsidP="002F3C17">
            <w:pPr>
              <w:pStyle w:val="ExhibitText"/>
              <w:jc w:val="right"/>
            </w:pPr>
            <w:r w:rsidRPr="007532BD">
              <w:t>10,112</w:t>
            </w:r>
          </w:p>
        </w:tc>
        <w:tc>
          <w:tcPr>
            <w:tcW w:w="443" w:type="pct"/>
            <w:tcBorders>
              <w:right w:val="double" w:sz="4" w:space="0" w:color="auto"/>
            </w:tcBorders>
            <w:shd w:val="clear" w:color="auto" w:fill="auto"/>
          </w:tcPr>
          <w:p w14:paraId="09EE32C5" w14:textId="23F4E99E" w:rsidR="00C5549D" w:rsidRPr="007532BD" w:rsidRDefault="00C5549D" w:rsidP="002F3C17">
            <w:pPr>
              <w:pStyle w:val="ExhibitText"/>
              <w:jc w:val="right"/>
            </w:pPr>
            <w:r w:rsidRPr="007532BD">
              <w:t>1,627</w:t>
            </w:r>
          </w:p>
        </w:tc>
        <w:tc>
          <w:tcPr>
            <w:tcW w:w="443" w:type="pct"/>
            <w:tcBorders>
              <w:left w:val="double" w:sz="4" w:space="0" w:color="auto"/>
            </w:tcBorders>
            <w:shd w:val="clear" w:color="auto" w:fill="auto"/>
          </w:tcPr>
          <w:p w14:paraId="121E5E1A" w14:textId="77777777" w:rsidR="00C5549D" w:rsidRPr="007532BD" w:rsidRDefault="00C5549D" w:rsidP="002F3C17">
            <w:pPr>
              <w:pStyle w:val="ExhibitText"/>
              <w:jc w:val="right"/>
            </w:pPr>
            <w:r w:rsidRPr="007532BD">
              <w:t>5,754</w:t>
            </w:r>
          </w:p>
        </w:tc>
        <w:tc>
          <w:tcPr>
            <w:tcW w:w="443" w:type="pct"/>
            <w:tcBorders>
              <w:left w:val="single" w:sz="4" w:space="0" w:color="auto"/>
            </w:tcBorders>
            <w:shd w:val="clear" w:color="auto" w:fill="auto"/>
          </w:tcPr>
          <w:p w14:paraId="2CDD22BA" w14:textId="77777777" w:rsidR="00C5549D" w:rsidRPr="007532BD" w:rsidRDefault="00C5549D" w:rsidP="002F3C17">
            <w:pPr>
              <w:pStyle w:val="ExhibitText"/>
              <w:jc w:val="right"/>
            </w:pPr>
            <w:r w:rsidRPr="007532BD">
              <w:t>19,885</w:t>
            </w:r>
          </w:p>
        </w:tc>
        <w:tc>
          <w:tcPr>
            <w:tcW w:w="441" w:type="pct"/>
            <w:shd w:val="clear" w:color="auto" w:fill="auto"/>
          </w:tcPr>
          <w:p w14:paraId="3A8A156F" w14:textId="77777777" w:rsidR="00C5549D" w:rsidRPr="007532BD" w:rsidRDefault="00C5549D" w:rsidP="002F3C17">
            <w:pPr>
              <w:pStyle w:val="ExhibitText"/>
              <w:jc w:val="right"/>
            </w:pPr>
            <w:r w:rsidRPr="007532BD">
              <w:t>3,199</w:t>
            </w:r>
          </w:p>
        </w:tc>
      </w:tr>
      <w:tr w:rsidR="00C5549D" w:rsidRPr="007532BD" w14:paraId="05E3D84C" w14:textId="77777777" w:rsidTr="00041A76">
        <w:trPr>
          <w:trHeight w:val="331"/>
        </w:trPr>
        <w:tc>
          <w:tcPr>
            <w:tcW w:w="1460" w:type="pct"/>
          </w:tcPr>
          <w:p w14:paraId="66567A5C" w14:textId="77777777" w:rsidR="00C5549D" w:rsidRPr="007532BD" w:rsidRDefault="00C5549D" w:rsidP="009A6B9D">
            <w:pPr>
              <w:pStyle w:val="ExhibitText"/>
              <w:jc w:val="left"/>
            </w:pPr>
            <w:r w:rsidRPr="007532BD">
              <w:t>Income tax expenses</w:t>
            </w:r>
          </w:p>
        </w:tc>
        <w:tc>
          <w:tcPr>
            <w:tcW w:w="442" w:type="pct"/>
          </w:tcPr>
          <w:p w14:paraId="1EA11A21" w14:textId="77777777" w:rsidR="00C5549D" w:rsidRPr="007532BD" w:rsidRDefault="00C5549D" w:rsidP="002F3C17">
            <w:pPr>
              <w:pStyle w:val="ExhibitText"/>
              <w:jc w:val="right"/>
            </w:pPr>
            <w:r w:rsidRPr="007532BD">
              <w:t>(181)</w:t>
            </w:r>
          </w:p>
        </w:tc>
        <w:tc>
          <w:tcPr>
            <w:tcW w:w="443" w:type="pct"/>
          </w:tcPr>
          <w:p w14:paraId="25741D63" w14:textId="77777777" w:rsidR="00C5549D" w:rsidRPr="007532BD" w:rsidRDefault="00C5549D" w:rsidP="002F3C17">
            <w:pPr>
              <w:pStyle w:val="ExhibitText"/>
              <w:jc w:val="right"/>
            </w:pPr>
            <w:r w:rsidRPr="007532BD">
              <w:t>(327)</w:t>
            </w:r>
          </w:p>
        </w:tc>
        <w:tc>
          <w:tcPr>
            <w:tcW w:w="443" w:type="pct"/>
            <w:tcBorders>
              <w:right w:val="single" w:sz="4" w:space="0" w:color="auto"/>
            </w:tcBorders>
          </w:tcPr>
          <w:p w14:paraId="729817AF" w14:textId="77777777" w:rsidR="00C5549D" w:rsidRPr="007532BD" w:rsidRDefault="00C5549D" w:rsidP="002F3C17">
            <w:pPr>
              <w:pStyle w:val="ExhibitText"/>
              <w:jc w:val="right"/>
            </w:pPr>
            <w:r w:rsidRPr="007532BD">
              <w:t>(842)</w:t>
            </w:r>
          </w:p>
        </w:tc>
        <w:tc>
          <w:tcPr>
            <w:tcW w:w="442" w:type="pct"/>
            <w:tcBorders>
              <w:left w:val="single" w:sz="4" w:space="0" w:color="auto"/>
            </w:tcBorders>
          </w:tcPr>
          <w:p w14:paraId="4FD181AB" w14:textId="77777777" w:rsidR="00C5549D" w:rsidRPr="007532BD" w:rsidRDefault="00C5549D" w:rsidP="002F3C17">
            <w:pPr>
              <w:pStyle w:val="ExhibitText"/>
              <w:jc w:val="right"/>
            </w:pPr>
            <w:r w:rsidRPr="007532BD">
              <w:t>(1,457)</w:t>
            </w:r>
          </w:p>
        </w:tc>
        <w:tc>
          <w:tcPr>
            <w:tcW w:w="443" w:type="pct"/>
            <w:tcBorders>
              <w:right w:val="double" w:sz="4" w:space="0" w:color="auto"/>
            </w:tcBorders>
          </w:tcPr>
          <w:p w14:paraId="336868F2" w14:textId="05B32799" w:rsidR="00C5549D" w:rsidRPr="007532BD" w:rsidRDefault="00C5549D" w:rsidP="002F3C17">
            <w:pPr>
              <w:pStyle w:val="ExhibitText"/>
              <w:jc w:val="right"/>
            </w:pPr>
            <w:r w:rsidRPr="007532BD">
              <w:t>(234)</w:t>
            </w:r>
          </w:p>
        </w:tc>
        <w:tc>
          <w:tcPr>
            <w:tcW w:w="443" w:type="pct"/>
            <w:tcBorders>
              <w:left w:val="double" w:sz="4" w:space="0" w:color="auto"/>
            </w:tcBorders>
          </w:tcPr>
          <w:p w14:paraId="478ECE00" w14:textId="77777777" w:rsidR="00C5549D" w:rsidRPr="007532BD" w:rsidRDefault="00C5549D" w:rsidP="002F3C17">
            <w:pPr>
              <w:pStyle w:val="ExhibitText"/>
              <w:jc w:val="right"/>
            </w:pPr>
            <w:r w:rsidRPr="007532BD">
              <w:t>(1,362)</w:t>
            </w:r>
          </w:p>
        </w:tc>
        <w:tc>
          <w:tcPr>
            <w:tcW w:w="443" w:type="pct"/>
            <w:tcBorders>
              <w:left w:val="single" w:sz="4" w:space="0" w:color="auto"/>
            </w:tcBorders>
          </w:tcPr>
          <w:p w14:paraId="27744F12" w14:textId="77777777" w:rsidR="00C5549D" w:rsidRPr="007532BD" w:rsidRDefault="00C5549D" w:rsidP="002F3C17">
            <w:pPr>
              <w:pStyle w:val="ExhibitText"/>
              <w:jc w:val="right"/>
            </w:pPr>
            <w:r w:rsidRPr="007532BD">
              <w:t>(1,969)</w:t>
            </w:r>
          </w:p>
        </w:tc>
        <w:tc>
          <w:tcPr>
            <w:tcW w:w="441" w:type="pct"/>
          </w:tcPr>
          <w:p w14:paraId="340A3018" w14:textId="77777777" w:rsidR="00C5549D" w:rsidRPr="007532BD" w:rsidRDefault="00C5549D" w:rsidP="002F3C17">
            <w:pPr>
              <w:pStyle w:val="ExhibitText"/>
              <w:jc w:val="right"/>
            </w:pPr>
            <w:r w:rsidRPr="007532BD">
              <w:t>(317)</w:t>
            </w:r>
          </w:p>
        </w:tc>
      </w:tr>
    </w:tbl>
    <w:p w14:paraId="5A4FFC8D" w14:textId="77777777" w:rsidR="005D015D" w:rsidRDefault="005D015D" w:rsidP="002F3C17"/>
    <w:p w14:paraId="16B46E9C" w14:textId="64C5CA8F" w:rsidR="00C7274F" w:rsidRPr="007532BD" w:rsidRDefault="005D015D" w:rsidP="002F3C17">
      <w:pPr>
        <w:spacing w:after="200" w:line="276" w:lineRule="auto"/>
        <w:jc w:val="center"/>
        <w:rPr>
          <w:rFonts w:ascii="Arial" w:hAnsi="Arial" w:cs="Arial"/>
          <w:b/>
          <w:caps/>
        </w:rPr>
      </w:pPr>
      <w:r>
        <w:rPr>
          <w:i/>
        </w:rPr>
        <w:br w:type="page"/>
      </w:r>
      <w:r w:rsidR="00F2675C">
        <w:rPr>
          <w:rFonts w:ascii="Arial" w:hAnsi="Arial" w:cs="Arial"/>
          <w:b/>
          <w:caps/>
        </w:rPr>
        <w:lastRenderedPageBreak/>
        <w:t>EXHIBIT 2 (continued)</w:t>
      </w:r>
    </w:p>
    <w:tbl>
      <w:tblPr>
        <w:tblStyle w:val="IveyTable"/>
        <w:tblW w:w="5000" w:type="pct"/>
        <w:tblLayout w:type="fixed"/>
        <w:tblLook w:val="04A0" w:firstRow="1" w:lastRow="0" w:firstColumn="1" w:lastColumn="0" w:noHBand="0" w:noVBand="1"/>
      </w:tblPr>
      <w:tblGrid>
        <w:gridCol w:w="3785"/>
        <w:gridCol w:w="1146"/>
        <w:gridCol w:w="1148"/>
        <w:gridCol w:w="1148"/>
        <w:gridCol w:w="1146"/>
        <w:gridCol w:w="1148"/>
        <w:gridCol w:w="1148"/>
        <w:gridCol w:w="1148"/>
        <w:gridCol w:w="1143"/>
      </w:tblGrid>
      <w:tr w:rsidR="00C5549D" w:rsidRPr="00F64A32" w14:paraId="09328AC5" w14:textId="77777777" w:rsidTr="00F2675C">
        <w:trPr>
          <w:cnfStyle w:val="100000000000" w:firstRow="1" w:lastRow="0" w:firstColumn="0" w:lastColumn="0" w:oddVBand="0" w:evenVBand="0" w:oddHBand="0" w:evenHBand="0" w:firstRowFirstColumn="0" w:firstRowLastColumn="0" w:lastRowFirstColumn="0" w:lastRowLastColumn="0"/>
          <w:trHeight w:val="331"/>
          <w:tblHeader/>
        </w:trPr>
        <w:tc>
          <w:tcPr>
            <w:tcW w:w="1460" w:type="pct"/>
            <w:shd w:val="clear" w:color="auto" w:fill="auto"/>
          </w:tcPr>
          <w:p w14:paraId="5418F014" w14:textId="77777777" w:rsidR="00C5549D" w:rsidRPr="00F64A32" w:rsidRDefault="00C5549D" w:rsidP="009A6B9D">
            <w:pPr>
              <w:pStyle w:val="ExhibitText"/>
              <w:jc w:val="left"/>
            </w:pPr>
          </w:p>
        </w:tc>
        <w:tc>
          <w:tcPr>
            <w:tcW w:w="2213" w:type="pct"/>
            <w:gridSpan w:val="5"/>
            <w:tcBorders>
              <w:right w:val="double" w:sz="4" w:space="0" w:color="auto"/>
            </w:tcBorders>
            <w:shd w:val="clear" w:color="auto" w:fill="auto"/>
          </w:tcPr>
          <w:p w14:paraId="5BBF1398" w14:textId="77777777" w:rsidR="00C5549D" w:rsidRPr="00F64A32" w:rsidRDefault="00C5549D" w:rsidP="002F3C17">
            <w:pPr>
              <w:pStyle w:val="ExhibitText"/>
            </w:pPr>
            <w:r w:rsidRPr="00F64A32">
              <w:t>Year ended March 31</w:t>
            </w:r>
          </w:p>
        </w:tc>
        <w:tc>
          <w:tcPr>
            <w:tcW w:w="1327" w:type="pct"/>
            <w:gridSpan w:val="3"/>
            <w:tcBorders>
              <w:left w:val="double" w:sz="4" w:space="0" w:color="auto"/>
            </w:tcBorders>
            <w:shd w:val="clear" w:color="auto" w:fill="auto"/>
          </w:tcPr>
          <w:p w14:paraId="4C5F9060" w14:textId="218D6706" w:rsidR="00C5549D" w:rsidRPr="00F64A32" w:rsidRDefault="00C5549D" w:rsidP="002F3C17">
            <w:pPr>
              <w:pStyle w:val="ExhibitText"/>
            </w:pPr>
            <w:r w:rsidRPr="00F64A32">
              <w:t>Nine months ended December 31</w:t>
            </w:r>
          </w:p>
        </w:tc>
      </w:tr>
      <w:tr w:rsidR="003E6299" w:rsidRPr="00F64A32" w14:paraId="412597AD" w14:textId="77777777" w:rsidTr="00F2675C">
        <w:trPr>
          <w:cnfStyle w:val="100000000000" w:firstRow="1" w:lastRow="0" w:firstColumn="0" w:lastColumn="0" w:oddVBand="0" w:evenVBand="0" w:oddHBand="0" w:evenHBand="0" w:firstRowFirstColumn="0" w:firstRowLastColumn="0" w:lastRowFirstColumn="0" w:lastRowLastColumn="0"/>
          <w:trHeight w:val="331"/>
          <w:tblHeader/>
        </w:trPr>
        <w:tc>
          <w:tcPr>
            <w:tcW w:w="1460" w:type="pct"/>
            <w:shd w:val="clear" w:color="auto" w:fill="auto"/>
            <w:hideMark/>
          </w:tcPr>
          <w:p w14:paraId="73025D83" w14:textId="77777777" w:rsidR="00C5549D" w:rsidRPr="00F64A32" w:rsidRDefault="00C5549D" w:rsidP="009A6B9D">
            <w:pPr>
              <w:pStyle w:val="ExhibitText"/>
              <w:jc w:val="left"/>
            </w:pPr>
          </w:p>
        </w:tc>
        <w:tc>
          <w:tcPr>
            <w:tcW w:w="442" w:type="pct"/>
            <w:shd w:val="clear" w:color="auto" w:fill="auto"/>
          </w:tcPr>
          <w:p w14:paraId="3CCA6267" w14:textId="77777777" w:rsidR="00C5549D" w:rsidRPr="00F64A32" w:rsidRDefault="00C5549D" w:rsidP="0017026D">
            <w:pPr>
              <w:pStyle w:val="ExhibitText"/>
              <w:jc w:val="center"/>
            </w:pPr>
            <w:r w:rsidRPr="00F64A32">
              <w:t>2010</w:t>
            </w:r>
          </w:p>
        </w:tc>
        <w:tc>
          <w:tcPr>
            <w:tcW w:w="443" w:type="pct"/>
            <w:shd w:val="clear" w:color="auto" w:fill="auto"/>
            <w:hideMark/>
          </w:tcPr>
          <w:p w14:paraId="3B2DCDFA" w14:textId="77777777" w:rsidR="00C5549D" w:rsidRPr="00F64A32" w:rsidRDefault="00C5549D" w:rsidP="0017026D">
            <w:pPr>
              <w:pStyle w:val="ExhibitText"/>
              <w:jc w:val="center"/>
            </w:pPr>
            <w:r w:rsidRPr="00F64A32">
              <w:rPr>
                <w:bCs/>
              </w:rPr>
              <w:t>2011</w:t>
            </w:r>
          </w:p>
        </w:tc>
        <w:tc>
          <w:tcPr>
            <w:tcW w:w="443" w:type="pct"/>
            <w:tcBorders>
              <w:right w:val="single" w:sz="4" w:space="0" w:color="auto"/>
            </w:tcBorders>
            <w:shd w:val="clear" w:color="auto" w:fill="auto"/>
            <w:hideMark/>
          </w:tcPr>
          <w:p w14:paraId="6743D160" w14:textId="77777777" w:rsidR="00C5549D" w:rsidRPr="00F64A32" w:rsidRDefault="00C5549D" w:rsidP="0017026D">
            <w:pPr>
              <w:pStyle w:val="ExhibitText"/>
              <w:jc w:val="center"/>
            </w:pPr>
            <w:r w:rsidRPr="00F64A32">
              <w:rPr>
                <w:bCs/>
              </w:rPr>
              <w:t>2012</w:t>
            </w:r>
          </w:p>
        </w:tc>
        <w:tc>
          <w:tcPr>
            <w:tcW w:w="885" w:type="pct"/>
            <w:gridSpan w:val="2"/>
            <w:tcBorders>
              <w:left w:val="single" w:sz="4" w:space="0" w:color="auto"/>
              <w:right w:val="double" w:sz="4" w:space="0" w:color="auto"/>
            </w:tcBorders>
            <w:shd w:val="clear" w:color="auto" w:fill="auto"/>
            <w:hideMark/>
          </w:tcPr>
          <w:p w14:paraId="2FC43CBF" w14:textId="77777777" w:rsidR="00C5549D" w:rsidRPr="00F64A32" w:rsidRDefault="00C5549D" w:rsidP="0017026D">
            <w:pPr>
              <w:pStyle w:val="ExhibitText"/>
              <w:jc w:val="center"/>
            </w:pPr>
            <w:r w:rsidRPr="00F64A32">
              <w:rPr>
                <w:bCs/>
              </w:rPr>
              <w:t>2013</w:t>
            </w:r>
          </w:p>
        </w:tc>
        <w:tc>
          <w:tcPr>
            <w:tcW w:w="443" w:type="pct"/>
            <w:tcBorders>
              <w:left w:val="double" w:sz="4" w:space="0" w:color="auto"/>
              <w:right w:val="single" w:sz="4" w:space="0" w:color="auto"/>
            </w:tcBorders>
            <w:shd w:val="clear" w:color="auto" w:fill="auto"/>
          </w:tcPr>
          <w:p w14:paraId="19A78FD0" w14:textId="77777777" w:rsidR="00C5549D" w:rsidRPr="00F64A32" w:rsidRDefault="00C5549D" w:rsidP="0017026D">
            <w:pPr>
              <w:pStyle w:val="ExhibitText"/>
              <w:jc w:val="center"/>
              <w:rPr>
                <w:b w:val="0"/>
              </w:rPr>
            </w:pPr>
            <w:r w:rsidRPr="00F64A32">
              <w:t>2012</w:t>
            </w:r>
          </w:p>
        </w:tc>
        <w:tc>
          <w:tcPr>
            <w:tcW w:w="884" w:type="pct"/>
            <w:gridSpan w:val="2"/>
            <w:tcBorders>
              <w:left w:val="single" w:sz="4" w:space="0" w:color="auto"/>
            </w:tcBorders>
            <w:shd w:val="clear" w:color="auto" w:fill="auto"/>
          </w:tcPr>
          <w:p w14:paraId="460B78C9" w14:textId="77777777" w:rsidR="00C5549D" w:rsidRPr="00F64A32" w:rsidRDefault="00C5549D" w:rsidP="0017026D">
            <w:pPr>
              <w:pStyle w:val="ExhibitText"/>
              <w:jc w:val="center"/>
            </w:pPr>
            <w:r w:rsidRPr="00F64A32">
              <w:t>2013</w:t>
            </w:r>
          </w:p>
        </w:tc>
      </w:tr>
      <w:tr w:rsidR="003E6299" w:rsidRPr="00945E1C" w14:paraId="06BC41EE" w14:textId="77777777" w:rsidTr="00F2675C">
        <w:trPr>
          <w:cnfStyle w:val="100000000000" w:firstRow="1" w:lastRow="0" w:firstColumn="0" w:lastColumn="0" w:oddVBand="0" w:evenVBand="0" w:oddHBand="0" w:evenHBand="0" w:firstRowFirstColumn="0" w:firstRowLastColumn="0" w:lastRowFirstColumn="0" w:lastRowLastColumn="0"/>
          <w:trHeight w:val="331"/>
          <w:tblHeader/>
        </w:trPr>
        <w:tc>
          <w:tcPr>
            <w:tcW w:w="1460" w:type="pct"/>
            <w:shd w:val="clear" w:color="auto" w:fill="auto"/>
            <w:hideMark/>
          </w:tcPr>
          <w:p w14:paraId="5A38ADD3" w14:textId="77777777" w:rsidR="00C5549D" w:rsidRPr="009A6B9D" w:rsidRDefault="00C5549D" w:rsidP="009A6B9D">
            <w:pPr>
              <w:pStyle w:val="ExhibitText"/>
              <w:jc w:val="left"/>
            </w:pPr>
            <w:r w:rsidRPr="009A6B9D">
              <w:t>(in millions, except per share data)</w:t>
            </w:r>
          </w:p>
        </w:tc>
        <w:tc>
          <w:tcPr>
            <w:tcW w:w="442" w:type="pct"/>
            <w:shd w:val="clear" w:color="auto" w:fill="auto"/>
          </w:tcPr>
          <w:p w14:paraId="4B7159A8" w14:textId="77777777" w:rsidR="00C5549D" w:rsidRPr="00945E1C" w:rsidRDefault="00C5549D" w:rsidP="0017026D">
            <w:pPr>
              <w:pStyle w:val="ExhibitText"/>
              <w:jc w:val="center"/>
            </w:pPr>
            <w:r w:rsidRPr="00945E1C">
              <w:rPr>
                <w:bCs/>
              </w:rPr>
              <w:t>CNY</w:t>
            </w:r>
          </w:p>
        </w:tc>
        <w:tc>
          <w:tcPr>
            <w:tcW w:w="443" w:type="pct"/>
            <w:shd w:val="clear" w:color="auto" w:fill="auto"/>
            <w:hideMark/>
          </w:tcPr>
          <w:p w14:paraId="56897259" w14:textId="77777777" w:rsidR="00C5549D" w:rsidRPr="00945E1C" w:rsidRDefault="00C5549D" w:rsidP="0017026D">
            <w:pPr>
              <w:pStyle w:val="ExhibitText"/>
              <w:jc w:val="center"/>
            </w:pPr>
            <w:r w:rsidRPr="00CE24EF">
              <w:rPr>
                <w:bCs/>
              </w:rPr>
              <w:t>CNY</w:t>
            </w:r>
          </w:p>
        </w:tc>
        <w:tc>
          <w:tcPr>
            <w:tcW w:w="443" w:type="pct"/>
            <w:tcBorders>
              <w:right w:val="single" w:sz="4" w:space="0" w:color="auto"/>
            </w:tcBorders>
            <w:shd w:val="clear" w:color="auto" w:fill="auto"/>
            <w:hideMark/>
          </w:tcPr>
          <w:p w14:paraId="71F4A4E2" w14:textId="77777777" w:rsidR="00C5549D" w:rsidRPr="00945E1C" w:rsidRDefault="00C5549D" w:rsidP="0017026D">
            <w:pPr>
              <w:pStyle w:val="ExhibitText"/>
              <w:jc w:val="center"/>
            </w:pPr>
            <w:r w:rsidRPr="00945E1C">
              <w:rPr>
                <w:bCs/>
              </w:rPr>
              <w:t>CNY</w:t>
            </w:r>
          </w:p>
        </w:tc>
        <w:tc>
          <w:tcPr>
            <w:tcW w:w="442" w:type="pct"/>
            <w:tcBorders>
              <w:left w:val="single" w:sz="4" w:space="0" w:color="auto"/>
            </w:tcBorders>
            <w:shd w:val="clear" w:color="auto" w:fill="auto"/>
            <w:hideMark/>
          </w:tcPr>
          <w:p w14:paraId="51666929" w14:textId="77777777" w:rsidR="00C5549D" w:rsidRPr="00945E1C" w:rsidRDefault="00C5549D" w:rsidP="0017026D">
            <w:pPr>
              <w:pStyle w:val="ExhibitText"/>
              <w:jc w:val="center"/>
            </w:pPr>
            <w:r w:rsidRPr="00945E1C">
              <w:rPr>
                <w:bCs/>
              </w:rPr>
              <w:t>CNY</w:t>
            </w:r>
          </w:p>
        </w:tc>
        <w:tc>
          <w:tcPr>
            <w:tcW w:w="443" w:type="pct"/>
            <w:tcBorders>
              <w:right w:val="double" w:sz="4" w:space="0" w:color="auto"/>
            </w:tcBorders>
            <w:shd w:val="clear" w:color="auto" w:fill="auto"/>
            <w:hideMark/>
          </w:tcPr>
          <w:p w14:paraId="60DD3BDC" w14:textId="77777777" w:rsidR="00C5549D" w:rsidRPr="00945E1C" w:rsidRDefault="00C5549D" w:rsidP="0017026D">
            <w:pPr>
              <w:pStyle w:val="ExhibitText"/>
              <w:jc w:val="center"/>
            </w:pPr>
            <w:r w:rsidRPr="00945E1C">
              <w:rPr>
                <w:bCs/>
              </w:rPr>
              <w:t>US$</w:t>
            </w:r>
          </w:p>
        </w:tc>
        <w:tc>
          <w:tcPr>
            <w:tcW w:w="443" w:type="pct"/>
            <w:tcBorders>
              <w:left w:val="double" w:sz="4" w:space="0" w:color="auto"/>
            </w:tcBorders>
            <w:shd w:val="clear" w:color="auto" w:fill="auto"/>
            <w:hideMark/>
          </w:tcPr>
          <w:p w14:paraId="224E4B54" w14:textId="77777777" w:rsidR="00C5549D" w:rsidRPr="00945E1C" w:rsidRDefault="00C5549D" w:rsidP="0017026D">
            <w:pPr>
              <w:pStyle w:val="ExhibitText"/>
              <w:jc w:val="center"/>
            </w:pPr>
            <w:r w:rsidRPr="00945E1C">
              <w:rPr>
                <w:bCs/>
              </w:rPr>
              <w:t>CNY</w:t>
            </w:r>
          </w:p>
        </w:tc>
        <w:tc>
          <w:tcPr>
            <w:tcW w:w="443" w:type="pct"/>
            <w:tcBorders>
              <w:left w:val="single" w:sz="4" w:space="0" w:color="auto"/>
            </w:tcBorders>
            <w:shd w:val="clear" w:color="auto" w:fill="auto"/>
            <w:hideMark/>
          </w:tcPr>
          <w:p w14:paraId="685AAF90" w14:textId="77777777" w:rsidR="00C5549D" w:rsidRPr="00945E1C" w:rsidRDefault="00C5549D" w:rsidP="0017026D">
            <w:pPr>
              <w:pStyle w:val="ExhibitText"/>
              <w:jc w:val="center"/>
            </w:pPr>
            <w:r w:rsidRPr="00945E1C">
              <w:rPr>
                <w:bCs/>
              </w:rPr>
              <w:t>CNY</w:t>
            </w:r>
          </w:p>
        </w:tc>
        <w:tc>
          <w:tcPr>
            <w:tcW w:w="441" w:type="pct"/>
            <w:shd w:val="clear" w:color="auto" w:fill="auto"/>
            <w:hideMark/>
          </w:tcPr>
          <w:p w14:paraId="7A0E03FF" w14:textId="77777777" w:rsidR="00C5549D" w:rsidRPr="00945E1C" w:rsidRDefault="00C5549D" w:rsidP="0017026D">
            <w:pPr>
              <w:pStyle w:val="ExhibitText"/>
              <w:jc w:val="center"/>
            </w:pPr>
            <w:r w:rsidRPr="00945E1C">
              <w:rPr>
                <w:bCs/>
              </w:rPr>
              <w:t>US$</w:t>
            </w:r>
          </w:p>
        </w:tc>
      </w:tr>
      <w:tr w:rsidR="003E6299" w:rsidRPr="00F64A32" w14:paraId="3E896571" w14:textId="77777777" w:rsidTr="00F2675C">
        <w:trPr>
          <w:trHeight w:val="331"/>
        </w:trPr>
        <w:tc>
          <w:tcPr>
            <w:tcW w:w="1460" w:type="pct"/>
            <w:tcBorders>
              <w:top w:val="single" w:sz="4" w:space="0" w:color="auto"/>
            </w:tcBorders>
          </w:tcPr>
          <w:p w14:paraId="05570824" w14:textId="029B062C" w:rsidR="00C5549D" w:rsidRPr="00F64A32" w:rsidRDefault="00C5549D" w:rsidP="009A6B9D">
            <w:pPr>
              <w:pStyle w:val="ExhibitText"/>
              <w:jc w:val="left"/>
            </w:pPr>
            <w:r w:rsidRPr="00F64A32">
              <w:t>Share of results of equity investees</w:t>
            </w:r>
          </w:p>
        </w:tc>
        <w:tc>
          <w:tcPr>
            <w:tcW w:w="442" w:type="pct"/>
            <w:tcBorders>
              <w:top w:val="single" w:sz="4" w:space="0" w:color="auto"/>
            </w:tcBorders>
          </w:tcPr>
          <w:p w14:paraId="76DFF456" w14:textId="29BE67EE" w:rsidR="00C5549D" w:rsidRPr="00F64A32" w:rsidRDefault="00C5549D" w:rsidP="002F3C17">
            <w:pPr>
              <w:pStyle w:val="ExhibitText"/>
              <w:jc w:val="right"/>
            </w:pPr>
            <w:r w:rsidRPr="00F64A32">
              <w:t>(33)</w:t>
            </w:r>
          </w:p>
        </w:tc>
        <w:tc>
          <w:tcPr>
            <w:tcW w:w="443" w:type="pct"/>
            <w:tcBorders>
              <w:top w:val="single" w:sz="4" w:space="0" w:color="auto"/>
            </w:tcBorders>
          </w:tcPr>
          <w:p w14:paraId="08AD8E57" w14:textId="4C78A5B9" w:rsidR="00C5549D" w:rsidRPr="00F64A32" w:rsidRDefault="00C5549D" w:rsidP="002F3C17">
            <w:pPr>
              <w:pStyle w:val="ExhibitText"/>
              <w:jc w:val="right"/>
            </w:pPr>
            <w:r w:rsidRPr="00F64A32">
              <w:t>—</w:t>
            </w:r>
          </w:p>
        </w:tc>
        <w:tc>
          <w:tcPr>
            <w:tcW w:w="443" w:type="pct"/>
            <w:tcBorders>
              <w:top w:val="single" w:sz="4" w:space="0" w:color="auto"/>
              <w:right w:val="single" w:sz="4" w:space="0" w:color="auto"/>
            </w:tcBorders>
          </w:tcPr>
          <w:p w14:paraId="053A6644" w14:textId="34590ED5" w:rsidR="00C5549D" w:rsidRPr="00F64A32" w:rsidRDefault="00C5549D" w:rsidP="002F3C17">
            <w:pPr>
              <w:pStyle w:val="ExhibitText"/>
              <w:jc w:val="right"/>
            </w:pPr>
            <w:r w:rsidRPr="00F64A32">
              <w:t>(25)</w:t>
            </w:r>
          </w:p>
        </w:tc>
        <w:tc>
          <w:tcPr>
            <w:tcW w:w="442" w:type="pct"/>
            <w:tcBorders>
              <w:top w:val="single" w:sz="4" w:space="0" w:color="auto"/>
              <w:left w:val="single" w:sz="4" w:space="0" w:color="auto"/>
            </w:tcBorders>
          </w:tcPr>
          <w:p w14:paraId="2C71FD32" w14:textId="0150BBC1" w:rsidR="00C5549D" w:rsidRPr="00F64A32" w:rsidRDefault="00C5549D" w:rsidP="002F3C17">
            <w:pPr>
              <w:pStyle w:val="ExhibitText"/>
              <w:jc w:val="right"/>
            </w:pPr>
            <w:r w:rsidRPr="00F64A32">
              <w:t>(6)</w:t>
            </w:r>
          </w:p>
        </w:tc>
        <w:tc>
          <w:tcPr>
            <w:tcW w:w="443" w:type="pct"/>
            <w:tcBorders>
              <w:top w:val="single" w:sz="4" w:space="0" w:color="auto"/>
              <w:right w:val="double" w:sz="4" w:space="0" w:color="auto"/>
            </w:tcBorders>
          </w:tcPr>
          <w:p w14:paraId="2C0B2D60" w14:textId="31384A39" w:rsidR="00C5549D" w:rsidRPr="00F64A32" w:rsidRDefault="00C5549D" w:rsidP="002F3C17">
            <w:pPr>
              <w:pStyle w:val="ExhibitText"/>
              <w:jc w:val="right"/>
            </w:pPr>
            <w:r w:rsidRPr="00F64A32">
              <w:t>(1)</w:t>
            </w:r>
          </w:p>
        </w:tc>
        <w:tc>
          <w:tcPr>
            <w:tcW w:w="443" w:type="pct"/>
            <w:tcBorders>
              <w:top w:val="single" w:sz="4" w:space="0" w:color="auto"/>
              <w:left w:val="double" w:sz="4" w:space="0" w:color="auto"/>
            </w:tcBorders>
          </w:tcPr>
          <w:p w14:paraId="43D876EB" w14:textId="3C2BC1C3" w:rsidR="00C5549D" w:rsidRPr="00F64A32" w:rsidRDefault="00C5549D" w:rsidP="002F3C17">
            <w:pPr>
              <w:pStyle w:val="ExhibitText"/>
              <w:jc w:val="right"/>
            </w:pPr>
            <w:r w:rsidRPr="00F64A32">
              <w:t>(9)</w:t>
            </w:r>
          </w:p>
        </w:tc>
        <w:tc>
          <w:tcPr>
            <w:tcW w:w="443" w:type="pct"/>
            <w:tcBorders>
              <w:top w:val="single" w:sz="4" w:space="0" w:color="auto"/>
              <w:left w:val="single" w:sz="4" w:space="0" w:color="auto"/>
            </w:tcBorders>
          </w:tcPr>
          <w:p w14:paraId="3CE7337F" w14:textId="27A737CB" w:rsidR="00C5549D" w:rsidRPr="00F64A32" w:rsidRDefault="00C5549D" w:rsidP="002F3C17">
            <w:pPr>
              <w:pStyle w:val="ExhibitText"/>
              <w:jc w:val="right"/>
            </w:pPr>
            <w:r w:rsidRPr="00F64A32">
              <w:t>(174)</w:t>
            </w:r>
          </w:p>
        </w:tc>
        <w:tc>
          <w:tcPr>
            <w:tcW w:w="441" w:type="pct"/>
            <w:tcBorders>
              <w:top w:val="single" w:sz="4" w:space="0" w:color="auto"/>
            </w:tcBorders>
          </w:tcPr>
          <w:p w14:paraId="0CAF5CD7" w14:textId="452221F6" w:rsidR="00C5549D" w:rsidRPr="00F64A32" w:rsidRDefault="00C5549D" w:rsidP="002F3C17">
            <w:pPr>
              <w:pStyle w:val="ExhibitText"/>
              <w:jc w:val="right"/>
            </w:pPr>
            <w:r w:rsidRPr="00F64A32">
              <w:t>(28)</w:t>
            </w:r>
          </w:p>
        </w:tc>
      </w:tr>
      <w:tr w:rsidR="003E6299" w:rsidRPr="00F64A32" w14:paraId="7974D2A7" w14:textId="77777777" w:rsidTr="00F2675C">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tcPr>
          <w:p w14:paraId="5819C175" w14:textId="48BB4A4C" w:rsidR="00C5549D" w:rsidRPr="00F64A32" w:rsidRDefault="00C5549D" w:rsidP="009A6B9D">
            <w:pPr>
              <w:pStyle w:val="ExhibitText"/>
              <w:jc w:val="left"/>
            </w:pPr>
            <w:r w:rsidRPr="00F64A32">
              <w:t>Net income (loss)</w:t>
            </w:r>
          </w:p>
        </w:tc>
        <w:tc>
          <w:tcPr>
            <w:tcW w:w="442" w:type="pct"/>
            <w:shd w:val="clear" w:color="auto" w:fill="auto"/>
          </w:tcPr>
          <w:p w14:paraId="6F1F78BF" w14:textId="03F553D1" w:rsidR="00C5549D" w:rsidRPr="00F64A32" w:rsidRDefault="00C5549D" w:rsidP="002F3C17">
            <w:pPr>
              <w:pStyle w:val="ExhibitText"/>
              <w:jc w:val="right"/>
            </w:pPr>
            <w:r w:rsidRPr="00F64A32">
              <w:t>(503)</w:t>
            </w:r>
          </w:p>
        </w:tc>
        <w:tc>
          <w:tcPr>
            <w:tcW w:w="443" w:type="pct"/>
            <w:shd w:val="clear" w:color="auto" w:fill="auto"/>
          </w:tcPr>
          <w:p w14:paraId="25683006" w14:textId="36034AB7" w:rsidR="00C5549D" w:rsidRPr="00F64A32" w:rsidRDefault="00C5549D" w:rsidP="002F3C17">
            <w:pPr>
              <w:pStyle w:val="ExhibitText"/>
              <w:jc w:val="right"/>
            </w:pPr>
            <w:r w:rsidRPr="00F64A32">
              <w:t>1,608</w:t>
            </w:r>
          </w:p>
        </w:tc>
        <w:tc>
          <w:tcPr>
            <w:tcW w:w="443" w:type="pct"/>
            <w:tcBorders>
              <w:right w:val="single" w:sz="4" w:space="0" w:color="auto"/>
            </w:tcBorders>
            <w:shd w:val="clear" w:color="auto" w:fill="auto"/>
          </w:tcPr>
          <w:p w14:paraId="29071ABE" w14:textId="176F32BC" w:rsidR="00C5549D" w:rsidRPr="00F64A32" w:rsidRDefault="00C5549D" w:rsidP="002F3C17">
            <w:pPr>
              <w:pStyle w:val="ExhibitText"/>
              <w:jc w:val="right"/>
            </w:pPr>
            <w:r w:rsidRPr="00F64A32">
              <w:t>4,665</w:t>
            </w:r>
          </w:p>
        </w:tc>
        <w:tc>
          <w:tcPr>
            <w:tcW w:w="442" w:type="pct"/>
            <w:tcBorders>
              <w:left w:val="single" w:sz="4" w:space="0" w:color="auto"/>
            </w:tcBorders>
            <w:shd w:val="clear" w:color="auto" w:fill="auto"/>
          </w:tcPr>
          <w:p w14:paraId="1099A638" w14:textId="114034D4" w:rsidR="00C5549D" w:rsidRPr="00F64A32" w:rsidRDefault="00C5549D" w:rsidP="002F3C17">
            <w:pPr>
              <w:pStyle w:val="ExhibitText"/>
              <w:jc w:val="right"/>
            </w:pPr>
            <w:r w:rsidRPr="00F64A32">
              <w:t>8,649</w:t>
            </w:r>
          </w:p>
        </w:tc>
        <w:tc>
          <w:tcPr>
            <w:tcW w:w="443" w:type="pct"/>
            <w:tcBorders>
              <w:right w:val="double" w:sz="4" w:space="0" w:color="auto"/>
            </w:tcBorders>
            <w:shd w:val="clear" w:color="auto" w:fill="auto"/>
          </w:tcPr>
          <w:p w14:paraId="718A78D9" w14:textId="5784305E" w:rsidR="00C5549D" w:rsidRPr="00F64A32" w:rsidRDefault="00C5549D" w:rsidP="002F3C17">
            <w:pPr>
              <w:pStyle w:val="ExhibitText"/>
              <w:jc w:val="right"/>
            </w:pPr>
            <w:r w:rsidRPr="00F64A32">
              <w:t>1,392</w:t>
            </w:r>
          </w:p>
        </w:tc>
        <w:tc>
          <w:tcPr>
            <w:tcW w:w="443" w:type="pct"/>
            <w:tcBorders>
              <w:left w:val="double" w:sz="4" w:space="0" w:color="auto"/>
            </w:tcBorders>
            <w:shd w:val="clear" w:color="auto" w:fill="auto"/>
          </w:tcPr>
          <w:p w14:paraId="684B1A1C" w14:textId="76C194D7" w:rsidR="00C5549D" w:rsidRPr="00F64A32" w:rsidRDefault="00C5549D" w:rsidP="002F3C17">
            <w:pPr>
              <w:pStyle w:val="ExhibitText"/>
              <w:jc w:val="right"/>
            </w:pPr>
            <w:r w:rsidRPr="00F64A32">
              <w:t>4,383</w:t>
            </w:r>
          </w:p>
        </w:tc>
        <w:tc>
          <w:tcPr>
            <w:tcW w:w="443" w:type="pct"/>
            <w:tcBorders>
              <w:left w:val="single" w:sz="4" w:space="0" w:color="auto"/>
            </w:tcBorders>
            <w:shd w:val="clear" w:color="auto" w:fill="auto"/>
          </w:tcPr>
          <w:p w14:paraId="373ADC35" w14:textId="3BC4D5C4" w:rsidR="00C5549D" w:rsidRPr="00F64A32" w:rsidRDefault="00C5549D" w:rsidP="002F3C17">
            <w:pPr>
              <w:pStyle w:val="ExhibitText"/>
              <w:jc w:val="right"/>
            </w:pPr>
            <w:r w:rsidRPr="00F64A32">
              <w:t>17,742</w:t>
            </w:r>
          </w:p>
        </w:tc>
        <w:tc>
          <w:tcPr>
            <w:tcW w:w="441" w:type="pct"/>
            <w:shd w:val="clear" w:color="auto" w:fill="auto"/>
          </w:tcPr>
          <w:p w14:paraId="681E9CDE" w14:textId="1886D57F" w:rsidR="00C5549D" w:rsidRPr="00F64A32" w:rsidRDefault="00C5549D" w:rsidP="002F3C17">
            <w:pPr>
              <w:pStyle w:val="ExhibitText"/>
              <w:jc w:val="right"/>
            </w:pPr>
            <w:r w:rsidRPr="00F64A32">
              <w:t>2,854</w:t>
            </w:r>
          </w:p>
        </w:tc>
      </w:tr>
      <w:tr w:rsidR="00C5549D" w:rsidRPr="00F64A32" w14:paraId="5A23EE6B" w14:textId="77777777" w:rsidTr="00F2675C">
        <w:trPr>
          <w:trHeight w:val="331"/>
        </w:trPr>
        <w:tc>
          <w:tcPr>
            <w:tcW w:w="1460" w:type="pct"/>
          </w:tcPr>
          <w:p w14:paraId="32D83A7A" w14:textId="497DB6C1" w:rsidR="00C5549D" w:rsidRPr="00F64A32" w:rsidRDefault="00C5549D" w:rsidP="009A6B9D">
            <w:pPr>
              <w:pStyle w:val="ExhibitText"/>
              <w:jc w:val="left"/>
            </w:pPr>
            <w:r w:rsidRPr="00F64A32">
              <w:t>Net income (loss) attributable to non-controlling interests</w:t>
            </w:r>
          </w:p>
        </w:tc>
        <w:tc>
          <w:tcPr>
            <w:tcW w:w="442" w:type="pct"/>
          </w:tcPr>
          <w:p w14:paraId="2C482254" w14:textId="55AC5446" w:rsidR="00C5549D" w:rsidRPr="00F64A32" w:rsidRDefault="00C5549D" w:rsidP="002F3C17">
            <w:pPr>
              <w:pStyle w:val="ExhibitText"/>
              <w:jc w:val="right"/>
            </w:pPr>
            <w:r w:rsidRPr="00F64A32">
              <w:t>(299)</w:t>
            </w:r>
          </w:p>
        </w:tc>
        <w:tc>
          <w:tcPr>
            <w:tcW w:w="443" w:type="pct"/>
          </w:tcPr>
          <w:p w14:paraId="6659B958" w14:textId="2B9B547D" w:rsidR="00C5549D" w:rsidRPr="00F64A32" w:rsidRDefault="00C5549D" w:rsidP="002F3C17">
            <w:pPr>
              <w:pStyle w:val="ExhibitText"/>
              <w:jc w:val="right"/>
            </w:pPr>
            <w:r w:rsidRPr="00F64A32">
              <w:t>(425)</w:t>
            </w:r>
          </w:p>
        </w:tc>
        <w:tc>
          <w:tcPr>
            <w:tcW w:w="443" w:type="pct"/>
            <w:tcBorders>
              <w:right w:val="single" w:sz="4" w:space="0" w:color="auto"/>
            </w:tcBorders>
          </w:tcPr>
          <w:p w14:paraId="1B285417" w14:textId="1AD9030C" w:rsidR="00C5549D" w:rsidRPr="00F64A32" w:rsidRDefault="00C5549D" w:rsidP="002F3C17">
            <w:pPr>
              <w:pStyle w:val="ExhibitText"/>
              <w:jc w:val="right"/>
            </w:pPr>
            <w:r w:rsidRPr="00F64A32">
              <w:t>(437)</w:t>
            </w:r>
          </w:p>
        </w:tc>
        <w:tc>
          <w:tcPr>
            <w:tcW w:w="442" w:type="pct"/>
            <w:tcBorders>
              <w:left w:val="single" w:sz="4" w:space="0" w:color="auto"/>
            </w:tcBorders>
          </w:tcPr>
          <w:p w14:paraId="752EB824" w14:textId="253ADBBD" w:rsidR="00C5549D" w:rsidRPr="00F64A32" w:rsidRDefault="00C5549D" w:rsidP="002F3C17">
            <w:pPr>
              <w:pStyle w:val="ExhibitText"/>
              <w:jc w:val="right"/>
            </w:pPr>
            <w:r w:rsidRPr="00F64A32">
              <w:t>(117)</w:t>
            </w:r>
          </w:p>
        </w:tc>
        <w:tc>
          <w:tcPr>
            <w:tcW w:w="443" w:type="pct"/>
            <w:tcBorders>
              <w:right w:val="double" w:sz="4" w:space="0" w:color="auto"/>
            </w:tcBorders>
          </w:tcPr>
          <w:p w14:paraId="1C5B295A" w14:textId="054060D1" w:rsidR="00C5549D" w:rsidRPr="00F64A32" w:rsidRDefault="00C5549D" w:rsidP="002F3C17">
            <w:pPr>
              <w:pStyle w:val="ExhibitText"/>
              <w:jc w:val="right"/>
            </w:pPr>
            <w:r w:rsidRPr="00F64A32">
              <w:t>(19)</w:t>
            </w:r>
          </w:p>
        </w:tc>
        <w:tc>
          <w:tcPr>
            <w:tcW w:w="443" w:type="pct"/>
            <w:tcBorders>
              <w:left w:val="double" w:sz="4" w:space="0" w:color="auto"/>
            </w:tcBorders>
          </w:tcPr>
          <w:p w14:paraId="704E274D" w14:textId="63973D75" w:rsidR="00C5549D" w:rsidRPr="00F64A32" w:rsidRDefault="00C5549D" w:rsidP="002F3C17">
            <w:pPr>
              <w:pStyle w:val="ExhibitText"/>
              <w:jc w:val="right"/>
            </w:pPr>
            <w:r w:rsidRPr="00F64A32">
              <w:t>(108)</w:t>
            </w:r>
          </w:p>
        </w:tc>
        <w:tc>
          <w:tcPr>
            <w:tcW w:w="443" w:type="pct"/>
            <w:tcBorders>
              <w:left w:val="single" w:sz="4" w:space="0" w:color="auto"/>
            </w:tcBorders>
          </w:tcPr>
          <w:p w14:paraId="0F28C1F7" w14:textId="313CC993" w:rsidR="00C5549D" w:rsidRPr="00F64A32" w:rsidRDefault="00C5549D" w:rsidP="002F3C17">
            <w:pPr>
              <w:pStyle w:val="ExhibitText"/>
              <w:jc w:val="right"/>
            </w:pPr>
            <w:r w:rsidRPr="00F64A32">
              <w:t>(29)</w:t>
            </w:r>
          </w:p>
        </w:tc>
        <w:tc>
          <w:tcPr>
            <w:tcW w:w="441" w:type="pct"/>
          </w:tcPr>
          <w:p w14:paraId="29A5D688" w14:textId="24EC45D4" w:rsidR="00C5549D" w:rsidRPr="00F64A32" w:rsidRDefault="00C5549D" w:rsidP="002F3C17">
            <w:pPr>
              <w:pStyle w:val="ExhibitText"/>
              <w:jc w:val="right"/>
            </w:pPr>
            <w:r w:rsidRPr="00F64A32">
              <w:t>(5)</w:t>
            </w:r>
          </w:p>
        </w:tc>
      </w:tr>
      <w:tr w:rsidR="003E6299" w:rsidRPr="00F64A32" w14:paraId="32B9C7E4" w14:textId="77777777" w:rsidTr="00F2675C">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tcPr>
          <w:p w14:paraId="023C347B" w14:textId="6C1603D1" w:rsidR="00C5549D" w:rsidRPr="00F64A32" w:rsidRDefault="00C5549D" w:rsidP="009A6B9D">
            <w:pPr>
              <w:pStyle w:val="ExhibitText"/>
              <w:jc w:val="left"/>
            </w:pPr>
            <w:r w:rsidRPr="00F64A32">
              <w:t>Net income (loss) attributable to Alibaba Group Holding Limited</w:t>
            </w:r>
          </w:p>
        </w:tc>
        <w:tc>
          <w:tcPr>
            <w:tcW w:w="442" w:type="pct"/>
            <w:shd w:val="clear" w:color="auto" w:fill="auto"/>
          </w:tcPr>
          <w:p w14:paraId="5AB614EB" w14:textId="6E3CCF9A" w:rsidR="00C5549D" w:rsidRPr="00F64A32" w:rsidRDefault="00C5549D" w:rsidP="002F3C17">
            <w:pPr>
              <w:pStyle w:val="ExhibitText"/>
              <w:jc w:val="right"/>
            </w:pPr>
            <w:r w:rsidRPr="00F64A32">
              <w:t>(802)</w:t>
            </w:r>
          </w:p>
        </w:tc>
        <w:tc>
          <w:tcPr>
            <w:tcW w:w="443" w:type="pct"/>
            <w:shd w:val="clear" w:color="auto" w:fill="auto"/>
          </w:tcPr>
          <w:p w14:paraId="164D6B18" w14:textId="50542EF2" w:rsidR="00C5549D" w:rsidRPr="00F64A32" w:rsidRDefault="00C5549D" w:rsidP="002F3C17">
            <w:pPr>
              <w:pStyle w:val="ExhibitText"/>
              <w:jc w:val="right"/>
            </w:pPr>
            <w:r w:rsidRPr="00F64A32">
              <w:t>1,183</w:t>
            </w:r>
          </w:p>
        </w:tc>
        <w:tc>
          <w:tcPr>
            <w:tcW w:w="443" w:type="pct"/>
            <w:tcBorders>
              <w:right w:val="single" w:sz="4" w:space="0" w:color="auto"/>
            </w:tcBorders>
            <w:shd w:val="clear" w:color="auto" w:fill="auto"/>
          </w:tcPr>
          <w:p w14:paraId="33123B88" w14:textId="2363D266" w:rsidR="00C5549D" w:rsidRPr="00F64A32" w:rsidRDefault="00C5549D" w:rsidP="002F3C17">
            <w:pPr>
              <w:pStyle w:val="ExhibitText"/>
              <w:jc w:val="right"/>
            </w:pPr>
            <w:r w:rsidRPr="00F64A32">
              <w:t>4,228</w:t>
            </w:r>
          </w:p>
        </w:tc>
        <w:tc>
          <w:tcPr>
            <w:tcW w:w="442" w:type="pct"/>
            <w:tcBorders>
              <w:left w:val="single" w:sz="4" w:space="0" w:color="auto"/>
            </w:tcBorders>
            <w:shd w:val="clear" w:color="auto" w:fill="auto"/>
          </w:tcPr>
          <w:p w14:paraId="5D8292A4" w14:textId="5A8DE998" w:rsidR="00C5549D" w:rsidRPr="00F64A32" w:rsidRDefault="00C5549D" w:rsidP="002F3C17">
            <w:pPr>
              <w:pStyle w:val="ExhibitText"/>
              <w:jc w:val="right"/>
            </w:pPr>
            <w:r w:rsidRPr="00F64A32">
              <w:t>8,532</w:t>
            </w:r>
          </w:p>
        </w:tc>
        <w:tc>
          <w:tcPr>
            <w:tcW w:w="443" w:type="pct"/>
            <w:tcBorders>
              <w:right w:val="double" w:sz="4" w:space="0" w:color="auto"/>
            </w:tcBorders>
            <w:shd w:val="clear" w:color="auto" w:fill="auto"/>
          </w:tcPr>
          <w:p w14:paraId="75408D4B" w14:textId="11CEDD2A" w:rsidR="00C5549D" w:rsidRPr="00F64A32" w:rsidRDefault="00C5549D" w:rsidP="002F3C17">
            <w:pPr>
              <w:pStyle w:val="ExhibitText"/>
              <w:jc w:val="right"/>
            </w:pPr>
            <w:r w:rsidRPr="00F64A32">
              <w:t>1,373</w:t>
            </w:r>
          </w:p>
        </w:tc>
        <w:tc>
          <w:tcPr>
            <w:tcW w:w="443" w:type="pct"/>
            <w:tcBorders>
              <w:left w:val="double" w:sz="4" w:space="0" w:color="auto"/>
            </w:tcBorders>
            <w:shd w:val="clear" w:color="auto" w:fill="auto"/>
          </w:tcPr>
          <w:p w14:paraId="48796FC8" w14:textId="7B955490" w:rsidR="00C5549D" w:rsidRPr="00F64A32" w:rsidRDefault="00C5549D" w:rsidP="002F3C17">
            <w:pPr>
              <w:pStyle w:val="ExhibitText"/>
              <w:jc w:val="right"/>
            </w:pPr>
            <w:r w:rsidRPr="00F64A32">
              <w:t>4,275</w:t>
            </w:r>
          </w:p>
        </w:tc>
        <w:tc>
          <w:tcPr>
            <w:tcW w:w="443" w:type="pct"/>
            <w:tcBorders>
              <w:left w:val="single" w:sz="4" w:space="0" w:color="auto"/>
            </w:tcBorders>
            <w:shd w:val="clear" w:color="auto" w:fill="auto"/>
          </w:tcPr>
          <w:p w14:paraId="31FD63A4" w14:textId="6393140E" w:rsidR="00C5549D" w:rsidRPr="00F64A32" w:rsidRDefault="00C5549D" w:rsidP="002F3C17">
            <w:pPr>
              <w:pStyle w:val="ExhibitText"/>
              <w:jc w:val="right"/>
            </w:pPr>
            <w:r w:rsidRPr="00F64A32">
              <w:t>17,713</w:t>
            </w:r>
          </w:p>
        </w:tc>
        <w:tc>
          <w:tcPr>
            <w:tcW w:w="441" w:type="pct"/>
            <w:shd w:val="clear" w:color="auto" w:fill="auto"/>
          </w:tcPr>
          <w:p w14:paraId="60E455BB" w14:textId="0DB21000" w:rsidR="00C5549D" w:rsidRPr="00F64A32" w:rsidRDefault="00C5549D" w:rsidP="002F3C17">
            <w:pPr>
              <w:pStyle w:val="ExhibitText"/>
              <w:jc w:val="right"/>
            </w:pPr>
            <w:r w:rsidRPr="00F64A32">
              <w:t>2,849</w:t>
            </w:r>
          </w:p>
        </w:tc>
      </w:tr>
      <w:tr w:rsidR="00C5549D" w:rsidRPr="00F64A32" w14:paraId="64F94F3F" w14:textId="77777777" w:rsidTr="00F2675C">
        <w:trPr>
          <w:trHeight w:val="331"/>
        </w:trPr>
        <w:tc>
          <w:tcPr>
            <w:tcW w:w="1460" w:type="pct"/>
          </w:tcPr>
          <w:p w14:paraId="308A9C08" w14:textId="239D5C8B" w:rsidR="00C5549D" w:rsidRPr="00F64A32" w:rsidRDefault="00C5549D" w:rsidP="009A6B9D">
            <w:pPr>
              <w:pStyle w:val="ExhibitText"/>
              <w:jc w:val="left"/>
            </w:pPr>
            <w:r w:rsidRPr="00F64A32">
              <w:t>Accretion of convertible preference shares</w:t>
            </w:r>
          </w:p>
        </w:tc>
        <w:tc>
          <w:tcPr>
            <w:tcW w:w="442" w:type="pct"/>
          </w:tcPr>
          <w:p w14:paraId="5090BAD8" w14:textId="53AD4430" w:rsidR="00C5549D" w:rsidRPr="00F64A32" w:rsidRDefault="00C5549D" w:rsidP="002F3C17">
            <w:pPr>
              <w:pStyle w:val="ExhibitText"/>
              <w:jc w:val="right"/>
            </w:pPr>
            <w:r w:rsidRPr="00F64A32">
              <w:t>—</w:t>
            </w:r>
          </w:p>
        </w:tc>
        <w:tc>
          <w:tcPr>
            <w:tcW w:w="443" w:type="pct"/>
          </w:tcPr>
          <w:p w14:paraId="5B5CC570" w14:textId="4899E49D" w:rsidR="00C5549D" w:rsidRPr="00F64A32" w:rsidRDefault="00C5549D" w:rsidP="002F3C17">
            <w:pPr>
              <w:pStyle w:val="ExhibitText"/>
              <w:jc w:val="right"/>
            </w:pPr>
            <w:r w:rsidRPr="00F64A32">
              <w:t>—</w:t>
            </w:r>
          </w:p>
        </w:tc>
        <w:tc>
          <w:tcPr>
            <w:tcW w:w="443" w:type="pct"/>
            <w:tcBorders>
              <w:right w:val="single" w:sz="4" w:space="0" w:color="auto"/>
            </w:tcBorders>
          </w:tcPr>
          <w:p w14:paraId="110F32C8" w14:textId="478B56CA" w:rsidR="00C5549D" w:rsidRPr="00F64A32" w:rsidRDefault="00C5549D" w:rsidP="002F3C17">
            <w:pPr>
              <w:pStyle w:val="ExhibitText"/>
              <w:jc w:val="right"/>
            </w:pPr>
            <w:r w:rsidRPr="00F64A32">
              <w:t>—</w:t>
            </w:r>
          </w:p>
        </w:tc>
        <w:tc>
          <w:tcPr>
            <w:tcW w:w="442" w:type="pct"/>
            <w:tcBorders>
              <w:left w:val="single" w:sz="4" w:space="0" w:color="auto"/>
            </w:tcBorders>
          </w:tcPr>
          <w:p w14:paraId="0F1BD503" w14:textId="2164D0A4" w:rsidR="00C5549D" w:rsidRPr="00F64A32" w:rsidRDefault="00C5549D" w:rsidP="002F3C17">
            <w:pPr>
              <w:pStyle w:val="ExhibitText"/>
              <w:jc w:val="right"/>
            </w:pPr>
            <w:r w:rsidRPr="00F64A32">
              <w:t>(17)</w:t>
            </w:r>
          </w:p>
        </w:tc>
        <w:tc>
          <w:tcPr>
            <w:tcW w:w="443" w:type="pct"/>
            <w:tcBorders>
              <w:right w:val="double" w:sz="4" w:space="0" w:color="auto"/>
            </w:tcBorders>
          </w:tcPr>
          <w:p w14:paraId="39C789F7" w14:textId="48074051" w:rsidR="00C5549D" w:rsidRPr="00F64A32" w:rsidRDefault="00C5549D" w:rsidP="002F3C17">
            <w:pPr>
              <w:pStyle w:val="ExhibitText"/>
              <w:jc w:val="right"/>
            </w:pPr>
            <w:r w:rsidRPr="00F64A32">
              <w:t>(3)</w:t>
            </w:r>
          </w:p>
        </w:tc>
        <w:tc>
          <w:tcPr>
            <w:tcW w:w="443" w:type="pct"/>
            <w:tcBorders>
              <w:left w:val="double" w:sz="4" w:space="0" w:color="auto"/>
            </w:tcBorders>
          </w:tcPr>
          <w:p w14:paraId="37049336" w14:textId="73D2CD25" w:rsidR="00C5549D" w:rsidRPr="00F64A32" w:rsidRDefault="00C5549D" w:rsidP="002F3C17">
            <w:pPr>
              <w:pStyle w:val="ExhibitText"/>
              <w:jc w:val="right"/>
            </w:pPr>
            <w:r w:rsidRPr="00F64A32">
              <w:t>(9)</w:t>
            </w:r>
          </w:p>
        </w:tc>
        <w:tc>
          <w:tcPr>
            <w:tcW w:w="443" w:type="pct"/>
            <w:tcBorders>
              <w:left w:val="single" w:sz="4" w:space="0" w:color="auto"/>
            </w:tcBorders>
          </w:tcPr>
          <w:p w14:paraId="4B092FEC" w14:textId="40EC584C" w:rsidR="00C5549D" w:rsidRPr="00F64A32" w:rsidRDefault="00C5549D" w:rsidP="002F3C17">
            <w:pPr>
              <w:pStyle w:val="ExhibitText"/>
              <w:jc w:val="right"/>
            </w:pPr>
            <w:r w:rsidRPr="00F64A32">
              <w:t>(24)</w:t>
            </w:r>
          </w:p>
        </w:tc>
        <w:tc>
          <w:tcPr>
            <w:tcW w:w="441" w:type="pct"/>
          </w:tcPr>
          <w:p w14:paraId="3A803EE3" w14:textId="67307929" w:rsidR="00C5549D" w:rsidRPr="00F64A32" w:rsidRDefault="00C5549D" w:rsidP="002F3C17">
            <w:pPr>
              <w:pStyle w:val="ExhibitText"/>
              <w:jc w:val="right"/>
            </w:pPr>
            <w:r w:rsidRPr="00F64A32">
              <w:t>(4)</w:t>
            </w:r>
          </w:p>
        </w:tc>
      </w:tr>
      <w:tr w:rsidR="003E6299" w:rsidRPr="00F64A32" w14:paraId="69BF18C2" w14:textId="77777777" w:rsidTr="00F2675C">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tcPr>
          <w:p w14:paraId="5F5C693C" w14:textId="66F3FE76" w:rsidR="00C5549D" w:rsidRPr="00F64A32" w:rsidRDefault="00C5549D" w:rsidP="009A6B9D">
            <w:pPr>
              <w:pStyle w:val="ExhibitText"/>
              <w:jc w:val="left"/>
            </w:pPr>
            <w:r w:rsidRPr="00F64A32">
              <w:t>Dividends accrued on convertible preference shares</w:t>
            </w:r>
          </w:p>
        </w:tc>
        <w:tc>
          <w:tcPr>
            <w:tcW w:w="442" w:type="pct"/>
            <w:shd w:val="clear" w:color="auto" w:fill="auto"/>
          </w:tcPr>
          <w:p w14:paraId="773E0FAA" w14:textId="391DD575" w:rsidR="00C5549D" w:rsidRPr="00F64A32" w:rsidRDefault="00C5549D" w:rsidP="002F3C17">
            <w:pPr>
              <w:pStyle w:val="ExhibitText"/>
              <w:jc w:val="right"/>
            </w:pPr>
            <w:r w:rsidRPr="00F64A32">
              <w:t>—</w:t>
            </w:r>
          </w:p>
        </w:tc>
        <w:tc>
          <w:tcPr>
            <w:tcW w:w="443" w:type="pct"/>
            <w:shd w:val="clear" w:color="auto" w:fill="auto"/>
          </w:tcPr>
          <w:p w14:paraId="22EBEA0A" w14:textId="52E43612" w:rsidR="00C5549D" w:rsidRPr="00F64A32" w:rsidRDefault="00C5549D" w:rsidP="002F3C17">
            <w:pPr>
              <w:pStyle w:val="ExhibitText"/>
              <w:jc w:val="right"/>
            </w:pPr>
            <w:r w:rsidRPr="00F64A32">
              <w:t>—</w:t>
            </w:r>
          </w:p>
        </w:tc>
        <w:tc>
          <w:tcPr>
            <w:tcW w:w="443" w:type="pct"/>
            <w:tcBorders>
              <w:right w:val="single" w:sz="4" w:space="0" w:color="auto"/>
            </w:tcBorders>
            <w:shd w:val="clear" w:color="auto" w:fill="auto"/>
          </w:tcPr>
          <w:p w14:paraId="4F7E5015" w14:textId="478D6504" w:rsidR="00C5549D" w:rsidRPr="00F64A32" w:rsidRDefault="00C5549D" w:rsidP="002F3C17">
            <w:pPr>
              <w:pStyle w:val="ExhibitText"/>
              <w:jc w:val="right"/>
            </w:pPr>
            <w:r w:rsidRPr="00F64A32">
              <w:t>—</w:t>
            </w:r>
          </w:p>
        </w:tc>
        <w:tc>
          <w:tcPr>
            <w:tcW w:w="442" w:type="pct"/>
            <w:tcBorders>
              <w:left w:val="single" w:sz="4" w:space="0" w:color="auto"/>
            </w:tcBorders>
            <w:shd w:val="clear" w:color="auto" w:fill="auto"/>
          </w:tcPr>
          <w:p w14:paraId="3BD31649" w14:textId="1A8A7073" w:rsidR="00C5549D" w:rsidRPr="00F64A32" w:rsidRDefault="00C5549D" w:rsidP="002F3C17">
            <w:pPr>
              <w:pStyle w:val="ExhibitText"/>
              <w:jc w:val="right"/>
            </w:pPr>
            <w:r w:rsidRPr="00F64A32">
              <w:t>(111)</w:t>
            </w:r>
          </w:p>
        </w:tc>
        <w:tc>
          <w:tcPr>
            <w:tcW w:w="443" w:type="pct"/>
            <w:tcBorders>
              <w:right w:val="double" w:sz="4" w:space="0" w:color="auto"/>
            </w:tcBorders>
            <w:shd w:val="clear" w:color="auto" w:fill="auto"/>
          </w:tcPr>
          <w:p w14:paraId="2C0AD480" w14:textId="593B35C5" w:rsidR="00C5549D" w:rsidRPr="00F64A32" w:rsidRDefault="00C5549D" w:rsidP="002F3C17">
            <w:pPr>
              <w:pStyle w:val="ExhibitText"/>
              <w:jc w:val="right"/>
            </w:pPr>
            <w:r w:rsidRPr="00F64A32">
              <w:t>(18)</w:t>
            </w:r>
          </w:p>
        </w:tc>
        <w:tc>
          <w:tcPr>
            <w:tcW w:w="443" w:type="pct"/>
            <w:tcBorders>
              <w:left w:val="double" w:sz="4" w:space="0" w:color="auto"/>
            </w:tcBorders>
            <w:shd w:val="clear" w:color="auto" w:fill="auto"/>
          </w:tcPr>
          <w:p w14:paraId="3686EE25" w14:textId="575183A0" w:rsidR="00C5549D" w:rsidRPr="00F64A32" w:rsidRDefault="00C5549D" w:rsidP="002F3C17">
            <w:pPr>
              <w:pStyle w:val="ExhibitText"/>
              <w:jc w:val="right"/>
            </w:pPr>
            <w:r w:rsidRPr="00F64A32">
              <w:t>(59)</w:t>
            </w:r>
          </w:p>
        </w:tc>
        <w:tc>
          <w:tcPr>
            <w:tcW w:w="443" w:type="pct"/>
            <w:tcBorders>
              <w:left w:val="single" w:sz="4" w:space="0" w:color="auto"/>
            </w:tcBorders>
            <w:shd w:val="clear" w:color="auto" w:fill="auto"/>
          </w:tcPr>
          <w:p w14:paraId="2909C63F" w14:textId="02D1970B" w:rsidR="00C5549D" w:rsidRPr="00F64A32" w:rsidRDefault="00C5549D" w:rsidP="002F3C17">
            <w:pPr>
              <w:pStyle w:val="ExhibitText"/>
              <w:jc w:val="right"/>
            </w:pPr>
            <w:r w:rsidRPr="00F64A32">
              <w:t>(156)</w:t>
            </w:r>
          </w:p>
        </w:tc>
        <w:tc>
          <w:tcPr>
            <w:tcW w:w="441" w:type="pct"/>
            <w:shd w:val="clear" w:color="auto" w:fill="auto"/>
          </w:tcPr>
          <w:p w14:paraId="77072FBB" w14:textId="34E43E81" w:rsidR="00C5549D" w:rsidRPr="00F64A32" w:rsidRDefault="00C5549D" w:rsidP="002F3C17">
            <w:pPr>
              <w:pStyle w:val="ExhibitText"/>
              <w:jc w:val="right"/>
            </w:pPr>
            <w:r w:rsidRPr="00F64A32">
              <w:t>(25)</w:t>
            </w:r>
          </w:p>
        </w:tc>
      </w:tr>
      <w:tr w:rsidR="00C5549D" w:rsidRPr="00F64A32" w14:paraId="3E41D8B9" w14:textId="77777777" w:rsidTr="00F2675C">
        <w:trPr>
          <w:trHeight w:val="331"/>
        </w:trPr>
        <w:tc>
          <w:tcPr>
            <w:tcW w:w="1460" w:type="pct"/>
          </w:tcPr>
          <w:p w14:paraId="6FCDB9FC" w14:textId="3975D706" w:rsidR="00C5549D" w:rsidRPr="00F64A32" w:rsidRDefault="00C5549D" w:rsidP="009A6B9D">
            <w:pPr>
              <w:pStyle w:val="ExhibitText"/>
              <w:jc w:val="left"/>
            </w:pPr>
            <w:r w:rsidRPr="00F64A32">
              <w:t>Net income (loss) attributable to ordinary shareholders</w:t>
            </w:r>
          </w:p>
        </w:tc>
        <w:tc>
          <w:tcPr>
            <w:tcW w:w="442" w:type="pct"/>
          </w:tcPr>
          <w:p w14:paraId="4264D934" w14:textId="2BAD4D85" w:rsidR="00C5549D" w:rsidRPr="00F64A32" w:rsidRDefault="00C5549D" w:rsidP="002F3C17">
            <w:pPr>
              <w:pStyle w:val="ExhibitText"/>
              <w:jc w:val="right"/>
            </w:pPr>
            <w:r w:rsidRPr="00F64A32">
              <w:t>(802)</w:t>
            </w:r>
          </w:p>
        </w:tc>
        <w:tc>
          <w:tcPr>
            <w:tcW w:w="443" w:type="pct"/>
          </w:tcPr>
          <w:p w14:paraId="31ED8605" w14:textId="17FB44FB" w:rsidR="00C5549D" w:rsidRPr="00F64A32" w:rsidRDefault="00C5549D" w:rsidP="002F3C17">
            <w:pPr>
              <w:pStyle w:val="ExhibitText"/>
              <w:jc w:val="right"/>
            </w:pPr>
            <w:r w:rsidRPr="00F64A32">
              <w:t>1,183</w:t>
            </w:r>
          </w:p>
        </w:tc>
        <w:tc>
          <w:tcPr>
            <w:tcW w:w="443" w:type="pct"/>
            <w:tcBorders>
              <w:right w:val="single" w:sz="4" w:space="0" w:color="auto"/>
            </w:tcBorders>
          </w:tcPr>
          <w:p w14:paraId="003B3766" w14:textId="166917EF" w:rsidR="00C5549D" w:rsidRPr="00F64A32" w:rsidRDefault="00C5549D" w:rsidP="002F3C17">
            <w:pPr>
              <w:pStyle w:val="ExhibitText"/>
              <w:jc w:val="right"/>
            </w:pPr>
            <w:r w:rsidRPr="00F64A32">
              <w:t>4,228</w:t>
            </w:r>
          </w:p>
        </w:tc>
        <w:tc>
          <w:tcPr>
            <w:tcW w:w="442" w:type="pct"/>
            <w:tcBorders>
              <w:left w:val="single" w:sz="4" w:space="0" w:color="auto"/>
            </w:tcBorders>
          </w:tcPr>
          <w:p w14:paraId="7AC905C3" w14:textId="663C8B83" w:rsidR="00C5549D" w:rsidRPr="00F64A32" w:rsidRDefault="00C5549D" w:rsidP="002F3C17">
            <w:pPr>
              <w:pStyle w:val="ExhibitText"/>
              <w:jc w:val="right"/>
            </w:pPr>
            <w:r w:rsidRPr="00F64A32">
              <w:t>8,404</w:t>
            </w:r>
          </w:p>
        </w:tc>
        <w:tc>
          <w:tcPr>
            <w:tcW w:w="443" w:type="pct"/>
            <w:tcBorders>
              <w:right w:val="double" w:sz="4" w:space="0" w:color="auto"/>
            </w:tcBorders>
          </w:tcPr>
          <w:p w14:paraId="0CEF1583" w14:textId="4F8AB84F" w:rsidR="00C5549D" w:rsidRPr="00F64A32" w:rsidRDefault="00C5549D" w:rsidP="002F3C17">
            <w:pPr>
              <w:pStyle w:val="ExhibitText"/>
              <w:jc w:val="right"/>
            </w:pPr>
            <w:r w:rsidRPr="00F64A32">
              <w:t>1,352</w:t>
            </w:r>
          </w:p>
        </w:tc>
        <w:tc>
          <w:tcPr>
            <w:tcW w:w="443" w:type="pct"/>
            <w:tcBorders>
              <w:left w:val="double" w:sz="4" w:space="0" w:color="auto"/>
            </w:tcBorders>
          </w:tcPr>
          <w:p w14:paraId="4B18F444" w14:textId="1762395B" w:rsidR="00C5549D" w:rsidRPr="00F64A32" w:rsidRDefault="00C5549D" w:rsidP="002F3C17">
            <w:pPr>
              <w:pStyle w:val="ExhibitText"/>
              <w:jc w:val="right"/>
            </w:pPr>
            <w:r w:rsidRPr="00F64A32">
              <w:t>4,207</w:t>
            </w:r>
          </w:p>
        </w:tc>
        <w:tc>
          <w:tcPr>
            <w:tcW w:w="443" w:type="pct"/>
            <w:tcBorders>
              <w:left w:val="single" w:sz="4" w:space="0" w:color="auto"/>
            </w:tcBorders>
          </w:tcPr>
          <w:p w14:paraId="4F2D5FD8" w14:textId="7E899CA4" w:rsidR="00C5549D" w:rsidRPr="00F64A32" w:rsidRDefault="00C5549D" w:rsidP="002F3C17">
            <w:pPr>
              <w:pStyle w:val="ExhibitText"/>
              <w:jc w:val="right"/>
            </w:pPr>
            <w:r w:rsidRPr="00F64A32">
              <w:t>17,533</w:t>
            </w:r>
          </w:p>
        </w:tc>
        <w:tc>
          <w:tcPr>
            <w:tcW w:w="441" w:type="pct"/>
          </w:tcPr>
          <w:p w14:paraId="1AC2CD12" w14:textId="5054DAD6" w:rsidR="00C5549D" w:rsidRPr="00F64A32" w:rsidRDefault="00C5549D" w:rsidP="002F3C17">
            <w:pPr>
              <w:pStyle w:val="ExhibitText"/>
              <w:jc w:val="right"/>
            </w:pPr>
            <w:r w:rsidRPr="00F64A32">
              <w:t>2,820</w:t>
            </w:r>
          </w:p>
        </w:tc>
      </w:tr>
      <w:tr w:rsidR="00C5549D" w:rsidRPr="00F64A32" w14:paraId="10455F13" w14:textId="77777777" w:rsidTr="00F2675C">
        <w:trPr>
          <w:cnfStyle w:val="000000010000" w:firstRow="0" w:lastRow="0" w:firstColumn="0" w:lastColumn="0" w:oddVBand="0" w:evenVBand="0" w:oddHBand="0" w:evenHBand="1" w:firstRowFirstColumn="0" w:firstRowLastColumn="0" w:lastRowFirstColumn="0" w:lastRowLastColumn="0"/>
          <w:trHeight w:val="331"/>
        </w:trPr>
        <w:tc>
          <w:tcPr>
            <w:tcW w:w="1902" w:type="pct"/>
            <w:gridSpan w:val="2"/>
            <w:shd w:val="clear" w:color="auto" w:fill="auto"/>
          </w:tcPr>
          <w:p w14:paraId="00106679" w14:textId="00380F2D" w:rsidR="00C5549D" w:rsidRPr="00F64A32" w:rsidRDefault="00C5549D" w:rsidP="009A6B9D">
            <w:pPr>
              <w:pStyle w:val="ExhibitText"/>
              <w:jc w:val="left"/>
            </w:pPr>
            <w:r w:rsidRPr="00F64A32">
              <w:rPr>
                <w:i/>
              </w:rPr>
              <w:t>Earnings (loss) per share attributable to ordinary shareholders:</w:t>
            </w:r>
            <w:r w:rsidR="000B4C6B" w:rsidRPr="00F64A32">
              <w:t xml:space="preserve"> </w:t>
            </w:r>
          </w:p>
        </w:tc>
        <w:tc>
          <w:tcPr>
            <w:tcW w:w="443" w:type="pct"/>
            <w:shd w:val="clear" w:color="auto" w:fill="auto"/>
          </w:tcPr>
          <w:p w14:paraId="1037D9EC" w14:textId="01AAF144" w:rsidR="00C5549D" w:rsidRPr="00F64A32" w:rsidRDefault="000B4C6B" w:rsidP="002F3C17">
            <w:pPr>
              <w:pStyle w:val="ExhibitText"/>
            </w:pPr>
            <w:r w:rsidRPr="00F64A32">
              <w:t xml:space="preserve"> </w:t>
            </w:r>
          </w:p>
        </w:tc>
        <w:tc>
          <w:tcPr>
            <w:tcW w:w="443" w:type="pct"/>
            <w:tcBorders>
              <w:right w:val="single" w:sz="4" w:space="0" w:color="auto"/>
            </w:tcBorders>
            <w:shd w:val="clear" w:color="auto" w:fill="auto"/>
          </w:tcPr>
          <w:p w14:paraId="49AFDB6C" w14:textId="15F66EDC" w:rsidR="00C5549D" w:rsidRPr="00F64A32" w:rsidRDefault="000B4C6B" w:rsidP="002F3C17">
            <w:pPr>
              <w:pStyle w:val="ExhibitText"/>
            </w:pPr>
            <w:r w:rsidRPr="00F64A32">
              <w:t xml:space="preserve"> </w:t>
            </w:r>
          </w:p>
        </w:tc>
        <w:tc>
          <w:tcPr>
            <w:tcW w:w="442" w:type="pct"/>
            <w:tcBorders>
              <w:left w:val="single" w:sz="4" w:space="0" w:color="auto"/>
            </w:tcBorders>
            <w:shd w:val="clear" w:color="auto" w:fill="auto"/>
          </w:tcPr>
          <w:p w14:paraId="7A819790" w14:textId="2A07B5C5" w:rsidR="00C5549D" w:rsidRPr="00F64A32" w:rsidRDefault="000B4C6B" w:rsidP="002F3C17">
            <w:pPr>
              <w:pStyle w:val="ExhibitText"/>
            </w:pPr>
            <w:r w:rsidRPr="00F64A32">
              <w:t xml:space="preserve"> </w:t>
            </w:r>
          </w:p>
        </w:tc>
        <w:tc>
          <w:tcPr>
            <w:tcW w:w="443" w:type="pct"/>
            <w:tcBorders>
              <w:right w:val="double" w:sz="4" w:space="0" w:color="auto"/>
            </w:tcBorders>
            <w:shd w:val="clear" w:color="auto" w:fill="auto"/>
          </w:tcPr>
          <w:p w14:paraId="58A07B6D" w14:textId="77777777" w:rsidR="00C5549D" w:rsidRPr="00F64A32" w:rsidRDefault="00C5549D" w:rsidP="002F3C17">
            <w:pPr>
              <w:pStyle w:val="ExhibitText"/>
            </w:pPr>
          </w:p>
        </w:tc>
        <w:tc>
          <w:tcPr>
            <w:tcW w:w="443" w:type="pct"/>
            <w:tcBorders>
              <w:left w:val="double" w:sz="4" w:space="0" w:color="auto"/>
            </w:tcBorders>
            <w:shd w:val="clear" w:color="auto" w:fill="auto"/>
          </w:tcPr>
          <w:p w14:paraId="1FABF837" w14:textId="04D50194" w:rsidR="00C5549D" w:rsidRPr="00F64A32" w:rsidRDefault="000B4C6B" w:rsidP="002F3C17">
            <w:pPr>
              <w:pStyle w:val="ExhibitText"/>
            </w:pPr>
            <w:r w:rsidRPr="00F64A32">
              <w:t xml:space="preserve"> </w:t>
            </w:r>
          </w:p>
        </w:tc>
        <w:tc>
          <w:tcPr>
            <w:tcW w:w="443" w:type="pct"/>
            <w:tcBorders>
              <w:left w:val="single" w:sz="4" w:space="0" w:color="auto"/>
            </w:tcBorders>
            <w:shd w:val="clear" w:color="auto" w:fill="auto"/>
          </w:tcPr>
          <w:p w14:paraId="6B2D2D32" w14:textId="7AAA2CAB" w:rsidR="00C5549D" w:rsidRPr="00F64A32" w:rsidRDefault="000B4C6B" w:rsidP="002F3C17">
            <w:pPr>
              <w:pStyle w:val="ExhibitText"/>
            </w:pPr>
            <w:r w:rsidRPr="00F64A32">
              <w:t xml:space="preserve"> </w:t>
            </w:r>
          </w:p>
        </w:tc>
        <w:tc>
          <w:tcPr>
            <w:tcW w:w="441" w:type="pct"/>
            <w:shd w:val="clear" w:color="auto" w:fill="auto"/>
          </w:tcPr>
          <w:p w14:paraId="3F2BD98A" w14:textId="6D809085" w:rsidR="00C5549D" w:rsidRPr="00F64A32" w:rsidRDefault="000B4C6B" w:rsidP="002F3C17">
            <w:pPr>
              <w:pStyle w:val="ExhibitText"/>
            </w:pPr>
            <w:r w:rsidRPr="00F64A32">
              <w:t xml:space="preserve"> </w:t>
            </w:r>
          </w:p>
        </w:tc>
      </w:tr>
      <w:tr w:rsidR="00C5549D" w:rsidRPr="00F64A32" w14:paraId="67C69FA8" w14:textId="77777777" w:rsidTr="00F2675C">
        <w:trPr>
          <w:trHeight w:val="331"/>
        </w:trPr>
        <w:tc>
          <w:tcPr>
            <w:tcW w:w="1460" w:type="pct"/>
          </w:tcPr>
          <w:p w14:paraId="47FE9DDF" w14:textId="33334902" w:rsidR="00C5549D" w:rsidRPr="00F64A32" w:rsidRDefault="00C5549D" w:rsidP="009A6B9D">
            <w:pPr>
              <w:pStyle w:val="ExhibitText"/>
              <w:jc w:val="left"/>
            </w:pPr>
            <w:r w:rsidRPr="00F64A32">
              <w:t>Basic</w:t>
            </w:r>
          </w:p>
        </w:tc>
        <w:tc>
          <w:tcPr>
            <w:tcW w:w="442" w:type="pct"/>
          </w:tcPr>
          <w:p w14:paraId="0DFB4589" w14:textId="2FCBC0CB" w:rsidR="00C5549D" w:rsidRPr="00F64A32" w:rsidRDefault="00C5549D" w:rsidP="002F3C17">
            <w:pPr>
              <w:pStyle w:val="ExhibitText"/>
              <w:jc w:val="right"/>
            </w:pPr>
            <w:r w:rsidRPr="00F64A32">
              <w:t>(0.34)</w:t>
            </w:r>
          </w:p>
        </w:tc>
        <w:tc>
          <w:tcPr>
            <w:tcW w:w="443" w:type="pct"/>
          </w:tcPr>
          <w:p w14:paraId="7BA76438" w14:textId="07564739" w:rsidR="00C5549D" w:rsidRPr="00F64A32" w:rsidRDefault="00C5549D" w:rsidP="002F3C17">
            <w:pPr>
              <w:pStyle w:val="ExhibitText"/>
              <w:jc w:val="right"/>
            </w:pPr>
            <w:r w:rsidRPr="00F64A32">
              <w:t>0.49</w:t>
            </w:r>
          </w:p>
        </w:tc>
        <w:tc>
          <w:tcPr>
            <w:tcW w:w="443" w:type="pct"/>
            <w:tcBorders>
              <w:right w:val="single" w:sz="4" w:space="0" w:color="auto"/>
            </w:tcBorders>
          </w:tcPr>
          <w:p w14:paraId="5FBCB52C" w14:textId="05C02ACE" w:rsidR="00C5549D" w:rsidRPr="00F64A32" w:rsidRDefault="00C5549D" w:rsidP="002F3C17">
            <w:pPr>
              <w:pStyle w:val="ExhibitText"/>
              <w:jc w:val="right"/>
            </w:pPr>
            <w:r w:rsidRPr="00F64A32">
              <w:t>1.71</w:t>
            </w:r>
          </w:p>
        </w:tc>
        <w:tc>
          <w:tcPr>
            <w:tcW w:w="442" w:type="pct"/>
            <w:tcBorders>
              <w:left w:val="single" w:sz="4" w:space="0" w:color="auto"/>
            </w:tcBorders>
          </w:tcPr>
          <w:p w14:paraId="657F4A80" w14:textId="79D1EBE6" w:rsidR="00C5549D" w:rsidRPr="00F64A32" w:rsidRDefault="00C5549D" w:rsidP="002F3C17">
            <w:pPr>
              <w:pStyle w:val="ExhibitText"/>
              <w:jc w:val="right"/>
            </w:pPr>
            <w:r w:rsidRPr="00F64A32">
              <w:t>3.66</w:t>
            </w:r>
          </w:p>
        </w:tc>
        <w:tc>
          <w:tcPr>
            <w:tcW w:w="443" w:type="pct"/>
            <w:tcBorders>
              <w:right w:val="double" w:sz="4" w:space="0" w:color="auto"/>
            </w:tcBorders>
          </w:tcPr>
          <w:p w14:paraId="5F59F175" w14:textId="63038E50" w:rsidR="00C5549D" w:rsidRPr="00F64A32" w:rsidRDefault="00C5549D" w:rsidP="002F3C17">
            <w:pPr>
              <w:pStyle w:val="ExhibitText"/>
              <w:jc w:val="right"/>
            </w:pPr>
            <w:r w:rsidRPr="00F64A32">
              <w:t>0.59</w:t>
            </w:r>
          </w:p>
        </w:tc>
        <w:tc>
          <w:tcPr>
            <w:tcW w:w="443" w:type="pct"/>
            <w:tcBorders>
              <w:left w:val="double" w:sz="4" w:space="0" w:color="auto"/>
            </w:tcBorders>
          </w:tcPr>
          <w:p w14:paraId="1890F0FE" w14:textId="45AA016C" w:rsidR="00C5549D" w:rsidRPr="00F64A32" w:rsidRDefault="00C5549D" w:rsidP="002F3C17">
            <w:pPr>
              <w:pStyle w:val="ExhibitText"/>
              <w:jc w:val="right"/>
            </w:pPr>
            <w:r w:rsidRPr="00F64A32">
              <w:t>1.8</w:t>
            </w:r>
          </w:p>
        </w:tc>
        <w:tc>
          <w:tcPr>
            <w:tcW w:w="443" w:type="pct"/>
            <w:tcBorders>
              <w:left w:val="single" w:sz="4" w:space="0" w:color="auto"/>
            </w:tcBorders>
          </w:tcPr>
          <w:p w14:paraId="65098A8F" w14:textId="60C9999D" w:rsidR="00C5549D" w:rsidRPr="00F64A32" w:rsidRDefault="00C5549D" w:rsidP="002F3C17">
            <w:pPr>
              <w:pStyle w:val="ExhibitText"/>
              <w:jc w:val="right"/>
            </w:pPr>
            <w:r w:rsidRPr="00F64A32">
              <w:t>8.08</w:t>
            </w:r>
          </w:p>
        </w:tc>
        <w:tc>
          <w:tcPr>
            <w:tcW w:w="441" w:type="pct"/>
          </w:tcPr>
          <w:p w14:paraId="3A158CC8" w14:textId="02FEADC5" w:rsidR="00C5549D" w:rsidRPr="00F64A32" w:rsidRDefault="00C5549D" w:rsidP="002F3C17">
            <w:pPr>
              <w:pStyle w:val="ExhibitText"/>
              <w:jc w:val="right"/>
            </w:pPr>
            <w:r w:rsidRPr="00F64A32">
              <w:t>1.3</w:t>
            </w:r>
          </w:p>
        </w:tc>
      </w:tr>
      <w:tr w:rsidR="003E6299" w:rsidRPr="00F64A32" w14:paraId="2992CBA0" w14:textId="77777777" w:rsidTr="00F2675C">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tcPr>
          <w:p w14:paraId="6E2D23E2" w14:textId="65E55751" w:rsidR="00C5549D" w:rsidRPr="00F64A32" w:rsidRDefault="00C5549D" w:rsidP="009A6B9D">
            <w:pPr>
              <w:pStyle w:val="ExhibitText"/>
              <w:jc w:val="left"/>
            </w:pPr>
            <w:r w:rsidRPr="00F64A32">
              <w:t>Diluted</w:t>
            </w:r>
          </w:p>
        </w:tc>
        <w:tc>
          <w:tcPr>
            <w:tcW w:w="442" w:type="pct"/>
            <w:shd w:val="clear" w:color="auto" w:fill="auto"/>
          </w:tcPr>
          <w:p w14:paraId="54C69826" w14:textId="3D10E279" w:rsidR="00C5549D" w:rsidRPr="00F64A32" w:rsidRDefault="00C5549D" w:rsidP="002F3C17">
            <w:pPr>
              <w:pStyle w:val="ExhibitText"/>
              <w:jc w:val="right"/>
            </w:pPr>
            <w:r w:rsidRPr="00F64A32">
              <w:t>(0.34)</w:t>
            </w:r>
          </w:p>
        </w:tc>
        <w:tc>
          <w:tcPr>
            <w:tcW w:w="443" w:type="pct"/>
            <w:shd w:val="clear" w:color="auto" w:fill="auto"/>
          </w:tcPr>
          <w:p w14:paraId="61C7DE2B" w14:textId="13F70F7B" w:rsidR="00C5549D" w:rsidRPr="00F64A32" w:rsidRDefault="00C5549D" w:rsidP="002F3C17">
            <w:pPr>
              <w:pStyle w:val="ExhibitText"/>
              <w:jc w:val="right"/>
            </w:pPr>
            <w:r w:rsidRPr="00F64A32">
              <w:t>0.48</w:t>
            </w:r>
          </w:p>
        </w:tc>
        <w:tc>
          <w:tcPr>
            <w:tcW w:w="443" w:type="pct"/>
            <w:tcBorders>
              <w:right w:val="single" w:sz="4" w:space="0" w:color="auto"/>
            </w:tcBorders>
            <w:shd w:val="clear" w:color="auto" w:fill="auto"/>
          </w:tcPr>
          <w:p w14:paraId="4BA2F4D5" w14:textId="3836D79C" w:rsidR="00C5549D" w:rsidRPr="00F64A32" w:rsidRDefault="00C5549D" w:rsidP="002F3C17">
            <w:pPr>
              <w:pStyle w:val="ExhibitText"/>
              <w:jc w:val="right"/>
            </w:pPr>
            <w:r w:rsidRPr="00F64A32">
              <w:t>1.67</w:t>
            </w:r>
          </w:p>
        </w:tc>
        <w:tc>
          <w:tcPr>
            <w:tcW w:w="442" w:type="pct"/>
            <w:tcBorders>
              <w:left w:val="single" w:sz="4" w:space="0" w:color="auto"/>
            </w:tcBorders>
            <w:shd w:val="clear" w:color="auto" w:fill="auto"/>
          </w:tcPr>
          <w:p w14:paraId="459767B8" w14:textId="0553D783" w:rsidR="00C5549D" w:rsidRPr="00F64A32" w:rsidRDefault="00C5549D" w:rsidP="002F3C17">
            <w:pPr>
              <w:pStyle w:val="ExhibitText"/>
              <w:jc w:val="right"/>
            </w:pPr>
            <w:r w:rsidRPr="00F64A32">
              <w:t>3.57</w:t>
            </w:r>
          </w:p>
        </w:tc>
        <w:tc>
          <w:tcPr>
            <w:tcW w:w="443" w:type="pct"/>
            <w:tcBorders>
              <w:right w:val="double" w:sz="4" w:space="0" w:color="auto"/>
            </w:tcBorders>
            <w:shd w:val="clear" w:color="auto" w:fill="auto"/>
          </w:tcPr>
          <w:p w14:paraId="5C72DD9A" w14:textId="1A777A51" w:rsidR="00C5549D" w:rsidRPr="00F64A32" w:rsidRDefault="00C5549D" w:rsidP="002F3C17">
            <w:pPr>
              <w:pStyle w:val="ExhibitText"/>
              <w:jc w:val="right"/>
            </w:pPr>
            <w:r w:rsidRPr="00F64A32">
              <w:t>0.57</w:t>
            </w:r>
          </w:p>
        </w:tc>
        <w:tc>
          <w:tcPr>
            <w:tcW w:w="443" w:type="pct"/>
            <w:tcBorders>
              <w:left w:val="double" w:sz="4" w:space="0" w:color="auto"/>
            </w:tcBorders>
            <w:shd w:val="clear" w:color="auto" w:fill="auto"/>
          </w:tcPr>
          <w:p w14:paraId="3DAC3C08" w14:textId="260560FB" w:rsidR="00C5549D" w:rsidRPr="00F64A32" w:rsidRDefault="00C5549D" w:rsidP="002F3C17">
            <w:pPr>
              <w:pStyle w:val="ExhibitText"/>
              <w:jc w:val="right"/>
            </w:pPr>
            <w:r w:rsidRPr="00F64A32">
              <w:t>1.76</w:t>
            </w:r>
          </w:p>
        </w:tc>
        <w:tc>
          <w:tcPr>
            <w:tcW w:w="443" w:type="pct"/>
            <w:tcBorders>
              <w:left w:val="single" w:sz="4" w:space="0" w:color="auto"/>
            </w:tcBorders>
            <w:shd w:val="clear" w:color="auto" w:fill="auto"/>
          </w:tcPr>
          <w:p w14:paraId="5AB5EA09" w14:textId="3116FD4B" w:rsidR="00C5549D" w:rsidRPr="00F64A32" w:rsidRDefault="00C5549D" w:rsidP="002F3C17">
            <w:pPr>
              <w:pStyle w:val="ExhibitText"/>
              <w:jc w:val="right"/>
            </w:pPr>
            <w:r w:rsidRPr="00F64A32">
              <w:t>7.63</w:t>
            </w:r>
          </w:p>
        </w:tc>
        <w:tc>
          <w:tcPr>
            <w:tcW w:w="441" w:type="pct"/>
            <w:shd w:val="clear" w:color="auto" w:fill="auto"/>
          </w:tcPr>
          <w:p w14:paraId="0FE043B9" w14:textId="7F5D16FC" w:rsidR="00C5549D" w:rsidRPr="00F64A32" w:rsidRDefault="00C5549D" w:rsidP="002F3C17">
            <w:pPr>
              <w:pStyle w:val="ExhibitText"/>
              <w:jc w:val="right"/>
            </w:pPr>
            <w:r w:rsidRPr="00F64A32">
              <w:t>1.23</w:t>
            </w:r>
          </w:p>
        </w:tc>
      </w:tr>
      <w:tr w:rsidR="00C5549D" w:rsidRPr="00F64A32" w14:paraId="4590A082" w14:textId="77777777" w:rsidTr="00F2675C">
        <w:trPr>
          <w:trHeight w:val="331"/>
        </w:trPr>
        <w:tc>
          <w:tcPr>
            <w:tcW w:w="1460" w:type="pct"/>
          </w:tcPr>
          <w:p w14:paraId="0FC54871" w14:textId="788A457F" w:rsidR="00C5549D" w:rsidRPr="00F64A32" w:rsidRDefault="00C5549D" w:rsidP="009A6B9D">
            <w:pPr>
              <w:pStyle w:val="ExhibitText"/>
              <w:jc w:val="left"/>
              <w:rPr>
                <w:i/>
              </w:rPr>
            </w:pPr>
            <w:r w:rsidRPr="00F64A32">
              <w:rPr>
                <w:i/>
              </w:rPr>
              <w:t>Supplemental information:</w:t>
            </w:r>
          </w:p>
        </w:tc>
        <w:tc>
          <w:tcPr>
            <w:tcW w:w="442" w:type="pct"/>
          </w:tcPr>
          <w:p w14:paraId="1E78DD64" w14:textId="7835323A" w:rsidR="00C5549D" w:rsidRPr="00F64A32" w:rsidRDefault="000B4C6B" w:rsidP="002F3C17">
            <w:pPr>
              <w:pStyle w:val="ExhibitText"/>
              <w:jc w:val="right"/>
              <w:rPr>
                <w:i/>
              </w:rPr>
            </w:pPr>
            <w:r w:rsidRPr="00F64A32">
              <w:rPr>
                <w:i/>
              </w:rPr>
              <w:t xml:space="preserve"> </w:t>
            </w:r>
          </w:p>
        </w:tc>
        <w:tc>
          <w:tcPr>
            <w:tcW w:w="443" w:type="pct"/>
          </w:tcPr>
          <w:p w14:paraId="1DD21629" w14:textId="2BD4DB46" w:rsidR="00C5549D" w:rsidRPr="00F64A32" w:rsidRDefault="000B4C6B" w:rsidP="002F3C17">
            <w:pPr>
              <w:pStyle w:val="ExhibitText"/>
              <w:jc w:val="right"/>
              <w:rPr>
                <w:i/>
              </w:rPr>
            </w:pPr>
            <w:r w:rsidRPr="00F64A32">
              <w:rPr>
                <w:i/>
              </w:rPr>
              <w:t xml:space="preserve"> </w:t>
            </w:r>
          </w:p>
        </w:tc>
        <w:tc>
          <w:tcPr>
            <w:tcW w:w="443" w:type="pct"/>
            <w:tcBorders>
              <w:right w:val="single" w:sz="4" w:space="0" w:color="auto"/>
            </w:tcBorders>
          </w:tcPr>
          <w:p w14:paraId="1FA8DDDE" w14:textId="1FECDE2E" w:rsidR="00C5549D" w:rsidRPr="00F64A32" w:rsidRDefault="000B4C6B" w:rsidP="002F3C17">
            <w:pPr>
              <w:pStyle w:val="ExhibitText"/>
              <w:jc w:val="right"/>
              <w:rPr>
                <w:i/>
              </w:rPr>
            </w:pPr>
            <w:r w:rsidRPr="00F64A32">
              <w:rPr>
                <w:i/>
              </w:rPr>
              <w:t xml:space="preserve"> </w:t>
            </w:r>
          </w:p>
        </w:tc>
        <w:tc>
          <w:tcPr>
            <w:tcW w:w="442" w:type="pct"/>
            <w:tcBorders>
              <w:left w:val="single" w:sz="4" w:space="0" w:color="auto"/>
            </w:tcBorders>
          </w:tcPr>
          <w:p w14:paraId="2C543F41" w14:textId="5D1444B4" w:rsidR="00C5549D" w:rsidRPr="00F64A32" w:rsidRDefault="000B4C6B" w:rsidP="002F3C17">
            <w:pPr>
              <w:pStyle w:val="ExhibitText"/>
              <w:jc w:val="right"/>
              <w:rPr>
                <w:i/>
              </w:rPr>
            </w:pPr>
            <w:r w:rsidRPr="00F64A32">
              <w:rPr>
                <w:i/>
              </w:rPr>
              <w:t xml:space="preserve"> </w:t>
            </w:r>
          </w:p>
        </w:tc>
        <w:tc>
          <w:tcPr>
            <w:tcW w:w="443" w:type="pct"/>
            <w:tcBorders>
              <w:right w:val="double" w:sz="4" w:space="0" w:color="auto"/>
            </w:tcBorders>
          </w:tcPr>
          <w:p w14:paraId="370B5D88" w14:textId="2F01506F" w:rsidR="00C5549D" w:rsidRPr="00F64A32" w:rsidRDefault="000B4C6B" w:rsidP="002F3C17">
            <w:pPr>
              <w:pStyle w:val="ExhibitText"/>
              <w:jc w:val="right"/>
              <w:rPr>
                <w:i/>
              </w:rPr>
            </w:pPr>
            <w:r w:rsidRPr="00F64A32">
              <w:rPr>
                <w:i/>
              </w:rPr>
              <w:t xml:space="preserve"> </w:t>
            </w:r>
          </w:p>
        </w:tc>
        <w:tc>
          <w:tcPr>
            <w:tcW w:w="443" w:type="pct"/>
            <w:tcBorders>
              <w:left w:val="double" w:sz="4" w:space="0" w:color="auto"/>
            </w:tcBorders>
          </w:tcPr>
          <w:p w14:paraId="4A0FF7BB" w14:textId="6D9C9DDB" w:rsidR="00C5549D" w:rsidRPr="00F64A32" w:rsidRDefault="000B4C6B" w:rsidP="002F3C17">
            <w:pPr>
              <w:pStyle w:val="ExhibitText"/>
              <w:jc w:val="right"/>
              <w:rPr>
                <w:i/>
              </w:rPr>
            </w:pPr>
            <w:r w:rsidRPr="00F64A32">
              <w:rPr>
                <w:i/>
              </w:rPr>
              <w:t xml:space="preserve"> </w:t>
            </w:r>
          </w:p>
        </w:tc>
        <w:tc>
          <w:tcPr>
            <w:tcW w:w="443" w:type="pct"/>
            <w:tcBorders>
              <w:left w:val="single" w:sz="4" w:space="0" w:color="auto"/>
            </w:tcBorders>
          </w:tcPr>
          <w:p w14:paraId="459C5199" w14:textId="2C60CD0D" w:rsidR="00C5549D" w:rsidRPr="00F64A32" w:rsidRDefault="000B4C6B" w:rsidP="002F3C17">
            <w:pPr>
              <w:pStyle w:val="ExhibitText"/>
              <w:jc w:val="right"/>
              <w:rPr>
                <w:i/>
              </w:rPr>
            </w:pPr>
            <w:r w:rsidRPr="00F64A32">
              <w:rPr>
                <w:i/>
              </w:rPr>
              <w:t xml:space="preserve"> </w:t>
            </w:r>
          </w:p>
        </w:tc>
        <w:tc>
          <w:tcPr>
            <w:tcW w:w="441" w:type="pct"/>
          </w:tcPr>
          <w:p w14:paraId="18F336F9" w14:textId="18A7342E" w:rsidR="00C5549D" w:rsidRPr="00F64A32" w:rsidRDefault="000B4C6B" w:rsidP="002F3C17">
            <w:pPr>
              <w:pStyle w:val="ExhibitText"/>
              <w:jc w:val="right"/>
              <w:rPr>
                <w:i/>
              </w:rPr>
            </w:pPr>
            <w:r w:rsidRPr="00F64A32">
              <w:rPr>
                <w:i/>
              </w:rPr>
              <w:t xml:space="preserve"> </w:t>
            </w:r>
          </w:p>
        </w:tc>
      </w:tr>
      <w:tr w:rsidR="003E6299" w:rsidRPr="00F64A32" w14:paraId="2F0233A4" w14:textId="77777777" w:rsidTr="00F2675C">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tcPr>
          <w:p w14:paraId="30508F25" w14:textId="6B99210E" w:rsidR="00C5549D" w:rsidRPr="00F64A32" w:rsidRDefault="00C5549D" w:rsidP="009A6B9D">
            <w:pPr>
              <w:pStyle w:val="ExhibitText"/>
              <w:jc w:val="left"/>
            </w:pPr>
            <w:r w:rsidRPr="00F64A32">
              <w:t>Adjusted EBITDA</w:t>
            </w:r>
          </w:p>
        </w:tc>
        <w:tc>
          <w:tcPr>
            <w:tcW w:w="442" w:type="pct"/>
            <w:shd w:val="clear" w:color="auto" w:fill="auto"/>
          </w:tcPr>
          <w:p w14:paraId="1D904B9F" w14:textId="2F0873C5" w:rsidR="00C5549D" w:rsidRPr="00F64A32" w:rsidRDefault="00C5549D" w:rsidP="002F3C17">
            <w:pPr>
              <w:pStyle w:val="ExhibitText"/>
              <w:jc w:val="right"/>
            </w:pPr>
            <w:r w:rsidRPr="00F64A32">
              <w:t>1,390</w:t>
            </w:r>
          </w:p>
        </w:tc>
        <w:tc>
          <w:tcPr>
            <w:tcW w:w="443" w:type="pct"/>
            <w:shd w:val="clear" w:color="auto" w:fill="auto"/>
          </w:tcPr>
          <w:p w14:paraId="43B1C9AF" w14:textId="58BE3497" w:rsidR="00C5549D" w:rsidRPr="00F64A32" w:rsidRDefault="00C5549D" w:rsidP="002F3C17">
            <w:pPr>
              <w:pStyle w:val="ExhibitText"/>
              <w:jc w:val="right"/>
            </w:pPr>
            <w:r w:rsidRPr="00F64A32">
              <w:t>3,009</w:t>
            </w:r>
          </w:p>
        </w:tc>
        <w:tc>
          <w:tcPr>
            <w:tcW w:w="443" w:type="pct"/>
            <w:tcBorders>
              <w:right w:val="single" w:sz="4" w:space="0" w:color="auto"/>
            </w:tcBorders>
            <w:shd w:val="clear" w:color="auto" w:fill="auto"/>
          </w:tcPr>
          <w:p w14:paraId="16931DE3" w14:textId="5F6A82E0" w:rsidR="00C5549D" w:rsidRPr="00F64A32" w:rsidRDefault="00C5549D" w:rsidP="002F3C17">
            <w:pPr>
              <w:pStyle w:val="ExhibitText"/>
              <w:jc w:val="right"/>
            </w:pPr>
            <w:r w:rsidRPr="00F64A32">
              <w:t>7,274</w:t>
            </w:r>
          </w:p>
        </w:tc>
        <w:tc>
          <w:tcPr>
            <w:tcW w:w="442" w:type="pct"/>
            <w:tcBorders>
              <w:left w:val="single" w:sz="4" w:space="0" w:color="auto"/>
            </w:tcBorders>
            <w:shd w:val="clear" w:color="auto" w:fill="auto"/>
          </w:tcPr>
          <w:p w14:paraId="24EE42BE" w14:textId="3DB667F9" w:rsidR="00C5549D" w:rsidRPr="00F64A32" w:rsidRDefault="00C5549D" w:rsidP="002F3C17">
            <w:pPr>
              <w:pStyle w:val="ExhibitText"/>
              <w:jc w:val="right"/>
            </w:pPr>
            <w:r w:rsidRPr="00F64A32">
              <w:t>16,607</w:t>
            </w:r>
          </w:p>
        </w:tc>
        <w:tc>
          <w:tcPr>
            <w:tcW w:w="443" w:type="pct"/>
            <w:tcBorders>
              <w:right w:val="double" w:sz="4" w:space="0" w:color="auto"/>
            </w:tcBorders>
            <w:shd w:val="clear" w:color="auto" w:fill="auto"/>
          </w:tcPr>
          <w:p w14:paraId="63832C1E" w14:textId="2794A3AD" w:rsidR="00C5549D" w:rsidRPr="00F64A32" w:rsidRDefault="00C5549D" w:rsidP="002F3C17">
            <w:pPr>
              <w:pStyle w:val="ExhibitText"/>
              <w:jc w:val="right"/>
            </w:pPr>
            <w:r w:rsidRPr="00F64A32">
              <w:t>2,672</w:t>
            </w:r>
          </w:p>
        </w:tc>
        <w:tc>
          <w:tcPr>
            <w:tcW w:w="443" w:type="pct"/>
            <w:tcBorders>
              <w:left w:val="double" w:sz="4" w:space="0" w:color="auto"/>
            </w:tcBorders>
            <w:shd w:val="clear" w:color="auto" w:fill="auto"/>
          </w:tcPr>
          <w:p w14:paraId="3A406479" w14:textId="68E69839" w:rsidR="00C5549D" w:rsidRPr="00F64A32" w:rsidRDefault="00C5549D" w:rsidP="002F3C17">
            <w:pPr>
              <w:pStyle w:val="ExhibitText"/>
              <w:jc w:val="right"/>
            </w:pPr>
            <w:r w:rsidRPr="00F64A32">
              <w:t>11,698</w:t>
            </w:r>
          </w:p>
        </w:tc>
        <w:tc>
          <w:tcPr>
            <w:tcW w:w="443" w:type="pct"/>
            <w:tcBorders>
              <w:left w:val="single" w:sz="4" w:space="0" w:color="auto"/>
            </w:tcBorders>
            <w:shd w:val="clear" w:color="auto" w:fill="auto"/>
          </w:tcPr>
          <w:p w14:paraId="70AC7B4E" w14:textId="4DE4D418" w:rsidR="00C5549D" w:rsidRPr="00F64A32" w:rsidRDefault="00C5549D" w:rsidP="002F3C17">
            <w:pPr>
              <w:pStyle w:val="ExhibitText"/>
              <w:jc w:val="right"/>
            </w:pPr>
            <w:r w:rsidRPr="00F64A32">
              <w:t>23,845</w:t>
            </w:r>
          </w:p>
        </w:tc>
        <w:tc>
          <w:tcPr>
            <w:tcW w:w="441" w:type="pct"/>
            <w:shd w:val="clear" w:color="auto" w:fill="auto"/>
          </w:tcPr>
          <w:p w14:paraId="240355E0" w14:textId="27963A60" w:rsidR="00C5549D" w:rsidRPr="00F64A32" w:rsidRDefault="00C5549D" w:rsidP="002F3C17">
            <w:pPr>
              <w:pStyle w:val="ExhibitText"/>
              <w:jc w:val="right"/>
            </w:pPr>
            <w:r w:rsidRPr="00F64A32">
              <w:t>3,836</w:t>
            </w:r>
          </w:p>
        </w:tc>
      </w:tr>
      <w:tr w:rsidR="00C5549D" w:rsidRPr="00F64A32" w14:paraId="694B81F0" w14:textId="77777777" w:rsidTr="00F2675C">
        <w:trPr>
          <w:trHeight w:val="331"/>
        </w:trPr>
        <w:tc>
          <w:tcPr>
            <w:tcW w:w="1460" w:type="pct"/>
          </w:tcPr>
          <w:p w14:paraId="41DCABA1" w14:textId="6C96031B" w:rsidR="00C5549D" w:rsidRPr="00F64A32" w:rsidRDefault="00C5549D" w:rsidP="009A6B9D">
            <w:pPr>
              <w:pStyle w:val="ExhibitText"/>
              <w:jc w:val="left"/>
            </w:pPr>
            <w:r w:rsidRPr="00F64A32">
              <w:t>Adjusted income (loss) from operations</w:t>
            </w:r>
          </w:p>
        </w:tc>
        <w:tc>
          <w:tcPr>
            <w:tcW w:w="442" w:type="pct"/>
          </w:tcPr>
          <w:p w14:paraId="49B11641" w14:textId="08192C74" w:rsidR="00C5549D" w:rsidRPr="00F64A32" w:rsidRDefault="00C5549D" w:rsidP="002F3C17">
            <w:pPr>
              <w:pStyle w:val="ExhibitText"/>
              <w:jc w:val="right"/>
            </w:pPr>
            <w:r w:rsidRPr="00F64A32">
              <w:t>(511)</w:t>
            </w:r>
          </w:p>
        </w:tc>
        <w:tc>
          <w:tcPr>
            <w:tcW w:w="443" w:type="pct"/>
          </w:tcPr>
          <w:p w14:paraId="29AFA27E" w14:textId="13F4728E" w:rsidR="00C5549D" w:rsidRPr="00F64A32" w:rsidRDefault="00C5549D" w:rsidP="002F3C17">
            <w:pPr>
              <w:pStyle w:val="ExhibitText"/>
              <w:jc w:val="right"/>
            </w:pPr>
            <w:r w:rsidRPr="00F64A32">
              <w:t>2,254</w:t>
            </w:r>
          </w:p>
        </w:tc>
        <w:tc>
          <w:tcPr>
            <w:tcW w:w="443" w:type="pct"/>
            <w:tcBorders>
              <w:right w:val="single" w:sz="4" w:space="0" w:color="auto"/>
            </w:tcBorders>
          </w:tcPr>
          <w:p w14:paraId="51F97E4F" w14:textId="142BAA16" w:rsidR="00C5549D" w:rsidRPr="00F64A32" w:rsidRDefault="00C5549D" w:rsidP="002F3C17">
            <w:pPr>
              <w:pStyle w:val="ExhibitText"/>
              <w:jc w:val="right"/>
            </w:pPr>
            <w:r w:rsidRPr="00F64A32">
              <w:t>6,269</w:t>
            </w:r>
          </w:p>
        </w:tc>
        <w:tc>
          <w:tcPr>
            <w:tcW w:w="442" w:type="pct"/>
            <w:tcBorders>
              <w:left w:val="single" w:sz="4" w:space="0" w:color="auto"/>
            </w:tcBorders>
          </w:tcPr>
          <w:p w14:paraId="6B6F81ED" w14:textId="19BF894F" w:rsidR="00C5549D" w:rsidRPr="00F64A32" w:rsidRDefault="00C5549D" w:rsidP="002F3C17">
            <w:pPr>
              <w:pStyle w:val="ExhibitText"/>
              <w:jc w:val="right"/>
            </w:pPr>
            <w:r w:rsidRPr="00F64A32">
              <w:t>15,497</w:t>
            </w:r>
          </w:p>
        </w:tc>
        <w:tc>
          <w:tcPr>
            <w:tcW w:w="443" w:type="pct"/>
            <w:tcBorders>
              <w:right w:val="double" w:sz="4" w:space="0" w:color="auto"/>
            </w:tcBorders>
          </w:tcPr>
          <w:p w14:paraId="2FD84A26" w14:textId="0C57E869" w:rsidR="00C5549D" w:rsidRPr="00F64A32" w:rsidRDefault="00C5549D" w:rsidP="002F3C17">
            <w:pPr>
              <w:pStyle w:val="ExhibitText"/>
              <w:jc w:val="right"/>
            </w:pPr>
            <w:r w:rsidRPr="00F64A32">
              <w:t>2,494</w:t>
            </w:r>
          </w:p>
        </w:tc>
        <w:tc>
          <w:tcPr>
            <w:tcW w:w="443" w:type="pct"/>
            <w:tcBorders>
              <w:left w:val="double" w:sz="4" w:space="0" w:color="auto"/>
            </w:tcBorders>
          </w:tcPr>
          <w:p w14:paraId="17A160C2" w14:textId="716AC42E" w:rsidR="00C5549D" w:rsidRPr="00F64A32" w:rsidRDefault="00C5549D" w:rsidP="002F3C17">
            <w:pPr>
              <w:pStyle w:val="ExhibitText"/>
              <w:jc w:val="right"/>
            </w:pPr>
            <w:r w:rsidRPr="00F64A32">
              <w:t>10,820</w:t>
            </w:r>
          </w:p>
        </w:tc>
        <w:tc>
          <w:tcPr>
            <w:tcW w:w="443" w:type="pct"/>
            <w:tcBorders>
              <w:left w:val="single" w:sz="4" w:space="0" w:color="auto"/>
            </w:tcBorders>
          </w:tcPr>
          <w:p w14:paraId="01524F3C" w14:textId="5EA9780E" w:rsidR="00C5549D" w:rsidRPr="00F64A32" w:rsidRDefault="00C5549D" w:rsidP="002F3C17">
            <w:pPr>
              <w:pStyle w:val="ExhibitText"/>
              <w:jc w:val="right"/>
            </w:pPr>
            <w:r w:rsidRPr="00F64A32">
              <w:t>22,657</w:t>
            </w:r>
          </w:p>
        </w:tc>
        <w:tc>
          <w:tcPr>
            <w:tcW w:w="441" w:type="pct"/>
          </w:tcPr>
          <w:p w14:paraId="4DB664F2" w14:textId="494A335D" w:rsidR="00C5549D" w:rsidRPr="00F64A32" w:rsidRDefault="00C5549D" w:rsidP="002F3C17">
            <w:pPr>
              <w:pStyle w:val="ExhibitText"/>
              <w:jc w:val="right"/>
            </w:pPr>
            <w:r w:rsidRPr="00F64A32">
              <w:t>3,645</w:t>
            </w:r>
          </w:p>
        </w:tc>
      </w:tr>
      <w:tr w:rsidR="003E6299" w:rsidRPr="00F64A32" w14:paraId="638B739B" w14:textId="77777777" w:rsidTr="00F2675C">
        <w:trPr>
          <w:cnfStyle w:val="000000010000" w:firstRow="0" w:lastRow="0" w:firstColumn="0" w:lastColumn="0" w:oddVBand="0" w:evenVBand="0" w:oddHBand="0" w:evenHBand="1" w:firstRowFirstColumn="0" w:firstRowLastColumn="0" w:lastRowFirstColumn="0" w:lastRowLastColumn="0"/>
          <w:trHeight w:val="331"/>
        </w:trPr>
        <w:tc>
          <w:tcPr>
            <w:tcW w:w="1460" w:type="pct"/>
            <w:shd w:val="clear" w:color="auto" w:fill="auto"/>
          </w:tcPr>
          <w:p w14:paraId="608C55B7" w14:textId="520207BC" w:rsidR="00C5549D" w:rsidRPr="00F64A32" w:rsidRDefault="00C5549D" w:rsidP="009A6B9D">
            <w:pPr>
              <w:pStyle w:val="ExhibitText"/>
              <w:jc w:val="left"/>
            </w:pPr>
            <w:r w:rsidRPr="00F64A32">
              <w:t>Adjusted net income (loss)</w:t>
            </w:r>
          </w:p>
        </w:tc>
        <w:tc>
          <w:tcPr>
            <w:tcW w:w="442" w:type="pct"/>
            <w:shd w:val="clear" w:color="auto" w:fill="auto"/>
          </w:tcPr>
          <w:p w14:paraId="02C12766" w14:textId="0A1932ED" w:rsidR="00C5549D" w:rsidRPr="00F64A32" w:rsidRDefault="00C5549D" w:rsidP="002F3C17">
            <w:pPr>
              <w:pStyle w:val="ExhibitText"/>
              <w:jc w:val="right"/>
            </w:pPr>
            <w:r w:rsidRPr="00F64A32">
              <w:t>(141)</w:t>
            </w:r>
          </w:p>
        </w:tc>
        <w:tc>
          <w:tcPr>
            <w:tcW w:w="443" w:type="pct"/>
            <w:shd w:val="clear" w:color="auto" w:fill="auto"/>
          </w:tcPr>
          <w:p w14:paraId="47112655" w14:textId="23DB6211" w:rsidR="00C5549D" w:rsidRPr="00F64A32" w:rsidRDefault="00C5549D" w:rsidP="002F3C17">
            <w:pPr>
              <w:pStyle w:val="ExhibitText"/>
              <w:jc w:val="right"/>
            </w:pPr>
            <w:r w:rsidRPr="00F64A32">
              <w:t>2,540</w:t>
            </w:r>
          </w:p>
        </w:tc>
        <w:tc>
          <w:tcPr>
            <w:tcW w:w="443" w:type="pct"/>
            <w:tcBorders>
              <w:right w:val="single" w:sz="4" w:space="0" w:color="auto"/>
            </w:tcBorders>
            <w:shd w:val="clear" w:color="auto" w:fill="auto"/>
          </w:tcPr>
          <w:p w14:paraId="77F86026" w14:textId="6A28D83E" w:rsidR="00C5549D" w:rsidRPr="00F64A32" w:rsidRDefault="00C5549D" w:rsidP="002F3C17">
            <w:pPr>
              <w:pStyle w:val="ExhibitText"/>
              <w:jc w:val="right"/>
            </w:pPr>
            <w:r w:rsidRPr="00F64A32">
              <w:t>5,919</w:t>
            </w:r>
          </w:p>
        </w:tc>
        <w:tc>
          <w:tcPr>
            <w:tcW w:w="442" w:type="pct"/>
            <w:tcBorders>
              <w:left w:val="single" w:sz="4" w:space="0" w:color="auto"/>
            </w:tcBorders>
            <w:shd w:val="clear" w:color="auto" w:fill="auto"/>
          </w:tcPr>
          <w:p w14:paraId="0E8D7769" w14:textId="64036AF9" w:rsidR="00C5549D" w:rsidRPr="00F64A32" w:rsidRDefault="00C5549D" w:rsidP="002F3C17">
            <w:pPr>
              <w:pStyle w:val="ExhibitText"/>
              <w:jc w:val="right"/>
            </w:pPr>
            <w:r w:rsidRPr="00F64A32">
              <w:t>13,395</w:t>
            </w:r>
          </w:p>
        </w:tc>
        <w:tc>
          <w:tcPr>
            <w:tcW w:w="443" w:type="pct"/>
            <w:tcBorders>
              <w:right w:val="double" w:sz="4" w:space="0" w:color="auto"/>
            </w:tcBorders>
            <w:shd w:val="clear" w:color="auto" w:fill="auto"/>
          </w:tcPr>
          <w:p w14:paraId="642AB64F" w14:textId="237BBF57" w:rsidR="00C5549D" w:rsidRPr="00F64A32" w:rsidRDefault="00C5549D" w:rsidP="002F3C17">
            <w:pPr>
              <w:pStyle w:val="ExhibitText"/>
              <w:jc w:val="right"/>
            </w:pPr>
            <w:r w:rsidRPr="00F64A32">
              <w:t>2,156</w:t>
            </w:r>
          </w:p>
        </w:tc>
        <w:tc>
          <w:tcPr>
            <w:tcW w:w="443" w:type="pct"/>
            <w:tcBorders>
              <w:left w:val="double" w:sz="4" w:space="0" w:color="auto"/>
            </w:tcBorders>
            <w:shd w:val="clear" w:color="auto" w:fill="auto"/>
          </w:tcPr>
          <w:p w14:paraId="55A0D342" w14:textId="27F5141F" w:rsidR="00C5549D" w:rsidRPr="00F64A32" w:rsidRDefault="00C5549D" w:rsidP="002F3C17">
            <w:pPr>
              <w:pStyle w:val="ExhibitText"/>
              <w:jc w:val="right"/>
            </w:pPr>
            <w:r w:rsidRPr="00F64A32">
              <w:t>8,904</w:t>
            </w:r>
          </w:p>
        </w:tc>
        <w:tc>
          <w:tcPr>
            <w:tcW w:w="443" w:type="pct"/>
            <w:tcBorders>
              <w:left w:val="single" w:sz="4" w:space="0" w:color="auto"/>
            </w:tcBorders>
            <w:shd w:val="clear" w:color="auto" w:fill="auto"/>
          </w:tcPr>
          <w:p w14:paraId="37DCA857" w14:textId="266F9B09" w:rsidR="00C5549D" w:rsidRPr="00F64A32" w:rsidRDefault="00C5549D" w:rsidP="002F3C17">
            <w:pPr>
              <w:pStyle w:val="ExhibitText"/>
              <w:jc w:val="right"/>
            </w:pPr>
            <w:r w:rsidRPr="00F64A32">
              <w:t>20,930</w:t>
            </w:r>
          </w:p>
        </w:tc>
        <w:tc>
          <w:tcPr>
            <w:tcW w:w="441" w:type="pct"/>
            <w:shd w:val="clear" w:color="auto" w:fill="auto"/>
          </w:tcPr>
          <w:p w14:paraId="2732D112" w14:textId="3EA1635B" w:rsidR="00C5549D" w:rsidRPr="00F64A32" w:rsidRDefault="00C5549D" w:rsidP="002F3C17">
            <w:pPr>
              <w:pStyle w:val="ExhibitText"/>
              <w:jc w:val="right"/>
            </w:pPr>
            <w:r w:rsidRPr="00F64A32">
              <w:t>3,367</w:t>
            </w:r>
          </w:p>
        </w:tc>
      </w:tr>
      <w:tr w:rsidR="00C5549D" w:rsidRPr="00F64A32" w14:paraId="7A1C22E5" w14:textId="77777777" w:rsidTr="00F2675C">
        <w:trPr>
          <w:trHeight w:val="331"/>
        </w:trPr>
        <w:tc>
          <w:tcPr>
            <w:tcW w:w="1460" w:type="pct"/>
          </w:tcPr>
          <w:p w14:paraId="6A430ED8" w14:textId="32EFAAEA" w:rsidR="00C5549D" w:rsidRPr="00F64A32" w:rsidRDefault="00C5549D" w:rsidP="009A6B9D">
            <w:pPr>
              <w:pStyle w:val="ExhibitText"/>
              <w:jc w:val="left"/>
            </w:pPr>
            <w:r w:rsidRPr="00F64A32">
              <w:t>Free cash flow</w:t>
            </w:r>
          </w:p>
        </w:tc>
        <w:tc>
          <w:tcPr>
            <w:tcW w:w="442" w:type="pct"/>
          </w:tcPr>
          <w:p w14:paraId="299D6E14" w14:textId="3449266F" w:rsidR="00C5549D" w:rsidRPr="00F64A32" w:rsidRDefault="00C5549D" w:rsidP="002F3C17">
            <w:pPr>
              <w:pStyle w:val="ExhibitText"/>
              <w:jc w:val="right"/>
            </w:pPr>
            <w:r w:rsidRPr="00F64A32">
              <w:t>2,280</w:t>
            </w:r>
          </w:p>
        </w:tc>
        <w:tc>
          <w:tcPr>
            <w:tcW w:w="443" w:type="pct"/>
          </w:tcPr>
          <w:p w14:paraId="1794C78A" w14:textId="324DEDA9" w:rsidR="00C5549D" w:rsidRPr="00F64A32" w:rsidRDefault="00C5549D" w:rsidP="002F3C17">
            <w:pPr>
              <w:pStyle w:val="ExhibitText"/>
              <w:jc w:val="right"/>
            </w:pPr>
            <w:r w:rsidRPr="00F64A32">
              <w:t>4,881</w:t>
            </w:r>
          </w:p>
        </w:tc>
        <w:tc>
          <w:tcPr>
            <w:tcW w:w="443" w:type="pct"/>
            <w:tcBorders>
              <w:right w:val="single" w:sz="4" w:space="0" w:color="auto"/>
            </w:tcBorders>
          </w:tcPr>
          <w:p w14:paraId="41B7BD8B" w14:textId="3BFCC2F3" w:rsidR="00C5549D" w:rsidRPr="00F64A32" w:rsidRDefault="00C5549D" w:rsidP="002F3C17">
            <w:pPr>
              <w:pStyle w:val="ExhibitText"/>
              <w:jc w:val="right"/>
            </w:pPr>
            <w:r w:rsidRPr="00F64A32">
              <w:t>8,752</w:t>
            </w:r>
          </w:p>
        </w:tc>
        <w:tc>
          <w:tcPr>
            <w:tcW w:w="442" w:type="pct"/>
            <w:tcBorders>
              <w:left w:val="single" w:sz="4" w:space="0" w:color="auto"/>
            </w:tcBorders>
          </w:tcPr>
          <w:p w14:paraId="40EF511E" w14:textId="722BB309" w:rsidR="00C5549D" w:rsidRPr="00F64A32" w:rsidRDefault="00C5549D" w:rsidP="002F3C17">
            <w:pPr>
              <w:pStyle w:val="ExhibitText"/>
              <w:jc w:val="right"/>
            </w:pPr>
            <w:r w:rsidRPr="00F64A32">
              <w:t>19,745</w:t>
            </w:r>
          </w:p>
        </w:tc>
        <w:tc>
          <w:tcPr>
            <w:tcW w:w="443" w:type="pct"/>
            <w:tcBorders>
              <w:right w:val="double" w:sz="4" w:space="0" w:color="auto"/>
            </w:tcBorders>
          </w:tcPr>
          <w:p w14:paraId="3807BAA6" w14:textId="5D68331D" w:rsidR="00C5549D" w:rsidRPr="00F64A32" w:rsidRDefault="00C5549D" w:rsidP="002F3C17">
            <w:pPr>
              <w:pStyle w:val="ExhibitText"/>
              <w:jc w:val="right"/>
            </w:pPr>
            <w:r w:rsidRPr="00F64A32">
              <w:t>3,177</w:t>
            </w:r>
          </w:p>
        </w:tc>
        <w:tc>
          <w:tcPr>
            <w:tcW w:w="443" w:type="pct"/>
            <w:tcBorders>
              <w:left w:val="double" w:sz="4" w:space="0" w:color="auto"/>
            </w:tcBorders>
          </w:tcPr>
          <w:p w14:paraId="1B90487A" w14:textId="0011A309" w:rsidR="00C5549D" w:rsidRPr="00F64A32" w:rsidRDefault="00C5549D" w:rsidP="002F3C17">
            <w:pPr>
              <w:pStyle w:val="ExhibitText"/>
              <w:jc w:val="right"/>
            </w:pPr>
            <w:r w:rsidRPr="00F64A32">
              <w:t>17,389</w:t>
            </w:r>
          </w:p>
        </w:tc>
        <w:tc>
          <w:tcPr>
            <w:tcW w:w="443" w:type="pct"/>
            <w:tcBorders>
              <w:left w:val="single" w:sz="4" w:space="0" w:color="auto"/>
            </w:tcBorders>
          </w:tcPr>
          <w:p w14:paraId="6F786248" w14:textId="229B7BF7" w:rsidR="00C5549D" w:rsidRPr="00F64A32" w:rsidRDefault="00C5549D" w:rsidP="002F3C17">
            <w:pPr>
              <w:pStyle w:val="ExhibitText"/>
              <w:jc w:val="right"/>
            </w:pPr>
            <w:r w:rsidRPr="00F64A32">
              <w:t>29,936</w:t>
            </w:r>
          </w:p>
        </w:tc>
        <w:tc>
          <w:tcPr>
            <w:tcW w:w="441" w:type="pct"/>
          </w:tcPr>
          <w:p w14:paraId="785F4662" w14:textId="506D7B77" w:rsidR="00C5549D" w:rsidRPr="00F64A32" w:rsidRDefault="00C5549D" w:rsidP="002F3C17">
            <w:pPr>
              <w:pStyle w:val="ExhibitText"/>
              <w:jc w:val="right"/>
            </w:pPr>
            <w:r w:rsidRPr="00F64A32">
              <w:t>4,816</w:t>
            </w:r>
          </w:p>
        </w:tc>
      </w:tr>
    </w:tbl>
    <w:p w14:paraId="20D5CCF2" w14:textId="77777777" w:rsidR="006D61EA" w:rsidRPr="00F2675C" w:rsidRDefault="006D61EA" w:rsidP="002F3C17">
      <w:pPr>
        <w:pStyle w:val="ExhibitText"/>
      </w:pPr>
    </w:p>
    <w:p w14:paraId="45241710" w14:textId="59452F77" w:rsidR="006D61EA" w:rsidRPr="00F2675C" w:rsidRDefault="006D61EA" w:rsidP="002F3C17">
      <w:pPr>
        <w:pStyle w:val="Footnote"/>
        <w:sectPr w:rsidR="006D61EA" w:rsidRPr="00F2675C" w:rsidSect="0017026D">
          <w:headerReference w:type="default" r:id="rId14"/>
          <w:headerReference w:type="first" r:id="rId15"/>
          <w:pgSz w:w="15840" w:h="12240" w:orient="landscape" w:code="1"/>
          <w:pgMar w:top="1080" w:right="1440" w:bottom="1440" w:left="1440" w:header="425" w:footer="720" w:gutter="0"/>
          <w:cols w:space="708"/>
          <w:titlePg/>
          <w:docGrid w:linePitch="360"/>
        </w:sectPr>
      </w:pPr>
      <w:r w:rsidRPr="00F2675C">
        <w:t xml:space="preserve">Source: </w:t>
      </w:r>
      <w:r w:rsidR="000E606A" w:rsidRPr="00F2675C">
        <w:rPr>
          <w:lang w:val="en-US"/>
        </w:rPr>
        <w:t xml:space="preserve">Alibaba Group Holding Limited, </w:t>
      </w:r>
      <w:r w:rsidR="00945E1C">
        <w:rPr>
          <w:lang w:val="en-US"/>
        </w:rPr>
        <w:t>“</w:t>
      </w:r>
      <w:r w:rsidR="008B21C9" w:rsidRPr="00F2675C">
        <w:rPr>
          <w:lang w:val="en-US"/>
        </w:rPr>
        <w:t>Form F-1: Registration Statement under the Securities Act of 1933,</w:t>
      </w:r>
      <w:r w:rsidR="00945E1C">
        <w:rPr>
          <w:lang w:val="en-US"/>
        </w:rPr>
        <w:t>”</w:t>
      </w:r>
      <w:r w:rsidR="008B21C9" w:rsidRPr="00F2675C">
        <w:rPr>
          <w:lang w:val="en-US"/>
        </w:rPr>
        <w:t xml:space="preserve"> </w:t>
      </w:r>
      <w:r w:rsidR="000E606A" w:rsidRPr="00F2675C">
        <w:rPr>
          <w:lang w:val="en-US"/>
        </w:rPr>
        <w:t xml:space="preserve">EDGAR Online, </w:t>
      </w:r>
      <w:r w:rsidR="008B21C9" w:rsidRPr="00F2675C">
        <w:rPr>
          <w:lang w:val="en-US"/>
        </w:rPr>
        <w:t>May 6, 2014, accessed May 19, 2016, www.sec.gov/Archives/edgar/data/1577552/000119312514184994/d709111df1.htm</w:t>
      </w:r>
      <w:r w:rsidRPr="00F2675C">
        <w:t>.</w:t>
      </w:r>
    </w:p>
    <w:p w14:paraId="14958EAA" w14:textId="061DDBA8" w:rsidR="006D61EA" w:rsidRPr="00B0282E" w:rsidRDefault="006D61EA" w:rsidP="002F3C17">
      <w:pPr>
        <w:pStyle w:val="ExhibitHeading"/>
        <w:outlineLvl w:val="0"/>
      </w:pPr>
      <w:r w:rsidRPr="00B0282E">
        <w:lastRenderedPageBreak/>
        <w:t>EXHIBIT 3: COMPONENTS OF ALIBABA’S REVENUE</w:t>
      </w:r>
    </w:p>
    <w:p w14:paraId="488EDF08" w14:textId="77777777" w:rsidR="006D61EA" w:rsidRPr="00B0282E" w:rsidRDefault="006D61EA" w:rsidP="002F3C17">
      <w:pPr>
        <w:jc w:val="center"/>
        <w:rPr>
          <w:rFonts w:ascii="Arial" w:hAnsi="Arial" w:cs="Arial"/>
          <w:b/>
        </w:rPr>
      </w:pPr>
    </w:p>
    <w:tbl>
      <w:tblPr>
        <w:tblStyle w:val="IveyTable"/>
        <w:tblW w:w="5000" w:type="pct"/>
        <w:tblLayout w:type="fixed"/>
        <w:tblLook w:val="04A0" w:firstRow="1" w:lastRow="0" w:firstColumn="1" w:lastColumn="0" w:noHBand="0" w:noVBand="1"/>
      </w:tblPr>
      <w:tblGrid>
        <w:gridCol w:w="2746"/>
        <w:gridCol w:w="1022"/>
        <w:gridCol w:w="1021"/>
        <w:gridCol w:w="1021"/>
        <w:gridCol w:w="1021"/>
        <w:gridCol w:w="1021"/>
        <w:gridCol w:w="1021"/>
        <w:gridCol w:w="1021"/>
        <w:gridCol w:w="1021"/>
        <w:gridCol w:w="1021"/>
        <w:gridCol w:w="1024"/>
      </w:tblGrid>
      <w:tr w:rsidR="00DE2DE2" w:rsidRPr="00041A76" w14:paraId="0E06F495" w14:textId="77777777" w:rsidTr="00F2675C">
        <w:trPr>
          <w:cnfStyle w:val="100000000000" w:firstRow="1" w:lastRow="0" w:firstColumn="0" w:lastColumn="0" w:oddVBand="0" w:evenVBand="0" w:oddHBand="0" w:evenHBand="0" w:firstRowFirstColumn="0" w:firstRowLastColumn="0" w:lastRowFirstColumn="0" w:lastRowLastColumn="0"/>
          <w:trHeight w:val="360"/>
          <w:tblHeader/>
        </w:trPr>
        <w:tc>
          <w:tcPr>
            <w:tcW w:w="1059" w:type="pct"/>
            <w:shd w:val="clear" w:color="auto" w:fill="auto"/>
            <w:noWrap/>
            <w:hideMark/>
          </w:tcPr>
          <w:p w14:paraId="2C0F167E" w14:textId="42807906" w:rsidR="006D61EA" w:rsidRPr="00041A76" w:rsidRDefault="000B4C6B" w:rsidP="009A6B9D">
            <w:pPr>
              <w:pStyle w:val="ExhibitText"/>
              <w:jc w:val="left"/>
            </w:pPr>
            <w:r w:rsidRPr="00041A76">
              <w:t xml:space="preserve"> </w:t>
            </w:r>
          </w:p>
        </w:tc>
        <w:tc>
          <w:tcPr>
            <w:tcW w:w="1970" w:type="pct"/>
            <w:gridSpan w:val="5"/>
            <w:tcBorders>
              <w:right w:val="double" w:sz="4" w:space="0" w:color="auto"/>
            </w:tcBorders>
            <w:shd w:val="clear" w:color="auto" w:fill="auto"/>
            <w:noWrap/>
            <w:hideMark/>
          </w:tcPr>
          <w:p w14:paraId="59DE986B" w14:textId="4FEB9C0F" w:rsidR="006D61EA" w:rsidRPr="00041A76" w:rsidRDefault="006D61EA" w:rsidP="002F3C17">
            <w:pPr>
              <w:pStyle w:val="ExhibitText"/>
              <w:jc w:val="center"/>
            </w:pPr>
            <w:r w:rsidRPr="00041A76">
              <w:t>Year ended March</w:t>
            </w:r>
            <w:r w:rsidR="000B4C6B" w:rsidRPr="00041A76">
              <w:t xml:space="preserve"> </w:t>
            </w:r>
            <w:r w:rsidRPr="00041A76">
              <w:t>31</w:t>
            </w:r>
          </w:p>
        </w:tc>
        <w:tc>
          <w:tcPr>
            <w:tcW w:w="1971" w:type="pct"/>
            <w:gridSpan w:val="5"/>
            <w:tcBorders>
              <w:left w:val="double" w:sz="4" w:space="0" w:color="auto"/>
            </w:tcBorders>
            <w:shd w:val="clear" w:color="auto" w:fill="auto"/>
            <w:noWrap/>
            <w:hideMark/>
          </w:tcPr>
          <w:p w14:paraId="4B8A26FF" w14:textId="773DD979" w:rsidR="006D61EA" w:rsidRPr="00041A76" w:rsidRDefault="006D61EA" w:rsidP="002F3C17">
            <w:pPr>
              <w:pStyle w:val="ExhibitText"/>
              <w:jc w:val="center"/>
            </w:pPr>
            <w:r w:rsidRPr="00041A76">
              <w:t xml:space="preserve">Nine </w:t>
            </w:r>
            <w:r w:rsidR="00236941" w:rsidRPr="00041A76">
              <w:t>m</w:t>
            </w:r>
            <w:r w:rsidRPr="00041A76">
              <w:t>onths ended December</w:t>
            </w:r>
            <w:r w:rsidR="000B4C6B" w:rsidRPr="00041A76">
              <w:t xml:space="preserve"> </w:t>
            </w:r>
            <w:r w:rsidRPr="00041A76">
              <w:t>31</w:t>
            </w:r>
          </w:p>
        </w:tc>
      </w:tr>
      <w:tr w:rsidR="007B0A15" w:rsidRPr="00041A76" w14:paraId="418D4FCD" w14:textId="77777777" w:rsidTr="00F2675C">
        <w:trPr>
          <w:cnfStyle w:val="100000000000" w:firstRow="1" w:lastRow="0" w:firstColumn="0" w:lastColumn="0" w:oddVBand="0" w:evenVBand="0" w:oddHBand="0" w:evenHBand="0" w:firstRowFirstColumn="0" w:firstRowLastColumn="0" w:lastRowFirstColumn="0" w:lastRowLastColumn="0"/>
          <w:trHeight w:val="360"/>
          <w:tblHeader/>
        </w:trPr>
        <w:tc>
          <w:tcPr>
            <w:tcW w:w="1059" w:type="pct"/>
            <w:shd w:val="clear" w:color="auto" w:fill="auto"/>
            <w:noWrap/>
            <w:hideMark/>
          </w:tcPr>
          <w:p w14:paraId="3BE1B9D7" w14:textId="1ACCDF8F" w:rsidR="007B0A15" w:rsidRPr="00041A76" w:rsidRDefault="000B4C6B" w:rsidP="009A6B9D">
            <w:pPr>
              <w:pStyle w:val="ExhibitText"/>
              <w:jc w:val="left"/>
            </w:pPr>
            <w:r w:rsidRPr="00041A76">
              <w:t xml:space="preserve"> </w:t>
            </w:r>
          </w:p>
        </w:tc>
        <w:tc>
          <w:tcPr>
            <w:tcW w:w="788" w:type="pct"/>
            <w:gridSpan w:val="2"/>
            <w:tcBorders>
              <w:right w:val="single" w:sz="4" w:space="0" w:color="auto"/>
            </w:tcBorders>
            <w:shd w:val="clear" w:color="auto" w:fill="auto"/>
            <w:noWrap/>
            <w:hideMark/>
          </w:tcPr>
          <w:p w14:paraId="14E44C61" w14:textId="5F2201BB" w:rsidR="007B0A15" w:rsidRPr="00041A76" w:rsidRDefault="007B0A15" w:rsidP="002F3C17">
            <w:pPr>
              <w:pStyle w:val="ExhibitText"/>
              <w:jc w:val="center"/>
            </w:pPr>
            <w:r w:rsidRPr="00041A76">
              <w:t>2012</w:t>
            </w:r>
          </w:p>
        </w:tc>
        <w:tc>
          <w:tcPr>
            <w:tcW w:w="1182" w:type="pct"/>
            <w:gridSpan w:val="3"/>
            <w:tcBorders>
              <w:left w:val="single" w:sz="4" w:space="0" w:color="auto"/>
              <w:right w:val="double" w:sz="4" w:space="0" w:color="auto"/>
            </w:tcBorders>
            <w:shd w:val="clear" w:color="auto" w:fill="auto"/>
          </w:tcPr>
          <w:p w14:paraId="5D9D4FCC" w14:textId="372E9582" w:rsidR="007B0A15" w:rsidRPr="00041A76" w:rsidRDefault="007B0A15" w:rsidP="002F3C17">
            <w:pPr>
              <w:pStyle w:val="ExhibitText"/>
              <w:jc w:val="center"/>
            </w:pPr>
            <w:r w:rsidRPr="00041A76">
              <w:t>2013</w:t>
            </w:r>
          </w:p>
        </w:tc>
        <w:tc>
          <w:tcPr>
            <w:tcW w:w="788" w:type="pct"/>
            <w:gridSpan w:val="2"/>
            <w:tcBorders>
              <w:left w:val="double" w:sz="4" w:space="0" w:color="auto"/>
              <w:right w:val="single" w:sz="4" w:space="0" w:color="auto"/>
            </w:tcBorders>
            <w:shd w:val="clear" w:color="auto" w:fill="auto"/>
            <w:noWrap/>
            <w:hideMark/>
          </w:tcPr>
          <w:p w14:paraId="770B3426" w14:textId="15780055" w:rsidR="007B0A15" w:rsidRPr="00041A76" w:rsidRDefault="007B0A15" w:rsidP="002F3C17">
            <w:pPr>
              <w:pStyle w:val="ExhibitText"/>
              <w:jc w:val="center"/>
            </w:pPr>
            <w:r w:rsidRPr="00041A76">
              <w:t>2012</w:t>
            </w:r>
          </w:p>
        </w:tc>
        <w:tc>
          <w:tcPr>
            <w:tcW w:w="1183" w:type="pct"/>
            <w:gridSpan w:val="3"/>
            <w:tcBorders>
              <w:left w:val="single" w:sz="4" w:space="0" w:color="auto"/>
            </w:tcBorders>
            <w:shd w:val="clear" w:color="auto" w:fill="auto"/>
            <w:noWrap/>
            <w:hideMark/>
          </w:tcPr>
          <w:p w14:paraId="03DC9D5B" w14:textId="1BD49AC4" w:rsidR="007B0A15" w:rsidRPr="00041A76" w:rsidRDefault="007B0A15" w:rsidP="002F3C17">
            <w:pPr>
              <w:pStyle w:val="ExhibitText"/>
              <w:jc w:val="center"/>
            </w:pPr>
            <w:r w:rsidRPr="00041A76">
              <w:t>2013</w:t>
            </w:r>
          </w:p>
        </w:tc>
      </w:tr>
      <w:tr w:rsidR="007B0A15" w:rsidRPr="00041A76" w14:paraId="05653722" w14:textId="77777777" w:rsidTr="00F2675C">
        <w:trPr>
          <w:cnfStyle w:val="100000000000" w:firstRow="1" w:lastRow="0" w:firstColumn="0" w:lastColumn="0" w:oddVBand="0" w:evenVBand="0" w:oddHBand="0" w:evenHBand="0" w:firstRowFirstColumn="0" w:firstRowLastColumn="0" w:lastRowFirstColumn="0" w:lastRowLastColumn="0"/>
          <w:trHeight w:val="360"/>
          <w:tblHeader/>
        </w:trPr>
        <w:tc>
          <w:tcPr>
            <w:tcW w:w="1059" w:type="pct"/>
            <w:shd w:val="clear" w:color="auto" w:fill="auto"/>
            <w:noWrap/>
            <w:hideMark/>
          </w:tcPr>
          <w:p w14:paraId="653B3799" w14:textId="077A1C0C" w:rsidR="006D61EA" w:rsidRPr="00041A76" w:rsidRDefault="00D74701" w:rsidP="009A6B9D">
            <w:pPr>
              <w:pStyle w:val="ExhibitText"/>
              <w:jc w:val="left"/>
            </w:pPr>
            <w:r w:rsidRPr="00041A76">
              <w:t>(in millions, except percentages)</w:t>
            </w:r>
          </w:p>
        </w:tc>
        <w:tc>
          <w:tcPr>
            <w:tcW w:w="394" w:type="pct"/>
            <w:shd w:val="clear" w:color="auto" w:fill="auto"/>
            <w:noWrap/>
            <w:hideMark/>
          </w:tcPr>
          <w:p w14:paraId="2BD0D767" w14:textId="22D294F0" w:rsidR="006D61EA" w:rsidRPr="00041A76" w:rsidRDefault="004600EA" w:rsidP="002F3C17">
            <w:pPr>
              <w:pStyle w:val="ExhibitText"/>
              <w:jc w:val="center"/>
            </w:pPr>
            <w:r w:rsidRPr="00041A76">
              <w:t>CNY</w:t>
            </w:r>
          </w:p>
        </w:tc>
        <w:tc>
          <w:tcPr>
            <w:tcW w:w="394" w:type="pct"/>
            <w:tcBorders>
              <w:right w:val="single" w:sz="4" w:space="0" w:color="auto"/>
            </w:tcBorders>
            <w:shd w:val="clear" w:color="auto" w:fill="auto"/>
            <w:noWrap/>
            <w:hideMark/>
          </w:tcPr>
          <w:p w14:paraId="05E456B3" w14:textId="77777777" w:rsidR="006D61EA" w:rsidRPr="00041A76" w:rsidRDefault="006D61EA" w:rsidP="002F3C17">
            <w:pPr>
              <w:pStyle w:val="ExhibitText"/>
              <w:jc w:val="center"/>
            </w:pPr>
            <w:r w:rsidRPr="00041A76">
              <w:t>% of</w:t>
            </w:r>
            <w:r w:rsidR="00FC7297" w:rsidRPr="00041A76">
              <w:t xml:space="preserve"> </w:t>
            </w:r>
            <w:r w:rsidRPr="00041A76">
              <w:t>revenue</w:t>
            </w:r>
          </w:p>
        </w:tc>
        <w:tc>
          <w:tcPr>
            <w:tcW w:w="394" w:type="pct"/>
            <w:tcBorders>
              <w:left w:val="single" w:sz="4" w:space="0" w:color="auto"/>
            </w:tcBorders>
            <w:shd w:val="clear" w:color="auto" w:fill="auto"/>
            <w:noWrap/>
            <w:hideMark/>
          </w:tcPr>
          <w:p w14:paraId="23DEC10F" w14:textId="03A88E70" w:rsidR="006D61EA" w:rsidRPr="00041A76" w:rsidRDefault="00D74701" w:rsidP="002F3C17">
            <w:pPr>
              <w:pStyle w:val="ExhibitText"/>
              <w:jc w:val="center"/>
            </w:pPr>
            <w:r w:rsidRPr="00041A76">
              <w:t>CNY</w:t>
            </w:r>
          </w:p>
        </w:tc>
        <w:tc>
          <w:tcPr>
            <w:tcW w:w="394" w:type="pct"/>
            <w:shd w:val="clear" w:color="auto" w:fill="auto"/>
            <w:noWrap/>
            <w:hideMark/>
          </w:tcPr>
          <w:p w14:paraId="33A1207C" w14:textId="4A5BC6D8" w:rsidR="006D61EA" w:rsidRPr="00041A76" w:rsidRDefault="007B0A15" w:rsidP="002F3C17">
            <w:pPr>
              <w:pStyle w:val="ExhibitText"/>
              <w:jc w:val="center"/>
            </w:pPr>
            <w:r w:rsidRPr="00041A76">
              <w:t>US</w:t>
            </w:r>
            <w:r w:rsidR="006D61EA" w:rsidRPr="00041A76">
              <w:t>$</w:t>
            </w:r>
          </w:p>
        </w:tc>
        <w:tc>
          <w:tcPr>
            <w:tcW w:w="394" w:type="pct"/>
            <w:tcBorders>
              <w:right w:val="double" w:sz="4" w:space="0" w:color="auto"/>
            </w:tcBorders>
            <w:shd w:val="clear" w:color="auto" w:fill="auto"/>
            <w:noWrap/>
            <w:hideMark/>
          </w:tcPr>
          <w:p w14:paraId="47680C30" w14:textId="77777777" w:rsidR="006D61EA" w:rsidRPr="00041A76" w:rsidRDefault="006D61EA" w:rsidP="002F3C17">
            <w:pPr>
              <w:pStyle w:val="ExhibitText"/>
              <w:jc w:val="center"/>
            </w:pPr>
            <w:r w:rsidRPr="00041A76">
              <w:t>% of</w:t>
            </w:r>
            <w:r w:rsidR="00FC7297" w:rsidRPr="00041A76">
              <w:t xml:space="preserve"> </w:t>
            </w:r>
            <w:r w:rsidRPr="00041A76">
              <w:t>revenue</w:t>
            </w:r>
          </w:p>
        </w:tc>
        <w:tc>
          <w:tcPr>
            <w:tcW w:w="394" w:type="pct"/>
            <w:tcBorders>
              <w:left w:val="double" w:sz="4" w:space="0" w:color="auto"/>
            </w:tcBorders>
            <w:shd w:val="clear" w:color="auto" w:fill="auto"/>
            <w:noWrap/>
            <w:hideMark/>
          </w:tcPr>
          <w:p w14:paraId="7DA870CA" w14:textId="746D0A98" w:rsidR="006D61EA" w:rsidRPr="00041A76" w:rsidRDefault="00D74701" w:rsidP="002F3C17">
            <w:pPr>
              <w:pStyle w:val="ExhibitText"/>
              <w:jc w:val="center"/>
            </w:pPr>
            <w:r w:rsidRPr="00041A76">
              <w:t>CNY</w:t>
            </w:r>
          </w:p>
        </w:tc>
        <w:tc>
          <w:tcPr>
            <w:tcW w:w="394" w:type="pct"/>
            <w:tcBorders>
              <w:right w:val="single" w:sz="4" w:space="0" w:color="auto"/>
            </w:tcBorders>
            <w:shd w:val="clear" w:color="auto" w:fill="auto"/>
            <w:noWrap/>
            <w:hideMark/>
          </w:tcPr>
          <w:p w14:paraId="41FBF00A" w14:textId="77777777" w:rsidR="006D61EA" w:rsidRPr="00041A76" w:rsidRDefault="006D61EA" w:rsidP="002F3C17">
            <w:pPr>
              <w:pStyle w:val="ExhibitText"/>
              <w:jc w:val="center"/>
            </w:pPr>
            <w:r w:rsidRPr="00041A76">
              <w:t>% of</w:t>
            </w:r>
            <w:r w:rsidR="00FC7297" w:rsidRPr="00041A76">
              <w:t xml:space="preserve"> </w:t>
            </w:r>
            <w:r w:rsidRPr="00041A76">
              <w:t>revenue</w:t>
            </w:r>
          </w:p>
        </w:tc>
        <w:tc>
          <w:tcPr>
            <w:tcW w:w="394" w:type="pct"/>
            <w:tcBorders>
              <w:left w:val="single" w:sz="4" w:space="0" w:color="auto"/>
            </w:tcBorders>
            <w:shd w:val="clear" w:color="auto" w:fill="auto"/>
            <w:noWrap/>
            <w:hideMark/>
          </w:tcPr>
          <w:p w14:paraId="793496CE" w14:textId="163C53FF" w:rsidR="006D61EA" w:rsidRPr="00041A76" w:rsidRDefault="00D74701" w:rsidP="002F3C17">
            <w:pPr>
              <w:pStyle w:val="ExhibitText"/>
              <w:jc w:val="center"/>
            </w:pPr>
            <w:r w:rsidRPr="00041A76">
              <w:t>CNY</w:t>
            </w:r>
          </w:p>
        </w:tc>
        <w:tc>
          <w:tcPr>
            <w:tcW w:w="394" w:type="pct"/>
            <w:shd w:val="clear" w:color="auto" w:fill="auto"/>
            <w:noWrap/>
            <w:hideMark/>
          </w:tcPr>
          <w:p w14:paraId="718A619B" w14:textId="3DE817B2" w:rsidR="006D61EA" w:rsidRPr="00041A76" w:rsidRDefault="007B0A15" w:rsidP="002F3C17">
            <w:pPr>
              <w:pStyle w:val="ExhibitText"/>
              <w:jc w:val="center"/>
            </w:pPr>
            <w:r w:rsidRPr="00041A76">
              <w:t>US</w:t>
            </w:r>
            <w:r w:rsidR="006D61EA" w:rsidRPr="00041A76">
              <w:t>$</w:t>
            </w:r>
          </w:p>
        </w:tc>
        <w:tc>
          <w:tcPr>
            <w:tcW w:w="395" w:type="pct"/>
            <w:shd w:val="clear" w:color="auto" w:fill="auto"/>
            <w:noWrap/>
            <w:hideMark/>
          </w:tcPr>
          <w:p w14:paraId="64CF726A" w14:textId="77777777" w:rsidR="006D61EA" w:rsidRPr="00041A76" w:rsidRDefault="006D61EA" w:rsidP="002F3C17">
            <w:pPr>
              <w:pStyle w:val="ExhibitText"/>
              <w:jc w:val="center"/>
            </w:pPr>
            <w:r w:rsidRPr="00041A76">
              <w:t>% of</w:t>
            </w:r>
            <w:r w:rsidR="00FC7297" w:rsidRPr="00041A76">
              <w:t xml:space="preserve"> </w:t>
            </w:r>
            <w:r w:rsidRPr="00041A76">
              <w:t>revenue</w:t>
            </w:r>
          </w:p>
        </w:tc>
      </w:tr>
      <w:tr w:rsidR="005754D0" w:rsidRPr="00041A76" w14:paraId="4519ED0A" w14:textId="77777777" w:rsidTr="00F2675C">
        <w:trPr>
          <w:trHeight w:val="360"/>
        </w:trPr>
        <w:tc>
          <w:tcPr>
            <w:tcW w:w="1059" w:type="pct"/>
            <w:tcBorders>
              <w:top w:val="single" w:sz="4" w:space="0" w:color="auto"/>
            </w:tcBorders>
            <w:noWrap/>
          </w:tcPr>
          <w:p w14:paraId="21DAF506" w14:textId="49C27369" w:rsidR="0002471A" w:rsidRPr="00041A76" w:rsidRDefault="0002471A" w:rsidP="009A6B9D">
            <w:pPr>
              <w:pStyle w:val="ExhibitText"/>
              <w:jc w:val="left"/>
            </w:pPr>
            <w:r w:rsidRPr="00041A76">
              <w:t>China commerce</w:t>
            </w:r>
          </w:p>
        </w:tc>
        <w:tc>
          <w:tcPr>
            <w:tcW w:w="394" w:type="pct"/>
            <w:tcBorders>
              <w:top w:val="single" w:sz="4" w:space="0" w:color="auto"/>
            </w:tcBorders>
            <w:noWrap/>
          </w:tcPr>
          <w:p w14:paraId="67F6A020" w14:textId="77777777" w:rsidR="0002471A" w:rsidRPr="00041A76" w:rsidRDefault="0002471A" w:rsidP="002F3C17">
            <w:pPr>
              <w:pStyle w:val="ExhibitText"/>
              <w:jc w:val="right"/>
            </w:pPr>
          </w:p>
        </w:tc>
        <w:tc>
          <w:tcPr>
            <w:tcW w:w="394" w:type="pct"/>
            <w:tcBorders>
              <w:top w:val="single" w:sz="4" w:space="0" w:color="auto"/>
              <w:right w:val="single" w:sz="4" w:space="0" w:color="auto"/>
            </w:tcBorders>
            <w:noWrap/>
          </w:tcPr>
          <w:p w14:paraId="7B69C742" w14:textId="77777777" w:rsidR="0002471A" w:rsidRPr="00041A76" w:rsidRDefault="0002471A" w:rsidP="002F3C17">
            <w:pPr>
              <w:pStyle w:val="ExhibitText"/>
              <w:jc w:val="right"/>
            </w:pPr>
          </w:p>
        </w:tc>
        <w:tc>
          <w:tcPr>
            <w:tcW w:w="394" w:type="pct"/>
            <w:tcBorders>
              <w:top w:val="single" w:sz="4" w:space="0" w:color="auto"/>
              <w:left w:val="single" w:sz="4" w:space="0" w:color="auto"/>
            </w:tcBorders>
            <w:noWrap/>
          </w:tcPr>
          <w:p w14:paraId="240E34CD" w14:textId="77777777" w:rsidR="0002471A" w:rsidRPr="00041A76" w:rsidRDefault="0002471A" w:rsidP="002F3C17">
            <w:pPr>
              <w:pStyle w:val="ExhibitText"/>
              <w:jc w:val="right"/>
            </w:pPr>
          </w:p>
        </w:tc>
        <w:tc>
          <w:tcPr>
            <w:tcW w:w="394" w:type="pct"/>
            <w:tcBorders>
              <w:top w:val="single" w:sz="4" w:space="0" w:color="auto"/>
            </w:tcBorders>
            <w:noWrap/>
          </w:tcPr>
          <w:p w14:paraId="500C5FD5" w14:textId="77777777" w:rsidR="0002471A" w:rsidRPr="00041A76" w:rsidRDefault="0002471A" w:rsidP="002F3C17">
            <w:pPr>
              <w:pStyle w:val="ExhibitText"/>
              <w:jc w:val="right"/>
            </w:pPr>
          </w:p>
        </w:tc>
        <w:tc>
          <w:tcPr>
            <w:tcW w:w="394" w:type="pct"/>
            <w:tcBorders>
              <w:top w:val="single" w:sz="4" w:space="0" w:color="auto"/>
              <w:right w:val="double" w:sz="4" w:space="0" w:color="auto"/>
            </w:tcBorders>
            <w:noWrap/>
          </w:tcPr>
          <w:p w14:paraId="05C55389" w14:textId="77777777" w:rsidR="0002471A" w:rsidRPr="00041A76" w:rsidRDefault="0002471A" w:rsidP="002F3C17">
            <w:pPr>
              <w:pStyle w:val="ExhibitText"/>
              <w:jc w:val="right"/>
            </w:pPr>
          </w:p>
        </w:tc>
        <w:tc>
          <w:tcPr>
            <w:tcW w:w="394" w:type="pct"/>
            <w:tcBorders>
              <w:top w:val="single" w:sz="4" w:space="0" w:color="auto"/>
              <w:left w:val="double" w:sz="4" w:space="0" w:color="auto"/>
            </w:tcBorders>
            <w:noWrap/>
          </w:tcPr>
          <w:p w14:paraId="7E226A7C" w14:textId="77777777" w:rsidR="0002471A" w:rsidRPr="00041A76" w:rsidRDefault="0002471A" w:rsidP="002F3C17">
            <w:pPr>
              <w:pStyle w:val="ExhibitText"/>
              <w:jc w:val="right"/>
            </w:pPr>
          </w:p>
        </w:tc>
        <w:tc>
          <w:tcPr>
            <w:tcW w:w="394" w:type="pct"/>
            <w:tcBorders>
              <w:top w:val="single" w:sz="4" w:space="0" w:color="auto"/>
              <w:right w:val="single" w:sz="4" w:space="0" w:color="auto"/>
            </w:tcBorders>
            <w:noWrap/>
          </w:tcPr>
          <w:p w14:paraId="095C0E56" w14:textId="77777777" w:rsidR="0002471A" w:rsidRPr="00041A76" w:rsidRDefault="0002471A" w:rsidP="002F3C17">
            <w:pPr>
              <w:pStyle w:val="ExhibitText"/>
              <w:jc w:val="right"/>
            </w:pPr>
          </w:p>
        </w:tc>
        <w:tc>
          <w:tcPr>
            <w:tcW w:w="394" w:type="pct"/>
            <w:tcBorders>
              <w:top w:val="single" w:sz="4" w:space="0" w:color="auto"/>
              <w:left w:val="single" w:sz="4" w:space="0" w:color="auto"/>
            </w:tcBorders>
            <w:noWrap/>
          </w:tcPr>
          <w:p w14:paraId="2B9EB350" w14:textId="77777777" w:rsidR="0002471A" w:rsidRPr="00041A76" w:rsidRDefault="0002471A" w:rsidP="002F3C17">
            <w:pPr>
              <w:pStyle w:val="ExhibitText"/>
              <w:jc w:val="right"/>
            </w:pPr>
          </w:p>
        </w:tc>
        <w:tc>
          <w:tcPr>
            <w:tcW w:w="394" w:type="pct"/>
            <w:tcBorders>
              <w:top w:val="single" w:sz="4" w:space="0" w:color="auto"/>
            </w:tcBorders>
            <w:noWrap/>
          </w:tcPr>
          <w:p w14:paraId="0251D524" w14:textId="77777777" w:rsidR="0002471A" w:rsidRPr="00041A76" w:rsidRDefault="0002471A" w:rsidP="002F3C17">
            <w:pPr>
              <w:pStyle w:val="ExhibitText"/>
              <w:jc w:val="right"/>
            </w:pPr>
          </w:p>
        </w:tc>
        <w:tc>
          <w:tcPr>
            <w:tcW w:w="395" w:type="pct"/>
            <w:tcBorders>
              <w:top w:val="single" w:sz="4" w:space="0" w:color="auto"/>
            </w:tcBorders>
            <w:noWrap/>
          </w:tcPr>
          <w:p w14:paraId="186A67B9" w14:textId="77777777" w:rsidR="0002471A" w:rsidRPr="00041A76" w:rsidRDefault="0002471A" w:rsidP="002F3C17">
            <w:pPr>
              <w:pStyle w:val="ExhibitText"/>
              <w:jc w:val="right"/>
            </w:pPr>
          </w:p>
        </w:tc>
      </w:tr>
      <w:tr w:rsidR="00DE2DE2" w:rsidRPr="00041A76" w14:paraId="78AEF78F"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1059" w:type="pct"/>
            <w:shd w:val="clear" w:color="auto" w:fill="auto"/>
            <w:noWrap/>
            <w:hideMark/>
          </w:tcPr>
          <w:p w14:paraId="52D1F974" w14:textId="77777777" w:rsidR="006D61EA" w:rsidRPr="00041A76" w:rsidRDefault="006D61EA" w:rsidP="009A6B9D">
            <w:pPr>
              <w:pStyle w:val="ExhibitText"/>
              <w:jc w:val="left"/>
            </w:pPr>
            <w:r w:rsidRPr="00041A76">
              <w:t>Retail</w:t>
            </w:r>
          </w:p>
        </w:tc>
        <w:tc>
          <w:tcPr>
            <w:tcW w:w="394" w:type="pct"/>
            <w:shd w:val="clear" w:color="auto" w:fill="auto"/>
            <w:noWrap/>
            <w:hideMark/>
          </w:tcPr>
          <w:p w14:paraId="5C5BC9C8" w14:textId="77777777" w:rsidR="006D61EA" w:rsidRPr="00041A76" w:rsidRDefault="006D61EA" w:rsidP="002F3C17">
            <w:pPr>
              <w:pStyle w:val="ExhibitText"/>
              <w:jc w:val="right"/>
            </w:pPr>
            <w:r w:rsidRPr="00041A76">
              <w:t>13,422</w:t>
            </w:r>
          </w:p>
        </w:tc>
        <w:tc>
          <w:tcPr>
            <w:tcW w:w="394" w:type="pct"/>
            <w:tcBorders>
              <w:right w:val="single" w:sz="4" w:space="0" w:color="auto"/>
            </w:tcBorders>
            <w:shd w:val="clear" w:color="auto" w:fill="auto"/>
            <w:noWrap/>
            <w:hideMark/>
          </w:tcPr>
          <w:p w14:paraId="4858D40C" w14:textId="5477B957" w:rsidR="006D61EA" w:rsidRPr="00041A76" w:rsidRDefault="006D61EA" w:rsidP="002F3C17">
            <w:pPr>
              <w:pStyle w:val="ExhibitText"/>
              <w:jc w:val="right"/>
            </w:pPr>
            <w:r w:rsidRPr="00041A76">
              <w:t>67.00</w:t>
            </w:r>
          </w:p>
        </w:tc>
        <w:tc>
          <w:tcPr>
            <w:tcW w:w="394" w:type="pct"/>
            <w:tcBorders>
              <w:left w:val="single" w:sz="4" w:space="0" w:color="auto"/>
            </w:tcBorders>
            <w:shd w:val="clear" w:color="auto" w:fill="auto"/>
            <w:noWrap/>
            <w:hideMark/>
          </w:tcPr>
          <w:p w14:paraId="12CBBAC3" w14:textId="77777777" w:rsidR="006D61EA" w:rsidRPr="00041A76" w:rsidRDefault="006D61EA" w:rsidP="002F3C17">
            <w:pPr>
              <w:pStyle w:val="ExhibitText"/>
              <w:jc w:val="right"/>
            </w:pPr>
            <w:r w:rsidRPr="00041A76">
              <w:t>26,970</w:t>
            </w:r>
          </w:p>
        </w:tc>
        <w:tc>
          <w:tcPr>
            <w:tcW w:w="394" w:type="pct"/>
            <w:shd w:val="clear" w:color="auto" w:fill="auto"/>
            <w:noWrap/>
            <w:hideMark/>
          </w:tcPr>
          <w:p w14:paraId="2CC87B9F" w14:textId="77777777" w:rsidR="006D61EA" w:rsidRPr="00041A76" w:rsidRDefault="006D61EA" w:rsidP="002F3C17">
            <w:pPr>
              <w:pStyle w:val="ExhibitText"/>
              <w:jc w:val="right"/>
            </w:pPr>
            <w:r w:rsidRPr="00041A76">
              <w:t>4,339</w:t>
            </w:r>
          </w:p>
        </w:tc>
        <w:tc>
          <w:tcPr>
            <w:tcW w:w="394" w:type="pct"/>
            <w:tcBorders>
              <w:right w:val="double" w:sz="4" w:space="0" w:color="auto"/>
            </w:tcBorders>
            <w:shd w:val="clear" w:color="auto" w:fill="auto"/>
            <w:noWrap/>
            <w:hideMark/>
          </w:tcPr>
          <w:p w14:paraId="223B3FC1" w14:textId="3AFD1F68" w:rsidR="006D61EA" w:rsidRPr="00041A76" w:rsidRDefault="006D61EA" w:rsidP="002F3C17">
            <w:pPr>
              <w:pStyle w:val="ExhibitText"/>
              <w:jc w:val="right"/>
            </w:pPr>
            <w:r w:rsidRPr="00041A76">
              <w:t>78.10</w:t>
            </w:r>
          </w:p>
        </w:tc>
        <w:tc>
          <w:tcPr>
            <w:tcW w:w="394" w:type="pct"/>
            <w:tcBorders>
              <w:left w:val="double" w:sz="4" w:space="0" w:color="auto"/>
            </w:tcBorders>
            <w:shd w:val="clear" w:color="auto" w:fill="auto"/>
            <w:noWrap/>
            <w:hideMark/>
          </w:tcPr>
          <w:p w14:paraId="5609A368" w14:textId="77777777" w:rsidR="006D61EA" w:rsidRPr="00041A76" w:rsidRDefault="006D61EA" w:rsidP="002F3C17">
            <w:pPr>
              <w:pStyle w:val="ExhibitText"/>
              <w:jc w:val="right"/>
            </w:pPr>
            <w:r w:rsidRPr="00041A76">
              <w:t>20,216</w:t>
            </w:r>
          </w:p>
        </w:tc>
        <w:tc>
          <w:tcPr>
            <w:tcW w:w="394" w:type="pct"/>
            <w:tcBorders>
              <w:right w:val="single" w:sz="4" w:space="0" w:color="auto"/>
            </w:tcBorders>
            <w:shd w:val="clear" w:color="auto" w:fill="auto"/>
            <w:noWrap/>
            <w:hideMark/>
          </w:tcPr>
          <w:p w14:paraId="4ACEB3E2" w14:textId="5D2449B8" w:rsidR="006D61EA" w:rsidRPr="00041A76" w:rsidRDefault="006D61EA" w:rsidP="002F3C17">
            <w:pPr>
              <w:pStyle w:val="ExhibitText"/>
              <w:jc w:val="right"/>
            </w:pPr>
            <w:r w:rsidRPr="00041A76">
              <w:t>78.20</w:t>
            </w:r>
          </w:p>
        </w:tc>
        <w:tc>
          <w:tcPr>
            <w:tcW w:w="394" w:type="pct"/>
            <w:tcBorders>
              <w:left w:val="single" w:sz="4" w:space="0" w:color="auto"/>
            </w:tcBorders>
            <w:shd w:val="clear" w:color="auto" w:fill="auto"/>
            <w:noWrap/>
            <w:hideMark/>
          </w:tcPr>
          <w:p w14:paraId="76D7BC8A" w14:textId="77777777" w:rsidR="006D61EA" w:rsidRPr="00041A76" w:rsidRDefault="006D61EA" w:rsidP="002F3C17">
            <w:pPr>
              <w:pStyle w:val="ExhibitText"/>
              <w:jc w:val="right"/>
            </w:pPr>
            <w:r w:rsidRPr="00041A76">
              <w:t>33,461</w:t>
            </w:r>
          </w:p>
        </w:tc>
        <w:tc>
          <w:tcPr>
            <w:tcW w:w="394" w:type="pct"/>
            <w:shd w:val="clear" w:color="auto" w:fill="auto"/>
            <w:noWrap/>
            <w:hideMark/>
          </w:tcPr>
          <w:p w14:paraId="4D68F95C" w14:textId="77777777" w:rsidR="006D61EA" w:rsidRPr="00041A76" w:rsidRDefault="006D61EA" w:rsidP="002F3C17">
            <w:pPr>
              <w:pStyle w:val="ExhibitText"/>
              <w:jc w:val="right"/>
            </w:pPr>
            <w:r w:rsidRPr="00041A76">
              <w:t>5,383</w:t>
            </w:r>
          </w:p>
        </w:tc>
        <w:tc>
          <w:tcPr>
            <w:tcW w:w="395" w:type="pct"/>
            <w:shd w:val="clear" w:color="auto" w:fill="auto"/>
            <w:noWrap/>
            <w:hideMark/>
          </w:tcPr>
          <w:p w14:paraId="4F3328BF" w14:textId="7271C88D" w:rsidR="006D61EA" w:rsidRPr="00041A76" w:rsidRDefault="006D61EA" w:rsidP="002F3C17">
            <w:pPr>
              <w:pStyle w:val="ExhibitText"/>
              <w:jc w:val="right"/>
            </w:pPr>
            <w:r w:rsidRPr="00041A76">
              <w:t>82.70</w:t>
            </w:r>
          </w:p>
        </w:tc>
      </w:tr>
      <w:tr w:rsidR="005754D0" w:rsidRPr="00041A76" w14:paraId="431E77A9" w14:textId="77777777" w:rsidTr="00F2675C">
        <w:trPr>
          <w:trHeight w:val="360"/>
        </w:trPr>
        <w:tc>
          <w:tcPr>
            <w:tcW w:w="1059" w:type="pct"/>
            <w:noWrap/>
            <w:hideMark/>
          </w:tcPr>
          <w:p w14:paraId="6B5C106C" w14:textId="77777777" w:rsidR="006D61EA" w:rsidRPr="00041A76" w:rsidRDefault="006D61EA" w:rsidP="009A6B9D">
            <w:pPr>
              <w:pStyle w:val="ExhibitText"/>
              <w:jc w:val="left"/>
            </w:pPr>
            <w:r w:rsidRPr="00041A76">
              <w:t>Wholesale</w:t>
            </w:r>
          </w:p>
        </w:tc>
        <w:tc>
          <w:tcPr>
            <w:tcW w:w="394" w:type="pct"/>
            <w:noWrap/>
            <w:hideMark/>
          </w:tcPr>
          <w:p w14:paraId="45EEF998" w14:textId="77777777" w:rsidR="006D61EA" w:rsidRPr="00041A76" w:rsidRDefault="006D61EA" w:rsidP="002F3C17">
            <w:pPr>
              <w:pStyle w:val="ExhibitText"/>
              <w:jc w:val="right"/>
            </w:pPr>
            <w:r w:rsidRPr="00041A76">
              <w:t>2,215</w:t>
            </w:r>
          </w:p>
        </w:tc>
        <w:tc>
          <w:tcPr>
            <w:tcW w:w="394" w:type="pct"/>
            <w:tcBorders>
              <w:right w:val="single" w:sz="4" w:space="0" w:color="auto"/>
            </w:tcBorders>
            <w:noWrap/>
            <w:hideMark/>
          </w:tcPr>
          <w:p w14:paraId="7BEA0785" w14:textId="565BFD4A" w:rsidR="006D61EA" w:rsidRPr="00041A76" w:rsidRDefault="006D61EA" w:rsidP="002F3C17">
            <w:pPr>
              <w:pStyle w:val="ExhibitText"/>
              <w:jc w:val="right"/>
            </w:pPr>
            <w:r w:rsidRPr="00041A76">
              <w:t>11.10</w:t>
            </w:r>
          </w:p>
        </w:tc>
        <w:tc>
          <w:tcPr>
            <w:tcW w:w="394" w:type="pct"/>
            <w:tcBorders>
              <w:left w:val="single" w:sz="4" w:space="0" w:color="auto"/>
            </w:tcBorders>
            <w:noWrap/>
            <w:hideMark/>
          </w:tcPr>
          <w:p w14:paraId="5C2F6835" w14:textId="77777777" w:rsidR="006D61EA" w:rsidRPr="00041A76" w:rsidRDefault="006D61EA" w:rsidP="002F3C17">
            <w:pPr>
              <w:pStyle w:val="ExhibitText"/>
              <w:jc w:val="right"/>
            </w:pPr>
            <w:r w:rsidRPr="00041A76">
              <w:t>2,197</w:t>
            </w:r>
          </w:p>
        </w:tc>
        <w:tc>
          <w:tcPr>
            <w:tcW w:w="394" w:type="pct"/>
            <w:noWrap/>
            <w:hideMark/>
          </w:tcPr>
          <w:p w14:paraId="21BDB2DD" w14:textId="77777777" w:rsidR="006D61EA" w:rsidRPr="00041A76" w:rsidRDefault="006D61EA" w:rsidP="002F3C17">
            <w:pPr>
              <w:pStyle w:val="ExhibitText"/>
              <w:jc w:val="right"/>
            </w:pPr>
            <w:r w:rsidRPr="00041A76">
              <w:t>353</w:t>
            </w:r>
          </w:p>
        </w:tc>
        <w:tc>
          <w:tcPr>
            <w:tcW w:w="394" w:type="pct"/>
            <w:tcBorders>
              <w:right w:val="double" w:sz="4" w:space="0" w:color="auto"/>
            </w:tcBorders>
            <w:noWrap/>
            <w:hideMark/>
          </w:tcPr>
          <w:p w14:paraId="05839A8F" w14:textId="47A0232A" w:rsidR="006D61EA" w:rsidRPr="00041A76" w:rsidRDefault="006D61EA" w:rsidP="002F3C17">
            <w:pPr>
              <w:pStyle w:val="ExhibitText"/>
              <w:jc w:val="right"/>
            </w:pPr>
            <w:r w:rsidRPr="00041A76">
              <w:t>6.40</w:t>
            </w:r>
          </w:p>
        </w:tc>
        <w:tc>
          <w:tcPr>
            <w:tcW w:w="394" w:type="pct"/>
            <w:tcBorders>
              <w:left w:val="double" w:sz="4" w:space="0" w:color="auto"/>
            </w:tcBorders>
            <w:noWrap/>
            <w:hideMark/>
          </w:tcPr>
          <w:p w14:paraId="24CD245C" w14:textId="77777777" w:rsidR="006D61EA" w:rsidRPr="00041A76" w:rsidRDefault="006D61EA" w:rsidP="002F3C17">
            <w:pPr>
              <w:pStyle w:val="ExhibitText"/>
              <w:jc w:val="right"/>
            </w:pPr>
            <w:r w:rsidRPr="00041A76">
              <w:t>1,709</w:t>
            </w:r>
          </w:p>
        </w:tc>
        <w:tc>
          <w:tcPr>
            <w:tcW w:w="394" w:type="pct"/>
            <w:tcBorders>
              <w:right w:val="single" w:sz="4" w:space="0" w:color="auto"/>
            </w:tcBorders>
            <w:noWrap/>
            <w:hideMark/>
          </w:tcPr>
          <w:p w14:paraId="6CF8B10A" w14:textId="1BEFC7DA" w:rsidR="006D61EA" w:rsidRPr="00041A76" w:rsidRDefault="006D61EA" w:rsidP="002F3C17">
            <w:pPr>
              <w:pStyle w:val="ExhibitText"/>
              <w:jc w:val="right"/>
            </w:pPr>
            <w:r w:rsidRPr="00041A76">
              <w:t>6.60</w:t>
            </w:r>
          </w:p>
        </w:tc>
        <w:tc>
          <w:tcPr>
            <w:tcW w:w="394" w:type="pct"/>
            <w:tcBorders>
              <w:left w:val="single" w:sz="4" w:space="0" w:color="auto"/>
            </w:tcBorders>
            <w:noWrap/>
            <w:hideMark/>
          </w:tcPr>
          <w:p w14:paraId="1BACC1C0" w14:textId="77777777" w:rsidR="006D61EA" w:rsidRPr="00041A76" w:rsidRDefault="006D61EA" w:rsidP="002F3C17">
            <w:pPr>
              <w:pStyle w:val="ExhibitText"/>
              <w:jc w:val="right"/>
            </w:pPr>
            <w:r w:rsidRPr="00041A76">
              <w:t>1,706</w:t>
            </w:r>
          </w:p>
        </w:tc>
        <w:tc>
          <w:tcPr>
            <w:tcW w:w="394" w:type="pct"/>
            <w:noWrap/>
            <w:hideMark/>
          </w:tcPr>
          <w:p w14:paraId="4D9192A1" w14:textId="77777777" w:rsidR="006D61EA" w:rsidRPr="00041A76" w:rsidRDefault="006D61EA" w:rsidP="002F3C17">
            <w:pPr>
              <w:pStyle w:val="ExhibitText"/>
              <w:jc w:val="right"/>
            </w:pPr>
            <w:r w:rsidRPr="00041A76">
              <w:t>274</w:t>
            </w:r>
          </w:p>
        </w:tc>
        <w:tc>
          <w:tcPr>
            <w:tcW w:w="395" w:type="pct"/>
            <w:noWrap/>
            <w:hideMark/>
          </w:tcPr>
          <w:p w14:paraId="64B306F3" w14:textId="4CDA7A84" w:rsidR="006D61EA" w:rsidRPr="00041A76" w:rsidRDefault="006D61EA" w:rsidP="002F3C17">
            <w:pPr>
              <w:pStyle w:val="ExhibitText"/>
              <w:jc w:val="right"/>
            </w:pPr>
            <w:r w:rsidRPr="00041A76">
              <w:t>4.20</w:t>
            </w:r>
          </w:p>
        </w:tc>
      </w:tr>
      <w:tr w:rsidR="00DE2DE2" w:rsidRPr="00041A76" w14:paraId="3017F342"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1059" w:type="pct"/>
            <w:shd w:val="clear" w:color="auto" w:fill="auto"/>
            <w:noWrap/>
            <w:hideMark/>
          </w:tcPr>
          <w:p w14:paraId="02E17101" w14:textId="77777777" w:rsidR="006D61EA" w:rsidRPr="00041A76" w:rsidRDefault="006D61EA" w:rsidP="009A6B9D">
            <w:pPr>
              <w:pStyle w:val="ExhibitText"/>
              <w:jc w:val="left"/>
            </w:pPr>
            <w:r w:rsidRPr="00041A76">
              <w:t>Total China</w:t>
            </w:r>
            <w:r w:rsidR="000B27C5" w:rsidRPr="00041A76">
              <w:t xml:space="preserve"> </w:t>
            </w:r>
            <w:r w:rsidRPr="00041A76">
              <w:t>commerce</w:t>
            </w:r>
          </w:p>
        </w:tc>
        <w:tc>
          <w:tcPr>
            <w:tcW w:w="394" w:type="pct"/>
            <w:shd w:val="clear" w:color="auto" w:fill="auto"/>
            <w:noWrap/>
            <w:hideMark/>
          </w:tcPr>
          <w:p w14:paraId="1DB8E857" w14:textId="77777777" w:rsidR="006D61EA" w:rsidRPr="00041A76" w:rsidRDefault="006D61EA" w:rsidP="002F3C17">
            <w:pPr>
              <w:pStyle w:val="ExhibitText"/>
              <w:jc w:val="right"/>
            </w:pPr>
            <w:r w:rsidRPr="00041A76">
              <w:t>15,637</w:t>
            </w:r>
          </w:p>
        </w:tc>
        <w:tc>
          <w:tcPr>
            <w:tcW w:w="394" w:type="pct"/>
            <w:tcBorders>
              <w:right w:val="single" w:sz="4" w:space="0" w:color="auto"/>
            </w:tcBorders>
            <w:shd w:val="clear" w:color="auto" w:fill="auto"/>
            <w:noWrap/>
            <w:hideMark/>
          </w:tcPr>
          <w:p w14:paraId="59B61531" w14:textId="5FCFDED2" w:rsidR="006D61EA" w:rsidRPr="00041A76" w:rsidRDefault="006D61EA" w:rsidP="002F3C17">
            <w:pPr>
              <w:pStyle w:val="ExhibitText"/>
              <w:jc w:val="right"/>
            </w:pPr>
            <w:r w:rsidRPr="00041A76">
              <w:t>78.10</w:t>
            </w:r>
          </w:p>
        </w:tc>
        <w:tc>
          <w:tcPr>
            <w:tcW w:w="394" w:type="pct"/>
            <w:tcBorders>
              <w:left w:val="single" w:sz="4" w:space="0" w:color="auto"/>
            </w:tcBorders>
            <w:shd w:val="clear" w:color="auto" w:fill="auto"/>
            <w:noWrap/>
            <w:hideMark/>
          </w:tcPr>
          <w:p w14:paraId="3957E380" w14:textId="77777777" w:rsidR="006D61EA" w:rsidRPr="00041A76" w:rsidRDefault="006D61EA" w:rsidP="002F3C17">
            <w:pPr>
              <w:pStyle w:val="ExhibitText"/>
              <w:jc w:val="right"/>
            </w:pPr>
            <w:r w:rsidRPr="00041A76">
              <w:t>29,167</w:t>
            </w:r>
          </w:p>
        </w:tc>
        <w:tc>
          <w:tcPr>
            <w:tcW w:w="394" w:type="pct"/>
            <w:shd w:val="clear" w:color="auto" w:fill="auto"/>
            <w:noWrap/>
            <w:hideMark/>
          </w:tcPr>
          <w:p w14:paraId="7BBF7226" w14:textId="77777777" w:rsidR="006D61EA" w:rsidRPr="00041A76" w:rsidRDefault="006D61EA" w:rsidP="002F3C17">
            <w:pPr>
              <w:pStyle w:val="ExhibitText"/>
              <w:jc w:val="right"/>
            </w:pPr>
            <w:r w:rsidRPr="00041A76">
              <w:t>4,692</w:t>
            </w:r>
          </w:p>
        </w:tc>
        <w:tc>
          <w:tcPr>
            <w:tcW w:w="394" w:type="pct"/>
            <w:tcBorders>
              <w:right w:val="double" w:sz="4" w:space="0" w:color="auto"/>
            </w:tcBorders>
            <w:shd w:val="clear" w:color="auto" w:fill="auto"/>
            <w:noWrap/>
            <w:hideMark/>
          </w:tcPr>
          <w:p w14:paraId="7A8B1509" w14:textId="307FB345" w:rsidR="006D61EA" w:rsidRPr="00041A76" w:rsidRDefault="006D61EA" w:rsidP="002F3C17">
            <w:pPr>
              <w:pStyle w:val="ExhibitText"/>
              <w:jc w:val="right"/>
            </w:pPr>
            <w:r w:rsidRPr="00041A76">
              <w:t>84.50</w:t>
            </w:r>
          </w:p>
        </w:tc>
        <w:tc>
          <w:tcPr>
            <w:tcW w:w="394" w:type="pct"/>
            <w:tcBorders>
              <w:left w:val="double" w:sz="4" w:space="0" w:color="auto"/>
            </w:tcBorders>
            <w:shd w:val="clear" w:color="auto" w:fill="auto"/>
            <w:noWrap/>
            <w:hideMark/>
          </w:tcPr>
          <w:p w14:paraId="44B2F693" w14:textId="77777777" w:rsidR="006D61EA" w:rsidRPr="00041A76" w:rsidRDefault="006D61EA" w:rsidP="002F3C17">
            <w:pPr>
              <w:pStyle w:val="ExhibitText"/>
              <w:jc w:val="right"/>
            </w:pPr>
            <w:r w:rsidRPr="00041A76">
              <w:t>21,925</w:t>
            </w:r>
          </w:p>
        </w:tc>
        <w:tc>
          <w:tcPr>
            <w:tcW w:w="394" w:type="pct"/>
            <w:tcBorders>
              <w:right w:val="single" w:sz="4" w:space="0" w:color="auto"/>
            </w:tcBorders>
            <w:shd w:val="clear" w:color="auto" w:fill="auto"/>
            <w:noWrap/>
            <w:hideMark/>
          </w:tcPr>
          <w:p w14:paraId="20AA4C6E" w14:textId="463B9D79" w:rsidR="006D61EA" w:rsidRPr="00041A76" w:rsidRDefault="006D61EA" w:rsidP="002F3C17">
            <w:pPr>
              <w:pStyle w:val="ExhibitText"/>
              <w:jc w:val="right"/>
            </w:pPr>
            <w:r w:rsidRPr="00041A76">
              <w:t>84.80</w:t>
            </w:r>
          </w:p>
        </w:tc>
        <w:tc>
          <w:tcPr>
            <w:tcW w:w="394" w:type="pct"/>
            <w:tcBorders>
              <w:left w:val="single" w:sz="4" w:space="0" w:color="auto"/>
            </w:tcBorders>
            <w:shd w:val="clear" w:color="auto" w:fill="auto"/>
            <w:noWrap/>
            <w:hideMark/>
          </w:tcPr>
          <w:p w14:paraId="4042E86F" w14:textId="77777777" w:rsidR="006D61EA" w:rsidRPr="00041A76" w:rsidRDefault="006D61EA" w:rsidP="002F3C17">
            <w:pPr>
              <w:pStyle w:val="ExhibitText"/>
              <w:jc w:val="right"/>
            </w:pPr>
            <w:r w:rsidRPr="00041A76">
              <w:t>35,167</w:t>
            </w:r>
          </w:p>
        </w:tc>
        <w:tc>
          <w:tcPr>
            <w:tcW w:w="394" w:type="pct"/>
            <w:shd w:val="clear" w:color="auto" w:fill="auto"/>
            <w:noWrap/>
            <w:hideMark/>
          </w:tcPr>
          <w:p w14:paraId="61DBC74F" w14:textId="77777777" w:rsidR="006D61EA" w:rsidRPr="00041A76" w:rsidRDefault="006D61EA" w:rsidP="002F3C17">
            <w:pPr>
              <w:pStyle w:val="ExhibitText"/>
              <w:jc w:val="right"/>
            </w:pPr>
            <w:r w:rsidRPr="00041A76">
              <w:t>5,657</w:t>
            </w:r>
          </w:p>
        </w:tc>
        <w:tc>
          <w:tcPr>
            <w:tcW w:w="395" w:type="pct"/>
            <w:shd w:val="clear" w:color="auto" w:fill="auto"/>
            <w:noWrap/>
            <w:hideMark/>
          </w:tcPr>
          <w:p w14:paraId="477A0B7F" w14:textId="61982C20" w:rsidR="006D61EA" w:rsidRPr="00041A76" w:rsidRDefault="006D61EA" w:rsidP="002F3C17">
            <w:pPr>
              <w:pStyle w:val="ExhibitText"/>
              <w:jc w:val="right"/>
            </w:pPr>
            <w:r w:rsidRPr="00041A76">
              <w:t>86.90</w:t>
            </w:r>
          </w:p>
        </w:tc>
      </w:tr>
      <w:tr w:rsidR="005754D0" w:rsidRPr="00041A76" w14:paraId="6796BD22" w14:textId="77777777" w:rsidTr="00F2675C">
        <w:trPr>
          <w:trHeight w:val="360"/>
        </w:trPr>
        <w:tc>
          <w:tcPr>
            <w:tcW w:w="1059" w:type="pct"/>
            <w:noWrap/>
          </w:tcPr>
          <w:p w14:paraId="41ABF5DA" w14:textId="089255A0" w:rsidR="0002471A" w:rsidRPr="00041A76" w:rsidRDefault="0002471A" w:rsidP="009A6B9D">
            <w:pPr>
              <w:pStyle w:val="ExhibitText"/>
              <w:jc w:val="left"/>
            </w:pPr>
            <w:r w:rsidRPr="00041A76">
              <w:t>International commerce</w:t>
            </w:r>
          </w:p>
        </w:tc>
        <w:tc>
          <w:tcPr>
            <w:tcW w:w="394" w:type="pct"/>
            <w:noWrap/>
          </w:tcPr>
          <w:p w14:paraId="7D038518" w14:textId="77777777" w:rsidR="0002471A" w:rsidRPr="00041A76" w:rsidRDefault="0002471A" w:rsidP="002F3C17">
            <w:pPr>
              <w:pStyle w:val="ExhibitText"/>
              <w:jc w:val="right"/>
            </w:pPr>
          </w:p>
        </w:tc>
        <w:tc>
          <w:tcPr>
            <w:tcW w:w="394" w:type="pct"/>
            <w:tcBorders>
              <w:right w:val="single" w:sz="4" w:space="0" w:color="auto"/>
            </w:tcBorders>
            <w:noWrap/>
          </w:tcPr>
          <w:p w14:paraId="0B15EA99" w14:textId="77777777" w:rsidR="0002471A" w:rsidRPr="00041A76" w:rsidRDefault="0002471A" w:rsidP="002F3C17">
            <w:pPr>
              <w:pStyle w:val="ExhibitText"/>
              <w:jc w:val="right"/>
            </w:pPr>
          </w:p>
        </w:tc>
        <w:tc>
          <w:tcPr>
            <w:tcW w:w="394" w:type="pct"/>
            <w:tcBorders>
              <w:left w:val="single" w:sz="4" w:space="0" w:color="auto"/>
            </w:tcBorders>
            <w:noWrap/>
          </w:tcPr>
          <w:p w14:paraId="62D5B33E" w14:textId="77777777" w:rsidR="0002471A" w:rsidRPr="00041A76" w:rsidRDefault="0002471A" w:rsidP="002F3C17">
            <w:pPr>
              <w:pStyle w:val="ExhibitText"/>
              <w:jc w:val="right"/>
            </w:pPr>
          </w:p>
        </w:tc>
        <w:tc>
          <w:tcPr>
            <w:tcW w:w="394" w:type="pct"/>
            <w:noWrap/>
          </w:tcPr>
          <w:p w14:paraId="3B4A2C30" w14:textId="77777777" w:rsidR="0002471A" w:rsidRPr="00041A76" w:rsidRDefault="0002471A" w:rsidP="002F3C17">
            <w:pPr>
              <w:pStyle w:val="ExhibitText"/>
              <w:jc w:val="right"/>
            </w:pPr>
          </w:p>
        </w:tc>
        <w:tc>
          <w:tcPr>
            <w:tcW w:w="394" w:type="pct"/>
            <w:tcBorders>
              <w:right w:val="double" w:sz="4" w:space="0" w:color="auto"/>
            </w:tcBorders>
            <w:noWrap/>
          </w:tcPr>
          <w:p w14:paraId="278DFF09" w14:textId="77777777" w:rsidR="0002471A" w:rsidRPr="00041A76" w:rsidRDefault="0002471A" w:rsidP="0017026D">
            <w:pPr>
              <w:pStyle w:val="ExhibitText"/>
              <w:jc w:val="center"/>
            </w:pPr>
          </w:p>
        </w:tc>
        <w:tc>
          <w:tcPr>
            <w:tcW w:w="394" w:type="pct"/>
            <w:tcBorders>
              <w:left w:val="double" w:sz="4" w:space="0" w:color="auto"/>
            </w:tcBorders>
            <w:noWrap/>
          </w:tcPr>
          <w:p w14:paraId="0D7DCEB2" w14:textId="77777777" w:rsidR="0002471A" w:rsidRPr="00041A76" w:rsidRDefault="0002471A" w:rsidP="002F3C17">
            <w:pPr>
              <w:pStyle w:val="ExhibitText"/>
              <w:jc w:val="right"/>
            </w:pPr>
          </w:p>
        </w:tc>
        <w:tc>
          <w:tcPr>
            <w:tcW w:w="394" w:type="pct"/>
            <w:tcBorders>
              <w:right w:val="single" w:sz="4" w:space="0" w:color="auto"/>
            </w:tcBorders>
            <w:noWrap/>
          </w:tcPr>
          <w:p w14:paraId="2E6F2EA6" w14:textId="77777777" w:rsidR="0002471A" w:rsidRPr="00041A76" w:rsidRDefault="0002471A" w:rsidP="002F3C17">
            <w:pPr>
              <w:pStyle w:val="ExhibitText"/>
              <w:jc w:val="right"/>
            </w:pPr>
          </w:p>
        </w:tc>
        <w:tc>
          <w:tcPr>
            <w:tcW w:w="394" w:type="pct"/>
            <w:tcBorders>
              <w:left w:val="single" w:sz="4" w:space="0" w:color="auto"/>
            </w:tcBorders>
            <w:noWrap/>
          </w:tcPr>
          <w:p w14:paraId="7A5D61AE" w14:textId="77777777" w:rsidR="0002471A" w:rsidRPr="00041A76" w:rsidRDefault="0002471A" w:rsidP="002F3C17">
            <w:pPr>
              <w:pStyle w:val="ExhibitText"/>
              <w:jc w:val="right"/>
            </w:pPr>
          </w:p>
        </w:tc>
        <w:tc>
          <w:tcPr>
            <w:tcW w:w="394" w:type="pct"/>
            <w:noWrap/>
          </w:tcPr>
          <w:p w14:paraId="6B794612" w14:textId="77777777" w:rsidR="0002471A" w:rsidRPr="00041A76" w:rsidRDefault="0002471A" w:rsidP="002F3C17">
            <w:pPr>
              <w:pStyle w:val="ExhibitText"/>
              <w:jc w:val="right"/>
            </w:pPr>
          </w:p>
        </w:tc>
        <w:tc>
          <w:tcPr>
            <w:tcW w:w="395" w:type="pct"/>
            <w:noWrap/>
          </w:tcPr>
          <w:p w14:paraId="2682161A" w14:textId="77777777" w:rsidR="0002471A" w:rsidRPr="00041A76" w:rsidRDefault="0002471A" w:rsidP="0017026D">
            <w:pPr>
              <w:pStyle w:val="ExhibitText"/>
              <w:jc w:val="center"/>
            </w:pPr>
          </w:p>
        </w:tc>
      </w:tr>
      <w:tr w:rsidR="00DE2DE2" w:rsidRPr="00041A76" w14:paraId="30EE2F08"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1059" w:type="pct"/>
            <w:shd w:val="clear" w:color="auto" w:fill="auto"/>
            <w:noWrap/>
            <w:hideMark/>
          </w:tcPr>
          <w:p w14:paraId="055EF033" w14:textId="77777777" w:rsidR="006D61EA" w:rsidRPr="00041A76" w:rsidRDefault="006D61EA" w:rsidP="009A6B9D">
            <w:pPr>
              <w:pStyle w:val="ExhibitText"/>
              <w:jc w:val="left"/>
            </w:pPr>
            <w:r w:rsidRPr="00041A76">
              <w:t>Retail</w:t>
            </w:r>
          </w:p>
        </w:tc>
        <w:tc>
          <w:tcPr>
            <w:tcW w:w="394" w:type="pct"/>
            <w:shd w:val="clear" w:color="auto" w:fill="auto"/>
            <w:noWrap/>
            <w:hideMark/>
          </w:tcPr>
          <w:p w14:paraId="2631792B" w14:textId="77777777" w:rsidR="006D61EA" w:rsidRPr="00041A76" w:rsidRDefault="006D61EA" w:rsidP="002F3C17">
            <w:pPr>
              <w:pStyle w:val="ExhibitText"/>
              <w:jc w:val="right"/>
            </w:pPr>
            <w:r w:rsidRPr="00041A76">
              <w:t>223</w:t>
            </w:r>
          </w:p>
        </w:tc>
        <w:tc>
          <w:tcPr>
            <w:tcW w:w="394" w:type="pct"/>
            <w:tcBorders>
              <w:right w:val="single" w:sz="4" w:space="0" w:color="auto"/>
            </w:tcBorders>
            <w:shd w:val="clear" w:color="auto" w:fill="auto"/>
            <w:noWrap/>
            <w:hideMark/>
          </w:tcPr>
          <w:p w14:paraId="530239A4" w14:textId="50E35287" w:rsidR="006D61EA" w:rsidRPr="00041A76" w:rsidRDefault="006D61EA" w:rsidP="002F3C17">
            <w:pPr>
              <w:pStyle w:val="ExhibitText"/>
              <w:jc w:val="right"/>
            </w:pPr>
            <w:r w:rsidRPr="00041A76">
              <w:t>1.10</w:t>
            </w:r>
          </w:p>
        </w:tc>
        <w:tc>
          <w:tcPr>
            <w:tcW w:w="394" w:type="pct"/>
            <w:tcBorders>
              <w:left w:val="single" w:sz="4" w:space="0" w:color="auto"/>
            </w:tcBorders>
            <w:shd w:val="clear" w:color="auto" w:fill="auto"/>
            <w:noWrap/>
            <w:hideMark/>
          </w:tcPr>
          <w:p w14:paraId="176A2C4F" w14:textId="77777777" w:rsidR="006D61EA" w:rsidRPr="00041A76" w:rsidRDefault="006D61EA" w:rsidP="002F3C17">
            <w:pPr>
              <w:pStyle w:val="ExhibitText"/>
              <w:jc w:val="right"/>
            </w:pPr>
            <w:r w:rsidRPr="00041A76">
              <w:t>392</w:t>
            </w:r>
          </w:p>
        </w:tc>
        <w:tc>
          <w:tcPr>
            <w:tcW w:w="394" w:type="pct"/>
            <w:shd w:val="clear" w:color="auto" w:fill="auto"/>
            <w:noWrap/>
            <w:hideMark/>
          </w:tcPr>
          <w:p w14:paraId="5F32A378" w14:textId="77777777" w:rsidR="006D61EA" w:rsidRPr="00041A76" w:rsidRDefault="006D61EA" w:rsidP="002F3C17">
            <w:pPr>
              <w:pStyle w:val="ExhibitText"/>
              <w:jc w:val="right"/>
            </w:pPr>
            <w:r w:rsidRPr="00041A76">
              <w:t>63</w:t>
            </w:r>
          </w:p>
        </w:tc>
        <w:tc>
          <w:tcPr>
            <w:tcW w:w="394" w:type="pct"/>
            <w:tcBorders>
              <w:right w:val="double" w:sz="4" w:space="0" w:color="auto"/>
            </w:tcBorders>
            <w:shd w:val="clear" w:color="auto" w:fill="auto"/>
            <w:noWrap/>
            <w:hideMark/>
          </w:tcPr>
          <w:p w14:paraId="34B62B74" w14:textId="3B3FBC19" w:rsidR="006D61EA" w:rsidRPr="00041A76" w:rsidRDefault="006D61EA" w:rsidP="002F3C17">
            <w:pPr>
              <w:pStyle w:val="ExhibitText"/>
              <w:jc w:val="right"/>
            </w:pPr>
            <w:r w:rsidRPr="00041A76">
              <w:t>1.10</w:t>
            </w:r>
          </w:p>
        </w:tc>
        <w:tc>
          <w:tcPr>
            <w:tcW w:w="394" w:type="pct"/>
            <w:tcBorders>
              <w:left w:val="double" w:sz="4" w:space="0" w:color="auto"/>
            </w:tcBorders>
            <w:shd w:val="clear" w:color="auto" w:fill="auto"/>
            <w:noWrap/>
            <w:hideMark/>
          </w:tcPr>
          <w:p w14:paraId="4BADDA74" w14:textId="77777777" w:rsidR="006D61EA" w:rsidRPr="00041A76" w:rsidRDefault="006D61EA" w:rsidP="002F3C17">
            <w:pPr>
              <w:pStyle w:val="ExhibitText"/>
              <w:jc w:val="right"/>
            </w:pPr>
            <w:r w:rsidRPr="00041A76">
              <w:t>264</w:t>
            </w:r>
          </w:p>
        </w:tc>
        <w:tc>
          <w:tcPr>
            <w:tcW w:w="394" w:type="pct"/>
            <w:tcBorders>
              <w:right w:val="single" w:sz="4" w:space="0" w:color="auto"/>
            </w:tcBorders>
            <w:shd w:val="clear" w:color="auto" w:fill="auto"/>
            <w:noWrap/>
            <w:hideMark/>
          </w:tcPr>
          <w:p w14:paraId="67A281C2" w14:textId="4C04BCDC" w:rsidR="006D61EA" w:rsidRPr="00041A76" w:rsidRDefault="006D61EA" w:rsidP="002F3C17">
            <w:pPr>
              <w:pStyle w:val="ExhibitText"/>
              <w:jc w:val="right"/>
            </w:pPr>
            <w:r w:rsidRPr="00041A76">
              <w:t>1.00</w:t>
            </w:r>
          </w:p>
        </w:tc>
        <w:tc>
          <w:tcPr>
            <w:tcW w:w="394" w:type="pct"/>
            <w:tcBorders>
              <w:left w:val="single" w:sz="4" w:space="0" w:color="auto"/>
            </w:tcBorders>
            <w:shd w:val="clear" w:color="auto" w:fill="auto"/>
            <w:noWrap/>
            <w:hideMark/>
          </w:tcPr>
          <w:p w14:paraId="6058E5B6" w14:textId="77777777" w:rsidR="006D61EA" w:rsidRPr="00041A76" w:rsidRDefault="006D61EA" w:rsidP="002F3C17">
            <w:pPr>
              <w:pStyle w:val="ExhibitText"/>
              <w:jc w:val="right"/>
            </w:pPr>
            <w:r w:rsidRPr="00041A76">
              <w:t>653</w:t>
            </w:r>
          </w:p>
        </w:tc>
        <w:tc>
          <w:tcPr>
            <w:tcW w:w="394" w:type="pct"/>
            <w:shd w:val="clear" w:color="auto" w:fill="auto"/>
            <w:noWrap/>
            <w:hideMark/>
          </w:tcPr>
          <w:p w14:paraId="4D716915" w14:textId="77777777" w:rsidR="006D61EA" w:rsidRPr="00041A76" w:rsidRDefault="006D61EA" w:rsidP="002F3C17">
            <w:pPr>
              <w:pStyle w:val="ExhibitText"/>
              <w:jc w:val="right"/>
            </w:pPr>
            <w:r w:rsidRPr="00041A76">
              <w:t>105</w:t>
            </w:r>
          </w:p>
        </w:tc>
        <w:tc>
          <w:tcPr>
            <w:tcW w:w="395" w:type="pct"/>
            <w:shd w:val="clear" w:color="auto" w:fill="auto"/>
            <w:noWrap/>
            <w:hideMark/>
          </w:tcPr>
          <w:p w14:paraId="12D92F09" w14:textId="4D431175" w:rsidR="006D61EA" w:rsidRPr="00041A76" w:rsidRDefault="006D61EA" w:rsidP="002F3C17">
            <w:pPr>
              <w:pStyle w:val="ExhibitText"/>
              <w:jc w:val="right"/>
            </w:pPr>
            <w:r w:rsidRPr="00041A76">
              <w:t>1.60</w:t>
            </w:r>
          </w:p>
        </w:tc>
      </w:tr>
      <w:tr w:rsidR="005754D0" w:rsidRPr="00041A76" w14:paraId="383CAC42" w14:textId="77777777" w:rsidTr="00F2675C">
        <w:trPr>
          <w:trHeight w:val="360"/>
        </w:trPr>
        <w:tc>
          <w:tcPr>
            <w:tcW w:w="1059" w:type="pct"/>
            <w:noWrap/>
            <w:hideMark/>
          </w:tcPr>
          <w:p w14:paraId="3C8F19AD" w14:textId="77777777" w:rsidR="006D61EA" w:rsidRPr="00041A76" w:rsidRDefault="006D61EA" w:rsidP="009A6B9D">
            <w:pPr>
              <w:pStyle w:val="ExhibitText"/>
              <w:jc w:val="left"/>
            </w:pPr>
            <w:r w:rsidRPr="00041A76">
              <w:t>Wholesale</w:t>
            </w:r>
          </w:p>
        </w:tc>
        <w:tc>
          <w:tcPr>
            <w:tcW w:w="394" w:type="pct"/>
            <w:noWrap/>
            <w:hideMark/>
          </w:tcPr>
          <w:p w14:paraId="58D8DE88" w14:textId="77777777" w:rsidR="006D61EA" w:rsidRPr="00041A76" w:rsidRDefault="006D61EA" w:rsidP="002F3C17">
            <w:pPr>
              <w:pStyle w:val="ExhibitText"/>
              <w:jc w:val="right"/>
            </w:pPr>
            <w:r w:rsidRPr="00041A76">
              <w:t>3,542</w:t>
            </w:r>
          </w:p>
        </w:tc>
        <w:tc>
          <w:tcPr>
            <w:tcW w:w="394" w:type="pct"/>
            <w:tcBorders>
              <w:right w:val="single" w:sz="4" w:space="0" w:color="auto"/>
            </w:tcBorders>
            <w:noWrap/>
            <w:hideMark/>
          </w:tcPr>
          <w:p w14:paraId="12DDFBB3" w14:textId="1B218BDA" w:rsidR="006D61EA" w:rsidRPr="00041A76" w:rsidRDefault="006D61EA" w:rsidP="002F3C17">
            <w:pPr>
              <w:pStyle w:val="ExhibitText"/>
              <w:jc w:val="right"/>
            </w:pPr>
            <w:r w:rsidRPr="00041A76">
              <w:t>17.70</w:t>
            </w:r>
          </w:p>
        </w:tc>
        <w:tc>
          <w:tcPr>
            <w:tcW w:w="394" w:type="pct"/>
            <w:tcBorders>
              <w:left w:val="single" w:sz="4" w:space="0" w:color="auto"/>
            </w:tcBorders>
            <w:noWrap/>
            <w:hideMark/>
          </w:tcPr>
          <w:p w14:paraId="690DB1E8" w14:textId="77777777" w:rsidR="006D61EA" w:rsidRPr="00041A76" w:rsidRDefault="006D61EA" w:rsidP="002F3C17">
            <w:pPr>
              <w:pStyle w:val="ExhibitText"/>
              <w:jc w:val="right"/>
            </w:pPr>
            <w:r w:rsidRPr="00041A76">
              <w:t>3,768</w:t>
            </w:r>
          </w:p>
        </w:tc>
        <w:tc>
          <w:tcPr>
            <w:tcW w:w="394" w:type="pct"/>
            <w:noWrap/>
            <w:hideMark/>
          </w:tcPr>
          <w:p w14:paraId="4D6EEDBE" w14:textId="77777777" w:rsidR="006D61EA" w:rsidRPr="00041A76" w:rsidRDefault="006D61EA" w:rsidP="002F3C17">
            <w:pPr>
              <w:pStyle w:val="ExhibitText"/>
              <w:jc w:val="right"/>
            </w:pPr>
            <w:r w:rsidRPr="00041A76">
              <w:t>606</w:t>
            </w:r>
          </w:p>
        </w:tc>
        <w:tc>
          <w:tcPr>
            <w:tcW w:w="394" w:type="pct"/>
            <w:tcBorders>
              <w:right w:val="double" w:sz="4" w:space="0" w:color="auto"/>
            </w:tcBorders>
            <w:noWrap/>
            <w:hideMark/>
          </w:tcPr>
          <w:p w14:paraId="33A37169" w14:textId="5481AFDF" w:rsidR="006D61EA" w:rsidRPr="00041A76" w:rsidRDefault="006D61EA" w:rsidP="002F3C17">
            <w:pPr>
              <w:pStyle w:val="ExhibitText"/>
              <w:jc w:val="right"/>
            </w:pPr>
            <w:r w:rsidRPr="00041A76">
              <w:t>10.90</w:t>
            </w:r>
          </w:p>
        </w:tc>
        <w:tc>
          <w:tcPr>
            <w:tcW w:w="394" w:type="pct"/>
            <w:tcBorders>
              <w:left w:val="double" w:sz="4" w:space="0" w:color="auto"/>
            </w:tcBorders>
            <w:noWrap/>
            <w:hideMark/>
          </w:tcPr>
          <w:p w14:paraId="20428564" w14:textId="77777777" w:rsidR="006D61EA" w:rsidRPr="00041A76" w:rsidRDefault="006D61EA" w:rsidP="002F3C17">
            <w:pPr>
              <w:pStyle w:val="ExhibitText"/>
              <w:jc w:val="right"/>
            </w:pPr>
            <w:r w:rsidRPr="00041A76">
              <w:t>2,853</w:t>
            </w:r>
          </w:p>
        </w:tc>
        <w:tc>
          <w:tcPr>
            <w:tcW w:w="394" w:type="pct"/>
            <w:tcBorders>
              <w:right w:val="single" w:sz="4" w:space="0" w:color="auto"/>
            </w:tcBorders>
            <w:noWrap/>
            <w:hideMark/>
          </w:tcPr>
          <w:p w14:paraId="3304024E" w14:textId="159765D1" w:rsidR="006D61EA" w:rsidRPr="00041A76" w:rsidRDefault="006D61EA" w:rsidP="002F3C17">
            <w:pPr>
              <w:pStyle w:val="ExhibitText"/>
              <w:jc w:val="right"/>
            </w:pPr>
            <w:r w:rsidRPr="00041A76">
              <w:t>11.10</w:t>
            </w:r>
          </w:p>
        </w:tc>
        <w:tc>
          <w:tcPr>
            <w:tcW w:w="394" w:type="pct"/>
            <w:tcBorders>
              <w:left w:val="single" w:sz="4" w:space="0" w:color="auto"/>
            </w:tcBorders>
            <w:noWrap/>
            <w:hideMark/>
          </w:tcPr>
          <w:p w14:paraId="3BD92DEC" w14:textId="77777777" w:rsidR="006D61EA" w:rsidRPr="00041A76" w:rsidRDefault="006D61EA" w:rsidP="002F3C17">
            <w:pPr>
              <w:pStyle w:val="ExhibitText"/>
              <w:jc w:val="right"/>
            </w:pPr>
            <w:r w:rsidRPr="00041A76">
              <w:t>2,904</w:t>
            </w:r>
          </w:p>
        </w:tc>
        <w:tc>
          <w:tcPr>
            <w:tcW w:w="394" w:type="pct"/>
            <w:noWrap/>
            <w:hideMark/>
          </w:tcPr>
          <w:p w14:paraId="15C38A6F" w14:textId="77777777" w:rsidR="006D61EA" w:rsidRPr="00041A76" w:rsidRDefault="006D61EA" w:rsidP="002F3C17">
            <w:pPr>
              <w:pStyle w:val="ExhibitText"/>
              <w:jc w:val="right"/>
            </w:pPr>
            <w:r w:rsidRPr="00041A76">
              <w:t>467</w:t>
            </w:r>
          </w:p>
        </w:tc>
        <w:tc>
          <w:tcPr>
            <w:tcW w:w="395" w:type="pct"/>
            <w:noWrap/>
            <w:hideMark/>
          </w:tcPr>
          <w:p w14:paraId="09A273AF" w14:textId="2FF4B806" w:rsidR="006D61EA" w:rsidRPr="00041A76" w:rsidRDefault="006D61EA" w:rsidP="002F3C17">
            <w:pPr>
              <w:pStyle w:val="ExhibitText"/>
              <w:jc w:val="right"/>
            </w:pPr>
            <w:r w:rsidRPr="00041A76">
              <w:t>7.20</w:t>
            </w:r>
          </w:p>
        </w:tc>
      </w:tr>
      <w:tr w:rsidR="00DE2DE2" w:rsidRPr="00041A76" w14:paraId="45108BBE"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1059" w:type="pct"/>
            <w:shd w:val="clear" w:color="auto" w:fill="auto"/>
            <w:noWrap/>
            <w:hideMark/>
          </w:tcPr>
          <w:p w14:paraId="0AA935D9" w14:textId="236F0AF8" w:rsidR="006D61EA" w:rsidRPr="00041A76" w:rsidRDefault="006D61EA" w:rsidP="009A6B9D">
            <w:pPr>
              <w:pStyle w:val="ExhibitText"/>
              <w:jc w:val="left"/>
            </w:pPr>
            <w:r w:rsidRPr="00041A76">
              <w:t xml:space="preserve">Total </w:t>
            </w:r>
            <w:r w:rsidR="007B0A15" w:rsidRPr="00041A76">
              <w:t>i</w:t>
            </w:r>
            <w:r w:rsidRPr="00041A76">
              <w:t>nternational commerce</w:t>
            </w:r>
          </w:p>
        </w:tc>
        <w:tc>
          <w:tcPr>
            <w:tcW w:w="394" w:type="pct"/>
            <w:shd w:val="clear" w:color="auto" w:fill="auto"/>
            <w:noWrap/>
            <w:hideMark/>
          </w:tcPr>
          <w:p w14:paraId="18837F74" w14:textId="77777777" w:rsidR="006D61EA" w:rsidRPr="00041A76" w:rsidRDefault="006D61EA" w:rsidP="002F3C17">
            <w:pPr>
              <w:pStyle w:val="ExhibitText"/>
              <w:jc w:val="right"/>
            </w:pPr>
            <w:r w:rsidRPr="00041A76">
              <w:t>3,765</w:t>
            </w:r>
          </w:p>
        </w:tc>
        <w:tc>
          <w:tcPr>
            <w:tcW w:w="394" w:type="pct"/>
            <w:tcBorders>
              <w:right w:val="single" w:sz="4" w:space="0" w:color="auto"/>
            </w:tcBorders>
            <w:shd w:val="clear" w:color="auto" w:fill="auto"/>
            <w:noWrap/>
            <w:hideMark/>
          </w:tcPr>
          <w:p w14:paraId="07BD52C5" w14:textId="356DB4CF" w:rsidR="006D61EA" w:rsidRPr="00041A76" w:rsidRDefault="006D61EA" w:rsidP="002F3C17">
            <w:pPr>
              <w:pStyle w:val="ExhibitText"/>
              <w:jc w:val="right"/>
            </w:pPr>
            <w:r w:rsidRPr="00041A76">
              <w:t>18.80</w:t>
            </w:r>
          </w:p>
        </w:tc>
        <w:tc>
          <w:tcPr>
            <w:tcW w:w="394" w:type="pct"/>
            <w:tcBorders>
              <w:left w:val="single" w:sz="4" w:space="0" w:color="auto"/>
            </w:tcBorders>
            <w:shd w:val="clear" w:color="auto" w:fill="auto"/>
            <w:noWrap/>
            <w:hideMark/>
          </w:tcPr>
          <w:p w14:paraId="051D09F1" w14:textId="77777777" w:rsidR="006D61EA" w:rsidRPr="00041A76" w:rsidRDefault="006D61EA" w:rsidP="002F3C17">
            <w:pPr>
              <w:pStyle w:val="ExhibitText"/>
              <w:jc w:val="right"/>
            </w:pPr>
            <w:r w:rsidRPr="00041A76">
              <w:t>4,160</w:t>
            </w:r>
          </w:p>
        </w:tc>
        <w:tc>
          <w:tcPr>
            <w:tcW w:w="394" w:type="pct"/>
            <w:shd w:val="clear" w:color="auto" w:fill="auto"/>
            <w:noWrap/>
            <w:hideMark/>
          </w:tcPr>
          <w:p w14:paraId="461302C5" w14:textId="77777777" w:rsidR="006D61EA" w:rsidRPr="00041A76" w:rsidRDefault="006D61EA" w:rsidP="002F3C17">
            <w:pPr>
              <w:pStyle w:val="ExhibitText"/>
              <w:jc w:val="right"/>
            </w:pPr>
            <w:r w:rsidRPr="00041A76">
              <w:t>669</w:t>
            </w:r>
          </w:p>
        </w:tc>
        <w:tc>
          <w:tcPr>
            <w:tcW w:w="394" w:type="pct"/>
            <w:tcBorders>
              <w:right w:val="double" w:sz="4" w:space="0" w:color="auto"/>
            </w:tcBorders>
            <w:shd w:val="clear" w:color="auto" w:fill="auto"/>
            <w:noWrap/>
            <w:hideMark/>
          </w:tcPr>
          <w:p w14:paraId="625E1D73" w14:textId="475FB063" w:rsidR="006D61EA" w:rsidRPr="00041A76" w:rsidRDefault="006D61EA" w:rsidP="002F3C17">
            <w:pPr>
              <w:pStyle w:val="ExhibitText"/>
              <w:jc w:val="right"/>
            </w:pPr>
            <w:r w:rsidRPr="00041A76">
              <w:t>12.00</w:t>
            </w:r>
          </w:p>
        </w:tc>
        <w:tc>
          <w:tcPr>
            <w:tcW w:w="394" w:type="pct"/>
            <w:tcBorders>
              <w:left w:val="double" w:sz="4" w:space="0" w:color="auto"/>
            </w:tcBorders>
            <w:shd w:val="clear" w:color="auto" w:fill="auto"/>
            <w:noWrap/>
            <w:hideMark/>
          </w:tcPr>
          <w:p w14:paraId="4F9CB578" w14:textId="77777777" w:rsidR="006D61EA" w:rsidRPr="00041A76" w:rsidRDefault="006D61EA" w:rsidP="002F3C17">
            <w:pPr>
              <w:pStyle w:val="ExhibitText"/>
              <w:jc w:val="right"/>
            </w:pPr>
            <w:r w:rsidRPr="00041A76">
              <w:t>3,117</w:t>
            </w:r>
          </w:p>
        </w:tc>
        <w:tc>
          <w:tcPr>
            <w:tcW w:w="394" w:type="pct"/>
            <w:tcBorders>
              <w:right w:val="single" w:sz="4" w:space="0" w:color="auto"/>
            </w:tcBorders>
            <w:shd w:val="clear" w:color="auto" w:fill="auto"/>
            <w:noWrap/>
            <w:hideMark/>
          </w:tcPr>
          <w:p w14:paraId="49EA9DA0" w14:textId="1D056333" w:rsidR="006D61EA" w:rsidRPr="00041A76" w:rsidRDefault="006D61EA" w:rsidP="002F3C17">
            <w:pPr>
              <w:pStyle w:val="ExhibitText"/>
              <w:jc w:val="right"/>
            </w:pPr>
            <w:r w:rsidRPr="00041A76">
              <w:t>12.10</w:t>
            </w:r>
          </w:p>
        </w:tc>
        <w:tc>
          <w:tcPr>
            <w:tcW w:w="394" w:type="pct"/>
            <w:tcBorders>
              <w:left w:val="single" w:sz="4" w:space="0" w:color="auto"/>
            </w:tcBorders>
            <w:shd w:val="clear" w:color="auto" w:fill="auto"/>
            <w:noWrap/>
            <w:hideMark/>
          </w:tcPr>
          <w:p w14:paraId="48ADE595" w14:textId="77777777" w:rsidR="006D61EA" w:rsidRPr="00041A76" w:rsidRDefault="006D61EA" w:rsidP="002F3C17">
            <w:pPr>
              <w:pStyle w:val="ExhibitText"/>
              <w:jc w:val="right"/>
            </w:pPr>
            <w:r w:rsidRPr="00041A76">
              <w:t>3,557</w:t>
            </w:r>
          </w:p>
        </w:tc>
        <w:tc>
          <w:tcPr>
            <w:tcW w:w="394" w:type="pct"/>
            <w:shd w:val="clear" w:color="auto" w:fill="auto"/>
            <w:noWrap/>
            <w:hideMark/>
          </w:tcPr>
          <w:p w14:paraId="524D5287" w14:textId="77777777" w:rsidR="006D61EA" w:rsidRPr="00041A76" w:rsidRDefault="006D61EA" w:rsidP="002F3C17">
            <w:pPr>
              <w:pStyle w:val="ExhibitText"/>
              <w:jc w:val="right"/>
            </w:pPr>
            <w:r w:rsidRPr="00041A76">
              <w:t>572</w:t>
            </w:r>
          </w:p>
        </w:tc>
        <w:tc>
          <w:tcPr>
            <w:tcW w:w="395" w:type="pct"/>
            <w:shd w:val="clear" w:color="auto" w:fill="auto"/>
            <w:noWrap/>
            <w:hideMark/>
          </w:tcPr>
          <w:p w14:paraId="7B63F73B" w14:textId="2ACABEC8" w:rsidR="006D61EA" w:rsidRPr="00041A76" w:rsidRDefault="006D61EA" w:rsidP="002F3C17">
            <w:pPr>
              <w:pStyle w:val="ExhibitText"/>
              <w:jc w:val="right"/>
            </w:pPr>
            <w:r w:rsidRPr="00041A76">
              <w:t>8.80</w:t>
            </w:r>
          </w:p>
        </w:tc>
      </w:tr>
      <w:tr w:rsidR="005754D0" w:rsidRPr="00041A76" w14:paraId="3B3A8B1C" w14:textId="77777777" w:rsidTr="00F2675C">
        <w:trPr>
          <w:trHeight w:val="360"/>
        </w:trPr>
        <w:tc>
          <w:tcPr>
            <w:tcW w:w="1059" w:type="pct"/>
            <w:noWrap/>
            <w:hideMark/>
          </w:tcPr>
          <w:p w14:paraId="26CDD4DD" w14:textId="77777777" w:rsidR="006D61EA" w:rsidRPr="00041A76" w:rsidRDefault="006D61EA" w:rsidP="009A6B9D">
            <w:pPr>
              <w:pStyle w:val="ExhibitText"/>
              <w:jc w:val="left"/>
            </w:pPr>
            <w:r w:rsidRPr="00041A76">
              <w:t>Cloud computing and Internet infrastructure</w:t>
            </w:r>
          </w:p>
        </w:tc>
        <w:tc>
          <w:tcPr>
            <w:tcW w:w="394" w:type="pct"/>
            <w:noWrap/>
            <w:hideMark/>
          </w:tcPr>
          <w:p w14:paraId="416BD7C9" w14:textId="77777777" w:rsidR="006D61EA" w:rsidRPr="00041A76" w:rsidRDefault="006D61EA" w:rsidP="002F3C17">
            <w:pPr>
              <w:pStyle w:val="ExhibitText"/>
              <w:jc w:val="right"/>
            </w:pPr>
            <w:r w:rsidRPr="00041A76">
              <w:t>515</w:t>
            </w:r>
          </w:p>
        </w:tc>
        <w:tc>
          <w:tcPr>
            <w:tcW w:w="394" w:type="pct"/>
            <w:tcBorders>
              <w:right w:val="single" w:sz="4" w:space="0" w:color="auto"/>
            </w:tcBorders>
            <w:noWrap/>
            <w:hideMark/>
          </w:tcPr>
          <w:p w14:paraId="61420805" w14:textId="27A768E9" w:rsidR="006D61EA" w:rsidRPr="00041A76" w:rsidRDefault="006D61EA" w:rsidP="002F3C17">
            <w:pPr>
              <w:pStyle w:val="ExhibitText"/>
              <w:jc w:val="right"/>
            </w:pPr>
            <w:r w:rsidRPr="00041A76">
              <w:t>2.60</w:t>
            </w:r>
          </w:p>
        </w:tc>
        <w:tc>
          <w:tcPr>
            <w:tcW w:w="394" w:type="pct"/>
            <w:tcBorders>
              <w:left w:val="single" w:sz="4" w:space="0" w:color="auto"/>
            </w:tcBorders>
            <w:noWrap/>
            <w:hideMark/>
          </w:tcPr>
          <w:p w14:paraId="3D3A8507" w14:textId="77777777" w:rsidR="006D61EA" w:rsidRPr="00041A76" w:rsidRDefault="006D61EA" w:rsidP="002F3C17">
            <w:pPr>
              <w:pStyle w:val="ExhibitText"/>
              <w:jc w:val="right"/>
            </w:pPr>
            <w:r w:rsidRPr="00041A76">
              <w:t>650</w:t>
            </w:r>
          </w:p>
        </w:tc>
        <w:tc>
          <w:tcPr>
            <w:tcW w:w="394" w:type="pct"/>
            <w:noWrap/>
            <w:hideMark/>
          </w:tcPr>
          <w:p w14:paraId="090E35E3" w14:textId="77777777" w:rsidR="006D61EA" w:rsidRPr="00041A76" w:rsidRDefault="006D61EA" w:rsidP="002F3C17">
            <w:pPr>
              <w:pStyle w:val="ExhibitText"/>
              <w:jc w:val="right"/>
            </w:pPr>
            <w:r w:rsidRPr="00041A76">
              <w:t>105</w:t>
            </w:r>
          </w:p>
        </w:tc>
        <w:tc>
          <w:tcPr>
            <w:tcW w:w="394" w:type="pct"/>
            <w:tcBorders>
              <w:right w:val="double" w:sz="4" w:space="0" w:color="auto"/>
            </w:tcBorders>
            <w:noWrap/>
            <w:hideMark/>
          </w:tcPr>
          <w:p w14:paraId="0135FEDD" w14:textId="4FEA3160" w:rsidR="006D61EA" w:rsidRPr="00041A76" w:rsidRDefault="006D61EA" w:rsidP="002F3C17">
            <w:pPr>
              <w:pStyle w:val="ExhibitText"/>
              <w:jc w:val="right"/>
            </w:pPr>
            <w:r w:rsidRPr="00041A76">
              <w:t>1.90</w:t>
            </w:r>
          </w:p>
        </w:tc>
        <w:tc>
          <w:tcPr>
            <w:tcW w:w="394" w:type="pct"/>
            <w:tcBorders>
              <w:left w:val="double" w:sz="4" w:space="0" w:color="auto"/>
            </w:tcBorders>
            <w:noWrap/>
            <w:hideMark/>
          </w:tcPr>
          <w:p w14:paraId="0F7F1D02" w14:textId="77777777" w:rsidR="006D61EA" w:rsidRPr="00041A76" w:rsidRDefault="006D61EA" w:rsidP="002F3C17">
            <w:pPr>
              <w:pStyle w:val="ExhibitText"/>
              <w:jc w:val="right"/>
            </w:pPr>
            <w:r w:rsidRPr="00041A76">
              <w:t>484</w:t>
            </w:r>
          </w:p>
        </w:tc>
        <w:tc>
          <w:tcPr>
            <w:tcW w:w="394" w:type="pct"/>
            <w:tcBorders>
              <w:right w:val="single" w:sz="4" w:space="0" w:color="auto"/>
            </w:tcBorders>
            <w:noWrap/>
            <w:hideMark/>
          </w:tcPr>
          <w:p w14:paraId="1A889C76" w14:textId="60E73829" w:rsidR="006D61EA" w:rsidRPr="00041A76" w:rsidRDefault="006D61EA" w:rsidP="002F3C17">
            <w:pPr>
              <w:pStyle w:val="ExhibitText"/>
              <w:jc w:val="right"/>
            </w:pPr>
            <w:r w:rsidRPr="00041A76">
              <w:t>1.90</w:t>
            </w:r>
          </w:p>
        </w:tc>
        <w:tc>
          <w:tcPr>
            <w:tcW w:w="394" w:type="pct"/>
            <w:tcBorders>
              <w:left w:val="single" w:sz="4" w:space="0" w:color="auto"/>
            </w:tcBorders>
            <w:noWrap/>
            <w:hideMark/>
          </w:tcPr>
          <w:p w14:paraId="05E72BD5" w14:textId="77777777" w:rsidR="006D61EA" w:rsidRPr="00041A76" w:rsidRDefault="006D61EA" w:rsidP="002F3C17">
            <w:pPr>
              <w:pStyle w:val="ExhibitText"/>
              <w:jc w:val="right"/>
            </w:pPr>
            <w:r w:rsidRPr="00041A76">
              <w:t>560</w:t>
            </w:r>
          </w:p>
        </w:tc>
        <w:tc>
          <w:tcPr>
            <w:tcW w:w="394" w:type="pct"/>
            <w:noWrap/>
            <w:hideMark/>
          </w:tcPr>
          <w:p w14:paraId="108934C1" w14:textId="77777777" w:rsidR="006D61EA" w:rsidRPr="00041A76" w:rsidRDefault="006D61EA" w:rsidP="002F3C17">
            <w:pPr>
              <w:pStyle w:val="ExhibitText"/>
              <w:jc w:val="right"/>
            </w:pPr>
            <w:r w:rsidRPr="00041A76">
              <w:t>90</w:t>
            </w:r>
          </w:p>
        </w:tc>
        <w:tc>
          <w:tcPr>
            <w:tcW w:w="395" w:type="pct"/>
            <w:noWrap/>
            <w:hideMark/>
          </w:tcPr>
          <w:p w14:paraId="7AB98BF1" w14:textId="74045586" w:rsidR="006D61EA" w:rsidRPr="00041A76" w:rsidRDefault="006D61EA" w:rsidP="002F3C17">
            <w:pPr>
              <w:pStyle w:val="ExhibitText"/>
              <w:jc w:val="right"/>
            </w:pPr>
            <w:r w:rsidRPr="00041A76">
              <w:t>1.40</w:t>
            </w:r>
          </w:p>
        </w:tc>
      </w:tr>
      <w:tr w:rsidR="00DE2DE2" w:rsidRPr="00041A76" w14:paraId="382A80A3"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1059" w:type="pct"/>
            <w:shd w:val="clear" w:color="auto" w:fill="auto"/>
            <w:noWrap/>
            <w:hideMark/>
          </w:tcPr>
          <w:p w14:paraId="4FF77847" w14:textId="77777777" w:rsidR="006D61EA" w:rsidRPr="00041A76" w:rsidRDefault="006D61EA" w:rsidP="009A6B9D">
            <w:pPr>
              <w:pStyle w:val="ExhibitText"/>
              <w:jc w:val="left"/>
            </w:pPr>
            <w:r w:rsidRPr="00041A76">
              <w:t>Others</w:t>
            </w:r>
          </w:p>
        </w:tc>
        <w:tc>
          <w:tcPr>
            <w:tcW w:w="394" w:type="pct"/>
            <w:shd w:val="clear" w:color="auto" w:fill="auto"/>
            <w:noWrap/>
            <w:hideMark/>
          </w:tcPr>
          <w:p w14:paraId="63CE2417" w14:textId="77777777" w:rsidR="006D61EA" w:rsidRPr="00041A76" w:rsidRDefault="006D61EA" w:rsidP="002F3C17">
            <w:pPr>
              <w:pStyle w:val="ExhibitText"/>
              <w:jc w:val="right"/>
            </w:pPr>
            <w:r w:rsidRPr="00041A76">
              <w:t>108</w:t>
            </w:r>
          </w:p>
        </w:tc>
        <w:tc>
          <w:tcPr>
            <w:tcW w:w="394" w:type="pct"/>
            <w:tcBorders>
              <w:right w:val="single" w:sz="4" w:space="0" w:color="auto"/>
            </w:tcBorders>
            <w:shd w:val="clear" w:color="auto" w:fill="auto"/>
            <w:noWrap/>
            <w:hideMark/>
          </w:tcPr>
          <w:p w14:paraId="764B808F" w14:textId="32BE501F" w:rsidR="006D61EA" w:rsidRPr="00041A76" w:rsidRDefault="006D61EA" w:rsidP="002F3C17">
            <w:pPr>
              <w:pStyle w:val="ExhibitText"/>
              <w:jc w:val="right"/>
            </w:pPr>
            <w:r w:rsidRPr="00041A76">
              <w:t>0.50</w:t>
            </w:r>
          </w:p>
        </w:tc>
        <w:tc>
          <w:tcPr>
            <w:tcW w:w="394" w:type="pct"/>
            <w:tcBorders>
              <w:left w:val="single" w:sz="4" w:space="0" w:color="auto"/>
            </w:tcBorders>
            <w:shd w:val="clear" w:color="auto" w:fill="auto"/>
            <w:noWrap/>
            <w:hideMark/>
          </w:tcPr>
          <w:p w14:paraId="498FF7F8" w14:textId="77777777" w:rsidR="006D61EA" w:rsidRPr="00041A76" w:rsidRDefault="006D61EA" w:rsidP="002F3C17">
            <w:pPr>
              <w:pStyle w:val="ExhibitText"/>
              <w:jc w:val="right"/>
            </w:pPr>
            <w:r w:rsidRPr="00041A76">
              <w:t>540</w:t>
            </w:r>
          </w:p>
        </w:tc>
        <w:tc>
          <w:tcPr>
            <w:tcW w:w="394" w:type="pct"/>
            <w:shd w:val="clear" w:color="auto" w:fill="auto"/>
            <w:noWrap/>
            <w:hideMark/>
          </w:tcPr>
          <w:p w14:paraId="3328AF0D" w14:textId="77777777" w:rsidR="006D61EA" w:rsidRPr="00041A76" w:rsidRDefault="006D61EA" w:rsidP="002F3C17">
            <w:pPr>
              <w:pStyle w:val="ExhibitText"/>
              <w:jc w:val="right"/>
            </w:pPr>
            <w:r w:rsidRPr="00041A76">
              <w:t>87</w:t>
            </w:r>
          </w:p>
        </w:tc>
        <w:tc>
          <w:tcPr>
            <w:tcW w:w="394" w:type="pct"/>
            <w:tcBorders>
              <w:right w:val="double" w:sz="4" w:space="0" w:color="auto"/>
            </w:tcBorders>
            <w:shd w:val="clear" w:color="auto" w:fill="auto"/>
            <w:noWrap/>
            <w:hideMark/>
          </w:tcPr>
          <w:p w14:paraId="3AD043EA" w14:textId="186CD05D" w:rsidR="006D61EA" w:rsidRPr="00041A76" w:rsidRDefault="006D61EA" w:rsidP="002F3C17">
            <w:pPr>
              <w:pStyle w:val="ExhibitText"/>
              <w:jc w:val="right"/>
            </w:pPr>
            <w:r w:rsidRPr="00041A76">
              <w:t>1.60</w:t>
            </w:r>
          </w:p>
        </w:tc>
        <w:tc>
          <w:tcPr>
            <w:tcW w:w="394" w:type="pct"/>
            <w:tcBorders>
              <w:left w:val="double" w:sz="4" w:space="0" w:color="auto"/>
            </w:tcBorders>
            <w:shd w:val="clear" w:color="auto" w:fill="auto"/>
            <w:noWrap/>
            <w:hideMark/>
          </w:tcPr>
          <w:p w14:paraId="62CA38B4" w14:textId="77777777" w:rsidR="006D61EA" w:rsidRPr="00041A76" w:rsidRDefault="006D61EA" w:rsidP="002F3C17">
            <w:pPr>
              <w:pStyle w:val="ExhibitText"/>
              <w:jc w:val="right"/>
            </w:pPr>
            <w:r w:rsidRPr="00041A76">
              <w:t>317</w:t>
            </w:r>
          </w:p>
        </w:tc>
        <w:tc>
          <w:tcPr>
            <w:tcW w:w="394" w:type="pct"/>
            <w:tcBorders>
              <w:right w:val="single" w:sz="4" w:space="0" w:color="auto"/>
            </w:tcBorders>
            <w:shd w:val="clear" w:color="auto" w:fill="auto"/>
            <w:noWrap/>
            <w:hideMark/>
          </w:tcPr>
          <w:p w14:paraId="02EE4349" w14:textId="4418C4EF" w:rsidR="006D61EA" w:rsidRPr="00041A76" w:rsidRDefault="006D61EA" w:rsidP="002F3C17">
            <w:pPr>
              <w:pStyle w:val="ExhibitText"/>
              <w:jc w:val="right"/>
            </w:pPr>
            <w:r w:rsidRPr="00041A76">
              <w:t>1.20</w:t>
            </w:r>
          </w:p>
        </w:tc>
        <w:tc>
          <w:tcPr>
            <w:tcW w:w="394" w:type="pct"/>
            <w:tcBorders>
              <w:left w:val="single" w:sz="4" w:space="0" w:color="auto"/>
            </w:tcBorders>
            <w:shd w:val="clear" w:color="auto" w:fill="auto"/>
            <w:noWrap/>
            <w:hideMark/>
          </w:tcPr>
          <w:p w14:paraId="0997FE98" w14:textId="77777777" w:rsidR="006D61EA" w:rsidRPr="00041A76" w:rsidRDefault="006D61EA" w:rsidP="002F3C17">
            <w:pPr>
              <w:pStyle w:val="ExhibitText"/>
              <w:jc w:val="right"/>
            </w:pPr>
            <w:r w:rsidRPr="00041A76">
              <w:t>1,189</w:t>
            </w:r>
          </w:p>
        </w:tc>
        <w:tc>
          <w:tcPr>
            <w:tcW w:w="394" w:type="pct"/>
            <w:shd w:val="clear" w:color="auto" w:fill="auto"/>
            <w:noWrap/>
            <w:hideMark/>
          </w:tcPr>
          <w:p w14:paraId="270ED41B" w14:textId="77777777" w:rsidR="006D61EA" w:rsidRPr="00041A76" w:rsidRDefault="006D61EA" w:rsidP="002F3C17">
            <w:pPr>
              <w:pStyle w:val="ExhibitText"/>
              <w:jc w:val="right"/>
            </w:pPr>
            <w:r w:rsidRPr="00041A76">
              <w:t>192</w:t>
            </w:r>
          </w:p>
        </w:tc>
        <w:tc>
          <w:tcPr>
            <w:tcW w:w="395" w:type="pct"/>
            <w:shd w:val="clear" w:color="auto" w:fill="auto"/>
            <w:noWrap/>
            <w:hideMark/>
          </w:tcPr>
          <w:p w14:paraId="7EEBD3D5" w14:textId="3DF22F92" w:rsidR="006D61EA" w:rsidRPr="00041A76" w:rsidRDefault="006D61EA" w:rsidP="002F3C17">
            <w:pPr>
              <w:pStyle w:val="ExhibitText"/>
              <w:jc w:val="right"/>
            </w:pPr>
            <w:r w:rsidRPr="00041A76">
              <w:t>2.90</w:t>
            </w:r>
          </w:p>
        </w:tc>
      </w:tr>
      <w:tr w:rsidR="005754D0" w:rsidRPr="00041A76" w14:paraId="385A3746" w14:textId="77777777" w:rsidTr="00F2675C">
        <w:trPr>
          <w:trHeight w:val="360"/>
        </w:trPr>
        <w:tc>
          <w:tcPr>
            <w:tcW w:w="1059" w:type="pct"/>
            <w:noWrap/>
            <w:hideMark/>
          </w:tcPr>
          <w:p w14:paraId="5195BED0" w14:textId="77777777" w:rsidR="006D61EA" w:rsidRPr="00041A76" w:rsidRDefault="006D61EA" w:rsidP="009A6B9D">
            <w:pPr>
              <w:pStyle w:val="ExhibitText"/>
              <w:jc w:val="left"/>
            </w:pPr>
            <w:r w:rsidRPr="00041A76">
              <w:t>Total</w:t>
            </w:r>
          </w:p>
        </w:tc>
        <w:tc>
          <w:tcPr>
            <w:tcW w:w="394" w:type="pct"/>
            <w:noWrap/>
            <w:hideMark/>
          </w:tcPr>
          <w:p w14:paraId="78C603FB" w14:textId="77777777" w:rsidR="006D61EA" w:rsidRPr="00041A76" w:rsidRDefault="006D61EA" w:rsidP="002F3C17">
            <w:pPr>
              <w:pStyle w:val="ExhibitText"/>
              <w:jc w:val="right"/>
            </w:pPr>
            <w:r w:rsidRPr="00041A76">
              <w:t>20,025</w:t>
            </w:r>
          </w:p>
        </w:tc>
        <w:tc>
          <w:tcPr>
            <w:tcW w:w="394" w:type="pct"/>
            <w:tcBorders>
              <w:right w:val="single" w:sz="4" w:space="0" w:color="auto"/>
            </w:tcBorders>
            <w:noWrap/>
            <w:hideMark/>
          </w:tcPr>
          <w:p w14:paraId="5F93ACE4" w14:textId="358CF4DE" w:rsidR="006D61EA" w:rsidRPr="00041A76" w:rsidRDefault="006D61EA" w:rsidP="002F3C17">
            <w:pPr>
              <w:pStyle w:val="ExhibitText"/>
              <w:jc w:val="right"/>
            </w:pPr>
            <w:r w:rsidRPr="00041A76">
              <w:t>100.00</w:t>
            </w:r>
          </w:p>
        </w:tc>
        <w:tc>
          <w:tcPr>
            <w:tcW w:w="394" w:type="pct"/>
            <w:tcBorders>
              <w:left w:val="single" w:sz="4" w:space="0" w:color="auto"/>
            </w:tcBorders>
            <w:noWrap/>
            <w:hideMark/>
          </w:tcPr>
          <w:p w14:paraId="3F5C98A5" w14:textId="77777777" w:rsidR="006D61EA" w:rsidRPr="00041A76" w:rsidRDefault="006D61EA" w:rsidP="002F3C17">
            <w:pPr>
              <w:pStyle w:val="ExhibitText"/>
              <w:jc w:val="right"/>
            </w:pPr>
            <w:r w:rsidRPr="00041A76">
              <w:t>34,517</w:t>
            </w:r>
          </w:p>
        </w:tc>
        <w:tc>
          <w:tcPr>
            <w:tcW w:w="394" w:type="pct"/>
            <w:noWrap/>
            <w:hideMark/>
          </w:tcPr>
          <w:p w14:paraId="5E58C868" w14:textId="77777777" w:rsidR="006D61EA" w:rsidRPr="00041A76" w:rsidRDefault="006D61EA" w:rsidP="002F3C17">
            <w:pPr>
              <w:pStyle w:val="ExhibitText"/>
              <w:jc w:val="right"/>
            </w:pPr>
            <w:r w:rsidRPr="00041A76">
              <w:t>5,553</w:t>
            </w:r>
          </w:p>
        </w:tc>
        <w:tc>
          <w:tcPr>
            <w:tcW w:w="394" w:type="pct"/>
            <w:tcBorders>
              <w:right w:val="double" w:sz="4" w:space="0" w:color="auto"/>
            </w:tcBorders>
            <w:noWrap/>
            <w:hideMark/>
          </w:tcPr>
          <w:p w14:paraId="0F0D2F27" w14:textId="649854FA" w:rsidR="006D61EA" w:rsidRPr="00041A76" w:rsidRDefault="006D61EA" w:rsidP="002F3C17">
            <w:pPr>
              <w:pStyle w:val="ExhibitText"/>
              <w:jc w:val="right"/>
            </w:pPr>
            <w:r w:rsidRPr="00041A76">
              <w:t>100.00</w:t>
            </w:r>
          </w:p>
        </w:tc>
        <w:tc>
          <w:tcPr>
            <w:tcW w:w="394" w:type="pct"/>
            <w:tcBorders>
              <w:left w:val="double" w:sz="4" w:space="0" w:color="auto"/>
            </w:tcBorders>
            <w:noWrap/>
            <w:hideMark/>
          </w:tcPr>
          <w:p w14:paraId="07D697D4" w14:textId="77777777" w:rsidR="006D61EA" w:rsidRPr="00041A76" w:rsidRDefault="006D61EA" w:rsidP="002F3C17">
            <w:pPr>
              <w:pStyle w:val="ExhibitText"/>
              <w:jc w:val="right"/>
            </w:pPr>
            <w:r w:rsidRPr="00041A76">
              <w:t>25,843</w:t>
            </w:r>
          </w:p>
        </w:tc>
        <w:tc>
          <w:tcPr>
            <w:tcW w:w="394" w:type="pct"/>
            <w:tcBorders>
              <w:right w:val="single" w:sz="4" w:space="0" w:color="auto"/>
            </w:tcBorders>
            <w:noWrap/>
            <w:hideMark/>
          </w:tcPr>
          <w:p w14:paraId="4E8B5D62" w14:textId="1CAF85F3" w:rsidR="006D61EA" w:rsidRPr="00041A76" w:rsidRDefault="006D61EA" w:rsidP="002F3C17">
            <w:pPr>
              <w:pStyle w:val="ExhibitText"/>
              <w:jc w:val="right"/>
            </w:pPr>
            <w:r w:rsidRPr="00041A76">
              <w:t>100.00</w:t>
            </w:r>
          </w:p>
        </w:tc>
        <w:tc>
          <w:tcPr>
            <w:tcW w:w="394" w:type="pct"/>
            <w:tcBorders>
              <w:left w:val="single" w:sz="4" w:space="0" w:color="auto"/>
            </w:tcBorders>
            <w:noWrap/>
            <w:hideMark/>
          </w:tcPr>
          <w:p w14:paraId="538A4960" w14:textId="77777777" w:rsidR="006D61EA" w:rsidRPr="00041A76" w:rsidRDefault="006D61EA" w:rsidP="002F3C17">
            <w:pPr>
              <w:pStyle w:val="ExhibitText"/>
              <w:jc w:val="right"/>
            </w:pPr>
            <w:r w:rsidRPr="00041A76">
              <w:t>40,473</w:t>
            </w:r>
          </w:p>
        </w:tc>
        <w:tc>
          <w:tcPr>
            <w:tcW w:w="394" w:type="pct"/>
            <w:noWrap/>
            <w:hideMark/>
          </w:tcPr>
          <w:p w14:paraId="7B2DBA5E" w14:textId="77777777" w:rsidR="006D61EA" w:rsidRPr="00041A76" w:rsidRDefault="006D61EA" w:rsidP="002F3C17">
            <w:pPr>
              <w:pStyle w:val="ExhibitText"/>
              <w:jc w:val="right"/>
            </w:pPr>
            <w:r w:rsidRPr="00041A76">
              <w:t>6,511</w:t>
            </w:r>
          </w:p>
        </w:tc>
        <w:tc>
          <w:tcPr>
            <w:tcW w:w="395" w:type="pct"/>
            <w:noWrap/>
            <w:hideMark/>
          </w:tcPr>
          <w:p w14:paraId="2453A7D4" w14:textId="646E07A9" w:rsidR="006D61EA" w:rsidRPr="00041A76" w:rsidRDefault="006D61EA" w:rsidP="002F3C17">
            <w:pPr>
              <w:pStyle w:val="ExhibitText"/>
              <w:jc w:val="right"/>
            </w:pPr>
            <w:r w:rsidRPr="00041A76">
              <w:t>100.00</w:t>
            </w:r>
          </w:p>
        </w:tc>
      </w:tr>
    </w:tbl>
    <w:p w14:paraId="7807484D" w14:textId="77777777" w:rsidR="006D61EA" w:rsidRPr="00D63AE2" w:rsidRDefault="006D61EA" w:rsidP="002F3C17">
      <w:pPr>
        <w:jc w:val="center"/>
        <w:rPr>
          <w:rFonts w:ascii="Arial" w:hAnsi="Arial" w:cs="Arial"/>
          <w:b/>
        </w:rPr>
      </w:pPr>
    </w:p>
    <w:p w14:paraId="4A6DA3F0" w14:textId="35EEACF5" w:rsidR="000B27C5" w:rsidRPr="00F2675C" w:rsidRDefault="006D61EA" w:rsidP="002F3C17">
      <w:pPr>
        <w:pStyle w:val="Footnote"/>
      </w:pPr>
      <w:r w:rsidRPr="00F2675C">
        <w:t xml:space="preserve">Source: </w:t>
      </w:r>
      <w:r w:rsidR="00DE2DE2" w:rsidRPr="00F2675C">
        <w:t xml:space="preserve">Alibaba Group Holding Limited, </w:t>
      </w:r>
      <w:r w:rsidR="00CE24EF">
        <w:t>“</w:t>
      </w:r>
      <w:r w:rsidR="00DE2DE2" w:rsidRPr="00F2675C">
        <w:t>Form F-1: Registration Statement under the Securities Act of 1933,</w:t>
      </w:r>
      <w:r w:rsidR="00CE24EF">
        <w:t>”</w:t>
      </w:r>
      <w:r w:rsidR="00DE2DE2" w:rsidRPr="00F2675C">
        <w:t xml:space="preserve"> EDGAR Online, May 6, 2014, accessed May 19, 2016, www.sec.gov/Archives/edgar/data/1577552/000119312514184994/d709111df1.htm</w:t>
      </w:r>
      <w:r w:rsidRPr="00F2675C">
        <w:t>.</w:t>
      </w:r>
    </w:p>
    <w:p w14:paraId="6B3712AA" w14:textId="34733956" w:rsidR="00DE2DE2" w:rsidRDefault="00DE2DE2" w:rsidP="002F3C17">
      <w:pPr>
        <w:spacing w:after="200" w:line="276" w:lineRule="auto"/>
        <w:rPr>
          <w:rFonts w:ascii="Arial" w:hAnsi="Arial" w:cs="Arial"/>
        </w:rPr>
      </w:pPr>
      <w:r>
        <w:br w:type="page"/>
      </w:r>
    </w:p>
    <w:p w14:paraId="703EC1D7" w14:textId="352C889E" w:rsidR="006D61EA" w:rsidRPr="00B0282E" w:rsidRDefault="006D61EA" w:rsidP="002F3C17">
      <w:pPr>
        <w:pStyle w:val="ExhibitHeading"/>
        <w:outlineLvl w:val="0"/>
      </w:pPr>
      <w:r w:rsidRPr="00B0282E">
        <w:lastRenderedPageBreak/>
        <w:t>EXHIBIT 4: ALIBABA’S BALANCE SHEET</w:t>
      </w:r>
    </w:p>
    <w:p w14:paraId="329F5888" w14:textId="77777777" w:rsidR="006D61EA" w:rsidRPr="00B0282E" w:rsidRDefault="006D61EA" w:rsidP="002F3C17">
      <w:pPr>
        <w:pStyle w:val="ExhibitText"/>
      </w:pPr>
    </w:p>
    <w:tbl>
      <w:tblPr>
        <w:tblStyle w:val="IveyTable"/>
        <w:tblW w:w="4988" w:type="pct"/>
        <w:tblLayout w:type="fixed"/>
        <w:tblLook w:val="04A0" w:firstRow="1" w:lastRow="0" w:firstColumn="1" w:lastColumn="0" w:noHBand="0" w:noVBand="1"/>
      </w:tblPr>
      <w:tblGrid>
        <w:gridCol w:w="5054"/>
        <w:gridCol w:w="1125"/>
        <w:gridCol w:w="1125"/>
        <w:gridCol w:w="1125"/>
        <w:gridCol w:w="1125"/>
        <w:gridCol w:w="1125"/>
        <w:gridCol w:w="1125"/>
        <w:gridCol w:w="1125"/>
      </w:tblGrid>
      <w:tr w:rsidR="005D015D" w:rsidRPr="007532BD" w14:paraId="6CB88A8A" w14:textId="77777777" w:rsidTr="00F2675C">
        <w:trPr>
          <w:cnfStyle w:val="100000000000" w:firstRow="1" w:lastRow="0" w:firstColumn="0" w:lastColumn="0" w:oddVBand="0" w:evenVBand="0" w:oddHBand="0" w:evenHBand="0" w:firstRowFirstColumn="0" w:firstRowLastColumn="0" w:lastRowFirstColumn="0" w:lastRowLastColumn="0"/>
          <w:trHeight w:val="360"/>
          <w:tblHeader/>
        </w:trPr>
        <w:tc>
          <w:tcPr>
            <w:tcW w:w="1955" w:type="pct"/>
            <w:shd w:val="clear" w:color="auto" w:fill="auto"/>
            <w:noWrap/>
            <w:hideMark/>
          </w:tcPr>
          <w:p w14:paraId="261423F6" w14:textId="0881D5FE" w:rsidR="005D015D" w:rsidRPr="00041A76" w:rsidRDefault="000B4C6B" w:rsidP="009A6B9D">
            <w:pPr>
              <w:pStyle w:val="ExhibitText"/>
              <w:jc w:val="left"/>
            </w:pPr>
            <w:r w:rsidRPr="00041A76">
              <w:t xml:space="preserve"> </w:t>
            </w:r>
          </w:p>
        </w:tc>
        <w:tc>
          <w:tcPr>
            <w:tcW w:w="2175" w:type="pct"/>
            <w:gridSpan w:val="5"/>
            <w:tcBorders>
              <w:right w:val="double" w:sz="4" w:space="0" w:color="auto"/>
            </w:tcBorders>
            <w:shd w:val="clear" w:color="auto" w:fill="auto"/>
            <w:noWrap/>
            <w:hideMark/>
          </w:tcPr>
          <w:p w14:paraId="6DB463F0" w14:textId="764B079D" w:rsidR="005D015D" w:rsidRPr="00041A76" w:rsidRDefault="005D015D" w:rsidP="002F3C17">
            <w:pPr>
              <w:pStyle w:val="ExhibitText"/>
              <w:jc w:val="center"/>
            </w:pPr>
            <w:r w:rsidRPr="00041A76">
              <w:t>As</w:t>
            </w:r>
            <w:r w:rsidR="000B4C6B" w:rsidRPr="00041A76">
              <w:t xml:space="preserve"> </w:t>
            </w:r>
            <w:r w:rsidRPr="00041A76">
              <w:t>of March 31</w:t>
            </w:r>
          </w:p>
        </w:tc>
        <w:tc>
          <w:tcPr>
            <w:tcW w:w="870" w:type="pct"/>
            <w:gridSpan w:val="2"/>
            <w:tcBorders>
              <w:left w:val="double" w:sz="4" w:space="0" w:color="auto"/>
            </w:tcBorders>
            <w:shd w:val="clear" w:color="auto" w:fill="auto"/>
            <w:noWrap/>
            <w:hideMark/>
          </w:tcPr>
          <w:p w14:paraId="3C6AEAA5" w14:textId="5E0EA738" w:rsidR="005D015D" w:rsidRPr="00041A76" w:rsidRDefault="005D015D" w:rsidP="002F3C17">
            <w:pPr>
              <w:pStyle w:val="ExhibitText"/>
              <w:jc w:val="center"/>
            </w:pPr>
            <w:r w:rsidRPr="00041A76">
              <w:t>As</w:t>
            </w:r>
            <w:r w:rsidR="000B4C6B" w:rsidRPr="00041A76">
              <w:t xml:space="preserve"> </w:t>
            </w:r>
            <w:r w:rsidRPr="00041A76">
              <w:t>of December 31</w:t>
            </w:r>
          </w:p>
        </w:tc>
      </w:tr>
      <w:tr w:rsidR="005D015D" w:rsidRPr="007532BD" w14:paraId="32BEB3B7" w14:textId="77777777" w:rsidTr="00F2675C">
        <w:trPr>
          <w:cnfStyle w:val="100000000000" w:firstRow="1" w:lastRow="0" w:firstColumn="0" w:lastColumn="0" w:oddVBand="0" w:evenVBand="0" w:oddHBand="0" w:evenHBand="0" w:firstRowFirstColumn="0" w:firstRowLastColumn="0" w:lastRowFirstColumn="0" w:lastRowLastColumn="0"/>
          <w:trHeight w:val="360"/>
          <w:tblHeader/>
        </w:trPr>
        <w:tc>
          <w:tcPr>
            <w:tcW w:w="1955" w:type="pct"/>
            <w:shd w:val="clear" w:color="auto" w:fill="auto"/>
            <w:noWrap/>
            <w:hideMark/>
          </w:tcPr>
          <w:p w14:paraId="7EA7BEB9" w14:textId="733208E0" w:rsidR="005D015D" w:rsidRPr="00041A76" w:rsidRDefault="000B4C6B" w:rsidP="009A6B9D">
            <w:pPr>
              <w:pStyle w:val="ExhibitText"/>
              <w:jc w:val="left"/>
            </w:pPr>
            <w:r w:rsidRPr="00041A76">
              <w:t xml:space="preserve"> </w:t>
            </w:r>
          </w:p>
        </w:tc>
        <w:tc>
          <w:tcPr>
            <w:tcW w:w="435" w:type="pct"/>
            <w:shd w:val="clear" w:color="auto" w:fill="auto"/>
            <w:noWrap/>
            <w:hideMark/>
          </w:tcPr>
          <w:p w14:paraId="044CC34F" w14:textId="77777777" w:rsidR="005D015D" w:rsidRPr="00041A76" w:rsidRDefault="005D015D" w:rsidP="002F3C17">
            <w:pPr>
              <w:pStyle w:val="ExhibitText"/>
              <w:jc w:val="center"/>
            </w:pPr>
            <w:r w:rsidRPr="00041A76">
              <w:t>2010</w:t>
            </w:r>
          </w:p>
        </w:tc>
        <w:tc>
          <w:tcPr>
            <w:tcW w:w="435" w:type="pct"/>
            <w:shd w:val="clear" w:color="auto" w:fill="auto"/>
            <w:noWrap/>
            <w:hideMark/>
          </w:tcPr>
          <w:p w14:paraId="0FED6A2B" w14:textId="77777777" w:rsidR="005D015D" w:rsidRPr="00041A76" w:rsidRDefault="005D015D" w:rsidP="002F3C17">
            <w:pPr>
              <w:pStyle w:val="ExhibitText"/>
              <w:jc w:val="center"/>
            </w:pPr>
            <w:r w:rsidRPr="00041A76">
              <w:t>2011</w:t>
            </w:r>
          </w:p>
        </w:tc>
        <w:tc>
          <w:tcPr>
            <w:tcW w:w="435" w:type="pct"/>
            <w:tcBorders>
              <w:right w:val="single" w:sz="4" w:space="0" w:color="auto"/>
            </w:tcBorders>
            <w:shd w:val="clear" w:color="auto" w:fill="auto"/>
            <w:noWrap/>
            <w:hideMark/>
          </w:tcPr>
          <w:p w14:paraId="220EBD81" w14:textId="77777777" w:rsidR="005D015D" w:rsidRPr="00041A76" w:rsidRDefault="005D015D" w:rsidP="002F3C17">
            <w:pPr>
              <w:pStyle w:val="ExhibitText"/>
              <w:jc w:val="center"/>
            </w:pPr>
            <w:r w:rsidRPr="00041A76">
              <w:t>2012</w:t>
            </w:r>
          </w:p>
        </w:tc>
        <w:tc>
          <w:tcPr>
            <w:tcW w:w="870" w:type="pct"/>
            <w:gridSpan w:val="2"/>
            <w:tcBorders>
              <w:left w:val="single" w:sz="4" w:space="0" w:color="auto"/>
              <w:right w:val="double" w:sz="4" w:space="0" w:color="auto"/>
            </w:tcBorders>
            <w:shd w:val="clear" w:color="auto" w:fill="auto"/>
            <w:noWrap/>
            <w:hideMark/>
          </w:tcPr>
          <w:p w14:paraId="2A88B516" w14:textId="5E21B4EE" w:rsidR="005D015D" w:rsidRPr="00041A76" w:rsidRDefault="005D015D" w:rsidP="002F3C17">
            <w:pPr>
              <w:pStyle w:val="ExhibitText"/>
              <w:jc w:val="center"/>
            </w:pPr>
            <w:r w:rsidRPr="00041A76">
              <w:t>2013</w:t>
            </w:r>
          </w:p>
        </w:tc>
        <w:tc>
          <w:tcPr>
            <w:tcW w:w="870" w:type="pct"/>
            <w:gridSpan w:val="2"/>
            <w:tcBorders>
              <w:left w:val="double" w:sz="4" w:space="0" w:color="auto"/>
            </w:tcBorders>
            <w:shd w:val="clear" w:color="auto" w:fill="auto"/>
            <w:noWrap/>
            <w:hideMark/>
          </w:tcPr>
          <w:p w14:paraId="5997E1CF" w14:textId="13398CC6" w:rsidR="005D015D" w:rsidRPr="00041A76" w:rsidRDefault="005D015D" w:rsidP="002F3C17">
            <w:pPr>
              <w:pStyle w:val="ExhibitText"/>
              <w:jc w:val="center"/>
            </w:pPr>
            <w:r w:rsidRPr="00041A76">
              <w:t>2013</w:t>
            </w:r>
          </w:p>
        </w:tc>
      </w:tr>
      <w:tr w:rsidR="00056259" w:rsidRPr="007532BD" w14:paraId="5B14DBC9" w14:textId="77777777" w:rsidTr="00F2675C">
        <w:trPr>
          <w:cnfStyle w:val="100000000000" w:firstRow="1" w:lastRow="0" w:firstColumn="0" w:lastColumn="0" w:oddVBand="0" w:evenVBand="0" w:oddHBand="0" w:evenHBand="0" w:firstRowFirstColumn="0" w:firstRowLastColumn="0" w:lastRowFirstColumn="0" w:lastRowLastColumn="0"/>
          <w:trHeight w:val="360"/>
          <w:tblHeader/>
        </w:trPr>
        <w:tc>
          <w:tcPr>
            <w:tcW w:w="1955" w:type="pct"/>
            <w:shd w:val="clear" w:color="auto" w:fill="auto"/>
            <w:noWrap/>
            <w:hideMark/>
          </w:tcPr>
          <w:p w14:paraId="59015470" w14:textId="22C08CC3" w:rsidR="006D61EA" w:rsidRPr="00041A76" w:rsidRDefault="00CB00B5" w:rsidP="009A6B9D">
            <w:pPr>
              <w:pStyle w:val="ExhibitText"/>
              <w:jc w:val="left"/>
            </w:pPr>
            <w:r w:rsidRPr="00041A76">
              <w:t>(in millions)</w:t>
            </w:r>
          </w:p>
        </w:tc>
        <w:tc>
          <w:tcPr>
            <w:tcW w:w="435" w:type="pct"/>
            <w:shd w:val="clear" w:color="auto" w:fill="auto"/>
            <w:noWrap/>
            <w:hideMark/>
          </w:tcPr>
          <w:p w14:paraId="2311282D" w14:textId="3C964D9A" w:rsidR="006D61EA" w:rsidRPr="00041A76" w:rsidRDefault="00056259" w:rsidP="002F3C17">
            <w:pPr>
              <w:pStyle w:val="ExhibitText"/>
              <w:jc w:val="center"/>
            </w:pPr>
            <w:r w:rsidRPr="00041A76">
              <w:t>CNY</w:t>
            </w:r>
          </w:p>
        </w:tc>
        <w:tc>
          <w:tcPr>
            <w:tcW w:w="435" w:type="pct"/>
            <w:shd w:val="clear" w:color="auto" w:fill="auto"/>
            <w:noWrap/>
            <w:hideMark/>
          </w:tcPr>
          <w:p w14:paraId="643F17DE" w14:textId="6D2BE728" w:rsidR="006D61EA" w:rsidRPr="00041A76" w:rsidRDefault="00056259" w:rsidP="002F3C17">
            <w:pPr>
              <w:pStyle w:val="ExhibitText"/>
              <w:jc w:val="center"/>
            </w:pPr>
            <w:r w:rsidRPr="00041A76">
              <w:t>CNY</w:t>
            </w:r>
          </w:p>
        </w:tc>
        <w:tc>
          <w:tcPr>
            <w:tcW w:w="435" w:type="pct"/>
            <w:tcBorders>
              <w:right w:val="single" w:sz="4" w:space="0" w:color="auto"/>
            </w:tcBorders>
            <w:shd w:val="clear" w:color="auto" w:fill="auto"/>
            <w:noWrap/>
            <w:hideMark/>
          </w:tcPr>
          <w:p w14:paraId="63839176" w14:textId="484FDE0B" w:rsidR="006D61EA" w:rsidRPr="00041A76" w:rsidRDefault="00056259" w:rsidP="002F3C17">
            <w:pPr>
              <w:pStyle w:val="ExhibitText"/>
              <w:jc w:val="center"/>
            </w:pPr>
            <w:r w:rsidRPr="00041A76">
              <w:t>CNY</w:t>
            </w:r>
          </w:p>
        </w:tc>
        <w:tc>
          <w:tcPr>
            <w:tcW w:w="435" w:type="pct"/>
            <w:tcBorders>
              <w:left w:val="single" w:sz="4" w:space="0" w:color="auto"/>
            </w:tcBorders>
            <w:shd w:val="clear" w:color="auto" w:fill="auto"/>
            <w:noWrap/>
            <w:hideMark/>
          </w:tcPr>
          <w:p w14:paraId="497058B3" w14:textId="3B063738" w:rsidR="006D61EA" w:rsidRPr="00041A76" w:rsidRDefault="00056259" w:rsidP="002F3C17">
            <w:pPr>
              <w:pStyle w:val="ExhibitText"/>
              <w:jc w:val="center"/>
            </w:pPr>
            <w:r w:rsidRPr="00041A76">
              <w:t>CNY</w:t>
            </w:r>
          </w:p>
        </w:tc>
        <w:tc>
          <w:tcPr>
            <w:tcW w:w="435" w:type="pct"/>
            <w:tcBorders>
              <w:right w:val="double" w:sz="4" w:space="0" w:color="auto"/>
            </w:tcBorders>
            <w:shd w:val="clear" w:color="auto" w:fill="auto"/>
            <w:noWrap/>
            <w:hideMark/>
          </w:tcPr>
          <w:p w14:paraId="76079607" w14:textId="78813668" w:rsidR="006D61EA" w:rsidRPr="00041A76" w:rsidRDefault="006D61EA" w:rsidP="002F3C17">
            <w:pPr>
              <w:pStyle w:val="ExhibitText"/>
              <w:jc w:val="center"/>
            </w:pPr>
            <w:r w:rsidRPr="00041A76">
              <w:t>US</w:t>
            </w:r>
            <w:r w:rsidR="00056259" w:rsidRPr="00041A76">
              <w:t>$</w:t>
            </w:r>
          </w:p>
        </w:tc>
        <w:tc>
          <w:tcPr>
            <w:tcW w:w="435" w:type="pct"/>
            <w:tcBorders>
              <w:left w:val="double" w:sz="4" w:space="0" w:color="auto"/>
            </w:tcBorders>
            <w:shd w:val="clear" w:color="auto" w:fill="auto"/>
            <w:noWrap/>
            <w:hideMark/>
          </w:tcPr>
          <w:p w14:paraId="1C1383EE" w14:textId="10113689" w:rsidR="006D61EA" w:rsidRPr="00041A76" w:rsidRDefault="00056259" w:rsidP="002F3C17">
            <w:pPr>
              <w:pStyle w:val="ExhibitText"/>
              <w:jc w:val="center"/>
            </w:pPr>
            <w:r w:rsidRPr="00041A76">
              <w:t>CNY</w:t>
            </w:r>
          </w:p>
        </w:tc>
        <w:tc>
          <w:tcPr>
            <w:tcW w:w="435" w:type="pct"/>
            <w:shd w:val="clear" w:color="auto" w:fill="auto"/>
            <w:noWrap/>
            <w:hideMark/>
          </w:tcPr>
          <w:p w14:paraId="33B8FED4" w14:textId="7F65D7E5" w:rsidR="006D61EA" w:rsidRPr="00041A76" w:rsidRDefault="006D61EA" w:rsidP="002F3C17">
            <w:pPr>
              <w:pStyle w:val="ExhibitText"/>
              <w:jc w:val="center"/>
            </w:pPr>
            <w:r w:rsidRPr="00041A76">
              <w:t>US</w:t>
            </w:r>
            <w:r w:rsidR="00056259" w:rsidRPr="00041A76">
              <w:t>$</w:t>
            </w:r>
          </w:p>
        </w:tc>
      </w:tr>
      <w:tr w:rsidR="00056259" w:rsidRPr="007532BD" w14:paraId="49AF0B92" w14:textId="77777777" w:rsidTr="00F2675C">
        <w:trPr>
          <w:trHeight w:val="360"/>
        </w:trPr>
        <w:tc>
          <w:tcPr>
            <w:tcW w:w="1955" w:type="pct"/>
            <w:tcBorders>
              <w:top w:val="single" w:sz="4" w:space="0" w:color="auto"/>
            </w:tcBorders>
            <w:noWrap/>
            <w:hideMark/>
          </w:tcPr>
          <w:p w14:paraId="535176D7" w14:textId="77777777" w:rsidR="006D61EA" w:rsidRPr="00041A76" w:rsidRDefault="006D61EA" w:rsidP="009A6B9D">
            <w:pPr>
              <w:pStyle w:val="ExhibitText"/>
              <w:jc w:val="left"/>
            </w:pPr>
            <w:r w:rsidRPr="00041A76">
              <w:t>Cash and cash equivalents and short-term investments</w:t>
            </w:r>
          </w:p>
        </w:tc>
        <w:tc>
          <w:tcPr>
            <w:tcW w:w="435" w:type="pct"/>
            <w:tcBorders>
              <w:top w:val="single" w:sz="4" w:space="0" w:color="auto"/>
            </w:tcBorders>
            <w:noWrap/>
            <w:hideMark/>
          </w:tcPr>
          <w:p w14:paraId="77490811" w14:textId="77777777" w:rsidR="006D61EA" w:rsidRPr="00041A76" w:rsidRDefault="006D61EA" w:rsidP="002F3C17">
            <w:pPr>
              <w:pStyle w:val="ExhibitText"/>
              <w:jc w:val="right"/>
            </w:pPr>
            <w:r w:rsidRPr="00041A76">
              <w:t>14,643</w:t>
            </w:r>
          </w:p>
        </w:tc>
        <w:tc>
          <w:tcPr>
            <w:tcW w:w="435" w:type="pct"/>
            <w:tcBorders>
              <w:top w:val="single" w:sz="4" w:space="0" w:color="auto"/>
            </w:tcBorders>
            <w:noWrap/>
            <w:hideMark/>
          </w:tcPr>
          <w:p w14:paraId="47C77EF1" w14:textId="77777777" w:rsidR="006D61EA" w:rsidRPr="00041A76" w:rsidRDefault="006D61EA" w:rsidP="002F3C17">
            <w:pPr>
              <w:pStyle w:val="ExhibitText"/>
              <w:jc w:val="right"/>
            </w:pPr>
            <w:r w:rsidRPr="00041A76">
              <w:t>15,940</w:t>
            </w:r>
          </w:p>
        </w:tc>
        <w:tc>
          <w:tcPr>
            <w:tcW w:w="435" w:type="pct"/>
            <w:tcBorders>
              <w:top w:val="single" w:sz="4" w:space="0" w:color="auto"/>
              <w:right w:val="single" w:sz="4" w:space="0" w:color="auto"/>
            </w:tcBorders>
            <w:noWrap/>
            <w:hideMark/>
          </w:tcPr>
          <w:p w14:paraId="4B5DCCAD" w14:textId="77777777" w:rsidR="006D61EA" w:rsidRPr="00041A76" w:rsidRDefault="006D61EA" w:rsidP="002F3C17">
            <w:pPr>
              <w:pStyle w:val="ExhibitText"/>
              <w:jc w:val="right"/>
            </w:pPr>
            <w:r w:rsidRPr="00041A76">
              <w:t>21,744</w:t>
            </w:r>
          </w:p>
        </w:tc>
        <w:tc>
          <w:tcPr>
            <w:tcW w:w="435" w:type="pct"/>
            <w:tcBorders>
              <w:top w:val="single" w:sz="4" w:space="0" w:color="auto"/>
              <w:left w:val="single" w:sz="4" w:space="0" w:color="auto"/>
            </w:tcBorders>
            <w:noWrap/>
            <w:hideMark/>
          </w:tcPr>
          <w:p w14:paraId="6881DC9E" w14:textId="77777777" w:rsidR="006D61EA" w:rsidRPr="00041A76" w:rsidRDefault="006D61EA" w:rsidP="002F3C17">
            <w:pPr>
              <w:pStyle w:val="ExhibitText"/>
              <w:jc w:val="right"/>
            </w:pPr>
            <w:r w:rsidRPr="00041A76">
              <w:t>32,686</w:t>
            </w:r>
          </w:p>
        </w:tc>
        <w:tc>
          <w:tcPr>
            <w:tcW w:w="435" w:type="pct"/>
            <w:tcBorders>
              <w:top w:val="single" w:sz="4" w:space="0" w:color="auto"/>
              <w:right w:val="double" w:sz="4" w:space="0" w:color="auto"/>
            </w:tcBorders>
            <w:noWrap/>
            <w:hideMark/>
          </w:tcPr>
          <w:p w14:paraId="58F97615" w14:textId="77777777" w:rsidR="006D61EA" w:rsidRPr="00041A76" w:rsidRDefault="006D61EA" w:rsidP="002F3C17">
            <w:pPr>
              <w:pStyle w:val="ExhibitText"/>
              <w:jc w:val="right"/>
            </w:pPr>
            <w:r w:rsidRPr="00041A76">
              <w:t>5,258</w:t>
            </w:r>
          </w:p>
        </w:tc>
        <w:tc>
          <w:tcPr>
            <w:tcW w:w="435" w:type="pct"/>
            <w:tcBorders>
              <w:top w:val="single" w:sz="4" w:space="0" w:color="auto"/>
              <w:left w:val="double" w:sz="4" w:space="0" w:color="auto"/>
            </w:tcBorders>
            <w:noWrap/>
            <w:hideMark/>
          </w:tcPr>
          <w:p w14:paraId="7533F7EA" w14:textId="77777777" w:rsidR="006D61EA" w:rsidRPr="00041A76" w:rsidRDefault="006D61EA" w:rsidP="002F3C17">
            <w:pPr>
              <w:pStyle w:val="ExhibitText"/>
              <w:jc w:val="right"/>
            </w:pPr>
            <w:r w:rsidRPr="00041A76">
              <w:t>48,962</w:t>
            </w:r>
          </w:p>
        </w:tc>
        <w:tc>
          <w:tcPr>
            <w:tcW w:w="435" w:type="pct"/>
            <w:tcBorders>
              <w:top w:val="single" w:sz="4" w:space="0" w:color="auto"/>
            </w:tcBorders>
            <w:noWrap/>
            <w:hideMark/>
          </w:tcPr>
          <w:p w14:paraId="65BAC89D" w14:textId="77777777" w:rsidR="006D61EA" w:rsidRPr="00041A76" w:rsidRDefault="006D61EA" w:rsidP="002F3C17">
            <w:pPr>
              <w:pStyle w:val="ExhibitText"/>
              <w:jc w:val="right"/>
            </w:pPr>
            <w:r w:rsidRPr="00041A76">
              <w:t>7,876</w:t>
            </w:r>
          </w:p>
        </w:tc>
      </w:tr>
      <w:tr w:rsidR="00CB00B5" w:rsidRPr="007532BD" w14:paraId="0A6376A2"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1955" w:type="pct"/>
            <w:shd w:val="clear" w:color="auto" w:fill="auto"/>
            <w:noWrap/>
            <w:hideMark/>
          </w:tcPr>
          <w:p w14:paraId="5B5BC664" w14:textId="77777777" w:rsidR="006D61EA" w:rsidRPr="00041A76" w:rsidRDefault="006D61EA" w:rsidP="009A6B9D">
            <w:pPr>
              <w:pStyle w:val="ExhibitText"/>
              <w:jc w:val="left"/>
            </w:pPr>
            <w:r w:rsidRPr="00041A76">
              <w:t>Investment securities and investment in equity investees</w:t>
            </w:r>
          </w:p>
        </w:tc>
        <w:tc>
          <w:tcPr>
            <w:tcW w:w="435" w:type="pct"/>
            <w:shd w:val="clear" w:color="auto" w:fill="auto"/>
            <w:noWrap/>
            <w:hideMark/>
          </w:tcPr>
          <w:p w14:paraId="6AD6C8CF" w14:textId="77777777" w:rsidR="006D61EA" w:rsidRPr="00041A76" w:rsidRDefault="006D61EA" w:rsidP="002F3C17">
            <w:pPr>
              <w:pStyle w:val="ExhibitText"/>
              <w:jc w:val="right"/>
            </w:pPr>
            <w:r w:rsidRPr="00041A76">
              <w:t>2,250</w:t>
            </w:r>
          </w:p>
        </w:tc>
        <w:tc>
          <w:tcPr>
            <w:tcW w:w="435" w:type="pct"/>
            <w:shd w:val="clear" w:color="auto" w:fill="auto"/>
            <w:noWrap/>
            <w:hideMark/>
          </w:tcPr>
          <w:p w14:paraId="4CE2AF46" w14:textId="77777777" w:rsidR="006D61EA" w:rsidRPr="00041A76" w:rsidRDefault="006D61EA" w:rsidP="002F3C17">
            <w:pPr>
              <w:pStyle w:val="ExhibitText"/>
              <w:jc w:val="right"/>
            </w:pPr>
            <w:r w:rsidRPr="00041A76">
              <w:t>3,933</w:t>
            </w:r>
          </w:p>
        </w:tc>
        <w:tc>
          <w:tcPr>
            <w:tcW w:w="435" w:type="pct"/>
            <w:tcBorders>
              <w:right w:val="single" w:sz="4" w:space="0" w:color="auto"/>
            </w:tcBorders>
            <w:shd w:val="clear" w:color="auto" w:fill="auto"/>
            <w:noWrap/>
            <w:hideMark/>
          </w:tcPr>
          <w:p w14:paraId="2F6AF6DC" w14:textId="77777777" w:rsidR="006D61EA" w:rsidRPr="00041A76" w:rsidRDefault="006D61EA" w:rsidP="002F3C17">
            <w:pPr>
              <w:pStyle w:val="ExhibitText"/>
              <w:jc w:val="right"/>
            </w:pPr>
            <w:r w:rsidRPr="00041A76">
              <w:t>2,483</w:t>
            </w:r>
          </w:p>
        </w:tc>
        <w:tc>
          <w:tcPr>
            <w:tcW w:w="435" w:type="pct"/>
            <w:tcBorders>
              <w:left w:val="single" w:sz="4" w:space="0" w:color="auto"/>
            </w:tcBorders>
            <w:shd w:val="clear" w:color="auto" w:fill="auto"/>
            <w:noWrap/>
            <w:hideMark/>
          </w:tcPr>
          <w:p w14:paraId="358D1503" w14:textId="77777777" w:rsidR="006D61EA" w:rsidRPr="00041A76" w:rsidRDefault="006D61EA" w:rsidP="002F3C17">
            <w:pPr>
              <w:pStyle w:val="ExhibitText"/>
              <w:jc w:val="right"/>
            </w:pPr>
            <w:r w:rsidRPr="00041A76">
              <w:t>2,426</w:t>
            </w:r>
          </w:p>
        </w:tc>
        <w:tc>
          <w:tcPr>
            <w:tcW w:w="435" w:type="pct"/>
            <w:tcBorders>
              <w:right w:val="double" w:sz="4" w:space="0" w:color="auto"/>
            </w:tcBorders>
            <w:shd w:val="clear" w:color="auto" w:fill="auto"/>
            <w:noWrap/>
            <w:hideMark/>
          </w:tcPr>
          <w:p w14:paraId="006BEBAF" w14:textId="77777777" w:rsidR="006D61EA" w:rsidRPr="00041A76" w:rsidRDefault="006D61EA" w:rsidP="002F3C17">
            <w:pPr>
              <w:pStyle w:val="ExhibitText"/>
              <w:jc w:val="right"/>
            </w:pPr>
            <w:r w:rsidRPr="00041A76">
              <w:t>390</w:t>
            </w:r>
          </w:p>
        </w:tc>
        <w:tc>
          <w:tcPr>
            <w:tcW w:w="435" w:type="pct"/>
            <w:tcBorders>
              <w:left w:val="double" w:sz="4" w:space="0" w:color="auto"/>
            </w:tcBorders>
            <w:shd w:val="clear" w:color="auto" w:fill="auto"/>
            <w:noWrap/>
            <w:hideMark/>
          </w:tcPr>
          <w:p w14:paraId="473D5903" w14:textId="77777777" w:rsidR="006D61EA" w:rsidRPr="00041A76" w:rsidRDefault="006D61EA" w:rsidP="002F3C17">
            <w:pPr>
              <w:pStyle w:val="ExhibitText"/>
              <w:jc w:val="right"/>
            </w:pPr>
            <w:r w:rsidRPr="00041A76">
              <w:t>15,311</w:t>
            </w:r>
          </w:p>
        </w:tc>
        <w:tc>
          <w:tcPr>
            <w:tcW w:w="435" w:type="pct"/>
            <w:shd w:val="clear" w:color="auto" w:fill="auto"/>
            <w:noWrap/>
            <w:hideMark/>
          </w:tcPr>
          <w:p w14:paraId="178CAA06" w14:textId="77777777" w:rsidR="006D61EA" w:rsidRPr="00041A76" w:rsidRDefault="006D61EA" w:rsidP="002F3C17">
            <w:pPr>
              <w:pStyle w:val="ExhibitText"/>
              <w:jc w:val="right"/>
            </w:pPr>
            <w:r w:rsidRPr="00041A76">
              <w:t>2,463</w:t>
            </w:r>
          </w:p>
        </w:tc>
      </w:tr>
      <w:tr w:rsidR="00056259" w:rsidRPr="007532BD" w14:paraId="48FBC100" w14:textId="77777777" w:rsidTr="00F2675C">
        <w:trPr>
          <w:trHeight w:val="360"/>
        </w:trPr>
        <w:tc>
          <w:tcPr>
            <w:tcW w:w="1955" w:type="pct"/>
            <w:noWrap/>
            <w:hideMark/>
          </w:tcPr>
          <w:p w14:paraId="24CADF26" w14:textId="77777777" w:rsidR="006D61EA" w:rsidRPr="00041A76" w:rsidRDefault="006D61EA" w:rsidP="009A6B9D">
            <w:pPr>
              <w:pStyle w:val="ExhibitText"/>
              <w:jc w:val="left"/>
            </w:pPr>
            <w:r w:rsidRPr="00041A76">
              <w:t>Property and equipment, net</w:t>
            </w:r>
          </w:p>
        </w:tc>
        <w:tc>
          <w:tcPr>
            <w:tcW w:w="435" w:type="pct"/>
            <w:noWrap/>
            <w:hideMark/>
          </w:tcPr>
          <w:p w14:paraId="15DF746C" w14:textId="77777777" w:rsidR="006D61EA" w:rsidRPr="00041A76" w:rsidRDefault="006D61EA" w:rsidP="002F3C17">
            <w:pPr>
              <w:pStyle w:val="ExhibitText"/>
              <w:jc w:val="right"/>
            </w:pPr>
            <w:r w:rsidRPr="00041A76">
              <w:t>1,666</w:t>
            </w:r>
          </w:p>
        </w:tc>
        <w:tc>
          <w:tcPr>
            <w:tcW w:w="435" w:type="pct"/>
            <w:noWrap/>
            <w:hideMark/>
          </w:tcPr>
          <w:p w14:paraId="38820EE1" w14:textId="77777777" w:rsidR="006D61EA" w:rsidRPr="00041A76" w:rsidRDefault="006D61EA" w:rsidP="002F3C17">
            <w:pPr>
              <w:pStyle w:val="ExhibitText"/>
              <w:jc w:val="right"/>
            </w:pPr>
            <w:r w:rsidRPr="00041A76">
              <w:t>1,905</w:t>
            </w:r>
          </w:p>
        </w:tc>
        <w:tc>
          <w:tcPr>
            <w:tcW w:w="435" w:type="pct"/>
            <w:tcBorders>
              <w:right w:val="single" w:sz="4" w:space="0" w:color="auto"/>
            </w:tcBorders>
            <w:noWrap/>
            <w:hideMark/>
          </w:tcPr>
          <w:p w14:paraId="708197B1" w14:textId="77777777" w:rsidR="006D61EA" w:rsidRPr="00041A76" w:rsidRDefault="006D61EA" w:rsidP="002F3C17">
            <w:pPr>
              <w:pStyle w:val="ExhibitText"/>
              <w:jc w:val="right"/>
            </w:pPr>
            <w:r w:rsidRPr="00041A76">
              <w:t>2,463</w:t>
            </w:r>
          </w:p>
        </w:tc>
        <w:tc>
          <w:tcPr>
            <w:tcW w:w="435" w:type="pct"/>
            <w:tcBorders>
              <w:left w:val="single" w:sz="4" w:space="0" w:color="auto"/>
            </w:tcBorders>
            <w:noWrap/>
            <w:hideMark/>
          </w:tcPr>
          <w:p w14:paraId="36A545DB" w14:textId="77777777" w:rsidR="006D61EA" w:rsidRPr="00041A76" w:rsidRDefault="006D61EA" w:rsidP="002F3C17">
            <w:pPr>
              <w:pStyle w:val="ExhibitText"/>
              <w:jc w:val="right"/>
            </w:pPr>
            <w:r w:rsidRPr="00041A76">
              <w:t>3,808</w:t>
            </w:r>
          </w:p>
        </w:tc>
        <w:tc>
          <w:tcPr>
            <w:tcW w:w="435" w:type="pct"/>
            <w:tcBorders>
              <w:right w:val="double" w:sz="4" w:space="0" w:color="auto"/>
            </w:tcBorders>
            <w:noWrap/>
            <w:hideMark/>
          </w:tcPr>
          <w:p w14:paraId="7D75B367" w14:textId="77777777" w:rsidR="006D61EA" w:rsidRPr="00041A76" w:rsidRDefault="006D61EA" w:rsidP="002F3C17">
            <w:pPr>
              <w:pStyle w:val="ExhibitText"/>
              <w:jc w:val="right"/>
            </w:pPr>
            <w:r w:rsidRPr="00041A76">
              <w:t>612</w:t>
            </w:r>
          </w:p>
        </w:tc>
        <w:tc>
          <w:tcPr>
            <w:tcW w:w="435" w:type="pct"/>
            <w:tcBorders>
              <w:left w:val="double" w:sz="4" w:space="0" w:color="auto"/>
            </w:tcBorders>
            <w:noWrap/>
            <w:hideMark/>
          </w:tcPr>
          <w:p w14:paraId="2770763F" w14:textId="77777777" w:rsidR="006D61EA" w:rsidRPr="00041A76" w:rsidRDefault="006D61EA" w:rsidP="002F3C17">
            <w:pPr>
              <w:pStyle w:val="ExhibitText"/>
              <w:jc w:val="right"/>
            </w:pPr>
            <w:r w:rsidRPr="00041A76">
              <w:t>5,973</w:t>
            </w:r>
          </w:p>
        </w:tc>
        <w:tc>
          <w:tcPr>
            <w:tcW w:w="435" w:type="pct"/>
            <w:noWrap/>
            <w:hideMark/>
          </w:tcPr>
          <w:p w14:paraId="2075243B" w14:textId="77777777" w:rsidR="006D61EA" w:rsidRPr="00041A76" w:rsidRDefault="006D61EA" w:rsidP="002F3C17">
            <w:pPr>
              <w:pStyle w:val="ExhibitText"/>
              <w:jc w:val="right"/>
            </w:pPr>
            <w:r w:rsidRPr="00041A76">
              <w:t>961</w:t>
            </w:r>
          </w:p>
        </w:tc>
      </w:tr>
      <w:tr w:rsidR="00CB00B5" w:rsidRPr="007532BD" w14:paraId="56C0B0C2"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1955" w:type="pct"/>
            <w:shd w:val="clear" w:color="auto" w:fill="auto"/>
            <w:noWrap/>
            <w:hideMark/>
          </w:tcPr>
          <w:p w14:paraId="7D280778" w14:textId="77777777" w:rsidR="006D61EA" w:rsidRPr="00041A76" w:rsidRDefault="006D61EA" w:rsidP="009A6B9D">
            <w:pPr>
              <w:pStyle w:val="ExhibitText"/>
              <w:jc w:val="left"/>
            </w:pPr>
            <w:r w:rsidRPr="00041A76">
              <w:t>Goodwill and intangible assets</w:t>
            </w:r>
          </w:p>
        </w:tc>
        <w:tc>
          <w:tcPr>
            <w:tcW w:w="435" w:type="pct"/>
            <w:shd w:val="clear" w:color="auto" w:fill="auto"/>
            <w:noWrap/>
            <w:hideMark/>
          </w:tcPr>
          <w:p w14:paraId="03B38B12" w14:textId="77777777" w:rsidR="006D61EA" w:rsidRPr="00041A76" w:rsidRDefault="006D61EA" w:rsidP="002F3C17">
            <w:pPr>
              <w:pStyle w:val="ExhibitText"/>
              <w:jc w:val="right"/>
            </w:pPr>
            <w:r w:rsidRPr="00041A76">
              <w:t>11,518</w:t>
            </w:r>
          </w:p>
        </w:tc>
        <w:tc>
          <w:tcPr>
            <w:tcW w:w="435" w:type="pct"/>
            <w:shd w:val="clear" w:color="auto" w:fill="auto"/>
            <w:noWrap/>
            <w:hideMark/>
          </w:tcPr>
          <w:p w14:paraId="19EAEA6A" w14:textId="77777777" w:rsidR="006D61EA" w:rsidRPr="00041A76" w:rsidRDefault="006D61EA" w:rsidP="002F3C17">
            <w:pPr>
              <w:pStyle w:val="ExhibitText"/>
              <w:jc w:val="right"/>
            </w:pPr>
            <w:r w:rsidRPr="00041A76">
              <w:t>11,846</w:t>
            </w:r>
          </w:p>
        </w:tc>
        <w:tc>
          <w:tcPr>
            <w:tcW w:w="435" w:type="pct"/>
            <w:tcBorders>
              <w:right w:val="single" w:sz="4" w:space="0" w:color="auto"/>
            </w:tcBorders>
            <w:shd w:val="clear" w:color="auto" w:fill="auto"/>
            <w:noWrap/>
            <w:hideMark/>
          </w:tcPr>
          <w:p w14:paraId="642F92D0" w14:textId="77777777" w:rsidR="006D61EA" w:rsidRPr="00041A76" w:rsidRDefault="006D61EA" w:rsidP="002F3C17">
            <w:pPr>
              <w:pStyle w:val="ExhibitText"/>
              <w:jc w:val="right"/>
            </w:pPr>
            <w:r w:rsidRPr="00041A76">
              <w:t>11,791</w:t>
            </w:r>
          </w:p>
        </w:tc>
        <w:tc>
          <w:tcPr>
            <w:tcW w:w="435" w:type="pct"/>
            <w:tcBorders>
              <w:left w:val="single" w:sz="4" w:space="0" w:color="auto"/>
            </w:tcBorders>
            <w:shd w:val="clear" w:color="auto" w:fill="auto"/>
            <w:noWrap/>
            <w:hideMark/>
          </w:tcPr>
          <w:p w14:paraId="10201925" w14:textId="77777777" w:rsidR="006D61EA" w:rsidRPr="00041A76" w:rsidRDefault="006D61EA" w:rsidP="002F3C17">
            <w:pPr>
              <w:pStyle w:val="ExhibitText"/>
              <w:jc w:val="right"/>
            </w:pPr>
            <w:r w:rsidRPr="00041A76">
              <w:t>11,628</w:t>
            </w:r>
          </w:p>
        </w:tc>
        <w:tc>
          <w:tcPr>
            <w:tcW w:w="435" w:type="pct"/>
            <w:tcBorders>
              <w:right w:val="double" w:sz="4" w:space="0" w:color="auto"/>
            </w:tcBorders>
            <w:shd w:val="clear" w:color="auto" w:fill="auto"/>
            <w:noWrap/>
            <w:hideMark/>
          </w:tcPr>
          <w:p w14:paraId="3A716347" w14:textId="77777777" w:rsidR="006D61EA" w:rsidRPr="00041A76" w:rsidRDefault="006D61EA" w:rsidP="002F3C17">
            <w:pPr>
              <w:pStyle w:val="ExhibitText"/>
              <w:jc w:val="right"/>
            </w:pPr>
            <w:r w:rsidRPr="00041A76">
              <w:t>1,871</w:t>
            </w:r>
          </w:p>
        </w:tc>
        <w:tc>
          <w:tcPr>
            <w:tcW w:w="435" w:type="pct"/>
            <w:tcBorders>
              <w:left w:val="double" w:sz="4" w:space="0" w:color="auto"/>
            </w:tcBorders>
            <w:shd w:val="clear" w:color="auto" w:fill="auto"/>
            <w:noWrap/>
            <w:hideMark/>
          </w:tcPr>
          <w:p w14:paraId="2AFA7588" w14:textId="77777777" w:rsidR="006D61EA" w:rsidRPr="00041A76" w:rsidRDefault="006D61EA" w:rsidP="002F3C17">
            <w:pPr>
              <w:pStyle w:val="ExhibitText"/>
              <w:jc w:val="right"/>
            </w:pPr>
            <w:r w:rsidRPr="00041A76">
              <w:t>13,250</w:t>
            </w:r>
          </w:p>
        </w:tc>
        <w:tc>
          <w:tcPr>
            <w:tcW w:w="435" w:type="pct"/>
            <w:shd w:val="clear" w:color="auto" w:fill="auto"/>
            <w:noWrap/>
            <w:hideMark/>
          </w:tcPr>
          <w:p w14:paraId="657BBAF8" w14:textId="77777777" w:rsidR="006D61EA" w:rsidRPr="00041A76" w:rsidRDefault="006D61EA" w:rsidP="002F3C17">
            <w:pPr>
              <w:pStyle w:val="ExhibitText"/>
              <w:jc w:val="right"/>
            </w:pPr>
            <w:r w:rsidRPr="00041A76">
              <w:t>2,131</w:t>
            </w:r>
          </w:p>
        </w:tc>
      </w:tr>
      <w:tr w:rsidR="00056259" w:rsidRPr="007532BD" w14:paraId="1258CE77" w14:textId="77777777" w:rsidTr="00F2675C">
        <w:trPr>
          <w:trHeight w:val="360"/>
        </w:trPr>
        <w:tc>
          <w:tcPr>
            <w:tcW w:w="1955" w:type="pct"/>
            <w:noWrap/>
            <w:hideMark/>
          </w:tcPr>
          <w:p w14:paraId="3949D533" w14:textId="77777777" w:rsidR="006D61EA" w:rsidRPr="00041A76" w:rsidRDefault="006D61EA" w:rsidP="009A6B9D">
            <w:pPr>
              <w:pStyle w:val="ExhibitText"/>
              <w:jc w:val="left"/>
            </w:pPr>
            <w:r w:rsidRPr="00041A76">
              <w:t>Total assets</w:t>
            </w:r>
          </w:p>
        </w:tc>
        <w:tc>
          <w:tcPr>
            <w:tcW w:w="435" w:type="pct"/>
            <w:noWrap/>
            <w:hideMark/>
          </w:tcPr>
          <w:p w14:paraId="6084CD62" w14:textId="77777777" w:rsidR="006D61EA" w:rsidRPr="00041A76" w:rsidRDefault="006D61EA" w:rsidP="002F3C17">
            <w:pPr>
              <w:pStyle w:val="ExhibitText"/>
              <w:jc w:val="right"/>
            </w:pPr>
            <w:r w:rsidRPr="00041A76">
              <w:t>41,707</w:t>
            </w:r>
          </w:p>
        </w:tc>
        <w:tc>
          <w:tcPr>
            <w:tcW w:w="435" w:type="pct"/>
            <w:noWrap/>
            <w:hideMark/>
          </w:tcPr>
          <w:p w14:paraId="61C809DB" w14:textId="77777777" w:rsidR="006D61EA" w:rsidRPr="00041A76" w:rsidRDefault="006D61EA" w:rsidP="002F3C17">
            <w:pPr>
              <w:pStyle w:val="ExhibitText"/>
              <w:jc w:val="right"/>
            </w:pPr>
            <w:r w:rsidRPr="00041A76">
              <w:t>37,830</w:t>
            </w:r>
          </w:p>
        </w:tc>
        <w:tc>
          <w:tcPr>
            <w:tcW w:w="435" w:type="pct"/>
            <w:tcBorders>
              <w:right w:val="single" w:sz="4" w:space="0" w:color="auto"/>
            </w:tcBorders>
            <w:noWrap/>
            <w:hideMark/>
          </w:tcPr>
          <w:p w14:paraId="522F0DEB" w14:textId="77777777" w:rsidR="006D61EA" w:rsidRPr="00041A76" w:rsidRDefault="006D61EA" w:rsidP="002F3C17">
            <w:pPr>
              <w:pStyle w:val="ExhibitText"/>
              <w:jc w:val="right"/>
            </w:pPr>
            <w:r w:rsidRPr="00041A76">
              <w:t>47,210</w:t>
            </w:r>
          </w:p>
        </w:tc>
        <w:tc>
          <w:tcPr>
            <w:tcW w:w="435" w:type="pct"/>
            <w:tcBorders>
              <w:left w:val="single" w:sz="4" w:space="0" w:color="auto"/>
            </w:tcBorders>
            <w:noWrap/>
            <w:hideMark/>
          </w:tcPr>
          <w:p w14:paraId="7235D7C5" w14:textId="77777777" w:rsidR="006D61EA" w:rsidRPr="00041A76" w:rsidRDefault="006D61EA" w:rsidP="002F3C17">
            <w:pPr>
              <w:pStyle w:val="ExhibitText"/>
              <w:jc w:val="right"/>
            </w:pPr>
            <w:r w:rsidRPr="00041A76">
              <w:t>63,786</w:t>
            </w:r>
          </w:p>
        </w:tc>
        <w:tc>
          <w:tcPr>
            <w:tcW w:w="435" w:type="pct"/>
            <w:tcBorders>
              <w:right w:val="double" w:sz="4" w:space="0" w:color="auto"/>
            </w:tcBorders>
            <w:noWrap/>
            <w:hideMark/>
          </w:tcPr>
          <w:p w14:paraId="16A393E2" w14:textId="77777777" w:rsidR="006D61EA" w:rsidRPr="00041A76" w:rsidRDefault="006D61EA" w:rsidP="002F3C17">
            <w:pPr>
              <w:pStyle w:val="ExhibitText"/>
              <w:jc w:val="right"/>
            </w:pPr>
            <w:r w:rsidRPr="00041A76">
              <w:t>10,261</w:t>
            </w:r>
          </w:p>
        </w:tc>
        <w:tc>
          <w:tcPr>
            <w:tcW w:w="435" w:type="pct"/>
            <w:tcBorders>
              <w:left w:val="double" w:sz="4" w:space="0" w:color="auto"/>
            </w:tcBorders>
            <w:noWrap/>
            <w:hideMark/>
          </w:tcPr>
          <w:p w14:paraId="1C6D0D8F" w14:textId="77777777" w:rsidR="006D61EA" w:rsidRPr="00041A76" w:rsidRDefault="006D61EA" w:rsidP="002F3C17">
            <w:pPr>
              <w:pStyle w:val="ExhibitText"/>
              <w:jc w:val="right"/>
            </w:pPr>
            <w:r w:rsidRPr="00041A76">
              <w:t>107,058</w:t>
            </w:r>
          </w:p>
        </w:tc>
        <w:tc>
          <w:tcPr>
            <w:tcW w:w="435" w:type="pct"/>
            <w:noWrap/>
            <w:hideMark/>
          </w:tcPr>
          <w:p w14:paraId="1EADF33B" w14:textId="77777777" w:rsidR="006D61EA" w:rsidRPr="00041A76" w:rsidRDefault="006D61EA" w:rsidP="002F3C17">
            <w:pPr>
              <w:pStyle w:val="ExhibitText"/>
              <w:jc w:val="right"/>
            </w:pPr>
            <w:r w:rsidRPr="00041A76">
              <w:t>17,222</w:t>
            </w:r>
          </w:p>
        </w:tc>
      </w:tr>
      <w:tr w:rsidR="00CB00B5" w:rsidRPr="007532BD" w14:paraId="4BB9DC78"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1955" w:type="pct"/>
            <w:shd w:val="clear" w:color="auto" w:fill="auto"/>
            <w:noWrap/>
            <w:hideMark/>
          </w:tcPr>
          <w:p w14:paraId="73F56F43" w14:textId="77777777" w:rsidR="006D61EA" w:rsidRPr="00041A76" w:rsidRDefault="006D61EA" w:rsidP="009A6B9D">
            <w:pPr>
              <w:pStyle w:val="ExhibitText"/>
              <w:jc w:val="left"/>
            </w:pPr>
            <w:r w:rsidRPr="00041A76">
              <w:t>Current bank borrowings</w:t>
            </w:r>
          </w:p>
        </w:tc>
        <w:tc>
          <w:tcPr>
            <w:tcW w:w="435" w:type="pct"/>
            <w:shd w:val="clear" w:color="auto" w:fill="auto"/>
            <w:noWrap/>
            <w:hideMark/>
          </w:tcPr>
          <w:p w14:paraId="29BA5AD9" w14:textId="77777777" w:rsidR="006D61EA" w:rsidRPr="00041A76" w:rsidRDefault="006D61EA" w:rsidP="002F3C17">
            <w:pPr>
              <w:pStyle w:val="ExhibitText"/>
              <w:jc w:val="right"/>
            </w:pPr>
            <w:r w:rsidRPr="00041A76">
              <w:t>—</w:t>
            </w:r>
          </w:p>
        </w:tc>
        <w:tc>
          <w:tcPr>
            <w:tcW w:w="435" w:type="pct"/>
            <w:shd w:val="clear" w:color="auto" w:fill="auto"/>
            <w:noWrap/>
            <w:hideMark/>
          </w:tcPr>
          <w:p w14:paraId="6D3BF3E5" w14:textId="77777777" w:rsidR="006D61EA" w:rsidRPr="00041A76" w:rsidRDefault="006D61EA" w:rsidP="002F3C17">
            <w:pPr>
              <w:pStyle w:val="ExhibitText"/>
              <w:jc w:val="right"/>
            </w:pPr>
            <w:r w:rsidRPr="00041A76">
              <w:t>807</w:t>
            </w:r>
          </w:p>
        </w:tc>
        <w:tc>
          <w:tcPr>
            <w:tcW w:w="435" w:type="pct"/>
            <w:tcBorders>
              <w:right w:val="single" w:sz="4" w:space="0" w:color="auto"/>
            </w:tcBorders>
            <w:shd w:val="clear" w:color="auto" w:fill="auto"/>
            <w:noWrap/>
            <w:hideMark/>
          </w:tcPr>
          <w:p w14:paraId="300899D2" w14:textId="77777777" w:rsidR="006D61EA" w:rsidRPr="00041A76" w:rsidRDefault="006D61EA" w:rsidP="002F3C17">
            <w:pPr>
              <w:pStyle w:val="ExhibitText"/>
              <w:jc w:val="right"/>
            </w:pPr>
            <w:r w:rsidRPr="00041A76">
              <w:t>1,283</w:t>
            </w:r>
          </w:p>
        </w:tc>
        <w:tc>
          <w:tcPr>
            <w:tcW w:w="435" w:type="pct"/>
            <w:tcBorders>
              <w:left w:val="single" w:sz="4" w:space="0" w:color="auto"/>
            </w:tcBorders>
            <w:shd w:val="clear" w:color="auto" w:fill="auto"/>
            <w:noWrap/>
            <w:hideMark/>
          </w:tcPr>
          <w:p w14:paraId="5501CA0E" w14:textId="77777777" w:rsidR="006D61EA" w:rsidRPr="00041A76" w:rsidRDefault="006D61EA" w:rsidP="002F3C17">
            <w:pPr>
              <w:pStyle w:val="ExhibitText"/>
              <w:jc w:val="right"/>
            </w:pPr>
            <w:r w:rsidRPr="00041A76">
              <w:t>3,350</w:t>
            </w:r>
          </w:p>
        </w:tc>
        <w:tc>
          <w:tcPr>
            <w:tcW w:w="435" w:type="pct"/>
            <w:tcBorders>
              <w:right w:val="double" w:sz="4" w:space="0" w:color="auto"/>
            </w:tcBorders>
            <w:shd w:val="clear" w:color="auto" w:fill="auto"/>
            <w:noWrap/>
            <w:hideMark/>
          </w:tcPr>
          <w:p w14:paraId="40B160D7" w14:textId="77777777" w:rsidR="006D61EA" w:rsidRPr="00041A76" w:rsidRDefault="006D61EA" w:rsidP="002F3C17">
            <w:pPr>
              <w:pStyle w:val="ExhibitText"/>
              <w:jc w:val="right"/>
            </w:pPr>
            <w:r w:rsidRPr="00041A76">
              <w:t>539</w:t>
            </w:r>
          </w:p>
        </w:tc>
        <w:tc>
          <w:tcPr>
            <w:tcW w:w="435" w:type="pct"/>
            <w:tcBorders>
              <w:left w:val="double" w:sz="4" w:space="0" w:color="auto"/>
            </w:tcBorders>
            <w:shd w:val="clear" w:color="auto" w:fill="auto"/>
            <w:noWrap/>
            <w:hideMark/>
          </w:tcPr>
          <w:p w14:paraId="6FDCE534" w14:textId="77777777" w:rsidR="006D61EA" w:rsidRPr="00041A76" w:rsidRDefault="006D61EA" w:rsidP="002F3C17">
            <w:pPr>
              <w:pStyle w:val="ExhibitText"/>
              <w:jc w:val="right"/>
            </w:pPr>
            <w:r w:rsidRPr="00041A76">
              <w:t>1,200</w:t>
            </w:r>
          </w:p>
        </w:tc>
        <w:tc>
          <w:tcPr>
            <w:tcW w:w="435" w:type="pct"/>
            <w:shd w:val="clear" w:color="auto" w:fill="auto"/>
            <w:noWrap/>
            <w:hideMark/>
          </w:tcPr>
          <w:p w14:paraId="0851F893" w14:textId="77777777" w:rsidR="006D61EA" w:rsidRPr="00041A76" w:rsidRDefault="006D61EA" w:rsidP="002F3C17">
            <w:pPr>
              <w:pStyle w:val="ExhibitText"/>
              <w:jc w:val="right"/>
            </w:pPr>
            <w:r w:rsidRPr="00041A76">
              <w:t>193</w:t>
            </w:r>
          </w:p>
        </w:tc>
      </w:tr>
      <w:tr w:rsidR="00056259" w:rsidRPr="007532BD" w14:paraId="465408B4" w14:textId="77777777" w:rsidTr="00F2675C">
        <w:trPr>
          <w:trHeight w:val="360"/>
        </w:trPr>
        <w:tc>
          <w:tcPr>
            <w:tcW w:w="1955" w:type="pct"/>
            <w:noWrap/>
            <w:hideMark/>
          </w:tcPr>
          <w:p w14:paraId="344BC2DC" w14:textId="77777777" w:rsidR="006D61EA" w:rsidRPr="00041A76" w:rsidRDefault="006D61EA" w:rsidP="009A6B9D">
            <w:pPr>
              <w:pStyle w:val="ExhibitText"/>
              <w:jc w:val="left"/>
            </w:pPr>
            <w:r w:rsidRPr="00041A76">
              <w:t>Secured borrowings</w:t>
            </w:r>
          </w:p>
        </w:tc>
        <w:tc>
          <w:tcPr>
            <w:tcW w:w="435" w:type="pct"/>
            <w:noWrap/>
            <w:hideMark/>
          </w:tcPr>
          <w:p w14:paraId="597F2E8A" w14:textId="77777777" w:rsidR="006D61EA" w:rsidRPr="00041A76" w:rsidRDefault="006D61EA" w:rsidP="002F3C17">
            <w:pPr>
              <w:pStyle w:val="ExhibitText"/>
              <w:jc w:val="right"/>
            </w:pPr>
            <w:r w:rsidRPr="00041A76">
              <w:t>—</w:t>
            </w:r>
          </w:p>
        </w:tc>
        <w:tc>
          <w:tcPr>
            <w:tcW w:w="435" w:type="pct"/>
            <w:noWrap/>
            <w:hideMark/>
          </w:tcPr>
          <w:p w14:paraId="7F293BF2" w14:textId="77777777" w:rsidR="006D61EA" w:rsidRPr="00041A76" w:rsidRDefault="006D61EA" w:rsidP="002F3C17">
            <w:pPr>
              <w:pStyle w:val="ExhibitText"/>
              <w:jc w:val="right"/>
            </w:pPr>
            <w:r w:rsidRPr="00041A76">
              <w:t>—</w:t>
            </w:r>
          </w:p>
        </w:tc>
        <w:tc>
          <w:tcPr>
            <w:tcW w:w="435" w:type="pct"/>
            <w:tcBorders>
              <w:right w:val="single" w:sz="4" w:space="0" w:color="auto"/>
            </w:tcBorders>
            <w:noWrap/>
            <w:hideMark/>
          </w:tcPr>
          <w:p w14:paraId="6BEDAE9E" w14:textId="77777777" w:rsidR="006D61EA" w:rsidRPr="00041A76" w:rsidRDefault="006D61EA" w:rsidP="002F3C17">
            <w:pPr>
              <w:pStyle w:val="ExhibitText"/>
              <w:jc w:val="right"/>
            </w:pPr>
            <w:r w:rsidRPr="00041A76">
              <w:t>—</w:t>
            </w:r>
          </w:p>
        </w:tc>
        <w:tc>
          <w:tcPr>
            <w:tcW w:w="435" w:type="pct"/>
            <w:tcBorders>
              <w:left w:val="single" w:sz="4" w:space="0" w:color="auto"/>
            </w:tcBorders>
            <w:noWrap/>
            <w:hideMark/>
          </w:tcPr>
          <w:p w14:paraId="1850DF68" w14:textId="77777777" w:rsidR="006D61EA" w:rsidRPr="00041A76" w:rsidRDefault="006D61EA" w:rsidP="002F3C17">
            <w:pPr>
              <w:pStyle w:val="ExhibitText"/>
              <w:jc w:val="right"/>
            </w:pPr>
            <w:r w:rsidRPr="00041A76">
              <w:t>2,098</w:t>
            </w:r>
          </w:p>
        </w:tc>
        <w:tc>
          <w:tcPr>
            <w:tcW w:w="435" w:type="pct"/>
            <w:tcBorders>
              <w:right w:val="double" w:sz="4" w:space="0" w:color="auto"/>
            </w:tcBorders>
            <w:noWrap/>
            <w:hideMark/>
          </w:tcPr>
          <w:p w14:paraId="719763EE" w14:textId="77777777" w:rsidR="006D61EA" w:rsidRPr="00041A76" w:rsidRDefault="006D61EA" w:rsidP="002F3C17">
            <w:pPr>
              <w:pStyle w:val="ExhibitText"/>
              <w:jc w:val="right"/>
            </w:pPr>
            <w:r w:rsidRPr="00041A76">
              <w:t>337</w:t>
            </w:r>
          </w:p>
        </w:tc>
        <w:tc>
          <w:tcPr>
            <w:tcW w:w="435" w:type="pct"/>
            <w:tcBorders>
              <w:left w:val="double" w:sz="4" w:space="0" w:color="auto"/>
            </w:tcBorders>
            <w:noWrap/>
            <w:hideMark/>
          </w:tcPr>
          <w:p w14:paraId="57E1A8C8" w14:textId="77777777" w:rsidR="006D61EA" w:rsidRPr="00041A76" w:rsidRDefault="006D61EA" w:rsidP="002F3C17">
            <w:pPr>
              <w:pStyle w:val="ExhibitText"/>
              <w:jc w:val="right"/>
            </w:pPr>
            <w:r w:rsidRPr="00041A76">
              <w:t>8,884</w:t>
            </w:r>
          </w:p>
        </w:tc>
        <w:tc>
          <w:tcPr>
            <w:tcW w:w="435" w:type="pct"/>
            <w:noWrap/>
            <w:hideMark/>
          </w:tcPr>
          <w:p w14:paraId="0714DC4C" w14:textId="77777777" w:rsidR="006D61EA" w:rsidRPr="00041A76" w:rsidRDefault="006D61EA" w:rsidP="002F3C17">
            <w:pPr>
              <w:pStyle w:val="ExhibitText"/>
              <w:jc w:val="right"/>
            </w:pPr>
            <w:r w:rsidRPr="00041A76">
              <w:t>1,429</w:t>
            </w:r>
          </w:p>
        </w:tc>
      </w:tr>
      <w:tr w:rsidR="00CB00B5" w:rsidRPr="007532BD" w14:paraId="40D2ADF2"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1955" w:type="pct"/>
            <w:shd w:val="clear" w:color="auto" w:fill="auto"/>
            <w:noWrap/>
            <w:hideMark/>
          </w:tcPr>
          <w:p w14:paraId="20DECAF8" w14:textId="77777777" w:rsidR="006D61EA" w:rsidRPr="00041A76" w:rsidRDefault="006D61EA" w:rsidP="009A6B9D">
            <w:pPr>
              <w:pStyle w:val="ExhibitText"/>
              <w:jc w:val="left"/>
            </w:pPr>
            <w:r w:rsidRPr="00041A76">
              <w:t>Redeemable preference shares</w:t>
            </w:r>
          </w:p>
        </w:tc>
        <w:tc>
          <w:tcPr>
            <w:tcW w:w="435" w:type="pct"/>
            <w:shd w:val="clear" w:color="auto" w:fill="auto"/>
            <w:noWrap/>
            <w:hideMark/>
          </w:tcPr>
          <w:p w14:paraId="1E1D3CF3" w14:textId="77777777" w:rsidR="006D61EA" w:rsidRPr="00041A76" w:rsidRDefault="006D61EA" w:rsidP="002F3C17">
            <w:pPr>
              <w:pStyle w:val="ExhibitText"/>
              <w:jc w:val="right"/>
            </w:pPr>
            <w:r w:rsidRPr="00041A76">
              <w:t>—</w:t>
            </w:r>
          </w:p>
        </w:tc>
        <w:tc>
          <w:tcPr>
            <w:tcW w:w="435" w:type="pct"/>
            <w:shd w:val="clear" w:color="auto" w:fill="auto"/>
            <w:noWrap/>
            <w:hideMark/>
          </w:tcPr>
          <w:p w14:paraId="62B7FA3C" w14:textId="77777777" w:rsidR="006D61EA" w:rsidRPr="00041A76" w:rsidRDefault="006D61EA" w:rsidP="002F3C17">
            <w:pPr>
              <w:pStyle w:val="ExhibitText"/>
              <w:jc w:val="right"/>
            </w:pPr>
            <w:r w:rsidRPr="00041A76">
              <w:t>—</w:t>
            </w:r>
          </w:p>
        </w:tc>
        <w:tc>
          <w:tcPr>
            <w:tcW w:w="435" w:type="pct"/>
            <w:tcBorders>
              <w:right w:val="single" w:sz="4" w:space="0" w:color="auto"/>
            </w:tcBorders>
            <w:shd w:val="clear" w:color="auto" w:fill="auto"/>
            <w:noWrap/>
            <w:hideMark/>
          </w:tcPr>
          <w:p w14:paraId="4707C655" w14:textId="77777777" w:rsidR="006D61EA" w:rsidRPr="00041A76" w:rsidRDefault="006D61EA" w:rsidP="002F3C17">
            <w:pPr>
              <w:pStyle w:val="ExhibitText"/>
              <w:jc w:val="right"/>
            </w:pPr>
            <w:r w:rsidRPr="00041A76">
              <w:t>—</w:t>
            </w:r>
          </w:p>
        </w:tc>
        <w:tc>
          <w:tcPr>
            <w:tcW w:w="435" w:type="pct"/>
            <w:tcBorders>
              <w:left w:val="single" w:sz="4" w:space="0" w:color="auto"/>
            </w:tcBorders>
            <w:shd w:val="clear" w:color="auto" w:fill="auto"/>
            <w:noWrap/>
            <w:hideMark/>
          </w:tcPr>
          <w:p w14:paraId="1050925C" w14:textId="77777777" w:rsidR="006D61EA" w:rsidRPr="00041A76" w:rsidRDefault="006D61EA" w:rsidP="002F3C17">
            <w:pPr>
              <w:pStyle w:val="ExhibitText"/>
              <w:jc w:val="right"/>
            </w:pPr>
            <w:r w:rsidRPr="00041A76">
              <w:t>5,191</w:t>
            </w:r>
          </w:p>
        </w:tc>
        <w:tc>
          <w:tcPr>
            <w:tcW w:w="435" w:type="pct"/>
            <w:tcBorders>
              <w:right w:val="double" w:sz="4" w:space="0" w:color="auto"/>
            </w:tcBorders>
            <w:shd w:val="clear" w:color="auto" w:fill="auto"/>
            <w:noWrap/>
            <w:hideMark/>
          </w:tcPr>
          <w:p w14:paraId="7E0B80FA" w14:textId="77777777" w:rsidR="006D61EA" w:rsidRPr="00041A76" w:rsidRDefault="006D61EA" w:rsidP="002F3C17">
            <w:pPr>
              <w:pStyle w:val="ExhibitText"/>
              <w:jc w:val="right"/>
            </w:pPr>
            <w:r w:rsidRPr="00041A76">
              <w:t>835</w:t>
            </w:r>
          </w:p>
        </w:tc>
        <w:tc>
          <w:tcPr>
            <w:tcW w:w="435" w:type="pct"/>
            <w:tcBorders>
              <w:left w:val="double" w:sz="4" w:space="0" w:color="auto"/>
            </w:tcBorders>
            <w:shd w:val="clear" w:color="auto" w:fill="auto"/>
            <w:noWrap/>
            <w:hideMark/>
          </w:tcPr>
          <w:p w14:paraId="1A5FE172" w14:textId="77777777" w:rsidR="006D61EA" w:rsidRPr="00041A76" w:rsidRDefault="006D61EA" w:rsidP="002F3C17">
            <w:pPr>
              <w:pStyle w:val="ExhibitText"/>
              <w:jc w:val="right"/>
            </w:pPr>
            <w:r w:rsidRPr="00041A76">
              <w:t>—</w:t>
            </w:r>
          </w:p>
        </w:tc>
        <w:tc>
          <w:tcPr>
            <w:tcW w:w="435" w:type="pct"/>
            <w:shd w:val="clear" w:color="auto" w:fill="auto"/>
            <w:noWrap/>
            <w:hideMark/>
          </w:tcPr>
          <w:p w14:paraId="6B58982C" w14:textId="77777777" w:rsidR="006D61EA" w:rsidRPr="00041A76" w:rsidRDefault="006D61EA" w:rsidP="002F3C17">
            <w:pPr>
              <w:pStyle w:val="ExhibitText"/>
              <w:jc w:val="right"/>
            </w:pPr>
            <w:r w:rsidRPr="00041A76">
              <w:t>—</w:t>
            </w:r>
          </w:p>
        </w:tc>
      </w:tr>
      <w:tr w:rsidR="00056259" w:rsidRPr="007532BD" w14:paraId="6A3DC2C1" w14:textId="77777777" w:rsidTr="00F2675C">
        <w:trPr>
          <w:trHeight w:val="360"/>
        </w:trPr>
        <w:tc>
          <w:tcPr>
            <w:tcW w:w="1955" w:type="pct"/>
            <w:noWrap/>
            <w:hideMark/>
          </w:tcPr>
          <w:p w14:paraId="6D67EE5C" w14:textId="77777777" w:rsidR="006D61EA" w:rsidRPr="00041A76" w:rsidRDefault="006D61EA" w:rsidP="009A6B9D">
            <w:pPr>
              <w:pStyle w:val="ExhibitText"/>
              <w:jc w:val="left"/>
            </w:pPr>
            <w:r w:rsidRPr="00041A76">
              <w:t>Non-current bank borrowings</w:t>
            </w:r>
          </w:p>
        </w:tc>
        <w:tc>
          <w:tcPr>
            <w:tcW w:w="435" w:type="pct"/>
            <w:noWrap/>
            <w:hideMark/>
          </w:tcPr>
          <w:p w14:paraId="47302A45" w14:textId="77777777" w:rsidR="006D61EA" w:rsidRPr="00041A76" w:rsidRDefault="006D61EA" w:rsidP="002F3C17">
            <w:pPr>
              <w:pStyle w:val="ExhibitText"/>
              <w:jc w:val="right"/>
            </w:pPr>
            <w:r w:rsidRPr="00041A76">
              <w:t>—</w:t>
            </w:r>
          </w:p>
        </w:tc>
        <w:tc>
          <w:tcPr>
            <w:tcW w:w="435" w:type="pct"/>
            <w:noWrap/>
            <w:hideMark/>
          </w:tcPr>
          <w:p w14:paraId="1DD273CF" w14:textId="77777777" w:rsidR="006D61EA" w:rsidRPr="00041A76" w:rsidRDefault="006D61EA" w:rsidP="002F3C17">
            <w:pPr>
              <w:pStyle w:val="ExhibitText"/>
              <w:jc w:val="right"/>
            </w:pPr>
            <w:r w:rsidRPr="00041A76">
              <w:t>—</w:t>
            </w:r>
          </w:p>
        </w:tc>
        <w:tc>
          <w:tcPr>
            <w:tcW w:w="435" w:type="pct"/>
            <w:tcBorders>
              <w:right w:val="single" w:sz="4" w:space="0" w:color="auto"/>
            </w:tcBorders>
            <w:noWrap/>
            <w:hideMark/>
          </w:tcPr>
          <w:p w14:paraId="2DB17E67" w14:textId="77777777" w:rsidR="006D61EA" w:rsidRPr="00041A76" w:rsidRDefault="006D61EA" w:rsidP="002F3C17">
            <w:pPr>
              <w:pStyle w:val="ExhibitText"/>
              <w:jc w:val="right"/>
            </w:pPr>
            <w:r w:rsidRPr="00041A76">
              <w:t>—</w:t>
            </w:r>
          </w:p>
        </w:tc>
        <w:tc>
          <w:tcPr>
            <w:tcW w:w="435" w:type="pct"/>
            <w:tcBorders>
              <w:left w:val="single" w:sz="4" w:space="0" w:color="auto"/>
            </w:tcBorders>
            <w:noWrap/>
            <w:hideMark/>
          </w:tcPr>
          <w:p w14:paraId="0D4B03B9" w14:textId="77777777" w:rsidR="006D61EA" w:rsidRPr="00041A76" w:rsidRDefault="006D61EA" w:rsidP="002F3C17">
            <w:pPr>
              <w:pStyle w:val="ExhibitText"/>
              <w:jc w:val="right"/>
            </w:pPr>
            <w:r w:rsidRPr="00041A76">
              <w:t>22,462</w:t>
            </w:r>
          </w:p>
        </w:tc>
        <w:tc>
          <w:tcPr>
            <w:tcW w:w="435" w:type="pct"/>
            <w:tcBorders>
              <w:right w:val="double" w:sz="4" w:space="0" w:color="auto"/>
            </w:tcBorders>
            <w:noWrap/>
            <w:hideMark/>
          </w:tcPr>
          <w:p w14:paraId="11DA7C91" w14:textId="77777777" w:rsidR="006D61EA" w:rsidRPr="00041A76" w:rsidRDefault="006D61EA" w:rsidP="002F3C17">
            <w:pPr>
              <w:pStyle w:val="ExhibitText"/>
              <w:jc w:val="right"/>
            </w:pPr>
            <w:r w:rsidRPr="00041A76">
              <w:t>3,613</w:t>
            </w:r>
          </w:p>
        </w:tc>
        <w:tc>
          <w:tcPr>
            <w:tcW w:w="435" w:type="pct"/>
            <w:tcBorders>
              <w:left w:val="double" w:sz="4" w:space="0" w:color="auto"/>
            </w:tcBorders>
            <w:noWrap/>
            <w:hideMark/>
          </w:tcPr>
          <w:p w14:paraId="05E98E89" w14:textId="77777777" w:rsidR="006D61EA" w:rsidRPr="00041A76" w:rsidRDefault="006D61EA" w:rsidP="002F3C17">
            <w:pPr>
              <w:pStyle w:val="ExhibitText"/>
              <w:jc w:val="right"/>
            </w:pPr>
            <w:r w:rsidRPr="00041A76">
              <w:t>30,226</w:t>
            </w:r>
          </w:p>
        </w:tc>
        <w:tc>
          <w:tcPr>
            <w:tcW w:w="435" w:type="pct"/>
            <w:noWrap/>
            <w:hideMark/>
          </w:tcPr>
          <w:p w14:paraId="6C0DD8A9" w14:textId="77777777" w:rsidR="006D61EA" w:rsidRPr="00041A76" w:rsidRDefault="006D61EA" w:rsidP="002F3C17">
            <w:pPr>
              <w:pStyle w:val="ExhibitText"/>
              <w:jc w:val="right"/>
            </w:pPr>
            <w:r w:rsidRPr="00041A76">
              <w:t>4,862</w:t>
            </w:r>
          </w:p>
        </w:tc>
      </w:tr>
      <w:tr w:rsidR="00CB00B5" w:rsidRPr="007532BD" w14:paraId="0A3CC8C1"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1955" w:type="pct"/>
            <w:shd w:val="clear" w:color="auto" w:fill="auto"/>
            <w:noWrap/>
            <w:hideMark/>
          </w:tcPr>
          <w:p w14:paraId="5E654D96" w14:textId="77777777" w:rsidR="006D61EA" w:rsidRPr="00041A76" w:rsidRDefault="006D61EA" w:rsidP="009A6B9D">
            <w:pPr>
              <w:pStyle w:val="ExhibitText"/>
              <w:jc w:val="left"/>
            </w:pPr>
            <w:r w:rsidRPr="00041A76">
              <w:t>Total liabilities</w:t>
            </w:r>
          </w:p>
        </w:tc>
        <w:tc>
          <w:tcPr>
            <w:tcW w:w="435" w:type="pct"/>
            <w:shd w:val="clear" w:color="auto" w:fill="auto"/>
            <w:noWrap/>
            <w:hideMark/>
          </w:tcPr>
          <w:p w14:paraId="6F5E6DC6" w14:textId="77777777" w:rsidR="006D61EA" w:rsidRPr="00041A76" w:rsidRDefault="006D61EA" w:rsidP="002F3C17">
            <w:pPr>
              <w:pStyle w:val="ExhibitText"/>
              <w:jc w:val="right"/>
            </w:pPr>
            <w:r w:rsidRPr="00041A76">
              <w:t>15,208</w:t>
            </w:r>
          </w:p>
        </w:tc>
        <w:tc>
          <w:tcPr>
            <w:tcW w:w="435" w:type="pct"/>
            <w:shd w:val="clear" w:color="auto" w:fill="auto"/>
            <w:noWrap/>
            <w:hideMark/>
          </w:tcPr>
          <w:p w14:paraId="14A62F8E" w14:textId="77777777" w:rsidR="006D61EA" w:rsidRPr="00041A76" w:rsidRDefault="006D61EA" w:rsidP="002F3C17">
            <w:pPr>
              <w:pStyle w:val="ExhibitText"/>
              <w:jc w:val="right"/>
            </w:pPr>
            <w:r w:rsidRPr="00041A76">
              <w:t>9,413</w:t>
            </w:r>
          </w:p>
        </w:tc>
        <w:tc>
          <w:tcPr>
            <w:tcW w:w="435" w:type="pct"/>
            <w:tcBorders>
              <w:right w:val="single" w:sz="4" w:space="0" w:color="auto"/>
            </w:tcBorders>
            <w:shd w:val="clear" w:color="auto" w:fill="auto"/>
            <w:noWrap/>
            <w:hideMark/>
          </w:tcPr>
          <w:p w14:paraId="467B2058" w14:textId="77777777" w:rsidR="006D61EA" w:rsidRPr="00041A76" w:rsidRDefault="006D61EA" w:rsidP="002F3C17">
            <w:pPr>
              <w:pStyle w:val="ExhibitText"/>
              <w:jc w:val="right"/>
            </w:pPr>
            <w:r w:rsidRPr="00041A76">
              <w:t>12,797</w:t>
            </w:r>
          </w:p>
        </w:tc>
        <w:tc>
          <w:tcPr>
            <w:tcW w:w="435" w:type="pct"/>
            <w:tcBorders>
              <w:left w:val="single" w:sz="4" w:space="0" w:color="auto"/>
            </w:tcBorders>
            <w:shd w:val="clear" w:color="auto" w:fill="auto"/>
            <w:noWrap/>
            <w:hideMark/>
          </w:tcPr>
          <w:p w14:paraId="7C94ADED" w14:textId="77777777" w:rsidR="006D61EA" w:rsidRPr="00041A76" w:rsidRDefault="006D61EA" w:rsidP="002F3C17">
            <w:pPr>
              <w:pStyle w:val="ExhibitText"/>
              <w:jc w:val="right"/>
            </w:pPr>
            <w:r w:rsidRPr="00041A76">
              <w:t>52,740</w:t>
            </w:r>
          </w:p>
        </w:tc>
        <w:tc>
          <w:tcPr>
            <w:tcW w:w="435" w:type="pct"/>
            <w:tcBorders>
              <w:right w:val="double" w:sz="4" w:space="0" w:color="auto"/>
            </w:tcBorders>
            <w:shd w:val="clear" w:color="auto" w:fill="auto"/>
            <w:noWrap/>
            <w:hideMark/>
          </w:tcPr>
          <w:p w14:paraId="6EE154C1" w14:textId="77777777" w:rsidR="006D61EA" w:rsidRPr="00041A76" w:rsidRDefault="006D61EA" w:rsidP="002F3C17">
            <w:pPr>
              <w:pStyle w:val="ExhibitText"/>
              <w:jc w:val="right"/>
            </w:pPr>
            <w:r w:rsidRPr="00041A76">
              <w:t>8,484</w:t>
            </w:r>
          </w:p>
        </w:tc>
        <w:tc>
          <w:tcPr>
            <w:tcW w:w="435" w:type="pct"/>
            <w:tcBorders>
              <w:left w:val="double" w:sz="4" w:space="0" w:color="auto"/>
            </w:tcBorders>
            <w:shd w:val="clear" w:color="auto" w:fill="auto"/>
            <w:noWrap/>
            <w:hideMark/>
          </w:tcPr>
          <w:p w14:paraId="557D7376" w14:textId="77777777" w:rsidR="006D61EA" w:rsidRPr="00041A76" w:rsidRDefault="006D61EA" w:rsidP="002F3C17">
            <w:pPr>
              <w:pStyle w:val="ExhibitText"/>
              <w:jc w:val="right"/>
            </w:pPr>
            <w:r w:rsidRPr="00041A76">
              <w:t>72,805</w:t>
            </w:r>
          </w:p>
        </w:tc>
        <w:tc>
          <w:tcPr>
            <w:tcW w:w="435" w:type="pct"/>
            <w:shd w:val="clear" w:color="auto" w:fill="auto"/>
            <w:noWrap/>
            <w:hideMark/>
          </w:tcPr>
          <w:p w14:paraId="48C35FBE" w14:textId="77777777" w:rsidR="006D61EA" w:rsidRPr="00041A76" w:rsidRDefault="006D61EA" w:rsidP="002F3C17">
            <w:pPr>
              <w:pStyle w:val="ExhibitText"/>
              <w:jc w:val="right"/>
            </w:pPr>
            <w:r w:rsidRPr="00041A76">
              <w:t>11,712</w:t>
            </w:r>
          </w:p>
        </w:tc>
      </w:tr>
      <w:tr w:rsidR="00056259" w:rsidRPr="007532BD" w14:paraId="16D75B01" w14:textId="77777777" w:rsidTr="00F2675C">
        <w:trPr>
          <w:trHeight w:val="360"/>
        </w:trPr>
        <w:tc>
          <w:tcPr>
            <w:tcW w:w="1955" w:type="pct"/>
            <w:noWrap/>
            <w:hideMark/>
          </w:tcPr>
          <w:p w14:paraId="58EE4796" w14:textId="77777777" w:rsidR="006D61EA" w:rsidRPr="00041A76" w:rsidRDefault="006D61EA" w:rsidP="009A6B9D">
            <w:pPr>
              <w:pStyle w:val="ExhibitText"/>
              <w:jc w:val="left"/>
            </w:pPr>
            <w:r w:rsidRPr="00041A76">
              <w:t>Convertible preference shares</w:t>
            </w:r>
          </w:p>
        </w:tc>
        <w:tc>
          <w:tcPr>
            <w:tcW w:w="435" w:type="pct"/>
            <w:noWrap/>
            <w:hideMark/>
          </w:tcPr>
          <w:p w14:paraId="483D3D87" w14:textId="77777777" w:rsidR="006D61EA" w:rsidRPr="00041A76" w:rsidRDefault="006D61EA" w:rsidP="002F3C17">
            <w:pPr>
              <w:pStyle w:val="ExhibitText"/>
              <w:jc w:val="right"/>
            </w:pPr>
            <w:r w:rsidRPr="00041A76">
              <w:t>—</w:t>
            </w:r>
          </w:p>
        </w:tc>
        <w:tc>
          <w:tcPr>
            <w:tcW w:w="435" w:type="pct"/>
            <w:noWrap/>
            <w:hideMark/>
          </w:tcPr>
          <w:p w14:paraId="706E3D6E" w14:textId="77777777" w:rsidR="006D61EA" w:rsidRPr="00041A76" w:rsidRDefault="006D61EA" w:rsidP="002F3C17">
            <w:pPr>
              <w:pStyle w:val="ExhibitText"/>
              <w:jc w:val="right"/>
            </w:pPr>
            <w:r w:rsidRPr="00041A76">
              <w:t>—</w:t>
            </w:r>
          </w:p>
        </w:tc>
        <w:tc>
          <w:tcPr>
            <w:tcW w:w="435" w:type="pct"/>
            <w:tcBorders>
              <w:right w:val="single" w:sz="4" w:space="0" w:color="auto"/>
            </w:tcBorders>
            <w:noWrap/>
            <w:hideMark/>
          </w:tcPr>
          <w:p w14:paraId="5037998C" w14:textId="77777777" w:rsidR="006D61EA" w:rsidRPr="00041A76" w:rsidRDefault="006D61EA" w:rsidP="002F3C17">
            <w:pPr>
              <w:pStyle w:val="ExhibitText"/>
              <w:jc w:val="right"/>
            </w:pPr>
            <w:r w:rsidRPr="00041A76">
              <w:t>—</w:t>
            </w:r>
          </w:p>
        </w:tc>
        <w:tc>
          <w:tcPr>
            <w:tcW w:w="435" w:type="pct"/>
            <w:tcBorders>
              <w:left w:val="single" w:sz="4" w:space="0" w:color="auto"/>
            </w:tcBorders>
            <w:noWrap/>
            <w:hideMark/>
          </w:tcPr>
          <w:p w14:paraId="000A81FB" w14:textId="77777777" w:rsidR="006D61EA" w:rsidRPr="00041A76" w:rsidRDefault="006D61EA" w:rsidP="002F3C17">
            <w:pPr>
              <w:pStyle w:val="ExhibitText"/>
              <w:jc w:val="right"/>
            </w:pPr>
            <w:r w:rsidRPr="00041A76">
              <w:t>10,447</w:t>
            </w:r>
          </w:p>
        </w:tc>
        <w:tc>
          <w:tcPr>
            <w:tcW w:w="435" w:type="pct"/>
            <w:tcBorders>
              <w:right w:val="double" w:sz="4" w:space="0" w:color="auto"/>
            </w:tcBorders>
            <w:noWrap/>
            <w:hideMark/>
          </w:tcPr>
          <w:p w14:paraId="2E291FCD" w14:textId="77777777" w:rsidR="006D61EA" w:rsidRPr="00041A76" w:rsidRDefault="006D61EA" w:rsidP="002F3C17">
            <w:pPr>
              <w:pStyle w:val="ExhibitText"/>
              <w:jc w:val="right"/>
            </w:pPr>
            <w:r w:rsidRPr="00041A76">
              <w:t>1,680</w:t>
            </w:r>
          </w:p>
        </w:tc>
        <w:tc>
          <w:tcPr>
            <w:tcW w:w="435" w:type="pct"/>
            <w:tcBorders>
              <w:left w:val="double" w:sz="4" w:space="0" w:color="auto"/>
            </w:tcBorders>
            <w:noWrap/>
            <w:hideMark/>
          </w:tcPr>
          <w:p w14:paraId="7AB5B5FD" w14:textId="77777777" w:rsidR="006D61EA" w:rsidRPr="00041A76" w:rsidRDefault="006D61EA" w:rsidP="002F3C17">
            <w:pPr>
              <w:pStyle w:val="ExhibitText"/>
              <w:jc w:val="right"/>
            </w:pPr>
            <w:r w:rsidRPr="00041A76">
              <w:t>10,235</w:t>
            </w:r>
          </w:p>
        </w:tc>
        <w:tc>
          <w:tcPr>
            <w:tcW w:w="435" w:type="pct"/>
            <w:noWrap/>
            <w:hideMark/>
          </w:tcPr>
          <w:p w14:paraId="2813B36E" w14:textId="77777777" w:rsidR="006D61EA" w:rsidRPr="00041A76" w:rsidRDefault="006D61EA" w:rsidP="002F3C17">
            <w:pPr>
              <w:pStyle w:val="ExhibitText"/>
              <w:jc w:val="right"/>
            </w:pPr>
            <w:r w:rsidRPr="00041A76">
              <w:t>1,647</w:t>
            </w:r>
          </w:p>
        </w:tc>
      </w:tr>
      <w:tr w:rsidR="00CB00B5" w:rsidRPr="007532BD" w14:paraId="150EDD73"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1955" w:type="pct"/>
            <w:shd w:val="clear" w:color="auto" w:fill="auto"/>
            <w:noWrap/>
            <w:hideMark/>
          </w:tcPr>
          <w:p w14:paraId="5ECAF93F" w14:textId="77777777" w:rsidR="006D61EA" w:rsidRPr="00041A76" w:rsidRDefault="006D61EA" w:rsidP="009A6B9D">
            <w:pPr>
              <w:pStyle w:val="ExhibitText"/>
              <w:jc w:val="left"/>
            </w:pPr>
            <w:r w:rsidRPr="00041A76">
              <w:t>Total equity</w:t>
            </w:r>
          </w:p>
        </w:tc>
        <w:tc>
          <w:tcPr>
            <w:tcW w:w="435" w:type="pct"/>
            <w:shd w:val="clear" w:color="auto" w:fill="auto"/>
            <w:noWrap/>
            <w:hideMark/>
          </w:tcPr>
          <w:p w14:paraId="2BC8D575" w14:textId="77777777" w:rsidR="006D61EA" w:rsidRPr="00041A76" w:rsidRDefault="006D61EA" w:rsidP="002F3C17">
            <w:pPr>
              <w:pStyle w:val="ExhibitText"/>
              <w:jc w:val="right"/>
            </w:pPr>
            <w:r w:rsidRPr="00041A76">
              <w:t>26,493</w:t>
            </w:r>
          </w:p>
        </w:tc>
        <w:tc>
          <w:tcPr>
            <w:tcW w:w="435" w:type="pct"/>
            <w:shd w:val="clear" w:color="auto" w:fill="auto"/>
            <w:noWrap/>
            <w:hideMark/>
          </w:tcPr>
          <w:p w14:paraId="52B1AEBD" w14:textId="77777777" w:rsidR="006D61EA" w:rsidRPr="00041A76" w:rsidRDefault="006D61EA" w:rsidP="002F3C17">
            <w:pPr>
              <w:pStyle w:val="ExhibitText"/>
              <w:jc w:val="right"/>
            </w:pPr>
            <w:r w:rsidRPr="00041A76">
              <w:t>28,402</w:t>
            </w:r>
          </w:p>
        </w:tc>
        <w:tc>
          <w:tcPr>
            <w:tcW w:w="435" w:type="pct"/>
            <w:tcBorders>
              <w:right w:val="single" w:sz="4" w:space="0" w:color="auto"/>
            </w:tcBorders>
            <w:shd w:val="clear" w:color="auto" w:fill="auto"/>
            <w:noWrap/>
            <w:hideMark/>
          </w:tcPr>
          <w:p w14:paraId="05895C36" w14:textId="77777777" w:rsidR="006D61EA" w:rsidRPr="00041A76" w:rsidRDefault="006D61EA" w:rsidP="002F3C17">
            <w:pPr>
              <w:pStyle w:val="ExhibitText"/>
              <w:jc w:val="right"/>
            </w:pPr>
            <w:r w:rsidRPr="00041A76">
              <w:t>34,383</w:t>
            </w:r>
          </w:p>
        </w:tc>
        <w:tc>
          <w:tcPr>
            <w:tcW w:w="435" w:type="pct"/>
            <w:tcBorders>
              <w:left w:val="single" w:sz="4" w:space="0" w:color="auto"/>
            </w:tcBorders>
            <w:shd w:val="clear" w:color="auto" w:fill="auto"/>
            <w:noWrap/>
            <w:hideMark/>
          </w:tcPr>
          <w:p w14:paraId="01A3250A" w14:textId="77777777" w:rsidR="006D61EA" w:rsidRPr="00041A76" w:rsidRDefault="006D61EA" w:rsidP="002F3C17">
            <w:pPr>
              <w:pStyle w:val="ExhibitText"/>
              <w:jc w:val="right"/>
            </w:pPr>
            <w:r w:rsidRPr="00041A76">
              <w:t>513</w:t>
            </w:r>
          </w:p>
        </w:tc>
        <w:tc>
          <w:tcPr>
            <w:tcW w:w="435" w:type="pct"/>
            <w:tcBorders>
              <w:right w:val="double" w:sz="4" w:space="0" w:color="auto"/>
            </w:tcBorders>
            <w:shd w:val="clear" w:color="auto" w:fill="auto"/>
            <w:noWrap/>
            <w:hideMark/>
          </w:tcPr>
          <w:p w14:paraId="6AD0A48E" w14:textId="77777777" w:rsidR="006D61EA" w:rsidRPr="00041A76" w:rsidRDefault="006D61EA" w:rsidP="002F3C17">
            <w:pPr>
              <w:pStyle w:val="ExhibitText"/>
              <w:jc w:val="right"/>
            </w:pPr>
            <w:r w:rsidRPr="00041A76">
              <w:t>83</w:t>
            </w:r>
          </w:p>
        </w:tc>
        <w:tc>
          <w:tcPr>
            <w:tcW w:w="435" w:type="pct"/>
            <w:tcBorders>
              <w:left w:val="double" w:sz="4" w:space="0" w:color="auto"/>
            </w:tcBorders>
            <w:shd w:val="clear" w:color="auto" w:fill="auto"/>
            <w:noWrap/>
            <w:hideMark/>
          </w:tcPr>
          <w:p w14:paraId="6145D711" w14:textId="77777777" w:rsidR="006D61EA" w:rsidRPr="00041A76" w:rsidRDefault="006D61EA" w:rsidP="002F3C17">
            <w:pPr>
              <w:pStyle w:val="ExhibitText"/>
              <w:jc w:val="right"/>
            </w:pPr>
            <w:r w:rsidRPr="00041A76">
              <w:t>23,892</w:t>
            </w:r>
          </w:p>
        </w:tc>
        <w:tc>
          <w:tcPr>
            <w:tcW w:w="435" w:type="pct"/>
            <w:shd w:val="clear" w:color="auto" w:fill="auto"/>
            <w:noWrap/>
            <w:hideMark/>
          </w:tcPr>
          <w:p w14:paraId="4F5899BE" w14:textId="77777777" w:rsidR="006D61EA" w:rsidRPr="00041A76" w:rsidRDefault="006D61EA" w:rsidP="002F3C17">
            <w:pPr>
              <w:pStyle w:val="ExhibitText"/>
              <w:jc w:val="right"/>
            </w:pPr>
            <w:r w:rsidRPr="00041A76">
              <w:t>3,843</w:t>
            </w:r>
          </w:p>
        </w:tc>
      </w:tr>
    </w:tbl>
    <w:p w14:paraId="76524CEE" w14:textId="77777777" w:rsidR="00FC7297" w:rsidRPr="00B0282E" w:rsidRDefault="00FC7297" w:rsidP="002F3C17">
      <w:pPr>
        <w:pStyle w:val="ExhibitText"/>
      </w:pPr>
    </w:p>
    <w:p w14:paraId="4E5E4397" w14:textId="297375E5" w:rsidR="006D61EA" w:rsidRPr="00F2675C" w:rsidRDefault="006D61EA" w:rsidP="002F3C17">
      <w:pPr>
        <w:pStyle w:val="Footnote"/>
        <w:sectPr w:rsidR="006D61EA" w:rsidRPr="00F2675C" w:rsidSect="00FC7297">
          <w:pgSz w:w="15840" w:h="12240" w:orient="landscape" w:code="1"/>
          <w:pgMar w:top="1080" w:right="1440" w:bottom="1440" w:left="1440" w:header="1080" w:footer="720" w:gutter="0"/>
          <w:cols w:space="708"/>
          <w:titlePg/>
          <w:docGrid w:linePitch="360"/>
        </w:sectPr>
      </w:pPr>
      <w:r w:rsidRPr="00F2675C">
        <w:t xml:space="preserve">Source: </w:t>
      </w:r>
      <w:r w:rsidR="005D015D" w:rsidRPr="00F2675C">
        <w:t xml:space="preserve">Alibaba Group Holding Limited, </w:t>
      </w:r>
      <w:r w:rsidR="00CE24EF">
        <w:t>“</w:t>
      </w:r>
      <w:r w:rsidR="005D015D" w:rsidRPr="00F2675C">
        <w:t>Form F-1: Registration Statement under the Securities Act of 1933,</w:t>
      </w:r>
      <w:r w:rsidR="00CE24EF">
        <w:t>”</w:t>
      </w:r>
      <w:r w:rsidR="005D015D" w:rsidRPr="00F2675C">
        <w:t xml:space="preserve"> EDGAR Online, May 6, 2014, accessed May 19, 2016, www.sec.gov/Archives/edgar/data/1577552/000119312514184994/d709111df1.htm</w:t>
      </w:r>
      <w:r w:rsidR="00B403D7" w:rsidRPr="00F2675C">
        <w:t>.</w:t>
      </w:r>
    </w:p>
    <w:p w14:paraId="1153DEE3" w14:textId="77777777" w:rsidR="006D61EA" w:rsidRPr="00082E11" w:rsidRDefault="006D61EA" w:rsidP="002F3C17">
      <w:pPr>
        <w:pStyle w:val="ExhibitHeading"/>
        <w:outlineLvl w:val="0"/>
      </w:pPr>
      <w:r w:rsidRPr="00082E11">
        <w:lastRenderedPageBreak/>
        <w:t>EXHIBIT 5: SPREADS AND FEES FOR ALIBABA’S LOAN IN 2012</w:t>
      </w:r>
    </w:p>
    <w:p w14:paraId="599A5493" w14:textId="77777777" w:rsidR="006D61EA" w:rsidRPr="00082E11" w:rsidRDefault="006D61EA" w:rsidP="002F3C17">
      <w:pPr>
        <w:pStyle w:val="ExhibitText"/>
      </w:pPr>
    </w:p>
    <w:tbl>
      <w:tblPr>
        <w:tblStyle w:val="IveyTable"/>
        <w:tblW w:w="5000" w:type="pct"/>
        <w:tblLook w:val="04A0" w:firstRow="1" w:lastRow="0" w:firstColumn="1" w:lastColumn="0" w:noHBand="0" w:noVBand="1"/>
      </w:tblPr>
      <w:tblGrid>
        <w:gridCol w:w="572"/>
        <w:gridCol w:w="925"/>
        <w:gridCol w:w="1076"/>
        <w:gridCol w:w="1940"/>
        <w:gridCol w:w="1614"/>
        <w:gridCol w:w="1549"/>
        <w:gridCol w:w="1684"/>
      </w:tblGrid>
      <w:tr w:rsidR="000B27C5" w:rsidRPr="00041A76" w14:paraId="194D318D" w14:textId="77777777" w:rsidTr="00041A76">
        <w:trPr>
          <w:cnfStyle w:val="100000000000" w:firstRow="1" w:lastRow="0" w:firstColumn="0" w:lastColumn="0" w:oddVBand="0" w:evenVBand="0" w:oddHBand="0" w:evenHBand="0" w:firstRowFirstColumn="0" w:firstRowLastColumn="0" w:lastRowFirstColumn="0" w:lastRowLastColumn="0"/>
          <w:trHeight w:val="360"/>
          <w:tblHeader/>
        </w:trPr>
        <w:tc>
          <w:tcPr>
            <w:tcW w:w="551" w:type="dxa"/>
            <w:vMerge w:val="restart"/>
            <w:shd w:val="clear" w:color="auto" w:fill="auto"/>
          </w:tcPr>
          <w:p w14:paraId="10AB6864" w14:textId="77777777" w:rsidR="006D61EA" w:rsidRPr="00041A76" w:rsidRDefault="006D61EA" w:rsidP="002F3C17">
            <w:pPr>
              <w:pStyle w:val="ExhibitText"/>
            </w:pPr>
          </w:p>
        </w:tc>
        <w:tc>
          <w:tcPr>
            <w:tcW w:w="925" w:type="dxa"/>
            <w:vMerge w:val="restart"/>
            <w:shd w:val="clear" w:color="auto" w:fill="auto"/>
          </w:tcPr>
          <w:p w14:paraId="1AD087C4" w14:textId="77777777" w:rsidR="006D61EA" w:rsidRPr="00041A76" w:rsidRDefault="006D61EA" w:rsidP="0017026D">
            <w:pPr>
              <w:pStyle w:val="ExhibitText"/>
              <w:jc w:val="center"/>
            </w:pPr>
            <w:r w:rsidRPr="00041A76">
              <w:t>Facility</w:t>
            </w:r>
          </w:p>
        </w:tc>
        <w:tc>
          <w:tcPr>
            <w:tcW w:w="1077" w:type="dxa"/>
            <w:vMerge w:val="restart"/>
            <w:shd w:val="clear" w:color="auto" w:fill="auto"/>
          </w:tcPr>
          <w:p w14:paraId="4CF52FF6" w14:textId="77777777" w:rsidR="006D61EA" w:rsidRPr="00041A76" w:rsidRDefault="006D61EA" w:rsidP="0017026D">
            <w:pPr>
              <w:pStyle w:val="ExhibitText"/>
              <w:jc w:val="center"/>
            </w:pPr>
            <w:r w:rsidRPr="00041A76">
              <w:t>Maturity</w:t>
            </w:r>
          </w:p>
        </w:tc>
        <w:tc>
          <w:tcPr>
            <w:tcW w:w="1947" w:type="dxa"/>
            <w:vMerge w:val="restart"/>
            <w:shd w:val="clear" w:color="auto" w:fill="auto"/>
          </w:tcPr>
          <w:p w14:paraId="753DCE53" w14:textId="77777777" w:rsidR="006D61EA" w:rsidRPr="00041A76" w:rsidRDefault="006D61EA" w:rsidP="0017026D">
            <w:pPr>
              <w:pStyle w:val="ExhibitText"/>
              <w:jc w:val="center"/>
            </w:pPr>
            <w:r w:rsidRPr="00041A76">
              <w:t>Interest margin (spread)</w:t>
            </w:r>
          </w:p>
        </w:tc>
        <w:tc>
          <w:tcPr>
            <w:tcW w:w="4860" w:type="dxa"/>
            <w:gridSpan w:val="3"/>
            <w:shd w:val="clear" w:color="auto" w:fill="auto"/>
          </w:tcPr>
          <w:p w14:paraId="5F213DD0" w14:textId="77777777" w:rsidR="006D61EA" w:rsidRPr="00041A76" w:rsidRDefault="006D61EA" w:rsidP="0017026D">
            <w:pPr>
              <w:pStyle w:val="ExhibitText"/>
              <w:jc w:val="center"/>
            </w:pPr>
            <w:r w:rsidRPr="00041A76">
              <w:t>Upfront fees (participation fees)</w:t>
            </w:r>
          </w:p>
        </w:tc>
      </w:tr>
      <w:tr w:rsidR="000B27C5" w:rsidRPr="00041A76" w14:paraId="192594A4" w14:textId="77777777" w:rsidTr="00041A76">
        <w:trPr>
          <w:cnfStyle w:val="100000000000" w:firstRow="1" w:lastRow="0" w:firstColumn="0" w:lastColumn="0" w:oddVBand="0" w:evenVBand="0" w:oddHBand="0" w:evenHBand="0" w:firstRowFirstColumn="0" w:firstRowLastColumn="0" w:lastRowFirstColumn="0" w:lastRowLastColumn="0"/>
          <w:trHeight w:val="360"/>
          <w:tblHeader/>
        </w:trPr>
        <w:tc>
          <w:tcPr>
            <w:tcW w:w="551" w:type="dxa"/>
            <w:vMerge/>
            <w:shd w:val="clear" w:color="auto" w:fill="auto"/>
          </w:tcPr>
          <w:p w14:paraId="4172B1A9" w14:textId="77777777" w:rsidR="006D61EA" w:rsidRPr="00041A76" w:rsidRDefault="006D61EA" w:rsidP="002F3C17">
            <w:pPr>
              <w:pStyle w:val="ExhibitText"/>
            </w:pPr>
          </w:p>
        </w:tc>
        <w:tc>
          <w:tcPr>
            <w:tcW w:w="925" w:type="dxa"/>
            <w:vMerge/>
            <w:shd w:val="clear" w:color="auto" w:fill="auto"/>
          </w:tcPr>
          <w:p w14:paraId="68166627" w14:textId="77777777" w:rsidR="006D61EA" w:rsidRPr="00041A76" w:rsidRDefault="006D61EA" w:rsidP="0017026D">
            <w:pPr>
              <w:pStyle w:val="ExhibitText"/>
              <w:jc w:val="center"/>
            </w:pPr>
          </w:p>
        </w:tc>
        <w:tc>
          <w:tcPr>
            <w:tcW w:w="1077" w:type="dxa"/>
            <w:vMerge/>
            <w:shd w:val="clear" w:color="auto" w:fill="auto"/>
          </w:tcPr>
          <w:p w14:paraId="3E59C421" w14:textId="77777777" w:rsidR="006D61EA" w:rsidRPr="00041A76" w:rsidRDefault="006D61EA" w:rsidP="0017026D">
            <w:pPr>
              <w:pStyle w:val="ExhibitText"/>
              <w:jc w:val="center"/>
            </w:pPr>
          </w:p>
        </w:tc>
        <w:tc>
          <w:tcPr>
            <w:tcW w:w="1947" w:type="dxa"/>
            <w:vMerge/>
            <w:shd w:val="clear" w:color="auto" w:fill="auto"/>
          </w:tcPr>
          <w:p w14:paraId="14C5F74A" w14:textId="77777777" w:rsidR="006D61EA" w:rsidRPr="00041A76" w:rsidRDefault="006D61EA" w:rsidP="0017026D">
            <w:pPr>
              <w:pStyle w:val="ExhibitText"/>
              <w:jc w:val="center"/>
            </w:pPr>
          </w:p>
        </w:tc>
        <w:tc>
          <w:tcPr>
            <w:tcW w:w="1620" w:type="dxa"/>
            <w:shd w:val="clear" w:color="auto" w:fill="auto"/>
          </w:tcPr>
          <w:p w14:paraId="09AC886F" w14:textId="3DD647DC" w:rsidR="000B27C5" w:rsidRPr="00041A76" w:rsidRDefault="006D61EA" w:rsidP="0017026D">
            <w:pPr>
              <w:pStyle w:val="ExhibitText"/>
              <w:jc w:val="center"/>
            </w:pPr>
            <w:r w:rsidRPr="00041A76">
              <w:t>MLAB</w:t>
            </w:r>
            <w:r w:rsidR="00D866F2" w:rsidRPr="00041A76">
              <w:t>*</w:t>
            </w:r>
          </w:p>
          <w:p w14:paraId="3AFAC6CB" w14:textId="77777777" w:rsidR="006D61EA" w:rsidRPr="00041A76" w:rsidRDefault="006D61EA" w:rsidP="0017026D">
            <w:pPr>
              <w:pStyle w:val="ExhibitText"/>
              <w:jc w:val="center"/>
            </w:pPr>
            <w:r w:rsidRPr="00041A76">
              <w:t>&gt; $300 million</w:t>
            </w:r>
          </w:p>
        </w:tc>
        <w:tc>
          <w:tcPr>
            <w:tcW w:w="1554" w:type="dxa"/>
            <w:shd w:val="clear" w:color="auto" w:fill="auto"/>
          </w:tcPr>
          <w:p w14:paraId="41A923A0" w14:textId="76509618" w:rsidR="000B27C5" w:rsidRPr="00041A76" w:rsidRDefault="006D61EA" w:rsidP="0017026D">
            <w:pPr>
              <w:pStyle w:val="ExhibitText"/>
              <w:jc w:val="center"/>
            </w:pPr>
            <w:r w:rsidRPr="00041A76">
              <w:t>MLA</w:t>
            </w:r>
            <w:r w:rsidR="00D866F2" w:rsidRPr="00041A76">
              <w:t>**</w:t>
            </w:r>
          </w:p>
          <w:p w14:paraId="10C88EB7" w14:textId="77777777" w:rsidR="006D61EA" w:rsidRPr="00041A76" w:rsidRDefault="006D61EA" w:rsidP="0017026D">
            <w:pPr>
              <w:pStyle w:val="ExhibitText"/>
              <w:jc w:val="center"/>
            </w:pPr>
            <w:r w:rsidRPr="00041A76">
              <w:t>&gt; $200 million</w:t>
            </w:r>
          </w:p>
        </w:tc>
        <w:tc>
          <w:tcPr>
            <w:tcW w:w="1686" w:type="dxa"/>
            <w:shd w:val="clear" w:color="auto" w:fill="auto"/>
          </w:tcPr>
          <w:p w14:paraId="7917B0EF" w14:textId="77777777" w:rsidR="000B27C5" w:rsidRPr="00041A76" w:rsidRDefault="006D61EA" w:rsidP="0017026D">
            <w:pPr>
              <w:pStyle w:val="ExhibitText"/>
              <w:jc w:val="center"/>
            </w:pPr>
            <w:r w:rsidRPr="00041A76">
              <w:t>Participants</w:t>
            </w:r>
          </w:p>
          <w:p w14:paraId="1CEBB258" w14:textId="77777777" w:rsidR="006D61EA" w:rsidRPr="00041A76" w:rsidRDefault="006D61EA" w:rsidP="0017026D">
            <w:pPr>
              <w:pStyle w:val="ExhibitText"/>
              <w:jc w:val="center"/>
            </w:pPr>
            <w:r w:rsidRPr="00041A76">
              <w:t>&gt; $100 million</w:t>
            </w:r>
          </w:p>
        </w:tc>
      </w:tr>
      <w:tr w:rsidR="000B27C5" w:rsidRPr="00041A76" w14:paraId="0B7BF596" w14:textId="77777777" w:rsidTr="00041A76">
        <w:trPr>
          <w:trHeight w:val="360"/>
        </w:trPr>
        <w:tc>
          <w:tcPr>
            <w:tcW w:w="551" w:type="dxa"/>
          </w:tcPr>
          <w:p w14:paraId="51C413AB" w14:textId="05E931B4" w:rsidR="006D61EA" w:rsidRPr="00041A76" w:rsidRDefault="006D61EA" w:rsidP="0017026D">
            <w:pPr>
              <w:pStyle w:val="ExhibitText"/>
            </w:pPr>
            <w:r w:rsidRPr="00041A76">
              <w:t>$1</w:t>
            </w:r>
            <w:r w:rsidR="0017026D">
              <w:t>B</w:t>
            </w:r>
          </w:p>
        </w:tc>
        <w:tc>
          <w:tcPr>
            <w:tcW w:w="925" w:type="dxa"/>
          </w:tcPr>
          <w:p w14:paraId="6A337AE2" w14:textId="77777777" w:rsidR="006D61EA" w:rsidRPr="00041A76" w:rsidRDefault="006D61EA" w:rsidP="002F3C17">
            <w:pPr>
              <w:pStyle w:val="ExhibitText"/>
              <w:jc w:val="center"/>
            </w:pPr>
            <w:r w:rsidRPr="00041A76">
              <w:t>A</w:t>
            </w:r>
          </w:p>
        </w:tc>
        <w:tc>
          <w:tcPr>
            <w:tcW w:w="1077" w:type="dxa"/>
          </w:tcPr>
          <w:p w14:paraId="53FE224B" w14:textId="77777777" w:rsidR="006D61EA" w:rsidRPr="00041A76" w:rsidRDefault="006D61EA" w:rsidP="002F3C17">
            <w:pPr>
              <w:pStyle w:val="ExhibitText"/>
              <w:jc w:val="center"/>
            </w:pPr>
            <w:r w:rsidRPr="00041A76">
              <w:t>3 years</w:t>
            </w:r>
          </w:p>
        </w:tc>
        <w:tc>
          <w:tcPr>
            <w:tcW w:w="1947" w:type="dxa"/>
          </w:tcPr>
          <w:p w14:paraId="57766A31" w14:textId="77777777" w:rsidR="006D61EA" w:rsidRPr="00041A76" w:rsidRDefault="006D61EA" w:rsidP="002F3C17">
            <w:pPr>
              <w:pStyle w:val="ExhibitText"/>
              <w:jc w:val="center"/>
            </w:pPr>
            <w:r w:rsidRPr="00041A76">
              <w:t>LIBOR + 450 bps</w:t>
            </w:r>
          </w:p>
        </w:tc>
        <w:tc>
          <w:tcPr>
            <w:tcW w:w="1620" w:type="dxa"/>
          </w:tcPr>
          <w:p w14:paraId="74D4B68F" w14:textId="77777777" w:rsidR="006D61EA" w:rsidRPr="00041A76" w:rsidRDefault="006D61EA" w:rsidP="002F3C17">
            <w:pPr>
              <w:pStyle w:val="ExhibitText"/>
              <w:jc w:val="center"/>
            </w:pPr>
            <w:r w:rsidRPr="00041A76">
              <w:t>300 bps</w:t>
            </w:r>
          </w:p>
        </w:tc>
        <w:tc>
          <w:tcPr>
            <w:tcW w:w="1554" w:type="dxa"/>
          </w:tcPr>
          <w:p w14:paraId="1F6C8735" w14:textId="77777777" w:rsidR="006D61EA" w:rsidRPr="00041A76" w:rsidRDefault="006D61EA" w:rsidP="002F3C17">
            <w:pPr>
              <w:pStyle w:val="ExhibitText"/>
              <w:jc w:val="center"/>
            </w:pPr>
            <w:r w:rsidRPr="00041A76">
              <w:t>250 bps</w:t>
            </w:r>
          </w:p>
        </w:tc>
        <w:tc>
          <w:tcPr>
            <w:tcW w:w="1686" w:type="dxa"/>
          </w:tcPr>
          <w:p w14:paraId="218BCE74" w14:textId="77777777" w:rsidR="006D61EA" w:rsidRPr="00041A76" w:rsidRDefault="006D61EA" w:rsidP="002F3C17">
            <w:pPr>
              <w:pStyle w:val="ExhibitText"/>
              <w:jc w:val="center"/>
            </w:pPr>
            <w:r w:rsidRPr="00041A76">
              <w:t>200 bps</w:t>
            </w:r>
          </w:p>
        </w:tc>
      </w:tr>
      <w:tr w:rsidR="000B27C5" w:rsidRPr="00041A76" w14:paraId="5E7CD427" w14:textId="77777777" w:rsidTr="00041A76">
        <w:trPr>
          <w:cnfStyle w:val="000000010000" w:firstRow="0" w:lastRow="0" w:firstColumn="0" w:lastColumn="0" w:oddVBand="0" w:evenVBand="0" w:oddHBand="0" w:evenHBand="1" w:firstRowFirstColumn="0" w:firstRowLastColumn="0" w:lastRowFirstColumn="0" w:lastRowLastColumn="0"/>
          <w:trHeight w:val="360"/>
        </w:trPr>
        <w:tc>
          <w:tcPr>
            <w:tcW w:w="551" w:type="dxa"/>
            <w:shd w:val="clear" w:color="auto" w:fill="auto"/>
          </w:tcPr>
          <w:p w14:paraId="2D892CDF" w14:textId="10BF10E5" w:rsidR="006D61EA" w:rsidRPr="00041A76" w:rsidRDefault="0017026D" w:rsidP="002F3C17">
            <w:pPr>
              <w:pStyle w:val="ExhibitText"/>
            </w:pPr>
            <w:r>
              <w:t>$2B</w:t>
            </w:r>
          </w:p>
        </w:tc>
        <w:tc>
          <w:tcPr>
            <w:tcW w:w="925" w:type="dxa"/>
            <w:shd w:val="clear" w:color="auto" w:fill="auto"/>
          </w:tcPr>
          <w:p w14:paraId="028B3564" w14:textId="77777777" w:rsidR="006D61EA" w:rsidRPr="00041A76" w:rsidRDefault="006D61EA" w:rsidP="002F3C17">
            <w:pPr>
              <w:pStyle w:val="ExhibitText"/>
              <w:jc w:val="center"/>
            </w:pPr>
            <w:r w:rsidRPr="00041A76">
              <w:t>B</w:t>
            </w:r>
          </w:p>
        </w:tc>
        <w:tc>
          <w:tcPr>
            <w:tcW w:w="1077" w:type="dxa"/>
            <w:shd w:val="clear" w:color="auto" w:fill="auto"/>
          </w:tcPr>
          <w:p w14:paraId="318BF0A8" w14:textId="77777777" w:rsidR="006D61EA" w:rsidRPr="00041A76" w:rsidRDefault="006D61EA" w:rsidP="002F3C17">
            <w:pPr>
              <w:pStyle w:val="ExhibitText"/>
              <w:jc w:val="center"/>
            </w:pPr>
            <w:r w:rsidRPr="00041A76">
              <w:t>1 year</w:t>
            </w:r>
          </w:p>
        </w:tc>
        <w:tc>
          <w:tcPr>
            <w:tcW w:w="1947" w:type="dxa"/>
            <w:shd w:val="clear" w:color="auto" w:fill="auto"/>
          </w:tcPr>
          <w:p w14:paraId="609C20C4" w14:textId="77777777" w:rsidR="006D61EA" w:rsidRPr="00041A76" w:rsidRDefault="006D61EA" w:rsidP="002F3C17">
            <w:pPr>
              <w:pStyle w:val="ExhibitText"/>
              <w:jc w:val="center"/>
            </w:pPr>
            <w:r w:rsidRPr="00041A76">
              <w:t>LIBOR + 350 bps</w:t>
            </w:r>
          </w:p>
        </w:tc>
        <w:tc>
          <w:tcPr>
            <w:tcW w:w="1620" w:type="dxa"/>
            <w:shd w:val="clear" w:color="auto" w:fill="auto"/>
          </w:tcPr>
          <w:p w14:paraId="60A1F7D6" w14:textId="77777777" w:rsidR="006D61EA" w:rsidRPr="00041A76" w:rsidRDefault="006D61EA" w:rsidP="002F3C17">
            <w:pPr>
              <w:pStyle w:val="ExhibitText"/>
              <w:jc w:val="center"/>
            </w:pPr>
            <w:r w:rsidRPr="00041A76">
              <w:t>175 bps</w:t>
            </w:r>
          </w:p>
        </w:tc>
        <w:tc>
          <w:tcPr>
            <w:tcW w:w="1554" w:type="dxa"/>
            <w:shd w:val="clear" w:color="auto" w:fill="auto"/>
          </w:tcPr>
          <w:p w14:paraId="40ADB784" w14:textId="77777777" w:rsidR="006D61EA" w:rsidRPr="00041A76" w:rsidRDefault="006D61EA" w:rsidP="002F3C17">
            <w:pPr>
              <w:pStyle w:val="ExhibitText"/>
              <w:jc w:val="center"/>
            </w:pPr>
            <w:r w:rsidRPr="00041A76">
              <w:t>150 bps</w:t>
            </w:r>
          </w:p>
        </w:tc>
        <w:tc>
          <w:tcPr>
            <w:tcW w:w="1686" w:type="dxa"/>
            <w:shd w:val="clear" w:color="auto" w:fill="auto"/>
          </w:tcPr>
          <w:p w14:paraId="63661692" w14:textId="77777777" w:rsidR="006D61EA" w:rsidRPr="00041A76" w:rsidRDefault="006D61EA" w:rsidP="002F3C17">
            <w:pPr>
              <w:pStyle w:val="ExhibitText"/>
              <w:jc w:val="center"/>
            </w:pPr>
            <w:r w:rsidRPr="00041A76">
              <w:t>125 bps</w:t>
            </w:r>
          </w:p>
        </w:tc>
      </w:tr>
    </w:tbl>
    <w:p w14:paraId="75E3B255" w14:textId="77777777" w:rsidR="006D61EA" w:rsidRPr="00082E11" w:rsidRDefault="006D61EA" w:rsidP="002F3C17">
      <w:pPr>
        <w:pStyle w:val="ExhibitText"/>
      </w:pPr>
    </w:p>
    <w:p w14:paraId="63DF4337" w14:textId="1F86EE9E" w:rsidR="00D866F2" w:rsidRPr="00082E11" w:rsidRDefault="00041A76" w:rsidP="002F3C17">
      <w:pPr>
        <w:pStyle w:val="Footnote"/>
      </w:pPr>
      <w:r>
        <w:t xml:space="preserve">Note: </w:t>
      </w:r>
      <w:r w:rsidR="00C22BB9">
        <w:t xml:space="preserve">* </w:t>
      </w:r>
      <w:r w:rsidR="00D866F2" w:rsidRPr="00082E11">
        <w:t>MLAB</w:t>
      </w:r>
      <w:r w:rsidR="00CE24EF">
        <w:t>—</w:t>
      </w:r>
      <w:r w:rsidR="00D866F2" w:rsidRPr="00082E11">
        <w:t>m</w:t>
      </w:r>
      <w:r w:rsidR="00D866F2">
        <w:t xml:space="preserve">andated lead arrangers and book </w:t>
      </w:r>
      <w:r w:rsidR="00D866F2" w:rsidRPr="00082E11">
        <w:t>runners</w:t>
      </w:r>
      <w:r>
        <w:t xml:space="preserve">; </w:t>
      </w:r>
      <w:r w:rsidR="00C22BB9">
        <w:t xml:space="preserve">** </w:t>
      </w:r>
      <w:r w:rsidR="00D866F2" w:rsidRPr="00082E11">
        <w:t>MLA</w:t>
      </w:r>
      <w:r w:rsidR="00CE24EF">
        <w:t>—</w:t>
      </w:r>
      <w:r w:rsidR="00D866F2" w:rsidRPr="00082E11">
        <w:t>mandated lead arrangers</w:t>
      </w:r>
    </w:p>
    <w:p w14:paraId="3B3D62BC" w14:textId="167CEB7B" w:rsidR="006D61EA" w:rsidRPr="00041A76" w:rsidRDefault="006D61EA" w:rsidP="002F3C17">
      <w:pPr>
        <w:pStyle w:val="Footnote"/>
        <w:jc w:val="both"/>
        <w:rPr>
          <w:b/>
          <w:sz w:val="22"/>
          <w:szCs w:val="22"/>
        </w:rPr>
      </w:pPr>
      <w:r w:rsidRPr="00041A76">
        <w:t xml:space="preserve">Source: Prakash </w:t>
      </w:r>
      <w:proofErr w:type="spellStart"/>
      <w:r w:rsidRPr="00041A76">
        <w:t>Chakravarti</w:t>
      </w:r>
      <w:proofErr w:type="spellEnd"/>
      <w:r w:rsidRPr="00041A76">
        <w:t>, “Alibaba Woos Lenders with Juicy Returns on US$3</w:t>
      </w:r>
      <w:r w:rsidR="008B21C9" w:rsidRPr="00041A76">
        <w:t xml:space="preserve"> Bn</w:t>
      </w:r>
      <w:r w:rsidRPr="00041A76">
        <w:t xml:space="preserve"> Loan</w:t>
      </w:r>
      <w:r w:rsidRPr="009A6B9D">
        <w:rPr>
          <w:i/>
        </w:rPr>
        <w:t xml:space="preserve">,” </w:t>
      </w:r>
      <w:r w:rsidR="00CE24EF" w:rsidRPr="009A6B9D">
        <w:rPr>
          <w:i/>
        </w:rPr>
        <w:t xml:space="preserve">IFR: </w:t>
      </w:r>
      <w:r w:rsidR="008B21C9" w:rsidRPr="009A6B9D">
        <w:rPr>
          <w:i/>
        </w:rPr>
        <w:t>International Financing Review</w:t>
      </w:r>
      <w:r w:rsidRPr="00041A76">
        <w:t>, March 10, 2012</w:t>
      </w:r>
      <w:r w:rsidR="008B21C9" w:rsidRPr="00041A76">
        <w:t>, accessed May 19, 2016, www.ifre.com/alibaba-woos-lenders-with-juicy-returns-on-us$3bn-loan/21004924.article</w:t>
      </w:r>
      <w:r w:rsidRPr="00041A76">
        <w:t>.</w:t>
      </w:r>
    </w:p>
    <w:p w14:paraId="3D01A9E1" w14:textId="77777777" w:rsidR="006D61EA" w:rsidRPr="00082E11" w:rsidRDefault="006D61EA" w:rsidP="002F3C17">
      <w:pPr>
        <w:pStyle w:val="ExhibitText"/>
      </w:pPr>
    </w:p>
    <w:p w14:paraId="03DEDF94" w14:textId="77777777" w:rsidR="006D61EA" w:rsidRPr="00082E11" w:rsidRDefault="006D61EA" w:rsidP="002F3C17">
      <w:pPr>
        <w:pStyle w:val="ExhibitText"/>
      </w:pPr>
    </w:p>
    <w:p w14:paraId="1833E525" w14:textId="77777777" w:rsidR="006D61EA" w:rsidRPr="00082E11" w:rsidRDefault="006D61EA" w:rsidP="002F3C17">
      <w:pPr>
        <w:pStyle w:val="ExhibitHeading"/>
        <w:outlineLvl w:val="0"/>
      </w:pPr>
      <w:r w:rsidRPr="00082E11">
        <w:t>EXHIBIT 6: FEES FOR ALIBABA’S LOAN IN 2012</w:t>
      </w:r>
    </w:p>
    <w:p w14:paraId="19EA6EA5" w14:textId="77777777" w:rsidR="006D61EA" w:rsidRPr="00082E11" w:rsidRDefault="006D61EA" w:rsidP="002F3C17">
      <w:pPr>
        <w:pStyle w:val="ExhibitText"/>
      </w:pPr>
    </w:p>
    <w:tbl>
      <w:tblPr>
        <w:tblStyle w:val="IveyTable"/>
        <w:tblW w:w="5000" w:type="pct"/>
        <w:tblLook w:val="04A0" w:firstRow="1" w:lastRow="0" w:firstColumn="1" w:lastColumn="0" w:noHBand="0" w:noVBand="1"/>
      </w:tblPr>
      <w:tblGrid>
        <w:gridCol w:w="1696"/>
        <w:gridCol w:w="871"/>
        <w:gridCol w:w="956"/>
        <w:gridCol w:w="1945"/>
        <w:gridCol w:w="1946"/>
        <w:gridCol w:w="1946"/>
      </w:tblGrid>
      <w:tr w:rsidR="00C22BB9" w:rsidRPr="00C22BB9" w14:paraId="4A6FA3E1" w14:textId="77777777" w:rsidTr="00041A76">
        <w:trPr>
          <w:cnfStyle w:val="100000000000" w:firstRow="1" w:lastRow="0" w:firstColumn="0" w:lastColumn="0" w:oddVBand="0" w:evenVBand="0" w:oddHBand="0" w:evenHBand="0" w:firstRowFirstColumn="0" w:firstRowLastColumn="0" w:lastRowFirstColumn="0" w:lastRowLastColumn="0"/>
          <w:trHeight w:val="360"/>
          <w:tblHeader/>
        </w:trPr>
        <w:tc>
          <w:tcPr>
            <w:tcW w:w="1696" w:type="dxa"/>
            <w:shd w:val="clear" w:color="auto" w:fill="auto"/>
          </w:tcPr>
          <w:p w14:paraId="51A37E3E" w14:textId="77777777" w:rsidR="006D61EA" w:rsidRPr="005754D0" w:rsidRDefault="006D61EA" w:rsidP="002F3C17">
            <w:pPr>
              <w:jc w:val="both"/>
              <w:rPr>
                <w:rFonts w:ascii="Arial" w:hAnsi="Arial" w:cs="Arial"/>
                <w:sz w:val="19"/>
                <w:szCs w:val="19"/>
              </w:rPr>
            </w:pPr>
          </w:p>
        </w:tc>
        <w:tc>
          <w:tcPr>
            <w:tcW w:w="871" w:type="dxa"/>
            <w:shd w:val="clear" w:color="auto" w:fill="auto"/>
          </w:tcPr>
          <w:p w14:paraId="082EE33F"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Facility</w:t>
            </w:r>
          </w:p>
        </w:tc>
        <w:tc>
          <w:tcPr>
            <w:tcW w:w="956" w:type="dxa"/>
            <w:shd w:val="clear" w:color="auto" w:fill="auto"/>
          </w:tcPr>
          <w:p w14:paraId="09D0AFBF"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Maturity</w:t>
            </w:r>
          </w:p>
        </w:tc>
        <w:tc>
          <w:tcPr>
            <w:tcW w:w="1945" w:type="dxa"/>
            <w:shd w:val="clear" w:color="auto" w:fill="auto"/>
          </w:tcPr>
          <w:p w14:paraId="25F2ED48" w14:textId="540A5F41" w:rsidR="000B27C5" w:rsidRPr="005754D0" w:rsidRDefault="000B27C5" w:rsidP="002F3C17">
            <w:pPr>
              <w:jc w:val="center"/>
              <w:rPr>
                <w:rFonts w:ascii="Arial" w:hAnsi="Arial" w:cs="Arial"/>
                <w:sz w:val="19"/>
                <w:szCs w:val="19"/>
              </w:rPr>
            </w:pPr>
            <w:r w:rsidRPr="005754D0">
              <w:rPr>
                <w:rFonts w:ascii="Arial" w:hAnsi="Arial" w:cs="Arial"/>
                <w:sz w:val="19"/>
                <w:szCs w:val="19"/>
              </w:rPr>
              <w:t>MLA</w:t>
            </w:r>
            <w:r w:rsidRPr="005754D0">
              <w:rPr>
                <w:rFonts w:ascii="Arial" w:hAnsi="Arial" w:cs="Arial"/>
                <w:spacing w:val="20"/>
                <w:sz w:val="19"/>
                <w:szCs w:val="19"/>
              </w:rPr>
              <w:t>B</w:t>
            </w:r>
            <w:r w:rsidR="00C22BB9" w:rsidRPr="00C22BB9">
              <w:rPr>
                <w:rFonts w:ascii="Arial" w:hAnsi="Arial" w:cs="Arial"/>
                <w:sz w:val="19"/>
                <w:szCs w:val="19"/>
              </w:rPr>
              <w:t>*</w:t>
            </w:r>
          </w:p>
          <w:p w14:paraId="7385B427"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&gt; $300 million</w:t>
            </w:r>
          </w:p>
        </w:tc>
        <w:tc>
          <w:tcPr>
            <w:tcW w:w="1946" w:type="dxa"/>
            <w:shd w:val="clear" w:color="auto" w:fill="auto"/>
          </w:tcPr>
          <w:p w14:paraId="6B5D2391" w14:textId="59AE79AE" w:rsidR="000B27C5" w:rsidRPr="005754D0" w:rsidRDefault="000B27C5" w:rsidP="002F3C17">
            <w:pPr>
              <w:jc w:val="center"/>
              <w:rPr>
                <w:rFonts w:ascii="Arial" w:hAnsi="Arial" w:cs="Arial"/>
                <w:sz w:val="19"/>
                <w:szCs w:val="19"/>
              </w:rPr>
            </w:pPr>
            <w:r w:rsidRPr="005754D0">
              <w:rPr>
                <w:rFonts w:ascii="Arial" w:hAnsi="Arial" w:cs="Arial"/>
                <w:sz w:val="19"/>
                <w:szCs w:val="19"/>
              </w:rPr>
              <w:t>ML</w:t>
            </w:r>
            <w:r w:rsidRPr="005754D0">
              <w:rPr>
                <w:rFonts w:ascii="Arial" w:hAnsi="Arial" w:cs="Arial"/>
                <w:spacing w:val="20"/>
                <w:sz w:val="19"/>
                <w:szCs w:val="19"/>
              </w:rPr>
              <w:t>A</w:t>
            </w:r>
            <w:r w:rsidR="00C22BB9" w:rsidRPr="00C22BB9">
              <w:rPr>
                <w:rFonts w:ascii="Arial" w:hAnsi="Arial" w:cs="Arial"/>
                <w:sz w:val="19"/>
                <w:szCs w:val="19"/>
              </w:rPr>
              <w:t>**</w:t>
            </w:r>
          </w:p>
          <w:p w14:paraId="6F2A64FD"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&gt; $200 million</w:t>
            </w:r>
          </w:p>
        </w:tc>
        <w:tc>
          <w:tcPr>
            <w:tcW w:w="1946" w:type="dxa"/>
            <w:shd w:val="clear" w:color="auto" w:fill="auto"/>
          </w:tcPr>
          <w:p w14:paraId="48712CBB" w14:textId="77777777" w:rsidR="000B27C5" w:rsidRPr="005754D0" w:rsidRDefault="006D61EA" w:rsidP="002F3C17">
            <w:pPr>
              <w:jc w:val="center"/>
              <w:rPr>
                <w:rFonts w:ascii="Arial" w:hAnsi="Arial" w:cs="Arial"/>
                <w:sz w:val="19"/>
                <w:szCs w:val="19"/>
              </w:rPr>
            </w:pPr>
            <w:r w:rsidRPr="005754D0">
              <w:rPr>
                <w:rFonts w:ascii="Arial" w:hAnsi="Arial" w:cs="Arial"/>
                <w:sz w:val="19"/>
                <w:szCs w:val="19"/>
              </w:rPr>
              <w:t>P</w:t>
            </w:r>
            <w:r w:rsidR="000B27C5" w:rsidRPr="005754D0">
              <w:rPr>
                <w:rFonts w:ascii="Arial" w:hAnsi="Arial" w:cs="Arial"/>
                <w:sz w:val="19"/>
                <w:szCs w:val="19"/>
              </w:rPr>
              <w:t>articipants</w:t>
            </w:r>
          </w:p>
          <w:p w14:paraId="38CDCE49"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&gt; $100 million</w:t>
            </w:r>
          </w:p>
        </w:tc>
      </w:tr>
      <w:tr w:rsidR="00C22BB9" w:rsidRPr="00C22BB9" w14:paraId="19757857" w14:textId="77777777" w:rsidTr="00041A76">
        <w:trPr>
          <w:trHeight w:val="360"/>
        </w:trPr>
        <w:tc>
          <w:tcPr>
            <w:tcW w:w="1696" w:type="dxa"/>
          </w:tcPr>
          <w:p w14:paraId="37EED504" w14:textId="694EA850" w:rsidR="006D61EA" w:rsidRPr="005754D0" w:rsidRDefault="006D61EA" w:rsidP="002F3C17">
            <w:pPr>
              <w:rPr>
                <w:rFonts w:ascii="Arial" w:hAnsi="Arial" w:cs="Arial"/>
                <w:sz w:val="19"/>
                <w:szCs w:val="19"/>
              </w:rPr>
            </w:pPr>
            <w:r w:rsidRPr="005754D0">
              <w:rPr>
                <w:rFonts w:ascii="Arial" w:hAnsi="Arial" w:cs="Arial"/>
                <w:sz w:val="19"/>
                <w:szCs w:val="19"/>
              </w:rPr>
              <w:t>Blended fees</w:t>
            </w:r>
            <w:r w:rsidR="00C22BB9" w:rsidRPr="005754D0">
              <w:rPr>
                <w:rFonts w:ascii="Arial" w:hAnsi="Arial" w:cs="Arial"/>
                <w:sz w:val="19"/>
                <w:szCs w:val="19"/>
                <w:vertAlign w:val="superscript"/>
              </w:rPr>
              <w:t>†</w:t>
            </w:r>
          </w:p>
        </w:tc>
        <w:tc>
          <w:tcPr>
            <w:tcW w:w="871" w:type="dxa"/>
          </w:tcPr>
          <w:p w14:paraId="606ED1F8" w14:textId="77777777" w:rsidR="006D61EA" w:rsidRPr="005754D0" w:rsidRDefault="006D61EA" w:rsidP="002F3C17">
            <w:pPr>
              <w:jc w:val="center"/>
              <w:rPr>
                <w:rFonts w:ascii="Arial" w:hAnsi="Arial" w:cs="Arial"/>
                <w:sz w:val="19"/>
                <w:szCs w:val="19"/>
              </w:rPr>
            </w:pPr>
          </w:p>
        </w:tc>
        <w:tc>
          <w:tcPr>
            <w:tcW w:w="956" w:type="dxa"/>
          </w:tcPr>
          <w:p w14:paraId="1679F6EE" w14:textId="77777777" w:rsidR="006D61EA" w:rsidRPr="005754D0" w:rsidRDefault="006D61EA" w:rsidP="002F3C17">
            <w:pPr>
              <w:jc w:val="center"/>
              <w:rPr>
                <w:rFonts w:ascii="Arial" w:hAnsi="Arial" w:cs="Arial"/>
                <w:sz w:val="19"/>
                <w:szCs w:val="19"/>
              </w:rPr>
            </w:pPr>
          </w:p>
        </w:tc>
        <w:tc>
          <w:tcPr>
            <w:tcW w:w="1945" w:type="dxa"/>
          </w:tcPr>
          <w:p w14:paraId="6002C826"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217 bps</w:t>
            </w:r>
          </w:p>
        </w:tc>
        <w:tc>
          <w:tcPr>
            <w:tcW w:w="1946" w:type="dxa"/>
          </w:tcPr>
          <w:p w14:paraId="65C542C7"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183 bps</w:t>
            </w:r>
          </w:p>
        </w:tc>
        <w:tc>
          <w:tcPr>
            <w:tcW w:w="1946" w:type="dxa"/>
          </w:tcPr>
          <w:p w14:paraId="5B9FB87D"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150 bps</w:t>
            </w:r>
          </w:p>
        </w:tc>
      </w:tr>
      <w:tr w:rsidR="00C22BB9" w:rsidRPr="00C22BB9" w14:paraId="7258DC46" w14:textId="77777777" w:rsidTr="00041A76">
        <w:trPr>
          <w:cnfStyle w:val="000000010000" w:firstRow="0" w:lastRow="0" w:firstColumn="0" w:lastColumn="0" w:oddVBand="0" w:evenVBand="0" w:oddHBand="0" w:evenHBand="1" w:firstRowFirstColumn="0" w:firstRowLastColumn="0" w:lastRowFirstColumn="0" w:lastRowLastColumn="0"/>
          <w:trHeight w:val="360"/>
        </w:trPr>
        <w:tc>
          <w:tcPr>
            <w:tcW w:w="1696" w:type="dxa"/>
            <w:shd w:val="clear" w:color="auto" w:fill="auto"/>
          </w:tcPr>
          <w:p w14:paraId="4A966EC8" w14:textId="52891795" w:rsidR="006D61EA" w:rsidRPr="005754D0" w:rsidRDefault="006D61EA" w:rsidP="002F3C17">
            <w:pPr>
              <w:rPr>
                <w:rFonts w:ascii="Arial" w:hAnsi="Arial" w:cs="Arial"/>
                <w:sz w:val="19"/>
                <w:szCs w:val="19"/>
              </w:rPr>
            </w:pPr>
            <w:r w:rsidRPr="005754D0">
              <w:rPr>
                <w:rFonts w:ascii="Arial" w:hAnsi="Arial" w:cs="Arial"/>
                <w:sz w:val="19"/>
                <w:szCs w:val="19"/>
              </w:rPr>
              <w:t>Blended all-ins</w:t>
            </w:r>
            <w:r w:rsidR="00C22BB9" w:rsidRPr="005754D0">
              <w:rPr>
                <w:rFonts w:ascii="Arial" w:hAnsi="Arial" w:cs="Arial"/>
                <w:sz w:val="19"/>
                <w:szCs w:val="19"/>
                <w:vertAlign w:val="superscript"/>
              </w:rPr>
              <w:t>††</w:t>
            </w:r>
          </w:p>
        </w:tc>
        <w:tc>
          <w:tcPr>
            <w:tcW w:w="871" w:type="dxa"/>
            <w:shd w:val="clear" w:color="auto" w:fill="auto"/>
          </w:tcPr>
          <w:p w14:paraId="0824CBF2" w14:textId="77777777" w:rsidR="006D61EA" w:rsidRPr="005754D0" w:rsidRDefault="006D61EA" w:rsidP="002F3C17">
            <w:pPr>
              <w:jc w:val="center"/>
              <w:rPr>
                <w:rFonts w:ascii="Arial" w:hAnsi="Arial" w:cs="Arial"/>
                <w:sz w:val="19"/>
                <w:szCs w:val="19"/>
              </w:rPr>
            </w:pPr>
          </w:p>
        </w:tc>
        <w:tc>
          <w:tcPr>
            <w:tcW w:w="956" w:type="dxa"/>
            <w:shd w:val="clear" w:color="auto" w:fill="auto"/>
          </w:tcPr>
          <w:p w14:paraId="06B0BBDD" w14:textId="77777777" w:rsidR="006D61EA" w:rsidRPr="005754D0" w:rsidRDefault="006D61EA" w:rsidP="002F3C17">
            <w:pPr>
              <w:jc w:val="center"/>
              <w:rPr>
                <w:rFonts w:ascii="Arial" w:hAnsi="Arial" w:cs="Arial"/>
                <w:sz w:val="19"/>
                <w:szCs w:val="19"/>
              </w:rPr>
            </w:pPr>
          </w:p>
        </w:tc>
        <w:tc>
          <w:tcPr>
            <w:tcW w:w="1945" w:type="dxa"/>
            <w:shd w:val="clear" w:color="auto" w:fill="auto"/>
          </w:tcPr>
          <w:p w14:paraId="4523C28F"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LIBOR + 604.67 bps</w:t>
            </w:r>
          </w:p>
        </w:tc>
        <w:tc>
          <w:tcPr>
            <w:tcW w:w="1946" w:type="dxa"/>
            <w:shd w:val="clear" w:color="auto" w:fill="auto"/>
          </w:tcPr>
          <w:p w14:paraId="07EBC769"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LIBOR + 582 bps</w:t>
            </w:r>
          </w:p>
        </w:tc>
        <w:tc>
          <w:tcPr>
            <w:tcW w:w="1946" w:type="dxa"/>
            <w:shd w:val="clear" w:color="auto" w:fill="auto"/>
          </w:tcPr>
          <w:p w14:paraId="7B4DCA5A"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LIBOR + 560 bps</w:t>
            </w:r>
          </w:p>
        </w:tc>
      </w:tr>
      <w:tr w:rsidR="00C22BB9" w:rsidRPr="00C22BB9" w14:paraId="7CDDAF46" w14:textId="77777777" w:rsidTr="00041A76">
        <w:trPr>
          <w:trHeight w:val="360"/>
        </w:trPr>
        <w:tc>
          <w:tcPr>
            <w:tcW w:w="1696" w:type="dxa"/>
          </w:tcPr>
          <w:p w14:paraId="7EE584EB" w14:textId="77777777" w:rsidR="00D866F2" w:rsidRDefault="006D61EA" w:rsidP="002F3C17">
            <w:pPr>
              <w:rPr>
                <w:rFonts w:ascii="Arial" w:hAnsi="Arial" w:cs="Arial"/>
                <w:sz w:val="19"/>
                <w:szCs w:val="19"/>
              </w:rPr>
            </w:pPr>
            <w:r w:rsidRPr="005754D0">
              <w:rPr>
                <w:rFonts w:ascii="Arial" w:hAnsi="Arial" w:cs="Arial"/>
                <w:sz w:val="19"/>
                <w:szCs w:val="19"/>
              </w:rPr>
              <w:t>All-ins</w:t>
            </w:r>
          </w:p>
          <w:p w14:paraId="560753C0" w14:textId="5C87795B" w:rsidR="006D61EA" w:rsidRPr="005754D0" w:rsidRDefault="006D61EA" w:rsidP="002F3C17">
            <w:pPr>
              <w:rPr>
                <w:rFonts w:ascii="Arial" w:hAnsi="Arial" w:cs="Arial"/>
                <w:sz w:val="19"/>
                <w:szCs w:val="19"/>
              </w:rPr>
            </w:pPr>
          </w:p>
        </w:tc>
        <w:tc>
          <w:tcPr>
            <w:tcW w:w="871" w:type="dxa"/>
          </w:tcPr>
          <w:p w14:paraId="7224E35C"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A</w:t>
            </w:r>
          </w:p>
        </w:tc>
        <w:tc>
          <w:tcPr>
            <w:tcW w:w="956" w:type="dxa"/>
          </w:tcPr>
          <w:p w14:paraId="0C332EDF"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3 years</w:t>
            </w:r>
          </w:p>
        </w:tc>
        <w:tc>
          <w:tcPr>
            <w:tcW w:w="1945" w:type="dxa"/>
          </w:tcPr>
          <w:p w14:paraId="2299CA99"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LIBOR + 656 bps</w:t>
            </w:r>
          </w:p>
        </w:tc>
        <w:tc>
          <w:tcPr>
            <w:tcW w:w="1946" w:type="dxa"/>
          </w:tcPr>
          <w:p w14:paraId="00FE2228"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LIBOR + 631 bps</w:t>
            </w:r>
          </w:p>
        </w:tc>
        <w:tc>
          <w:tcPr>
            <w:tcW w:w="1946" w:type="dxa"/>
          </w:tcPr>
          <w:p w14:paraId="30711274"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LIBOR + 606 bps</w:t>
            </w:r>
          </w:p>
        </w:tc>
      </w:tr>
      <w:tr w:rsidR="00C22BB9" w:rsidRPr="00C22BB9" w14:paraId="1AB6D05E" w14:textId="77777777" w:rsidTr="00041A76">
        <w:trPr>
          <w:cnfStyle w:val="000000010000" w:firstRow="0" w:lastRow="0" w:firstColumn="0" w:lastColumn="0" w:oddVBand="0" w:evenVBand="0" w:oddHBand="0" w:evenHBand="1" w:firstRowFirstColumn="0" w:firstRowLastColumn="0" w:lastRowFirstColumn="0" w:lastRowLastColumn="0"/>
          <w:trHeight w:val="360"/>
        </w:trPr>
        <w:tc>
          <w:tcPr>
            <w:tcW w:w="1696" w:type="dxa"/>
            <w:shd w:val="clear" w:color="auto" w:fill="auto"/>
          </w:tcPr>
          <w:p w14:paraId="717289BD" w14:textId="77777777" w:rsidR="00D866F2" w:rsidRDefault="006D61EA" w:rsidP="002F3C17">
            <w:pPr>
              <w:rPr>
                <w:rFonts w:ascii="Arial" w:hAnsi="Arial" w:cs="Arial"/>
                <w:sz w:val="19"/>
                <w:szCs w:val="19"/>
              </w:rPr>
            </w:pPr>
            <w:r w:rsidRPr="005754D0">
              <w:rPr>
                <w:rFonts w:ascii="Arial" w:hAnsi="Arial" w:cs="Arial"/>
                <w:sz w:val="19"/>
                <w:szCs w:val="19"/>
              </w:rPr>
              <w:t xml:space="preserve">All-ins </w:t>
            </w:r>
          </w:p>
          <w:p w14:paraId="5F9A128B" w14:textId="54478BE6" w:rsidR="006D61EA" w:rsidRPr="005754D0" w:rsidRDefault="006D61EA" w:rsidP="002F3C17">
            <w:pPr>
              <w:rPr>
                <w:rFonts w:ascii="Arial" w:hAnsi="Arial" w:cs="Arial"/>
                <w:sz w:val="19"/>
                <w:szCs w:val="19"/>
              </w:rPr>
            </w:pPr>
          </w:p>
        </w:tc>
        <w:tc>
          <w:tcPr>
            <w:tcW w:w="871" w:type="dxa"/>
            <w:shd w:val="clear" w:color="auto" w:fill="auto"/>
          </w:tcPr>
          <w:p w14:paraId="34C63557"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B</w:t>
            </w:r>
          </w:p>
        </w:tc>
        <w:tc>
          <w:tcPr>
            <w:tcW w:w="956" w:type="dxa"/>
            <w:shd w:val="clear" w:color="auto" w:fill="auto"/>
          </w:tcPr>
          <w:p w14:paraId="32F91217"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1 year</w:t>
            </w:r>
          </w:p>
        </w:tc>
        <w:tc>
          <w:tcPr>
            <w:tcW w:w="1945" w:type="dxa"/>
            <w:shd w:val="clear" w:color="auto" w:fill="auto"/>
          </w:tcPr>
          <w:p w14:paraId="1837BAC6"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LIBOR + 570 bps</w:t>
            </w:r>
          </w:p>
        </w:tc>
        <w:tc>
          <w:tcPr>
            <w:tcW w:w="1946" w:type="dxa"/>
            <w:shd w:val="clear" w:color="auto" w:fill="auto"/>
          </w:tcPr>
          <w:p w14:paraId="2D04FD2C"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LIBOR + 550 bps</w:t>
            </w:r>
          </w:p>
        </w:tc>
        <w:tc>
          <w:tcPr>
            <w:tcW w:w="1946" w:type="dxa"/>
            <w:shd w:val="clear" w:color="auto" w:fill="auto"/>
          </w:tcPr>
          <w:p w14:paraId="33714026" w14:textId="77777777" w:rsidR="006D61EA" w:rsidRPr="005754D0" w:rsidRDefault="006D61EA" w:rsidP="002F3C17">
            <w:pPr>
              <w:jc w:val="center"/>
              <w:rPr>
                <w:rFonts w:ascii="Arial" w:hAnsi="Arial" w:cs="Arial"/>
                <w:sz w:val="19"/>
                <w:szCs w:val="19"/>
              </w:rPr>
            </w:pPr>
            <w:r w:rsidRPr="005754D0">
              <w:rPr>
                <w:rFonts w:ascii="Arial" w:hAnsi="Arial" w:cs="Arial"/>
                <w:sz w:val="19"/>
                <w:szCs w:val="19"/>
              </w:rPr>
              <w:t>LIBOR + 530 bps</w:t>
            </w:r>
          </w:p>
        </w:tc>
      </w:tr>
    </w:tbl>
    <w:p w14:paraId="72646277" w14:textId="77777777" w:rsidR="006D61EA" w:rsidRPr="00082E11" w:rsidRDefault="006D61EA" w:rsidP="002F3C17">
      <w:pPr>
        <w:pStyle w:val="ExhibitText"/>
      </w:pPr>
    </w:p>
    <w:p w14:paraId="76741FDC" w14:textId="217B360D" w:rsidR="006D61EA" w:rsidRPr="00082E11" w:rsidRDefault="00041A76" w:rsidP="002F3C17">
      <w:pPr>
        <w:pStyle w:val="Footnote"/>
      </w:pPr>
      <w:r>
        <w:t xml:space="preserve">Note: </w:t>
      </w:r>
      <w:r w:rsidR="00C22BB9">
        <w:t xml:space="preserve">* </w:t>
      </w:r>
      <w:r w:rsidR="006D61EA" w:rsidRPr="00082E11">
        <w:t>MLAB</w:t>
      </w:r>
      <w:r w:rsidR="00CE24EF">
        <w:t>—</w:t>
      </w:r>
      <w:r w:rsidR="006D61EA" w:rsidRPr="00082E11">
        <w:t>mandated lead arrangers and book</w:t>
      </w:r>
      <w:r w:rsidR="00D866F2">
        <w:t xml:space="preserve"> </w:t>
      </w:r>
      <w:r w:rsidR="006D61EA" w:rsidRPr="00082E11">
        <w:t>runners</w:t>
      </w:r>
      <w:r>
        <w:t xml:space="preserve">; </w:t>
      </w:r>
      <w:r w:rsidR="00C22BB9">
        <w:t xml:space="preserve">** </w:t>
      </w:r>
      <w:r w:rsidR="006D61EA" w:rsidRPr="00082E11">
        <w:t>MLA</w:t>
      </w:r>
      <w:r w:rsidR="00CE24EF">
        <w:t>—</w:t>
      </w:r>
      <w:r w:rsidR="006D61EA" w:rsidRPr="00082E11">
        <w:t>mandated lead arrangers</w:t>
      </w:r>
      <w:r>
        <w:t xml:space="preserve">; </w:t>
      </w:r>
      <w:r w:rsidR="00C22BB9" w:rsidRPr="005754D0">
        <w:rPr>
          <w:vertAlign w:val="superscript"/>
        </w:rPr>
        <w:t>†</w:t>
      </w:r>
      <w:r w:rsidR="00C22BB9">
        <w:t xml:space="preserve"> </w:t>
      </w:r>
      <w:r w:rsidR="006D61EA" w:rsidRPr="00082E11">
        <w:t>Blended fees</w:t>
      </w:r>
      <w:r w:rsidR="00CE24EF">
        <w:t>—</w:t>
      </w:r>
      <w:r w:rsidR="006D61EA" w:rsidRPr="00082E11">
        <w:t>average fees across two facilities</w:t>
      </w:r>
      <w:r>
        <w:t xml:space="preserve">; </w:t>
      </w:r>
      <w:r w:rsidR="00C22BB9" w:rsidRPr="005754D0">
        <w:rPr>
          <w:vertAlign w:val="superscript"/>
        </w:rPr>
        <w:t>††</w:t>
      </w:r>
      <w:r w:rsidR="00C22BB9">
        <w:t xml:space="preserve"> Blended a</w:t>
      </w:r>
      <w:r w:rsidR="006D61EA" w:rsidRPr="00082E11">
        <w:t>ll-in</w:t>
      </w:r>
      <w:r w:rsidR="00C22BB9">
        <w:t>s</w:t>
      </w:r>
      <w:r w:rsidR="00CE24EF">
        <w:t>—</w:t>
      </w:r>
      <w:r w:rsidR="006D61EA" w:rsidRPr="00082E11">
        <w:t>interest margin plus annual fee, where annual fee is upfront fee divided by average life of loan</w:t>
      </w:r>
    </w:p>
    <w:p w14:paraId="2C225B19" w14:textId="0ED541CE" w:rsidR="006D61EA" w:rsidRPr="00041A76" w:rsidRDefault="006D61EA" w:rsidP="002F3C17">
      <w:pPr>
        <w:pStyle w:val="Footnote"/>
      </w:pPr>
      <w:r w:rsidRPr="00041A76">
        <w:t xml:space="preserve">Source: Prakash </w:t>
      </w:r>
      <w:proofErr w:type="spellStart"/>
      <w:r w:rsidRPr="00041A76">
        <w:t>Chakravarti</w:t>
      </w:r>
      <w:proofErr w:type="spellEnd"/>
      <w:r w:rsidRPr="00041A76">
        <w:t xml:space="preserve">, “Alibaba </w:t>
      </w:r>
      <w:r w:rsidR="00223B52" w:rsidRPr="00041A76">
        <w:t>W</w:t>
      </w:r>
      <w:r w:rsidRPr="00041A76">
        <w:t xml:space="preserve">oos </w:t>
      </w:r>
      <w:r w:rsidR="00223B52" w:rsidRPr="00041A76">
        <w:t>L</w:t>
      </w:r>
      <w:r w:rsidRPr="00041A76">
        <w:t xml:space="preserve">enders with </w:t>
      </w:r>
      <w:r w:rsidR="00223B52" w:rsidRPr="00041A76">
        <w:t>J</w:t>
      </w:r>
      <w:r w:rsidRPr="00041A76">
        <w:t xml:space="preserve">uicy </w:t>
      </w:r>
      <w:r w:rsidR="00223B52" w:rsidRPr="00041A76">
        <w:t>R</w:t>
      </w:r>
      <w:r w:rsidRPr="00041A76">
        <w:t>eturns on US$3</w:t>
      </w:r>
      <w:r w:rsidR="008B21C9" w:rsidRPr="00041A76">
        <w:t xml:space="preserve"> Bn Loan,” </w:t>
      </w:r>
      <w:r w:rsidR="00CE24EF" w:rsidRPr="009A6B9D">
        <w:rPr>
          <w:i/>
        </w:rPr>
        <w:t>IFR:</w:t>
      </w:r>
      <w:r w:rsidR="00CE24EF">
        <w:rPr>
          <w:i/>
        </w:rPr>
        <w:t xml:space="preserve"> </w:t>
      </w:r>
      <w:r w:rsidR="008B21C9" w:rsidRPr="009A6B9D">
        <w:rPr>
          <w:i/>
        </w:rPr>
        <w:t>International Financing Review</w:t>
      </w:r>
      <w:r w:rsidR="008B21C9" w:rsidRPr="00041A76">
        <w:t>, March 10, 2012, accessed May 19, 2016, www.ifre.com/alibaba-woos-lenders-with-juicy-returns-on-us$3bn-loan/21004924.article</w:t>
      </w:r>
      <w:r w:rsidRPr="00041A76">
        <w:t>.</w:t>
      </w:r>
    </w:p>
    <w:p w14:paraId="3D0D9C75" w14:textId="4B950496" w:rsidR="000F6EF8" w:rsidRDefault="000F6EF8" w:rsidP="002F3C17">
      <w:pPr>
        <w:spacing w:after="200" w:line="276" w:lineRule="auto"/>
        <w:rPr>
          <w:rFonts w:ascii="Arial" w:hAnsi="Arial" w:cs="Arial"/>
        </w:rPr>
      </w:pPr>
      <w:r>
        <w:br w:type="page"/>
      </w:r>
    </w:p>
    <w:p w14:paraId="578557E6" w14:textId="77777777" w:rsidR="006D61EA" w:rsidRPr="00082E11" w:rsidRDefault="006D61EA" w:rsidP="002F3C17">
      <w:pPr>
        <w:pStyle w:val="ExhibitHeading"/>
        <w:outlineLvl w:val="0"/>
      </w:pPr>
      <w:r w:rsidRPr="00082E11">
        <w:lastRenderedPageBreak/>
        <w:t>Exhibit 7: SPREADS AND FEES FOR ALIBABA’S LOAN IN 2013</w:t>
      </w:r>
    </w:p>
    <w:p w14:paraId="3189F430" w14:textId="77777777" w:rsidR="006D61EA" w:rsidRPr="00082E11" w:rsidRDefault="006D61EA" w:rsidP="002F3C17">
      <w:pPr>
        <w:pStyle w:val="BodyTextMain"/>
        <w:rPr>
          <w:rFonts w:ascii="Arial" w:eastAsiaTheme="minorEastAsia" w:hAnsi="Arial" w:cs="Arial"/>
        </w:rPr>
      </w:pPr>
    </w:p>
    <w:tbl>
      <w:tblPr>
        <w:tblStyle w:val="IveyTable"/>
        <w:tblW w:w="5000" w:type="pct"/>
        <w:tblLook w:val="04A0" w:firstRow="1" w:lastRow="0" w:firstColumn="1" w:lastColumn="0" w:noHBand="0" w:noVBand="1"/>
      </w:tblPr>
      <w:tblGrid>
        <w:gridCol w:w="1509"/>
        <w:gridCol w:w="1095"/>
        <w:gridCol w:w="1058"/>
        <w:gridCol w:w="2215"/>
        <w:gridCol w:w="1161"/>
        <w:gridCol w:w="1161"/>
        <w:gridCol w:w="1161"/>
      </w:tblGrid>
      <w:tr w:rsidR="00495E65" w:rsidRPr="00041A76" w14:paraId="5F471E1E" w14:textId="77777777" w:rsidTr="00041A76">
        <w:trPr>
          <w:cnfStyle w:val="100000000000" w:firstRow="1" w:lastRow="0" w:firstColumn="0" w:lastColumn="0" w:oddVBand="0" w:evenVBand="0" w:oddHBand="0" w:evenHBand="0" w:firstRowFirstColumn="0" w:firstRowLastColumn="0" w:lastRowFirstColumn="0" w:lastRowLastColumn="0"/>
          <w:trHeight w:val="360"/>
          <w:tblHeader/>
        </w:trPr>
        <w:tc>
          <w:tcPr>
            <w:tcW w:w="1530" w:type="dxa"/>
            <w:shd w:val="clear" w:color="auto" w:fill="auto"/>
          </w:tcPr>
          <w:p w14:paraId="1469A2EB" w14:textId="77777777" w:rsidR="00495E65" w:rsidRPr="00041A76" w:rsidRDefault="00495E65" w:rsidP="002F3C17">
            <w:pPr>
              <w:pStyle w:val="ExhibitText"/>
            </w:pPr>
          </w:p>
        </w:tc>
        <w:tc>
          <w:tcPr>
            <w:tcW w:w="1010" w:type="dxa"/>
            <w:vMerge w:val="restart"/>
            <w:shd w:val="clear" w:color="auto" w:fill="auto"/>
          </w:tcPr>
          <w:p w14:paraId="339BBDCE" w14:textId="77777777" w:rsidR="00495E65" w:rsidRPr="00041A76" w:rsidRDefault="00495E65" w:rsidP="002F3C17">
            <w:pPr>
              <w:pStyle w:val="ExhibitText"/>
              <w:jc w:val="center"/>
            </w:pPr>
            <w:r w:rsidRPr="00041A76">
              <w:t>Facility</w:t>
            </w:r>
          </w:p>
        </w:tc>
        <w:tc>
          <w:tcPr>
            <w:tcW w:w="1060" w:type="dxa"/>
            <w:vMerge w:val="restart"/>
            <w:shd w:val="clear" w:color="auto" w:fill="auto"/>
          </w:tcPr>
          <w:p w14:paraId="78CD56A8" w14:textId="77777777" w:rsidR="00495E65" w:rsidRPr="00041A76" w:rsidRDefault="00495E65" w:rsidP="002F3C17">
            <w:pPr>
              <w:pStyle w:val="ExhibitText"/>
              <w:jc w:val="center"/>
            </w:pPr>
            <w:r w:rsidRPr="00041A76">
              <w:t>Maturity</w:t>
            </w:r>
          </w:p>
        </w:tc>
        <w:tc>
          <w:tcPr>
            <w:tcW w:w="2250" w:type="dxa"/>
            <w:vMerge w:val="restart"/>
            <w:shd w:val="clear" w:color="auto" w:fill="auto"/>
          </w:tcPr>
          <w:p w14:paraId="78826E87" w14:textId="77777777" w:rsidR="00495E65" w:rsidRPr="00041A76" w:rsidRDefault="00495E65" w:rsidP="002F3C17">
            <w:pPr>
              <w:pStyle w:val="ExhibitText"/>
              <w:jc w:val="center"/>
            </w:pPr>
            <w:r w:rsidRPr="00041A76">
              <w:t>Interest margin (spread)</w:t>
            </w:r>
          </w:p>
        </w:tc>
        <w:tc>
          <w:tcPr>
            <w:tcW w:w="3510" w:type="dxa"/>
            <w:gridSpan w:val="3"/>
            <w:shd w:val="clear" w:color="auto" w:fill="auto"/>
          </w:tcPr>
          <w:p w14:paraId="3ED728DB" w14:textId="77777777" w:rsidR="00495E65" w:rsidRPr="00041A76" w:rsidRDefault="00495E65" w:rsidP="002F3C17">
            <w:pPr>
              <w:pStyle w:val="ExhibitText"/>
              <w:jc w:val="center"/>
            </w:pPr>
            <w:r w:rsidRPr="00041A76">
              <w:t>Upfront fees (participation fees)</w:t>
            </w:r>
          </w:p>
        </w:tc>
      </w:tr>
      <w:tr w:rsidR="00495E65" w:rsidRPr="00041A76" w14:paraId="1E9738FE" w14:textId="77777777" w:rsidTr="00041A76">
        <w:trPr>
          <w:cnfStyle w:val="100000000000" w:firstRow="1" w:lastRow="0" w:firstColumn="0" w:lastColumn="0" w:oddVBand="0" w:evenVBand="0" w:oddHBand="0" w:evenHBand="0" w:firstRowFirstColumn="0" w:firstRowLastColumn="0" w:lastRowFirstColumn="0" w:lastRowLastColumn="0"/>
          <w:trHeight w:val="360"/>
          <w:tblHeader/>
        </w:trPr>
        <w:tc>
          <w:tcPr>
            <w:tcW w:w="1530" w:type="dxa"/>
            <w:shd w:val="clear" w:color="auto" w:fill="auto"/>
          </w:tcPr>
          <w:p w14:paraId="465B4674" w14:textId="77777777" w:rsidR="00495E65" w:rsidRPr="00041A76" w:rsidRDefault="00495E65" w:rsidP="002F3C17">
            <w:pPr>
              <w:pStyle w:val="ExhibitText"/>
            </w:pPr>
          </w:p>
        </w:tc>
        <w:tc>
          <w:tcPr>
            <w:tcW w:w="1010" w:type="dxa"/>
            <w:vMerge/>
            <w:shd w:val="clear" w:color="auto" w:fill="auto"/>
          </w:tcPr>
          <w:p w14:paraId="36AABD03" w14:textId="77777777" w:rsidR="00495E65" w:rsidRPr="00041A76" w:rsidRDefault="00495E65" w:rsidP="002F3C17">
            <w:pPr>
              <w:pStyle w:val="ExhibitText"/>
              <w:jc w:val="center"/>
            </w:pPr>
          </w:p>
        </w:tc>
        <w:tc>
          <w:tcPr>
            <w:tcW w:w="1060" w:type="dxa"/>
            <w:vMerge/>
            <w:shd w:val="clear" w:color="auto" w:fill="auto"/>
          </w:tcPr>
          <w:p w14:paraId="4F21F302" w14:textId="77777777" w:rsidR="00495E65" w:rsidRPr="00041A76" w:rsidRDefault="00495E65" w:rsidP="002F3C17">
            <w:pPr>
              <w:pStyle w:val="ExhibitText"/>
              <w:jc w:val="center"/>
            </w:pPr>
          </w:p>
        </w:tc>
        <w:tc>
          <w:tcPr>
            <w:tcW w:w="2250" w:type="dxa"/>
            <w:vMerge/>
            <w:shd w:val="clear" w:color="auto" w:fill="auto"/>
          </w:tcPr>
          <w:p w14:paraId="6474622D" w14:textId="77777777" w:rsidR="00495E65" w:rsidRPr="00041A76" w:rsidRDefault="00495E65" w:rsidP="002F3C17">
            <w:pPr>
              <w:pStyle w:val="ExhibitText"/>
              <w:jc w:val="center"/>
            </w:pPr>
          </w:p>
        </w:tc>
        <w:tc>
          <w:tcPr>
            <w:tcW w:w="1170" w:type="dxa"/>
            <w:shd w:val="clear" w:color="auto" w:fill="auto"/>
          </w:tcPr>
          <w:p w14:paraId="5FE73901" w14:textId="77777777" w:rsidR="00495E65" w:rsidRPr="00041A76" w:rsidRDefault="00495E65" w:rsidP="002F3C17">
            <w:pPr>
              <w:pStyle w:val="ExhibitText"/>
              <w:jc w:val="center"/>
            </w:pPr>
            <w:r w:rsidRPr="00041A76">
              <w:t>&gt; $500 million</w:t>
            </w:r>
          </w:p>
        </w:tc>
        <w:tc>
          <w:tcPr>
            <w:tcW w:w="1170" w:type="dxa"/>
            <w:shd w:val="clear" w:color="auto" w:fill="auto"/>
          </w:tcPr>
          <w:p w14:paraId="4482C157" w14:textId="77777777" w:rsidR="00495E65" w:rsidRPr="00041A76" w:rsidRDefault="00495E65" w:rsidP="002F3C17">
            <w:pPr>
              <w:pStyle w:val="ExhibitText"/>
              <w:jc w:val="center"/>
            </w:pPr>
            <w:r w:rsidRPr="00041A76">
              <w:t>&gt; $300 million</w:t>
            </w:r>
          </w:p>
        </w:tc>
        <w:tc>
          <w:tcPr>
            <w:tcW w:w="1170" w:type="dxa"/>
            <w:shd w:val="clear" w:color="auto" w:fill="auto"/>
          </w:tcPr>
          <w:p w14:paraId="6740089C" w14:textId="77777777" w:rsidR="00495E65" w:rsidRPr="00041A76" w:rsidRDefault="00495E65" w:rsidP="002F3C17">
            <w:pPr>
              <w:pStyle w:val="ExhibitText"/>
              <w:jc w:val="center"/>
            </w:pPr>
            <w:r w:rsidRPr="00041A76">
              <w:t>&gt; $200 million</w:t>
            </w:r>
          </w:p>
        </w:tc>
      </w:tr>
      <w:tr w:rsidR="00495E65" w:rsidRPr="00041A76" w14:paraId="1CEA9C5E" w14:textId="77777777" w:rsidTr="00041A76">
        <w:trPr>
          <w:trHeight w:val="360"/>
        </w:trPr>
        <w:tc>
          <w:tcPr>
            <w:tcW w:w="1530" w:type="dxa"/>
          </w:tcPr>
          <w:p w14:paraId="2A722677" w14:textId="77777777" w:rsidR="006D61EA" w:rsidRPr="00041A76" w:rsidRDefault="006D61EA" w:rsidP="002F3C17">
            <w:pPr>
              <w:pStyle w:val="ExhibitText"/>
            </w:pPr>
            <w:r w:rsidRPr="00041A76">
              <w:t>$1.5 billion</w:t>
            </w:r>
          </w:p>
        </w:tc>
        <w:tc>
          <w:tcPr>
            <w:tcW w:w="1010" w:type="dxa"/>
          </w:tcPr>
          <w:p w14:paraId="783A73ED" w14:textId="2D89CF04" w:rsidR="006D61EA" w:rsidRPr="00041A76" w:rsidRDefault="00807034" w:rsidP="002F3C17">
            <w:pPr>
              <w:pStyle w:val="ExhibitText"/>
              <w:jc w:val="center"/>
            </w:pPr>
            <w:r w:rsidRPr="00041A76">
              <w:t>Revolving</w:t>
            </w:r>
          </w:p>
        </w:tc>
        <w:tc>
          <w:tcPr>
            <w:tcW w:w="1060" w:type="dxa"/>
          </w:tcPr>
          <w:p w14:paraId="757E3CFC" w14:textId="77777777" w:rsidR="006D61EA" w:rsidRPr="00041A76" w:rsidRDefault="006D61EA" w:rsidP="002F3C17">
            <w:pPr>
              <w:pStyle w:val="ExhibitText"/>
              <w:jc w:val="center"/>
            </w:pPr>
            <w:r w:rsidRPr="00041A76">
              <w:t>3 years</w:t>
            </w:r>
          </w:p>
        </w:tc>
        <w:tc>
          <w:tcPr>
            <w:tcW w:w="2250" w:type="dxa"/>
          </w:tcPr>
          <w:p w14:paraId="06F69359" w14:textId="77777777" w:rsidR="006D61EA" w:rsidRPr="00041A76" w:rsidRDefault="006D61EA" w:rsidP="002F3C17">
            <w:pPr>
              <w:pStyle w:val="ExhibitText"/>
              <w:jc w:val="center"/>
            </w:pPr>
            <w:r w:rsidRPr="00041A76">
              <w:t>LIBOR + 225 bps</w:t>
            </w:r>
          </w:p>
        </w:tc>
        <w:tc>
          <w:tcPr>
            <w:tcW w:w="1170" w:type="dxa"/>
          </w:tcPr>
          <w:p w14:paraId="3C7F844A" w14:textId="77777777" w:rsidR="006D61EA" w:rsidRPr="00041A76" w:rsidRDefault="006D61EA" w:rsidP="002F3C17">
            <w:pPr>
              <w:pStyle w:val="ExhibitText"/>
              <w:jc w:val="center"/>
            </w:pPr>
          </w:p>
        </w:tc>
        <w:tc>
          <w:tcPr>
            <w:tcW w:w="1170" w:type="dxa"/>
          </w:tcPr>
          <w:p w14:paraId="0302E540" w14:textId="77777777" w:rsidR="006D61EA" w:rsidRPr="00041A76" w:rsidRDefault="006D61EA" w:rsidP="002F3C17">
            <w:pPr>
              <w:pStyle w:val="ExhibitText"/>
              <w:jc w:val="center"/>
            </w:pPr>
          </w:p>
        </w:tc>
        <w:tc>
          <w:tcPr>
            <w:tcW w:w="1170" w:type="dxa"/>
          </w:tcPr>
          <w:p w14:paraId="21217DFA" w14:textId="77777777" w:rsidR="006D61EA" w:rsidRPr="00041A76" w:rsidRDefault="006D61EA" w:rsidP="002F3C17">
            <w:pPr>
              <w:pStyle w:val="ExhibitText"/>
              <w:jc w:val="center"/>
            </w:pPr>
          </w:p>
        </w:tc>
      </w:tr>
      <w:tr w:rsidR="00495E65" w:rsidRPr="00041A76" w14:paraId="4360C70F" w14:textId="77777777" w:rsidTr="00041A76">
        <w:trPr>
          <w:cnfStyle w:val="000000010000" w:firstRow="0" w:lastRow="0" w:firstColumn="0" w:lastColumn="0" w:oddVBand="0" w:evenVBand="0" w:oddHBand="0" w:evenHBand="1" w:firstRowFirstColumn="0" w:firstRowLastColumn="0" w:lastRowFirstColumn="0" w:lastRowLastColumn="0"/>
          <w:trHeight w:val="360"/>
        </w:trPr>
        <w:tc>
          <w:tcPr>
            <w:tcW w:w="1530" w:type="dxa"/>
            <w:shd w:val="clear" w:color="auto" w:fill="auto"/>
          </w:tcPr>
          <w:p w14:paraId="6F7D83A2" w14:textId="77777777" w:rsidR="006D61EA" w:rsidRPr="00041A76" w:rsidRDefault="006D61EA" w:rsidP="002F3C17">
            <w:pPr>
              <w:pStyle w:val="ExhibitText"/>
            </w:pPr>
            <w:r w:rsidRPr="00041A76">
              <w:t>$2.5 billion</w:t>
            </w:r>
          </w:p>
        </w:tc>
        <w:tc>
          <w:tcPr>
            <w:tcW w:w="1010" w:type="dxa"/>
            <w:shd w:val="clear" w:color="auto" w:fill="auto"/>
          </w:tcPr>
          <w:p w14:paraId="3D2FD49D" w14:textId="77777777" w:rsidR="006D61EA" w:rsidRPr="00041A76" w:rsidRDefault="006D61EA" w:rsidP="002F3C17">
            <w:pPr>
              <w:pStyle w:val="ExhibitText"/>
              <w:jc w:val="center"/>
            </w:pPr>
            <w:r w:rsidRPr="00041A76">
              <w:t>A</w:t>
            </w:r>
          </w:p>
        </w:tc>
        <w:tc>
          <w:tcPr>
            <w:tcW w:w="1060" w:type="dxa"/>
            <w:shd w:val="clear" w:color="auto" w:fill="auto"/>
          </w:tcPr>
          <w:p w14:paraId="6EFC6120" w14:textId="77777777" w:rsidR="006D61EA" w:rsidRPr="00041A76" w:rsidRDefault="006D61EA" w:rsidP="002F3C17">
            <w:pPr>
              <w:pStyle w:val="ExhibitText"/>
              <w:jc w:val="center"/>
            </w:pPr>
            <w:r w:rsidRPr="00041A76">
              <w:t>3 years</w:t>
            </w:r>
          </w:p>
        </w:tc>
        <w:tc>
          <w:tcPr>
            <w:tcW w:w="2250" w:type="dxa"/>
            <w:shd w:val="clear" w:color="auto" w:fill="auto"/>
          </w:tcPr>
          <w:p w14:paraId="6326FD83" w14:textId="77777777" w:rsidR="006D61EA" w:rsidRPr="00041A76" w:rsidRDefault="006D61EA" w:rsidP="002F3C17">
            <w:pPr>
              <w:pStyle w:val="ExhibitText"/>
              <w:jc w:val="center"/>
            </w:pPr>
            <w:r w:rsidRPr="00041A76">
              <w:t>LIBOR + 225 bps</w:t>
            </w:r>
          </w:p>
        </w:tc>
        <w:tc>
          <w:tcPr>
            <w:tcW w:w="1170" w:type="dxa"/>
            <w:shd w:val="clear" w:color="auto" w:fill="auto"/>
          </w:tcPr>
          <w:p w14:paraId="69D87237" w14:textId="77777777" w:rsidR="006D61EA" w:rsidRPr="00041A76" w:rsidRDefault="006D61EA" w:rsidP="002F3C17">
            <w:pPr>
              <w:pStyle w:val="ExhibitText"/>
              <w:jc w:val="center"/>
            </w:pPr>
            <w:r w:rsidRPr="00041A76">
              <w:t>150 bps</w:t>
            </w:r>
          </w:p>
        </w:tc>
        <w:tc>
          <w:tcPr>
            <w:tcW w:w="1170" w:type="dxa"/>
            <w:shd w:val="clear" w:color="auto" w:fill="auto"/>
          </w:tcPr>
          <w:p w14:paraId="2FA289D7" w14:textId="77777777" w:rsidR="006D61EA" w:rsidRPr="00041A76" w:rsidRDefault="006D61EA" w:rsidP="002F3C17">
            <w:pPr>
              <w:pStyle w:val="ExhibitText"/>
              <w:jc w:val="center"/>
            </w:pPr>
            <w:r w:rsidRPr="00041A76">
              <w:t>125 bps</w:t>
            </w:r>
          </w:p>
        </w:tc>
        <w:tc>
          <w:tcPr>
            <w:tcW w:w="1170" w:type="dxa"/>
            <w:shd w:val="clear" w:color="auto" w:fill="auto"/>
          </w:tcPr>
          <w:p w14:paraId="098EB920" w14:textId="77777777" w:rsidR="006D61EA" w:rsidRPr="00041A76" w:rsidRDefault="006D61EA" w:rsidP="002F3C17">
            <w:pPr>
              <w:pStyle w:val="ExhibitText"/>
              <w:jc w:val="center"/>
            </w:pPr>
            <w:r w:rsidRPr="00041A76">
              <w:t>100 bps</w:t>
            </w:r>
          </w:p>
        </w:tc>
      </w:tr>
      <w:tr w:rsidR="00495E65" w:rsidRPr="00041A76" w14:paraId="541870CF" w14:textId="77777777" w:rsidTr="00041A76">
        <w:trPr>
          <w:trHeight w:val="360"/>
        </w:trPr>
        <w:tc>
          <w:tcPr>
            <w:tcW w:w="1530" w:type="dxa"/>
          </w:tcPr>
          <w:p w14:paraId="72C15A65" w14:textId="77777777" w:rsidR="006D61EA" w:rsidRPr="00041A76" w:rsidRDefault="006D61EA" w:rsidP="002F3C17">
            <w:pPr>
              <w:pStyle w:val="ExhibitText"/>
            </w:pPr>
            <w:r w:rsidRPr="00041A76">
              <w:t>$4 billion</w:t>
            </w:r>
          </w:p>
        </w:tc>
        <w:tc>
          <w:tcPr>
            <w:tcW w:w="1010" w:type="dxa"/>
          </w:tcPr>
          <w:p w14:paraId="7EB5CD9F" w14:textId="77777777" w:rsidR="006D61EA" w:rsidRPr="00041A76" w:rsidRDefault="006D61EA" w:rsidP="002F3C17">
            <w:pPr>
              <w:pStyle w:val="ExhibitText"/>
              <w:jc w:val="center"/>
            </w:pPr>
            <w:r w:rsidRPr="00041A76">
              <w:t>C</w:t>
            </w:r>
          </w:p>
        </w:tc>
        <w:tc>
          <w:tcPr>
            <w:tcW w:w="1060" w:type="dxa"/>
          </w:tcPr>
          <w:p w14:paraId="1F9E538F" w14:textId="77777777" w:rsidR="006D61EA" w:rsidRPr="00041A76" w:rsidRDefault="006D61EA" w:rsidP="002F3C17">
            <w:pPr>
              <w:pStyle w:val="ExhibitText"/>
              <w:jc w:val="center"/>
            </w:pPr>
            <w:r w:rsidRPr="00041A76">
              <w:t>5 years</w:t>
            </w:r>
          </w:p>
        </w:tc>
        <w:tc>
          <w:tcPr>
            <w:tcW w:w="2250" w:type="dxa"/>
          </w:tcPr>
          <w:p w14:paraId="17F86619" w14:textId="77777777" w:rsidR="006D61EA" w:rsidRPr="00041A76" w:rsidRDefault="006D61EA" w:rsidP="002F3C17">
            <w:pPr>
              <w:pStyle w:val="ExhibitText"/>
              <w:jc w:val="center"/>
            </w:pPr>
            <w:r w:rsidRPr="00041A76">
              <w:t>LIBOR + 275 bps</w:t>
            </w:r>
          </w:p>
        </w:tc>
        <w:tc>
          <w:tcPr>
            <w:tcW w:w="1170" w:type="dxa"/>
          </w:tcPr>
          <w:p w14:paraId="2F719C0F" w14:textId="77777777" w:rsidR="006D61EA" w:rsidRPr="00041A76" w:rsidRDefault="006D61EA" w:rsidP="002F3C17">
            <w:pPr>
              <w:pStyle w:val="ExhibitText"/>
              <w:jc w:val="center"/>
            </w:pPr>
            <w:r w:rsidRPr="00041A76">
              <w:t>225 bps</w:t>
            </w:r>
          </w:p>
        </w:tc>
        <w:tc>
          <w:tcPr>
            <w:tcW w:w="1170" w:type="dxa"/>
          </w:tcPr>
          <w:p w14:paraId="347CB029" w14:textId="77777777" w:rsidR="006D61EA" w:rsidRPr="00041A76" w:rsidRDefault="006D61EA" w:rsidP="002F3C17">
            <w:pPr>
              <w:pStyle w:val="ExhibitText"/>
              <w:jc w:val="center"/>
            </w:pPr>
            <w:r w:rsidRPr="00041A76">
              <w:t>200 bps</w:t>
            </w:r>
          </w:p>
        </w:tc>
        <w:tc>
          <w:tcPr>
            <w:tcW w:w="1170" w:type="dxa"/>
          </w:tcPr>
          <w:p w14:paraId="2E7EDE07" w14:textId="77777777" w:rsidR="006D61EA" w:rsidRPr="00041A76" w:rsidRDefault="006D61EA" w:rsidP="002F3C17">
            <w:pPr>
              <w:pStyle w:val="ExhibitText"/>
              <w:jc w:val="center"/>
            </w:pPr>
            <w:r w:rsidRPr="00041A76">
              <w:t>175 bps</w:t>
            </w:r>
          </w:p>
        </w:tc>
      </w:tr>
    </w:tbl>
    <w:p w14:paraId="7C515715" w14:textId="77777777" w:rsidR="000F6EF8" w:rsidRPr="00082E11" w:rsidRDefault="000F6EF8" w:rsidP="002F3C17">
      <w:pPr>
        <w:pStyle w:val="ExhibitText"/>
      </w:pPr>
    </w:p>
    <w:p w14:paraId="1EA4E80F" w14:textId="5B55FC79" w:rsidR="006D61EA" w:rsidRPr="00041A76" w:rsidRDefault="006D61EA" w:rsidP="002F3C17">
      <w:pPr>
        <w:pStyle w:val="ExhibitText"/>
      </w:pPr>
      <w:r w:rsidRPr="00041A76">
        <w:t>If the offshore groups’ leverage drops to 2.</w:t>
      </w:r>
      <w:r w:rsidR="00495E65" w:rsidRPr="00041A76">
        <w:t>0×</w:t>
      </w:r>
      <w:r w:rsidRPr="00041A76">
        <w:t>–1.</w:t>
      </w:r>
      <w:r w:rsidR="00495E65" w:rsidRPr="00041A76">
        <w:t>5×:</w:t>
      </w:r>
    </w:p>
    <w:p w14:paraId="37673EE6" w14:textId="77777777" w:rsidR="006D61EA" w:rsidRDefault="006D61EA" w:rsidP="002F3C17">
      <w:pPr>
        <w:pStyle w:val="ExhibitText"/>
      </w:pPr>
    </w:p>
    <w:p w14:paraId="7FC52F25" w14:textId="77777777" w:rsidR="00041A76" w:rsidRPr="00082E11" w:rsidRDefault="00041A76" w:rsidP="002F3C17">
      <w:pPr>
        <w:pStyle w:val="ExhibitText"/>
      </w:pPr>
    </w:p>
    <w:tbl>
      <w:tblPr>
        <w:tblStyle w:val="IveyTable"/>
        <w:tblW w:w="0" w:type="auto"/>
        <w:tblLook w:val="04A0" w:firstRow="1" w:lastRow="0" w:firstColumn="1" w:lastColumn="0" w:noHBand="0" w:noVBand="1"/>
      </w:tblPr>
      <w:tblGrid>
        <w:gridCol w:w="1350"/>
        <w:gridCol w:w="1801"/>
        <w:gridCol w:w="1079"/>
        <w:gridCol w:w="1890"/>
      </w:tblGrid>
      <w:tr w:rsidR="00807034" w:rsidRPr="007532BD" w14:paraId="2E784867" w14:textId="77777777" w:rsidTr="00041A76">
        <w:trPr>
          <w:cnfStyle w:val="100000000000" w:firstRow="1" w:lastRow="0" w:firstColumn="0" w:lastColumn="0" w:oddVBand="0" w:evenVBand="0" w:oddHBand="0" w:evenHBand="0" w:firstRowFirstColumn="0" w:firstRowLastColumn="0" w:lastRowFirstColumn="0" w:lastRowLastColumn="0"/>
          <w:trHeight w:val="360"/>
          <w:tblHeader/>
        </w:trPr>
        <w:tc>
          <w:tcPr>
            <w:tcW w:w="1350" w:type="dxa"/>
            <w:shd w:val="clear" w:color="auto" w:fill="auto"/>
          </w:tcPr>
          <w:p w14:paraId="0EE4C0EB" w14:textId="77777777" w:rsidR="006D61EA" w:rsidRPr="00041A76" w:rsidRDefault="006D61EA" w:rsidP="002F3C17">
            <w:pPr>
              <w:pStyle w:val="ExhibitText"/>
            </w:pPr>
          </w:p>
        </w:tc>
        <w:tc>
          <w:tcPr>
            <w:tcW w:w="1801" w:type="dxa"/>
            <w:shd w:val="clear" w:color="auto" w:fill="auto"/>
          </w:tcPr>
          <w:p w14:paraId="78C9B628" w14:textId="77777777" w:rsidR="006D61EA" w:rsidRPr="00041A76" w:rsidRDefault="006D61EA" w:rsidP="002F3C17">
            <w:pPr>
              <w:pStyle w:val="ExhibitText"/>
              <w:jc w:val="center"/>
            </w:pPr>
            <w:r w:rsidRPr="00041A76">
              <w:t>Facility</w:t>
            </w:r>
          </w:p>
        </w:tc>
        <w:tc>
          <w:tcPr>
            <w:tcW w:w="1079" w:type="dxa"/>
            <w:shd w:val="clear" w:color="auto" w:fill="auto"/>
          </w:tcPr>
          <w:p w14:paraId="6D5E24F9" w14:textId="77777777" w:rsidR="006D61EA" w:rsidRPr="00041A76" w:rsidRDefault="006D61EA" w:rsidP="002F3C17">
            <w:pPr>
              <w:pStyle w:val="ExhibitText"/>
              <w:jc w:val="center"/>
            </w:pPr>
            <w:r w:rsidRPr="00041A76">
              <w:t>Maturity</w:t>
            </w:r>
          </w:p>
        </w:tc>
        <w:tc>
          <w:tcPr>
            <w:tcW w:w="1890" w:type="dxa"/>
            <w:shd w:val="clear" w:color="auto" w:fill="auto"/>
          </w:tcPr>
          <w:p w14:paraId="4FBD5BD1" w14:textId="77777777" w:rsidR="006D61EA" w:rsidRPr="00041A76" w:rsidRDefault="006D61EA" w:rsidP="002F3C17">
            <w:pPr>
              <w:pStyle w:val="ExhibitText"/>
              <w:jc w:val="center"/>
            </w:pPr>
            <w:r w:rsidRPr="00041A76">
              <w:t>Interest margin (spread)</w:t>
            </w:r>
          </w:p>
        </w:tc>
      </w:tr>
      <w:tr w:rsidR="00807034" w:rsidRPr="007532BD" w14:paraId="5BBDDD6E" w14:textId="77777777" w:rsidTr="00041A76">
        <w:trPr>
          <w:trHeight w:val="360"/>
        </w:trPr>
        <w:tc>
          <w:tcPr>
            <w:tcW w:w="1350" w:type="dxa"/>
          </w:tcPr>
          <w:p w14:paraId="577E6B56" w14:textId="77777777" w:rsidR="006D61EA" w:rsidRPr="00041A76" w:rsidRDefault="006D61EA" w:rsidP="002F3C17">
            <w:pPr>
              <w:pStyle w:val="ExhibitText"/>
            </w:pPr>
            <w:r w:rsidRPr="00041A76">
              <w:t>$1.5 billion</w:t>
            </w:r>
          </w:p>
        </w:tc>
        <w:tc>
          <w:tcPr>
            <w:tcW w:w="1801" w:type="dxa"/>
          </w:tcPr>
          <w:p w14:paraId="27E8ACDE" w14:textId="0CC38F71" w:rsidR="006D61EA" w:rsidRPr="00041A76" w:rsidRDefault="00807034" w:rsidP="002F3C17">
            <w:pPr>
              <w:pStyle w:val="ExhibitText"/>
              <w:jc w:val="center"/>
            </w:pPr>
            <w:r w:rsidRPr="00041A76">
              <w:t>Revolving</w:t>
            </w:r>
          </w:p>
        </w:tc>
        <w:tc>
          <w:tcPr>
            <w:tcW w:w="1079" w:type="dxa"/>
          </w:tcPr>
          <w:p w14:paraId="243C8655" w14:textId="77777777" w:rsidR="006D61EA" w:rsidRPr="00041A76" w:rsidRDefault="006D61EA" w:rsidP="002F3C17">
            <w:pPr>
              <w:pStyle w:val="ExhibitText"/>
              <w:jc w:val="center"/>
            </w:pPr>
            <w:r w:rsidRPr="00041A76">
              <w:t>3 years</w:t>
            </w:r>
          </w:p>
        </w:tc>
        <w:tc>
          <w:tcPr>
            <w:tcW w:w="1890" w:type="dxa"/>
          </w:tcPr>
          <w:p w14:paraId="40FA41DF" w14:textId="77777777" w:rsidR="006D61EA" w:rsidRPr="00041A76" w:rsidRDefault="006D61EA" w:rsidP="002F3C17">
            <w:pPr>
              <w:pStyle w:val="ExhibitText"/>
              <w:jc w:val="center"/>
            </w:pPr>
            <w:r w:rsidRPr="00041A76">
              <w:t>LIBOR + 200 bps</w:t>
            </w:r>
          </w:p>
        </w:tc>
      </w:tr>
      <w:tr w:rsidR="00807034" w:rsidRPr="007532BD" w14:paraId="6A9CB858" w14:textId="77777777" w:rsidTr="00041A76">
        <w:trPr>
          <w:cnfStyle w:val="000000010000" w:firstRow="0" w:lastRow="0" w:firstColumn="0" w:lastColumn="0" w:oddVBand="0" w:evenVBand="0" w:oddHBand="0" w:evenHBand="1" w:firstRowFirstColumn="0" w:firstRowLastColumn="0" w:lastRowFirstColumn="0" w:lastRowLastColumn="0"/>
          <w:trHeight w:val="360"/>
        </w:trPr>
        <w:tc>
          <w:tcPr>
            <w:tcW w:w="1350" w:type="dxa"/>
            <w:shd w:val="clear" w:color="auto" w:fill="auto"/>
          </w:tcPr>
          <w:p w14:paraId="1DE4A180" w14:textId="77777777" w:rsidR="006D61EA" w:rsidRPr="00041A76" w:rsidRDefault="006D61EA" w:rsidP="002F3C17">
            <w:pPr>
              <w:pStyle w:val="ExhibitText"/>
            </w:pPr>
            <w:r w:rsidRPr="00041A76">
              <w:t>$2.5 billion</w:t>
            </w:r>
          </w:p>
        </w:tc>
        <w:tc>
          <w:tcPr>
            <w:tcW w:w="1801" w:type="dxa"/>
            <w:shd w:val="clear" w:color="auto" w:fill="auto"/>
          </w:tcPr>
          <w:p w14:paraId="67146B7D" w14:textId="77777777" w:rsidR="006D61EA" w:rsidRPr="00041A76" w:rsidRDefault="006D61EA" w:rsidP="002F3C17">
            <w:pPr>
              <w:pStyle w:val="ExhibitText"/>
              <w:jc w:val="center"/>
            </w:pPr>
            <w:r w:rsidRPr="00041A76">
              <w:t>A</w:t>
            </w:r>
          </w:p>
        </w:tc>
        <w:tc>
          <w:tcPr>
            <w:tcW w:w="1079" w:type="dxa"/>
            <w:shd w:val="clear" w:color="auto" w:fill="auto"/>
          </w:tcPr>
          <w:p w14:paraId="156C78E6" w14:textId="77777777" w:rsidR="006D61EA" w:rsidRPr="00041A76" w:rsidRDefault="006D61EA" w:rsidP="002F3C17">
            <w:pPr>
              <w:pStyle w:val="ExhibitText"/>
              <w:jc w:val="center"/>
            </w:pPr>
            <w:r w:rsidRPr="00041A76">
              <w:t>3 years</w:t>
            </w:r>
          </w:p>
        </w:tc>
        <w:tc>
          <w:tcPr>
            <w:tcW w:w="1890" w:type="dxa"/>
            <w:shd w:val="clear" w:color="auto" w:fill="auto"/>
          </w:tcPr>
          <w:p w14:paraId="7D66C4E6" w14:textId="77777777" w:rsidR="006D61EA" w:rsidRPr="00041A76" w:rsidRDefault="006D61EA" w:rsidP="002F3C17">
            <w:pPr>
              <w:pStyle w:val="ExhibitText"/>
              <w:jc w:val="center"/>
            </w:pPr>
            <w:r w:rsidRPr="00041A76">
              <w:t>LIBOR + 200 bps</w:t>
            </w:r>
          </w:p>
        </w:tc>
      </w:tr>
      <w:tr w:rsidR="00807034" w:rsidRPr="007532BD" w14:paraId="28222F42" w14:textId="77777777" w:rsidTr="00041A76">
        <w:trPr>
          <w:trHeight w:val="360"/>
        </w:trPr>
        <w:tc>
          <w:tcPr>
            <w:tcW w:w="1350" w:type="dxa"/>
          </w:tcPr>
          <w:p w14:paraId="1958ED80" w14:textId="77777777" w:rsidR="006D61EA" w:rsidRPr="00041A76" w:rsidRDefault="006D61EA" w:rsidP="002F3C17">
            <w:pPr>
              <w:pStyle w:val="ExhibitText"/>
            </w:pPr>
            <w:r w:rsidRPr="00041A76">
              <w:t>$4 billion</w:t>
            </w:r>
          </w:p>
        </w:tc>
        <w:tc>
          <w:tcPr>
            <w:tcW w:w="1801" w:type="dxa"/>
          </w:tcPr>
          <w:p w14:paraId="039BFFB3" w14:textId="77777777" w:rsidR="006D61EA" w:rsidRPr="00041A76" w:rsidRDefault="006D61EA" w:rsidP="002F3C17">
            <w:pPr>
              <w:pStyle w:val="ExhibitText"/>
              <w:jc w:val="center"/>
            </w:pPr>
            <w:r w:rsidRPr="00041A76">
              <w:t>C</w:t>
            </w:r>
          </w:p>
        </w:tc>
        <w:tc>
          <w:tcPr>
            <w:tcW w:w="1079" w:type="dxa"/>
          </w:tcPr>
          <w:p w14:paraId="12AD3259" w14:textId="77777777" w:rsidR="006D61EA" w:rsidRPr="00041A76" w:rsidRDefault="006D61EA" w:rsidP="002F3C17">
            <w:pPr>
              <w:pStyle w:val="ExhibitText"/>
              <w:jc w:val="center"/>
            </w:pPr>
            <w:r w:rsidRPr="00041A76">
              <w:t>5 years</w:t>
            </w:r>
          </w:p>
        </w:tc>
        <w:tc>
          <w:tcPr>
            <w:tcW w:w="1890" w:type="dxa"/>
          </w:tcPr>
          <w:p w14:paraId="19713C47" w14:textId="77777777" w:rsidR="006D61EA" w:rsidRPr="00041A76" w:rsidRDefault="006D61EA" w:rsidP="002F3C17">
            <w:pPr>
              <w:pStyle w:val="ExhibitText"/>
              <w:jc w:val="center"/>
            </w:pPr>
            <w:r w:rsidRPr="00041A76">
              <w:t>LIBOR + 250 bps</w:t>
            </w:r>
          </w:p>
        </w:tc>
      </w:tr>
    </w:tbl>
    <w:p w14:paraId="427BCB0C" w14:textId="77777777" w:rsidR="006D61EA" w:rsidRDefault="006D61EA" w:rsidP="002F3C17">
      <w:pPr>
        <w:pStyle w:val="ExhibitText"/>
      </w:pPr>
    </w:p>
    <w:p w14:paraId="22295D8F" w14:textId="4562A197" w:rsidR="006D61EA" w:rsidRPr="00082E11" w:rsidRDefault="006D61EA" w:rsidP="002F3C17">
      <w:pPr>
        <w:pStyle w:val="ExhibitText"/>
      </w:pPr>
      <w:r w:rsidRPr="00082E11">
        <w:t>If the offshore groups’ leverage drops below 1.</w:t>
      </w:r>
      <w:r w:rsidR="00495E65" w:rsidRPr="00082E11">
        <w:t>5</w:t>
      </w:r>
      <w:r w:rsidR="00495E65">
        <w:t>×:</w:t>
      </w:r>
    </w:p>
    <w:p w14:paraId="27F6F464" w14:textId="77777777" w:rsidR="006D61EA" w:rsidRDefault="006D61EA" w:rsidP="002F3C17">
      <w:pPr>
        <w:pStyle w:val="ExhibitText"/>
      </w:pPr>
    </w:p>
    <w:p w14:paraId="4AAEA3BD" w14:textId="77777777" w:rsidR="00041A76" w:rsidRPr="00082E11" w:rsidRDefault="00041A76" w:rsidP="002F3C17">
      <w:pPr>
        <w:pStyle w:val="ExhibitText"/>
      </w:pPr>
    </w:p>
    <w:tbl>
      <w:tblPr>
        <w:tblStyle w:val="IveyTable"/>
        <w:tblW w:w="0" w:type="auto"/>
        <w:tblLook w:val="04A0" w:firstRow="1" w:lastRow="0" w:firstColumn="1" w:lastColumn="0" w:noHBand="0" w:noVBand="1"/>
      </w:tblPr>
      <w:tblGrid>
        <w:gridCol w:w="1350"/>
        <w:gridCol w:w="1801"/>
        <w:gridCol w:w="1079"/>
        <w:gridCol w:w="1890"/>
      </w:tblGrid>
      <w:tr w:rsidR="00807034" w:rsidRPr="007532BD" w14:paraId="5151CA78" w14:textId="77777777" w:rsidTr="00041A76">
        <w:trPr>
          <w:cnfStyle w:val="100000000000" w:firstRow="1" w:lastRow="0" w:firstColumn="0" w:lastColumn="0" w:oddVBand="0" w:evenVBand="0" w:oddHBand="0" w:evenHBand="0" w:firstRowFirstColumn="0" w:firstRowLastColumn="0" w:lastRowFirstColumn="0" w:lastRowLastColumn="0"/>
          <w:trHeight w:val="360"/>
          <w:tblHeader/>
        </w:trPr>
        <w:tc>
          <w:tcPr>
            <w:tcW w:w="1350" w:type="dxa"/>
            <w:shd w:val="clear" w:color="auto" w:fill="auto"/>
          </w:tcPr>
          <w:p w14:paraId="480A7812" w14:textId="77777777" w:rsidR="006D61EA" w:rsidRPr="007532BD" w:rsidRDefault="006D61EA" w:rsidP="002F3C17">
            <w:pPr>
              <w:pStyle w:val="ExhibitText"/>
            </w:pPr>
          </w:p>
        </w:tc>
        <w:tc>
          <w:tcPr>
            <w:tcW w:w="1801" w:type="dxa"/>
            <w:shd w:val="clear" w:color="auto" w:fill="auto"/>
          </w:tcPr>
          <w:p w14:paraId="54AD18EA" w14:textId="77777777" w:rsidR="006D61EA" w:rsidRPr="007532BD" w:rsidRDefault="006D61EA" w:rsidP="002F3C17">
            <w:pPr>
              <w:pStyle w:val="ExhibitText"/>
            </w:pPr>
            <w:r w:rsidRPr="007532BD">
              <w:t>Facility</w:t>
            </w:r>
          </w:p>
        </w:tc>
        <w:tc>
          <w:tcPr>
            <w:tcW w:w="1079" w:type="dxa"/>
            <w:shd w:val="clear" w:color="auto" w:fill="auto"/>
          </w:tcPr>
          <w:p w14:paraId="0FA1A2B3" w14:textId="77777777" w:rsidR="006D61EA" w:rsidRPr="007532BD" w:rsidRDefault="006D61EA" w:rsidP="002F3C17">
            <w:pPr>
              <w:pStyle w:val="ExhibitText"/>
            </w:pPr>
            <w:r w:rsidRPr="007532BD">
              <w:t>Maturity</w:t>
            </w:r>
          </w:p>
        </w:tc>
        <w:tc>
          <w:tcPr>
            <w:tcW w:w="1890" w:type="dxa"/>
            <w:shd w:val="clear" w:color="auto" w:fill="auto"/>
          </w:tcPr>
          <w:p w14:paraId="46EB70C3" w14:textId="77777777" w:rsidR="006D61EA" w:rsidRPr="007532BD" w:rsidRDefault="006D61EA" w:rsidP="002F3C17">
            <w:pPr>
              <w:pStyle w:val="ExhibitText"/>
            </w:pPr>
            <w:r w:rsidRPr="007532BD">
              <w:t>Interest margin (spread)</w:t>
            </w:r>
          </w:p>
        </w:tc>
      </w:tr>
      <w:tr w:rsidR="00807034" w:rsidRPr="007532BD" w14:paraId="1AD4265D" w14:textId="77777777" w:rsidTr="00041A76">
        <w:trPr>
          <w:trHeight w:val="360"/>
        </w:trPr>
        <w:tc>
          <w:tcPr>
            <w:tcW w:w="1350" w:type="dxa"/>
          </w:tcPr>
          <w:p w14:paraId="49D1516F" w14:textId="77777777" w:rsidR="006D61EA" w:rsidRPr="007532BD" w:rsidRDefault="006D61EA" w:rsidP="002F3C17">
            <w:pPr>
              <w:pStyle w:val="ExhibitText"/>
            </w:pPr>
            <w:r w:rsidRPr="007532BD">
              <w:t>$1.5 billion</w:t>
            </w:r>
          </w:p>
        </w:tc>
        <w:tc>
          <w:tcPr>
            <w:tcW w:w="1801" w:type="dxa"/>
          </w:tcPr>
          <w:p w14:paraId="7E2DE21E" w14:textId="73DDF8E4" w:rsidR="006D61EA" w:rsidRPr="007532BD" w:rsidRDefault="00807034" w:rsidP="002F3C17">
            <w:pPr>
              <w:pStyle w:val="ExhibitText"/>
            </w:pPr>
            <w:r w:rsidRPr="007532BD">
              <w:t>Revolving</w:t>
            </w:r>
          </w:p>
        </w:tc>
        <w:tc>
          <w:tcPr>
            <w:tcW w:w="1079" w:type="dxa"/>
          </w:tcPr>
          <w:p w14:paraId="41488E16" w14:textId="77777777" w:rsidR="006D61EA" w:rsidRPr="007532BD" w:rsidRDefault="006D61EA" w:rsidP="002F3C17">
            <w:pPr>
              <w:pStyle w:val="ExhibitText"/>
            </w:pPr>
            <w:r w:rsidRPr="007532BD">
              <w:t>3 years</w:t>
            </w:r>
          </w:p>
        </w:tc>
        <w:tc>
          <w:tcPr>
            <w:tcW w:w="1890" w:type="dxa"/>
          </w:tcPr>
          <w:p w14:paraId="177FBF21" w14:textId="77777777" w:rsidR="006D61EA" w:rsidRPr="007532BD" w:rsidRDefault="006D61EA" w:rsidP="002F3C17">
            <w:pPr>
              <w:pStyle w:val="ExhibitText"/>
            </w:pPr>
            <w:r w:rsidRPr="007532BD">
              <w:t>LIBOR + 175 bps</w:t>
            </w:r>
          </w:p>
        </w:tc>
      </w:tr>
      <w:tr w:rsidR="00807034" w:rsidRPr="007532BD" w14:paraId="392656B7" w14:textId="77777777" w:rsidTr="00041A76">
        <w:trPr>
          <w:cnfStyle w:val="000000010000" w:firstRow="0" w:lastRow="0" w:firstColumn="0" w:lastColumn="0" w:oddVBand="0" w:evenVBand="0" w:oddHBand="0" w:evenHBand="1" w:firstRowFirstColumn="0" w:firstRowLastColumn="0" w:lastRowFirstColumn="0" w:lastRowLastColumn="0"/>
          <w:trHeight w:val="360"/>
        </w:trPr>
        <w:tc>
          <w:tcPr>
            <w:tcW w:w="1350" w:type="dxa"/>
            <w:shd w:val="clear" w:color="auto" w:fill="auto"/>
          </w:tcPr>
          <w:p w14:paraId="57D07B4D" w14:textId="77777777" w:rsidR="006D61EA" w:rsidRPr="007532BD" w:rsidRDefault="006D61EA" w:rsidP="002F3C17">
            <w:pPr>
              <w:pStyle w:val="ExhibitText"/>
            </w:pPr>
            <w:r w:rsidRPr="007532BD">
              <w:t>$2.5 billion</w:t>
            </w:r>
          </w:p>
        </w:tc>
        <w:tc>
          <w:tcPr>
            <w:tcW w:w="1801" w:type="dxa"/>
            <w:shd w:val="clear" w:color="auto" w:fill="auto"/>
          </w:tcPr>
          <w:p w14:paraId="741717AE" w14:textId="77777777" w:rsidR="006D61EA" w:rsidRPr="007532BD" w:rsidRDefault="006D61EA" w:rsidP="002F3C17">
            <w:pPr>
              <w:pStyle w:val="ExhibitText"/>
            </w:pPr>
            <w:r w:rsidRPr="007532BD">
              <w:t>A</w:t>
            </w:r>
          </w:p>
        </w:tc>
        <w:tc>
          <w:tcPr>
            <w:tcW w:w="1079" w:type="dxa"/>
            <w:shd w:val="clear" w:color="auto" w:fill="auto"/>
          </w:tcPr>
          <w:p w14:paraId="34F45ED4" w14:textId="77777777" w:rsidR="006D61EA" w:rsidRPr="007532BD" w:rsidRDefault="006D61EA" w:rsidP="002F3C17">
            <w:pPr>
              <w:pStyle w:val="ExhibitText"/>
            </w:pPr>
            <w:r w:rsidRPr="007532BD">
              <w:t>3 years</w:t>
            </w:r>
          </w:p>
        </w:tc>
        <w:tc>
          <w:tcPr>
            <w:tcW w:w="1890" w:type="dxa"/>
            <w:shd w:val="clear" w:color="auto" w:fill="auto"/>
          </w:tcPr>
          <w:p w14:paraId="1DE6C528" w14:textId="77777777" w:rsidR="006D61EA" w:rsidRPr="007532BD" w:rsidRDefault="006D61EA" w:rsidP="002F3C17">
            <w:pPr>
              <w:pStyle w:val="ExhibitText"/>
            </w:pPr>
            <w:r w:rsidRPr="007532BD">
              <w:t>LIBOR + 175 bps</w:t>
            </w:r>
          </w:p>
        </w:tc>
      </w:tr>
      <w:tr w:rsidR="00807034" w:rsidRPr="007532BD" w14:paraId="4D683240" w14:textId="77777777" w:rsidTr="00041A76">
        <w:trPr>
          <w:trHeight w:val="360"/>
        </w:trPr>
        <w:tc>
          <w:tcPr>
            <w:tcW w:w="1350" w:type="dxa"/>
          </w:tcPr>
          <w:p w14:paraId="0ED97364" w14:textId="77777777" w:rsidR="006D61EA" w:rsidRPr="007532BD" w:rsidRDefault="006D61EA" w:rsidP="002F3C17">
            <w:pPr>
              <w:pStyle w:val="ExhibitText"/>
            </w:pPr>
            <w:r w:rsidRPr="007532BD">
              <w:t>$4 billion</w:t>
            </w:r>
          </w:p>
        </w:tc>
        <w:tc>
          <w:tcPr>
            <w:tcW w:w="1801" w:type="dxa"/>
          </w:tcPr>
          <w:p w14:paraId="472C6CB0" w14:textId="77777777" w:rsidR="006D61EA" w:rsidRPr="007532BD" w:rsidRDefault="006D61EA" w:rsidP="002F3C17">
            <w:pPr>
              <w:pStyle w:val="ExhibitText"/>
            </w:pPr>
            <w:r w:rsidRPr="007532BD">
              <w:t>C</w:t>
            </w:r>
          </w:p>
        </w:tc>
        <w:tc>
          <w:tcPr>
            <w:tcW w:w="1079" w:type="dxa"/>
          </w:tcPr>
          <w:p w14:paraId="0E527FF8" w14:textId="77777777" w:rsidR="006D61EA" w:rsidRPr="007532BD" w:rsidRDefault="006D61EA" w:rsidP="002F3C17">
            <w:pPr>
              <w:pStyle w:val="ExhibitText"/>
            </w:pPr>
            <w:r w:rsidRPr="007532BD">
              <w:t>5 years</w:t>
            </w:r>
          </w:p>
        </w:tc>
        <w:tc>
          <w:tcPr>
            <w:tcW w:w="1890" w:type="dxa"/>
          </w:tcPr>
          <w:p w14:paraId="0E041361" w14:textId="77777777" w:rsidR="006D61EA" w:rsidRPr="007532BD" w:rsidRDefault="006D61EA" w:rsidP="002F3C17">
            <w:pPr>
              <w:pStyle w:val="ExhibitText"/>
            </w:pPr>
            <w:r w:rsidRPr="007532BD">
              <w:t>LIBOR + 225 bps</w:t>
            </w:r>
          </w:p>
        </w:tc>
      </w:tr>
    </w:tbl>
    <w:p w14:paraId="315C9C10" w14:textId="77777777" w:rsidR="006D61EA" w:rsidRPr="00082E11" w:rsidRDefault="006D61EA" w:rsidP="002F3C17">
      <w:pPr>
        <w:pStyle w:val="ExhibitText"/>
      </w:pPr>
    </w:p>
    <w:p w14:paraId="48DBF159" w14:textId="73D542C3" w:rsidR="00D94924" w:rsidRPr="00B02FEB" w:rsidRDefault="006D61EA" w:rsidP="002F3C17">
      <w:pPr>
        <w:pStyle w:val="Footnote"/>
        <w:rPr>
          <w:i/>
        </w:rPr>
      </w:pPr>
      <w:r w:rsidRPr="00041A76">
        <w:t>Source: “Alibaba’s USD 8</w:t>
      </w:r>
      <w:r w:rsidR="006A77E3" w:rsidRPr="00041A76">
        <w:t xml:space="preserve"> Billion</w:t>
      </w:r>
      <w:r w:rsidRPr="00041A76">
        <w:t xml:space="preserve"> Loan Allocated </w:t>
      </w:r>
      <w:r w:rsidR="0017026D">
        <w:t>a</w:t>
      </w:r>
      <w:r w:rsidRPr="00041A76">
        <w:t>mong 22 Banks; Signing Shortly,” Debtwire, July 2, 2013</w:t>
      </w:r>
      <w:r w:rsidRPr="00B02FEB">
        <w:rPr>
          <w:rStyle w:val="Strong"/>
          <w:b w:val="0"/>
          <w:bCs w:val="0"/>
          <w:i/>
        </w:rPr>
        <w:t>.</w:t>
      </w:r>
      <w:r w:rsidR="00D94924" w:rsidRPr="00B02FEB">
        <w:rPr>
          <w:b/>
          <w:i/>
        </w:rPr>
        <w:br w:type="page"/>
      </w:r>
    </w:p>
    <w:p w14:paraId="38C6AD83" w14:textId="77777777" w:rsidR="006D61EA" w:rsidRPr="00B0282E" w:rsidRDefault="006D61EA" w:rsidP="002F3C17">
      <w:pPr>
        <w:jc w:val="center"/>
        <w:outlineLvl w:val="0"/>
        <w:rPr>
          <w:rFonts w:ascii="Arial" w:hAnsi="Arial" w:cs="Arial"/>
          <w:b/>
        </w:rPr>
      </w:pPr>
      <w:r w:rsidRPr="00B0282E">
        <w:rPr>
          <w:rFonts w:ascii="Arial" w:hAnsi="Arial" w:cs="Arial"/>
          <w:b/>
        </w:rPr>
        <w:lastRenderedPageBreak/>
        <w:t>EXHIBIT 8: RECENT YIELDS AND SPREADS</w:t>
      </w:r>
    </w:p>
    <w:p w14:paraId="38FB4DB0" w14:textId="77777777" w:rsidR="006D61EA" w:rsidRPr="00B0282E" w:rsidRDefault="006D61EA" w:rsidP="002F3C17">
      <w:pPr>
        <w:jc w:val="center"/>
        <w:rPr>
          <w:rFonts w:ascii="Arial" w:hAnsi="Arial" w:cs="Arial"/>
          <w:b/>
        </w:rPr>
      </w:pPr>
    </w:p>
    <w:p w14:paraId="1BE01D46" w14:textId="77777777" w:rsidR="006D61EA" w:rsidRPr="00B0282E" w:rsidRDefault="006D61EA" w:rsidP="002F3C17">
      <w:pPr>
        <w:pStyle w:val="ExhibitHeading"/>
      </w:pPr>
      <w:r w:rsidRPr="00B0282E">
        <w:rPr>
          <w:noProof/>
          <w:lang w:val="en-CA" w:eastAsia="en-CA"/>
        </w:rPr>
        <w:drawing>
          <wp:inline distT="0" distB="0" distL="0" distR="0" wp14:anchorId="648DF5CC" wp14:editId="16BC47C7">
            <wp:extent cx="5648325" cy="32289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4B0C772" w14:textId="77777777" w:rsidR="006D61EA" w:rsidRPr="00B0282E" w:rsidRDefault="006D61EA" w:rsidP="002F3C17">
      <w:pPr>
        <w:pStyle w:val="ExhibitText"/>
      </w:pPr>
    </w:p>
    <w:p w14:paraId="0CE02101" w14:textId="77777777" w:rsidR="00D94924" w:rsidRPr="00B0282E" w:rsidRDefault="00D94924" w:rsidP="002F3C17">
      <w:pPr>
        <w:pStyle w:val="ExhibitText"/>
      </w:pPr>
    </w:p>
    <w:p w14:paraId="0D5EECDF" w14:textId="77777777" w:rsidR="006D61EA" w:rsidRPr="00075B7C" w:rsidRDefault="006D61EA" w:rsidP="002F3C17">
      <w:pPr>
        <w:jc w:val="center"/>
      </w:pPr>
      <w:r w:rsidRPr="00075B7C">
        <w:rPr>
          <w:noProof/>
          <w:lang w:val="en-CA" w:eastAsia="en-CA"/>
        </w:rPr>
        <w:drawing>
          <wp:inline distT="0" distB="0" distL="0" distR="0" wp14:anchorId="1CACADF9" wp14:editId="4F83A61A">
            <wp:extent cx="5648325" cy="30099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DB1E1C2" w14:textId="77777777" w:rsidR="00D94924" w:rsidRPr="00041A76" w:rsidRDefault="00D94924" w:rsidP="002F3C17">
      <w:pPr>
        <w:pStyle w:val="Footnote"/>
      </w:pPr>
    </w:p>
    <w:p w14:paraId="7C2E9289" w14:textId="0CF9CA91" w:rsidR="006D61EA" w:rsidRPr="009573DD" w:rsidRDefault="006D61EA" w:rsidP="002F3C17">
      <w:pPr>
        <w:pStyle w:val="Footnote"/>
        <w:rPr>
          <w:i/>
        </w:rPr>
      </w:pPr>
      <w:r w:rsidRPr="00041A76">
        <w:t xml:space="preserve">Source: </w:t>
      </w:r>
      <w:r w:rsidR="0072214B" w:rsidRPr="00041A76">
        <w:t xml:space="preserve">“Selected Interest Rates (Daily): Historical Data,” </w:t>
      </w:r>
      <w:r w:rsidR="009439CE">
        <w:t xml:space="preserve">Board of Governors of the </w:t>
      </w:r>
      <w:r w:rsidRPr="00041A76">
        <w:t>Federal Reserve</w:t>
      </w:r>
      <w:r w:rsidR="009439CE">
        <w:t xml:space="preserve"> System</w:t>
      </w:r>
      <w:r w:rsidRPr="00041A76">
        <w:t xml:space="preserve">, </w:t>
      </w:r>
      <w:r w:rsidR="0072214B" w:rsidRPr="00041A76">
        <w:t xml:space="preserve">accessed December 19, 2014, </w:t>
      </w:r>
      <w:r w:rsidR="002D6B8B" w:rsidRPr="0017026D">
        <w:t>https://www.federalreserve.gov/datadownload/Choose.aspx?rel=H15</w:t>
      </w:r>
      <w:r w:rsidR="002D6B8B">
        <w:t xml:space="preserve">. </w:t>
      </w:r>
      <w:r w:rsidR="00B403D7" w:rsidRPr="00041A76">
        <w:t>.</w:t>
      </w:r>
      <w:r w:rsidRPr="009573DD">
        <w:rPr>
          <w:i/>
        </w:rPr>
        <w:br w:type="page"/>
      </w:r>
    </w:p>
    <w:p w14:paraId="21B8816A" w14:textId="77777777" w:rsidR="006D61EA" w:rsidRPr="00075B7C" w:rsidRDefault="006D61EA" w:rsidP="002F3C17">
      <w:pPr>
        <w:pStyle w:val="ExhibitHeading"/>
        <w:outlineLvl w:val="0"/>
      </w:pPr>
      <w:r w:rsidRPr="00075B7C">
        <w:lastRenderedPageBreak/>
        <w:t>EXHIBIT 9: GOVERNMENT BOND YIELD CURVE</w:t>
      </w:r>
    </w:p>
    <w:p w14:paraId="3E498BDC" w14:textId="77777777" w:rsidR="006D61EA" w:rsidRPr="00075B7C" w:rsidRDefault="006D61EA" w:rsidP="002F3C17">
      <w:pPr>
        <w:pStyle w:val="ExhibitText"/>
      </w:pPr>
    </w:p>
    <w:p w14:paraId="26875449" w14:textId="4F780048" w:rsidR="006D61EA" w:rsidRPr="00075B7C" w:rsidRDefault="00C67CDC" w:rsidP="002F3C17">
      <w:pPr>
        <w:jc w:val="center"/>
      </w:pPr>
      <w:r>
        <w:rPr>
          <w:noProof/>
          <w:lang w:val="en-CA" w:eastAsia="en-CA"/>
        </w:rPr>
        <w:drawing>
          <wp:inline distT="0" distB="0" distL="0" distR="0" wp14:anchorId="49AFAB6A" wp14:editId="031D9146">
            <wp:extent cx="5704764" cy="3473355"/>
            <wp:effectExtent l="0" t="0" r="10795" b="133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0B9346F" w14:textId="77777777" w:rsidR="00D94924" w:rsidRDefault="00D94924" w:rsidP="002F3C17">
      <w:pPr>
        <w:pStyle w:val="Footnote"/>
      </w:pPr>
    </w:p>
    <w:p w14:paraId="1ACB0062" w14:textId="77777777" w:rsidR="00A371F2" w:rsidRPr="00075B7C" w:rsidRDefault="00A371F2" w:rsidP="002F3C17">
      <w:pPr>
        <w:pStyle w:val="Footnote"/>
      </w:pPr>
    </w:p>
    <w:p w14:paraId="431CE8A2" w14:textId="264A2E57" w:rsidR="009573DD" w:rsidRPr="00075B7C" w:rsidRDefault="009573DD" w:rsidP="002F3C17">
      <w:pPr>
        <w:pStyle w:val="Footnote"/>
      </w:pPr>
      <w:r w:rsidRPr="00E22D9C">
        <w:t>Source:</w:t>
      </w:r>
      <w:r>
        <w:t xml:space="preserve"> Created by the author based on </w:t>
      </w:r>
      <w:r w:rsidRPr="000C222E">
        <w:t>Bloomberg L.P., “</w:t>
      </w:r>
      <w:r>
        <w:t>Bond yields</w:t>
      </w:r>
      <w:r w:rsidRPr="000C222E">
        <w:t xml:space="preserve">,” Bloomberg Database, accessed </w:t>
      </w:r>
      <w:r>
        <w:t>December 23, 2014.</w:t>
      </w:r>
    </w:p>
    <w:p w14:paraId="1DA5E0F1" w14:textId="77777777" w:rsidR="00D94924" w:rsidRPr="00075B7C" w:rsidRDefault="00D94924" w:rsidP="002F3C17">
      <w:pPr>
        <w:pStyle w:val="ExhibitText"/>
      </w:pPr>
    </w:p>
    <w:p w14:paraId="7FB33D3C" w14:textId="6C821E3C" w:rsidR="0072214B" w:rsidRDefault="0072214B" w:rsidP="002F3C17">
      <w:pPr>
        <w:spacing w:after="200" w:line="276" w:lineRule="auto"/>
        <w:rPr>
          <w:rFonts w:ascii="Arial" w:hAnsi="Arial" w:cs="Arial"/>
        </w:rPr>
      </w:pPr>
      <w:r>
        <w:br w:type="page"/>
      </w:r>
    </w:p>
    <w:p w14:paraId="1A413623" w14:textId="5823CA89" w:rsidR="00D94924" w:rsidRPr="00075B7C" w:rsidRDefault="00D94924" w:rsidP="002F3C17">
      <w:pPr>
        <w:pStyle w:val="ExhibitHeading"/>
        <w:outlineLvl w:val="0"/>
      </w:pPr>
      <w:r w:rsidRPr="00075B7C">
        <w:lastRenderedPageBreak/>
        <w:t>EXHIBIT 10: RATINGS</w:t>
      </w:r>
      <w:r w:rsidR="00A371F2">
        <w:t xml:space="preserve"> from s&amp;p rating agency</w:t>
      </w:r>
    </w:p>
    <w:p w14:paraId="52C6A29F" w14:textId="77777777" w:rsidR="00D94924" w:rsidRPr="00075B7C" w:rsidRDefault="00D94924" w:rsidP="002F3C17">
      <w:pPr>
        <w:rPr>
          <w:sz w:val="22"/>
          <w:szCs w:val="22"/>
        </w:rPr>
      </w:pPr>
    </w:p>
    <w:tbl>
      <w:tblPr>
        <w:tblStyle w:val="IveyTable"/>
        <w:tblW w:w="5000" w:type="pct"/>
        <w:tblLook w:val="0480" w:firstRow="0" w:lastRow="0" w:firstColumn="1" w:lastColumn="0" w:noHBand="0" w:noVBand="1"/>
      </w:tblPr>
      <w:tblGrid>
        <w:gridCol w:w="990"/>
        <w:gridCol w:w="8370"/>
      </w:tblGrid>
      <w:tr w:rsidR="00DF46FF" w:rsidRPr="00DF46FF" w14:paraId="646C6670" w14:textId="77777777" w:rsidTr="00041A76">
        <w:trPr>
          <w:trHeight w:val="432"/>
        </w:trPr>
        <w:tc>
          <w:tcPr>
            <w:tcW w:w="990" w:type="dxa"/>
          </w:tcPr>
          <w:p w14:paraId="295999A9" w14:textId="77777777" w:rsidR="00D94924" w:rsidRPr="005754D0" w:rsidRDefault="00D94924" w:rsidP="002F3C17">
            <w:pPr>
              <w:pStyle w:val="ExhibitText"/>
              <w:jc w:val="left"/>
              <w:rPr>
                <w:b/>
                <w:sz w:val="19"/>
                <w:szCs w:val="19"/>
              </w:rPr>
            </w:pPr>
            <w:r w:rsidRPr="005754D0">
              <w:rPr>
                <w:b/>
                <w:sz w:val="19"/>
                <w:szCs w:val="19"/>
              </w:rPr>
              <w:t>AAA</w:t>
            </w:r>
          </w:p>
        </w:tc>
        <w:tc>
          <w:tcPr>
            <w:tcW w:w="8370" w:type="dxa"/>
          </w:tcPr>
          <w:p w14:paraId="6D68B172" w14:textId="0211CE00" w:rsidR="00D94924" w:rsidRPr="005754D0" w:rsidRDefault="00D94924" w:rsidP="002F3C17">
            <w:pPr>
              <w:pStyle w:val="ExhibitText"/>
              <w:jc w:val="left"/>
              <w:rPr>
                <w:sz w:val="19"/>
                <w:szCs w:val="19"/>
              </w:rPr>
            </w:pPr>
            <w:r w:rsidRPr="005754D0">
              <w:rPr>
                <w:sz w:val="19"/>
                <w:szCs w:val="19"/>
              </w:rPr>
              <w:t>Extremely strong capacity to meet financial commitments</w:t>
            </w:r>
            <w:r w:rsidR="00792DE2">
              <w:rPr>
                <w:sz w:val="19"/>
                <w:szCs w:val="19"/>
              </w:rPr>
              <w:t>;</w:t>
            </w:r>
            <w:r w:rsidRPr="005754D0">
              <w:rPr>
                <w:sz w:val="19"/>
                <w:szCs w:val="19"/>
              </w:rPr>
              <w:t xml:space="preserve"> </w:t>
            </w:r>
            <w:r w:rsidR="00792DE2">
              <w:rPr>
                <w:sz w:val="19"/>
                <w:szCs w:val="19"/>
              </w:rPr>
              <w:t>h</w:t>
            </w:r>
            <w:r w:rsidRPr="005754D0">
              <w:rPr>
                <w:sz w:val="19"/>
                <w:szCs w:val="19"/>
              </w:rPr>
              <w:t xml:space="preserve">ighest </w:t>
            </w:r>
            <w:r w:rsidR="00792DE2">
              <w:rPr>
                <w:sz w:val="19"/>
                <w:szCs w:val="19"/>
              </w:rPr>
              <w:t>r</w:t>
            </w:r>
            <w:r w:rsidRPr="005754D0">
              <w:rPr>
                <w:sz w:val="19"/>
                <w:szCs w:val="19"/>
              </w:rPr>
              <w:t>ating</w:t>
            </w:r>
          </w:p>
        </w:tc>
      </w:tr>
      <w:tr w:rsidR="00DF46FF" w:rsidRPr="00DF46FF" w14:paraId="2E5166CF" w14:textId="77777777" w:rsidTr="00041A76">
        <w:trPr>
          <w:cnfStyle w:val="000000010000" w:firstRow="0" w:lastRow="0" w:firstColumn="0" w:lastColumn="0" w:oddVBand="0" w:evenVBand="0" w:oddHBand="0" w:evenHBand="1" w:firstRowFirstColumn="0" w:firstRowLastColumn="0" w:lastRowFirstColumn="0" w:lastRowLastColumn="0"/>
          <w:trHeight w:val="432"/>
        </w:trPr>
        <w:tc>
          <w:tcPr>
            <w:tcW w:w="990" w:type="dxa"/>
            <w:shd w:val="clear" w:color="auto" w:fill="auto"/>
          </w:tcPr>
          <w:p w14:paraId="2DA2B2A0" w14:textId="77777777" w:rsidR="00D94924" w:rsidRPr="005754D0" w:rsidRDefault="00D94924" w:rsidP="002F3C17">
            <w:pPr>
              <w:pStyle w:val="ExhibitText"/>
              <w:jc w:val="left"/>
              <w:rPr>
                <w:b/>
                <w:sz w:val="19"/>
                <w:szCs w:val="19"/>
              </w:rPr>
            </w:pPr>
            <w:r w:rsidRPr="005754D0">
              <w:rPr>
                <w:b/>
                <w:sz w:val="19"/>
                <w:szCs w:val="19"/>
              </w:rPr>
              <w:t>AA</w:t>
            </w:r>
          </w:p>
        </w:tc>
        <w:tc>
          <w:tcPr>
            <w:tcW w:w="8370" w:type="dxa"/>
            <w:shd w:val="clear" w:color="auto" w:fill="auto"/>
          </w:tcPr>
          <w:p w14:paraId="55AB7918" w14:textId="00187EEA" w:rsidR="00D94924" w:rsidRPr="005754D0" w:rsidRDefault="00D94924" w:rsidP="002F3C17">
            <w:pPr>
              <w:pStyle w:val="ExhibitText"/>
              <w:jc w:val="left"/>
              <w:rPr>
                <w:sz w:val="19"/>
                <w:szCs w:val="19"/>
              </w:rPr>
            </w:pPr>
            <w:r w:rsidRPr="005754D0">
              <w:rPr>
                <w:sz w:val="19"/>
                <w:szCs w:val="19"/>
              </w:rPr>
              <w:t>Very strong capacity to meet financial commitments</w:t>
            </w:r>
          </w:p>
        </w:tc>
      </w:tr>
      <w:tr w:rsidR="00DF46FF" w:rsidRPr="00DF46FF" w14:paraId="448DD75E" w14:textId="77777777" w:rsidTr="00041A76">
        <w:trPr>
          <w:trHeight w:val="432"/>
        </w:trPr>
        <w:tc>
          <w:tcPr>
            <w:tcW w:w="990" w:type="dxa"/>
          </w:tcPr>
          <w:p w14:paraId="03E1EBEB" w14:textId="77777777" w:rsidR="00D94924" w:rsidRPr="005754D0" w:rsidRDefault="00D94924" w:rsidP="002F3C17">
            <w:pPr>
              <w:pStyle w:val="ExhibitText"/>
              <w:jc w:val="left"/>
              <w:rPr>
                <w:b/>
                <w:sz w:val="19"/>
                <w:szCs w:val="19"/>
              </w:rPr>
            </w:pPr>
            <w:r w:rsidRPr="005754D0">
              <w:rPr>
                <w:b/>
                <w:sz w:val="19"/>
                <w:szCs w:val="19"/>
              </w:rPr>
              <w:t>A</w:t>
            </w:r>
          </w:p>
        </w:tc>
        <w:tc>
          <w:tcPr>
            <w:tcW w:w="8370" w:type="dxa"/>
          </w:tcPr>
          <w:p w14:paraId="0D244C3F" w14:textId="46C9913B" w:rsidR="00D94924" w:rsidRPr="005754D0" w:rsidRDefault="00D94924" w:rsidP="002F3C17">
            <w:pPr>
              <w:pStyle w:val="ExhibitText"/>
              <w:jc w:val="left"/>
              <w:rPr>
                <w:sz w:val="19"/>
                <w:szCs w:val="19"/>
              </w:rPr>
            </w:pPr>
            <w:r w:rsidRPr="005754D0">
              <w:rPr>
                <w:sz w:val="19"/>
                <w:szCs w:val="19"/>
              </w:rPr>
              <w:t>Strong capacity to meet financial commitments, but somewhat susceptible to adverse economic conditions and changes in circumstances</w:t>
            </w:r>
          </w:p>
        </w:tc>
      </w:tr>
      <w:tr w:rsidR="00DF46FF" w:rsidRPr="00DF46FF" w14:paraId="4865D3AA" w14:textId="77777777" w:rsidTr="00041A76">
        <w:trPr>
          <w:cnfStyle w:val="000000010000" w:firstRow="0" w:lastRow="0" w:firstColumn="0" w:lastColumn="0" w:oddVBand="0" w:evenVBand="0" w:oddHBand="0" w:evenHBand="1" w:firstRowFirstColumn="0" w:firstRowLastColumn="0" w:lastRowFirstColumn="0" w:lastRowLastColumn="0"/>
          <w:trHeight w:val="432"/>
        </w:trPr>
        <w:tc>
          <w:tcPr>
            <w:tcW w:w="990" w:type="dxa"/>
            <w:shd w:val="clear" w:color="auto" w:fill="auto"/>
          </w:tcPr>
          <w:p w14:paraId="108BF9C2" w14:textId="77777777" w:rsidR="00D94924" w:rsidRPr="005754D0" w:rsidRDefault="00D94924" w:rsidP="002F3C17">
            <w:pPr>
              <w:pStyle w:val="ExhibitText"/>
              <w:jc w:val="left"/>
              <w:rPr>
                <w:b/>
                <w:sz w:val="19"/>
                <w:szCs w:val="19"/>
              </w:rPr>
            </w:pPr>
            <w:r w:rsidRPr="005754D0">
              <w:rPr>
                <w:b/>
                <w:sz w:val="19"/>
                <w:szCs w:val="19"/>
              </w:rPr>
              <w:t>BBB</w:t>
            </w:r>
          </w:p>
        </w:tc>
        <w:tc>
          <w:tcPr>
            <w:tcW w:w="8370" w:type="dxa"/>
            <w:shd w:val="clear" w:color="auto" w:fill="auto"/>
          </w:tcPr>
          <w:p w14:paraId="64F93B53" w14:textId="3DD55414" w:rsidR="00D94924" w:rsidRPr="005754D0" w:rsidRDefault="00D94924" w:rsidP="002F3C17">
            <w:pPr>
              <w:pStyle w:val="ExhibitText"/>
              <w:jc w:val="left"/>
              <w:rPr>
                <w:sz w:val="19"/>
                <w:szCs w:val="19"/>
              </w:rPr>
            </w:pPr>
            <w:r w:rsidRPr="005754D0">
              <w:rPr>
                <w:sz w:val="19"/>
                <w:szCs w:val="19"/>
              </w:rPr>
              <w:t>Adequate capacity to meet financial commitments, but more subject to adverse economic conditions</w:t>
            </w:r>
          </w:p>
        </w:tc>
      </w:tr>
      <w:tr w:rsidR="00DF46FF" w:rsidRPr="00DF46FF" w14:paraId="3029D0BF" w14:textId="77777777" w:rsidTr="00041A76">
        <w:trPr>
          <w:trHeight w:val="432"/>
        </w:trPr>
        <w:tc>
          <w:tcPr>
            <w:tcW w:w="990" w:type="dxa"/>
          </w:tcPr>
          <w:p w14:paraId="05760BE9" w14:textId="77777777" w:rsidR="00D94924" w:rsidRPr="005754D0" w:rsidRDefault="00D94924" w:rsidP="002F3C17">
            <w:pPr>
              <w:pStyle w:val="ExhibitText"/>
              <w:jc w:val="left"/>
              <w:rPr>
                <w:b/>
                <w:sz w:val="19"/>
                <w:szCs w:val="19"/>
              </w:rPr>
            </w:pPr>
            <w:r w:rsidRPr="005754D0">
              <w:rPr>
                <w:b/>
                <w:sz w:val="19"/>
                <w:szCs w:val="19"/>
              </w:rPr>
              <w:t>BBB-</w:t>
            </w:r>
          </w:p>
        </w:tc>
        <w:tc>
          <w:tcPr>
            <w:tcW w:w="8370" w:type="dxa"/>
          </w:tcPr>
          <w:p w14:paraId="1CB39362" w14:textId="3C074F65" w:rsidR="00D94924" w:rsidRPr="005754D0" w:rsidRDefault="00D94924" w:rsidP="002F3C17">
            <w:pPr>
              <w:pStyle w:val="ExhibitText"/>
              <w:jc w:val="left"/>
              <w:rPr>
                <w:sz w:val="19"/>
                <w:szCs w:val="19"/>
              </w:rPr>
            </w:pPr>
            <w:r w:rsidRPr="005754D0">
              <w:rPr>
                <w:sz w:val="19"/>
                <w:szCs w:val="19"/>
              </w:rPr>
              <w:t>Considered lowest investment grade by market participants</w:t>
            </w:r>
          </w:p>
        </w:tc>
      </w:tr>
      <w:tr w:rsidR="00DF46FF" w:rsidRPr="00DF46FF" w14:paraId="10E1B00A" w14:textId="77777777" w:rsidTr="00041A76">
        <w:trPr>
          <w:cnfStyle w:val="000000010000" w:firstRow="0" w:lastRow="0" w:firstColumn="0" w:lastColumn="0" w:oddVBand="0" w:evenVBand="0" w:oddHBand="0" w:evenHBand="1" w:firstRowFirstColumn="0" w:firstRowLastColumn="0" w:lastRowFirstColumn="0" w:lastRowLastColumn="0"/>
          <w:trHeight w:val="432"/>
        </w:trPr>
        <w:tc>
          <w:tcPr>
            <w:tcW w:w="990" w:type="dxa"/>
            <w:shd w:val="clear" w:color="auto" w:fill="auto"/>
          </w:tcPr>
          <w:p w14:paraId="4F3A076D" w14:textId="77777777" w:rsidR="00D94924" w:rsidRPr="005754D0" w:rsidRDefault="00D94924" w:rsidP="002F3C17">
            <w:pPr>
              <w:pStyle w:val="ExhibitText"/>
              <w:jc w:val="left"/>
              <w:rPr>
                <w:b/>
                <w:sz w:val="19"/>
                <w:szCs w:val="19"/>
              </w:rPr>
            </w:pPr>
            <w:r w:rsidRPr="005754D0">
              <w:rPr>
                <w:b/>
                <w:sz w:val="19"/>
                <w:szCs w:val="19"/>
              </w:rPr>
              <w:t>BB+</w:t>
            </w:r>
          </w:p>
        </w:tc>
        <w:tc>
          <w:tcPr>
            <w:tcW w:w="8370" w:type="dxa"/>
            <w:shd w:val="clear" w:color="auto" w:fill="auto"/>
          </w:tcPr>
          <w:p w14:paraId="003BCADA" w14:textId="7F7D9E25" w:rsidR="00D94924" w:rsidRPr="005754D0" w:rsidRDefault="00D94924" w:rsidP="002F3C17">
            <w:pPr>
              <w:pStyle w:val="ExhibitText"/>
              <w:jc w:val="left"/>
              <w:rPr>
                <w:sz w:val="19"/>
                <w:szCs w:val="19"/>
              </w:rPr>
            </w:pPr>
            <w:r w:rsidRPr="005754D0">
              <w:rPr>
                <w:sz w:val="19"/>
                <w:szCs w:val="19"/>
              </w:rPr>
              <w:t>Considered highest speculative grade by market participants</w:t>
            </w:r>
          </w:p>
        </w:tc>
      </w:tr>
      <w:tr w:rsidR="00DF46FF" w:rsidRPr="00DF46FF" w14:paraId="0CDA012B" w14:textId="77777777" w:rsidTr="00041A76">
        <w:trPr>
          <w:trHeight w:val="432"/>
        </w:trPr>
        <w:tc>
          <w:tcPr>
            <w:tcW w:w="990" w:type="dxa"/>
          </w:tcPr>
          <w:p w14:paraId="3D2B34DE" w14:textId="77777777" w:rsidR="00D94924" w:rsidRPr="005754D0" w:rsidRDefault="00D94924" w:rsidP="002F3C17">
            <w:pPr>
              <w:pStyle w:val="ExhibitText"/>
              <w:jc w:val="left"/>
              <w:rPr>
                <w:b/>
                <w:sz w:val="19"/>
                <w:szCs w:val="19"/>
              </w:rPr>
            </w:pPr>
            <w:r w:rsidRPr="005754D0">
              <w:rPr>
                <w:b/>
                <w:sz w:val="19"/>
                <w:szCs w:val="19"/>
              </w:rPr>
              <w:t>BB</w:t>
            </w:r>
          </w:p>
        </w:tc>
        <w:tc>
          <w:tcPr>
            <w:tcW w:w="8370" w:type="dxa"/>
          </w:tcPr>
          <w:p w14:paraId="3D980A90" w14:textId="1128E416" w:rsidR="00D94924" w:rsidRPr="005754D0" w:rsidRDefault="00D94924" w:rsidP="002F3C17">
            <w:pPr>
              <w:pStyle w:val="ExhibitText"/>
              <w:jc w:val="left"/>
              <w:rPr>
                <w:sz w:val="19"/>
                <w:szCs w:val="19"/>
              </w:rPr>
            </w:pPr>
            <w:r w:rsidRPr="005754D0">
              <w:rPr>
                <w:sz w:val="19"/>
                <w:szCs w:val="19"/>
              </w:rPr>
              <w:t>Less vulnerable in the near-term but faces major ongoing uncertainties to adverse business, financial</w:t>
            </w:r>
            <w:r w:rsidR="00792DE2">
              <w:rPr>
                <w:sz w:val="19"/>
                <w:szCs w:val="19"/>
              </w:rPr>
              <w:t>,</w:t>
            </w:r>
            <w:r w:rsidRPr="005754D0">
              <w:rPr>
                <w:sz w:val="19"/>
                <w:szCs w:val="19"/>
              </w:rPr>
              <w:t xml:space="preserve"> and economic conditions</w:t>
            </w:r>
          </w:p>
        </w:tc>
      </w:tr>
      <w:tr w:rsidR="00DF46FF" w:rsidRPr="00DF46FF" w14:paraId="03945BD0" w14:textId="77777777" w:rsidTr="00041A76">
        <w:trPr>
          <w:cnfStyle w:val="000000010000" w:firstRow="0" w:lastRow="0" w:firstColumn="0" w:lastColumn="0" w:oddVBand="0" w:evenVBand="0" w:oddHBand="0" w:evenHBand="1" w:firstRowFirstColumn="0" w:firstRowLastColumn="0" w:lastRowFirstColumn="0" w:lastRowLastColumn="0"/>
          <w:trHeight w:val="432"/>
        </w:trPr>
        <w:tc>
          <w:tcPr>
            <w:tcW w:w="990" w:type="dxa"/>
            <w:shd w:val="clear" w:color="auto" w:fill="auto"/>
          </w:tcPr>
          <w:p w14:paraId="226B93B5" w14:textId="77777777" w:rsidR="00D94924" w:rsidRPr="005754D0" w:rsidRDefault="00D94924" w:rsidP="002F3C17">
            <w:pPr>
              <w:pStyle w:val="ExhibitText"/>
              <w:jc w:val="left"/>
              <w:rPr>
                <w:b/>
                <w:sz w:val="19"/>
                <w:szCs w:val="19"/>
              </w:rPr>
            </w:pPr>
            <w:r w:rsidRPr="005754D0">
              <w:rPr>
                <w:b/>
                <w:sz w:val="19"/>
                <w:szCs w:val="19"/>
              </w:rPr>
              <w:t>B</w:t>
            </w:r>
          </w:p>
        </w:tc>
        <w:tc>
          <w:tcPr>
            <w:tcW w:w="8370" w:type="dxa"/>
            <w:shd w:val="clear" w:color="auto" w:fill="auto"/>
          </w:tcPr>
          <w:p w14:paraId="140E4C5E" w14:textId="68C2D02B" w:rsidR="00D94924" w:rsidRPr="005754D0" w:rsidRDefault="00D94924" w:rsidP="002F3C17">
            <w:pPr>
              <w:pStyle w:val="ExhibitText"/>
              <w:jc w:val="left"/>
              <w:rPr>
                <w:sz w:val="19"/>
                <w:szCs w:val="19"/>
              </w:rPr>
            </w:pPr>
            <w:r w:rsidRPr="005754D0">
              <w:rPr>
                <w:sz w:val="19"/>
                <w:szCs w:val="19"/>
              </w:rPr>
              <w:t>More vulnerable to adverse business, financial</w:t>
            </w:r>
            <w:r w:rsidR="00792DE2">
              <w:rPr>
                <w:sz w:val="19"/>
                <w:szCs w:val="19"/>
              </w:rPr>
              <w:t>,</w:t>
            </w:r>
            <w:r w:rsidRPr="005754D0">
              <w:rPr>
                <w:sz w:val="19"/>
                <w:szCs w:val="19"/>
              </w:rPr>
              <w:t xml:space="preserve"> and economic conditions but currently has the capacity to meet financial commitments</w:t>
            </w:r>
          </w:p>
        </w:tc>
      </w:tr>
      <w:tr w:rsidR="00DF46FF" w:rsidRPr="00DF46FF" w14:paraId="6A4B2D4F" w14:textId="77777777" w:rsidTr="00041A76">
        <w:trPr>
          <w:trHeight w:val="432"/>
        </w:trPr>
        <w:tc>
          <w:tcPr>
            <w:tcW w:w="990" w:type="dxa"/>
          </w:tcPr>
          <w:p w14:paraId="6D92EDBC" w14:textId="77777777" w:rsidR="00D94924" w:rsidRPr="005754D0" w:rsidRDefault="00D94924" w:rsidP="002F3C17">
            <w:pPr>
              <w:pStyle w:val="ExhibitText"/>
              <w:jc w:val="left"/>
              <w:rPr>
                <w:b/>
                <w:sz w:val="19"/>
                <w:szCs w:val="19"/>
              </w:rPr>
            </w:pPr>
            <w:r w:rsidRPr="005754D0">
              <w:rPr>
                <w:b/>
                <w:sz w:val="19"/>
                <w:szCs w:val="19"/>
              </w:rPr>
              <w:t>CCC</w:t>
            </w:r>
          </w:p>
        </w:tc>
        <w:tc>
          <w:tcPr>
            <w:tcW w:w="8370" w:type="dxa"/>
          </w:tcPr>
          <w:p w14:paraId="38B747D3" w14:textId="14B8F9F5" w:rsidR="00D94924" w:rsidRPr="005754D0" w:rsidRDefault="00D94924" w:rsidP="002F3C17">
            <w:pPr>
              <w:pStyle w:val="ExhibitText"/>
              <w:jc w:val="left"/>
              <w:rPr>
                <w:sz w:val="19"/>
                <w:szCs w:val="19"/>
              </w:rPr>
            </w:pPr>
            <w:r w:rsidRPr="005754D0">
              <w:rPr>
                <w:sz w:val="19"/>
                <w:szCs w:val="19"/>
              </w:rPr>
              <w:t>Currently vulnerable and dependent on favo</w:t>
            </w:r>
            <w:r w:rsidR="0072214B" w:rsidRPr="005754D0">
              <w:rPr>
                <w:sz w:val="19"/>
                <w:szCs w:val="19"/>
              </w:rPr>
              <w:t>u</w:t>
            </w:r>
            <w:r w:rsidRPr="005754D0">
              <w:rPr>
                <w:sz w:val="19"/>
                <w:szCs w:val="19"/>
              </w:rPr>
              <w:t>rable business, financial</w:t>
            </w:r>
            <w:r w:rsidR="00792DE2">
              <w:rPr>
                <w:sz w:val="19"/>
                <w:szCs w:val="19"/>
              </w:rPr>
              <w:t>,</w:t>
            </w:r>
            <w:r w:rsidRPr="005754D0">
              <w:rPr>
                <w:sz w:val="19"/>
                <w:szCs w:val="19"/>
              </w:rPr>
              <w:t xml:space="preserve"> and economic conditions to meet financial commitments</w:t>
            </w:r>
          </w:p>
        </w:tc>
      </w:tr>
      <w:tr w:rsidR="00DF46FF" w:rsidRPr="00DF46FF" w14:paraId="6EFD410A" w14:textId="77777777" w:rsidTr="00041A76">
        <w:trPr>
          <w:cnfStyle w:val="000000010000" w:firstRow="0" w:lastRow="0" w:firstColumn="0" w:lastColumn="0" w:oddVBand="0" w:evenVBand="0" w:oddHBand="0" w:evenHBand="1" w:firstRowFirstColumn="0" w:firstRowLastColumn="0" w:lastRowFirstColumn="0" w:lastRowLastColumn="0"/>
          <w:trHeight w:val="432"/>
        </w:trPr>
        <w:tc>
          <w:tcPr>
            <w:tcW w:w="990" w:type="dxa"/>
            <w:shd w:val="clear" w:color="auto" w:fill="auto"/>
          </w:tcPr>
          <w:p w14:paraId="611630B9" w14:textId="77777777" w:rsidR="00D94924" w:rsidRPr="005754D0" w:rsidRDefault="00D94924" w:rsidP="002F3C17">
            <w:pPr>
              <w:pStyle w:val="ExhibitText"/>
              <w:jc w:val="left"/>
              <w:rPr>
                <w:b/>
                <w:sz w:val="19"/>
                <w:szCs w:val="19"/>
              </w:rPr>
            </w:pPr>
            <w:r w:rsidRPr="005754D0">
              <w:rPr>
                <w:b/>
                <w:sz w:val="19"/>
                <w:szCs w:val="19"/>
              </w:rPr>
              <w:t>CC</w:t>
            </w:r>
          </w:p>
        </w:tc>
        <w:tc>
          <w:tcPr>
            <w:tcW w:w="8370" w:type="dxa"/>
            <w:shd w:val="clear" w:color="auto" w:fill="auto"/>
          </w:tcPr>
          <w:p w14:paraId="2B58212B" w14:textId="1759FAE8" w:rsidR="00D94924" w:rsidRPr="005754D0" w:rsidRDefault="00D94924" w:rsidP="002F3C17">
            <w:pPr>
              <w:pStyle w:val="ExhibitText"/>
              <w:jc w:val="left"/>
              <w:rPr>
                <w:sz w:val="19"/>
                <w:szCs w:val="19"/>
              </w:rPr>
            </w:pPr>
            <w:r w:rsidRPr="005754D0">
              <w:rPr>
                <w:sz w:val="19"/>
                <w:szCs w:val="19"/>
              </w:rPr>
              <w:t>Currently highly vulnerable</w:t>
            </w:r>
          </w:p>
        </w:tc>
      </w:tr>
      <w:tr w:rsidR="00DF46FF" w:rsidRPr="00DF46FF" w14:paraId="5C7DB1B3" w14:textId="77777777" w:rsidTr="00041A76">
        <w:trPr>
          <w:trHeight w:val="432"/>
        </w:trPr>
        <w:tc>
          <w:tcPr>
            <w:tcW w:w="990" w:type="dxa"/>
          </w:tcPr>
          <w:p w14:paraId="04B51559" w14:textId="77777777" w:rsidR="00D94924" w:rsidRPr="005754D0" w:rsidRDefault="00D94924" w:rsidP="002F3C17">
            <w:pPr>
              <w:pStyle w:val="ExhibitText"/>
              <w:jc w:val="left"/>
              <w:rPr>
                <w:b/>
                <w:sz w:val="19"/>
                <w:szCs w:val="19"/>
              </w:rPr>
            </w:pPr>
            <w:r w:rsidRPr="005754D0">
              <w:rPr>
                <w:b/>
                <w:sz w:val="19"/>
                <w:szCs w:val="19"/>
              </w:rPr>
              <w:t>C</w:t>
            </w:r>
          </w:p>
        </w:tc>
        <w:tc>
          <w:tcPr>
            <w:tcW w:w="8370" w:type="dxa"/>
          </w:tcPr>
          <w:p w14:paraId="32009C6C" w14:textId="70EA26A0" w:rsidR="00D94924" w:rsidRPr="005754D0" w:rsidRDefault="00D94924" w:rsidP="002F3C17">
            <w:pPr>
              <w:pStyle w:val="ExhibitText"/>
              <w:jc w:val="left"/>
              <w:rPr>
                <w:sz w:val="19"/>
                <w:szCs w:val="19"/>
              </w:rPr>
            </w:pPr>
            <w:r w:rsidRPr="005754D0">
              <w:rPr>
                <w:sz w:val="19"/>
                <w:szCs w:val="19"/>
              </w:rPr>
              <w:t xml:space="preserve">Currently highly vulnerable </w:t>
            </w:r>
            <w:r w:rsidR="00A842DA">
              <w:rPr>
                <w:sz w:val="19"/>
                <w:szCs w:val="19"/>
              </w:rPr>
              <w:t xml:space="preserve">with </w:t>
            </w:r>
            <w:r w:rsidRPr="005754D0">
              <w:rPr>
                <w:sz w:val="19"/>
                <w:szCs w:val="19"/>
              </w:rPr>
              <w:t>obligations and other defined circumstances</w:t>
            </w:r>
          </w:p>
        </w:tc>
      </w:tr>
      <w:tr w:rsidR="00DF46FF" w:rsidRPr="00DF46FF" w14:paraId="685783D8" w14:textId="77777777" w:rsidTr="00041A76">
        <w:trPr>
          <w:cnfStyle w:val="000000010000" w:firstRow="0" w:lastRow="0" w:firstColumn="0" w:lastColumn="0" w:oddVBand="0" w:evenVBand="0" w:oddHBand="0" w:evenHBand="1" w:firstRowFirstColumn="0" w:firstRowLastColumn="0" w:lastRowFirstColumn="0" w:lastRowLastColumn="0"/>
          <w:trHeight w:val="432"/>
        </w:trPr>
        <w:tc>
          <w:tcPr>
            <w:tcW w:w="990" w:type="dxa"/>
            <w:shd w:val="clear" w:color="auto" w:fill="auto"/>
          </w:tcPr>
          <w:p w14:paraId="5D171164" w14:textId="77777777" w:rsidR="00D94924" w:rsidRPr="005754D0" w:rsidRDefault="00D94924" w:rsidP="002F3C17">
            <w:pPr>
              <w:pStyle w:val="ExhibitText"/>
              <w:jc w:val="left"/>
              <w:rPr>
                <w:b/>
                <w:sz w:val="19"/>
                <w:szCs w:val="19"/>
              </w:rPr>
            </w:pPr>
            <w:r w:rsidRPr="005754D0">
              <w:rPr>
                <w:b/>
                <w:sz w:val="19"/>
                <w:szCs w:val="19"/>
              </w:rPr>
              <w:t>D</w:t>
            </w:r>
          </w:p>
        </w:tc>
        <w:tc>
          <w:tcPr>
            <w:tcW w:w="8370" w:type="dxa"/>
            <w:shd w:val="clear" w:color="auto" w:fill="auto"/>
          </w:tcPr>
          <w:p w14:paraId="590322B6" w14:textId="51D3376E" w:rsidR="00D94924" w:rsidRPr="005754D0" w:rsidRDefault="00D94924" w:rsidP="002F3C17">
            <w:pPr>
              <w:pStyle w:val="ExhibitText"/>
              <w:jc w:val="left"/>
              <w:rPr>
                <w:sz w:val="19"/>
                <w:szCs w:val="19"/>
              </w:rPr>
            </w:pPr>
            <w:r w:rsidRPr="005754D0">
              <w:rPr>
                <w:sz w:val="19"/>
                <w:szCs w:val="19"/>
              </w:rPr>
              <w:t>Payment default on financial commitments</w:t>
            </w:r>
          </w:p>
        </w:tc>
      </w:tr>
    </w:tbl>
    <w:p w14:paraId="0069EC9C" w14:textId="77777777" w:rsidR="00D94924" w:rsidRPr="00075B7C" w:rsidRDefault="00D94924" w:rsidP="002F3C17">
      <w:pPr>
        <w:pStyle w:val="ExhibitText"/>
      </w:pPr>
    </w:p>
    <w:p w14:paraId="6B726026" w14:textId="38769CC4" w:rsidR="00D94924" w:rsidRPr="00075B7C" w:rsidRDefault="00D94924" w:rsidP="002F3C17">
      <w:pPr>
        <w:pStyle w:val="Footnote"/>
        <w:jc w:val="both"/>
      </w:pPr>
      <w:r w:rsidRPr="00075B7C">
        <w:t>Note: Ratings from ‘AA’ to ‘CCC’ may be modified by the addition of a plus (+) or minus (-) sign to show relative standing within the major rating categories.</w:t>
      </w:r>
    </w:p>
    <w:p w14:paraId="37E59208" w14:textId="2C09C80B" w:rsidR="00DD7749" w:rsidRPr="00DD7749" w:rsidRDefault="00D94924" w:rsidP="002F3C17">
      <w:pPr>
        <w:pStyle w:val="Footnote"/>
        <w:jc w:val="both"/>
        <w:rPr>
          <w:spacing w:val="-4"/>
          <w:kern w:val="17"/>
        </w:rPr>
      </w:pPr>
      <w:r w:rsidRPr="00041A76">
        <w:t xml:space="preserve">Source: </w:t>
      </w:r>
      <w:r w:rsidR="00A842DA">
        <w:t>“</w:t>
      </w:r>
      <w:proofErr w:type="spellStart"/>
      <w:r w:rsidR="00A842DA">
        <w:t>RatingsDirect</w:t>
      </w:r>
      <w:proofErr w:type="spellEnd"/>
      <w:r w:rsidR="00A842DA">
        <w:t xml:space="preserve">: </w:t>
      </w:r>
      <w:r w:rsidR="00A0417F" w:rsidRPr="00041A76">
        <w:t xml:space="preserve">Standard &amp; Poor’s Ratings </w:t>
      </w:r>
      <w:r w:rsidR="00A842DA">
        <w:t xml:space="preserve">Definitions,” </w:t>
      </w:r>
      <w:r w:rsidR="00186C33" w:rsidRPr="00041A76">
        <w:t xml:space="preserve">Standard &amp; Poor’s Ratings </w:t>
      </w:r>
      <w:r w:rsidR="00A842DA">
        <w:t>Services:</w:t>
      </w:r>
      <w:r w:rsidR="003002EB">
        <w:t xml:space="preserve"> </w:t>
      </w:r>
      <w:r w:rsidR="00A842DA">
        <w:t xml:space="preserve">McGraw Hill Financial, </w:t>
      </w:r>
      <w:r w:rsidR="00A842DA" w:rsidRPr="00DD7749">
        <w:rPr>
          <w:spacing w:val="-4"/>
          <w:kern w:val="17"/>
        </w:rPr>
        <w:t xml:space="preserve">November 20, 2014, </w:t>
      </w:r>
      <w:r w:rsidR="00186C33" w:rsidRPr="00DD7749">
        <w:rPr>
          <w:spacing w:val="-4"/>
          <w:kern w:val="17"/>
        </w:rPr>
        <w:t xml:space="preserve">accessed </w:t>
      </w:r>
      <w:r w:rsidR="009B37FD" w:rsidRPr="00DD7749">
        <w:rPr>
          <w:spacing w:val="-4"/>
          <w:kern w:val="17"/>
        </w:rPr>
        <w:t>October 6</w:t>
      </w:r>
      <w:r w:rsidR="00DF46FF" w:rsidRPr="00DD7749">
        <w:rPr>
          <w:spacing w:val="-4"/>
          <w:kern w:val="17"/>
        </w:rPr>
        <w:t>, 201</w:t>
      </w:r>
      <w:r w:rsidR="009B37FD" w:rsidRPr="00DD7749">
        <w:rPr>
          <w:spacing w:val="-4"/>
          <w:kern w:val="17"/>
        </w:rPr>
        <w:t>6</w:t>
      </w:r>
      <w:r w:rsidR="00186C33" w:rsidRPr="00DD7749">
        <w:rPr>
          <w:spacing w:val="-4"/>
          <w:kern w:val="17"/>
        </w:rPr>
        <w:t xml:space="preserve">, </w:t>
      </w:r>
      <w:r w:rsidR="00DD7749" w:rsidRPr="00DD7749">
        <w:rPr>
          <w:spacing w:val="-4"/>
          <w:kern w:val="17"/>
        </w:rPr>
        <w:t>www.spratings.com/documents/20184/86966/Standard+%26+Poor%27s+Ratings</w:t>
      </w:r>
    </w:p>
    <w:p w14:paraId="601A8E22" w14:textId="15C4BF24" w:rsidR="009B37FD" w:rsidRPr="00DD7749" w:rsidRDefault="009B37FD" w:rsidP="002F3C17">
      <w:pPr>
        <w:pStyle w:val="Footnote"/>
        <w:jc w:val="both"/>
        <w:rPr>
          <w:spacing w:val="-4"/>
          <w:kern w:val="17"/>
        </w:rPr>
      </w:pPr>
      <w:r w:rsidRPr="00DD7749">
        <w:rPr>
          <w:spacing w:val="-4"/>
          <w:kern w:val="17"/>
        </w:rPr>
        <w:t>+Definitions/fd2a2a96-be56-47b8-9ad2-390f3878d6c6</w:t>
      </w:r>
      <w:r w:rsidR="00A842DA" w:rsidRPr="00DD7749">
        <w:rPr>
          <w:spacing w:val="-4"/>
          <w:kern w:val="17"/>
        </w:rPr>
        <w:t>.</w:t>
      </w:r>
    </w:p>
    <w:p w14:paraId="33436070" w14:textId="77777777" w:rsidR="00D94924" w:rsidRPr="0017026D" w:rsidRDefault="00D94924" w:rsidP="002F3C17">
      <w:pPr>
        <w:rPr>
          <w:rFonts w:ascii="Arial" w:hAnsi="Arial" w:cs="Arial"/>
          <w:i/>
          <w:spacing w:val="-8"/>
          <w:kern w:val="17"/>
          <w:sz w:val="17"/>
          <w:szCs w:val="17"/>
        </w:rPr>
      </w:pPr>
    </w:p>
    <w:p w14:paraId="3AD7842D" w14:textId="77777777" w:rsidR="00D94924" w:rsidRPr="00075B7C" w:rsidRDefault="00D94924" w:rsidP="002F3C17">
      <w:pPr>
        <w:sectPr w:rsidR="00D94924" w:rsidRPr="00075B7C" w:rsidSect="0017026D">
          <w:headerReference w:type="default" r:id="rId19"/>
          <w:headerReference w:type="first" r:id="rId20"/>
          <w:pgSz w:w="12240" w:h="15840" w:code="1"/>
          <w:pgMar w:top="1080" w:right="1440" w:bottom="1440" w:left="1440" w:header="425" w:footer="706" w:gutter="0"/>
          <w:cols w:space="708"/>
          <w:titlePg/>
          <w:docGrid w:linePitch="360"/>
        </w:sectPr>
      </w:pPr>
    </w:p>
    <w:p w14:paraId="78F683DE" w14:textId="77777777" w:rsidR="006D61EA" w:rsidRPr="00075B7C" w:rsidRDefault="006D61EA" w:rsidP="002F3C17">
      <w:pPr>
        <w:pStyle w:val="ExhibitHeading"/>
        <w:outlineLvl w:val="0"/>
      </w:pPr>
      <w:r w:rsidRPr="00075B7C">
        <w:lastRenderedPageBreak/>
        <w:t>EXHIBIT 11: COMPARABLES</w:t>
      </w:r>
    </w:p>
    <w:p w14:paraId="242DCD77" w14:textId="77777777" w:rsidR="006D61EA" w:rsidRPr="00075B7C" w:rsidRDefault="006D61EA" w:rsidP="002F3C17">
      <w:pPr>
        <w:pStyle w:val="ExhibitText"/>
      </w:pPr>
    </w:p>
    <w:tbl>
      <w:tblPr>
        <w:tblStyle w:val="IveyTable"/>
        <w:tblW w:w="5000" w:type="pct"/>
        <w:tblLook w:val="04A0" w:firstRow="1" w:lastRow="0" w:firstColumn="1" w:lastColumn="0" w:noHBand="0" w:noVBand="1"/>
      </w:tblPr>
      <w:tblGrid>
        <w:gridCol w:w="2581"/>
        <w:gridCol w:w="1034"/>
        <w:gridCol w:w="1130"/>
        <w:gridCol w:w="1029"/>
        <w:gridCol w:w="1034"/>
        <w:gridCol w:w="749"/>
        <w:gridCol w:w="751"/>
        <w:gridCol w:w="938"/>
        <w:gridCol w:w="895"/>
        <w:gridCol w:w="1034"/>
        <w:gridCol w:w="846"/>
        <w:gridCol w:w="939"/>
      </w:tblGrid>
      <w:tr w:rsidR="00FC7297" w:rsidRPr="009573DD" w14:paraId="7B59EE0E" w14:textId="77777777" w:rsidTr="00F2675C">
        <w:trPr>
          <w:cnfStyle w:val="100000000000" w:firstRow="1" w:lastRow="0" w:firstColumn="0" w:lastColumn="0" w:oddVBand="0" w:evenVBand="0" w:oddHBand="0" w:evenHBand="0" w:firstRowFirstColumn="0" w:firstRowLastColumn="0" w:lastRowFirstColumn="0" w:lastRowLastColumn="0"/>
          <w:trHeight w:val="360"/>
        </w:trPr>
        <w:tc>
          <w:tcPr>
            <w:tcW w:w="997" w:type="pct"/>
            <w:shd w:val="clear" w:color="auto" w:fill="auto"/>
            <w:hideMark/>
          </w:tcPr>
          <w:p w14:paraId="0C3024C7" w14:textId="77777777" w:rsidR="006D61EA" w:rsidRPr="009573DD" w:rsidRDefault="006D61EA" w:rsidP="009A6B9D">
            <w:pPr>
              <w:pStyle w:val="ExhibitText"/>
              <w:jc w:val="left"/>
            </w:pPr>
            <w:r w:rsidRPr="009573DD">
              <w:t>Name</w:t>
            </w:r>
          </w:p>
        </w:tc>
        <w:tc>
          <w:tcPr>
            <w:tcW w:w="400" w:type="pct"/>
            <w:shd w:val="clear" w:color="auto" w:fill="auto"/>
            <w:hideMark/>
          </w:tcPr>
          <w:p w14:paraId="2DFF91E7" w14:textId="2619E5B2" w:rsidR="006D61EA" w:rsidRPr="009573DD" w:rsidRDefault="006D61EA" w:rsidP="00DD7749">
            <w:pPr>
              <w:pStyle w:val="ExhibitText"/>
              <w:jc w:val="center"/>
            </w:pPr>
            <w:r w:rsidRPr="009573DD">
              <w:t>Mkt Cap (US</w:t>
            </w:r>
            <w:r w:rsidR="00E35814" w:rsidRPr="009573DD">
              <w:t>$</w:t>
            </w:r>
            <w:r w:rsidRPr="009573DD">
              <w:t>)</w:t>
            </w:r>
          </w:p>
        </w:tc>
        <w:tc>
          <w:tcPr>
            <w:tcW w:w="437" w:type="pct"/>
            <w:shd w:val="clear" w:color="auto" w:fill="auto"/>
            <w:hideMark/>
          </w:tcPr>
          <w:p w14:paraId="408D19D1" w14:textId="77777777" w:rsidR="006D61EA" w:rsidRPr="009573DD" w:rsidRDefault="006D61EA" w:rsidP="00DD7749">
            <w:pPr>
              <w:pStyle w:val="ExhibitText"/>
              <w:jc w:val="center"/>
            </w:pPr>
            <w:r w:rsidRPr="009573DD">
              <w:t>Net Sales T12M</w:t>
            </w:r>
          </w:p>
        </w:tc>
        <w:tc>
          <w:tcPr>
            <w:tcW w:w="398" w:type="pct"/>
            <w:shd w:val="clear" w:color="auto" w:fill="auto"/>
            <w:hideMark/>
          </w:tcPr>
          <w:p w14:paraId="00244B09" w14:textId="77777777" w:rsidR="006D61EA" w:rsidRPr="009573DD" w:rsidRDefault="006D61EA" w:rsidP="00DD7749">
            <w:pPr>
              <w:pStyle w:val="ExhibitText"/>
              <w:jc w:val="center"/>
            </w:pPr>
            <w:r w:rsidRPr="009573DD">
              <w:t>Profit Margin</w:t>
            </w:r>
          </w:p>
        </w:tc>
        <w:tc>
          <w:tcPr>
            <w:tcW w:w="400" w:type="pct"/>
            <w:shd w:val="clear" w:color="auto" w:fill="auto"/>
            <w:hideMark/>
          </w:tcPr>
          <w:p w14:paraId="0B5F3F29" w14:textId="77777777" w:rsidR="006D61EA" w:rsidRPr="009573DD" w:rsidRDefault="006D61EA" w:rsidP="00DD7749">
            <w:pPr>
              <w:pStyle w:val="ExhibitText"/>
              <w:jc w:val="center"/>
            </w:pPr>
            <w:r w:rsidRPr="009573DD">
              <w:t>Trailing 12M EPS</w:t>
            </w:r>
          </w:p>
        </w:tc>
        <w:tc>
          <w:tcPr>
            <w:tcW w:w="290" w:type="pct"/>
            <w:shd w:val="clear" w:color="auto" w:fill="auto"/>
            <w:hideMark/>
          </w:tcPr>
          <w:p w14:paraId="6006C5C9" w14:textId="77777777" w:rsidR="006D61EA" w:rsidRPr="009573DD" w:rsidRDefault="006D61EA" w:rsidP="00DD7749">
            <w:pPr>
              <w:pStyle w:val="ExhibitText"/>
              <w:jc w:val="center"/>
            </w:pPr>
            <w:r w:rsidRPr="009573DD">
              <w:t>P/E</w:t>
            </w:r>
          </w:p>
        </w:tc>
        <w:tc>
          <w:tcPr>
            <w:tcW w:w="291" w:type="pct"/>
            <w:shd w:val="clear" w:color="auto" w:fill="auto"/>
            <w:hideMark/>
          </w:tcPr>
          <w:p w14:paraId="7EDE9995" w14:textId="77777777" w:rsidR="006D61EA" w:rsidRPr="009573DD" w:rsidRDefault="006D61EA" w:rsidP="00DD7749">
            <w:pPr>
              <w:pStyle w:val="ExhibitText"/>
              <w:jc w:val="center"/>
            </w:pPr>
            <w:r w:rsidRPr="009573DD">
              <w:t>P/B</w:t>
            </w:r>
          </w:p>
        </w:tc>
        <w:tc>
          <w:tcPr>
            <w:tcW w:w="363" w:type="pct"/>
            <w:shd w:val="clear" w:color="auto" w:fill="auto"/>
            <w:hideMark/>
          </w:tcPr>
          <w:p w14:paraId="3CB6D76D" w14:textId="77777777" w:rsidR="006D61EA" w:rsidRPr="009573DD" w:rsidRDefault="006D61EA" w:rsidP="00DD7749">
            <w:pPr>
              <w:pStyle w:val="ExhibitText"/>
              <w:jc w:val="center"/>
            </w:pPr>
            <w:r w:rsidRPr="009573DD">
              <w:t>ROE</w:t>
            </w:r>
          </w:p>
        </w:tc>
        <w:tc>
          <w:tcPr>
            <w:tcW w:w="334" w:type="pct"/>
            <w:shd w:val="clear" w:color="auto" w:fill="auto"/>
            <w:hideMark/>
          </w:tcPr>
          <w:p w14:paraId="4D733276" w14:textId="77777777" w:rsidR="006D61EA" w:rsidRPr="009573DD" w:rsidRDefault="006D61EA" w:rsidP="00DD7749">
            <w:pPr>
              <w:pStyle w:val="ExhibitText"/>
              <w:jc w:val="center"/>
            </w:pPr>
            <w:r w:rsidRPr="009573DD">
              <w:t>ROA</w:t>
            </w:r>
          </w:p>
        </w:tc>
        <w:tc>
          <w:tcPr>
            <w:tcW w:w="400" w:type="pct"/>
            <w:shd w:val="clear" w:color="auto" w:fill="auto"/>
            <w:hideMark/>
          </w:tcPr>
          <w:p w14:paraId="5763A5BE" w14:textId="77777777" w:rsidR="006D61EA" w:rsidRPr="009573DD" w:rsidRDefault="006D61EA" w:rsidP="00DD7749">
            <w:pPr>
              <w:pStyle w:val="ExhibitText"/>
              <w:jc w:val="center"/>
            </w:pPr>
            <w:r w:rsidRPr="009573DD">
              <w:t>Debt / Equity</w:t>
            </w:r>
          </w:p>
        </w:tc>
        <w:tc>
          <w:tcPr>
            <w:tcW w:w="327" w:type="pct"/>
            <w:shd w:val="clear" w:color="auto" w:fill="auto"/>
            <w:hideMark/>
          </w:tcPr>
          <w:p w14:paraId="24DA51CD" w14:textId="77777777" w:rsidR="006D61EA" w:rsidRPr="009573DD" w:rsidRDefault="006D61EA" w:rsidP="00DD7749">
            <w:pPr>
              <w:pStyle w:val="ExhibitText"/>
              <w:jc w:val="center"/>
            </w:pPr>
            <w:r w:rsidRPr="009573DD">
              <w:t>TIE</w:t>
            </w:r>
          </w:p>
        </w:tc>
        <w:tc>
          <w:tcPr>
            <w:tcW w:w="364" w:type="pct"/>
            <w:shd w:val="clear" w:color="auto" w:fill="auto"/>
            <w:hideMark/>
          </w:tcPr>
          <w:p w14:paraId="6680EEE6" w14:textId="77777777" w:rsidR="006D61EA" w:rsidRPr="009573DD" w:rsidRDefault="006D61EA" w:rsidP="00DD7749">
            <w:pPr>
              <w:pStyle w:val="ExhibitText"/>
              <w:jc w:val="center"/>
            </w:pPr>
            <w:r w:rsidRPr="009573DD">
              <w:t>Current Ratio</w:t>
            </w:r>
          </w:p>
        </w:tc>
      </w:tr>
      <w:tr w:rsidR="00FC7297" w:rsidRPr="009573DD" w14:paraId="58F4B521" w14:textId="77777777" w:rsidTr="00F2675C">
        <w:trPr>
          <w:trHeight w:val="360"/>
        </w:trPr>
        <w:tc>
          <w:tcPr>
            <w:tcW w:w="997" w:type="pct"/>
            <w:noWrap/>
            <w:hideMark/>
          </w:tcPr>
          <w:p w14:paraId="440E7CA2" w14:textId="7EBD7982" w:rsidR="006D61EA" w:rsidRPr="009573DD" w:rsidRDefault="003F3921" w:rsidP="009A6B9D">
            <w:pPr>
              <w:pStyle w:val="ExhibitText"/>
              <w:jc w:val="left"/>
            </w:pPr>
            <w:r w:rsidRPr="009573DD">
              <w:t>Google Inc</w:t>
            </w:r>
          </w:p>
        </w:tc>
        <w:tc>
          <w:tcPr>
            <w:tcW w:w="400" w:type="pct"/>
            <w:noWrap/>
            <w:hideMark/>
          </w:tcPr>
          <w:p w14:paraId="7AD01BE7" w14:textId="77777777" w:rsidR="006D61EA" w:rsidRPr="009573DD" w:rsidRDefault="006D61EA" w:rsidP="002F3C17">
            <w:pPr>
              <w:pStyle w:val="ExhibitText"/>
              <w:jc w:val="right"/>
            </w:pPr>
            <w:r w:rsidRPr="009573DD">
              <w:t>347.81B</w:t>
            </w:r>
          </w:p>
        </w:tc>
        <w:tc>
          <w:tcPr>
            <w:tcW w:w="437" w:type="pct"/>
            <w:noWrap/>
            <w:hideMark/>
          </w:tcPr>
          <w:p w14:paraId="1CCB70F2" w14:textId="77777777" w:rsidR="006D61EA" w:rsidRPr="009573DD" w:rsidRDefault="006D61EA" w:rsidP="002F3C17">
            <w:pPr>
              <w:pStyle w:val="ExhibitText"/>
              <w:jc w:val="right"/>
            </w:pPr>
            <w:r w:rsidRPr="009573DD">
              <w:t>64.76B</w:t>
            </w:r>
          </w:p>
        </w:tc>
        <w:tc>
          <w:tcPr>
            <w:tcW w:w="398" w:type="pct"/>
            <w:noWrap/>
            <w:hideMark/>
          </w:tcPr>
          <w:p w14:paraId="43B8A97D" w14:textId="17F4BE7F" w:rsidR="006D61EA" w:rsidRPr="009573DD" w:rsidRDefault="003F3921" w:rsidP="002F3C17">
            <w:pPr>
              <w:pStyle w:val="ExhibitText"/>
              <w:jc w:val="right"/>
            </w:pPr>
            <w:r>
              <w:t>17.02</w:t>
            </w:r>
          </w:p>
        </w:tc>
        <w:tc>
          <w:tcPr>
            <w:tcW w:w="400" w:type="pct"/>
            <w:noWrap/>
            <w:hideMark/>
          </w:tcPr>
          <w:p w14:paraId="1E4AF562" w14:textId="77777777" w:rsidR="006D61EA" w:rsidRPr="009573DD" w:rsidRDefault="006D61EA" w:rsidP="002F3C17">
            <w:pPr>
              <w:pStyle w:val="ExhibitText"/>
              <w:jc w:val="right"/>
            </w:pPr>
            <w:r w:rsidRPr="009573DD">
              <w:t>--</w:t>
            </w:r>
          </w:p>
        </w:tc>
        <w:tc>
          <w:tcPr>
            <w:tcW w:w="290" w:type="pct"/>
            <w:noWrap/>
            <w:hideMark/>
          </w:tcPr>
          <w:p w14:paraId="3CB46354" w14:textId="77777777" w:rsidR="006D61EA" w:rsidRPr="009573DD" w:rsidRDefault="006D61EA" w:rsidP="002F3C17">
            <w:pPr>
              <w:pStyle w:val="ExhibitText"/>
              <w:jc w:val="right"/>
            </w:pPr>
            <w:r w:rsidRPr="009573DD">
              <w:t>--</w:t>
            </w:r>
          </w:p>
        </w:tc>
        <w:tc>
          <w:tcPr>
            <w:tcW w:w="291" w:type="pct"/>
            <w:noWrap/>
            <w:hideMark/>
          </w:tcPr>
          <w:p w14:paraId="6F53663A" w14:textId="77777777" w:rsidR="006D61EA" w:rsidRPr="009573DD" w:rsidRDefault="006D61EA" w:rsidP="002F3C17">
            <w:pPr>
              <w:pStyle w:val="ExhibitText"/>
              <w:jc w:val="right"/>
            </w:pPr>
            <w:r w:rsidRPr="009573DD">
              <w:t>--</w:t>
            </w:r>
          </w:p>
        </w:tc>
        <w:tc>
          <w:tcPr>
            <w:tcW w:w="363" w:type="pct"/>
            <w:noWrap/>
            <w:hideMark/>
          </w:tcPr>
          <w:p w14:paraId="6D85C1AB" w14:textId="751ED9CB" w:rsidR="006D61EA" w:rsidRPr="009573DD" w:rsidRDefault="003F3921" w:rsidP="002F3C17">
            <w:pPr>
              <w:pStyle w:val="ExhibitText"/>
              <w:jc w:val="right"/>
            </w:pPr>
            <w:r>
              <w:t>14.37</w:t>
            </w:r>
          </w:p>
        </w:tc>
        <w:tc>
          <w:tcPr>
            <w:tcW w:w="334" w:type="pct"/>
            <w:noWrap/>
            <w:hideMark/>
          </w:tcPr>
          <w:p w14:paraId="3F63AE0A" w14:textId="6B64AC23" w:rsidR="006D61EA" w:rsidRPr="009573DD" w:rsidRDefault="003F3921" w:rsidP="002F3C17">
            <w:pPr>
              <w:pStyle w:val="ExhibitText"/>
              <w:jc w:val="right"/>
            </w:pPr>
            <w:r>
              <w:t>11.32</w:t>
            </w:r>
          </w:p>
        </w:tc>
        <w:tc>
          <w:tcPr>
            <w:tcW w:w="400" w:type="pct"/>
            <w:noWrap/>
            <w:hideMark/>
          </w:tcPr>
          <w:p w14:paraId="6E188547" w14:textId="405100E0" w:rsidR="006D61EA" w:rsidRPr="009573DD" w:rsidRDefault="003F3921" w:rsidP="002F3C17">
            <w:pPr>
              <w:pStyle w:val="ExhibitText"/>
              <w:jc w:val="right"/>
            </w:pPr>
            <w:r>
              <w:t>5.30</w:t>
            </w:r>
          </w:p>
        </w:tc>
        <w:tc>
          <w:tcPr>
            <w:tcW w:w="327" w:type="pct"/>
            <w:noWrap/>
            <w:hideMark/>
          </w:tcPr>
          <w:p w14:paraId="3DBDF838" w14:textId="77777777" w:rsidR="006D61EA" w:rsidRPr="009573DD" w:rsidRDefault="006D61EA" w:rsidP="002F3C17">
            <w:pPr>
              <w:pStyle w:val="ExhibitText"/>
              <w:jc w:val="right"/>
            </w:pPr>
            <w:r w:rsidRPr="009573DD">
              <w:t>148.96</w:t>
            </w:r>
          </w:p>
        </w:tc>
        <w:tc>
          <w:tcPr>
            <w:tcW w:w="364" w:type="pct"/>
            <w:noWrap/>
            <w:hideMark/>
          </w:tcPr>
          <w:p w14:paraId="3BE846E6" w14:textId="77777777" w:rsidR="006D61EA" w:rsidRPr="009573DD" w:rsidRDefault="006D61EA" w:rsidP="002F3C17">
            <w:pPr>
              <w:pStyle w:val="ExhibitText"/>
              <w:jc w:val="right"/>
            </w:pPr>
            <w:r w:rsidRPr="009573DD">
              <w:t>4.47</w:t>
            </w:r>
          </w:p>
        </w:tc>
      </w:tr>
      <w:tr w:rsidR="00FC7297" w:rsidRPr="009573DD" w14:paraId="29EF0EAE"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997" w:type="pct"/>
            <w:shd w:val="clear" w:color="auto" w:fill="auto"/>
            <w:noWrap/>
            <w:hideMark/>
          </w:tcPr>
          <w:p w14:paraId="3ED58915" w14:textId="75FFA9CA" w:rsidR="006D61EA" w:rsidRPr="009573DD" w:rsidRDefault="003F3921" w:rsidP="009A6B9D">
            <w:pPr>
              <w:pStyle w:val="ExhibitText"/>
              <w:jc w:val="left"/>
              <w:rPr>
                <w:bCs/>
              </w:rPr>
            </w:pPr>
            <w:r w:rsidRPr="009573DD">
              <w:rPr>
                <w:bCs/>
              </w:rPr>
              <w:t>Alibaba Group</w:t>
            </w:r>
          </w:p>
        </w:tc>
        <w:tc>
          <w:tcPr>
            <w:tcW w:w="400" w:type="pct"/>
            <w:shd w:val="clear" w:color="auto" w:fill="auto"/>
            <w:noWrap/>
            <w:hideMark/>
          </w:tcPr>
          <w:p w14:paraId="20F8B928" w14:textId="77777777" w:rsidR="006D61EA" w:rsidRPr="009573DD" w:rsidRDefault="006D61EA" w:rsidP="002F3C17">
            <w:pPr>
              <w:pStyle w:val="ExhibitText"/>
              <w:jc w:val="right"/>
              <w:rPr>
                <w:bCs/>
              </w:rPr>
            </w:pPr>
            <w:r w:rsidRPr="009573DD">
              <w:rPr>
                <w:bCs/>
              </w:rPr>
              <w:t>269.30B</w:t>
            </w:r>
          </w:p>
        </w:tc>
        <w:tc>
          <w:tcPr>
            <w:tcW w:w="437" w:type="pct"/>
            <w:shd w:val="clear" w:color="auto" w:fill="auto"/>
            <w:noWrap/>
            <w:hideMark/>
          </w:tcPr>
          <w:p w14:paraId="00E3F4CC" w14:textId="77777777" w:rsidR="006D61EA" w:rsidRPr="009573DD" w:rsidRDefault="006D61EA" w:rsidP="002F3C17">
            <w:pPr>
              <w:pStyle w:val="ExhibitText"/>
              <w:jc w:val="right"/>
              <w:rPr>
                <w:bCs/>
              </w:rPr>
            </w:pPr>
            <w:r w:rsidRPr="009573DD">
              <w:rPr>
                <w:bCs/>
              </w:rPr>
              <w:t>10.31B</w:t>
            </w:r>
          </w:p>
        </w:tc>
        <w:tc>
          <w:tcPr>
            <w:tcW w:w="398" w:type="pct"/>
            <w:shd w:val="clear" w:color="auto" w:fill="auto"/>
            <w:noWrap/>
            <w:hideMark/>
          </w:tcPr>
          <w:p w14:paraId="4432F19A" w14:textId="5BBA943C" w:rsidR="006D61EA" w:rsidRPr="009573DD" w:rsidRDefault="006D61EA" w:rsidP="002F3C17">
            <w:pPr>
              <w:pStyle w:val="ExhibitText"/>
              <w:jc w:val="right"/>
              <w:rPr>
                <w:bCs/>
              </w:rPr>
            </w:pPr>
            <w:r w:rsidRPr="009573DD">
              <w:rPr>
                <w:bCs/>
              </w:rPr>
              <w:t>17.99</w:t>
            </w:r>
          </w:p>
        </w:tc>
        <w:tc>
          <w:tcPr>
            <w:tcW w:w="400" w:type="pct"/>
            <w:shd w:val="clear" w:color="auto" w:fill="auto"/>
            <w:noWrap/>
            <w:hideMark/>
          </w:tcPr>
          <w:p w14:paraId="716B8353" w14:textId="77777777" w:rsidR="006D61EA" w:rsidRPr="009573DD" w:rsidRDefault="006D61EA" w:rsidP="002F3C17">
            <w:pPr>
              <w:pStyle w:val="ExhibitText"/>
              <w:jc w:val="right"/>
              <w:rPr>
                <w:bCs/>
              </w:rPr>
            </w:pPr>
            <w:r w:rsidRPr="009573DD">
              <w:rPr>
                <w:bCs/>
              </w:rPr>
              <w:t>--</w:t>
            </w:r>
          </w:p>
        </w:tc>
        <w:tc>
          <w:tcPr>
            <w:tcW w:w="290" w:type="pct"/>
            <w:shd w:val="clear" w:color="auto" w:fill="auto"/>
            <w:noWrap/>
            <w:hideMark/>
          </w:tcPr>
          <w:p w14:paraId="4499FF6A" w14:textId="77777777" w:rsidR="006D61EA" w:rsidRPr="009573DD" w:rsidRDefault="006D61EA" w:rsidP="002F3C17">
            <w:pPr>
              <w:pStyle w:val="ExhibitText"/>
              <w:jc w:val="right"/>
              <w:rPr>
                <w:bCs/>
              </w:rPr>
            </w:pPr>
            <w:r w:rsidRPr="009573DD">
              <w:rPr>
                <w:bCs/>
              </w:rPr>
              <w:t>--</w:t>
            </w:r>
          </w:p>
        </w:tc>
        <w:tc>
          <w:tcPr>
            <w:tcW w:w="291" w:type="pct"/>
            <w:shd w:val="clear" w:color="auto" w:fill="auto"/>
            <w:noWrap/>
            <w:hideMark/>
          </w:tcPr>
          <w:p w14:paraId="62E84D83" w14:textId="77777777" w:rsidR="006D61EA" w:rsidRPr="009573DD" w:rsidRDefault="006D61EA" w:rsidP="002F3C17">
            <w:pPr>
              <w:pStyle w:val="ExhibitText"/>
              <w:jc w:val="right"/>
              <w:rPr>
                <w:bCs/>
              </w:rPr>
            </w:pPr>
            <w:r w:rsidRPr="009573DD">
              <w:rPr>
                <w:bCs/>
              </w:rPr>
              <w:t>13.56</w:t>
            </w:r>
          </w:p>
        </w:tc>
        <w:tc>
          <w:tcPr>
            <w:tcW w:w="363" w:type="pct"/>
            <w:shd w:val="clear" w:color="auto" w:fill="auto"/>
            <w:noWrap/>
            <w:hideMark/>
          </w:tcPr>
          <w:p w14:paraId="04F289CA" w14:textId="77777777" w:rsidR="006D61EA" w:rsidRPr="009573DD" w:rsidRDefault="006D61EA" w:rsidP="002F3C17">
            <w:pPr>
              <w:pStyle w:val="ExhibitText"/>
              <w:jc w:val="right"/>
              <w:rPr>
                <w:bCs/>
              </w:rPr>
            </w:pPr>
            <w:r w:rsidRPr="009573DD">
              <w:rPr>
                <w:bCs/>
              </w:rPr>
              <w:t>--</w:t>
            </w:r>
          </w:p>
        </w:tc>
        <w:tc>
          <w:tcPr>
            <w:tcW w:w="334" w:type="pct"/>
            <w:shd w:val="clear" w:color="auto" w:fill="auto"/>
            <w:noWrap/>
            <w:hideMark/>
          </w:tcPr>
          <w:p w14:paraId="679CACC6" w14:textId="77777777" w:rsidR="006D61EA" w:rsidRPr="009573DD" w:rsidRDefault="006D61EA" w:rsidP="002F3C17">
            <w:pPr>
              <w:pStyle w:val="ExhibitText"/>
              <w:jc w:val="right"/>
              <w:rPr>
                <w:bCs/>
              </w:rPr>
            </w:pPr>
            <w:r w:rsidRPr="009573DD">
              <w:rPr>
                <w:bCs/>
              </w:rPr>
              <w:t>--</w:t>
            </w:r>
          </w:p>
        </w:tc>
        <w:tc>
          <w:tcPr>
            <w:tcW w:w="400" w:type="pct"/>
            <w:shd w:val="clear" w:color="auto" w:fill="auto"/>
            <w:noWrap/>
            <w:hideMark/>
          </w:tcPr>
          <w:p w14:paraId="009D1016" w14:textId="56D2F1E0" w:rsidR="006D61EA" w:rsidRPr="009573DD" w:rsidRDefault="003F3921" w:rsidP="002F3C17">
            <w:pPr>
              <w:pStyle w:val="ExhibitText"/>
              <w:jc w:val="right"/>
              <w:rPr>
                <w:bCs/>
              </w:rPr>
            </w:pPr>
            <w:r>
              <w:rPr>
                <w:bCs/>
              </w:rPr>
              <w:t>49.23</w:t>
            </w:r>
          </w:p>
        </w:tc>
        <w:tc>
          <w:tcPr>
            <w:tcW w:w="327" w:type="pct"/>
            <w:shd w:val="clear" w:color="auto" w:fill="auto"/>
            <w:noWrap/>
            <w:hideMark/>
          </w:tcPr>
          <w:p w14:paraId="247EBB8A" w14:textId="77777777" w:rsidR="006D61EA" w:rsidRPr="009573DD" w:rsidRDefault="006D61EA" w:rsidP="002F3C17">
            <w:pPr>
              <w:pStyle w:val="ExhibitText"/>
              <w:jc w:val="right"/>
              <w:rPr>
                <w:bCs/>
              </w:rPr>
            </w:pPr>
            <w:r w:rsidRPr="009573DD">
              <w:rPr>
                <w:bCs/>
              </w:rPr>
              <w:t>8.34</w:t>
            </w:r>
          </w:p>
        </w:tc>
        <w:tc>
          <w:tcPr>
            <w:tcW w:w="364" w:type="pct"/>
            <w:shd w:val="clear" w:color="auto" w:fill="auto"/>
            <w:noWrap/>
            <w:hideMark/>
          </w:tcPr>
          <w:p w14:paraId="2CED62AB" w14:textId="77777777" w:rsidR="006D61EA" w:rsidRPr="009573DD" w:rsidRDefault="006D61EA" w:rsidP="002F3C17">
            <w:pPr>
              <w:pStyle w:val="ExhibitText"/>
              <w:jc w:val="right"/>
              <w:rPr>
                <w:bCs/>
              </w:rPr>
            </w:pPr>
            <w:r w:rsidRPr="009573DD">
              <w:rPr>
                <w:bCs/>
              </w:rPr>
              <w:t>3.01</w:t>
            </w:r>
          </w:p>
        </w:tc>
      </w:tr>
      <w:tr w:rsidR="00FC7297" w:rsidRPr="009573DD" w14:paraId="1341C328" w14:textId="77777777" w:rsidTr="00F2675C">
        <w:trPr>
          <w:trHeight w:val="360"/>
        </w:trPr>
        <w:tc>
          <w:tcPr>
            <w:tcW w:w="997" w:type="pct"/>
            <w:noWrap/>
            <w:hideMark/>
          </w:tcPr>
          <w:p w14:paraId="5312EF28" w14:textId="607506DD" w:rsidR="006D61EA" w:rsidRPr="009573DD" w:rsidRDefault="003F3921" w:rsidP="009A6B9D">
            <w:pPr>
              <w:pStyle w:val="ExhibitText"/>
              <w:jc w:val="left"/>
            </w:pPr>
            <w:r w:rsidRPr="009573DD">
              <w:t>Facebook Inc</w:t>
            </w:r>
          </w:p>
        </w:tc>
        <w:tc>
          <w:tcPr>
            <w:tcW w:w="400" w:type="pct"/>
            <w:noWrap/>
            <w:hideMark/>
          </w:tcPr>
          <w:p w14:paraId="186DADBC" w14:textId="77777777" w:rsidR="006D61EA" w:rsidRPr="009573DD" w:rsidRDefault="006D61EA" w:rsidP="002F3C17">
            <w:pPr>
              <w:pStyle w:val="ExhibitText"/>
              <w:jc w:val="right"/>
            </w:pPr>
            <w:r w:rsidRPr="009573DD">
              <w:t>219.25B</w:t>
            </w:r>
          </w:p>
        </w:tc>
        <w:tc>
          <w:tcPr>
            <w:tcW w:w="437" w:type="pct"/>
            <w:noWrap/>
            <w:hideMark/>
          </w:tcPr>
          <w:p w14:paraId="42AEB926" w14:textId="77777777" w:rsidR="006D61EA" w:rsidRPr="009573DD" w:rsidRDefault="006D61EA" w:rsidP="002F3C17">
            <w:pPr>
              <w:pStyle w:val="ExhibitText"/>
              <w:jc w:val="right"/>
            </w:pPr>
            <w:r w:rsidRPr="009573DD">
              <w:t>11.20B</w:t>
            </w:r>
          </w:p>
        </w:tc>
        <w:tc>
          <w:tcPr>
            <w:tcW w:w="398" w:type="pct"/>
            <w:noWrap/>
            <w:hideMark/>
          </w:tcPr>
          <w:p w14:paraId="4401B4F4" w14:textId="0F532502" w:rsidR="006D61EA" w:rsidRPr="009573DD" w:rsidRDefault="003F3921" w:rsidP="002F3C17">
            <w:pPr>
              <w:pStyle w:val="ExhibitText"/>
              <w:jc w:val="right"/>
            </w:pPr>
            <w:r>
              <w:t>25.04</w:t>
            </w:r>
          </w:p>
        </w:tc>
        <w:tc>
          <w:tcPr>
            <w:tcW w:w="400" w:type="pct"/>
            <w:noWrap/>
            <w:hideMark/>
          </w:tcPr>
          <w:p w14:paraId="1087DFCB" w14:textId="77777777" w:rsidR="006D61EA" w:rsidRPr="009573DD" w:rsidRDefault="006D61EA" w:rsidP="002F3C17">
            <w:pPr>
              <w:pStyle w:val="ExhibitText"/>
              <w:jc w:val="right"/>
            </w:pPr>
            <w:r w:rsidRPr="009573DD">
              <w:t>1.08</w:t>
            </w:r>
          </w:p>
        </w:tc>
        <w:tc>
          <w:tcPr>
            <w:tcW w:w="290" w:type="pct"/>
            <w:noWrap/>
            <w:hideMark/>
          </w:tcPr>
          <w:p w14:paraId="47A1187B" w14:textId="77777777" w:rsidR="006D61EA" w:rsidRPr="009573DD" w:rsidRDefault="006D61EA" w:rsidP="002F3C17">
            <w:pPr>
              <w:pStyle w:val="ExhibitText"/>
              <w:jc w:val="right"/>
            </w:pPr>
            <w:r w:rsidRPr="009573DD">
              <w:t>74.67</w:t>
            </w:r>
          </w:p>
        </w:tc>
        <w:tc>
          <w:tcPr>
            <w:tcW w:w="291" w:type="pct"/>
            <w:noWrap/>
            <w:hideMark/>
          </w:tcPr>
          <w:p w14:paraId="0A350732" w14:textId="77777777" w:rsidR="006D61EA" w:rsidRPr="009573DD" w:rsidRDefault="006D61EA" w:rsidP="002F3C17">
            <w:pPr>
              <w:pStyle w:val="ExhibitText"/>
              <w:jc w:val="right"/>
            </w:pPr>
            <w:r w:rsidRPr="009573DD">
              <w:t>9.63</w:t>
            </w:r>
          </w:p>
        </w:tc>
        <w:tc>
          <w:tcPr>
            <w:tcW w:w="363" w:type="pct"/>
            <w:noWrap/>
            <w:hideMark/>
          </w:tcPr>
          <w:p w14:paraId="2F61BAD8" w14:textId="701FEFC5" w:rsidR="006D61EA" w:rsidRPr="009573DD" w:rsidRDefault="003F3921" w:rsidP="002F3C17">
            <w:pPr>
              <w:pStyle w:val="ExhibitText"/>
              <w:jc w:val="right"/>
            </w:pPr>
            <w:r>
              <w:t>16.04</w:t>
            </w:r>
          </w:p>
        </w:tc>
        <w:tc>
          <w:tcPr>
            <w:tcW w:w="334" w:type="pct"/>
            <w:noWrap/>
            <w:hideMark/>
          </w:tcPr>
          <w:p w14:paraId="5349B45A" w14:textId="00141977" w:rsidR="006D61EA" w:rsidRPr="009573DD" w:rsidRDefault="003F3921" w:rsidP="002F3C17">
            <w:pPr>
              <w:pStyle w:val="ExhibitText"/>
              <w:jc w:val="right"/>
            </w:pPr>
            <w:r>
              <w:t>14.05</w:t>
            </w:r>
          </w:p>
        </w:tc>
        <w:tc>
          <w:tcPr>
            <w:tcW w:w="400" w:type="pct"/>
            <w:noWrap/>
            <w:hideMark/>
          </w:tcPr>
          <w:p w14:paraId="4D98D043" w14:textId="3AA13811" w:rsidR="006D61EA" w:rsidRPr="009573DD" w:rsidRDefault="003F3921" w:rsidP="002F3C17">
            <w:pPr>
              <w:pStyle w:val="ExhibitText"/>
              <w:jc w:val="right"/>
            </w:pPr>
            <w:r>
              <w:t>1.31</w:t>
            </w:r>
          </w:p>
        </w:tc>
        <w:tc>
          <w:tcPr>
            <w:tcW w:w="327" w:type="pct"/>
            <w:noWrap/>
            <w:hideMark/>
          </w:tcPr>
          <w:p w14:paraId="7A7A85EF" w14:textId="77777777" w:rsidR="006D61EA" w:rsidRPr="009573DD" w:rsidRDefault="006D61EA" w:rsidP="002F3C17">
            <w:pPr>
              <w:pStyle w:val="ExhibitText"/>
              <w:jc w:val="right"/>
            </w:pPr>
            <w:r w:rsidRPr="009573DD">
              <w:t>--</w:t>
            </w:r>
          </w:p>
        </w:tc>
        <w:tc>
          <w:tcPr>
            <w:tcW w:w="364" w:type="pct"/>
            <w:noWrap/>
            <w:hideMark/>
          </w:tcPr>
          <w:p w14:paraId="49711BBB" w14:textId="77777777" w:rsidR="006D61EA" w:rsidRPr="009573DD" w:rsidRDefault="006D61EA" w:rsidP="002F3C17">
            <w:pPr>
              <w:pStyle w:val="ExhibitText"/>
              <w:jc w:val="right"/>
            </w:pPr>
            <w:r w:rsidRPr="009573DD">
              <w:t>13.06</w:t>
            </w:r>
          </w:p>
        </w:tc>
      </w:tr>
      <w:tr w:rsidR="00FC7297" w:rsidRPr="009573DD" w14:paraId="5DC79319"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997" w:type="pct"/>
            <w:shd w:val="clear" w:color="auto" w:fill="auto"/>
            <w:noWrap/>
            <w:hideMark/>
          </w:tcPr>
          <w:p w14:paraId="5CE8906C" w14:textId="6BCFC9AB" w:rsidR="006D61EA" w:rsidRPr="009573DD" w:rsidRDefault="003F3921" w:rsidP="009A6B9D">
            <w:pPr>
              <w:pStyle w:val="ExhibitText"/>
              <w:jc w:val="left"/>
            </w:pPr>
            <w:r w:rsidRPr="009573DD">
              <w:t>Oracle Corp</w:t>
            </w:r>
          </w:p>
        </w:tc>
        <w:tc>
          <w:tcPr>
            <w:tcW w:w="400" w:type="pct"/>
            <w:shd w:val="clear" w:color="auto" w:fill="auto"/>
            <w:noWrap/>
            <w:hideMark/>
          </w:tcPr>
          <w:p w14:paraId="60F97698" w14:textId="77777777" w:rsidR="006D61EA" w:rsidRPr="009573DD" w:rsidRDefault="006D61EA" w:rsidP="002F3C17">
            <w:pPr>
              <w:pStyle w:val="ExhibitText"/>
              <w:jc w:val="right"/>
            </w:pPr>
            <w:r w:rsidRPr="009573DD">
              <w:t>202.00B</w:t>
            </w:r>
          </w:p>
        </w:tc>
        <w:tc>
          <w:tcPr>
            <w:tcW w:w="437" w:type="pct"/>
            <w:shd w:val="clear" w:color="auto" w:fill="auto"/>
            <w:noWrap/>
            <w:hideMark/>
          </w:tcPr>
          <w:p w14:paraId="5D478C9E" w14:textId="77777777" w:rsidR="006D61EA" w:rsidRPr="009573DD" w:rsidRDefault="006D61EA" w:rsidP="002F3C17">
            <w:pPr>
              <w:pStyle w:val="ExhibitText"/>
              <w:jc w:val="right"/>
            </w:pPr>
            <w:r w:rsidRPr="009573DD">
              <w:t>38.82B</w:t>
            </w:r>
          </w:p>
        </w:tc>
        <w:tc>
          <w:tcPr>
            <w:tcW w:w="398" w:type="pct"/>
            <w:shd w:val="clear" w:color="auto" w:fill="auto"/>
            <w:noWrap/>
            <w:hideMark/>
          </w:tcPr>
          <w:p w14:paraId="1CEA7CB7" w14:textId="6160FCE2" w:rsidR="006D61EA" w:rsidRPr="009573DD" w:rsidRDefault="003F3921" w:rsidP="002F3C17">
            <w:pPr>
              <w:pStyle w:val="ExhibitText"/>
              <w:jc w:val="right"/>
            </w:pPr>
            <w:r>
              <w:t>26.07</w:t>
            </w:r>
          </w:p>
        </w:tc>
        <w:tc>
          <w:tcPr>
            <w:tcW w:w="400" w:type="pct"/>
            <w:shd w:val="clear" w:color="auto" w:fill="auto"/>
            <w:noWrap/>
            <w:hideMark/>
          </w:tcPr>
          <w:p w14:paraId="6ABF40DC" w14:textId="77777777" w:rsidR="006D61EA" w:rsidRPr="009573DD" w:rsidRDefault="006D61EA" w:rsidP="002F3C17">
            <w:pPr>
              <w:pStyle w:val="ExhibitText"/>
              <w:jc w:val="right"/>
            </w:pPr>
            <w:r w:rsidRPr="009573DD">
              <w:t>2.44</w:t>
            </w:r>
          </w:p>
        </w:tc>
        <w:tc>
          <w:tcPr>
            <w:tcW w:w="290" w:type="pct"/>
            <w:shd w:val="clear" w:color="auto" w:fill="auto"/>
            <w:noWrap/>
            <w:hideMark/>
          </w:tcPr>
          <w:p w14:paraId="46282398" w14:textId="77777777" w:rsidR="006D61EA" w:rsidRPr="009573DD" w:rsidRDefault="006D61EA" w:rsidP="002F3C17">
            <w:pPr>
              <w:pStyle w:val="ExhibitText"/>
              <w:jc w:val="right"/>
            </w:pPr>
            <w:r w:rsidRPr="009573DD">
              <w:t>18.92</w:t>
            </w:r>
          </w:p>
        </w:tc>
        <w:tc>
          <w:tcPr>
            <w:tcW w:w="291" w:type="pct"/>
            <w:shd w:val="clear" w:color="auto" w:fill="auto"/>
            <w:noWrap/>
            <w:hideMark/>
          </w:tcPr>
          <w:p w14:paraId="0CEA58BC" w14:textId="77777777" w:rsidR="006D61EA" w:rsidRPr="009573DD" w:rsidRDefault="006D61EA" w:rsidP="002F3C17">
            <w:pPr>
              <w:pStyle w:val="ExhibitText"/>
              <w:jc w:val="right"/>
            </w:pPr>
            <w:r w:rsidRPr="009573DD">
              <w:t>4.26</w:t>
            </w:r>
          </w:p>
        </w:tc>
        <w:tc>
          <w:tcPr>
            <w:tcW w:w="363" w:type="pct"/>
            <w:shd w:val="clear" w:color="auto" w:fill="auto"/>
            <w:noWrap/>
            <w:hideMark/>
          </w:tcPr>
          <w:p w14:paraId="155AE7F6" w14:textId="42B5F280" w:rsidR="006D61EA" w:rsidRPr="009573DD" w:rsidRDefault="003F3921" w:rsidP="002F3C17">
            <w:pPr>
              <w:pStyle w:val="ExhibitText"/>
              <w:jc w:val="right"/>
            </w:pPr>
            <w:r>
              <w:t>23.81</w:t>
            </w:r>
          </w:p>
        </w:tc>
        <w:tc>
          <w:tcPr>
            <w:tcW w:w="334" w:type="pct"/>
            <w:shd w:val="clear" w:color="auto" w:fill="auto"/>
            <w:noWrap/>
            <w:hideMark/>
          </w:tcPr>
          <w:p w14:paraId="5B817CAA" w14:textId="28C1B44C" w:rsidR="006D61EA" w:rsidRPr="009573DD" w:rsidRDefault="003F3921" w:rsidP="002F3C17">
            <w:pPr>
              <w:pStyle w:val="ExhibitText"/>
              <w:jc w:val="right"/>
            </w:pPr>
            <w:r>
              <w:t>11.87</w:t>
            </w:r>
          </w:p>
        </w:tc>
        <w:tc>
          <w:tcPr>
            <w:tcW w:w="400" w:type="pct"/>
            <w:shd w:val="clear" w:color="auto" w:fill="auto"/>
            <w:noWrap/>
            <w:hideMark/>
          </w:tcPr>
          <w:p w14:paraId="11987DB9" w14:textId="54806403" w:rsidR="006D61EA" w:rsidRPr="009573DD" w:rsidRDefault="003F3921" w:rsidP="002F3C17">
            <w:pPr>
              <w:pStyle w:val="ExhibitText"/>
              <w:jc w:val="right"/>
            </w:pPr>
            <w:r>
              <w:t>67.67</w:t>
            </w:r>
          </w:p>
        </w:tc>
        <w:tc>
          <w:tcPr>
            <w:tcW w:w="327" w:type="pct"/>
            <w:shd w:val="clear" w:color="auto" w:fill="auto"/>
            <w:noWrap/>
            <w:hideMark/>
          </w:tcPr>
          <w:p w14:paraId="221BCE44" w14:textId="77777777" w:rsidR="006D61EA" w:rsidRPr="009573DD" w:rsidRDefault="006D61EA" w:rsidP="002F3C17">
            <w:pPr>
              <w:pStyle w:val="ExhibitText"/>
              <w:jc w:val="right"/>
            </w:pPr>
            <w:r w:rsidRPr="009573DD">
              <w:t>12.56</w:t>
            </w:r>
          </w:p>
        </w:tc>
        <w:tc>
          <w:tcPr>
            <w:tcW w:w="364" w:type="pct"/>
            <w:shd w:val="clear" w:color="auto" w:fill="auto"/>
            <w:noWrap/>
            <w:hideMark/>
          </w:tcPr>
          <w:p w14:paraId="1FC4D90D" w14:textId="77777777" w:rsidR="006D61EA" w:rsidRPr="009573DD" w:rsidRDefault="006D61EA" w:rsidP="002F3C17">
            <w:pPr>
              <w:pStyle w:val="ExhibitText"/>
              <w:jc w:val="right"/>
            </w:pPr>
            <w:r w:rsidRPr="009573DD">
              <w:t>4.34</w:t>
            </w:r>
          </w:p>
        </w:tc>
      </w:tr>
      <w:tr w:rsidR="00FC7297" w:rsidRPr="009573DD" w14:paraId="073FCECE" w14:textId="77777777" w:rsidTr="00F2675C">
        <w:trPr>
          <w:trHeight w:val="360"/>
        </w:trPr>
        <w:tc>
          <w:tcPr>
            <w:tcW w:w="997" w:type="pct"/>
            <w:noWrap/>
            <w:hideMark/>
          </w:tcPr>
          <w:p w14:paraId="4C631BF2" w14:textId="38C16F05" w:rsidR="006D61EA" w:rsidRPr="009573DD" w:rsidRDefault="003F3921" w:rsidP="009A6B9D">
            <w:pPr>
              <w:pStyle w:val="ExhibitText"/>
              <w:jc w:val="left"/>
            </w:pPr>
            <w:r w:rsidRPr="009573DD">
              <w:t>Cisco Systems Inc</w:t>
            </w:r>
          </w:p>
        </w:tc>
        <w:tc>
          <w:tcPr>
            <w:tcW w:w="400" w:type="pct"/>
            <w:noWrap/>
            <w:hideMark/>
          </w:tcPr>
          <w:p w14:paraId="1133E20B" w14:textId="77777777" w:rsidR="006D61EA" w:rsidRPr="009573DD" w:rsidRDefault="006D61EA" w:rsidP="002F3C17">
            <w:pPr>
              <w:pStyle w:val="ExhibitText"/>
              <w:jc w:val="right"/>
            </w:pPr>
            <w:r w:rsidRPr="009573DD">
              <w:t>142.00B</w:t>
            </w:r>
          </w:p>
        </w:tc>
        <w:tc>
          <w:tcPr>
            <w:tcW w:w="437" w:type="pct"/>
            <w:noWrap/>
            <w:hideMark/>
          </w:tcPr>
          <w:p w14:paraId="0E736C48" w14:textId="77777777" w:rsidR="006D61EA" w:rsidRPr="009573DD" w:rsidRDefault="006D61EA" w:rsidP="002F3C17">
            <w:pPr>
              <w:pStyle w:val="ExhibitText"/>
              <w:jc w:val="right"/>
            </w:pPr>
            <w:r w:rsidRPr="009573DD">
              <w:t>47.30B</w:t>
            </w:r>
          </w:p>
        </w:tc>
        <w:tc>
          <w:tcPr>
            <w:tcW w:w="398" w:type="pct"/>
            <w:noWrap/>
            <w:hideMark/>
          </w:tcPr>
          <w:p w14:paraId="7D0DC70A" w14:textId="348793C4" w:rsidR="006D61EA" w:rsidRPr="009573DD" w:rsidRDefault="003F3921" w:rsidP="002F3C17">
            <w:pPr>
              <w:pStyle w:val="ExhibitText"/>
              <w:jc w:val="right"/>
            </w:pPr>
            <w:r>
              <w:t>14.93</w:t>
            </w:r>
          </w:p>
        </w:tc>
        <w:tc>
          <w:tcPr>
            <w:tcW w:w="400" w:type="pct"/>
            <w:noWrap/>
            <w:hideMark/>
          </w:tcPr>
          <w:p w14:paraId="1499D661" w14:textId="77777777" w:rsidR="006D61EA" w:rsidRPr="009573DD" w:rsidRDefault="006D61EA" w:rsidP="002F3C17">
            <w:pPr>
              <w:pStyle w:val="ExhibitText"/>
              <w:jc w:val="right"/>
            </w:pPr>
            <w:r w:rsidRPr="009573DD">
              <w:t>1.49</w:t>
            </w:r>
          </w:p>
        </w:tc>
        <w:tc>
          <w:tcPr>
            <w:tcW w:w="290" w:type="pct"/>
            <w:noWrap/>
            <w:hideMark/>
          </w:tcPr>
          <w:p w14:paraId="6CC1F192" w14:textId="77777777" w:rsidR="006D61EA" w:rsidRPr="009573DD" w:rsidRDefault="006D61EA" w:rsidP="002F3C17">
            <w:pPr>
              <w:pStyle w:val="ExhibitText"/>
              <w:jc w:val="right"/>
            </w:pPr>
            <w:r w:rsidRPr="009573DD">
              <w:t>16.77</w:t>
            </w:r>
          </w:p>
        </w:tc>
        <w:tc>
          <w:tcPr>
            <w:tcW w:w="291" w:type="pct"/>
            <w:noWrap/>
            <w:hideMark/>
          </w:tcPr>
          <w:p w14:paraId="675D5FEE" w14:textId="77777777" w:rsidR="006D61EA" w:rsidRPr="009573DD" w:rsidRDefault="006D61EA" w:rsidP="002F3C17">
            <w:pPr>
              <w:pStyle w:val="ExhibitText"/>
              <w:jc w:val="right"/>
            </w:pPr>
            <w:r w:rsidRPr="009573DD">
              <w:t>2.5</w:t>
            </w:r>
          </w:p>
        </w:tc>
        <w:tc>
          <w:tcPr>
            <w:tcW w:w="363" w:type="pct"/>
            <w:noWrap/>
            <w:hideMark/>
          </w:tcPr>
          <w:p w14:paraId="04360AE7" w14:textId="249737E2" w:rsidR="006D61EA" w:rsidRPr="009573DD" w:rsidRDefault="003F3921" w:rsidP="002F3C17">
            <w:pPr>
              <w:pStyle w:val="ExhibitText"/>
              <w:jc w:val="right"/>
            </w:pPr>
            <w:r>
              <w:t>13.30</w:t>
            </w:r>
          </w:p>
        </w:tc>
        <w:tc>
          <w:tcPr>
            <w:tcW w:w="334" w:type="pct"/>
            <w:noWrap/>
            <w:hideMark/>
          </w:tcPr>
          <w:p w14:paraId="284CE070" w14:textId="4354FA28" w:rsidR="006D61EA" w:rsidRPr="009573DD" w:rsidRDefault="003F3921" w:rsidP="002F3C17">
            <w:pPr>
              <w:pStyle w:val="ExhibitText"/>
              <w:jc w:val="right"/>
            </w:pPr>
            <w:r>
              <w:t>7.51</w:t>
            </w:r>
          </w:p>
        </w:tc>
        <w:tc>
          <w:tcPr>
            <w:tcW w:w="400" w:type="pct"/>
            <w:noWrap/>
            <w:hideMark/>
          </w:tcPr>
          <w:p w14:paraId="284AFC16" w14:textId="2A8F147A" w:rsidR="006D61EA" w:rsidRPr="009573DD" w:rsidRDefault="003F3921" w:rsidP="002F3C17">
            <w:pPr>
              <w:pStyle w:val="ExhibitText"/>
              <w:jc w:val="right"/>
            </w:pPr>
            <w:r>
              <w:t>36.98</w:t>
            </w:r>
          </w:p>
        </w:tc>
        <w:tc>
          <w:tcPr>
            <w:tcW w:w="327" w:type="pct"/>
            <w:noWrap/>
            <w:hideMark/>
          </w:tcPr>
          <w:p w14:paraId="5FB591D6" w14:textId="77777777" w:rsidR="006D61EA" w:rsidRPr="009573DD" w:rsidRDefault="006D61EA" w:rsidP="002F3C17">
            <w:pPr>
              <w:pStyle w:val="ExhibitText"/>
              <w:jc w:val="right"/>
            </w:pPr>
            <w:r w:rsidRPr="009573DD">
              <w:t>16.85</w:t>
            </w:r>
          </w:p>
        </w:tc>
        <w:tc>
          <w:tcPr>
            <w:tcW w:w="364" w:type="pct"/>
            <w:noWrap/>
            <w:hideMark/>
          </w:tcPr>
          <w:p w14:paraId="53A8A146" w14:textId="77777777" w:rsidR="006D61EA" w:rsidRPr="009573DD" w:rsidRDefault="006D61EA" w:rsidP="002F3C17">
            <w:pPr>
              <w:pStyle w:val="ExhibitText"/>
              <w:jc w:val="right"/>
            </w:pPr>
            <w:r w:rsidRPr="009573DD">
              <w:t>3.31</w:t>
            </w:r>
          </w:p>
        </w:tc>
      </w:tr>
      <w:tr w:rsidR="00FC7297" w:rsidRPr="009573DD" w14:paraId="6F65E605"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997" w:type="pct"/>
            <w:shd w:val="clear" w:color="auto" w:fill="auto"/>
            <w:noWrap/>
            <w:hideMark/>
          </w:tcPr>
          <w:p w14:paraId="35ED562E" w14:textId="23521E32" w:rsidR="006D61EA" w:rsidRPr="009573DD" w:rsidRDefault="003F3921" w:rsidP="009A6B9D">
            <w:pPr>
              <w:pStyle w:val="ExhibitText"/>
              <w:jc w:val="left"/>
            </w:pPr>
            <w:r w:rsidRPr="009573DD">
              <w:t>Tencent Holdings Ltd</w:t>
            </w:r>
          </w:p>
        </w:tc>
        <w:tc>
          <w:tcPr>
            <w:tcW w:w="400" w:type="pct"/>
            <w:shd w:val="clear" w:color="auto" w:fill="auto"/>
            <w:noWrap/>
            <w:hideMark/>
          </w:tcPr>
          <w:p w14:paraId="6D0FF607" w14:textId="77777777" w:rsidR="006D61EA" w:rsidRPr="009573DD" w:rsidRDefault="006D61EA" w:rsidP="002F3C17">
            <w:pPr>
              <w:pStyle w:val="ExhibitText"/>
              <w:jc w:val="right"/>
            </w:pPr>
            <w:r w:rsidRPr="009573DD">
              <w:t>139.75B</w:t>
            </w:r>
          </w:p>
        </w:tc>
        <w:tc>
          <w:tcPr>
            <w:tcW w:w="437" w:type="pct"/>
            <w:shd w:val="clear" w:color="auto" w:fill="auto"/>
            <w:noWrap/>
            <w:hideMark/>
          </w:tcPr>
          <w:p w14:paraId="185E6A26" w14:textId="77777777" w:rsidR="006D61EA" w:rsidRPr="009573DD" w:rsidRDefault="006D61EA" w:rsidP="002F3C17">
            <w:pPr>
              <w:pStyle w:val="ExhibitText"/>
              <w:jc w:val="right"/>
            </w:pPr>
            <w:r w:rsidRPr="009573DD">
              <w:t>12.19B</w:t>
            </w:r>
          </w:p>
        </w:tc>
        <w:tc>
          <w:tcPr>
            <w:tcW w:w="398" w:type="pct"/>
            <w:shd w:val="clear" w:color="auto" w:fill="auto"/>
            <w:noWrap/>
            <w:hideMark/>
          </w:tcPr>
          <w:p w14:paraId="791AF42A" w14:textId="2F85870F" w:rsidR="006D61EA" w:rsidRPr="009573DD" w:rsidRDefault="003F3921" w:rsidP="002F3C17">
            <w:pPr>
              <w:pStyle w:val="ExhibitText"/>
              <w:jc w:val="right"/>
            </w:pPr>
            <w:r>
              <w:t>28.56</w:t>
            </w:r>
          </w:p>
        </w:tc>
        <w:tc>
          <w:tcPr>
            <w:tcW w:w="400" w:type="pct"/>
            <w:shd w:val="clear" w:color="auto" w:fill="auto"/>
            <w:noWrap/>
            <w:hideMark/>
          </w:tcPr>
          <w:p w14:paraId="1A15F096" w14:textId="77777777" w:rsidR="006D61EA" w:rsidRPr="009573DD" w:rsidRDefault="006D61EA" w:rsidP="002F3C17">
            <w:pPr>
              <w:pStyle w:val="ExhibitText"/>
              <w:jc w:val="right"/>
            </w:pPr>
            <w:r w:rsidRPr="009573DD">
              <w:t>0.39</w:t>
            </w:r>
          </w:p>
        </w:tc>
        <w:tc>
          <w:tcPr>
            <w:tcW w:w="290" w:type="pct"/>
            <w:shd w:val="clear" w:color="auto" w:fill="auto"/>
            <w:noWrap/>
            <w:hideMark/>
          </w:tcPr>
          <w:p w14:paraId="56BB71BF" w14:textId="77777777" w:rsidR="006D61EA" w:rsidRPr="009573DD" w:rsidRDefault="006D61EA" w:rsidP="002F3C17">
            <w:pPr>
              <w:pStyle w:val="ExhibitText"/>
              <w:jc w:val="right"/>
            </w:pPr>
            <w:r w:rsidRPr="009573DD">
              <w:t>39.19</w:t>
            </w:r>
          </w:p>
        </w:tc>
        <w:tc>
          <w:tcPr>
            <w:tcW w:w="291" w:type="pct"/>
            <w:shd w:val="clear" w:color="auto" w:fill="auto"/>
            <w:noWrap/>
            <w:hideMark/>
          </w:tcPr>
          <w:p w14:paraId="7007A29F" w14:textId="77777777" w:rsidR="006D61EA" w:rsidRPr="009573DD" w:rsidRDefault="006D61EA" w:rsidP="002F3C17">
            <w:pPr>
              <w:pStyle w:val="ExhibitText"/>
              <w:jc w:val="right"/>
            </w:pPr>
            <w:r w:rsidRPr="009573DD">
              <w:t>11.65</w:t>
            </w:r>
          </w:p>
        </w:tc>
        <w:tc>
          <w:tcPr>
            <w:tcW w:w="363" w:type="pct"/>
            <w:shd w:val="clear" w:color="auto" w:fill="auto"/>
            <w:noWrap/>
            <w:hideMark/>
          </w:tcPr>
          <w:p w14:paraId="6FF69FBA" w14:textId="4BF5A527" w:rsidR="006D61EA" w:rsidRPr="009573DD" w:rsidRDefault="003F3921" w:rsidP="002F3C17">
            <w:pPr>
              <w:pStyle w:val="ExhibitText"/>
              <w:jc w:val="right"/>
            </w:pPr>
            <w:r>
              <w:t>34.25</w:t>
            </w:r>
          </w:p>
        </w:tc>
        <w:tc>
          <w:tcPr>
            <w:tcW w:w="334" w:type="pct"/>
            <w:shd w:val="clear" w:color="auto" w:fill="auto"/>
            <w:noWrap/>
            <w:hideMark/>
          </w:tcPr>
          <w:p w14:paraId="635A870C" w14:textId="503E0D0E" w:rsidR="006D61EA" w:rsidRPr="009573DD" w:rsidRDefault="003F3921" w:rsidP="002F3C17">
            <w:pPr>
              <w:pStyle w:val="ExhibitText"/>
              <w:jc w:val="right"/>
            </w:pPr>
            <w:r>
              <w:t>17.12</w:t>
            </w:r>
          </w:p>
        </w:tc>
        <w:tc>
          <w:tcPr>
            <w:tcW w:w="400" w:type="pct"/>
            <w:shd w:val="clear" w:color="auto" w:fill="auto"/>
            <w:noWrap/>
            <w:hideMark/>
          </w:tcPr>
          <w:p w14:paraId="22FBC787" w14:textId="4B23345F" w:rsidR="006D61EA" w:rsidRPr="009573DD" w:rsidRDefault="003F3921" w:rsidP="002F3C17">
            <w:pPr>
              <w:pStyle w:val="ExhibitText"/>
              <w:jc w:val="right"/>
            </w:pPr>
            <w:r>
              <w:t>45.49</w:t>
            </w:r>
          </w:p>
        </w:tc>
        <w:tc>
          <w:tcPr>
            <w:tcW w:w="327" w:type="pct"/>
            <w:shd w:val="clear" w:color="auto" w:fill="auto"/>
            <w:noWrap/>
            <w:hideMark/>
          </w:tcPr>
          <w:p w14:paraId="30225CA9" w14:textId="77777777" w:rsidR="006D61EA" w:rsidRPr="009573DD" w:rsidRDefault="006D61EA" w:rsidP="002F3C17">
            <w:pPr>
              <w:pStyle w:val="ExhibitText"/>
              <w:jc w:val="right"/>
            </w:pPr>
            <w:r w:rsidRPr="009573DD">
              <w:t>22.14</w:t>
            </w:r>
          </w:p>
        </w:tc>
        <w:tc>
          <w:tcPr>
            <w:tcW w:w="364" w:type="pct"/>
            <w:shd w:val="clear" w:color="auto" w:fill="auto"/>
            <w:noWrap/>
            <w:hideMark/>
          </w:tcPr>
          <w:p w14:paraId="31499856" w14:textId="77777777" w:rsidR="006D61EA" w:rsidRPr="009573DD" w:rsidRDefault="006D61EA" w:rsidP="002F3C17">
            <w:pPr>
              <w:pStyle w:val="ExhibitText"/>
              <w:jc w:val="right"/>
            </w:pPr>
            <w:r w:rsidRPr="009573DD">
              <w:t>1.59</w:t>
            </w:r>
          </w:p>
        </w:tc>
      </w:tr>
      <w:tr w:rsidR="00FC7297" w:rsidRPr="009573DD" w14:paraId="3C831048" w14:textId="77777777" w:rsidTr="00F2675C">
        <w:trPr>
          <w:trHeight w:val="360"/>
        </w:trPr>
        <w:tc>
          <w:tcPr>
            <w:tcW w:w="997" w:type="pct"/>
            <w:noWrap/>
            <w:hideMark/>
          </w:tcPr>
          <w:p w14:paraId="3336324C" w14:textId="3AD819BB" w:rsidR="006D61EA" w:rsidRPr="009573DD" w:rsidRDefault="003F3921" w:rsidP="009A6B9D">
            <w:pPr>
              <w:pStyle w:val="ExhibitText"/>
              <w:jc w:val="left"/>
            </w:pPr>
            <w:r>
              <w:t>Amazon.c</w:t>
            </w:r>
            <w:r w:rsidRPr="009573DD">
              <w:t>om Inc</w:t>
            </w:r>
          </w:p>
        </w:tc>
        <w:tc>
          <w:tcPr>
            <w:tcW w:w="400" w:type="pct"/>
            <w:noWrap/>
            <w:hideMark/>
          </w:tcPr>
          <w:p w14:paraId="4134576A" w14:textId="77777777" w:rsidR="006D61EA" w:rsidRPr="009573DD" w:rsidRDefault="006D61EA" w:rsidP="002F3C17">
            <w:pPr>
              <w:pStyle w:val="ExhibitText"/>
              <w:jc w:val="right"/>
            </w:pPr>
            <w:r w:rsidRPr="009573DD">
              <w:t>137.85B</w:t>
            </w:r>
          </w:p>
        </w:tc>
        <w:tc>
          <w:tcPr>
            <w:tcW w:w="437" w:type="pct"/>
            <w:noWrap/>
            <w:hideMark/>
          </w:tcPr>
          <w:p w14:paraId="100A5421" w14:textId="77777777" w:rsidR="006D61EA" w:rsidRPr="009573DD" w:rsidRDefault="006D61EA" w:rsidP="002F3C17">
            <w:pPr>
              <w:pStyle w:val="ExhibitText"/>
              <w:jc w:val="right"/>
            </w:pPr>
            <w:r w:rsidRPr="009573DD">
              <w:t>85.25B</w:t>
            </w:r>
          </w:p>
        </w:tc>
        <w:tc>
          <w:tcPr>
            <w:tcW w:w="398" w:type="pct"/>
            <w:noWrap/>
            <w:hideMark/>
          </w:tcPr>
          <w:p w14:paraId="774A2890" w14:textId="12F98D65" w:rsidR="006D61EA" w:rsidRPr="009573DD" w:rsidRDefault="003F3921" w:rsidP="002F3C17">
            <w:pPr>
              <w:pStyle w:val="ExhibitText"/>
              <w:jc w:val="right"/>
            </w:pPr>
            <w:r>
              <w:t>−2.12</w:t>
            </w:r>
          </w:p>
        </w:tc>
        <w:tc>
          <w:tcPr>
            <w:tcW w:w="400" w:type="pct"/>
            <w:noWrap/>
            <w:hideMark/>
          </w:tcPr>
          <w:p w14:paraId="73030D74" w14:textId="1D03BE08" w:rsidR="006D61EA" w:rsidRPr="009573DD" w:rsidRDefault="003F3921" w:rsidP="002F3C17">
            <w:pPr>
              <w:pStyle w:val="ExhibitText"/>
              <w:jc w:val="right"/>
            </w:pPr>
            <w:r>
              <w:t>−</w:t>
            </w:r>
            <w:r w:rsidR="006D61EA" w:rsidRPr="009573DD">
              <w:t>0.47</w:t>
            </w:r>
          </w:p>
        </w:tc>
        <w:tc>
          <w:tcPr>
            <w:tcW w:w="290" w:type="pct"/>
            <w:noWrap/>
            <w:hideMark/>
          </w:tcPr>
          <w:p w14:paraId="5727FFC5" w14:textId="77777777" w:rsidR="006D61EA" w:rsidRPr="009573DD" w:rsidRDefault="006D61EA" w:rsidP="002F3C17">
            <w:pPr>
              <w:pStyle w:val="ExhibitText"/>
              <w:jc w:val="right"/>
            </w:pPr>
            <w:r w:rsidRPr="009573DD">
              <w:t>--</w:t>
            </w:r>
          </w:p>
        </w:tc>
        <w:tc>
          <w:tcPr>
            <w:tcW w:w="291" w:type="pct"/>
            <w:noWrap/>
            <w:hideMark/>
          </w:tcPr>
          <w:p w14:paraId="348C004F" w14:textId="77777777" w:rsidR="006D61EA" w:rsidRPr="009573DD" w:rsidRDefault="006D61EA" w:rsidP="002F3C17">
            <w:pPr>
              <w:pStyle w:val="ExhibitText"/>
              <w:jc w:val="right"/>
            </w:pPr>
            <w:r w:rsidRPr="009573DD">
              <w:t>13.34</w:t>
            </w:r>
          </w:p>
        </w:tc>
        <w:tc>
          <w:tcPr>
            <w:tcW w:w="363" w:type="pct"/>
            <w:noWrap/>
            <w:hideMark/>
          </w:tcPr>
          <w:p w14:paraId="79F4A512" w14:textId="3080B8E9" w:rsidR="006D61EA" w:rsidRPr="009573DD" w:rsidRDefault="003F3921" w:rsidP="002F3C17">
            <w:pPr>
              <w:pStyle w:val="ExhibitText"/>
              <w:jc w:val="right"/>
            </w:pPr>
            <w:r>
              <w:t>−2.22</w:t>
            </w:r>
          </w:p>
        </w:tc>
        <w:tc>
          <w:tcPr>
            <w:tcW w:w="334" w:type="pct"/>
            <w:noWrap/>
            <w:hideMark/>
          </w:tcPr>
          <w:p w14:paraId="396DA398" w14:textId="6792AD6A" w:rsidR="006D61EA" w:rsidRPr="009573DD" w:rsidRDefault="003F3921" w:rsidP="002F3C17">
            <w:pPr>
              <w:pStyle w:val="ExhibitText"/>
              <w:jc w:val="right"/>
            </w:pPr>
            <w:r>
              <w:t>−0.60</w:t>
            </w:r>
          </w:p>
        </w:tc>
        <w:tc>
          <w:tcPr>
            <w:tcW w:w="400" w:type="pct"/>
            <w:noWrap/>
            <w:hideMark/>
          </w:tcPr>
          <w:p w14:paraId="3E29C207" w14:textId="2696B50B" w:rsidR="006D61EA" w:rsidRPr="009573DD" w:rsidRDefault="003F3921" w:rsidP="002F3C17">
            <w:pPr>
              <w:pStyle w:val="ExhibitText"/>
              <w:jc w:val="right"/>
            </w:pPr>
            <w:r>
              <w:t>29.98</w:t>
            </w:r>
          </w:p>
        </w:tc>
        <w:tc>
          <w:tcPr>
            <w:tcW w:w="327" w:type="pct"/>
            <w:noWrap/>
            <w:hideMark/>
          </w:tcPr>
          <w:p w14:paraId="63056F24" w14:textId="2C188161" w:rsidR="006D61EA" w:rsidRPr="009573DD" w:rsidRDefault="003F3921" w:rsidP="002F3C17">
            <w:pPr>
              <w:pStyle w:val="ExhibitText"/>
              <w:jc w:val="right"/>
            </w:pPr>
            <w:r>
              <w:t>−</w:t>
            </w:r>
            <w:r w:rsidR="006D61EA" w:rsidRPr="009573DD">
              <w:t>11.1</w:t>
            </w:r>
          </w:p>
        </w:tc>
        <w:tc>
          <w:tcPr>
            <w:tcW w:w="364" w:type="pct"/>
            <w:noWrap/>
            <w:hideMark/>
          </w:tcPr>
          <w:p w14:paraId="6285A7CB" w14:textId="77777777" w:rsidR="006D61EA" w:rsidRPr="009573DD" w:rsidRDefault="006D61EA" w:rsidP="002F3C17">
            <w:pPr>
              <w:pStyle w:val="ExhibitText"/>
              <w:jc w:val="right"/>
            </w:pPr>
            <w:r w:rsidRPr="009573DD">
              <w:t>0.89</w:t>
            </w:r>
          </w:p>
        </w:tc>
      </w:tr>
      <w:tr w:rsidR="00FC7297" w:rsidRPr="009573DD" w14:paraId="5C552938"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997" w:type="pct"/>
            <w:shd w:val="clear" w:color="auto" w:fill="auto"/>
            <w:noWrap/>
            <w:hideMark/>
          </w:tcPr>
          <w:p w14:paraId="0B146576" w14:textId="3E91AE44" w:rsidR="006D61EA" w:rsidRPr="009573DD" w:rsidRDefault="003F3921" w:rsidP="009A6B9D">
            <w:pPr>
              <w:pStyle w:val="ExhibitText"/>
              <w:jc w:val="left"/>
            </w:pPr>
            <w:r w:rsidRPr="009573DD">
              <w:t>Baidu Inc</w:t>
            </w:r>
          </w:p>
        </w:tc>
        <w:tc>
          <w:tcPr>
            <w:tcW w:w="400" w:type="pct"/>
            <w:shd w:val="clear" w:color="auto" w:fill="auto"/>
            <w:noWrap/>
            <w:hideMark/>
          </w:tcPr>
          <w:p w14:paraId="28852866" w14:textId="77777777" w:rsidR="006D61EA" w:rsidRPr="009573DD" w:rsidRDefault="006D61EA" w:rsidP="002F3C17">
            <w:pPr>
              <w:pStyle w:val="ExhibitText"/>
              <w:jc w:val="right"/>
            </w:pPr>
            <w:r w:rsidRPr="009573DD">
              <w:t>81.30B</w:t>
            </w:r>
          </w:p>
        </w:tc>
        <w:tc>
          <w:tcPr>
            <w:tcW w:w="437" w:type="pct"/>
            <w:shd w:val="clear" w:color="auto" w:fill="auto"/>
            <w:noWrap/>
            <w:hideMark/>
          </w:tcPr>
          <w:p w14:paraId="176BA44E" w14:textId="77777777" w:rsidR="006D61EA" w:rsidRPr="009573DD" w:rsidRDefault="006D61EA" w:rsidP="002F3C17">
            <w:pPr>
              <w:pStyle w:val="ExhibitText"/>
              <w:jc w:val="right"/>
            </w:pPr>
            <w:r w:rsidRPr="009573DD">
              <w:t>7.24B</w:t>
            </w:r>
          </w:p>
        </w:tc>
        <w:tc>
          <w:tcPr>
            <w:tcW w:w="398" w:type="pct"/>
            <w:shd w:val="clear" w:color="auto" w:fill="auto"/>
            <w:noWrap/>
            <w:hideMark/>
          </w:tcPr>
          <w:p w14:paraId="178AF03F" w14:textId="5A30639D" w:rsidR="006D61EA" w:rsidRPr="009573DD" w:rsidRDefault="003F3921" w:rsidP="002F3C17">
            <w:pPr>
              <w:pStyle w:val="ExhibitText"/>
              <w:jc w:val="right"/>
            </w:pPr>
            <w:r>
              <w:t>28.67</w:t>
            </w:r>
          </w:p>
        </w:tc>
        <w:tc>
          <w:tcPr>
            <w:tcW w:w="400" w:type="pct"/>
            <w:shd w:val="clear" w:color="auto" w:fill="auto"/>
            <w:noWrap/>
            <w:hideMark/>
          </w:tcPr>
          <w:p w14:paraId="482F654C" w14:textId="77777777" w:rsidR="006D61EA" w:rsidRPr="009573DD" w:rsidRDefault="006D61EA" w:rsidP="002F3C17">
            <w:pPr>
              <w:pStyle w:val="ExhibitText"/>
              <w:jc w:val="right"/>
            </w:pPr>
            <w:r w:rsidRPr="009573DD">
              <w:t>5.91</w:t>
            </w:r>
          </w:p>
        </w:tc>
        <w:tc>
          <w:tcPr>
            <w:tcW w:w="290" w:type="pct"/>
            <w:shd w:val="clear" w:color="auto" w:fill="auto"/>
            <w:noWrap/>
            <w:hideMark/>
          </w:tcPr>
          <w:p w14:paraId="5D4DE83A" w14:textId="77777777" w:rsidR="006D61EA" w:rsidRPr="009573DD" w:rsidRDefault="006D61EA" w:rsidP="002F3C17">
            <w:pPr>
              <w:pStyle w:val="ExhibitText"/>
              <w:jc w:val="right"/>
            </w:pPr>
            <w:r w:rsidRPr="009573DD">
              <w:t>39.88</w:t>
            </w:r>
          </w:p>
        </w:tc>
        <w:tc>
          <w:tcPr>
            <w:tcW w:w="291" w:type="pct"/>
            <w:shd w:val="clear" w:color="auto" w:fill="auto"/>
            <w:noWrap/>
            <w:hideMark/>
          </w:tcPr>
          <w:p w14:paraId="10D2EE30" w14:textId="77777777" w:rsidR="006D61EA" w:rsidRPr="009573DD" w:rsidRDefault="006D61EA" w:rsidP="002F3C17">
            <w:pPr>
              <w:pStyle w:val="ExhibitText"/>
              <w:jc w:val="right"/>
            </w:pPr>
            <w:r w:rsidRPr="009573DD">
              <w:t>10.45</w:t>
            </w:r>
          </w:p>
        </w:tc>
        <w:tc>
          <w:tcPr>
            <w:tcW w:w="363" w:type="pct"/>
            <w:shd w:val="clear" w:color="auto" w:fill="auto"/>
            <w:noWrap/>
            <w:hideMark/>
          </w:tcPr>
          <w:p w14:paraId="0708573F" w14:textId="268DE84B" w:rsidR="006D61EA" w:rsidRPr="009573DD" w:rsidRDefault="003F3921" w:rsidP="002F3C17">
            <w:pPr>
              <w:pStyle w:val="ExhibitText"/>
              <w:jc w:val="right"/>
            </w:pPr>
            <w:r>
              <w:t>30.50</w:t>
            </w:r>
          </w:p>
        </w:tc>
        <w:tc>
          <w:tcPr>
            <w:tcW w:w="334" w:type="pct"/>
            <w:shd w:val="clear" w:color="auto" w:fill="auto"/>
            <w:noWrap/>
            <w:hideMark/>
          </w:tcPr>
          <w:p w14:paraId="6607BB04" w14:textId="2456529A" w:rsidR="006D61EA" w:rsidRPr="009573DD" w:rsidRDefault="003F3921" w:rsidP="002F3C17">
            <w:pPr>
              <w:pStyle w:val="ExhibitText"/>
              <w:jc w:val="right"/>
            </w:pPr>
            <w:r>
              <w:t>16.42</w:t>
            </w:r>
          </w:p>
        </w:tc>
        <w:tc>
          <w:tcPr>
            <w:tcW w:w="400" w:type="pct"/>
            <w:shd w:val="clear" w:color="auto" w:fill="auto"/>
            <w:noWrap/>
            <w:hideMark/>
          </w:tcPr>
          <w:p w14:paraId="519E6BF5" w14:textId="23E86C92" w:rsidR="006D61EA" w:rsidRPr="009573DD" w:rsidRDefault="003F3921" w:rsidP="002F3C17">
            <w:pPr>
              <w:pStyle w:val="ExhibitText"/>
              <w:jc w:val="right"/>
            </w:pPr>
            <w:r>
              <w:t>48.40</w:t>
            </w:r>
          </w:p>
        </w:tc>
        <w:tc>
          <w:tcPr>
            <w:tcW w:w="327" w:type="pct"/>
            <w:shd w:val="clear" w:color="auto" w:fill="auto"/>
            <w:noWrap/>
            <w:hideMark/>
          </w:tcPr>
          <w:p w14:paraId="45A0783C" w14:textId="77777777" w:rsidR="006D61EA" w:rsidRPr="009573DD" w:rsidRDefault="006D61EA" w:rsidP="002F3C17">
            <w:pPr>
              <w:pStyle w:val="ExhibitText"/>
              <w:jc w:val="right"/>
            </w:pPr>
            <w:r w:rsidRPr="009573DD">
              <w:t>22.12</w:t>
            </w:r>
          </w:p>
        </w:tc>
        <w:tc>
          <w:tcPr>
            <w:tcW w:w="364" w:type="pct"/>
            <w:shd w:val="clear" w:color="auto" w:fill="auto"/>
            <w:noWrap/>
            <w:hideMark/>
          </w:tcPr>
          <w:p w14:paraId="383174A8" w14:textId="77777777" w:rsidR="006D61EA" w:rsidRPr="009573DD" w:rsidRDefault="006D61EA" w:rsidP="002F3C17">
            <w:pPr>
              <w:pStyle w:val="ExhibitText"/>
              <w:jc w:val="right"/>
            </w:pPr>
            <w:r w:rsidRPr="009573DD">
              <w:t>3.25</w:t>
            </w:r>
          </w:p>
        </w:tc>
      </w:tr>
      <w:tr w:rsidR="00FC7297" w:rsidRPr="009573DD" w14:paraId="3DAE1C47" w14:textId="77777777" w:rsidTr="00F2675C">
        <w:trPr>
          <w:trHeight w:val="360"/>
        </w:trPr>
        <w:tc>
          <w:tcPr>
            <w:tcW w:w="997" w:type="pct"/>
            <w:noWrap/>
            <w:hideMark/>
          </w:tcPr>
          <w:p w14:paraId="4A1B4187" w14:textId="5C86752B" w:rsidR="006D61EA" w:rsidRPr="009573DD" w:rsidRDefault="003F3921" w:rsidP="009A6B9D">
            <w:pPr>
              <w:pStyle w:val="ExhibitText"/>
              <w:jc w:val="left"/>
            </w:pPr>
            <w:proofErr w:type="spellStart"/>
            <w:r w:rsidRPr="009573DD">
              <w:t>Ebay</w:t>
            </w:r>
            <w:proofErr w:type="spellEnd"/>
            <w:r w:rsidRPr="009573DD">
              <w:t xml:space="preserve"> Inc</w:t>
            </w:r>
          </w:p>
        </w:tc>
        <w:tc>
          <w:tcPr>
            <w:tcW w:w="400" w:type="pct"/>
            <w:noWrap/>
            <w:hideMark/>
          </w:tcPr>
          <w:p w14:paraId="12ADBF5F" w14:textId="77777777" w:rsidR="006D61EA" w:rsidRPr="009573DD" w:rsidRDefault="006D61EA" w:rsidP="002F3C17">
            <w:pPr>
              <w:pStyle w:val="ExhibitText"/>
              <w:jc w:val="right"/>
            </w:pPr>
            <w:r w:rsidRPr="009573DD">
              <w:t>71.47B</w:t>
            </w:r>
          </w:p>
        </w:tc>
        <w:tc>
          <w:tcPr>
            <w:tcW w:w="437" w:type="pct"/>
            <w:noWrap/>
            <w:hideMark/>
          </w:tcPr>
          <w:p w14:paraId="2E93657F" w14:textId="77777777" w:rsidR="006D61EA" w:rsidRPr="009573DD" w:rsidRDefault="006D61EA" w:rsidP="002F3C17">
            <w:pPr>
              <w:pStyle w:val="ExhibitText"/>
              <w:jc w:val="right"/>
            </w:pPr>
            <w:r w:rsidRPr="009573DD">
              <w:t>17.51B</w:t>
            </w:r>
          </w:p>
        </w:tc>
        <w:tc>
          <w:tcPr>
            <w:tcW w:w="398" w:type="pct"/>
            <w:noWrap/>
            <w:hideMark/>
          </w:tcPr>
          <w:p w14:paraId="67A985A3" w14:textId="0167CE4C" w:rsidR="006D61EA" w:rsidRPr="009573DD" w:rsidRDefault="003F3921" w:rsidP="002F3C17">
            <w:pPr>
              <w:pStyle w:val="ExhibitText"/>
              <w:jc w:val="right"/>
            </w:pPr>
            <w:r>
              <w:t>15.46</w:t>
            </w:r>
          </w:p>
        </w:tc>
        <w:tc>
          <w:tcPr>
            <w:tcW w:w="400" w:type="pct"/>
            <w:noWrap/>
            <w:hideMark/>
          </w:tcPr>
          <w:p w14:paraId="6D78A982" w14:textId="73E55B9D" w:rsidR="006D61EA" w:rsidRPr="009573DD" w:rsidRDefault="003F3921" w:rsidP="002F3C17">
            <w:pPr>
              <w:pStyle w:val="ExhibitText"/>
              <w:jc w:val="right"/>
            </w:pPr>
            <w:r>
              <w:t>−</w:t>
            </w:r>
            <w:r w:rsidR="006D61EA" w:rsidRPr="009573DD">
              <w:t>0.08</w:t>
            </w:r>
          </w:p>
        </w:tc>
        <w:tc>
          <w:tcPr>
            <w:tcW w:w="290" w:type="pct"/>
            <w:noWrap/>
            <w:hideMark/>
          </w:tcPr>
          <w:p w14:paraId="490BE4A0" w14:textId="77777777" w:rsidR="006D61EA" w:rsidRPr="009573DD" w:rsidRDefault="006D61EA" w:rsidP="002F3C17">
            <w:pPr>
              <w:pStyle w:val="ExhibitText"/>
              <w:jc w:val="right"/>
            </w:pPr>
            <w:r w:rsidRPr="009573DD">
              <w:t>--</w:t>
            </w:r>
          </w:p>
        </w:tc>
        <w:tc>
          <w:tcPr>
            <w:tcW w:w="291" w:type="pct"/>
            <w:noWrap/>
            <w:hideMark/>
          </w:tcPr>
          <w:p w14:paraId="684EA677" w14:textId="77777777" w:rsidR="006D61EA" w:rsidRPr="009573DD" w:rsidRDefault="006D61EA" w:rsidP="002F3C17">
            <w:pPr>
              <w:pStyle w:val="ExhibitText"/>
              <w:jc w:val="right"/>
            </w:pPr>
            <w:r w:rsidRPr="009573DD">
              <w:t>3.61</w:t>
            </w:r>
          </w:p>
        </w:tc>
        <w:tc>
          <w:tcPr>
            <w:tcW w:w="363" w:type="pct"/>
            <w:noWrap/>
            <w:hideMark/>
          </w:tcPr>
          <w:p w14:paraId="2C5502FE" w14:textId="057C0A82" w:rsidR="006D61EA" w:rsidRPr="009573DD" w:rsidRDefault="003F3921" w:rsidP="002F3C17">
            <w:pPr>
              <w:pStyle w:val="ExhibitText"/>
              <w:jc w:val="right"/>
            </w:pPr>
            <w:r>
              <w:t>−0.60</w:t>
            </w:r>
          </w:p>
        </w:tc>
        <w:tc>
          <w:tcPr>
            <w:tcW w:w="334" w:type="pct"/>
            <w:noWrap/>
            <w:hideMark/>
          </w:tcPr>
          <w:p w14:paraId="546082FE" w14:textId="03294F39" w:rsidR="006D61EA" w:rsidRPr="009573DD" w:rsidRDefault="003F3921" w:rsidP="002F3C17">
            <w:pPr>
              <w:pStyle w:val="ExhibitText"/>
              <w:jc w:val="right"/>
            </w:pPr>
            <w:r>
              <w:t>−0.30</w:t>
            </w:r>
          </w:p>
        </w:tc>
        <w:tc>
          <w:tcPr>
            <w:tcW w:w="400" w:type="pct"/>
            <w:noWrap/>
            <w:hideMark/>
          </w:tcPr>
          <w:p w14:paraId="158E375F" w14:textId="67ADB971" w:rsidR="006D61EA" w:rsidRPr="009573DD" w:rsidRDefault="003F3921" w:rsidP="002F3C17">
            <w:pPr>
              <w:pStyle w:val="ExhibitText"/>
              <w:jc w:val="right"/>
            </w:pPr>
            <w:r>
              <w:t>38.34</w:t>
            </w:r>
          </w:p>
        </w:tc>
        <w:tc>
          <w:tcPr>
            <w:tcW w:w="327" w:type="pct"/>
            <w:noWrap/>
            <w:hideMark/>
          </w:tcPr>
          <w:p w14:paraId="0BEEFCF9" w14:textId="77777777" w:rsidR="006D61EA" w:rsidRPr="009573DD" w:rsidRDefault="006D61EA" w:rsidP="002F3C17">
            <w:pPr>
              <w:pStyle w:val="ExhibitText"/>
              <w:jc w:val="right"/>
            </w:pPr>
            <w:r w:rsidRPr="009573DD">
              <w:t>--</w:t>
            </w:r>
          </w:p>
        </w:tc>
        <w:tc>
          <w:tcPr>
            <w:tcW w:w="364" w:type="pct"/>
            <w:noWrap/>
            <w:hideMark/>
          </w:tcPr>
          <w:p w14:paraId="6A6B9E8B" w14:textId="77777777" w:rsidR="006D61EA" w:rsidRPr="009573DD" w:rsidRDefault="006D61EA" w:rsidP="002F3C17">
            <w:pPr>
              <w:pStyle w:val="ExhibitText"/>
              <w:jc w:val="right"/>
            </w:pPr>
            <w:r w:rsidRPr="009573DD">
              <w:t>1.56</w:t>
            </w:r>
          </w:p>
        </w:tc>
      </w:tr>
      <w:tr w:rsidR="00FC7297" w:rsidRPr="009573DD" w14:paraId="4CA2E440" w14:textId="77777777" w:rsidTr="00F2675C">
        <w:trPr>
          <w:cnfStyle w:val="000000010000" w:firstRow="0" w:lastRow="0" w:firstColumn="0" w:lastColumn="0" w:oddVBand="0" w:evenVBand="0" w:oddHBand="0" w:evenHBand="1" w:firstRowFirstColumn="0" w:firstRowLastColumn="0" w:lastRowFirstColumn="0" w:lastRowLastColumn="0"/>
          <w:trHeight w:val="360"/>
        </w:trPr>
        <w:tc>
          <w:tcPr>
            <w:tcW w:w="997" w:type="pct"/>
            <w:tcBorders>
              <w:bottom w:val="single" w:sz="4" w:space="0" w:color="auto"/>
            </w:tcBorders>
            <w:shd w:val="clear" w:color="auto" w:fill="auto"/>
            <w:noWrap/>
            <w:hideMark/>
          </w:tcPr>
          <w:p w14:paraId="5B7FAB34" w14:textId="616D7BC7" w:rsidR="006D61EA" w:rsidRPr="009573DD" w:rsidRDefault="003F3921" w:rsidP="009A6B9D">
            <w:pPr>
              <w:pStyle w:val="ExhibitText"/>
              <w:jc w:val="left"/>
            </w:pPr>
            <w:r>
              <w:t>Jd.c</w:t>
            </w:r>
            <w:r w:rsidRPr="009573DD">
              <w:t>om Inc</w:t>
            </w:r>
          </w:p>
        </w:tc>
        <w:tc>
          <w:tcPr>
            <w:tcW w:w="400" w:type="pct"/>
            <w:tcBorders>
              <w:bottom w:val="single" w:sz="4" w:space="0" w:color="auto"/>
            </w:tcBorders>
            <w:shd w:val="clear" w:color="auto" w:fill="auto"/>
            <w:noWrap/>
            <w:hideMark/>
          </w:tcPr>
          <w:p w14:paraId="4BD7DACF" w14:textId="77777777" w:rsidR="006D61EA" w:rsidRPr="009573DD" w:rsidRDefault="006D61EA" w:rsidP="002F3C17">
            <w:pPr>
              <w:pStyle w:val="ExhibitText"/>
              <w:jc w:val="right"/>
            </w:pPr>
            <w:r w:rsidRPr="009573DD">
              <w:t>33.54B</w:t>
            </w:r>
          </w:p>
        </w:tc>
        <w:tc>
          <w:tcPr>
            <w:tcW w:w="437" w:type="pct"/>
            <w:tcBorders>
              <w:bottom w:val="single" w:sz="4" w:space="0" w:color="auto"/>
            </w:tcBorders>
            <w:shd w:val="clear" w:color="auto" w:fill="auto"/>
            <w:noWrap/>
            <w:hideMark/>
          </w:tcPr>
          <w:p w14:paraId="32F206C6" w14:textId="77777777" w:rsidR="006D61EA" w:rsidRPr="009573DD" w:rsidRDefault="006D61EA" w:rsidP="002F3C17">
            <w:pPr>
              <w:pStyle w:val="ExhibitText"/>
              <w:jc w:val="right"/>
            </w:pPr>
            <w:r w:rsidRPr="009573DD">
              <w:t>--</w:t>
            </w:r>
          </w:p>
        </w:tc>
        <w:tc>
          <w:tcPr>
            <w:tcW w:w="398" w:type="pct"/>
            <w:tcBorders>
              <w:bottom w:val="single" w:sz="4" w:space="0" w:color="auto"/>
            </w:tcBorders>
            <w:shd w:val="clear" w:color="auto" w:fill="auto"/>
            <w:noWrap/>
            <w:hideMark/>
          </w:tcPr>
          <w:p w14:paraId="09FAB007" w14:textId="5A08D797" w:rsidR="006D61EA" w:rsidRPr="009573DD" w:rsidRDefault="003F3921" w:rsidP="002F3C17">
            <w:pPr>
              <w:pStyle w:val="ExhibitText"/>
              <w:jc w:val="right"/>
            </w:pPr>
            <w:r>
              <w:t>−0.57</w:t>
            </w:r>
          </w:p>
        </w:tc>
        <w:tc>
          <w:tcPr>
            <w:tcW w:w="400" w:type="pct"/>
            <w:tcBorders>
              <w:bottom w:val="single" w:sz="4" w:space="0" w:color="auto"/>
            </w:tcBorders>
            <w:shd w:val="clear" w:color="auto" w:fill="auto"/>
            <w:noWrap/>
            <w:hideMark/>
          </w:tcPr>
          <w:p w14:paraId="713FA4B4" w14:textId="77777777" w:rsidR="006D61EA" w:rsidRPr="009573DD" w:rsidRDefault="006D61EA" w:rsidP="002F3C17">
            <w:pPr>
              <w:pStyle w:val="ExhibitText"/>
              <w:jc w:val="right"/>
            </w:pPr>
            <w:r w:rsidRPr="009573DD">
              <w:t>--</w:t>
            </w:r>
          </w:p>
        </w:tc>
        <w:tc>
          <w:tcPr>
            <w:tcW w:w="290" w:type="pct"/>
            <w:tcBorders>
              <w:bottom w:val="single" w:sz="4" w:space="0" w:color="auto"/>
            </w:tcBorders>
            <w:shd w:val="clear" w:color="auto" w:fill="auto"/>
            <w:noWrap/>
            <w:hideMark/>
          </w:tcPr>
          <w:p w14:paraId="319E7505" w14:textId="77777777" w:rsidR="006D61EA" w:rsidRPr="009573DD" w:rsidRDefault="006D61EA" w:rsidP="002F3C17">
            <w:pPr>
              <w:pStyle w:val="ExhibitText"/>
              <w:jc w:val="right"/>
            </w:pPr>
            <w:r w:rsidRPr="009573DD">
              <w:t>--</w:t>
            </w:r>
          </w:p>
        </w:tc>
        <w:tc>
          <w:tcPr>
            <w:tcW w:w="291" w:type="pct"/>
            <w:tcBorders>
              <w:bottom w:val="single" w:sz="4" w:space="0" w:color="auto"/>
            </w:tcBorders>
            <w:shd w:val="clear" w:color="auto" w:fill="auto"/>
            <w:noWrap/>
            <w:hideMark/>
          </w:tcPr>
          <w:p w14:paraId="26FBFC63" w14:textId="77777777" w:rsidR="006D61EA" w:rsidRPr="009573DD" w:rsidRDefault="006D61EA" w:rsidP="002F3C17">
            <w:pPr>
              <w:pStyle w:val="ExhibitText"/>
              <w:jc w:val="right"/>
            </w:pPr>
            <w:r w:rsidRPr="009573DD">
              <w:t>5.44</w:t>
            </w:r>
          </w:p>
        </w:tc>
        <w:tc>
          <w:tcPr>
            <w:tcW w:w="363" w:type="pct"/>
            <w:tcBorders>
              <w:bottom w:val="single" w:sz="4" w:space="0" w:color="auto"/>
            </w:tcBorders>
            <w:shd w:val="clear" w:color="auto" w:fill="auto"/>
            <w:noWrap/>
            <w:hideMark/>
          </w:tcPr>
          <w:p w14:paraId="2C0E24F4" w14:textId="4270A2B9" w:rsidR="003F3921" w:rsidRPr="009573DD" w:rsidRDefault="006D61EA" w:rsidP="003F3921">
            <w:pPr>
              <w:pStyle w:val="ExhibitText"/>
              <w:jc w:val="right"/>
            </w:pPr>
            <w:r w:rsidRPr="009573DD">
              <w:t>--</w:t>
            </w:r>
          </w:p>
        </w:tc>
        <w:tc>
          <w:tcPr>
            <w:tcW w:w="334" w:type="pct"/>
            <w:tcBorders>
              <w:bottom w:val="single" w:sz="4" w:space="0" w:color="auto"/>
            </w:tcBorders>
            <w:shd w:val="clear" w:color="auto" w:fill="auto"/>
            <w:noWrap/>
            <w:hideMark/>
          </w:tcPr>
          <w:p w14:paraId="35AC66F4" w14:textId="77777777" w:rsidR="006D61EA" w:rsidRPr="009573DD" w:rsidRDefault="006D61EA" w:rsidP="002F3C17">
            <w:pPr>
              <w:pStyle w:val="ExhibitText"/>
              <w:jc w:val="right"/>
            </w:pPr>
            <w:r w:rsidRPr="009573DD">
              <w:t>--</w:t>
            </w:r>
          </w:p>
        </w:tc>
        <w:tc>
          <w:tcPr>
            <w:tcW w:w="400" w:type="pct"/>
            <w:tcBorders>
              <w:bottom w:val="single" w:sz="4" w:space="0" w:color="auto"/>
            </w:tcBorders>
            <w:shd w:val="clear" w:color="auto" w:fill="auto"/>
            <w:noWrap/>
            <w:hideMark/>
          </w:tcPr>
          <w:p w14:paraId="31F66EF7" w14:textId="0195DEB6" w:rsidR="006D61EA" w:rsidRPr="009573DD" w:rsidRDefault="003F3921" w:rsidP="002F3C17">
            <w:pPr>
              <w:pStyle w:val="ExhibitText"/>
              <w:jc w:val="right"/>
            </w:pPr>
            <w:r>
              <w:t>7.51</w:t>
            </w:r>
          </w:p>
        </w:tc>
        <w:tc>
          <w:tcPr>
            <w:tcW w:w="327" w:type="pct"/>
            <w:tcBorders>
              <w:bottom w:val="single" w:sz="4" w:space="0" w:color="auto"/>
            </w:tcBorders>
            <w:shd w:val="clear" w:color="auto" w:fill="auto"/>
            <w:noWrap/>
            <w:hideMark/>
          </w:tcPr>
          <w:p w14:paraId="560BC8C7" w14:textId="77777777" w:rsidR="006D61EA" w:rsidRPr="009573DD" w:rsidRDefault="006D61EA" w:rsidP="002F3C17">
            <w:pPr>
              <w:pStyle w:val="ExhibitText"/>
              <w:jc w:val="right"/>
            </w:pPr>
            <w:r w:rsidRPr="009573DD">
              <w:t>-48.7</w:t>
            </w:r>
          </w:p>
        </w:tc>
        <w:tc>
          <w:tcPr>
            <w:tcW w:w="364" w:type="pct"/>
            <w:tcBorders>
              <w:bottom w:val="single" w:sz="4" w:space="0" w:color="auto"/>
            </w:tcBorders>
            <w:shd w:val="clear" w:color="auto" w:fill="auto"/>
            <w:noWrap/>
            <w:hideMark/>
          </w:tcPr>
          <w:p w14:paraId="1D226C56" w14:textId="77777777" w:rsidR="006D61EA" w:rsidRPr="009573DD" w:rsidRDefault="006D61EA" w:rsidP="002F3C17">
            <w:pPr>
              <w:pStyle w:val="ExhibitText"/>
              <w:jc w:val="right"/>
            </w:pPr>
            <w:r w:rsidRPr="009573DD">
              <w:t>1.8</w:t>
            </w:r>
          </w:p>
        </w:tc>
      </w:tr>
      <w:tr w:rsidR="00FC7297" w:rsidRPr="00286089" w14:paraId="23BB8892" w14:textId="77777777" w:rsidTr="00F2675C">
        <w:trPr>
          <w:trHeight w:val="360"/>
        </w:trPr>
        <w:tc>
          <w:tcPr>
            <w:tcW w:w="997" w:type="pct"/>
            <w:tcBorders>
              <w:top w:val="single" w:sz="4" w:space="0" w:color="auto"/>
            </w:tcBorders>
            <w:noWrap/>
          </w:tcPr>
          <w:p w14:paraId="201B5041" w14:textId="77777777" w:rsidR="006D61EA" w:rsidRPr="009A6B9D" w:rsidRDefault="006D61EA" w:rsidP="009A6B9D">
            <w:pPr>
              <w:pStyle w:val="ExhibitText"/>
              <w:jc w:val="left"/>
              <w:rPr>
                <w:b/>
                <w:bCs/>
              </w:rPr>
            </w:pPr>
            <w:r w:rsidRPr="009A6B9D">
              <w:rPr>
                <w:b/>
                <w:bCs/>
              </w:rPr>
              <w:t>Average</w:t>
            </w:r>
          </w:p>
        </w:tc>
        <w:tc>
          <w:tcPr>
            <w:tcW w:w="400" w:type="pct"/>
            <w:tcBorders>
              <w:top w:val="single" w:sz="4" w:space="0" w:color="auto"/>
            </w:tcBorders>
            <w:noWrap/>
          </w:tcPr>
          <w:p w14:paraId="52E2A1C2" w14:textId="77777777" w:rsidR="006D61EA" w:rsidRPr="009A6B9D" w:rsidRDefault="006D61EA" w:rsidP="002F3C17">
            <w:pPr>
              <w:pStyle w:val="ExhibitText"/>
              <w:jc w:val="right"/>
              <w:rPr>
                <w:b/>
                <w:bCs/>
              </w:rPr>
            </w:pPr>
            <w:r w:rsidRPr="009A6B9D">
              <w:rPr>
                <w:b/>
                <w:bCs/>
              </w:rPr>
              <w:t>138.16B</w:t>
            </w:r>
          </w:p>
        </w:tc>
        <w:tc>
          <w:tcPr>
            <w:tcW w:w="437" w:type="pct"/>
            <w:tcBorders>
              <w:top w:val="single" w:sz="4" w:space="0" w:color="auto"/>
            </w:tcBorders>
            <w:noWrap/>
          </w:tcPr>
          <w:p w14:paraId="5B6468A4" w14:textId="77777777" w:rsidR="006D61EA" w:rsidRPr="009A6B9D" w:rsidRDefault="006D61EA" w:rsidP="002F3C17">
            <w:pPr>
              <w:pStyle w:val="ExhibitText"/>
              <w:jc w:val="right"/>
              <w:rPr>
                <w:b/>
                <w:bCs/>
              </w:rPr>
            </w:pPr>
            <w:r w:rsidRPr="009A6B9D">
              <w:rPr>
                <w:b/>
                <w:bCs/>
              </w:rPr>
              <w:t>27.10B</w:t>
            </w:r>
          </w:p>
        </w:tc>
        <w:tc>
          <w:tcPr>
            <w:tcW w:w="398" w:type="pct"/>
            <w:tcBorders>
              <w:top w:val="single" w:sz="4" w:space="0" w:color="auto"/>
            </w:tcBorders>
            <w:noWrap/>
          </w:tcPr>
          <w:p w14:paraId="360F3B43" w14:textId="77777777" w:rsidR="006D61EA" w:rsidRPr="009A6B9D" w:rsidRDefault="006D61EA" w:rsidP="002F3C17">
            <w:pPr>
              <w:pStyle w:val="ExhibitText"/>
              <w:jc w:val="right"/>
              <w:rPr>
                <w:b/>
                <w:bCs/>
              </w:rPr>
            </w:pPr>
            <w:r w:rsidRPr="009A6B9D">
              <w:rPr>
                <w:b/>
                <w:bCs/>
              </w:rPr>
              <w:t>14.95%</w:t>
            </w:r>
          </w:p>
        </w:tc>
        <w:tc>
          <w:tcPr>
            <w:tcW w:w="400" w:type="pct"/>
            <w:tcBorders>
              <w:top w:val="single" w:sz="4" w:space="0" w:color="auto"/>
            </w:tcBorders>
            <w:noWrap/>
          </w:tcPr>
          <w:p w14:paraId="01615176" w14:textId="77777777" w:rsidR="006D61EA" w:rsidRPr="009A6B9D" w:rsidRDefault="006D61EA" w:rsidP="002F3C17">
            <w:pPr>
              <w:pStyle w:val="ExhibitText"/>
              <w:jc w:val="right"/>
              <w:rPr>
                <w:b/>
                <w:bCs/>
              </w:rPr>
            </w:pPr>
            <w:r w:rsidRPr="009A6B9D">
              <w:rPr>
                <w:b/>
                <w:bCs/>
              </w:rPr>
              <w:t>1.25</w:t>
            </w:r>
          </w:p>
        </w:tc>
        <w:tc>
          <w:tcPr>
            <w:tcW w:w="290" w:type="pct"/>
            <w:tcBorders>
              <w:top w:val="single" w:sz="4" w:space="0" w:color="auto"/>
            </w:tcBorders>
            <w:noWrap/>
          </w:tcPr>
          <w:p w14:paraId="0D7EC05C" w14:textId="77777777" w:rsidR="006D61EA" w:rsidRPr="009A6B9D" w:rsidRDefault="006D61EA" w:rsidP="002F3C17">
            <w:pPr>
              <w:pStyle w:val="ExhibitText"/>
              <w:jc w:val="right"/>
              <w:rPr>
                <w:b/>
                <w:bCs/>
              </w:rPr>
            </w:pPr>
            <w:r w:rsidRPr="009A6B9D">
              <w:rPr>
                <w:b/>
                <w:bCs/>
              </w:rPr>
              <w:t>51.48</w:t>
            </w:r>
          </w:p>
        </w:tc>
        <w:tc>
          <w:tcPr>
            <w:tcW w:w="291" w:type="pct"/>
            <w:tcBorders>
              <w:top w:val="single" w:sz="4" w:space="0" w:color="auto"/>
            </w:tcBorders>
            <w:noWrap/>
          </w:tcPr>
          <w:p w14:paraId="52A64E82" w14:textId="77777777" w:rsidR="006D61EA" w:rsidRPr="009A6B9D" w:rsidRDefault="006D61EA" w:rsidP="002F3C17">
            <w:pPr>
              <w:pStyle w:val="ExhibitText"/>
              <w:jc w:val="right"/>
              <w:rPr>
                <w:b/>
                <w:bCs/>
              </w:rPr>
            </w:pPr>
            <w:r w:rsidRPr="009A6B9D">
              <w:rPr>
                <w:b/>
                <w:bCs/>
              </w:rPr>
              <w:t>11.67</w:t>
            </w:r>
          </w:p>
        </w:tc>
        <w:tc>
          <w:tcPr>
            <w:tcW w:w="363" w:type="pct"/>
            <w:tcBorders>
              <w:top w:val="single" w:sz="4" w:space="0" w:color="auto"/>
            </w:tcBorders>
            <w:noWrap/>
          </w:tcPr>
          <w:p w14:paraId="511EA256" w14:textId="77777777" w:rsidR="006D61EA" w:rsidRPr="009A6B9D" w:rsidRDefault="006D61EA" w:rsidP="002F3C17">
            <w:pPr>
              <w:pStyle w:val="ExhibitText"/>
              <w:jc w:val="right"/>
              <w:rPr>
                <w:b/>
                <w:bCs/>
              </w:rPr>
            </w:pPr>
            <w:r w:rsidRPr="009A6B9D">
              <w:rPr>
                <w:b/>
                <w:bCs/>
              </w:rPr>
              <w:t>21.92%</w:t>
            </w:r>
          </w:p>
        </w:tc>
        <w:tc>
          <w:tcPr>
            <w:tcW w:w="334" w:type="pct"/>
            <w:tcBorders>
              <w:top w:val="single" w:sz="4" w:space="0" w:color="auto"/>
            </w:tcBorders>
            <w:noWrap/>
          </w:tcPr>
          <w:p w14:paraId="1F469BF4" w14:textId="77777777" w:rsidR="006D61EA" w:rsidRPr="009A6B9D" w:rsidRDefault="006D61EA" w:rsidP="002F3C17">
            <w:pPr>
              <w:pStyle w:val="ExhibitText"/>
              <w:jc w:val="right"/>
              <w:rPr>
                <w:b/>
                <w:bCs/>
              </w:rPr>
            </w:pPr>
            <w:r w:rsidRPr="009A6B9D">
              <w:rPr>
                <w:b/>
                <w:bCs/>
              </w:rPr>
              <w:t>10.32%</w:t>
            </w:r>
          </w:p>
        </w:tc>
        <w:tc>
          <w:tcPr>
            <w:tcW w:w="400" w:type="pct"/>
            <w:tcBorders>
              <w:top w:val="single" w:sz="4" w:space="0" w:color="auto"/>
            </w:tcBorders>
            <w:noWrap/>
          </w:tcPr>
          <w:p w14:paraId="72D9A9E4" w14:textId="77777777" w:rsidR="006D61EA" w:rsidRPr="009A6B9D" w:rsidRDefault="006D61EA" w:rsidP="002F3C17">
            <w:pPr>
              <w:pStyle w:val="ExhibitText"/>
              <w:jc w:val="right"/>
              <w:rPr>
                <w:b/>
                <w:bCs/>
              </w:rPr>
            </w:pPr>
            <w:r w:rsidRPr="009A6B9D">
              <w:rPr>
                <w:b/>
                <w:bCs/>
              </w:rPr>
              <w:t>41.19%</w:t>
            </w:r>
          </w:p>
        </w:tc>
        <w:tc>
          <w:tcPr>
            <w:tcW w:w="327" w:type="pct"/>
            <w:tcBorders>
              <w:top w:val="single" w:sz="4" w:space="0" w:color="auto"/>
            </w:tcBorders>
            <w:noWrap/>
          </w:tcPr>
          <w:p w14:paraId="23579042" w14:textId="77777777" w:rsidR="006D61EA" w:rsidRPr="009A6B9D" w:rsidRDefault="006D61EA" w:rsidP="002F3C17">
            <w:pPr>
              <w:pStyle w:val="ExhibitText"/>
              <w:jc w:val="right"/>
              <w:rPr>
                <w:b/>
                <w:bCs/>
              </w:rPr>
            </w:pPr>
            <w:r w:rsidRPr="009A6B9D">
              <w:rPr>
                <w:b/>
                <w:bCs/>
              </w:rPr>
              <w:t>19.62</w:t>
            </w:r>
          </w:p>
        </w:tc>
        <w:tc>
          <w:tcPr>
            <w:tcW w:w="364" w:type="pct"/>
            <w:tcBorders>
              <w:top w:val="single" w:sz="4" w:space="0" w:color="auto"/>
            </w:tcBorders>
            <w:noWrap/>
          </w:tcPr>
          <w:p w14:paraId="7145F456" w14:textId="77777777" w:rsidR="006D61EA" w:rsidRPr="009A6B9D" w:rsidRDefault="006D61EA" w:rsidP="002F3C17">
            <w:pPr>
              <w:pStyle w:val="ExhibitText"/>
              <w:jc w:val="right"/>
              <w:rPr>
                <w:b/>
                <w:bCs/>
              </w:rPr>
            </w:pPr>
            <w:r w:rsidRPr="009A6B9D">
              <w:rPr>
                <w:b/>
                <w:bCs/>
              </w:rPr>
              <w:t>3.36</w:t>
            </w:r>
          </w:p>
        </w:tc>
      </w:tr>
    </w:tbl>
    <w:p w14:paraId="6C73104B" w14:textId="77777777" w:rsidR="006D61EA" w:rsidRPr="00075B7C" w:rsidRDefault="006D61EA" w:rsidP="002F3C17">
      <w:pPr>
        <w:pStyle w:val="ExhibitText"/>
      </w:pPr>
    </w:p>
    <w:p w14:paraId="2BAF6C50" w14:textId="15F9FC28" w:rsidR="009573DD" w:rsidRPr="00075B7C" w:rsidRDefault="00A868D9" w:rsidP="002F3C17">
      <w:pPr>
        <w:pStyle w:val="Footnote"/>
      </w:pPr>
      <w:r w:rsidRPr="00E22D9C">
        <w:t>Source:</w:t>
      </w:r>
      <w:r>
        <w:t xml:space="preserve"> Created by the author based on </w:t>
      </w:r>
      <w:r w:rsidRPr="000C222E">
        <w:t xml:space="preserve">Bloomberg L.P., Bloomberg Database, accessed </w:t>
      </w:r>
      <w:r>
        <w:t>December 23, 2014.</w:t>
      </w:r>
    </w:p>
    <w:p w14:paraId="13A377CD" w14:textId="787EE6EA" w:rsidR="00E35814" w:rsidRDefault="00E35814" w:rsidP="002F3C17">
      <w:pPr>
        <w:spacing w:after="200" w:line="276" w:lineRule="auto"/>
        <w:rPr>
          <w:rFonts w:ascii="Arial" w:hAnsi="Arial" w:cs="Arial"/>
        </w:rPr>
      </w:pPr>
      <w:r>
        <w:br w:type="page"/>
      </w:r>
    </w:p>
    <w:p w14:paraId="0137BF74" w14:textId="77777777" w:rsidR="00D94924" w:rsidRPr="00075B7C" w:rsidRDefault="00D94924" w:rsidP="002F3C17">
      <w:pPr>
        <w:jc w:val="center"/>
        <w:outlineLvl w:val="0"/>
        <w:rPr>
          <w:rFonts w:ascii="Arial" w:hAnsi="Arial" w:cs="Arial"/>
          <w:b/>
        </w:rPr>
      </w:pPr>
      <w:r w:rsidRPr="00075B7C">
        <w:rPr>
          <w:rFonts w:ascii="Arial" w:hAnsi="Arial" w:cs="Arial"/>
          <w:b/>
        </w:rPr>
        <w:lastRenderedPageBreak/>
        <w:t>EXHIBIT 12: RECENT BOND ISSUES</w:t>
      </w:r>
    </w:p>
    <w:p w14:paraId="52B87FA9" w14:textId="77777777" w:rsidR="00D94924" w:rsidRPr="00075B7C" w:rsidRDefault="00D94924" w:rsidP="002F3C17">
      <w:pPr>
        <w:pStyle w:val="ExhibitText"/>
        <w:rPr>
          <w:rFonts w:eastAsia="SimSun"/>
          <w:lang w:eastAsia="zh-CN"/>
        </w:rPr>
      </w:pPr>
    </w:p>
    <w:tbl>
      <w:tblPr>
        <w:tblW w:w="4988" w:type="pct"/>
        <w:jc w:val="center"/>
        <w:tblLook w:val="04A0" w:firstRow="1" w:lastRow="0" w:firstColumn="1" w:lastColumn="0" w:noHBand="0" w:noVBand="1"/>
      </w:tblPr>
      <w:tblGrid>
        <w:gridCol w:w="1187"/>
        <w:gridCol w:w="1771"/>
        <w:gridCol w:w="1620"/>
        <w:gridCol w:w="1471"/>
        <w:gridCol w:w="1350"/>
        <w:gridCol w:w="1241"/>
        <w:gridCol w:w="939"/>
        <w:gridCol w:w="630"/>
        <w:gridCol w:w="830"/>
        <w:gridCol w:w="1885"/>
      </w:tblGrid>
      <w:tr w:rsidR="00145E2B" w:rsidRPr="00075B7C" w14:paraId="42FB67F4" w14:textId="77777777" w:rsidTr="005754D0">
        <w:trPr>
          <w:trHeight w:val="360"/>
          <w:jc w:val="center"/>
        </w:trPr>
        <w:tc>
          <w:tcPr>
            <w:tcW w:w="1187" w:type="dxa"/>
            <w:tcBorders>
              <w:top w:val="nil"/>
              <w:left w:val="nil"/>
              <w:bottom w:val="single" w:sz="4" w:space="0" w:color="auto"/>
              <w:right w:val="nil"/>
            </w:tcBorders>
            <w:shd w:val="clear" w:color="auto" w:fill="auto"/>
            <w:noWrap/>
            <w:vAlign w:val="center"/>
            <w:hideMark/>
          </w:tcPr>
          <w:p w14:paraId="0B064AEB" w14:textId="77777777" w:rsidR="00D94924" w:rsidRPr="00075B7C" w:rsidRDefault="00D94924" w:rsidP="002F3C17">
            <w:pPr>
              <w:pStyle w:val="ExhibitText"/>
              <w:rPr>
                <w:sz w:val="17"/>
                <w:szCs w:val="17"/>
                <w:lang w:eastAsia="zh-CN"/>
              </w:rPr>
            </w:pPr>
          </w:p>
        </w:tc>
        <w:tc>
          <w:tcPr>
            <w:tcW w:w="17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4D41E" w14:textId="77777777" w:rsidR="00D94924" w:rsidRPr="00075B7C" w:rsidRDefault="00D94924" w:rsidP="002F3C17">
            <w:pPr>
              <w:pStyle w:val="ExhibitText"/>
              <w:jc w:val="center"/>
              <w:rPr>
                <w:b/>
                <w:color w:val="000000"/>
                <w:sz w:val="17"/>
                <w:szCs w:val="17"/>
                <w:lang w:eastAsia="zh-CN"/>
              </w:rPr>
            </w:pPr>
            <w:r w:rsidRPr="00075B7C">
              <w:rPr>
                <w:b/>
                <w:color w:val="000000"/>
                <w:sz w:val="17"/>
                <w:szCs w:val="17"/>
                <w:lang w:eastAsia="zh-CN"/>
              </w:rPr>
              <w:t>Issuer Name</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14:paraId="6D64495E" w14:textId="7510C160" w:rsidR="00145E2B" w:rsidRDefault="00D94924" w:rsidP="002F3C17">
            <w:pPr>
              <w:pStyle w:val="ExhibitText"/>
              <w:jc w:val="center"/>
              <w:rPr>
                <w:b/>
                <w:color w:val="000000"/>
                <w:sz w:val="17"/>
                <w:szCs w:val="17"/>
                <w:lang w:eastAsia="zh-CN"/>
              </w:rPr>
            </w:pPr>
            <w:r w:rsidRPr="00075B7C">
              <w:rPr>
                <w:b/>
                <w:color w:val="000000"/>
                <w:sz w:val="17"/>
                <w:szCs w:val="17"/>
                <w:lang w:eastAsia="zh-CN"/>
              </w:rPr>
              <w:t>Amt</w:t>
            </w:r>
            <w:r w:rsidR="00A868D9">
              <w:rPr>
                <w:b/>
                <w:color w:val="000000"/>
                <w:sz w:val="17"/>
                <w:szCs w:val="17"/>
                <w:lang w:eastAsia="zh-CN"/>
              </w:rPr>
              <w:t>.</w:t>
            </w:r>
            <w:r w:rsidRPr="00075B7C">
              <w:rPr>
                <w:b/>
                <w:color w:val="000000"/>
                <w:sz w:val="17"/>
                <w:szCs w:val="17"/>
                <w:lang w:eastAsia="zh-CN"/>
              </w:rPr>
              <w:t xml:space="preserve"> Issued </w:t>
            </w:r>
          </w:p>
          <w:p w14:paraId="1BFA45F6" w14:textId="3422A275" w:rsidR="00D94924" w:rsidRPr="00075B7C" w:rsidRDefault="00D94924" w:rsidP="002F3C17">
            <w:pPr>
              <w:pStyle w:val="ExhibitText"/>
              <w:jc w:val="center"/>
              <w:rPr>
                <w:b/>
                <w:color w:val="000000"/>
                <w:sz w:val="17"/>
                <w:szCs w:val="17"/>
                <w:lang w:eastAsia="zh-CN"/>
              </w:rPr>
            </w:pPr>
            <w:r w:rsidRPr="00075B7C">
              <w:rPr>
                <w:b/>
                <w:color w:val="000000"/>
                <w:sz w:val="17"/>
                <w:szCs w:val="17"/>
                <w:lang w:eastAsia="zh-CN"/>
              </w:rPr>
              <w:t>(</w:t>
            </w:r>
            <w:r w:rsidR="00145E2B" w:rsidRPr="00075B7C">
              <w:rPr>
                <w:b/>
                <w:color w:val="000000"/>
                <w:sz w:val="17"/>
                <w:szCs w:val="17"/>
                <w:lang w:eastAsia="zh-CN"/>
              </w:rPr>
              <w:t>US</w:t>
            </w:r>
            <w:r w:rsidR="00145E2B">
              <w:rPr>
                <w:b/>
                <w:color w:val="000000"/>
                <w:sz w:val="17"/>
                <w:szCs w:val="17"/>
                <w:lang w:eastAsia="zh-CN"/>
              </w:rPr>
              <w:t>$</w:t>
            </w:r>
            <w:r w:rsidR="00145E2B" w:rsidRPr="00075B7C">
              <w:rPr>
                <w:b/>
                <w:color w:val="000000"/>
                <w:sz w:val="17"/>
                <w:szCs w:val="17"/>
                <w:lang w:eastAsia="zh-CN"/>
              </w:rPr>
              <w:t xml:space="preserve"> </w:t>
            </w:r>
            <w:r w:rsidR="00145E2B">
              <w:rPr>
                <w:b/>
                <w:color w:val="000000"/>
                <w:sz w:val="17"/>
                <w:szCs w:val="17"/>
                <w:lang w:eastAsia="zh-CN"/>
              </w:rPr>
              <w:t>B</w:t>
            </w:r>
            <w:r w:rsidRPr="00075B7C">
              <w:rPr>
                <w:b/>
                <w:color w:val="000000"/>
                <w:sz w:val="17"/>
                <w:szCs w:val="17"/>
                <w:lang w:eastAsia="zh-CN"/>
              </w:rPr>
              <w:t>illion)</w:t>
            </w:r>
          </w:p>
        </w:tc>
        <w:tc>
          <w:tcPr>
            <w:tcW w:w="1471" w:type="dxa"/>
            <w:tcBorders>
              <w:top w:val="single" w:sz="4" w:space="0" w:color="auto"/>
              <w:left w:val="nil"/>
              <w:bottom w:val="single" w:sz="4" w:space="0" w:color="auto"/>
              <w:right w:val="single" w:sz="4" w:space="0" w:color="auto"/>
            </w:tcBorders>
            <w:shd w:val="clear" w:color="auto" w:fill="auto"/>
            <w:noWrap/>
            <w:vAlign w:val="center"/>
            <w:hideMark/>
          </w:tcPr>
          <w:p w14:paraId="6B5AB7A5" w14:textId="77777777" w:rsidR="00D94924" w:rsidRPr="00075B7C" w:rsidRDefault="00D94924" w:rsidP="002F3C17">
            <w:pPr>
              <w:pStyle w:val="ExhibitText"/>
              <w:jc w:val="center"/>
              <w:rPr>
                <w:b/>
                <w:color w:val="000000"/>
                <w:sz w:val="17"/>
                <w:szCs w:val="17"/>
                <w:lang w:eastAsia="zh-CN"/>
              </w:rPr>
            </w:pPr>
            <w:r w:rsidRPr="00075B7C">
              <w:rPr>
                <w:b/>
                <w:color w:val="000000"/>
                <w:sz w:val="17"/>
                <w:szCs w:val="17"/>
                <w:lang w:eastAsia="zh-CN"/>
              </w:rPr>
              <w:t>Issue Date</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14:paraId="12442783" w14:textId="77777777" w:rsidR="00D94924" w:rsidRPr="00075B7C" w:rsidRDefault="00D94924" w:rsidP="002F3C17">
            <w:pPr>
              <w:pStyle w:val="ExhibitText"/>
              <w:jc w:val="center"/>
              <w:rPr>
                <w:b/>
                <w:color w:val="000000"/>
                <w:sz w:val="17"/>
                <w:szCs w:val="17"/>
                <w:lang w:eastAsia="zh-CN"/>
              </w:rPr>
            </w:pPr>
            <w:r w:rsidRPr="00075B7C">
              <w:rPr>
                <w:b/>
                <w:color w:val="000000"/>
                <w:sz w:val="17"/>
                <w:szCs w:val="17"/>
                <w:lang w:eastAsia="zh-CN"/>
              </w:rPr>
              <w:t>Term (Years)</w:t>
            </w:r>
          </w:p>
        </w:tc>
        <w:tc>
          <w:tcPr>
            <w:tcW w:w="1241" w:type="dxa"/>
            <w:tcBorders>
              <w:top w:val="single" w:sz="4" w:space="0" w:color="auto"/>
              <w:left w:val="nil"/>
              <w:bottom w:val="single" w:sz="4" w:space="0" w:color="auto"/>
              <w:right w:val="single" w:sz="4" w:space="0" w:color="auto"/>
            </w:tcBorders>
            <w:shd w:val="clear" w:color="auto" w:fill="auto"/>
            <w:noWrap/>
            <w:vAlign w:val="center"/>
            <w:hideMark/>
          </w:tcPr>
          <w:p w14:paraId="5BAC75B9" w14:textId="77777777" w:rsidR="00D94924" w:rsidRPr="00075B7C" w:rsidRDefault="00D94924" w:rsidP="002F3C17">
            <w:pPr>
              <w:pStyle w:val="ExhibitText"/>
              <w:jc w:val="center"/>
              <w:rPr>
                <w:b/>
                <w:color w:val="000000"/>
                <w:sz w:val="17"/>
                <w:szCs w:val="17"/>
                <w:lang w:eastAsia="zh-CN"/>
              </w:rPr>
            </w:pPr>
            <w:r w:rsidRPr="00075B7C">
              <w:rPr>
                <w:b/>
                <w:color w:val="000000"/>
                <w:sz w:val="17"/>
                <w:szCs w:val="17"/>
                <w:lang w:eastAsia="zh-CN"/>
              </w:rPr>
              <w:t>Coupon (%)</w:t>
            </w:r>
          </w:p>
        </w:tc>
        <w:tc>
          <w:tcPr>
            <w:tcW w:w="939" w:type="dxa"/>
            <w:tcBorders>
              <w:top w:val="single" w:sz="4" w:space="0" w:color="auto"/>
              <w:left w:val="nil"/>
              <w:bottom w:val="single" w:sz="4" w:space="0" w:color="auto"/>
              <w:right w:val="single" w:sz="4" w:space="0" w:color="auto"/>
            </w:tcBorders>
            <w:shd w:val="clear" w:color="auto" w:fill="auto"/>
            <w:noWrap/>
            <w:vAlign w:val="center"/>
            <w:hideMark/>
          </w:tcPr>
          <w:p w14:paraId="022D2FB3" w14:textId="77777777" w:rsidR="00D94924" w:rsidRPr="00075B7C" w:rsidRDefault="00D94924" w:rsidP="002F3C17">
            <w:pPr>
              <w:pStyle w:val="ExhibitText"/>
              <w:jc w:val="center"/>
              <w:rPr>
                <w:b/>
                <w:color w:val="000000"/>
                <w:sz w:val="17"/>
                <w:szCs w:val="17"/>
                <w:lang w:eastAsia="zh-CN"/>
              </w:rPr>
            </w:pPr>
            <w:r w:rsidRPr="00075B7C">
              <w:rPr>
                <w:b/>
                <w:color w:val="000000"/>
                <w:sz w:val="17"/>
                <w:szCs w:val="17"/>
                <w:lang w:eastAsia="zh-CN"/>
              </w:rPr>
              <w:t>Moody's</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A8B9250" w14:textId="77777777" w:rsidR="00D94924" w:rsidRPr="00075B7C" w:rsidRDefault="00D94924" w:rsidP="002F3C17">
            <w:pPr>
              <w:pStyle w:val="ExhibitText"/>
              <w:jc w:val="center"/>
              <w:rPr>
                <w:b/>
                <w:color w:val="000000"/>
                <w:sz w:val="17"/>
                <w:szCs w:val="17"/>
                <w:lang w:eastAsia="zh-CN"/>
              </w:rPr>
            </w:pPr>
            <w:r w:rsidRPr="00075B7C">
              <w:rPr>
                <w:b/>
                <w:color w:val="000000"/>
                <w:sz w:val="17"/>
                <w:szCs w:val="17"/>
                <w:lang w:eastAsia="zh-CN"/>
              </w:rPr>
              <w:t>S&amp;P</w:t>
            </w:r>
          </w:p>
        </w:tc>
        <w:tc>
          <w:tcPr>
            <w:tcW w:w="830" w:type="dxa"/>
            <w:tcBorders>
              <w:top w:val="single" w:sz="4" w:space="0" w:color="auto"/>
              <w:left w:val="nil"/>
              <w:bottom w:val="single" w:sz="4" w:space="0" w:color="auto"/>
              <w:right w:val="single" w:sz="4" w:space="0" w:color="auto"/>
            </w:tcBorders>
            <w:shd w:val="clear" w:color="auto" w:fill="auto"/>
            <w:noWrap/>
            <w:vAlign w:val="center"/>
            <w:hideMark/>
          </w:tcPr>
          <w:p w14:paraId="7778C7F3" w14:textId="5E6ED756" w:rsidR="00D94924" w:rsidRPr="00075B7C" w:rsidRDefault="00D94924" w:rsidP="002F3C17">
            <w:pPr>
              <w:pStyle w:val="ExhibitText"/>
              <w:jc w:val="center"/>
              <w:rPr>
                <w:b/>
                <w:color w:val="000000"/>
                <w:sz w:val="17"/>
                <w:szCs w:val="17"/>
                <w:lang w:eastAsia="zh-CN"/>
              </w:rPr>
            </w:pPr>
            <w:r w:rsidRPr="00075B7C">
              <w:rPr>
                <w:b/>
                <w:color w:val="000000"/>
                <w:sz w:val="17"/>
                <w:szCs w:val="17"/>
                <w:lang w:eastAsia="zh-CN"/>
              </w:rPr>
              <w:t>YTM</w:t>
            </w:r>
            <w:r w:rsidR="00145E2B">
              <w:rPr>
                <w:b/>
                <w:color w:val="000000"/>
                <w:sz w:val="17"/>
                <w:szCs w:val="17"/>
                <w:lang w:eastAsia="zh-CN"/>
              </w:rPr>
              <w:t xml:space="preserve"> </w:t>
            </w:r>
            <w:r w:rsidR="007D3309">
              <w:rPr>
                <w:b/>
                <w:color w:val="000000"/>
                <w:sz w:val="17"/>
                <w:szCs w:val="17"/>
                <w:lang w:eastAsia="zh-CN"/>
              </w:rPr>
              <w:t>(%)</w:t>
            </w:r>
          </w:p>
        </w:tc>
        <w:tc>
          <w:tcPr>
            <w:tcW w:w="1885" w:type="dxa"/>
            <w:tcBorders>
              <w:top w:val="single" w:sz="4" w:space="0" w:color="auto"/>
              <w:left w:val="nil"/>
              <w:bottom w:val="single" w:sz="4" w:space="0" w:color="auto"/>
              <w:right w:val="single" w:sz="4" w:space="0" w:color="auto"/>
            </w:tcBorders>
            <w:vAlign w:val="center"/>
          </w:tcPr>
          <w:p w14:paraId="6F9BB1A8" w14:textId="77777777" w:rsidR="00D94924" w:rsidRPr="00075B7C" w:rsidRDefault="00D94924" w:rsidP="002F3C17">
            <w:pPr>
              <w:pStyle w:val="ExhibitText"/>
              <w:jc w:val="center"/>
              <w:rPr>
                <w:b/>
                <w:color w:val="000000"/>
                <w:sz w:val="17"/>
                <w:szCs w:val="17"/>
                <w:lang w:eastAsia="zh-CN"/>
              </w:rPr>
            </w:pPr>
            <w:r w:rsidRPr="00075B7C">
              <w:rPr>
                <w:b/>
                <w:color w:val="000000"/>
                <w:sz w:val="17"/>
                <w:szCs w:val="17"/>
                <w:lang w:eastAsia="zh-CN"/>
              </w:rPr>
              <w:t>Spread over similar Treasury Bonds</w:t>
            </w:r>
            <w:r w:rsidR="007D3309">
              <w:rPr>
                <w:b/>
                <w:color w:val="000000"/>
                <w:sz w:val="17"/>
                <w:szCs w:val="17"/>
                <w:lang w:eastAsia="zh-CN"/>
              </w:rPr>
              <w:t xml:space="preserve"> (%)</w:t>
            </w:r>
          </w:p>
        </w:tc>
      </w:tr>
      <w:tr w:rsidR="00145E2B" w:rsidRPr="00075B7C" w14:paraId="29FF099E" w14:textId="77777777" w:rsidTr="005754D0">
        <w:trPr>
          <w:trHeight w:val="360"/>
          <w:jc w:val="center"/>
        </w:trPr>
        <w:tc>
          <w:tcPr>
            <w:tcW w:w="11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CFC119" w14:textId="77777777" w:rsidR="00D94924" w:rsidRPr="00075B7C" w:rsidRDefault="00D94924" w:rsidP="002F3C17">
            <w:pPr>
              <w:pStyle w:val="ExhibitText"/>
              <w:jc w:val="center"/>
              <w:rPr>
                <w:b/>
                <w:color w:val="000000"/>
                <w:sz w:val="17"/>
                <w:szCs w:val="17"/>
                <w:lang w:eastAsia="zh-CN"/>
              </w:rPr>
            </w:pPr>
            <w:r w:rsidRPr="00075B7C">
              <w:rPr>
                <w:b/>
                <w:color w:val="000000"/>
                <w:sz w:val="17"/>
                <w:szCs w:val="17"/>
                <w:lang w:eastAsia="zh-CN"/>
              </w:rPr>
              <w:t>U</w:t>
            </w:r>
            <w:r w:rsidR="007D3309">
              <w:rPr>
                <w:b/>
                <w:color w:val="000000"/>
                <w:sz w:val="17"/>
                <w:szCs w:val="17"/>
                <w:lang w:eastAsia="zh-CN"/>
              </w:rPr>
              <w:t>.</w:t>
            </w:r>
            <w:r w:rsidRPr="00075B7C">
              <w:rPr>
                <w:b/>
                <w:color w:val="000000"/>
                <w:sz w:val="17"/>
                <w:szCs w:val="17"/>
                <w:lang w:eastAsia="zh-CN"/>
              </w:rPr>
              <w:t>S</w:t>
            </w:r>
            <w:r w:rsidR="007D3309">
              <w:rPr>
                <w:b/>
                <w:color w:val="000000"/>
                <w:sz w:val="17"/>
                <w:szCs w:val="17"/>
                <w:lang w:eastAsia="zh-CN"/>
              </w:rPr>
              <w:t>.</w:t>
            </w:r>
            <w:r w:rsidRPr="00075B7C">
              <w:rPr>
                <w:b/>
                <w:color w:val="000000"/>
                <w:sz w:val="17"/>
                <w:szCs w:val="17"/>
                <w:lang w:eastAsia="zh-CN"/>
              </w:rPr>
              <w:t xml:space="preserve"> Companies</w:t>
            </w:r>
          </w:p>
        </w:tc>
        <w:tc>
          <w:tcPr>
            <w:tcW w:w="17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2FC488" w14:textId="6C71DC2C" w:rsidR="00D94924" w:rsidRPr="00075B7C" w:rsidRDefault="00D94924" w:rsidP="002F3C17">
            <w:pPr>
              <w:pStyle w:val="ExhibitText"/>
              <w:jc w:val="left"/>
              <w:rPr>
                <w:color w:val="000000"/>
                <w:sz w:val="17"/>
                <w:szCs w:val="17"/>
                <w:lang w:eastAsia="zh-CN"/>
              </w:rPr>
            </w:pPr>
            <w:r w:rsidRPr="00075B7C">
              <w:rPr>
                <w:color w:val="000000"/>
                <w:sz w:val="17"/>
                <w:szCs w:val="17"/>
                <w:lang w:eastAsia="zh-CN"/>
              </w:rPr>
              <w:t>Cisco Systems</w:t>
            </w:r>
            <w:r w:rsidR="00145E2B">
              <w:rPr>
                <w:color w:val="000000"/>
                <w:sz w:val="17"/>
                <w:szCs w:val="17"/>
                <w:lang w:eastAsia="zh-CN"/>
              </w:rPr>
              <w:t>,</w:t>
            </w:r>
            <w:r w:rsidRPr="00075B7C">
              <w:rPr>
                <w:color w:val="000000"/>
                <w:sz w:val="17"/>
                <w:szCs w:val="17"/>
                <w:lang w:eastAsia="zh-CN"/>
              </w:rPr>
              <w:t xml:space="preserve"> Inc</w:t>
            </w:r>
            <w:r w:rsidR="00145E2B">
              <w:rPr>
                <w:color w:val="000000"/>
                <w:sz w:val="17"/>
                <w:szCs w:val="17"/>
                <w:lang w:eastAsia="zh-CN"/>
              </w:rPr>
              <w:t>.</w:t>
            </w:r>
          </w:p>
        </w:tc>
        <w:tc>
          <w:tcPr>
            <w:tcW w:w="1620" w:type="dxa"/>
            <w:tcBorders>
              <w:top w:val="nil"/>
              <w:left w:val="nil"/>
              <w:bottom w:val="nil"/>
              <w:right w:val="single" w:sz="4" w:space="0" w:color="auto"/>
            </w:tcBorders>
            <w:shd w:val="clear" w:color="auto" w:fill="auto"/>
            <w:noWrap/>
            <w:vAlign w:val="center"/>
            <w:hideMark/>
          </w:tcPr>
          <w:p w14:paraId="7593772F"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2.4</w:t>
            </w:r>
          </w:p>
        </w:tc>
        <w:tc>
          <w:tcPr>
            <w:tcW w:w="1471" w:type="dxa"/>
            <w:tcBorders>
              <w:top w:val="single" w:sz="4" w:space="0" w:color="auto"/>
              <w:left w:val="single" w:sz="4" w:space="0" w:color="auto"/>
              <w:bottom w:val="nil"/>
              <w:right w:val="single" w:sz="4" w:space="0" w:color="auto"/>
            </w:tcBorders>
            <w:shd w:val="clear" w:color="auto" w:fill="auto"/>
            <w:noWrap/>
            <w:vAlign w:val="center"/>
            <w:hideMark/>
          </w:tcPr>
          <w:p w14:paraId="355047DA" w14:textId="701DDEF4"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-03-01</w:t>
            </w:r>
          </w:p>
        </w:tc>
        <w:tc>
          <w:tcPr>
            <w:tcW w:w="1350" w:type="dxa"/>
            <w:tcBorders>
              <w:top w:val="nil"/>
              <w:left w:val="single" w:sz="4" w:space="0" w:color="auto"/>
              <w:bottom w:val="nil"/>
              <w:right w:val="single" w:sz="4" w:space="0" w:color="auto"/>
            </w:tcBorders>
            <w:shd w:val="clear" w:color="auto" w:fill="auto"/>
            <w:noWrap/>
            <w:vAlign w:val="center"/>
            <w:hideMark/>
          </w:tcPr>
          <w:p w14:paraId="63E140BF"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w:t>
            </w:r>
          </w:p>
        </w:tc>
        <w:tc>
          <w:tcPr>
            <w:tcW w:w="1241" w:type="dxa"/>
            <w:tcBorders>
              <w:top w:val="single" w:sz="4" w:space="0" w:color="auto"/>
              <w:left w:val="single" w:sz="4" w:space="0" w:color="auto"/>
              <w:bottom w:val="nil"/>
              <w:right w:val="single" w:sz="4" w:space="0" w:color="auto"/>
            </w:tcBorders>
            <w:shd w:val="clear" w:color="auto" w:fill="auto"/>
            <w:noWrap/>
            <w:vAlign w:val="center"/>
            <w:hideMark/>
          </w:tcPr>
          <w:p w14:paraId="537DD553"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1.1</w:t>
            </w:r>
          </w:p>
        </w:tc>
        <w:tc>
          <w:tcPr>
            <w:tcW w:w="939" w:type="dxa"/>
            <w:tcBorders>
              <w:top w:val="nil"/>
              <w:left w:val="single" w:sz="4" w:space="0" w:color="auto"/>
              <w:bottom w:val="nil"/>
              <w:right w:val="single" w:sz="4" w:space="0" w:color="auto"/>
            </w:tcBorders>
            <w:shd w:val="clear" w:color="auto" w:fill="auto"/>
            <w:noWrap/>
            <w:vAlign w:val="center"/>
            <w:hideMark/>
          </w:tcPr>
          <w:p w14:paraId="1D6DA73F"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A1</w:t>
            </w:r>
          </w:p>
        </w:tc>
        <w:tc>
          <w:tcPr>
            <w:tcW w:w="630" w:type="dxa"/>
            <w:tcBorders>
              <w:top w:val="single" w:sz="4" w:space="0" w:color="auto"/>
              <w:left w:val="single" w:sz="4" w:space="0" w:color="auto"/>
              <w:bottom w:val="nil"/>
              <w:right w:val="single" w:sz="4" w:space="0" w:color="auto"/>
            </w:tcBorders>
            <w:shd w:val="clear" w:color="auto" w:fill="auto"/>
            <w:noWrap/>
            <w:vAlign w:val="center"/>
            <w:hideMark/>
          </w:tcPr>
          <w:p w14:paraId="12B5EA6A"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AA-</w:t>
            </w:r>
          </w:p>
        </w:tc>
        <w:tc>
          <w:tcPr>
            <w:tcW w:w="830" w:type="dxa"/>
            <w:tcBorders>
              <w:top w:val="nil"/>
              <w:left w:val="single" w:sz="4" w:space="0" w:color="auto"/>
              <w:bottom w:val="nil"/>
              <w:right w:val="single" w:sz="4" w:space="0" w:color="auto"/>
            </w:tcBorders>
            <w:shd w:val="clear" w:color="auto" w:fill="auto"/>
            <w:noWrap/>
            <w:vAlign w:val="center"/>
            <w:hideMark/>
          </w:tcPr>
          <w:p w14:paraId="67EEA5C5" w14:textId="15E74586"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1.102</w:t>
            </w:r>
          </w:p>
        </w:tc>
        <w:tc>
          <w:tcPr>
            <w:tcW w:w="1885" w:type="dxa"/>
            <w:tcBorders>
              <w:top w:val="nil"/>
              <w:left w:val="nil"/>
              <w:bottom w:val="nil"/>
              <w:right w:val="single" w:sz="4" w:space="0" w:color="auto"/>
            </w:tcBorders>
            <w:vAlign w:val="center"/>
          </w:tcPr>
          <w:p w14:paraId="495A586C" w14:textId="44FF3A24"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0.412</w:t>
            </w:r>
          </w:p>
        </w:tc>
      </w:tr>
      <w:tr w:rsidR="00145E2B" w:rsidRPr="00075B7C" w14:paraId="2F18F490"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3820B8D5" w14:textId="77777777" w:rsidR="00D94924" w:rsidRPr="00075B7C" w:rsidRDefault="00D94924" w:rsidP="002F3C17">
            <w:pPr>
              <w:pStyle w:val="ExhibitText"/>
              <w:jc w:val="center"/>
              <w:rPr>
                <w:b/>
                <w:color w:val="000000"/>
                <w:sz w:val="17"/>
                <w:szCs w:val="17"/>
                <w:lang w:eastAsia="zh-CN"/>
              </w:rPr>
            </w:pPr>
          </w:p>
        </w:tc>
        <w:tc>
          <w:tcPr>
            <w:tcW w:w="1771" w:type="dxa"/>
            <w:vMerge/>
            <w:tcBorders>
              <w:top w:val="nil"/>
              <w:left w:val="single" w:sz="4" w:space="0" w:color="auto"/>
              <w:bottom w:val="single" w:sz="4" w:space="0" w:color="auto"/>
              <w:right w:val="single" w:sz="4" w:space="0" w:color="auto"/>
            </w:tcBorders>
            <w:vAlign w:val="center"/>
            <w:hideMark/>
          </w:tcPr>
          <w:p w14:paraId="5A5F9353" w14:textId="77777777" w:rsidR="00D94924" w:rsidRPr="00075B7C" w:rsidRDefault="00D94924" w:rsidP="002F3C17">
            <w:pPr>
              <w:pStyle w:val="ExhibitText"/>
              <w:jc w:val="left"/>
              <w:rPr>
                <w:color w:val="000000"/>
                <w:sz w:val="17"/>
                <w:szCs w:val="17"/>
                <w:lang w:eastAsia="zh-CN"/>
              </w:rPr>
            </w:pPr>
          </w:p>
        </w:tc>
        <w:tc>
          <w:tcPr>
            <w:tcW w:w="1620" w:type="dxa"/>
            <w:tcBorders>
              <w:top w:val="nil"/>
              <w:left w:val="nil"/>
              <w:bottom w:val="nil"/>
              <w:right w:val="single" w:sz="4" w:space="0" w:color="auto"/>
            </w:tcBorders>
            <w:shd w:val="clear" w:color="auto" w:fill="auto"/>
            <w:noWrap/>
            <w:vAlign w:val="center"/>
            <w:hideMark/>
          </w:tcPr>
          <w:p w14:paraId="1FA3D017"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1.75</w:t>
            </w:r>
          </w:p>
        </w:tc>
        <w:tc>
          <w:tcPr>
            <w:tcW w:w="1471" w:type="dxa"/>
            <w:tcBorders>
              <w:top w:val="nil"/>
              <w:left w:val="single" w:sz="4" w:space="0" w:color="auto"/>
              <w:bottom w:val="nil"/>
              <w:right w:val="single" w:sz="4" w:space="0" w:color="auto"/>
            </w:tcBorders>
            <w:shd w:val="clear" w:color="auto" w:fill="auto"/>
            <w:noWrap/>
            <w:vAlign w:val="center"/>
            <w:hideMark/>
          </w:tcPr>
          <w:p w14:paraId="6A72BC46" w14:textId="0E66488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-03-01</w:t>
            </w:r>
          </w:p>
        </w:tc>
        <w:tc>
          <w:tcPr>
            <w:tcW w:w="1350" w:type="dxa"/>
            <w:tcBorders>
              <w:top w:val="nil"/>
              <w:left w:val="single" w:sz="4" w:space="0" w:color="auto"/>
              <w:bottom w:val="nil"/>
              <w:right w:val="single" w:sz="4" w:space="0" w:color="auto"/>
            </w:tcBorders>
            <w:shd w:val="clear" w:color="auto" w:fill="auto"/>
            <w:noWrap/>
            <w:vAlign w:val="center"/>
            <w:hideMark/>
          </w:tcPr>
          <w:p w14:paraId="4EADB2EE"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5</w:t>
            </w:r>
          </w:p>
        </w:tc>
        <w:tc>
          <w:tcPr>
            <w:tcW w:w="1241" w:type="dxa"/>
            <w:tcBorders>
              <w:top w:val="nil"/>
              <w:left w:val="single" w:sz="4" w:space="0" w:color="auto"/>
              <w:bottom w:val="nil"/>
              <w:right w:val="single" w:sz="4" w:space="0" w:color="auto"/>
            </w:tcBorders>
            <w:shd w:val="clear" w:color="auto" w:fill="auto"/>
            <w:noWrap/>
            <w:vAlign w:val="center"/>
            <w:hideMark/>
          </w:tcPr>
          <w:p w14:paraId="78B624B5"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2.125</w:t>
            </w:r>
          </w:p>
        </w:tc>
        <w:tc>
          <w:tcPr>
            <w:tcW w:w="939" w:type="dxa"/>
            <w:tcBorders>
              <w:top w:val="nil"/>
              <w:left w:val="single" w:sz="4" w:space="0" w:color="auto"/>
              <w:bottom w:val="nil"/>
              <w:right w:val="single" w:sz="4" w:space="0" w:color="auto"/>
            </w:tcBorders>
            <w:shd w:val="clear" w:color="auto" w:fill="auto"/>
            <w:noWrap/>
            <w:vAlign w:val="center"/>
            <w:hideMark/>
          </w:tcPr>
          <w:p w14:paraId="7EAB2232"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A1</w:t>
            </w:r>
          </w:p>
        </w:tc>
        <w:tc>
          <w:tcPr>
            <w:tcW w:w="630" w:type="dxa"/>
            <w:tcBorders>
              <w:top w:val="nil"/>
              <w:left w:val="single" w:sz="4" w:space="0" w:color="auto"/>
              <w:bottom w:val="nil"/>
              <w:right w:val="single" w:sz="4" w:space="0" w:color="auto"/>
            </w:tcBorders>
            <w:shd w:val="clear" w:color="auto" w:fill="auto"/>
            <w:noWrap/>
            <w:vAlign w:val="center"/>
            <w:hideMark/>
          </w:tcPr>
          <w:p w14:paraId="064BCE7B"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AA-</w:t>
            </w:r>
          </w:p>
        </w:tc>
        <w:tc>
          <w:tcPr>
            <w:tcW w:w="830" w:type="dxa"/>
            <w:tcBorders>
              <w:top w:val="nil"/>
              <w:left w:val="single" w:sz="4" w:space="0" w:color="auto"/>
              <w:bottom w:val="nil"/>
              <w:right w:val="single" w:sz="4" w:space="0" w:color="auto"/>
            </w:tcBorders>
            <w:shd w:val="clear" w:color="auto" w:fill="auto"/>
            <w:noWrap/>
            <w:vAlign w:val="center"/>
            <w:hideMark/>
          </w:tcPr>
          <w:p w14:paraId="253CF0F8" w14:textId="36F7C5C1"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2.140</w:t>
            </w:r>
          </w:p>
        </w:tc>
        <w:tc>
          <w:tcPr>
            <w:tcW w:w="1885" w:type="dxa"/>
            <w:tcBorders>
              <w:top w:val="nil"/>
              <w:left w:val="nil"/>
              <w:bottom w:val="nil"/>
              <w:right w:val="single" w:sz="4" w:space="0" w:color="auto"/>
            </w:tcBorders>
            <w:vAlign w:val="center"/>
          </w:tcPr>
          <w:p w14:paraId="2DF51AFC" w14:textId="04F92788"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0.620</w:t>
            </w:r>
          </w:p>
        </w:tc>
      </w:tr>
      <w:tr w:rsidR="00145E2B" w:rsidRPr="00075B7C" w14:paraId="78A1E3DF"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6B6B08EF" w14:textId="77777777" w:rsidR="00D94924" w:rsidRPr="00075B7C" w:rsidRDefault="00D94924" w:rsidP="002F3C17">
            <w:pPr>
              <w:pStyle w:val="ExhibitText"/>
              <w:jc w:val="center"/>
              <w:rPr>
                <w:b/>
                <w:color w:val="000000"/>
                <w:sz w:val="17"/>
                <w:szCs w:val="17"/>
                <w:lang w:eastAsia="zh-CN"/>
              </w:rPr>
            </w:pPr>
          </w:p>
        </w:tc>
        <w:tc>
          <w:tcPr>
            <w:tcW w:w="1771" w:type="dxa"/>
            <w:vMerge/>
            <w:tcBorders>
              <w:top w:val="nil"/>
              <w:left w:val="single" w:sz="4" w:space="0" w:color="auto"/>
              <w:bottom w:val="single" w:sz="4" w:space="0" w:color="auto"/>
              <w:right w:val="single" w:sz="4" w:space="0" w:color="auto"/>
            </w:tcBorders>
            <w:vAlign w:val="center"/>
            <w:hideMark/>
          </w:tcPr>
          <w:p w14:paraId="0442A3C0" w14:textId="77777777" w:rsidR="00D94924" w:rsidRPr="00075B7C" w:rsidRDefault="00D94924" w:rsidP="002F3C17">
            <w:pPr>
              <w:pStyle w:val="ExhibitText"/>
              <w:jc w:val="left"/>
              <w:rPr>
                <w:color w:val="000000"/>
                <w:sz w:val="17"/>
                <w:szCs w:val="17"/>
                <w:lang w:eastAsia="zh-CN"/>
              </w:rPr>
            </w:pPr>
          </w:p>
        </w:tc>
        <w:tc>
          <w:tcPr>
            <w:tcW w:w="1620" w:type="dxa"/>
            <w:tcBorders>
              <w:top w:val="nil"/>
              <w:left w:val="nil"/>
              <w:bottom w:val="nil"/>
              <w:right w:val="single" w:sz="4" w:space="0" w:color="auto"/>
            </w:tcBorders>
            <w:shd w:val="clear" w:color="auto" w:fill="auto"/>
            <w:noWrap/>
            <w:vAlign w:val="center"/>
            <w:hideMark/>
          </w:tcPr>
          <w:p w14:paraId="0B90B806"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0.5</w:t>
            </w:r>
          </w:p>
        </w:tc>
        <w:tc>
          <w:tcPr>
            <w:tcW w:w="1471" w:type="dxa"/>
            <w:tcBorders>
              <w:top w:val="nil"/>
              <w:left w:val="single" w:sz="4" w:space="0" w:color="auto"/>
              <w:bottom w:val="nil"/>
              <w:right w:val="single" w:sz="4" w:space="0" w:color="auto"/>
            </w:tcBorders>
            <w:shd w:val="clear" w:color="auto" w:fill="auto"/>
            <w:noWrap/>
            <w:vAlign w:val="center"/>
            <w:hideMark/>
          </w:tcPr>
          <w:p w14:paraId="49F0654B" w14:textId="656E40A1"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-03-01</w:t>
            </w:r>
          </w:p>
        </w:tc>
        <w:tc>
          <w:tcPr>
            <w:tcW w:w="1350" w:type="dxa"/>
            <w:tcBorders>
              <w:top w:val="nil"/>
              <w:left w:val="single" w:sz="4" w:space="0" w:color="auto"/>
              <w:bottom w:val="nil"/>
              <w:right w:val="single" w:sz="4" w:space="0" w:color="auto"/>
            </w:tcBorders>
            <w:shd w:val="clear" w:color="auto" w:fill="auto"/>
            <w:noWrap/>
            <w:vAlign w:val="center"/>
            <w:hideMark/>
          </w:tcPr>
          <w:p w14:paraId="266AC10B"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7</w:t>
            </w:r>
          </w:p>
        </w:tc>
        <w:tc>
          <w:tcPr>
            <w:tcW w:w="1241" w:type="dxa"/>
            <w:tcBorders>
              <w:top w:val="nil"/>
              <w:left w:val="single" w:sz="4" w:space="0" w:color="auto"/>
              <w:bottom w:val="nil"/>
              <w:right w:val="single" w:sz="4" w:space="0" w:color="auto"/>
            </w:tcBorders>
            <w:shd w:val="clear" w:color="auto" w:fill="auto"/>
            <w:noWrap/>
            <w:vAlign w:val="center"/>
            <w:hideMark/>
          </w:tcPr>
          <w:p w14:paraId="687C91D2"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2.9</w:t>
            </w:r>
          </w:p>
        </w:tc>
        <w:tc>
          <w:tcPr>
            <w:tcW w:w="939" w:type="dxa"/>
            <w:tcBorders>
              <w:top w:val="nil"/>
              <w:left w:val="single" w:sz="4" w:space="0" w:color="auto"/>
              <w:bottom w:val="nil"/>
              <w:right w:val="single" w:sz="4" w:space="0" w:color="auto"/>
            </w:tcBorders>
            <w:shd w:val="clear" w:color="auto" w:fill="auto"/>
            <w:noWrap/>
            <w:vAlign w:val="center"/>
            <w:hideMark/>
          </w:tcPr>
          <w:p w14:paraId="0DF3026E"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A1</w:t>
            </w:r>
          </w:p>
        </w:tc>
        <w:tc>
          <w:tcPr>
            <w:tcW w:w="630" w:type="dxa"/>
            <w:tcBorders>
              <w:top w:val="nil"/>
              <w:left w:val="single" w:sz="4" w:space="0" w:color="auto"/>
              <w:bottom w:val="nil"/>
              <w:right w:val="single" w:sz="4" w:space="0" w:color="auto"/>
            </w:tcBorders>
            <w:shd w:val="clear" w:color="auto" w:fill="auto"/>
            <w:noWrap/>
            <w:vAlign w:val="center"/>
            <w:hideMark/>
          </w:tcPr>
          <w:p w14:paraId="3EB0E0F8"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AA-</w:t>
            </w:r>
          </w:p>
        </w:tc>
        <w:tc>
          <w:tcPr>
            <w:tcW w:w="830" w:type="dxa"/>
            <w:tcBorders>
              <w:top w:val="nil"/>
              <w:left w:val="single" w:sz="4" w:space="0" w:color="auto"/>
              <w:bottom w:val="nil"/>
              <w:right w:val="single" w:sz="4" w:space="0" w:color="auto"/>
            </w:tcBorders>
            <w:shd w:val="clear" w:color="auto" w:fill="auto"/>
            <w:noWrap/>
            <w:vAlign w:val="center"/>
            <w:hideMark/>
          </w:tcPr>
          <w:p w14:paraId="22B36DFA" w14:textId="12C9CFE8"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2.931</w:t>
            </w:r>
          </w:p>
        </w:tc>
        <w:tc>
          <w:tcPr>
            <w:tcW w:w="1885" w:type="dxa"/>
            <w:tcBorders>
              <w:top w:val="nil"/>
              <w:left w:val="nil"/>
              <w:bottom w:val="nil"/>
              <w:right w:val="single" w:sz="4" w:space="0" w:color="auto"/>
            </w:tcBorders>
            <w:vAlign w:val="center"/>
          </w:tcPr>
          <w:p w14:paraId="588EC82A" w14:textId="51B2517B"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0.791</w:t>
            </w:r>
          </w:p>
        </w:tc>
      </w:tr>
      <w:tr w:rsidR="00145E2B" w:rsidRPr="00075B7C" w14:paraId="56FA6ECA"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75AFE270" w14:textId="77777777" w:rsidR="00D94924" w:rsidRPr="00075B7C" w:rsidRDefault="00D94924" w:rsidP="002F3C17">
            <w:pPr>
              <w:pStyle w:val="ExhibitText"/>
              <w:jc w:val="center"/>
              <w:rPr>
                <w:b/>
                <w:color w:val="000000"/>
                <w:sz w:val="17"/>
                <w:szCs w:val="17"/>
                <w:lang w:eastAsia="zh-CN"/>
              </w:rPr>
            </w:pPr>
          </w:p>
        </w:tc>
        <w:tc>
          <w:tcPr>
            <w:tcW w:w="1771" w:type="dxa"/>
            <w:vMerge/>
            <w:tcBorders>
              <w:top w:val="nil"/>
              <w:left w:val="single" w:sz="4" w:space="0" w:color="auto"/>
              <w:bottom w:val="single" w:sz="4" w:space="0" w:color="auto"/>
              <w:right w:val="single" w:sz="4" w:space="0" w:color="auto"/>
            </w:tcBorders>
            <w:vAlign w:val="center"/>
            <w:hideMark/>
          </w:tcPr>
          <w:p w14:paraId="778EC969" w14:textId="77777777" w:rsidR="00D94924" w:rsidRPr="00075B7C" w:rsidRDefault="00D94924" w:rsidP="002F3C17">
            <w:pPr>
              <w:pStyle w:val="ExhibitText"/>
              <w:jc w:val="left"/>
              <w:rPr>
                <w:color w:val="000000"/>
                <w:sz w:val="17"/>
                <w:szCs w:val="17"/>
                <w:lang w:eastAsia="zh-CN"/>
              </w:rPr>
            </w:pPr>
          </w:p>
        </w:tc>
        <w:tc>
          <w:tcPr>
            <w:tcW w:w="1620" w:type="dxa"/>
            <w:tcBorders>
              <w:top w:val="nil"/>
              <w:left w:val="nil"/>
              <w:bottom w:val="single" w:sz="4" w:space="0" w:color="auto"/>
              <w:right w:val="single" w:sz="4" w:space="0" w:color="auto"/>
            </w:tcBorders>
            <w:shd w:val="clear" w:color="auto" w:fill="auto"/>
            <w:noWrap/>
            <w:vAlign w:val="center"/>
            <w:hideMark/>
          </w:tcPr>
          <w:p w14:paraId="3BD1C28C"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w:t>
            </w:r>
          </w:p>
        </w:tc>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79214302" w14:textId="40ECB23A"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-03-01</w:t>
            </w:r>
          </w:p>
        </w:tc>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0C148EE1"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10</w:t>
            </w:r>
          </w:p>
        </w:tc>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0BB9F7A0"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3.625</w:t>
            </w:r>
          </w:p>
        </w:tc>
        <w:tc>
          <w:tcPr>
            <w:tcW w:w="939" w:type="dxa"/>
            <w:tcBorders>
              <w:top w:val="nil"/>
              <w:left w:val="single" w:sz="4" w:space="0" w:color="auto"/>
              <w:bottom w:val="single" w:sz="4" w:space="0" w:color="auto"/>
              <w:right w:val="single" w:sz="4" w:space="0" w:color="auto"/>
            </w:tcBorders>
            <w:shd w:val="clear" w:color="auto" w:fill="auto"/>
            <w:noWrap/>
            <w:vAlign w:val="center"/>
            <w:hideMark/>
          </w:tcPr>
          <w:p w14:paraId="785D7D34"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A1</w:t>
            </w:r>
          </w:p>
        </w:tc>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35992A0E"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AA-</w:t>
            </w:r>
          </w:p>
        </w:tc>
        <w:tc>
          <w:tcPr>
            <w:tcW w:w="830" w:type="dxa"/>
            <w:tcBorders>
              <w:top w:val="nil"/>
              <w:left w:val="single" w:sz="4" w:space="0" w:color="auto"/>
              <w:bottom w:val="single" w:sz="4" w:space="0" w:color="auto"/>
              <w:right w:val="single" w:sz="4" w:space="0" w:color="auto"/>
            </w:tcBorders>
            <w:shd w:val="clear" w:color="auto" w:fill="auto"/>
            <w:noWrap/>
            <w:vAlign w:val="center"/>
            <w:hideMark/>
          </w:tcPr>
          <w:p w14:paraId="4FEF1FCB" w14:textId="03029513"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3.634</w:t>
            </w:r>
          </w:p>
        </w:tc>
        <w:tc>
          <w:tcPr>
            <w:tcW w:w="1885" w:type="dxa"/>
            <w:tcBorders>
              <w:top w:val="nil"/>
              <w:left w:val="nil"/>
              <w:bottom w:val="single" w:sz="4" w:space="0" w:color="auto"/>
              <w:right w:val="single" w:sz="4" w:space="0" w:color="auto"/>
            </w:tcBorders>
            <w:vAlign w:val="center"/>
          </w:tcPr>
          <w:p w14:paraId="23A39E3E" w14:textId="537E2D0A"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0.944</w:t>
            </w:r>
          </w:p>
        </w:tc>
      </w:tr>
      <w:tr w:rsidR="00145E2B" w:rsidRPr="00075B7C" w14:paraId="4DCF73EE"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6079130C" w14:textId="77777777" w:rsidR="00D94924" w:rsidRPr="00075B7C" w:rsidRDefault="00D94924" w:rsidP="002F3C17">
            <w:pPr>
              <w:pStyle w:val="ExhibitText"/>
              <w:jc w:val="center"/>
              <w:rPr>
                <w:b/>
                <w:color w:val="000000"/>
                <w:sz w:val="17"/>
                <w:szCs w:val="17"/>
                <w:lang w:eastAsia="zh-CN"/>
              </w:rPr>
            </w:pPr>
          </w:p>
        </w:tc>
        <w:tc>
          <w:tcPr>
            <w:tcW w:w="1771" w:type="dxa"/>
            <w:vMerge w:val="restart"/>
            <w:tcBorders>
              <w:top w:val="nil"/>
              <w:left w:val="single" w:sz="4" w:space="0" w:color="auto"/>
              <w:bottom w:val="single" w:sz="4" w:space="0" w:color="auto"/>
              <w:right w:val="single" w:sz="4" w:space="0" w:color="auto"/>
            </w:tcBorders>
            <w:shd w:val="clear" w:color="auto" w:fill="auto"/>
            <w:vAlign w:val="center"/>
            <w:hideMark/>
          </w:tcPr>
          <w:p w14:paraId="1FDCA122" w14:textId="5F135D30" w:rsidR="00D94924" w:rsidRPr="00075B7C" w:rsidRDefault="00D94924" w:rsidP="002F3C17">
            <w:pPr>
              <w:pStyle w:val="ExhibitText"/>
              <w:jc w:val="left"/>
              <w:rPr>
                <w:color w:val="000000"/>
                <w:sz w:val="17"/>
                <w:szCs w:val="17"/>
                <w:lang w:eastAsia="zh-CN"/>
              </w:rPr>
            </w:pPr>
            <w:r w:rsidRPr="00075B7C">
              <w:rPr>
                <w:color w:val="000000"/>
                <w:sz w:val="17"/>
                <w:szCs w:val="17"/>
                <w:lang w:eastAsia="zh-CN"/>
              </w:rPr>
              <w:t>eBay Inc</w:t>
            </w:r>
            <w:r w:rsidR="00145E2B">
              <w:rPr>
                <w:color w:val="000000"/>
                <w:sz w:val="17"/>
                <w:szCs w:val="17"/>
                <w:lang w:eastAsia="zh-CN"/>
              </w:rPr>
              <w:t>.</w:t>
            </w:r>
          </w:p>
        </w:tc>
        <w:tc>
          <w:tcPr>
            <w:tcW w:w="1620" w:type="dxa"/>
            <w:tcBorders>
              <w:top w:val="single" w:sz="4" w:space="0" w:color="auto"/>
              <w:left w:val="nil"/>
              <w:bottom w:val="nil"/>
              <w:right w:val="single" w:sz="4" w:space="0" w:color="auto"/>
            </w:tcBorders>
            <w:shd w:val="clear" w:color="auto" w:fill="auto"/>
            <w:noWrap/>
            <w:vAlign w:val="center"/>
            <w:hideMark/>
          </w:tcPr>
          <w:p w14:paraId="6E1E4CCC"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1.15</w:t>
            </w:r>
          </w:p>
        </w:tc>
        <w:tc>
          <w:tcPr>
            <w:tcW w:w="1471" w:type="dxa"/>
            <w:tcBorders>
              <w:top w:val="single" w:sz="4" w:space="0" w:color="auto"/>
              <w:left w:val="single" w:sz="4" w:space="0" w:color="auto"/>
              <w:bottom w:val="nil"/>
              <w:right w:val="single" w:sz="4" w:space="0" w:color="auto"/>
            </w:tcBorders>
            <w:shd w:val="clear" w:color="auto" w:fill="auto"/>
            <w:noWrap/>
            <w:vAlign w:val="center"/>
            <w:hideMark/>
          </w:tcPr>
          <w:p w14:paraId="1B7517D6" w14:textId="2A92CDE6"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-07-28</w:t>
            </w:r>
          </w:p>
        </w:tc>
        <w:tc>
          <w:tcPr>
            <w:tcW w:w="1350" w:type="dxa"/>
            <w:tcBorders>
              <w:top w:val="single" w:sz="4" w:space="0" w:color="auto"/>
              <w:left w:val="single" w:sz="4" w:space="0" w:color="auto"/>
              <w:bottom w:val="nil"/>
              <w:right w:val="single" w:sz="4" w:space="0" w:color="auto"/>
            </w:tcBorders>
            <w:shd w:val="clear" w:color="auto" w:fill="auto"/>
            <w:noWrap/>
            <w:vAlign w:val="center"/>
            <w:hideMark/>
          </w:tcPr>
          <w:p w14:paraId="76202B9B"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5</w:t>
            </w:r>
          </w:p>
        </w:tc>
        <w:tc>
          <w:tcPr>
            <w:tcW w:w="1241" w:type="dxa"/>
            <w:tcBorders>
              <w:top w:val="single" w:sz="4" w:space="0" w:color="auto"/>
              <w:left w:val="single" w:sz="4" w:space="0" w:color="auto"/>
              <w:bottom w:val="nil"/>
              <w:right w:val="single" w:sz="4" w:space="0" w:color="auto"/>
            </w:tcBorders>
            <w:shd w:val="clear" w:color="auto" w:fill="auto"/>
            <w:noWrap/>
            <w:vAlign w:val="center"/>
            <w:hideMark/>
          </w:tcPr>
          <w:p w14:paraId="4B35C25C"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2.2</w:t>
            </w:r>
          </w:p>
        </w:tc>
        <w:tc>
          <w:tcPr>
            <w:tcW w:w="939" w:type="dxa"/>
            <w:tcBorders>
              <w:top w:val="single" w:sz="4" w:space="0" w:color="auto"/>
              <w:left w:val="single" w:sz="4" w:space="0" w:color="auto"/>
              <w:bottom w:val="nil"/>
              <w:right w:val="single" w:sz="4" w:space="0" w:color="auto"/>
            </w:tcBorders>
            <w:shd w:val="clear" w:color="auto" w:fill="auto"/>
            <w:noWrap/>
            <w:vAlign w:val="center"/>
            <w:hideMark/>
          </w:tcPr>
          <w:p w14:paraId="686E105F" w14:textId="766E2656"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A2</w:t>
            </w:r>
          </w:p>
        </w:tc>
        <w:tc>
          <w:tcPr>
            <w:tcW w:w="630" w:type="dxa"/>
            <w:tcBorders>
              <w:top w:val="single" w:sz="4" w:space="0" w:color="auto"/>
              <w:left w:val="single" w:sz="4" w:space="0" w:color="auto"/>
              <w:bottom w:val="nil"/>
              <w:right w:val="single" w:sz="4" w:space="0" w:color="auto"/>
            </w:tcBorders>
            <w:shd w:val="clear" w:color="auto" w:fill="auto"/>
            <w:noWrap/>
            <w:vAlign w:val="center"/>
            <w:hideMark/>
          </w:tcPr>
          <w:p w14:paraId="6176FB41" w14:textId="5CF1AE4B"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single" w:sz="4" w:space="0" w:color="auto"/>
              <w:left w:val="single" w:sz="4" w:space="0" w:color="auto"/>
              <w:bottom w:val="nil"/>
              <w:right w:val="single" w:sz="4" w:space="0" w:color="auto"/>
            </w:tcBorders>
            <w:shd w:val="clear" w:color="auto" w:fill="auto"/>
            <w:noWrap/>
            <w:vAlign w:val="center"/>
            <w:hideMark/>
          </w:tcPr>
          <w:p w14:paraId="2C91D849" w14:textId="7029953F"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2.247</w:t>
            </w:r>
          </w:p>
        </w:tc>
        <w:tc>
          <w:tcPr>
            <w:tcW w:w="1885" w:type="dxa"/>
            <w:tcBorders>
              <w:top w:val="single" w:sz="4" w:space="0" w:color="auto"/>
              <w:left w:val="nil"/>
              <w:bottom w:val="nil"/>
              <w:right w:val="single" w:sz="4" w:space="0" w:color="auto"/>
            </w:tcBorders>
            <w:vAlign w:val="center"/>
          </w:tcPr>
          <w:p w14:paraId="72234308" w14:textId="3EB866DC"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0.557</w:t>
            </w:r>
          </w:p>
        </w:tc>
      </w:tr>
      <w:tr w:rsidR="00145E2B" w:rsidRPr="00075B7C" w14:paraId="7607ABF8"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2A9F4C33" w14:textId="77777777" w:rsidR="00D94924" w:rsidRPr="00075B7C" w:rsidRDefault="00D94924" w:rsidP="002F3C17">
            <w:pPr>
              <w:pStyle w:val="ExhibitText"/>
              <w:jc w:val="center"/>
              <w:rPr>
                <w:b/>
                <w:color w:val="000000"/>
                <w:sz w:val="17"/>
                <w:szCs w:val="17"/>
                <w:lang w:eastAsia="zh-CN"/>
              </w:rPr>
            </w:pPr>
          </w:p>
        </w:tc>
        <w:tc>
          <w:tcPr>
            <w:tcW w:w="1771" w:type="dxa"/>
            <w:vMerge/>
            <w:tcBorders>
              <w:top w:val="nil"/>
              <w:left w:val="single" w:sz="4" w:space="0" w:color="auto"/>
              <w:bottom w:val="single" w:sz="4" w:space="0" w:color="auto"/>
              <w:right w:val="single" w:sz="4" w:space="0" w:color="auto"/>
            </w:tcBorders>
            <w:vAlign w:val="center"/>
            <w:hideMark/>
          </w:tcPr>
          <w:p w14:paraId="3C3B1918" w14:textId="77777777" w:rsidR="00D94924" w:rsidRPr="00075B7C" w:rsidRDefault="00D94924" w:rsidP="002F3C17">
            <w:pPr>
              <w:pStyle w:val="ExhibitText"/>
              <w:jc w:val="left"/>
              <w:rPr>
                <w:color w:val="000000"/>
                <w:sz w:val="17"/>
                <w:szCs w:val="17"/>
                <w:lang w:eastAsia="zh-CN"/>
              </w:rPr>
            </w:pPr>
          </w:p>
        </w:tc>
        <w:tc>
          <w:tcPr>
            <w:tcW w:w="1620" w:type="dxa"/>
            <w:tcBorders>
              <w:top w:val="nil"/>
              <w:left w:val="nil"/>
              <w:bottom w:val="nil"/>
              <w:right w:val="single" w:sz="4" w:space="0" w:color="auto"/>
            </w:tcBorders>
            <w:shd w:val="clear" w:color="auto" w:fill="auto"/>
            <w:noWrap/>
            <w:vAlign w:val="center"/>
            <w:hideMark/>
          </w:tcPr>
          <w:p w14:paraId="423E7C05"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0.75</w:t>
            </w:r>
          </w:p>
        </w:tc>
        <w:tc>
          <w:tcPr>
            <w:tcW w:w="1471" w:type="dxa"/>
            <w:tcBorders>
              <w:top w:val="nil"/>
              <w:left w:val="single" w:sz="4" w:space="0" w:color="auto"/>
              <w:bottom w:val="nil"/>
              <w:right w:val="single" w:sz="4" w:space="0" w:color="auto"/>
            </w:tcBorders>
            <w:shd w:val="clear" w:color="auto" w:fill="auto"/>
            <w:noWrap/>
            <w:vAlign w:val="center"/>
            <w:hideMark/>
          </w:tcPr>
          <w:p w14:paraId="72289E89" w14:textId="434EEA2D"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-07-28</w:t>
            </w:r>
          </w:p>
        </w:tc>
        <w:tc>
          <w:tcPr>
            <w:tcW w:w="1350" w:type="dxa"/>
            <w:tcBorders>
              <w:top w:val="nil"/>
              <w:left w:val="single" w:sz="4" w:space="0" w:color="auto"/>
              <w:bottom w:val="nil"/>
              <w:right w:val="single" w:sz="4" w:space="0" w:color="auto"/>
            </w:tcBorders>
            <w:shd w:val="clear" w:color="auto" w:fill="auto"/>
            <w:noWrap/>
            <w:vAlign w:val="center"/>
            <w:hideMark/>
          </w:tcPr>
          <w:p w14:paraId="1B56DBFE"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7</w:t>
            </w:r>
          </w:p>
        </w:tc>
        <w:tc>
          <w:tcPr>
            <w:tcW w:w="1241" w:type="dxa"/>
            <w:tcBorders>
              <w:top w:val="nil"/>
              <w:left w:val="single" w:sz="4" w:space="0" w:color="auto"/>
              <w:bottom w:val="nil"/>
              <w:right w:val="single" w:sz="4" w:space="0" w:color="auto"/>
            </w:tcBorders>
            <w:shd w:val="clear" w:color="auto" w:fill="auto"/>
            <w:noWrap/>
            <w:vAlign w:val="center"/>
            <w:hideMark/>
          </w:tcPr>
          <w:p w14:paraId="6E425A3D"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2.875</w:t>
            </w:r>
          </w:p>
        </w:tc>
        <w:tc>
          <w:tcPr>
            <w:tcW w:w="939" w:type="dxa"/>
            <w:tcBorders>
              <w:top w:val="nil"/>
              <w:left w:val="single" w:sz="4" w:space="0" w:color="auto"/>
              <w:bottom w:val="nil"/>
              <w:right w:val="single" w:sz="4" w:space="0" w:color="auto"/>
            </w:tcBorders>
            <w:shd w:val="clear" w:color="auto" w:fill="auto"/>
            <w:noWrap/>
            <w:vAlign w:val="center"/>
            <w:hideMark/>
          </w:tcPr>
          <w:p w14:paraId="028CD47E" w14:textId="7AC1A6BA"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A2</w:t>
            </w:r>
          </w:p>
        </w:tc>
        <w:tc>
          <w:tcPr>
            <w:tcW w:w="630" w:type="dxa"/>
            <w:tcBorders>
              <w:top w:val="nil"/>
              <w:left w:val="single" w:sz="4" w:space="0" w:color="auto"/>
              <w:bottom w:val="nil"/>
              <w:right w:val="single" w:sz="4" w:space="0" w:color="auto"/>
            </w:tcBorders>
            <w:shd w:val="clear" w:color="auto" w:fill="auto"/>
            <w:noWrap/>
            <w:vAlign w:val="center"/>
            <w:hideMark/>
          </w:tcPr>
          <w:p w14:paraId="6FC0A2D6" w14:textId="457A9B89"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nil"/>
              <w:left w:val="single" w:sz="4" w:space="0" w:color="auto"/>
              <w:bottom w:val="nil"/>
              <w:right w:val="single" w:sz="4" w:space="0" w:color="auto"/>
            </w:tcBorders>
            <w:shd w:val="clear" w:color="auto" w:fill="auto"/>
            <w:noWrap/>
            <w:vAlign w:val="center"/>
            <w:hideMark/>
          </w:tcPr>
          <w:p w14:paraId="4C33ED5F" w14:textId="20B8AFEF"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2.912</w:t>
            </w:r>
          </w:p>
        </w:tc>
        <w:tc>
          <w:tcPr>
            <w:tcW w:w="1885" w:type="dxa"/>
            <w:tcBorders>
              <w:top w:val="nil"/>
              <w:left w:val="nil"/>
              <w:bottom w:val="nil"/>
              <w:right w:val="single" w:sz="4" w:space="0" w:color="auto"/>
            </w:tcBorders>
            <w:vAlign w:val="center"/>
          </w:tcPr>
          <w:p w14:paraId="7F262934" w14:textId="0BADB2C9"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0.772</w:t>
            </w:r>
          </w:p>
        </w:tc>
      </w:tr>
      <w:tr w:rsidR="00145E2B" w:rsidRPr="00075B7C" w14:paraId="44DF8CBC"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1F5D4181" w14:textId="77777777" w:rsidR="00D94924" w:rsidRPr="00075B7C" w:rsidRDefault="00D94924" w:rsidP="002F3C17">
            <w:pPr>
              <w:pStyle w:val="ExhibitText"/>
              <w:jc w:val="center"/>
              <w:rPr>
                <w:b/>
                <w:color w:val="000000"/>
                <w:sz w:val="17"/>
                <w:szCs w:val="17"/>
                <w:lang w:eastAsia="zh-CN"/>
              </w:rPr>
            </w:pPr>
          </w:p>
        </w:tc>
        <w:tc>
          <w:tcPr>
            <w:tcW w:w="1771" w:type="dxa"/>
            <w:vMerge/>
            <w:tcBorders>
              <w:top w:val="nil"/>
              <w:left w:val="single" w:sz="4" w:space="0" w:color="auto"/>
              <w:bottom w:val="single" w:sz="4" w:space="0" w:color="auto"/>
              <w:right w:val="single" w:sz="4" w:space="0" w:color="auto"/>
            </w:tcBorders>
            <w:vAlign w:val="center"/>
            <w:hideMark/>
          </w:tcPr>
          <w:p w14:paraId="57A6C7CE" w14:textId="77777777" w:rsidR="00D94924" w:rsidRPr="00075B7C" w:rsidRDefault="00D94924" w:rsidP="002F3C17">
            <w:pPr>
              <w:pStyle w:val="ExhibitText"/>
              <w:jc w:val="left"/>
              <w:rPr>
                <w:color w:val="000000"/>
                <w:sz w:val="17"/>
                <w:szCs w:val="17"/>
                <w:lang w:eastAsia="zh-CN"/>
              </w:rPr>
            </w:pPr>
          </w:p>
        </w:tc>
        <w:tc>
          <w:tcPr>
            <w:tcW w:w="1620" w:type="dxa"/>
            <w:tcBorders>
              <w:top w:val="nil"/>
              <w:left w:val="nil"/>
              <w:bottom w:val="single" w:sz="4" w:space="0" w:color="auto"/>
              <w:right w:val="single" w:sz="4" w:space="0" w:color="auto"/>
            </w:tcBorders>
            <w:shd w:val="clear" w:color="auto" w:fill="auto"/>
            <w:noWrap/>
            <w:vAlign w:val="center"/>
            <w:hideMark/>
          </w:tcPr>
          <w:p w14:paraId="344C10CA"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0.75</w:t>
            </w:r>
          </w:p>
        </w:tc>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652CDEE3" w14:textId="21B07E98"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-07-28</w:t>
            </w:r>
          </w:p>
        </w:tc>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056F8B93"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10</w:t>
            </w:r>
          </w:p>
        </w:tc>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234A4977"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3.45</w:t>
            </w:r>
          </w:p>
        </w:tc>
        <w:tc>
          <w:tcPr>
            <w:tcW w:w="939" w:type="dxa"/>
            <w:tcBorders>
              <w:top w:val="nil"/>
              <w:left w:val="single" w:sz="4" w:space="0" w:color="auto"/>
              <w:bottom w:val="single" w:sz="4" w:space="0" w:color="auto"/>
              <w:right w:val="single" w:sz="4" w:space="0" w:color="auto"/>
            </w:tcBorders>
            <w:shd w:val="clear" w:color="auto" w:fill="auto"/>
            <w:noWrap/>
            <w:vAlign w:val="center"/>
            <w:hideMark/>
          </w:tcPr>
          <w:p w14:paraId="73F12382" w14:textId="72262694"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A2</w:t>
            </w:r>
          </w:p>
        </w:tc>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04EC24CC" w14:textId="0AF56231"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nil"/>
              <w:left w:val="single" w:sz="4" w:space="0" w:color="auto"/>
              <w:bottom w:val="single" w:sz="4" w:space="0" w:color="auto"/>
              <w:right w:val="single" w:sz="4" w:space="0" w:color="auto"/>
            </w:tcBorders>
            <w:shd w:val="clear" w:color="auto" w:fill="auto"/>
            <w:noWrap/>
            <w:vAlign w:val="center"/>
            <w:hideMark/>
          </w:tcPr>
          <w:p w14:paraId="724C4F3E" w14:textId="19964F3E"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3.463</w:t>
            </w:r>
          </w:p>
        </w:tc>
        <w:tc>
          <w:tcPr>
            <w:tcW w:w="1885" w:type="dxa"/>
            <w:tcBorders>
              <w:top w:val="nil"/>
              <w:left w:val="nil"/>
              <w:bottom w:val="single" w:sz="4" w:space="0" w:color="auto"/>
              <w:right w:val="single" w:sz="4" w:space="0" w:color="auto"/>
            </w:tcBorders>
            <w:vAlign w:val="center"/>
          </w:tcPr>
          <w:p w14:paraId="7488F302" w14:textId="02C4A488"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0.973</w:t>
            </w:r>
          </w:p>
        </w:tc>
      </w:tr>
      <w:tr w:rsidR="00145E2B" w:rsidRPr="00075B7C" w14:paraId="161FD94D"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4F26EF9F" w14:textId="77777777" w:rsidR="00D94924" w:rsidRPr="00075B7C" w:rsidRDefault="00D94924" w:rsidP="002F3C17">
            <w:pPr>
              <w:pStyle w:val="ExhibitText"/>
              <w:jc w:val="center"/>
              <w:rPr>
                <w:b/>
                <w:color w:val="000000"/>
                <w:sz w:val="17"/>
                <w:szCs w:val="17"/>
                <w:lang w:eastAsia="zh-CN"/>
              </w:rPr>
            </w:pPr>
          </w:p>
        </w:tc>
        <w:tc>
          <w:tcPr>
            <w:tcW w:w="1771" w:type="dxa"/>
            <w:tcBorders>
              <w:top w:val="nil"/>
              <w:left w:val="nil"/>
              <w:bottom w:val="single" w:sz="4" w:space="0" w:color="auto"/>
              <w:right w:val="single" w:sz="4" w:space="0" w:color="auto"/>
            </w:tcBorders>
            <w:shd w:val="clear" w:color="auto" w:fill="auto"/>
            <w:vAlign w:val="center"/>
            <w:hideMark/>
          </w:tcPr>
          <w:p w14:paraId="23C3931C" w14:textId="526A0D64" w:rsidR="00D94924" w:rsidRPr="00075B7C" w:rsidRDefault="00D94924" w:rsidP="002F3C17">
            <w:pPr>
              <w:pStyle w:val="ExhibitText"/>
              <w:jc w:val="left"/>
              <w:rPr>
                <w:color w:val="000000"/>
                <w:sz w:val="17"/>
                <w:szCs w:val="17"/>
                <w:lang w:eastAsia="zh-CN"/>
              </w:rPr>
            </w:pPr>
            <w:r w:rsidRPr="00075B7C">
              <w:rPr>
                <w:color w:val="000000"/>
                <w:sz w:val="17"/>
                <w:szCs w:val="17"/>
                <w:lang w:eastAsia="zh-CN"/>
              </w:rPr>
              <w:t>Google Inc</w:t>
            </w:r>
            <w:r w:rsidR="001D237E">
              <w:rPr>
                <w:color w:val="000000"/>
                <w:sz w:val="17"/>
                <w:szCs w:val="17"/>
                <w:lang w:eastAsia="zh-CN"/>
              </w:rPr>
              <w:t>.</w:t>
            </w:r>
          </w:p>
        </w:tc>
        <w:tc>
          <w:tcPr>
            <w:tcW w:w="1620" w:type="dxa"/>
            <w:tcBorders>
              <w:top w:val="nil"/>
              <w:left w:val="nil"/>
              <w:bottom w:val="single" w:sz="4" w:space="0" w:color="auto"/>
              <w:right w:val="single" w:sz="4" w:space="0" w:color="auto"/>
            </w:tcBorders>
            <w:shd w:val="clear" w:color="auto" w:fill="auto"/>
            <w:noWrap/>
            <w:vAlign w:val="center"/>
            <w:hideMark/>
          </w:tcPr>
          <w:p w14:paraId="20EF65AD"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w:t>
            </w:r>
          </w:p>
        </w:tc>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1B1C62C9" w14:textId="4CE8A7C2"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-02-25</w:t>
            </w:r>
          </w:p>
        </w:tc>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2B0670B1"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10</w:t>
            </w:r>
          </w:p>
        </w:tc>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311E0E91"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3.375</w:t>
            </w:r>
          </w:p>
        </w:tc>
        <w:tc>
          <w:tcPr>
            <w:tcW w:w="939" w:type="dxa"/>
            <w:tcBorders>
              <w:top w:val="nil"/>
              <w:left w:val="single" w:sz="4" w:space="0" w:color="auto"/>
              <w:bottom w:val="single" w:sz="4" w:space="0" w:color="auto"/>
              <w:right w:val="single" w:sz="4" w:space="0" w:color="auto"/>
            </w:tcBorders>
            <w:shd w:val="clear" w:color="auto" w:fill="auto"/>
            <w:noWrap/>
            <w:vAlign w:val="center"/>
            <w:hideMark/>
          </w:tcPr>
          <w:p w14:paraId="6921A977"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Aa2</w:t>
            </w:r>
          </w:p>
        </w:tc>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B6F1D6F"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AA</w:t>
            </w:r>
          </w:p>
        </w:tc>
        <w:tc>
          <w:tcPr>
            <w:tcW w:w="830" w:type="dxa"/>
            <w:tcBorders>
              <w:top w:val="nil"/>
              <w:left w:val="single" w:sz="4" w:space="0" w:color="auto"/>
              <w:bottom w:val="single" w:sz="4" w:space="0" w:color="auto"/>
              <w:right w:val="single" w:sz="4" w:space="0" w:color="auto"/>
            </w:tcBorders>
            <w:shd w:val="clear" w:color="auto" w:fill="auto"/>
            <w:noWrap/>
            <w:vAlign w:val="center"/>
            <w:hideMark/>
          </w:tcPr>
          <w:p w14:paraId="00C9180D" w14:textId="7C2DA3FA"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3.376</w:t>
            </w:r>
          </w:p>
        </w:tc>
        <w:tc>
          <w:tcPr>
            <w:tcW w:w="1885" w:type="dxa"/>
            <w:tcBorders>
              <w:top w:val="nil"/>
              <w:left w:val="nil"/>
              <w:bottom w:val="single" w:sz="4" w:space="0" w:color="auto"/>
              <w:right w:val="single" w:sz="4" w:space="0" w:color="auto"/>
            </w:tcBorders>
            <w:vAlign w:val="center"/>
          </w:tcPr>
          <w:p w14:paraId="3DAC4D57" w14:textId="147899B8"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0.646</w:t>
            </w:r>
          </w:p>
        </w:tc>
      </w:tr>
      <w:tr w:rsidR="00145E2B" w:rsidRPr="00075B7C" w14:paraId="76456070"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5EE023FB" w14:textId="77777777" w:rsidR="00D94924" w:rsidRPr="00075B7C" w:rsidRDefault="00D94924" w:rsidP="002F3C17">
            <w:pPr>
              <w:pStyle w:val="ExhibitText"/>
              <w:jc w:val="center"/>
              <w:rPr>
                <w:b/>
                <w:color w:val="000000"/>
                <w:sz w:val="17"/>
                <w:szCs w:val="17"/>
                <w:lang w:eastAsia="zh-CN"/>
              </w:rPr>
            </w:pPr>
          </w:p>
        </w:tc>
        <w:tc>
          <w:tcPr>
            <w:tcW w:w="17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D13930" w14:textId="3BE37D4E" w:rsidR="00D94924" w:rsidRPr="00075B7C" w:rsidRDefault="00D94924" w:rsidP="002F3C17">
            <w:pPr>
              <w:pStyle w:val="ExhibitText"/>
              <w:jc w:val="left"/>
              <w:rPr>
                <w:color w:val="000000"/>
                <w:sz w:val="17"/>
                <w:szCs w:val="17"/>
                <w:lang w:eastAsia="zh-CN"/>
              </w:rPr>
            </w:pPr>
            <w:r w:rsidRPr="00075B7C">
              <w:rPr>
                <w:color w:val="000000"/>
                <w:sz w:val="17"/>
                <w:szCs w:val="17"/>
                <w:lang w:eastAsia="zh-CN"/>
              </w:rPr>
              <w:t>Oracle Corp</w:t>
            </w:r>
            <w:r w:rsidR="001D237E">
              <w:rPr>
                <w:color w:val="000000"/>
                <w:sz w:val="17"/>
                <w:szCs w:val="17"/>
                <w:lang w:eastAsia="zh-CN"/>
              </w:rPr>
              <w:t>oration</w:t>
            </w:r>
          </w:p>
        </w:tc>
        <w:tc>
          <w:tcPr>
            <w:tcW w:w="1620" w:type="dxa"/>
            <w:tcBorders>
              <w:top w:val="single" w:sz="4" w:space="0" w:color="auto"/>
              <w:left w:val="nil"/>
              <w:bottom w:val="nil"/>
              <w:right w:val="single" w:sz="4" w:space="0" w:color="auto"/>
            </w:tcBorders>
            <w:shd w:val="clear" w:color="auto" w:fill="auto"/>
            <w:noWrap/>
            <w:vAlign w:val="center"/>
            <w:hideMark/>
          </w:tcPr>
          <w:p w14:paraId="108BBA96"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1.5</w:t>
            </w:r>
          </w:p>
        </w:tc>
        <w:tc>
          <w:tcPr>
            <w:tcW w:w="1471" w:type="dxa"/>
            <w:tcBorders>
              <w:top w:val="single" w:sz="4" w:space="0" w:color="auto"/>
              <w:left w:val="single" w:sz="4" w:space="0" w:color="auto"/>
              <w:bottom w:val="nil"/>
              <w:right w:val="single" w:sz="4" w:space="0" w:color="auto"/>
            </w:tcBorders>
            <w:shd w:val="clear" w:color="auto" w:fill="auto"/>
            <w:noWrap/>
            <w:vAlign w:val="center"/>
            <w:hideMark/>
          </w:tcPr>
          <w:p w14:paraId="5B81BF4B" w14:textId="71ADE2F6"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2013</w:t>
            </w:r>
            <w:r w:rsidR="00A371F2">
              <w:rPr>
                <w:rFonts w:eastAsia="SimSun"/>
                <w:sz w:val="17"/>
                <w:szCs w:val="17"/>
                <w:lang w:eastAsia="zh-CN"/>
              </w:rPr>
              <w:t>-07-16</w:t>
            </w:r>
          </w:p>
        </w:tc>
        <w:tc>
          <w:tcPr>
            <w:tcW w:w="1350" w:type="dxa"/>
            <w:tcBorders>
              <w:top w:val="single" w:sz="4" w:space="0" w:color="auto"/>
              <w:left w:val="single" w:sz="4" w:space="0" w:color="auto"/>
              <w:bottom w:val="nil"/>
              <w:right w:val="single" w:sz="4" w:space="0" w:color="auto"/>
            </w:tcBorders>
            <w:shd w:val="clear" w:color="auto" w:fill="auto"/>
            <w:noWrap/>
            <w:vAlign w:val="center"/>
            <w:hideMark/>
          </w:tcPr>
          <w:p w14:paraId="1B947FEF"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5</w:t>
            </w:r>
          </w:p>
        </w:tc>
        <w:tc>
          <w:tcPr>
            <w:tcW w:w="1241" w:type="dxa"/>
            <w:tcBorders>
              <w:top w:val="single" w:sz="4" w:space="0" w:color="auto"/>
              <w:left w:val="single" w:sz="4" w:space="0" w:color="auto"/>
              <w:bottom w:val="nil"/>
              <w:right w:val="single" w:sz="4" w:space="0" w:color="auto"/>
            </w:tcBorders>
            <w:shd w:val="clear" w:color="auto" w:fill="auto"/>
            <w:noWrap/>
            <w:vAlign w:val="center"/>
            <w:hideMark/>
          </w:tcPr>
          <w:p w14:paraId="2AFCA594"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2.375</w:t>
            </w:r>
          </w:p>
        </w:tc>
        <w:tc>
          <w:tcPr>
            <w:tcW w:w="939" w:type="dxa"/>
            <w:tcBorders>
              <w:top w:val="single" w:sz="4" w:space="0" w:color="auto"/>
              <w:left w:val="single" w:sz="4" w:space="0" w:color="auto"/>
              <w:bottom w:val="nil"/>
              <w:right w:val="single" w:sz="4" w:space="0" w:color="auto"/>
            </w:tcBorders>
            <w:shd w:val="clear" w:color="auto" w:fill="auto"/>
            <w:noWrap/>
            <w:vAlign w:val="center"/>
            <w:hideMark/>
          </w:tcPr>
          <w:p w14:paraId="3968E99F"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A1</w:t>
            </w:r>
          </w:p>
        </w:tc>
        <w:tc>
          <w:tcPr>
            <w:tcW w:w="630" w:type="dxa"/>
            <w:tcBorders>
              <w:top w:val="single" w:sz="4" w:space="0" w:color="auto"/>
              <w:left w:val="single" w:sz="4" w:space="0" w:color="auto"/>
              <w:bottom w:val="nil"/>
              <w:right w:val="single" w:sz="4" w:space="0" w:color="auto"/>
            </w:tcBorders>
            <w:shd w:val="clear" w:color="auto" w:fill="auto"/>
            <w:noWrap/>
            <w:vAlign w:val="center"/>
            <w:hideMark/>
          </w:tcPr>
          <w:p w14:paraId="08D73DD9"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single" w:sz="4" w:space="0" w:color="auto"/>
              <w:left w:val="single" w:sz="4" w:space="0" w:color="auto"/>
              <w:bottom w:val="nil"/>
              <w:right w:val="single" w:sz="4" w:space="0" w:color="auto"/>
            </w:tcBorders>
            <w:shd w:val="clear" w:color="auto" w:fill="auto"/>
            <w:noWrap/>
            <w:vAlign w:val="center"/>
            <w:hideMark/>
          </w:tcPr>
          <w:p w14:paraId="446C7371" w14:textId="10F258A4"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2.446</w:t>
            </w:r>
          </w:p>
        </w:tc>
        <w:tc>
          <w:tcPr>
            <w:tcW w:w="1885" w:type="dxa"/>
            <w:tcBorders>
              <w:top w:val="single" w:sz="4" w:space="0" w:color="auto"/>
              <w:left w:val="nil"/>
              <w:bottom w:val="nil"/>
              <w:right w:val="single" w:sz="4" w:space="0" w:color="auto"/>
            </w:tcBorders>
            <w:vAlign w:val="center"/>
          </w:tcPr>
          <w:p w14:paraId="0F958614" w14:textId="36E8DD45"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0.966</w:t>
            </w:r>
          </w:p>
        </w:tc>
      </w:tr>
      <w:tr w:rsidR="00145E2B" w:rsidRPr="00075B7C" w14:paraId="2F161CA6"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5E91AB36" w14:textId="77777777" w:rsidR="00D94924" w:rsidRPr="00075B7C" w:rsidRDefault="00D94924" w:rsidP="002F3C17">
            <w:pPr>
              <w:pStyle w:val="ExhibitText"/>
              <w:jc w:val="center"/>
              <w:rPr>
                <w:b/>
                <w:color w:val="000000"/>
                <w:sz w:val="17"/>
                <w:szCs w:val="17"/>
                <w:lang w:eastAsia="zh-CN"/>
              </w:rPr>
            </w:pPr>
          </w:p>
        </w:tc>
        <w:tc>
          <w:tcPr>
            <w:tcW w:w="1771" w:type="dxa"/>
            <w:vMerge/>
            <w:tcBorders>
              <w:top w:val="nil"/>
              <w:left w:val="single" w:sz="4" w:space="0" w:color="auto"/>
              <w:bottom w:val="dotted" w:sz="4" w:space="0" w:color="auto"/>
              <w:right w:val="single" w:sz="4" w:space="0" w:color="auto"/>
            </w:tcBorders>
            <w:vAlign w:val="center"/>
            <w:hideMark/>
          </w:tcPr>
          <w:p w14:paraId="156220A5" w14:textId="77777777" w:rsidR="00D94924" w:rsidRPr="00075B7C" w:rsidRDefault="00D94924" w:rsidP="002F3C17">
            <w:pPr>
              <w:pStyle w:val="ExhibitText"/>
              <w:jc w:val="left"/>
              <w:rPr>
                <w:color w:val="000000"/>
                <w:sz w:val="17"/>
                <w:szCs w:val="17"/>
                <w:lang w:eastAsia="zh-CN"/>
              </w:rPr>
            </w:pPr>
          </w:p>
        </w:tc>
        <w:tc>
          <w:tcPr>
            <w:tcW w:w="1620" w:type="dxa"/>
            <w:tcBorders>
              <w:top w:val="nil"/>
              <w:left w:val="nil"/>
              <w:bottom w:val="dotted" w:sz="4" w:space="0" w:color="auto"/>
              <w:right w:val="single" w:sz="4" w:space="0" w:color="auto"/>
            </w:tcBorders>
            <w:shd w:val="clear" w:color="auto" w:fill="auto"/>
            <w:noWrap/>
            <w:vAlign w:val="center"/>
            <w:hideMark/>
          </w:tcPr>
          <w:p w14:paraId="708B0E3D"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w:t>
            </w:r>
          </w:p>
        </w:tc>
        <w:tc>
          <w:tcPr>
            <w:tcW w:w="1471" w:type="dxa"/>
            <w:tcBorders>
              <w:top w:val="nil"/>
              <w:left w:val="single" w:sz="4" w:space="0" w:color="auto"/>
              <w:bottom w:val="dotted" w:sz="4" w:space="0" w:color="auto"/>
              <w:right w:val="single" w:sz="4" w:space="0" w:color="auto"/>
            </w:tcBorders>
            <w:shd w:val="clear" w:color="auto" w:fill="auto"/>
            <w:noWrap/>
            <w:vAlign w:val="center"/>
            <w:hideMark/>
          </w:tcPr>
          <w:p w14:paraId="21AE321F" w14:textId="1E7D7B1B"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2013</w:t>
            </w:r>
            <w:r w:rsidR="00A371F2">
              <w:rPr>
                <w:rFonts w:eastAsia="SimSun"/>
                <w:sz w:val="17"/>
                <w:szCs w:val="17"/>
                <w:lang w:eastAsia="zh-CN"/>
              </w:rPr>
              <w:t>-07-16</w:t>
            </w:r>
          </w:p>
        </w:tc>
        <w:tc>
          <w:tcPr>
            <w:tcW w:w="1350" w:type="dxa"/>
            <w:tcBorders>
              <w:top w:val="nil"/>
              <w:left w:val="single" w:sz="4" w:space="0" w:color="auto"/>
              <w:bottom w:val="dotted" w:sz="4" w:space="0" w:color="auto"/>
              <w:right w:val="single" w:sz="4" w:space="0" w:color="auto"/>
            </w:tcBorders>
            <w:shd w:val="clear" w:color="auto" w:fill="auto"/>
            <w:noWrap/>
            <w:vAlign w:val="center"/>
            <w:hideMark/>
          </w:tcPr>
          <w:p w14:paraId="32C5A1C2"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10</w:t>
            </w:r>
          </w:p>
        </w:tc>
        <w:tc>
          <w:tcPr>
            <w:tcW w:w="1241" w:type="dxa"/>
            <w:tcBorders>
              <w:top w:val="nil"/>
              <w:left w:val="single" w:sz="4" w:space="0" w:color="auto"/>
              <w:bottom w:val="dotted" w:sz="4" w:space="0" w:color="auto"/>
              <w:right w:val="single" w:sz="4" w:space="0" w:color="auto"/>
            </w:tcBorders>
            <w:shd w:val="clear" w:color="auto" w:fill="auto"/>
            <w:noWrap/>
            <w:vAlign w:val="center"/>
            <w:hideMark/>
          </w:tcPr>
          <w:p w14:paraId="62DB68CA"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3.625</w:t>
            </w:r>
          </w:p>
        </w:tc>
        <w:tc>
          <w:tcPr>
            <w:tcW w:w="939" w:type="dxa"/>
            <w:tcBorders>
              <w:top w:val="nil"/>
              <w:left w:val="single" w:sz="4" w:space="0" w:color="auto"/>
              <w:bottom w:val="dotted" w:sz="4" w:space="0" w:color="auto"/>
              <w:right w:val="single" w:sz="4" w:space="0" w:color="auto"/>
            </w:tcBorders>
            <w:shd w:val="clear" w:color="auto" w:fill="auto"/>
            <w:noWrap/>
            <w:vAlign w:val="center"/>
            <w:hideMark/>
          </w:tcPr>
          <w:p w14:paraId="164FFB01"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A1</w:t>
            </w:r>
          </w:p>
        </w:tc>
        <w:tc>
          <w:tcPr>
            <w:tcW w:w="630" w:type="dxa"/>
            <w:tcBorders>
              <w:top w:val="nil"/>
              <w:left w:val="single" w:sz="4" w:space="0" w:color="auto"/>
              <w:bottom w:val="dotted" w:sz="4" w:space="0" w:color="auto"/>
              <w:right w:val="single" w:sz="4" w:space="0" w:color="auto"/>
            </w:tcBorders>
            <w:shd w:val="clear" w:color="auto" w:fill="auto"/>
            <w:noWrap/>
            <w:vAlign w:val="center"/>
            <w:hideMark/>
          </w:tcPr>
          <w:p w14:paraId="155D253D"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nil"/>
              <w:left w:val="single" w:sz="4" w:space="0" w:color="auto"/>
              <w:bottom w:val="dotted" w:sz="4" w:space="0" w:color="auto"/>
              <w:right w:val="single" w:sz="4" w:space="0" w:color="auto"/>
            </w:tcBorders>
            <w:shd w:val="clear" w:color="auto" w:fill="auto"/>
            <w:noWrap/>
            <w:vAlign w:val="center"/>
            <w:hideMark/>
          </w:tcPr>
          <w:p w14:paraId="316A60C4" w14:textId="6D82E1B9"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3.748</w:t>
            </w:r>
          </w:p>
        </w:tc>
        <w:tc>
          <w:tcPr>
            <w:tcW w:w="1885" w:type="dxa"/>
            <w:tcBorders>
              <w:top w:val="nil"/>
              <w:left w:val="nil"/>
              <w:bottom w:val="dotted" w:sz="4" w:space="0" w:color="auto"/>
              <w:right w:val="single" w:sz="4" w:space="0" w:color="auto"/>
            </w:tcBorders>
            <w:vAlign w:val="center"/>
          </w:tcPr>
          <w:p w14:paraId="590EFD3E" w14:textId="4EE888E2"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1.108</w:t>
            </w:r>
          </w:p>
        </w:tc>
      </w:tr>
      <w:tr w:rsidR="00145E2B" w:rsidRPr="00075B7C" w14:paraId="6B380DFB"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7E55E012" w14:textId="77777777" w:rsidR="00D94924" w:rsidRPr="00075B7C" w:rsidRDefault="00D94924" w:rsidP="002F3C17">
            <w:pPr>
              <w:pStyle w:val="ExhibitText"/>
              <w:jc w:val="center"/>
              <w:rPr>
                <w:b/>
                <w:color w:val="000000"/>
                <w:sz w:val="17"/>
                <w:szCs w:val="17"/>
                <w:lang w:eastAsia="zh-CN"/>
              </w:rPr>
            </w:pPr>
          </w:p>
        </w:tc>
        <w:tc>
          <w:tcPr>
            <w:tcW w:w="1771" w:type="dxa"/>
            <w:vMerge w:val="restart"/>
            <w:tcBorders>
              <w:top w:val="dotted" w:sz="4" w:space="0" w:color="auto"/>
              <w:left w:val="single" w:sz="4" w:space="0" w:color="auto"/>
              <w:bottom w:val="single" w:sz="4" w:space="0" w:color="auto"/>
              <w:right w:val="single" w:sz="4" w:space="0" w:color="auto"/>
            </w:tcBorders>
            <w:shd w:val="clear" w:color="auto" w:fill="auto"/>
            <w:vAlign w:val="center"/>
            <w:hideMark/>
          </w:tcPr>
          <w:p w14:paraId="3F821597" w14:textId="2CB6C4DF" w:rsidR="00D94924" w:rsidRPr="00075B7C" w:rsidRDefault="00D94924" w:rsidP="002F3C17">
            <w:pPr>
              <w:pStyle w:val="ExhibitText"/>
              <w:jc w:val="left"/>
              <w:rPr>
                <w:color w:val="000000"/>
                <w:sz w:val="17"/>
                <w:szCs w:val="17"/>
                <w:lang w:eastAsia="zh-CN"/>
              </w:rPr>
            </w:pPr>
            <w:r w:rsidRPr="00075B7C">
              <w:rPr>
                <w:color w:val="000000"/>
                <w:sz w:val="17"/>
                <w:szCs w:val="17"/>
                <w:lang w:eastAsia="zh-CN"/>
              </w:rPr>
              <w:t>Oracle Corp</w:t>
            </w:r>
            <w:r w:rsidR="001D237E">
              <w:rPr>
                <w:color w:val="000000"/>
                <w:sz w:val="17"/>
                <w:szCs w:val="17"/>
                <w:lang w:eastAsia="zh-CN"/>
              </w:rPr>
              <w:t>oration</w:t>
            </w:r>
          </w:p>
        </w:tc>
        <w:tc>
          <w:tcPr>
            <w:tcW w:w="1620" w:type="dxa"/>
            <w:tcBorders>
              <w:top w:val="dotted" w:sz="4" w:space="0" w:color="auto"/>
              <w:left w:val="nil"/>
              <w:bottom w:val="nil"/>
              <w:right w:val="single" w:sz="4" w:space="0" w:color="auto"/>
            </w:tcBorders>
            <w:shd w:val="clear" w:color="auto" w:fill="auto"/>
            <w:noWrap/>
            <w:vAlign w:val="center"/>
            <w:hideMark/>
          </w:tcPr>
          <w:p w14:paraId="7C830FDA"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w:t>
            </w:r>
          </w:p>
        </w:tc>
        <w:tc>
          <w:tcPr>
            <w:tcW w:w="1471" w:type="dxa"/>
            <w:tcBorders>
              <w:top w:val="dotted" w:sz="4" w:space="0" w:color="auto"/>
              <w:left w:val="single" w:sz="4" w:space="0" w:color="auto"/>
              <w:bottom w:val="nil"/>
              <w:right w:val="single" w:sz="4" w:space="0" w:color="auto"/>
            </w:tcBorders>
            <w:shd w:val="clear" w:color="auto" w:fill="auto"/>
            <w:noWrap/>
            <w:vAlign w:val="center"/>
            <w:hideMark/>
          </w:tcPr>
          <w:p w14:paraId="4B0421C5" w14:textId="49D82A48"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-07-08</w:t>
            </w:r>
          </w:p>
        </w:tc>
        <w:tc>
          <w:tcPr>
            <w:tcW w:w="1350" w:type="dxa"/>
            <w:tcBorders>
              <w:top w:val="dotted" w:sz="4" w:space="0" w:color="auto"/>
              <w:left w:val="single" w:sz="4" w:space="0" w:color="auto"/>
              <w:bottom w:val="nil"/>
              <w:right w:val="single" w:sz="4" w:space="0" w:color="auto"/>
            </w:tcBorders>
            <w:shd w:val="clear" w:color="auto" w:fill="auto"/>
            <w:noWrap/>
            <w:vAlign w:val="center"/>
            <w:hideMark/>
          </w:tcPr>
          <w:p w14:paraId="78905AE7"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5</w:t>
            </w:r>
          </w:p>
        </w:tc>
        <w:tc>
          <w:tcPr>
            <w:tcW w:w="1241" w:type="dxa"/>
            <w:tcBorders>
              <w:top w:val="dotted" w:sz="4" w:space="0" w:color="auto"/>
              <w:left w:val="single" w:sz="4" w:space="0" w:color="auto"/>
              <w:bottom w:val="nil"/>
              <w:right w:val="single" w:sz="4" w:space="0" w:color="auto"/>
            </w:tcBorders>
            <w:shd w:val="clear" w:color="auto" w:fill="auto"/>
            <w:noWrap/>
            <w:vAlign w:val="center"/>
            <w:hideMark/>
          </w:tcPr>
          <w:p w14:paraId="54FC560A"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2.25</w:t>
            </w:r>
          </w:p>
        </w:tc>
        <w:tc>
          <w:tcPr>
            <w:tcW w:w="939" w:type="dxa"/>
            <w:tcBorders>
              <w:top w:val="dotted" w:sz="4" w:space="0" w:color="auto"/>
              <w:left w:val="single" w:sz="4" w:space="0" w:color="auto"/>
              <w:bottom w:val="nil"/>
              <w:right w:val="single" w:sz="4" w:space="0" w:color="auto"/>
            </w:tcBorders>
            <w:shd w:val="clear" w:color="auto" w:fill="auto"/>
            <w:noWrap/>
            <w:vAlign w:val="center"/>
            <w:hideMark/>
          </w:tcPr>
          <w:p w14:paraId="6F7D9CDD"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A1</w:t>
            </w:r>
          </w:p>
        </w:tc>
        <w:tc>
          <w:tcPr>
            <w:tcW w:w="630" w:type="dxa"/>
            <w:tcBorders>
              <w:top w:val="dotted" w:sz="4" w:space="0" w:color="auto"/>
              <w:left w:val="single" w:sz="4" w:space="0" w:color="auto"/>
              <w:bottom w:val="nil"/>
              <w:right w:val="single" w:sz="4" w:space="0" w:color="auto"/>
            </w:tcBorders>
            <w:shd w:val="clear" w:color="auto" w:fill="auto"/>
            <w:noWrap/>
            <w:vAlign w:val="center"/>
            <w:hideMark/>
          </w:tcPr>
          <w:p w14:paraId="40F7C551"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dotted" w:sz="4" w:space="0" w:color="auto"/>
              <w:left w:val="single" w:sz="4" w:space="0" w:color="auto"/>
              <w:bottom w:val="nil"/>
              <w:right w:val="single" w:sz="4" w:space="0" w:color="auto"/>
            </w:tcBorders>
            <w:shd w:val="clear" w:color="auto" w:fill="auto"/>
            <w:noWrap/>
            <w:vAlign w:val="center"/>
            <w:hideMark/>
          </w:tcPr>
          <w:p w14:paraId="7C599827" w14:textId="3F7C098C"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2.273</w:t>
            </w:r>
          </w:p>
        </w:tc>
        <w:tc>
          <w:tcPr>
            <w:tcW w:w="1885" w:type="dxa"/>
            <w:tcBorders>
              <w:top w:val="dotted" w:sz="4" w:space="0" w:color="auto"/>
              <w:left w:val="nil"/>
              <w:bottom w:val="nil"/>
              <w:right w:val="single" w:sz="4" w:space="0" w:color="auto"/>
            </w:tcBorders>
            <w:vAlign w:val="center"/>
          </w:tcPr>
          <w:p w14:paraId="142F074F" w14:textId="04DAE061"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0.593</w:t>
            </w:r>
          </w:p>
        </w:tc>
      </w:tr>
      <w:tr w:rsidR="00145E2B" w:rsidRPr="00075B7C" w14:paraId="3EA8C393"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607D3D6F" w14:textId="77777777" w:rsidR="00D94924" w:rsidRPr="00075B7C" w:rsidRDefault="00D94924" w:rsidP="002F3C17">
            <w:pPr>
              <w:pStyle w:val="ExhibitText"/>
              <w:jc w:val="center"/>
              <w:rPr>
                <w:b/>
                <w:color w:val="000000"/>
                <w:sz w:val="17"/>
                <w:szCs w:val="17"/>
                <w:lang w:eastAsia="zh-CN"/>
              </w:rPr>
            </w:pPr>
          </w:p>
        </w:tc>
        <w:tc>
          <w:tcPr>
            <w:tcW w:w="1771" w:type="dxa"/>
            <w:vMerge/>
            <w:tcBorders>
              <w:top w:val="nil"/>
              <w:left w:val="single" w:sz="4" w:space="0" w:color="auto"/>
              <w:bottom w:val="single" w:sz="4" w:space="0" w:color="auto"/>
              <w:right w:val="single" w:sz="4" w:space="0" w:color="auto"/>
            </w:tcBorders>
            <w:vAlign w:val="center"/>
            <w:hideMark/>
          </w:tcPr>
          <w:p w14:paraId="3FAAB0DA" w14:textId="77777777" w:rsidR="00D94924" w:rsidRPr="00075B7C" w:rsidRDefault="00D94924" w:rsidP="002F3C17">
            <w:pPr>
              <w:pStyle w:val="ExhibitText"/>
              <w:jc w:val="left"/>
              <w:rPr>
                <w:color w:val="000000"/>
                <w:sz w:val="17"/>
                <w:szCs w:val="17"/>
                <w:lang w:eastAsia="zh-CN"/>
              </w:rPr>
            </w:pPr>
          </w:p>
        </w:tc>
        <w:tc>
          <w:tcPr>
            <w:tcW w:w="1620" w:type="dxa"/>
            <w:tcBorders>
              <w:top w:val="nil"/>
              <w:left w:val="nil"/>
              <w:bottom w:val="nil"/>
              <w:right w:val="single" w:sz="4" w:space="0" w:color="auto"/>
            </w:tcBorders>
            <w:shd w:val="clear" w:color="auto" w:fill="auto"/>
            <w:noWrap/>
            <w:vAlign w:val="center"/>
            <w:hideMark/>
          </w:tcPr>
          <w:p w14:paraId="124F79C2"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1.5</w:t>
            </w:r>
          </w:p>
        </w:tc>
        <w:tc>
          <w:tcPr>
            <w:tcW w:w="1471" w:type="dxa"/>
            <w:tcBorders>
              <w:top w:val="nil"/>
              <w:left w:val="single" w:sz="4" w:space="0" w:color="auto"/>
              <w:bottom w:val="nil"/>
              <w:right w:val="single" w:sz="4" w:space="0" w:color="auto"/>
            </w:tcBorders>
            <w:shd w:val="clear" w:color="auto" w:fill="auto"/>
            <w:noWrap/>
            <w:vAlign w:val="center"/>
            <w:hideMark/>
          </w:tcPr>
          <w:p w14:paraId="0DFEC3CC" w14:textId="5BDEA302"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-07-08</w:t>
            </w:r>
          </w:p>
        </w:tc>
        <w:tc>
          <w:tcPr>
            <w:tcW w:w="1350" w:type="dxa"/>
            <w:tcBorders>
              <w:top w:val="nil"/>
              <w:left w:val="single" w:sz="4" w:space="0" w:color="auto"/>
              <w:bottom w:val="nil"/>
              <w:right w:val="single" w:sz="4" w:space="0" w:color="auto"/>
            </w:tcBorders>
            <w:shd w:val="clear" w:color="auto" w:fill="auto"/>
            <w:noWrap/>
            <w:vAlign w:val="center"/>
            <w:hideMark/>
          </w:tcPr>
          <w:p w14:paraId="01AA250E"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7</w:t>
            </w:r>
          </w:p>
        </w:tc>
        <w:tc>
          <w:tcPr>
            <w:tcW w:w="1241" w:type="dxa"/>
            <w:tcBorders>
              <w:top w:val="nil"/>
              <w:left w:val="single" w:sz="4" w:space="0" w:color="auto"/>
              <w:bottom w:val="nil"/>
              <w:right w:val="single" w:sz="4" w:space="0" w:color="auto"/>
            </w:tcBorders>
            <w:shd w:val="clear" w:color="auto" w:fill="auto"/>
            <w:noWrap/>
            <w:vAlign w:val="center"/>
            <w:hideMark/>
          </w:tcPr>
          <w:p w14:paraId="775C498C"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2.8</w:t>
            </w:r>
          </w:p>
        </w:tc>
        <w:tc>
          <w:tcPr>
            <w:tcW w:w="939" w:type="dxa"/>
            <w:tcBorders>
              <w:top w:val="nil"/>
              <w:left w:val="single" w:sz="4" w:space="0" w:color="auto"/>
              <w:bottom w:val="nil"/>
              <w:right w:val="single" w:sz="4" w:space="0" w:color="auto"/>
            </w:tcBorders>
            <w:shd w:val="clear" w:color="auto" w:fill="auto"/>
            <w:noWrap/>
            <w:vAlign w:val="center"/>
            <w:hideMark/>
          </w:tcPr>
          <w:p w14:paraId="2A7E7A4C"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A1</w:t>
            </w:r>
          </w:p>
        </w:tc>
        <w:tc>
          <w:tcPr>
            <w:tcW w:w="630" w:type="dxa"/>
            <w:tcBorders>
              <w:top w:val="nil"/>
              <w:left w:val="single" w:sz="4" w:space="0" w:color="auto"/>
              <w:bottom w:val="nil"/>
              <w:right w:val="single" w:sz="4" w:space="0" w:color="auto"/>
            </w:tcBorders>
            <w:shd w:val="clear" w:color="auto" w:fill="auto"/>
            <w:noWrap/>
            <w:vAlign w:val="center"/>
            <w:hideMark/>
          </w:tcPr>
          <w:p w14:paraId="51266CFB"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nil"/>
              <w:left w:val="single" w:sz="4" w:space="0" w:color="auto"/>
              <w:bottom w:val="nil"/>
              <w:right w:val="single" w:sz="4" w:space="0" w:color="auto"/>
            </w:tcBorders>
            <w:shd w:val="clear" w:color="auto" w:fill="auto"/>
            <w:noWrap/>
            <w:vAlign w:val="center"/>
            <w:hideMark/>
          </w:tcPr>
          <w:p w14:paraId="4A2FBBF0" w14:textId="034BF2DD"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2.824</w:t>
            </w:r>
          </w:p>
        </w:tc>
        <w:tc>
          <w:tcPr>
            <w:tcW w:w="1885" w:type="dxa"/>
            <w:tcBorders>
              <w:top w:val="nil"/>
              <w:left w:val="nil"/>
              <w:bottom w:val="nil"/>
              <w:right w:val="single" w:sz="4" w:space="0" w:color="auto"/>
            </w:tcBorders>
            <w:vAlign w:val="center"/>
          </w:tcPr>
          <w:p w14:paraId="2449CF77" w14:textId="07205F4B"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0.634</w:t>
            </w:r>
          </w:p>
        </w:tc>
      </w:tr>
      <w:tr w:rsidR="00145E2B" w:rsidRPr="00075B7C" w14:paraId="37ACC65E"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6B63B2D8" w14:textId="77777777" w:rsidR="00D94924" w:rsidRPr="00075B7C" w:rsidRDefault="00D94924" w:rsidP="002F3C17">
            <w:pPr>
              <w:pStyle w:val="ExhibitText"/>
              <w:jc w:val="center"/>
              <w:rPr>
                <w:b/>
                <w:color w:val="000000"/>
                <w:sz w:val="17"/>
                <w:szCs w:val="17"/>
                <w:lang w:eastAsia="zh-CN"/>
              </w:rPr>
            </w:pPr>
          </w:p>
        </w:tc>
        <w:tc>
          <w:tcPr>
            <w:tcW w:w="1771" w:type="dxa"/>
            <w:vMerge/>
            <w:tcBorders>
              <w:top w:val="nil"/>
              <w:left w:val="single" w:sz="4" w:space="0" w:color="auto"/>
              <w:bottom w:val="single" w:sz="4" w:space="0" w:color="auto"/>
              <w:right w:val="single" w:sz="4" w:space="0" w:color="auto"/>
            </w:tcBorders>
            <w:vAlign w:val="center"/>
            <w:hideMark/>
          </w:tcPr>
          <w:p w14:paraId="6AD0FD81" w14:textId="77777777" w:rsidR="00D94924" w:rsidRPr="00075B7C" w:rsidRDefault="00D94924" w:rsidP="002F3C17">
            <w:pPr>
              <w:pStyle w:val="ExhibitText"/>
              <w:jc w:val="left"/>
              <w:rPr>
                <w:color w:val="000000"/>
                <w:sz w:val="17"/>
                <w:szCs w:val="17"/>
                <w:lang w:eastAsia="zh-CN"/>
              </w:rPr>
            </w:pPr>
          </w:p>
        </w:tc>
        <w:tc>
          <w:tcPr>
            <w:tcW w:w="1620" w:type="dxa"/>
            <w:tcBorders>
              <w:top w:val="nil"/>
              <w:left w:val="nil"/>
              <w:bottom w:val="nil"/>
              <w:right w:val="single" w:sz="4" w:space="0" w:color="auto"/>
            </w:tcBorders>
            <w:shd w:val="clear" w:color="auto" w:fill="auto"/>
            <w:noWrap/>
            <w:vAlign w:val="center"/>
            <w:hideMark/>
          </w:tcPr>
          <w:p w14:paraId="6E9A3393"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w:t>
            </w:r>
          </w:p>
        </w:tc>
        <w:tc>
          <w:tcPr>
            <w:tcW w:w="1471" w:type="dxa"/>
            <w:tcBorders>
              <w:top w:val="nil"/>
              <w:left w:val="single" w:sz="4" w:space="0" w:color="auto"/>
              <w:bottom w:val="nil"/>
              <w:right w:val="single" w:sz="4" w:space="0" w:color="auto"/>
            </w:tcBorders>
            <w:shd w:val="clear" w:color="auto" w:fill="auto"/>
            <w:noWrap/>
            <w:vAlign w:val="center"/>
            <w:hideMark/>
          </w:tcPr>
          <w:p w14:paraId="2CB97608" w14:textId="7FF4725F"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-07-08</w:t>
            </w:r>
          </w:p>
        </w:tc>
        <w:tc>
          <w:tcPr>
            <w:tcW w:w="1350" w:type="dxa"/>
            <w:tcBorders>
              <w:top w:val="nil"/>
              <w:left w:val="single" w:sz="4" w:space="0" w:color="auto"/>
              <w:bottom w:val="nil"/>
              <w:right w:val="single" w:sz="4" w:space="0" w:color="auto"/>
            </w:tcBorders>
            <w:shd w:val="clear" w:color="auto" w:fill="auto"/>
            <w:noWrap/>
            <w:vAlign w:val="center"/>
            <w:hideMark/>
          </w:tcPr>
          <w:p w14:paraId="61F1CC79"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10</w:t>
            </w:r>
          </w:p>
        </w:tc>
        <w:tc>
          <w:tcPr>
            <w:tcW w:w="1241" w:type="dxa"/>
            <w:tcBorders>
              <w:top w:val="nil"/>
              <w:left w:val="single" w:sz="4" w:space="0" w:color="auto"/>
              <w:bottom w:val="nil"/>
              <w:right w:val="single" w:sz="4" w:space="0" w:color="auto"/>
            </w:tcBorders>
            <w:shd w:val="clear" w:color="auto" w:fill="auto"/>
            <w:noWrap/>
            <w:vAlign w:val="center"/>
            <w:hideMark/>
          </w:tcPr>
          <w:p w14:paraId="143E274F"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3.4</w:t>
            </w:r>
          </w:p>
        </w:tc>
        <w:tc>
          <w:tcPr>
            <w:tcW w:w="939" w:type="dxa"/>
            <w:tcBorders>
              <w:top w:val="nil"/>
              <w:left w:val="single" w:sz="4" w:space="0" w:color="auto"/>
              <w:bottom w:val="nil"/>
              <w:right w:val="single" w:sz="4" w:space="0" w:color="auto"/>
            </w:tcBorders>
            <w:shd w:val="clear" w:color="auto" w:fill="auto"/>
            <w:noWrap/>
            <w:vAlign w:val="center"/>
            <w:hideMark/>
          </w:tcPr>
          <w:p w14:paraId="2F76C403"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A1</w:t>
            </w:r>
          </w:p>
        </w:tc>
        <w:tc>
          <w:tcPr>
            <w:tcW w:w="630" w:type="dxa"/>
            <w:tcBorders>
              <w:top w:val="nil"/>
              <w:left w:val="single" w:sz="4" w:space="0" w:color="auto"/>
              <w:bottom w:val="nil"/>
              <w:right w:val="single" w:sz="4" w:space="0" w:color="auto"/>
            </w:tcBorders>
            <w:shd w:val="clear" w:color="auto" w:fill="auto"/>
            <w:noWrap/>
            <w:vAlign w:val="center"/>
            <w:hideMark/>
          </w:tcPr>
          <w:p w14:paraId="7A4A7769"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nil"/>
              <w:left w:val="single" w:sz="4" w:space="0" w:color="auto"/>
              <w:bottom w:val="nil"/>
              <w:right w:val="single" w:sz="4" w:space="0" w:color="auto"/>
            </w:tcBorders>
            <w:shd w:val="clear" w:color="auto" w:fill="auto"/>
            <w:noWrap/>
            <w:vAlign w:val="center"/>
            <w:hideMark/>
          </w:tcPr>
          <w:p w14:paraId="15D3EC8F" w14:textId="35581AAE"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3.430</w:t>
            </w:r>
          </w:p>
        </w:tc>
        <w:tc>
          <w:tcPr>
            <w:tcW w:w="1885" w:type="dxa"/>
            <w:tcBorders>
              <w:top w:val="nil"/>
              <w:left w:val="nil"/>
              <w:bottom w:val="nil"/>
              <w:right w:val="single" w:sz="4" w:space="0" w:color="auto"/>
            </w:tcBorders>
            <w:vAlign w:val="center"/>
          </w:tcPr>
          <w:p w14:paraId="7E26F5B3" w14:textId="5FD49435"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0.830</w:t>
            </w:r>
          </w:p>
        </w:tc>
      </w:tr>
      <w:tr w:rsidR="00145E2B" w:rsidRPr="00075B7C" w14:paraId="530A57CA"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7A42E52D" w14:textId="77777777" w:rsidR="00D94924" w:rsidRPr="00075B7C" w:rsidRDefault="00D94924" w:rsidP="002F3C17">
            <w:pPr>
              <w:pStyle w:val="ExhibitText"/>
              <w:jc w:val="center"/>
              <w:rPr>
                <w:b/>
                <w:color w:val="000000"/>
                <w:sz w:val="17"/>
                <w:szCs w:val="17"/>
                <w:lang w:eastAsia="zh-CN"/>
              </w:rPr>
            </w:pPr>
          </w:p>
        </w:tc>
        <w:tc>
          <w:tcPr>
            <w:tcW w:w="1771" w:type="dxa"/>
            <w:vMerge/>
            <w:tcBorders>
              <w:top w:val="nil"/>
              <w:left w:val="single" w:sz="4" w:space="0" w:color="auto"/>
              <w:bottom w:val="single" w:sz="4" w:space="0" w:color="auto"/>
              <w:right w:val="single" w:sz="4" w:space="0" w:color="auto"/>
            </w:tcBorders>
            <w:vAlign w:val="center"/>
            <w:hideMark/>
          </w:tcPr>
          <w:p w14:paraId="735EF82A" w14:textId="77777777" w:rsidR="00D94924" w:rsidRPr="00075B7C" w:rsidRDefault="00D94924" w:rsidP="002F3C17">
            <w:pPr>
              <w:pStyle w:val="ExhibitText"/>
              <w:jc w:val="left"/>
              <w:rPr>
                <w:color w:val="000000"/>
                <w:sz w:val="17"/>
                <w:szCs w:val="17"/>
                <w:lang w:eastAsia="zh-CN"/>
              </w:rPr>
            </w:pPr>
          </w:p>
        </w:tc>
        <w:tc>
          <w:tcPr>
            <w:tcW w:w="1620" w:type="dxa"/>
            <w:tcBorders>
              <w:top w:val="nil"/>
              <w:left w:val="nil"/>
              <w:bottom w:val="nil"/>
              <w:right w:val="single" w:sz="4" w:space="0" w:color="auto"/>
            </w:tcBorders>
            <w:shd w:val="clear" w:color="auto" w:fill="auto"/>
            <w:noWrap/>
            <w:vAlign w:val="center"/>
            <w:hideMark/>
          </w:tcPr>
          <w:p w14:paraId="1D63572D"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1.75</w:t>
            </w:r>
          </w:p>
        </w:tc>
        <w:tc>
          <w:tcPr>
            <w:tcW w:w="1471" w:type="dxa"/>
            <w:tcBorders>
              <w:top w:val="nil"/>
              <w:left w:val="single" w:sz="4" w:space="0" w:color="auto"/>
              <w:bottom w:val="nil"/>
              <w:right w:val="single" w:sz="4" w:space="0" w:color="auto"/>
            </w:tcBorders>
            <w:shd w:val="clear" w:color="auto" w:fill="auto"/>
            <w:noWrap/>
            <w:vAlign w:val="center"/>
            <w:hideMark/>
          </w:tcPr>
          <w:p w14:paraId="07140CD4" w14:textId="79468C18"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-07-08</w:t>
            </w:r>
          </w:p>
        </w:tc>
        <w:tc>
          <w:tcPr>
            <w:tcW w:w="1350" w:type="dxa"/>
            <w:tcBorders>
              <w:top w:val="nil"/>
              <w:left w:val="single" w:sz="4" w:space="0" w:color="auto"/>
              <w:bottom w:val="nil"/>
              <w:right w:val="single" w:sz="4" w:space="0" w:color="auto"/>
            </w:tcBorders>
            <w:shd w:val="clear" w:color="auto" w:fill="auto"/>
            <w:noWrap/>
            <w:vAlign w:val="center"/>
            <w:hideMark/>
          </w:tcPr>
          <w:p w14:paraId="273CCC53"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w:t>
            </w:r>
          </w:p>
        </w:tc>
        <w:tc>
          <w:tcPr>
            <w:tcW w:w="1241" w:type="dxa"/>
            <w:tcBorders>
              <w:top w:val="nil"/>
              <w:left w:val="single" w:sz="4" w:space="0" w:color="auto"/>
              <w:bottom w:val="nil"/>
              <w:right w:val="single" w:sz="4" w:space="0" w:color="auto"/>
            </w:tcBorders>
            <w:shd w:val="clear" w:color="auto" w:fill="auto"/>
            <w:noWrap/>
            <w:vAlign w:val="center"/>
            <w:hideMark/>
          </w:tcPr>
          <w:p w14:paraId="6277658A"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4.3</w:t>
            </w:r>
          </w:p>
        </w:tc>
        <w:tc>
          <w:tcPr>
            <w:tcW w:w="939" w:type="dxa"/>
            <w:tcBorders>
              <w:top w:val="nil"/>
              <w:left w:val="single" w:sz="4" w:space="0" w:color="auto"/>
              <w:bottom w:val="nil"/>
              <w:right w:val="single" w:sz="4" w:space="0" w:color="auto"/>
            </w:tcBorders>
            <w:shd w:val="clear" w:color="auto" w:fill="auto"/>
            <w:noWrap/>
            <w:vAlign w:val="center"/>
            <w:hideMark/>
          </w:tcPr>
          <w:p w14:paraId="197F53B9"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A1</w:t>
            </w:r>
          </w:p>
        </w:tc>
        <w:tc>
          <w:tcPr>
            <w:tcW w:w="630" w:type="dxa"/>
            <w:tcBorders>
              <w:top w:val="nil"/>
              <w:left w:val="single" w:sz="4" w:space="0" w:color="auto"/>
              <w:bottom w:val="nil"/>
              <w:right w:val="single" w:sz="4" w:space="0" w:color="auto"/>
            </w:tcBorders>
            <w:shd w:val="clear" w:color="auto" w:fill="auto"/>
            <w:noWrap/>
            <w:vAlign w:val="center"/>
            <w:hideMark/>
          </w:tcPr>
          <w:p w14:paraId="44BBABF6"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nil"/>
              <w:left w:val="single" w:sz="4" w:space="0" w:color="auto"/>
              <w:bottom w:val="nil"/>
              <w:right w:val="single" w:sz="4" w:space="0" w:color="auto"/>
            </w:tcBorders>
            <w:shd w:val="clear" w:color="auto" w:fill="auto"/>
            <w:noWrap/>
            <w:vAlign w:val="center"/>
            <w:hideMark/>
          </w:tcPr>
          <w:p w14:paraId="6EC0C858" w14:textId="3315FDC2"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4.302</w:t>
            </w:r>
          </w:p>
        </w:tc>
        <w:tc>
          <w:tcPr>
            <w:tcW w:w="1885" w:type="dxa"/>
            <w:tcBorders>
              <w:top w:val="nil"/>
              <w:left w:val="nil"/>
              <w:bottom w:val="nil"/>
              <w:right w:val="single" w:sz="4" w:space="0" w:color="auto"/>
            </w:tcBorders>
            <w:vAlign w:val="center"/>
          </w:tcPr>
          <w:p w14:paraId="74D2B8D9" w14:textId="22796291"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1.142</w:t>
            </w:r>
          </w:p>
        </w:tc>
      </w:tr>
      <w:tr w:rsidR="00145E2B" w:rsidRPr="00075B7C" w14:paraId="27F3DD65" w14:textId="77777777" w:rsidTr="005754D0">
        <w:trPr>
          <w:trHeight w:val="360"/>
          <w:jc w:val="center"/>
        </w:trPr>
        <w:tc>
          <w:tcPr>
            <w:tcW w:w="1187" w:type="dxa"/>
            <w:vMerge/>
            <w:tcBorders>
              <w:left w:val="single" w:sz="4" w:space="0" w:color="auto"/>
              <w:bottom w:val="single" w:sz="4" w:space="0" w:color="auto"/>
              <w:right w:val="single" w:sz="4" w:space="0" w:color="auto"/>
            </w:tcBorders>
            <w:shd w:val="clear" w:color="auto" w:fill="auto"/>
            <w:vAlign w:val="center"/>
            <w:hideMark/>
          </w:tcPr>
          <w:p w14:paraId="4ED6BD12" w14:textId="77777777" w:rsidR="00D94924" w:rsidRPr="00075B7C" w:rsidRDefault="00D94924" w:rsidP="002F3C17">
            <w:pPr>
              <w:pStyle w:val="ExhibitText"/>
              <w:jc w:val="center"/>
              <w:rPr>
                <w:b/>
                <w:color w:val="000000"/>
                <w:sz w:val="17"/>
                <w:szCs w:val="17"/>
                <w:lang w:eastAsia="zh-CN"/>
              </w:rPr>
            </w:pPr>
          </w:p>
        </w:tc>
        <w:tc>
          <w:tcPr>
            <w:tcW w:w="1771" w:type="dxa"/>
            <w:vMerge/>
            <w:tcBorders>
              <w:top w:val="nil"/>
              <w:left w:val="single" w:sz="4" w:space="0" w:color="auto"/>
              <w:bottom w:val="single" w:sz="4" w:space="0" w:color="auto"/>
              <w:right w:val="single" w:sz="4" w:space="0" w:color="auto"/>
            </w:tcBorders>
            <w:vAlign w:val="center"/>
            <w:hideMark/>
          </w:tcPr>
          <w:p w14:paraId="1F202978" w14:textId="77777777" w:rsidR="00D94924" w:rsidRPr="00075B7C" w:rsidRDefault="00D94924" w:rsidP="002F3C17">
            <w:pPr>
              <w:pStyle w:val="ExhibitText"/>
              <w:jc w:val="left"/>
              <w:rPr>
                <w:color w:val="000000"/>
                <w:sz w:val="17"/>
                <w:szCs w:val="17"/>
                <w:lang w:eastAsia="zh-CN"/>
              </w:rPr>
            </w:pPr>
          </w:p>
        </w:tc>
        <w:tc>
          <w:tcPr>
            <w:tcW w:w="1620" w:type="dxa"/>
            <w:tcBorders>
              <w:top w:val="nil"/>
              <w:left w:val="nil"/>
              <w:bottom w:val="single" w:sz="4" w:space="0" w:color="auto"/>
              <w:right w:val="single" w:sz="4" w:space="0" w:color="auto"/>
            </w:tcBorders>
            <w:shd w:val="clear" w:color="auto" w:fill="auto"/>
            <w:noWrap/>
            <w:vAlign w:val="center"/>
            <w:hideMark/>
          </w:tcPr>
          <w:p w14:paraId="2FE39079"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w:t>
            </w:r>
          </w:p>
        </w:tc>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482A4E6B" w14:textId="25C7133E"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-07-08</w:t>
            </w:r>
          </w:p>
        </w:tc>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1A0F3E42"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30</w:t>
            </w:r>
          </w:p>
        </w:tc>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55D42638"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4.5</w:t>
            </w:r>
          </w:p>
        </w:tc>
        <w:tc>
          <w:tcPr>
            <w:tcW w:w="939" w:type="dxa"/>
            <w:tcBorders>
              <w:top w:val="nil"/>
              <w:left w:val="single" w:sz="4" w:space="0" w:color="auto"/>
              <w:bottom w:val="single" w:sz="4" w:space="0" w:color="auto"/>
              <w:right w:val="single" w:sz="4" w:space="0" w:color="auto"/>
            </w:tcBorders>
            <w:shd w:val="clear" w:color="auto" w:fill="auto"/>
            <w:noWrap/>
            <w:vAlign w:val="center"/>
            <w:hideMark/>
          </w:tcPr>
          <w:p w14:paraId="46CB0DAE"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A1</w:t>
            </w:r>
          </w:p>
        </w:tc>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76D8B628"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nil"/>
              <w:left w:val="single" w:sz="4" w:space="0" w:color="auto"/>
              <w:bottom w:val="single" w:sz="4" w:space="0" w:color="auto"/>
              <w:right w:val="single" w:sz="4" w:space="0" w:color="auto"/>
            </w:tcBorders>
            <w:shd w:val="clear" w:color="auto" w:fill="auto"/>
            <w:noWrap/>
            <w:vAlign w:val="center"/>
            <w:hideMark/>
          </w:tcPr>
          <w:p w14:paraId="72D11696" w14:textId="66CBFEDD"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4.502</w:t>
            </w:r>
          </w:p>
        </w:tc>
        <w:tc>
          <w:tcPr>
            <w:tcW w:w="1885" w:type="dxa"/>
            <w:tcBorders>
              <w:top w:val="nil"/>
              <w:left w:val="nil"/>
              <w:bottom w:val="single" w:sz="4" w:space="0" w:color="auto"/>
              <w:right w:val="single" w:sz="4" w:space="0" w:color="auto"/>
            </w:tcBorders>
            <w:vAlign w:val="center"/>
          </w:tcPr>
          <w:p w14:paraId="5A5C74A6" w14:textId="6139FEB3"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1.082</w:t>
            </w:r>
          </w:p>
        </w:tc>
      </w:tr>
      <w:tr w:rsidR="00145E2B" w:rsidRPr="00075B7C" w14:paraId="17945BAE" w14:textId="77777777" w:rsidTr="005754D0">
        <w:trPr>
          <w:trHeight w:val="360"/>
          <w:jc w:val="center"/>
        </w:trPr>
        <w:tc>
          <w:tcPr>
            <w:tcW w:w="1187" w:type="dxa"/>
            <w:vMerge w:val="restart"/>
            <w:tcBorders>
              <w:top w:val="nil"/>
              <w:left w:val="single" w:sz="4" w:space="0" w:color="auto"/>
              <w:bottom w:val="single" w:sz="4" w:space="0" w:color="auto"/>
              <w:right w:val="single" w:sz="4" w:space="0" w:color="auto"/>
            </w:tcBorders>
            <w:shd w:val="clear" w:color="auto" w:fill="auto"/>
            <w:vAlign w:val="center"/>
            <w:hideMark/>
          </w:tcPr>
          <w:p w14:paraId="51814468" w14:textId="77777777" w:rsidR="00D94924" w:rsidRPr="00075B7C" w:rsidRDefault="00D94924" w:rsidP="002F3C17">
            <w:pPr>
              <w:pStyle w:val="ExhibitText"/>
              <w:jc w:val="center"/>
              <w:rPr>
                <w:b/>
                <w:color w:val="000000"/>
                <w:sz w:val="17"/>
                <w:szCs w:val="17"/>
                <w:lang w:eastAsia="zh-CN"/>
              </w:rPr>
            </w:pPr>
            <w:r w:rsidRPr="00075B7C">
              <w:rPr>
                <w:b/>
                <w:color w:val="000000"/>
                <w:sz w:val="17"/>
                <w:szCs w:val="17"/>
                <w:lang w:eastAsia="zh-CN"/>
              </w:rPr>
              <w:t>Chinese Companies</w:t>
            </w:r>
          </w:p>
        </w:tc>
        <w:tc>
          <w:tcPr>
            <w:tcW w:w="1771" w:type="dxa"/>
            <w:tcBorders>
              <w:top w:val="single" w:sz="4" w:space="0" w:color="auto"/>
              <w:left w:val="single" w:sz="4" w:space="0" w:color="auto"/>
              <w:bottom w:val="dotted" w:sz="4" w:space="0" w:color="auto"/>
              <w:right w:val="single" w:sz="4" w:space="0" w:color="auto"/>
            </w:tcBorders>
            <w:shd w:val="clear" w:color="auto" w:fill="auto"/>
            <w:vAlign w:val="center"/>
            <w:hideMark/>
          </w:tcPr>
          <w:p w14:paraId="672A2604" w14:textId="610D1A9E" w:rsidR="00D94924" w:rsidRPr="00075B7C" w:rsidRDefault="00D94924" w:rsidP="002F3C17">
            <w:pPr>
              <w:pStyle w:val="ExhibitText"/>
              <w:jc w:val="left"/>
              <w:rPr>
                <w:color w:val="000000"/>
                <w:sz w:val="17"/>
                <w:szCs w:val="17"/>
                <w:lang w:eastAsia="zh-CN"/>
              </w:rPr>
            </w:pPr>
            <w:r w:rsidRPr="00075B7C">
              <w:rPr>
                <w:color w:val="000000"/>
                <w:sz w:val="17"/>
                <w:szCs w:val="17"/>
                <w:lang w:eastAsia="zh-CN"/>
              </w:rPr>
              <w:t>Baidu</w:t>
            </w:r>
            <w:r w:rsidR="001D237E">
              <w:rPr>
                <w:color w:val="000000"/>
                <w:sz w:val="17"/>
                <w:szCs w:val="17"/>
                <w:lang w:eastAsia="zh-CN"/>
              </w:rPr>
              <w:t>,</w:t>
            </w:r>
            <w:r w:rsidRPr="00075B7C">
              <w:rPr>
                <w:color w:val="000000"/>
                <w:sz w:val="17"/>
                <w:szCs w:val="17"/>
                <w:lang w:eastAsia="zh-CN"/>
              </w:rPr>
              <w:t xml:space="preserve"> Inc</w:t>
            </w:r>
            <w:r w:rsidR="001D237E">
              <w:rPr>
                <w:color w:val="000000"/>
                <w:sz w:val="17"/>
                <w:szCs w:val="17"/>
                <w:lang w:eastAsia="zh-CN"/>
              </w:rPr>
              <w:t>.</w:t>
            </w:r>
          </w:p>
        </w:tc>
        <w:tc>
          <w:tcPr>
            <w:tcW w:w="1620" w:type="dxa"/>
            <w:tcBorders>
              <w:top w:val="single" w:sz="4" w:space="0" w:color="auto"/>
              <w:left w:val="nil"/>
              <w:bottom w:val="dotted" w:sz="4" w:space="0" w:color="auto"/>
              <w:right w:val="single" w:sz="4" w:space="0" w:color="auto"/>
            </w:tcBorders>
            <w:shd w:val="clear" w:color="auto" w:fill="auto"/>
            <w:noWrap/>
            <w:vAlign w:val="center"/>
            <w:hideMark/>
          </w:tcPr>
          <w:p w14:paraId="5701584B"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w:t>
            </w:r>
          </w:p>
        </w:tc>
        <w:tc>
          <w:tcPr>
            <w:tcW w:w="1471"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14:paraId="69A52436" w14:textId="08ECF651"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2013</w:t>
            </w:r>
            <w:r w:rsidR="00A371F2">
              <w:rPr>
                <w:rFonts w:eastAsia="SimSun"/>
                <w:sz w:val="17"/>
                <w:szCs w:val="17"/>
                <w:lang w:eastAsia="zh-CN"/>
              </w:rPr>
              <w:t>-08-06</w:t>
            </w:r>
          </w:p>
        </w:tc>
        <w:tc>
          <w:tcPr>
            <w:tcW w:w="135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14:paraId="7F6B2C31"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5</w:t>
            </w:r>
          </w:p>
        </w:tc>
        <w:tc>
          <w:tcPr>
            <w:tcW w:w="1241"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14:paraId="4D8B4850"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3.25</w:t>
            </w:r>
          </w:p>
        </w:tc>
        <w:tc>
          <w:tcPr>
            <w:tcW w:w="939"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14:paraId="73621048"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A3</w:t>
            </w:r>
          </w:p>
        </w:tc>
        <w:tc>
          <w:tcPr>
            <w:tcW w:w="63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14:paraId="14179797"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NA</w:t>
            </w:r>
          </w:p>
        </w:tc>
        <w:tc>
          <w:tcPr>
            <w:tcW w:w="830" w:type="dxa"/>
            <w:tcBorders>
              <w:top w:val="single" w:sz="4" w:space="0" w:color="auto"/>
              <w:left w:val="single" w:sz="4" w:space="0" w:color="auto"/>
              <w:bottom w:val="dotted" w:sz="4" w:space="0" w:color="auto"/>
              <w:right w:val="single" w:sz="4" w:space="0" w:color="auto"/>
            </w:tcBorders>
            <w:shd w:val="clear" w:color="auto" w:fill="auto"/>
            <w:noWrap/>
            <w:vAlign w:val="center"/>
            <w:hideMark/>
          </w:tcPr>
          <w:p w14:paraId="681F3207" w14:textId="77EFCA52"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3.288</w:t>
            </w:r>
          </w:p>
        </w:tc>
        <w:tc>
          <w:tcPr>
            <w:tcW w:w="1885" w:type="dxa"/>
            <w:tcBorders>
              <w:top w:val="single" w:sz="4" w:space="0" w:color="auto"/>
              <w:left w:val="nil"/>
              <w:bottom w:val="dotted" w:sz="4" w:space="0" w:color="auto"/>
              <w:right w:val="single" w:sz="4" w:space="0" w:color="auto"/>
            </w:tcBorders>
            <w:vAlign w:val="center"/>
          </w:tcPr>
          <w:p w14:paraId="0FCF1CE6" w14:textId="05B23A60"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1.888</w:t>
            </w:r>
          </w:p>
        </w:tc>
      </w:tr>
      <w:tr w:rsidR="00145E2B" w:rsidRPr="00075B7C" w14:paraId="5629B12D" w14:textId="77777777" w:rsidTr="005754D0">
        <w:trPr>
          <w:trHeight w:val="360"/>
          <w:jc w:val="center"/>
        </w:trPr>
        <w:tc>
          <w:tcPr>
            <w:tcW w:w="1187" w:type="dxa"/>
            <w:vMerge/>
            <w:tcBorders>
              <w:top w:val="nil"/>
              <w:left w:val="single" w:sz="4" w:space="0" w:color="auto"/>
              <w:bottom w:val="single" w:sz="4" w:space="0" w:color="auto"/>
              <w:right w:val="single" w:sz="4" w:space="0" w:color="auto"/>
            </w:tcBorders>
            <w:vAlign w:val="center"/>
            <w:hideMark/>
          </w:tcPr>
          <w:p w14:paraId="318DD790" w14:textId="77777777" w:rsidR="00D94924" w:rsidRPr="00075B7C" w:rsidRDefault="00D94924" w:rsidP="002F3C17">
            <w:pPr>
              <w:pStyle w:val="ExhibitText"/>
              <w:rPr>
                <w:color w:val="000000"/>
                <w:sz w:val="17"/>
                <w:szCs w:val="17"/>
                <w:lang w:eastAsia="zh-CN"/>
              </w:rPr>
            </w:pPr>
          </w:p>
        </w:tc>
        <w:tc>
          <w:tcPr>
            <w:tcW w:w="1771" w:type="dxa"/>
            <w:tcBorders>
              <w:top w:val="dotted" w:sz="4" w:space="0" w:color="auto"/>
              <w:left w:val="single" w:sz="4" w:space="0" w:color="auto"/>
              <w:bottom w:val="single" w:sz="4" w:space="0" w:color="auto"/>
              <w:right w:val="single" w:sz="4" w:space="0" w:color="auto"/>
            </w:tcBorders>
            <w:shd w:val="clear" w:color="auto" w:fill="auto"/>
            <w:vAlign w:val="center"/>
            <w:hideMark/>
          </w:tcPr>
          <w:p w14:paraId="29936F61" w14:textId="1DCD01A3" w:rsidR="00D94924" w:rsidRPr="00075B7C" w:rsidRDefault="00D94924" w:rsidP="002F3C17">
            <w:pPr>
              <w:pStyle w:val="ExhibitText"/>
              <w:jc w:val="left"/>
              <w:rPr>
                <w:color w:val="000000"/>
                <w:sz w:val="17"/>
                <w:szCs w:val="17"/>
                <w:lang w:eastAsia="zh-CN"/>
              </w:rPr>
            </w:pPr>
            <w:r w:rsidRPr="00075B7C">
              <w:rPr>
                <w:color w:val="000000"/>
                <w:sz w:val="17"/>
                <w:szCs w:val="17"/>
                <w:lang w:eastAsia="zh-CN"/>
              </w:rPr>
              <w:t>Baidu</w:t>
            </w:r>
            <w:r w:rsidR="001D237E">
              <w:rPr>
                <w:color w:val="000000"/>
                <w:sz w:val="17"/>
                <w:szCs w:val="17"/>
                <w:lang w:eastAsia="zh-CN"/>
              </w:rPr>
              <w:t>,</w:t>
            </w:r>
            <w:r w:rsidRPr="00075B7C">
              <w:rPr>
                <w:color w:val="000000"/>
                <w:sz w:val="17"/>
                <w:szCs w:val="17"/>
                <w:lang w:eastAsia="zh-CN"/>
              </w:rPr>
              <w:t xml:space="preserve"> Inc</w:t>
            </w:r>
            <w:r w:rsidR="001D237E">
              <w:rPr>
                <w:color w:val="000000"/>
                <w:sz w:val="17"/>
                <w:szCs w:val="17"/>
                <w:lang w:eastAsia="zh-CN"/>
              </w:rPr>
              <w:t>.</w:t>
            </w:r>
          </w:p>
        </w:tc>
        <w:tc>
          <w:tcPr>
            <w:tcW w:w="1620" w:type="dxa"/>
            <w:tcBorders>
              <w:top w:val="dotted" w:sz="4" w:space="0" w:color="auto"/>
              <w:left w:val="nil"/>
              <w:bottom w:val="single" w:sz="4" w:space="0" w:color="auto"/>
              <w:right w:val="single" w:sz="4" w:space="0" w:color="auto"/>
            </w:tcBorders>
            <w:shd w:val="clear" w:color="auto" w:fill="auto"/>
            <w:noWrap/>
            <w:vAlign w:val="center"/>
            <w:hideMark/>
          </w:tcPr>
          <w:p w14:paraId="18249B55"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w:t>
            </w:r>
          </w:p>
        </w:tc>
        <w:tc>
          <w:tcPr>
            <w:tcW w:w="1471"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4F67BD1B" w14:textId="21762A2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-06-09</w:t>
            </w:r>
          </w:p>
        </w:tc>
        <w:tc>
          <w:tcPr>
            <w:tcW w:w="1350"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59CE9B9C"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5</w:t>
            </w:r>
          </w:p>
        </w:tc>
        <w:tc>
          <w:tcPr>
            <w:tcW w:w="1241"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6634919A"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2.75</w:t>
            </w:r>
          </w:p>
        </w:tc>
        <w:tc>
          <w:tcPr>
            <w:tcW w:w="939"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09C2AA4C"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A3</w:t>
            </w:r>
          </w:p>
        </w:tc>
        <w:tc>
          <w:tcPr>
            <w:tcW w:w="630"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0C0BE7ED"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NA</w:t>
            </w:r>
          </w:p>
        </w:tc>
        <w:tc>
          <w:tcPr>
            <w:tcW w:w="830" w:type="dxa"/>
            <w:tcBorders>
              <w:top w:val="dotted" w:sz="4" w:space="0" w:color="auto"/>
              <w:left w:val="single" w:sz="4" w:space="0" w:color="auto"/>
              <w:bottom w:val="single" w:sz="4" w:space="0" w:color="auto"/>
              <w:right w:val="single" w:sz="4" w:space="0" w:color="auto"/>
            </w:tcBorders>
            <w:shd w:val="clear" w:color="auto" w:fill="auto"/>
            <w:noWrap/>
            <w:vAlign w:val="center"/>
            <w:hideMark/>
          </w:tcPr>
          <w:p w14:paraId="3FCD190F" w14:textId="0AA80FF4"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2.905</w:t>
            </w:r>
          </w:p>
        </w:tc>
        <w:tc>
          <w:tcPr>
            <w:tcW w:w="1885" w:type="dxa"/>
            <w:tcBorders>
              <w:top w:val="dotted" w:sz="4" w:space="0" w:color="auto"/>
              <w:left w:val="nil"/>
              <w:bottom w:val="single" w:sz="4" w:space="0" w:color="auto"/>
              <w:right w:val="single" w:sz="4" w:space="0" w:color="auto"/>
            </w:tcBorders>
            <w:vAlign w:val="center"/>
          </w:tcPr>
          <w:p w14:paraId="3A472380" w14:textId="4D3BD343"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1.265</w:t>
            </w:r>
          </w:p>
        </w:tc>
      </w:tr>
      <w:tr w:rsidR="00145E2B" w:rsidRPr="00075B7C" w14:paraId="191945E2" w14:textId="77777777" w:rsidTr="005754D0">
        <w:trPr>
          <w:trHeight w:val="360"/>
          <w:jc w:val="center"/>
        </w:trPr>
        <w:tc>
          <w:tcPr>
            <w:tcW w:w="1187" w:type="dxa"/>
            <w:vMerge/>
            <w:tcBorders>
              <w:top w:val="nil"/>
              <w:left w:val="single" w:sz="4" w:space="0" w:color="auto"/>
              <w:bottom w:val="single" w:sz="4" w:space="0" w:color="auto"/>
              <w:right w:val="single" w:sz="4" w:space="0" w:color="auto"/>
            </w:tcBorders>
            <w:vAlign w:val="center"/>
            <w:hideMark/>
          </w:tcPr>
          <w:p w14:paraId="187EF6B9" w14:textId="77777777" w:rsidR="00D94924" w:rsidRPr="00075B7C" w:rsidRDefault="00D94924" w:rsidP="002F3C17">
            <w:pPr>
              <w:pStyle w:val="ExhibitText"/>
              <w:rPr>
                <w:color w:val="000000"/>
                <w:sz w:val="17"/>
                <w:szCs w:val="17"/>
                <w:lang w:eastAsia="zh-CN"/>
              </w:rPr>
            </w:pPr>
          </w:p>
        </w:tc>
        <w:tc>
          <w:tcPr>
            <w:tcW w:w="1771" w:type="dxa"/>
            <w:vMerge w:val="restart"/>
            <w:tcBorders>
              <w:top w:val="nil"/>
              <w:left w:val="single" w:sz="4" w:space="0" w:color="auto"/>
              <w:bottom w:val="single" w:sz="4" w:space="0" w:color="auto"/>
              <w:right w:val="single" w:sz="4" w:space="0" w:color="auto"/>
            </w:tcBorders>
            <w:shd w:val="clear" w:color="auto" w:fill="auto"/>
            <w:vAlign w:val="center"/>
            <w:hideMark/>
          </w:tcPr>
          <w:p w14:paraId="59CBD5D9" w14:textId="2FBF390C" w:rsidR="00D94924" w:rsidRPr="00075B7C" w:rsidRDefault="00D94924" w:rsidP="002F3C17">
            <w:pPr>
              <w:pStyle w:val="ExhibitText"/>
              <w:jc w:val="left"/>
              <w:rPr>
                <w:color w:val="000000"/>
                <w:sz w:val="17"/>
                <w:szCs w:val="17"/>
                <w:lang w:eastAsia="zh-CN"/>
              </w:rPr>
            </w:pPr>
            <w:r w:rsidRPr="00075B7C">
              <w:rPr>
                <w:color w:val="000000"/>
                <w:sz w:val="17"/>
                <w:szCs w:val="17"/>
                <w:lang w:eastAsia="zh-CN"/>
              </w:rPr>
              <w:t xml:space="preserve">Tencent Holdings </w:t>
            </w:r>
            <w:r w:rsidR="001D237E">
              <w:rPr>
                <w:color w:val="000000"/>
                <w:sz w:val="17"/>
                <w:szCs w:val="17"/>
                <w:lang w:eastAsia="zh-CN"/>
              </w:rPr>
              <w:t>Limited</w:t>
            </w:r>
          </w:p>
        </w:tc>
        <w:tc>
          <w:tcPr>
            <w:tcW w:w="1620" w:type="dxa"/>
            <w:tcBorders>
              <w:top w:val="nil"/>
              <w:left w:val="nil"/>
              <w:bottom w:val="nil"/>
              <w:right w:val="single" w:sz="4" w:space="0" w:color="auto"/>
            </w:tcBorders>
            <w:shd w:val="clear" w:color="auto" w:fill="auto"/>
            <w:noWrap/>
            <w:vAlign w:val="center"/>
            <w:hideMark/>
          </w:tcPr>
          <w:p w14:paraId="7BD7B9F9"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0.5</w:t>
            </w:r>
          </w:p>
        </w:tc>
        <w:tc>
          <w:tcPr>
            <w:tcW w:w="1471" w:type="dxa"/>
            <w:tcBorders>
              <w:top w:val="nil"/>
              <w:left w:val="single" w:sz="4" w:space="0" w:color="auto"/>
              <w:bottom w:val="nil"/>
              <w:right w:val="single" w:sz="4" w:space="0" w:color="auto"/>
            </w:tcBorders>
            <w:shd w:val="clear" w:color="auto" w:fill="auto"/>
            <w:noWrap/>
            <w:vAlign w:val="center"/>
            <w:hideMark/>
          </w:tcPr>
          <w:p w14:paraId="1E0684FD" w14:textId="0B249AEB"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-04-29</w:t>
            </w:r>
          </w:p>
        </w:tc>
        <w:tc>
          <w:tcPr>
            <w:tcW w:w="1350" w:type="dxa"/>
            <w:tcBorders>
              <w:top w:val="nil"/>
              <w:left w:val="single" w:sz="4" w:space="0" w:color="auto"/>
              <w:bottom w:val="nil"/>
              <w:right w:val="single" w:sz="4" w:space="0" w:color="auto"/>
            </w:tcBorders>
            <w:shd w:val="clear" w:color="auto" w:fill="auto"/>
            <w:noWrap/>
            <w:vAlign w:val="center"/>
            <w:hideMark/>
          </w:tcPr>
          <w:p w14:paraId="7B289760"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w:t>
            </w:r>
          </w:p>
        </w:tc>
        <w:tc>
          <w:tcPr>
            <w:tcW w:w="1241" w:type="dxa"/>
            <w:tcBorders>
              <w:top w:val="nil"/>
              <w:left w:val="single" w:sz="4" w:space="0" w:color="auto"/>
              <w:bottom w:val="nil"/>
              <w:right w:val="single" w:sz="4" w:space="0" w:color="auto"/>
            </w:tcBorders>
            <w:shd w:val="clear" w:color="auto" w:fill="auto"/>
            <w:noWrap/>
            <w:vAlign w:val="center"/>
            <w:hideMark/>
          </w:tcPr>
          <w:p w14:paraId="5F444A4A"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w:t>
            </w:r>
          </w:p>
        </w:tc>
        <w:tc>
          <w:tcPr>
            <w:tcW w:w="939" w:type="dxa"/>
            <w:tcBorders>
              <w:top w:val="nil"/>
              <w:left w:val="single" w:sz="4" w:space="0" w:color="auto"/>
              <w:bottom w:val="nil"/>
              <w:right w:val="single" w:sz="4" w:space="0" w:color="auto"/>
            </w:tcBorders>
            <w:shd w:val="clear" w:color="auto" w:fill="auto"/>
            <w:noWrap/>
            <w:vAlign w:val="center"/>
            <w:hideMark/>
          </w:tcPr>
          <w:p w14:paraId="59E2E202"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A3</w:t>
            </w:r>
          </w:p>
        </w:tc>
        <w:tc>
          <w:tcPr>
            <w:tcW w:w="630" w:type="dxa"/>
            <w:tcBorders>
              <w:top w:val="nil"/>
              <w:left w:val="single" w:sz="4" w:space="0" w:color="auto"/>
              <w:bottom w:val="nil"/>
              <w:right w:val="single" w:sz="4" w:space="0" w:color="auto"/>
            </w:tcBorders>
            <w:shd w:val="clear" w:color="auto" w:fill="auto"/>
            <w:noWrap/>
            <w:vAlign w:val="center"/>
            <w:hideMark/>
          </w:tcPr>
          <w:p w14:paraId="70053A7E"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nil"/>
              <w:left w:val="single" w:sz="4" w:space="0" w:color="auto"/>
              <w:bottom w:val="nil"/>
              <w:right w:val="single" w:sz="4" w:space="0" w:color="auto"/>
            </w:tcBorders>
            <w:shd w:val="clear" w:color="auto" w:fill="auto"/>
            <w:noWrap/>
            <w:vAlign w:val="center"/>
            <w:hideMark/>
          </w:tcPr>
          <w:p w14:paraId="13A1F6D3" w14:textId="48D7FAE1"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2.070</w:t>
            </w:r>
          </w:p>
        </w:tc>
        <w:tc>
          <w:tcPr>
            <w:tcW w:w="1885" w:type="dxa"/>
            <w:tcBorders>
              <w:top w:val="nil"/>
              <w:left w:val="nil"/>
              <w:bottom w:val="nil"/>
              <w:right w:val="single" w:sz="4" w:space="0" w:color="auto"/>
            </w:tcBorders>
            <w:vAlign w:val="center"/>
          </w:tcPr>
          <w:p w14:paraId="4786CAA7" w14:textId="1657DA3A"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1.160</w:t>
            </w:r>
          </w:p>
        </w:tc>
      </w:tr>
      <w:tr w:rsidR="00145E2B" w:rsidRPr="00075B7C" w14:paraId="7D459D36" w14:textId="77777777" w:rsidTr="005754D0">
        <w:trPr>
          <w:trHeight w:val="360"/>
          <w:jc w:val="center"/>
        </w:trPr>
        <w:tc>
          <w:tcPr>
            <w:tcW w:w="1187" w:type="dxa"/>
            <w:vMerge/>
            <w:tcBorders>
              <w:top w:val="nil"/>
              <w:left w:val="single" w:sz="4" w:space="0" w:color="auto"/>
              <w:bottom w:val="single" w:sz="4" w:space="0" w:color="auto"/>
              <w:right w:val="single" w:sz="4" w:space="0" w:color="auto"/>
            </w:tcBorders>
            <w:vAlign w:val="center"/>
            <w:hideMark/>
          </w:tcPr>
          <w:p w14:paraId="799AA113" w14:textId="77777777" w:rsidR="00D94924" w:rsidRPr="00075B7C" w:rsidRDefault="00D94924" w:rsidP="002F3C17">
            <w:pPr>
              <w:pStyle w:val="ExhibitText"/>
              <w:rPr>
                <w:color w:val="000000"/>
                <w:sz w:val="17"/>
                <w:szCs w:val="17"/>
                <w:lang w:eastAsia="zh-CN"/>
              </w:rPr>
            </w:pPr>
          </w:p>
        </w:tc>
        <w:tc>
          <w:tcPr>
            <w:tcW w:w="1771" w:type="dxa"/>
            <w:vMerge/>
            <w:tcBorders>
              <w:top w:val="nil"/>
              <w:left w:val="single" w:sz="4" w:space="0" w:color="auto"/>
              <w:bottom w:val="single" w:sz="4" w:space="0" w:color="auto"/>
              <w:right w:val="single" w:sz="4" w:space="0" w:color="auto"/>
            </w:tcBorders>
            <w:vAlign w:val="center"/>
            <w:hideMark/>
          </w:tcPr>
          <w:p w14:paraId="3C225C06" w14:textId="77777777" w:rsidR="00D94924" w:rsidRPr="00075B7C" w:rsidRDefault="00D94924" w:rsidP="002F3C17">
            <w:pPr>
              <w:pStyle w:val="ExhibitText"/>
              <w:rPr>
                <w:color w:val="000000"/>
                <w:sz w:val="17"/>
                <w:szCs w:val="17"/>
                <w:lang w:eastAsia="zh-CN"/>
              </w:rPr>
            </w:pPr>
          </w:p>
        </w:tc>
        <w:tc>
          <w:tcPr>
            <w:tcW w:w="1620" w:type="dxa"/>
            <w:tcBorders>
              <w:top w:val="nil"/>
              <w:left w:val="nil"/>
              <w:bottom w:val="single" w:sz="4" w:space="0" w:color="auto"/>
              <w:right w:val="single" w:sz="4" w:space="0" w:color="auto"/>
            </w:tcBorders>
            <w:shd w:val="clear" w:color="auto" w:fill="auto"/>
            <w:noWrap/>
            <w:vAlign w:val="center"/>
            <w:hideMark/>
          </w:tcPr>
          <w:p w14:paraId="0D31316B"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w:t>
            </w:r>
          </w:p>
        </w:tc>
        <w:tc>
          <w:tcPr>
            <w:tcW w:w="1471" w:type="dxa"/>
            <w:tcBorders>
              <w:top w:val="nil"/>
              <w:left w:val="single" w:sz="4" w:space="0" w:color="auto"/>
              <w:bottom w:val="single" w:sz="4" w:space="0" w:color="auto"/>
              <w:right w:val="single" w:sz="4" w:space="0" w:color="auto"/>
            </w:tcBorders>
            <w:shd w:val="clear" w:color="auto" w:fill="auto"/>
            <w:noWrap/>
            <w:vAlign w:val="center"/>
            <w:hideMark/>
          </w:tcPr>
          <w:p w14:paraId="3341842E" w14:textId="435BA708"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2014</w:t>
            </w:r>
            <w:r w:rsidR="00A371F2">
              <w:rPr>
                <w:rFonts w:eastAsia="SimSun"/>
                <w:sz w:val="17"/>
                <w:szCs w:val="17"/>
                <w:lang w:eastAsia="zh-CN"/>
              </w:rPr>
              <w:t>-04-29</w:t>
            </w:r>
          </w:p>
        </w:tc>
        <w:tc>
          <w:tcPr>
            <w:tcW w:w="1350" w:type="dxa"/>
            <w:tcBorders>
              <w:top w:val="nil"/>
              <w:left w:val="single" w:sz="4" w:space="0" w:color="auto"/>
              <w:bottom w:val="single" w:sz="4" w:space="0" w:color="auto"/>
              <w:right w:val="single" w:sz="4" w:space="0" w:color="auto"/>
            </w:tcBorders>
            <w:shd w:val="clear" w:color="auto" w:fill="auto"/>
            <w:noWrap/>
            <w:vAlign w:val="center"/>
            <w:hideMark/>
          </w:tcPr>
          <w:p w14:paraId="737895ED"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5</w:t>
            </w:r>
          </w:p>
        </w:tc>
        <w:tc>
          <w:tcPr>
            <w:tcW w:w="1241" w:type="dxa"/>
            <w:tcBorders>
              <w:top w:val="nil"/>
              <w:left w:val="single" w:sz="4" w:space="0" w:color="auto"/>
              <w:bottom w:val="single" w:sz="4" w:space="0" w:color="auto"/>
              <w:right w:val="single" w:sz="4" w:space="0" w:color="auto"/>
            </w:tcBorders>
            <w:shd w:val="clear" w:color="auto" w:fill="auto"/>
            <w:noWrap/>
            <w:vAlign w:val="center"/>
            <w:hideMark/>
          </w:tcPr>
          <w:p w14:paraId="741C8E4B"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3.375</w:t>
            </w:r>
          </w:p>
        </w:tc>
        <w:tc>
          <w:tcPr>
            <w:tcW w:w="939" w:type="dxa"/>
            <w:tcBorders>
              <w:top w:val="nil"/>
              <w:left w:val="single" w:sz="4" w:space="0" w:color="auto"/>
              <w:bottom w:val="single" w:sz="4" w:space="0" w:color="auto"/>
              <w:right w:val="single" w:sz="4" w:space="0" w:color="auto"/>
            </w:tcBorders>
            <w:shd w:val="clear" w:color="auto" w:fill="auto"/>
            <w:noWrap/>
            <w:vAlign w:val="center"/>
            <w:hideMark/>
          </w:tcPr>
          <w:p w14:paraId="068BD45A"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A3</w:t>
            </w:r>
          </w:p>
        </w:tc>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3D5E32F9" w14:textId="77777777"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A-</w:t>
            </w:r>
          </w:p>
        </w:tc>
        <w:tc>
          <w:tcPr>
            <w:tcW w:w="830" w:type="dxa"/>
            <w:tcBorders>
              <w:top w:val="nil"/>
              <w:left w:val="single" w:sz="4" w:space="0" w:color="auto"/>
              <w:bottom w:val="single" w:sz="4" w:space="0" w:color="auto"/>
              <w:right w:val="single" w:sz="4" w:space="0" w:color="auto"/>
            </w:tcBorders>
            <w:shd w:val="clear" w:color="auto" w:fill="auto"/>
            <w:noWrap/>
            <w:vAlign w:val="center"/>
            <w:hideMark/>
          </w:tcPr>
          <w:p w14:paraId="61D64FB9" w14:textId="28395AB9"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3.398</w:t>
            </w:r>
          </w:p>
        </w:tc>
        <w:tc>
          <w:tcPr>
            <w:tcW w:w="1885" w:type="dxa"/>
            <w:tcBorders>
              <w:top w:val="nil"/>
              <w:left w:val="nil"/>
              <w:bottom w:val="single" w:sz="4" w:space="0" w:color="auto"/>
              <w:right w:val="single" w:sz="4" w:space="0" w:color="auto"/>
            </w:tcBorders>
            <w:vAlign w:val="center"/>
          </w:tcPr>
          <w:p w14:paraId="75BD612B" w14:textId="2E23AE15" w:rsidR="00D94924" w:rsidRPr="00075B7C" w:rsidRDefault="00D94924" w:rsidP="002F3C17">
            <w:pPr>
              <w:pStyle w:val="ExhibitText"/>
              <w:jc w:val="right"/>
              <w:rPr>
                <w:rFonts w:eastAsia="SimSun"/>
                <w:sz w:val="17"/>
                <w:szCs w:val="17"/>
                <w:lang w:eastAsia="zh-CN"/>
              </w:rPr>
            </w:pPr>
            <w:r w:rsidRPr="00075B7C">
              <w:rPr>
                <w:rFonts w:eastAsia="SimSun"/>
                <w:sz w:val="17"/>
                <w:szCs w:val="17"/>
                <w:lang w:eastAsia="zh-CN"/>
              </w:rPr>
              <w:t>1.658</w:t>
            </w:r>
          </w:p>
        </w:tc>
      </w:tr>
    </w:tbl>
    <w:p w14:paraId="72AD24B7" w14:textId="77777777" w:rsidR="00930F39" w:rsidRPr="00075B7C" w:rsidRDefault="00930F39" w:rsidP="002F3C17">
      <w:pPr>
        <w:pStyle w:val="ExhibitText"/>
      </w:pPr>
    </w:p>
    <w:p w14:paraId="0D107F65" w14:textId="324B4F18" w:rsidR="009B37FD" w:rsidRPr="00075B7C" w:rsidRDefault="00A868D9" w:rsidP="002F3C17">
      <w:pPr>
        <w:pStyle w:val="Footnote"/>
      </w:pPr>
      <w:r w:rsidRPr="00E22D9C">
        <w:t>Source:</w:t>
      </w:r>
      <w:r>
        <w:t xml:space="preserve"> Created by the author based on </w:t>
      </w:r>
      <w:r w:rsidRPr="000C222E">
        <w:t xml:space="preserve">Bloomberg L.P., Bloomberg Database, accessed </w:t>
      </w:r>
      <w:r>
        <w:t>December 23, 2014.</w:t>
      </w:r>
    </w:p>
    <w:p w14:paraId="45B4A9C2" w14:textId="77777777" w:rsidR="009B37FD" w:rsidRPr="00075B7C" w:rsidRDefault="009B37FD" w:rsidP="002F3C17">
      <w:pPr>
        <w:pStyle w:val="Footnote"/>
        <w:sectPr w:rsidR="009B37FD" w:rsidRPr="00075B7C" w:rsidSect="003F3921">
          <w:headerReference w:type="default" r:id="rId21"/>
          <w:headerReference w:type="first" r:id="rId22"/>
          <w:pgSz w:w="15840" w:h="12240" w:orient="landscape" w:code="1"/>
          <w:pgMar w:top="1080" w:right="1440" w:bottom="1440" w:left="1440" w:header="425" w:footer="720" w:gutter="0"/>
          <w:cols w:space="720"/>
          <w:noEndnote/>
          <w:titlePg/>
          <w:docGrid w:linePitch="326"/>
        </w:sectPr>
      </w:pPr>
    </w:p>
    <w:p w14:paraId="2DFCBE05" w14:textId="77777777" w:rsidR="006D61EA" w:rsidRPr="00075B7C" w:rsidRDefault="00FC7297" w:rsidP="002F3C17">
      <w:pPr>
        <w:pStyle w:val="ExhibitHeading"/>
        <w:jc w:val="left"/>
        <w:outlineLvl w:val="0"/>
        <w:rPr>
          <w:rFonts w:ascii="Times New Roman" w:hAnsi="Times New Roman"/>
        </w:rPr>
      </w:pPr>
      <w:r w:rsidRPr="00075B7C">
        <w:lastRenderedPageBreak/>
        <w:t>endnotes</w:t>
      </w:r>
    </w:p>
    <w:sectPr w:rsidR="006D61EA" w:rsidRPr="00075B7C" w:rsidSect="003F3921">
      <w:headerReference w:type="default" r:id="rId23"/>
      <w:headerReference w:type="first" r:id="rId24"/>
      <w:endnotePr>
        <w:numFmt w:val="decimal"/>
      </w:endnotePr>
      <w:pgSz w:w="12240" w:h="15840"/>
      <w:pgMar w:top="1080" w:right="1440" w:bottom="1440" w:left="1440" w:header="425"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EBF2E" w14:textId="77777777" w:rsidR="00761CC3" w:rsidRDefault="00761CC3" w:rsidP="00D75295">
      <w:r>
        <w:separator/>
      </w:r>
    </w:p>
  </w:endnote>
  <w:endnote w:type="continuationSeparator" w:id="0">
    <w:p w14:paraId="5FDD3459" w14:textId="77777777" w:rsidR="00761CC3" w:rsidRDefault="00761CC3" w:rsidP="00D75295">
      <w:r>
        <w:continuationSeparator/>
      </w:r>
    </w:p>
  </w:endnote>
  <w:endnote w:id="1">
    <w:p w14:paraId="5D06EE3F" w14:textId="77777777" w:rsidR="00761CC3" w:rsidRPr="00F2675C" w:rsidRDefault="00761CC3" w:rsidP="00E37067">
      <w:pPr>
        <w:pStyle w:val="Footnote"/>
        <w:jc w:val="both"/>
      </w:pPr>
      <w:r w:rsidRPr="00F2675C">
        <w:rPr>
          <w:rStyle w:val="EndnoteReference"/>
        </w:rPr>
        <w:endnoteRef/>
      </w:r>
      <w:r w:rsidRPr="00F2675C">
        <w:t xml:space="preserve"> This case has been written on the basis of published sources. Consequently, the interpretation and perspectives presented in this case are not necessarily those of Alibaba Group or any of its employees.</w:t>
      </w:r>
    </w:p>
  </w:endnote>
  <w:endnote w:id="2">
    <w:p w14:paraId="6DEEDA0D" w14:textId="0E2606EA" w:rsidR="00761CC3" w:rsidRPr="00F2675C" w:rsidRDefault="00761CC3" w:rsidP="00E37067">
      <w:pPr>
        <w:pStyle w:val="Footnote"/>
        <w:jc w:val="both"/>
      </w:pPr>
      <w:r w:rsidRPr="00F2675C">
        <w:rPr>
          <w:rStyle w:val="EndnoteReference"/>
          <w:i/>
        </w:rPr>
        <w:endnoteRef/>
      </w:r>
      <w:r w:rsidRPr="00F2675C">
        <w:t xml:space="preserve"> Jackie Ho</w:t>
      </w:r>
      <w:r>
        <w:t>rn</w:t>
      </w:r>
      <w:r w:rsidRPr="00F2675C">
        <w:t>e, “Alibaba to Bond with Investors (In a Big Way</w:t>
      </w:r>
      <w:r w:rsidRPr="009A6B9D">
        <w:rPr>
          <w:i/>
        </w:rPr>
        <w:t>),” Finance Asia</w:t>
      </w:r>
      <w:r w:rsidRPr="00F2675C">
        <w:t>, November 14, 2014, accessed January 19, 2015, www.financeasia.com/News/392103,alibaba-to-bond-with-investors-in-a-big-way.aspx.</w:t>
      </w:r>
    </w:p>
  </w:endnote>
  <w:endnote w:id="3">
    <w:p w14:paraId="7050FFF4" w14:textId="29220E2D" w:rsidR="00761CC3" w:rsidRPr="00F2675C" w:rsidRDefault="00761CC3" w:rsidP="00E37067">
      <w:pPr>
        <w:pStyle w:val="Footnote"/>
        <w:jc w:val="both"/>
      </w:pPr>
      <w:r w:rsidRPr="00F2675C">
        <w:rPr>
          <w:rStyle w:val="EndnoteReference"/>
        </w:rPr>
        <w:endnoteRef/>
      </w:r>
      <w:r w:rsidRPr="00F2675C">
        <w:t xml:space="preserve"> “</w:t>
      </w:r>
      <w:r w:rsidR="00E37067">
        <w:t>What Is Alibaba? It I</w:t>
      </w:r>
      <w:r>
        <w:t>s a Marketpla</w:t>
      </w:r>
      <w:r w:rsidR="00E37067">
        <w:t>ce, a Search Engine and a Bank, All in One,”</w:t>
      </w:r>
      <w:r w:rsidRPr="00F2675C">
        <w:t xml:space="preserve"> </w:t>
      </w:r>
      <w:r w:rsidRPr="00F2675C">
        <w:rPr>
          <w:i/>
        </w:rPr>
        <w:t>Wall Street Journal</w:t>
      </w:r>
      <w:r w:rsidRPr="00F2675C">
        <w:t xml:space="preserve"> (blog), accessed May 28, 2015, http://projects.wsj.com/alibaba.</w:t>
      </w:r>
    </w:p>
  </w:endnote>
  <w:endnote w:id="4">
    <w:p w14:paraId="7721A81B" w14:textId="4E348C76" w:rsidR="00761CC3" w:rsidRPr="00F2675C" w:rsidRDefault="00761CC3" w:rsidP="00E37067">
      <w:pPr>
        <w:pStyle w:val="Footnote"/>
        <w:jc w:val="both"/>
        <w:rPr>
          <w:b/>
        </w:rPr>
      </w:pPr>
      <w:r w:rsidRPr="00F2675C">
        <w:rPr>
          <w:rStyle w:val="EndnoteReference"/>
        </w:rPr>
        <w:endnoteRef/>
      </w:r>
      <w:r w:rsidRPr="00F2675C">
        <w:t xml:space="preserve"> </w:t>
      </w:r>
      <w:r w:rsidRPr="00F2675C">
        <w:t>Aswath Damodaran, “Alibaba: A China Story With a Profitable Ending?</w:t>
      </w:r>
      <w:r>
        <w:t>,</w:t>
      </w:r>
      <w:r w:rsidRPr="00F2675C">
        <w:t>”</w:t>
      </w:r>
      <w:r>
        <w:t xml:space="preserve"> </w:t>
      </w:r>
      <w:r w:rsidRPr="00F2675C">
        <w:rPr>
          <w:i/>
        </w:rPr>
        <w:t>Musings on Markets</w:t>
      </w:r>
      <w:r>
        <w:rPr>
          <w:i/>
        </w:rPr>
        <w:t>: My Not-so-profound Thoughts about Valuation, Corporate Finance and the News,</w:t>
      </w:r>
      <w:r w:rsidRPr="00F2675C">
        <w:t xml:space="preserve"> (blog), May </w:t>
      </w:r>
      <w:r>
        <w:t>9</w:t>
      </w:r>
      <w:r w:rsidRPr="00F2675C">
        <w:t>, 2014, accessed June 16, 2014, http://aswathdamodaran.blogspot.sg/2014/05/alibaba-china-story-with-profitable.html.</w:t>
      </w:r>
    </w:p>
  </w:endnote>
  <w:endnote w:id="5">
    <w:p w14:paraId="4CE581B7" w14:textId="67F3A214" w:rsidR="00761CC3" w:rsidRPr="00F2675C" w:rsidRDefault="00761CC3" w:rsidP="00E37067">
      <w:pPr>
        <w:pStyle w:val="Footnote"/>
        <w:jc w:val="both"/>
      </w:pPr>
      <w:r w:rsidRPr="00F2675C">
        <w:rPr>
          <w:rStyle w:val="EndnoteReference"/>
        </w:rPr>
        <w:endnoteRef/>
      </w:r>
      <w:r w:rsidRPr="00F2675C">
        <w:t xml:space="preserve"> All currencies are in U</w:t>
      </w:r>
      <w:r>
        <w:t>S$</w:t>
      </w:r>
      <w:r w:rsidRPr="00F2675C">
        <w:t>, unless otherwise stated</w:t>
      </w:r>
      <w:r>
        <w:t xml:space="preserve">. </w:t>
      </w:r>
      <w:r w:rsidRPr="00F2675C">
        <w:t>¥</w:t>
      </w:r>
      <w:r w:rsidR="00E37067">
        <w:t xml:space="preserve"> = CNY = Chinese yua</w:t>
      </w:r>
      <w:r>
        <w:t xml:space="preserve">n </w:t>
      </w:r>
      <w:r>
        <w:t xml:space="preserve">Renminbi; US$1 = </w:t>
      </w:r>
      <w:r w:rsidRPr="00F2675C">
        <w:t>¥6.1475</w:t>
      </w:r>
      <w:r>
        <w:t xml:space="preserve"> in </w:t>
      </w:r>
      <w:r w:rsidRPr="00F2675C">
        <w:t>September 2014</w:t>
      </w:r>
      <w:r>
        <w:t>.</w:t>
      </w:r>
    </w:p>
  </w:endnote>
  <w:endnote w:id="6">
    <w:p w14:paraId="6E7833D7" w14:textId="34E3D6E6" w:rsidR="00761CC3" w:rsidRPr="00F2675C" w:rsidRDefault="00761CC3" w:rsidP="00E37067">
      <w:pPr>
        <w:pStyle w:val="Footnote"/>
        <w:jc w:val="both"/>
      </w:pPr>
      <w:r w:rsidRPr="00F2675C">
        <w:rPr>
          <w:rStyle w:val="EndnoteReference"/>
        </w:rPr>
        <w:endnoteRef/>
      </w:r>
      <w:r w:rsidRPr="00F2675C">
        <w:t xml:space="preserve"> “</w:t>
      </w:r>
      <w:r w:rsidR="00E37067">
        <w:t>What I</w:t>
      </w:r>
      <w:r>
        <w:t>s</w:t>
      </w:r>
      <w:r w:rsidRPr="00F2675C">
        <w:t xml:space="preserve"> Alibaba</w:t>
      </w:r>
      <w:r w:rsidR="00E37067">
        <w:t>?,</w:t>
      </w:r>
      <w:r w:rsidRPr="00F2675C">
        <w:t xml:space="preserve">” </w:t>
      </w:r>
      <w:r>
        <w:t xml:space="preserve">op. cit. </w:t>
      </w:r>
    </w:p>
  </w:endnote>
  <w:endnote w:id="7">
    <w:p w14:paraId="1469B738" w14:textId="3B8A539E" w:rsidR="00761CC3" w:rsidRPr="00F2675C" w:rsidRDefault="00761CC3" w:rsidP="00E37067">
      <w:pPr>
        <w:pStyle w:val="Footnote"/>
        <w:jc w:val="both"/>
        <w:rPr>
          <w:bdr w:val="none" w:sz="0" w:space="0" w:color="auto" w:frame="1"/>
        </w:rPr>
      </w:pPr>
      <w:r w:rsidRPr="00F2675C">
        <w:rPr>
          <w:rStyle w:val="EndnoteReference"/>
        </w:rPr>
        <w:endnoteRef/>
      </w:r>
      <w:r w:rsidRPr="00F2675C">
        <w:t xml:space="preserve"> </w:t>
      </w:r>
      <w:r w:rsidR="00E37067">
        <w:rPr>
          <w:bdr w:val="none" w:sz="0" w:space="0" w:color="auto" w:frame="1"/>
        </w:rPr>
        <w:t>Don Dion, “Yahoo’</w:t>
      </w:r>
      <w:r w:rsidRPr="00F2675C">
        <w:rPr>
          <w:bdr w:val="none" w:sz="0" w:space="0" w:color="auto" w:frame="1"/>
        </w:rPr>
        <w:t xml:space="preserve">s Alibaba Prepares for IPO as Its Online Sales Are Set to Explode,” </w:t>
      </w:r>
      <w:r w:rsidRPr="009A6B9D">
        <w:rPr>
          <w:bdr w:val="none" w:sz="0" w:space="0" w:color="auto" w:frame="1"/>
        </w:rPr>
        <w:t>Seeking Alpha</w:t>
      </w:r>
      <w:r w:rsidRPr="00F2675C">
        <w:rPr>
          <w:bdr w:val="none" w:sz="0" w:space="0" w:color="auto" w:frame="1"/>
        </w:rPr>
        <w:t xml:space="preserve"> (blog), November 11, 2013, accessed May 19, 2016, http://seekingalpha.com/article/1828522-yahoos-alibaba-prepares-for-ipo-as-its-online-sales-are-set-to-explode.</w:t>
      </w:r>
    </w:p>
  </w:endnote>
  <w:endnote w:id="8">
    <w:p w14:paraId="5CC5A336" w14:textId="5F51BED8" w:rsidR="00761CC3" w:rsidRPr="00F2675C" w:rsidRDefault="00761CC3" w:rsidP="00E37067">
      <w:pPr>
        <w:pStyle w:val="Footnote"/>
        <w:jc w:val="both"/>
      </w:pPr>
      <w:r w:rsidRPr="00F2675C">
        <w:rPr>
          <w:rStyle w:val="EndnoteReference"/>
        </w:rPr>
        <w:endnoteRef/>
      </w:r>
      <w:r w:rsidRPr="00F2675C">
        <w:t xml:space="preserve"> Adapted from Emir </w:t>
      </w:r>
      <w:r w:rsidRPr="00F2675C">
        <w:t xml:space="preserve">Hrnjić and David Reeb, </w:t>
      </w:r>
      <w:r w:rsidRPr="009A6B9D">
        <w:t>Financing Alibaba’s Buyout: Syndicated Loan in Asia</w:t>
      </w:r>
      <w:r w:rsidRPr="00F2675C">
        <w:t xml:space="preserve"> (London, ON: Ivey Publishing, 2014). Available from Ivey Publishing, product no. </w:t>
      </w:r>
      <w:r w:rsidRPr="00F2675C">
        <w:rPr>
          <w:lang w:val="en-US"/>
        </w:rPr>
        <w:t>9B14N011.</w:t>
      </w:r>
    </w:p>
  </w:endnote>
  <w:endnote w:id="9">
    <w:p w14:paraId="30584895" w14:textId="51C84D12" w:rsidR="00761CC3" w:rsidRPr="00F2675C" w:rsidRDefault="00761CC3" w:rsidP="00E37067">
      <w:pPr>
        <w:pStyle w:val="Footnote"/>
        <w:jc w:val="both"/>
      </w:pPr>
      <w:r w:rsidRPr="00F2675C">
        <w:rPr>
          <w:rStyle w:val="EndnoteReference"/>
        </w:rPr>
        <w:endnoteRef/>
      </w:r>
      <w:r w:rsidRPr="00F2675C">
        <w:t xml:space="preserve"> “Alibaba’s Bank Meeting for USD 3 Billion Loan Attracts over 20 Banks,” </w:t>
      </w:r>
      <w:r w:rsidRPr="00F2675C">
        <w:t>Debtwire, March 20, 2012.</w:t>
      </w:r>
    </w:p>
  </w:endnote>
  <w:endnote w:id="10">
    <w:p w14:paraId="45E54423" w14:textId="4F9AD1F7" w:rsidR="00761CC3" w:rsidRPr="00F2675C" w:rsidRDefault="00761CC3" w:rsidP="00E37067">
      <w:pPr>
        <w:pStyle w:val="Footnote"/>
        <w:jc w:val="both"/>
      </w:pPr>
      <w:r w:rsidRPr="00F2675C">
        <w:rPr>
          <w:rStyle w:val="EndnoteReference"/>
        </w:rPr>
        <w:endnoteRef/>
      </w:r>
      <w:r w:rsidRPr="00F2675C">
        <w:t xml:space="preserve"> “</w:t>
      </w:r>
      <w:r>
        <w:t xml:space="preserve">Emerging Markets: </w:t>
      </w:r>
      <w:r w:rsidRPr="00F2675C">
        <w:t>Best Debt-Related Deals of 2012,” Global Capital, December 13, 2012, accessed May 19, 2016, www.globalcapital.com/article/k35xq3k1dbgb/best-debt-related-deals-of-2012.</w:t>
      </w:r>
    </w:p>
  </w:endnote>
  <w:endnote w:id="11">
    <w:p w14:paraId="0773BB8D" w14:textId="664B568D" w:rsidR="00761CC3" w:rsidRPr="00F2675C" w:rsidRDefault="00761CC3" w:rsidP="00E37067">
      <w:pPr>
        <w:pStyle w:val="Footnote"/>
        <w:jc w:val="both"/>
      </w:pPr>
      <w:r w:rsidRPr="00F2675C">
        <w:rPr>
          <w:rStyle w:val="EndnoteReference"/>
        </w:rPr>
        <w:endnoteRef/>
      </w:r>
      <w:r w:rsidRPr="00F2675C">
        <w:t xml:space="preserve"> “</w:t>
      </w:r>
      <w:r w:rsidRPr="00F2675C">
        <w:rPr>
          <w:rStyle w:val="Strong"/>
          <w:b w:val="0"/>
        </w:rPr>
        <w:t xml:space="preserve">Alibaba Group Signs USD 1 Billion Four-Year Loan Deal with Eight Banks,” </w:t>
      </w:r>
      <w:r w:rsidRPr="00E37067">
        <w:rPr>
          <w:rStyle w:val="Strong"/>
          <w:b w:val="0"/>
        </w:rPr>
        <w:t>Debtwire</w:t>
      </w:r>
      <w:r w:rsidRPr="00F2675C">
        <w:rPr>
          <w:rStyle w:val="Strong"/>
          <w:b w:val="0"/>
        </w:rPr>
        <w:t>, August 27, 2012.</w:t>
      </w:r>
    </w:p>
  </w:endnote>
  <w:endnote w:id="12">
    <w:p w14:paraId="16F87FDA" w14:textId="36B90E5F" w:rsidR="00761CC3" w:rsidRPr="00F2675C" w:rsidRDefault="00761CC3" w:rsidP="00E37067">
      <w:pPr>
        <w:pStyle w:val="Footnote"/>
        <w:jc w:val="both"/>
      </w:pPr>
      <w:r w:rsidRPr="00F2675C">
        <w:rPr>
          <w:rStyle w:val="EndnoteReference"/>
        </w:rPr>
        <w:endnoteRef/>
      </w:r>
      <w:r w:rsidRPr="00F2675C">
        <w:t xml:space="preserve"> Adapted from Emir </w:t>
      </w:r>
      <w:r w:rsidRPr="00F2675C">
        <w:t xml:space="preserve">Hrnjić, </w:t>
      </w:r>
      <w:r w:rsidRPr="009A6B9D">
        <w:t>Alibaba’s IPO Dilemma: Hong Kong or New York?</w:t>
      </w:r>
      <w:r w:rsidRPr="00F2675C">
        <w:t xml:space="preserve"> (London, ON: Ivey Publishing, 2014). Available from Ivey Publishing, product no. 9B14N035.</w:t>
      </w:r>
    </w:p>
  </w:endnote>
  <w:endnote w:id="13">
    <w:p w14:paraId="095FA5A0" w14:textId="2BE79E18" w:rsidR="00761CC3" w:rsidRPr="00F2675C" w:rsidRDefault="00761CC3" w:rsidP="00E37067">
      <w:pPr>
        <w:pStyle w:val="Footnote"/>
        <w:jc w:val="both"/>
      </w:pPr>
      <w:r w:rsidRPr="00F2675C">
        <w:rPr>
          <w:rStyle w:val="EndnoteReference"/>
        </w:rPr>
        <w:endnoteRef/>
      </w:r>
      <w:r w:rsidRPr="00F2675C">
        <w:t xml:space="preserve"> Alexei </w:t>
      </w:r>
      <w:r w:rsidRPr="00F2675C">
        <w:t>Oreskovi</w:t>
      </w:r>
      <w:r w:rsidR="00E37067">
        <w:t>c and Deepa Seetharaman, “China’</w:t>
      </w:r>
      <w:r w:rsidRPr="00F2675C">
        <w:t>s Alibaba Files in U.S. for What May Be Biggest Tech IPO,” Reuters, July 14, 2014, accessed July 31, 2015, www.reuters.com/article/2014/07/14/us-alibaba-ipo-us-idUSKBN0FJ0BV20140714.</w:t>
      </w:r>
    </w:p>
  </w:endnote>
  <w:endnote w:id="14">
    <w:p w14:paraId="479E0C7F" w14:textId="08A0EADD" w:rsidR="00761CC3" w:rsidRPr="00F2675C" w:rsidRDefault="00761CC3" w:rsidP="00E37067">
      <w:pPr>
        <w:pStyle w:val="Footnote"/>
        <w:jc w:val="both"/>
      </w:pPr>
      <w:r w:rsidRPr="00F2675C">
        <w:rPr>
          <w:rStyle w:val="EndnoteReference"/>
        </w:rPr>
        <w:endnoteRef/>
      </w:r>
      <w:r w:rsidRPr="00F2675C">
        <w:t xml:space="preserve"> </w:t>
      </w:r>
      <w:r w:rsidRPr="00F2675C">
        <w:rPr>
          <w:color w:val="000000"/>
          <w:kern w:val="36"/>
        </w:rPr>
        <w:t xml:space="preserve">Telis Demos and </w:t>
      </w:r>
      <w:r w:rsidRPr="00F2675C">
        <w:rPr>
          <w:color w:val="000000"/>
          <w:kern w:val="36"/>
        </w:rPr>
        <w:t>Juro Osawa, “Alibaba Debut Makes a Splash</w:t>
      </w:r>
      <w:r>
        <w:rPr>
          <w:color w:val="000000"/>
          <w:kern w:val="36"/>
        </w:rPr>
        <w:t>: Chinese E-Commerce Giant’s Stock Jumps 38% in First Day of Trading</w:t>
      </w:r>
      <w:r w:rsidRPr="00F2675C">
        <w:rPr>
          <w:color w:val="000000"/>
          <w:kern w:val="36"/>
        </w:rPr>
        <w:t xml:space="preserve">,” </w:t>
      </w:r>
      <w:r w:rsidRPr="00F2675C">
        <w:rPr>
          <w:i/>
          <w:color w:val="000000"/>
          <w:kern w:val="36"/>
        </w:rPr>
        <w:t>Wall Street Journal</w:t>
      </w:r>
      <w:r w:rsidRPr="00F2675C">
        <w:rPr>
          <w:color w:val="000000"/>
          <w:kern w:val="36"/>
        </w:rPr>
        <w:t>, September 19, 2014</w:t>
      </w:r>
      <w:r w:rsidRPr="00F2675C">
        <w:t>, accessed November 25, 2014</w:t>
      </w:r>
      <w:r w:rsidRPr="00F2675C">
        <w:rPr>
          <w:color w:val="000000"/>
          <w:kern w:val="36"/>
        </w:rPr>
        <w:t xml:space="preserve">, </w:t>
      </w:r>
      <w:r w:rsidRPr="00F2675C">
        <w:t>http://online.wsj.com/articles/alibaba-shares-trade-higher-in-ipo-1411142120.</w:t>
      </w:r>
    </w:p>
  </w:endnote>
  <w:endnote w:id="15">
    <w:p w14:paraId="1552379C" w14:textId="7EA72A8A" w:rsidR="00761CC3" w:rsidRPr="00F2675C" w:rsidRDefault="00761CC3" w:rsidP="00E37067">
      <w:pPr>
        <w:pStyle w:val="Footnote"/>
        <w:jc w:val="both"/>
      </w:pPr>
      <w:r w:rsidRPr="00F2675C">
        <w:rPr>
          <w:rStyle w:val="EndnoteReference"/>
        </w:rPr>
        <w:endnoteRef/>
      </w:r>
      <w:r w:rsidRPr="00F2675C">
        <w:t xml:space="preserve"> </w:t>
      </w:r>
      <w:r w:rsidRPr="00F2675C">
        <w:t xml:space="preserve">Liyan Chen, Ryan Mac, and Brian Solomon, “Alibaba Claims Title for Largest Global IPO Ever with Extra Share Sales,” </w:t>
      </w:r>
      <w:r w:rsidRPr="00F2675C">
        <w:rPr>
          <w:i/>
        </w:rPr>
        <w:t>Forbes</w:t>
      </w:r>
      <w:r w:rsidRPr="00F2675C">
        <w:t>, September 22, 2014, accessed January 20, 2014, www.forbes.com/sites/ryanmac/2014/09/22/alibaba-claims-title-for-largest-global-ipo-ever-with-extra-share-sales.</w:t>
      </w:r>
    </w:p>
  </w:endnote>
  <w:endnote w:id="16">
    <w:p w14:paraId="0E2C1C7D" w14:textId="0175DD88" w:rsidR="00761CC3" w:rsidRPr="009A6B9D" w:rsidRDefault="00761CC3" w:rsidP="00E37067">
      <w:pPr>
        <w:pStyle w:val="Footnote"/>
        <w:jc w:val="both"/>
      </w:pPr>
      <w:r w:rsidRPr="00F2675C">
        <w:rPr>
          <w:rStyle w:val="EndnoteReference"/>
        </w:rPr>
        <w:endnoteRef/>
      </w:r>
      <w:r w:rsidRPr="00F2675C">
        <w:t xml:space="preserve"> Kyle Anderson, “Alibaba IPO: Latest Acquisition Brings e-Commerce to Department Stores,” Money Morning, April 3, 2014</w:t>
      </w:r>
      <w:r>
        <w:t>,</w:t>
      </w:r>
      <w:r w:rsidRPr="00F2675C">
        <w:t xml:space="preserve"> </w:t>
      </w:r>
      <w:r w:rsidRPr="009A6B9D">
        <w:t>http://moneymorning.com/2014/04/03/alibaba-ipo-latest-acquisition-brings-e-commerce-to-department-stores/</w:t>
      </w:r>
      <w:r>
        <w:t>.</w:t>
      </w:r>
    </w:p>
  </w:endnote>
  <w:endnote w:id="17">
    <w:p w14:paraId="4D4D9F75" w14:textId="016CA7B7" w:rsidR="00761CC3" w:rsidRPr="00F2675C" w:rsidRDefault="00761CC3" w:rsidP="00E37067">
      <w:pPr>
        <w:pStyle w:val="Footnote"/>
        <w:jc w:val="both"/>
      </w:pPr>
      <w:r w:rsidRPr="00F2675C">
        <w:rPr>
          <w:rStyle w:val="EndnoteReference"/>
          <w:i/>
        </w:rPr>
        <w:endnoteRef/>
      </w:r>
      <w:r w:rsidRPr="00F2675C">
        <w:t xml:space="preserve"> Charles Clover, “Alibaba Buys Majority Stake in </w:t>
      </w:r>
      <w:r w:rsidRPr="00F2675C">
        <w:t xml:space="preserve">ChinaVision,” </w:t>
      </w:r>
      <w:r w:rsidRPr="00F2675C">
        <w:rPr>
          <w:i/>
        </w:rPr>
        <w:t>Financial Times</w:t>
      </w:r>
      <w:r w:rsidRPr="00F2675C">
        <w:t>, March 11, 2014, accessed May 19, 2016, www.ft.com/intl/cms/s/0/2db9113e-a91d-11e3-9b71-00144feab7de.html#axzz4971ka2yX.</w:t>
      </w:r>
    </w:p>
  </w:endnote>
  <w:endnote w:id="18">
    <w:p w14:paraId="35EB2040" w14:textId="4BD2D3CC" w:rsidR="00761CC3" w:rsidRPr="00F2675C" w:rsidRDefault="00761CC3" w:rsidP="00E37067">
      <w:pPr>
        <w:pStyle w:val="Footnote"/>
        <w:jc w:val="both"/>
      </w:pPr>
      <w:r w:rsidRPr="00F2675C">
        <w:rPr>
          <w:rStyle w:val="EndnoteReference"/>
        </w:rPr>
        <w:endnoteRef/>
      </w:r>
      <w:r w:rsidRPr="00F2675C">
        <w:t xml:space="preserve"> Paul Bischoff, “Jack Ma’s Shopping Spree: Here’s Everything Alibaba Invested In or Acquired in 2014,” Tech in Asia, December 23, 2014, accessed January 20, 2015, www.techinasia.com/alibaba-investments-2014.</w:t>
      </w:r>
    </w:p>
  </w:endnote>
  <w:endnote w:id="19">
    <w:p w14:paraId="283A227F" w14:textId="25B1C3A7" w:rsidR="00761CC3" w:rsidRPr="00F2675C" w:rsidRDefault="00761CC3" w:rsidP="00E37067">
      <w:pPr>
        <w:pStyle w:val="Footnote"/>
        <w:jc w:val="both"/>
      </w:pPr>
      <w:r w:rsidRPr="00F2675C">
        <w:rPr>
          <w:rStyle w:val="EndnoteReference"/>
        </w:rPr>
        <w:endnoteRef/>
      </w:r>
      <w:r w:rsidRPr="00F2675C">
        <w:t xml:space="preserve"> </w:t>
      </w:r>
      <w:r w:rsidRPr="00F2675C">
        <w:t>Hrnjić,</w:t>
      </w:r>
      <w:r>
        <w:t xml:space="preserve"> “Alibaba’s IPO Dilemma,” op. cit.; </w:t>
      </w:r>
      <w:r w:rsidRPr="00F2675C">
        <w:t>Joe Tsai, “Alibaba Offers an Alternative View of Good Corporate Governance,” Alizila</w:t>
      </w:r>
      <w:r>
        <w:t>: E-commerce News &amp; Commentary from the Alibaba Group</w:t>
      </w:r>
      <w:r w:rsidRPr="00F2675C">
        <w:t>, September 26, 2013, accessed January 20, 2015, www</w:t>
      </w:r>
      <w:r>
        <w:t>2</w:t>
      </w:r>
      <w:r w:rsidRPr="00F2675C">
        <w:t>.alizila.com/alibaba-offers-alternative-view-good-corporate-governance.</w:t>
      </w:r>
    </w:p>
  </w:endnote>
  <w:endnote w:id="20">
    <w:p w14:paraId="0FFAB668" w14:textId="5A0C5B68" w:rsidR="00761CC3" w:rsidRPr="00F2675C" w:rsidRDefault="00761CC3" w:rsidP="00E37067">
      <w:pPr>
        <w:pStyle w:val="Footnote"/>
        <w:jc w:val="both"/>
      </w:pPr>
      <w:r w:rsidRPr="00F2675C">
        <w:rPr>
          <w:rStyle w:val="EndnoteReference"/>
        </w:rPr>
        <w:endnoteRef/>
      </w:r>
      <w:r w:rsidRPr="00F2675C">
        <w:t xml:space="preserve"> </w:t>
      </w:r>
      <w:r>
        <w:t>Tsai, op. cit.</w:t>
      </w:r>
    </w:p>
  </w:endnote>
  <w:endnote w:id="21">
    <w:p w14:paraId="7BFFBAF9" w14:textId="7F21C792" w:rsidR="00761CC3" w:rsidRPr="00F2675C" w:rsidRDefault="00761CC3" w:rsidP="00E37067">
      <w:pPr>
        <w:pStyle w:val="Footnote"/>
        <w:jc w:val="both"/>
      </w:pPr>
      <w:r w:rsidRPr="00F2675C">
        <w:rPr>
          <w:rStyle w:val="EndnoteReference"/>
        </w:rPr>
        <w:endnoteRef/>
      </w:r>
      <w:r w:rsidRPr="00F2675C">
        <w:t xml:space="preserve"> </w:t>
      </w:r>
      <w:r w:rsidRPr="00F2675C">
        <w:rPr>
          <w:lang w:val="en-US"/>
        </w:rPr>
        <w:t xml:space="preserve">Alibaba Group Holding Limited, </w:t>
      </w:r>
      <w:r>
        <w:rPr>
          <w:lang w:val="en-US"/>
        </w:rPr>
        <w:t>“</w:t>
      </w:r>
      <w:r w:rsidRPr="00F2675C">
        <w:rPr>
          <w:lang w:val="en-US"/>
        </w:rPr>
        <w:t>Form F-1: Registration Statement under the Securities Act of 1933,</w:t>
      </w:r>
      <w:r>
        <w:rPr>
          <w:lang w:val="en-US"/>
        </w:rPr>
        <w:t>”</w:t>
      </w:r>
      <w:r w:rsidRPr="00F2675C">
        <w:rPr>
          <w:lang w:val="en-US"/>
        </w:rPr>
        <w:t xml:space="preserve"> EDGAR Online, May 6, 2014, accessed May 19, 2016, www.sec.gov/Archives/edgar/data/1577552/000119312514184994/d709111df1.htm</w:t>
      </w:r>
      <w:r w:rsidRPr="00F2675C">
        <w:t>.</w:t>
      </w:r>
    </w:p>
  </w:endnote>
  <w:endnote w:id="22">
    <w:p w14:paraId="159AFE74" w14:textId="7A2B7971" w:rsidR="00761CC3" w:rsidRPr="00F2675C" w:rsidRDefault="00761CC3" w:rsidP="00E37067">
      <w:pPr>
        <w:pStyle w:val="Footnote"/>
        <w:jc w:val="both"/>
      </w:pPr>
      <w:r w:rsidRPr="00F2675C">
        <w:rPr>
          <w:rStyle w:val="EndnoteReference"/>
        </w:rPr>
        <w:endnoteRef/>
      </w:r>
      <w:r w:rsidRPr="00F2675C">
        <w:t xml:space="preserve"> </w:t>
      </w:r>
      <w:r w:rsidRPr="00F2675C">
        <w:t xml:space="preserve">Dinny McMahon, “Alibaba and VIEs: A Primer,” </w:t>
      </w:r>
      <w:r w:rsidRPr="009A6B9D">
        <w:rPr>
          <w:i/>
        </w:rPr>
        <w:t xml:space="preserve">The </w:t>
      </w:r>
      <w:r w:rsidRPr="00900605">
        <w:rPr>
          <w:i/>
        </w:rPr>
        <w:t>W</w:t>
      </w:r>
      <w:r w:rsidRPr="00F2675C">
        <w:rPr>
          <w:i/>
        </w:rPr>
        <w:t>all Street Journal</w:t>
      </w:r>
      <w:r w:rsidRPr="00F2675C">
        <w:t>, May 6, 2014, accessed January 23, 2015, http://blogs.wsj.com/moneybeat/2014/05/06/alibaba-and-vies-a-primer.</w:t>
      </w:r>
    </w:p>
  </w:endnote>
  <w:endnote w:id="23">
    <w:p w14:paraId="762061D5" w14:textId="64990E26" w:rsidR="00761CC3" w:rsidRPr="00F2675C" w:rsidRDefault="00761CC3" w:rsidP="00E37067">
      <w:pPr>
        <w:pStyle w:val="Footnote"/>
        <w:jc w:val="both"/>
      </w:pPr>
      <w:r w:rsidRPr="00F2675C">
        <w:rPr>
          <w:rStyle w:val="EndnoteReference"/>
        </w:rPr>
        <w:endnoteRef/>
      </w:r>
      <w:r w:rsidRPr="00F2675C">
        <w:t xml:space="preserve"> </w:t>
      </w:r>
      <w:r w:rsidRPr="00F2675C">
        <w:rPr>
          <w:lang w:val="en-US"/>
        </w:rPr>
        <w:t xml:space="preserve">Alibaba Group Holding Limited, </w:t>
      </w:r>
      <w:r>
        <w:rPr>
          <w:lang w:val="en-US"/>
        </w:rPr>
        <w:t>op. cit.</w:t>
      </w:r>
    </w:p>
  </w:endnote>
  <w:endnote w:id="24">
    <w:p w14:paraId="53562356" w14:textId="59703DE2" w:rsidR="00761CC3" w:rsidRPr="00F2675C" w:rsidRDefault="00761CC3" w:rsidP="00E37067">
      <w:pPr>
        <w:pStyle w:val="Footnote"/>
        <w:jc w:val="both"/>
      </w:pPr>
      <w:r w:rsidRPr="00F2675C">
        <w:rPr>
          <w:rStyle w:val="EndnoteReference"/>
        </w:rPr>
        <w:endnoteRef/>
      </w:r>
      <w:r w:rsidRPr="00F2675C">
        <w:t xml:space="preserve"> R. A. “</w:t>
      </w:r>
      <w:r>
        <w:t xml:space="preserve">The Economist Explains: </w:t>
      </w:r>
      <w:r w:rsidR="00E37067">
        <w:t>What I</w:t>
      </w:r>
      <w:r w:rsidRPr="00F2675C">
        <w:t>s Quantitative Easing</w:t>
      </w:r>
      <w:r w:rsidRPr="00F2675C">
        <w:t xml:space="preserve">?,” </w:t>
      </w:r>
      <w:r w:rsidRPr="009A6B9D">
        <w:rPr>
          <w:i/>
        </w:rPr>
        <w:t xml:space="preserve">The </w:t>
      </w:r>
      <w:r w:rsidRPr="00F2675C">
        <w:rPr>
          <w:i/>
        </w:rPr>
        <w:t>Economist</w:t>
      </w:r>
      <w:r w:rsidRPr="00F2675C">
        <w:t>, March 9, 2015, accessed January 20, 2015, www.economist.com/blogs/economist-explains/2014/01/economist-explains-7.</w:t>
      </w:r>
    </w:p>
  </w:endnote>
  <w:endnote w:id="25">
    <w:p w14:paraId="2A9676EE" w14:textId="1167EA6E" w:rsidR="00761CC3" w:rsidRPr="00F2675C" w:rsidRDefault="00761CC3" w:rsidP="00E37067">
      <w:pPr>
        <w:pStyle w:val="Footnote"/>
        <w:jc w:val="both"/>
      </w:pPr>
      <w:r w:rsidRPr="00F2675C">
        <w:rPr>
          <w:rStyle w:val="EndnoteReference"/>
          <w:i/>
        </w:rPr>
        <w:endnoteRef/>
      </w:r>
      <w:r w:rsidRPr="00F2675C">
        <w:t xml:space="preserve"> Maureen Farrell, “How Alibaba’s New Bond Deal Stacks Up,” </w:t>
      </w:r>
      <w:r w:rsidRPr="009A6B9D">
        <w:rPr>
          <w:i/>
        </w:rPr>
        <w:t xml:space="preserve">The </w:t>
      </w:r>
      <w:r w:rsidRPr="00F2675C">
        <w:rPr>
          <w:i/>
        </w:rPr>
        <w:t>Wall Street Journal</w:t>
      </w:r>
      <w:r w:rsidRPr="00F2675C">
        <w:t>, November 20, 2014, accessed January 21, 2015, http://blogs.wsj.com/moneybeat/2014/11/20/how-alibabas-new-bond-deal-stacks-up.</w:t>
      </w:r>
    </w:p>
  </w:endnote>
  <w:endnote w:id="26">
    <w:p w14:paraId="771F4814" w14:textId="571AE5EB" w:rsidR="00E37067" w:rsidRDefault="00761CC3" w:rsidP="00E37067">
      <w:pPr>
        <w:pStyle w:val="Footnote"/>
        <w:jc w:val="both"/>
      </w:pPr>
      <w:r w:rsidRPr="00F2675C">
        <w:rPr>
          <w:rStyle w:val="EndnoteReference"/>
        </w:rPr>
        <w:endnoteRef/>
      </w:r>
      <w:r w:rsidRPr="00F2675C">
        <w:t xml:space="preserve"> Lipper Alpha Insight, "Investment-Grade Corporate Bond Fund Demand Stabilizes on Relatively Attractive Yields and Fundamentals,” Thomson Reuters, June 6, 2014, accessed January 21, 2015, </w:t>
      </w:r>
      <w:r w:rsidR="00E37067" w:rsidRPr="00E37067">
        <w:t>http://lipperinsight.thomsonreuters.com/2014</w:t>
      </w:r>
    </w:p>
    <w:p w14:paraId="695D5662" w14:textId="71C6EA81" w:rsidR="00761CC3" w:rsidRPr="00F2675C" w:rsidRDefault="00761CC3" w:rsidP="00E37067">
      <w:pPr>
        <w:pStyle w:val="Footnote"/>
        <w:jc w:val="both"/>
      </w:pPr>
      <w:r w:rsidRPr="00F2675C">
        <w:t>/06/investment-grade-corporate-bond-fund-demand-stabilizes-relatively-attractive-yields-fundamentals.</w:t>
      </w:r>
    </w:p>
  </w:endnote>
  <w:endnote w:id="27">
    <w:p w14:paraId="3CC7EA35" w14:textId="7B1307E1" w:rsidR="00761CC3" w:rsidRPr="00F2675C" w:rsidRDefault="00761CC3" w:rsidP="00E37067">
      <w:pPr>
        <w:pStyle w:val="Footnote"/>
        <w:jc w:val="both"/>
      </w:pPr>
      <w:r w:rsidRPr="00F2675C">
        <w:rPr>
          <w:rStyle w:val="EndnoteReference"/>
        </w:rPr>
        <w:endnoteRef/>
      </w:r>
      <w:r w:rsidRPr="00F2675C">
        <w:t xml:space="preserve"> Larry Elliott, “IMF Warns Period of Ultra-Low Interest Rates Poses Fresh Financial Crisis Threat,” </w:t>
      </w:r>
      <w:r w:rsidRPr="009A6B9D">
        <w:rPr>
          <w:i/>
        </w:rPr>
        <w:t xml:space="preserve">The </w:t>
      </w:r>
      <w:r w:rsidRPr="00F2675C">
        <w:rPr>
          <w:i/>
        </w:rPr>
        <w:t>Guardian</w:t>
      </w:r>
      <w:r w:rsidRPr="00F2675C">
        <w:t>, October 8, 2014, accessed January 20, 2015, www.theguardian.com/business/2014/oct/08/imf-low-interest-rates-financial-crisis-threat-speculation.</w:t>
      </w:r>
    </w:p>
  </w:endnote>
  <w:endnote w:id="28">
    <w:p w14:paraId="5C70CFB7" w14:textId="417B752B" w:rsidR="00761CC3" w:rsidRPr="00F2675C" w:rsidRDefault="00761CC3" w:rsidP="00E37067">
      <w:pPr>
        <w:pStyle w:val="Footnote"/>
        <w:jc w:val="both"/>
      </w:pPr>
      <w:r w:rsidRPr="00F2675C">
        <w:rPr>
          <w:rStyle w:val="EndnoteReference"/>
        </w:rPr>
        <w:endnoteRef/>
      </w:r>
      <w:r w:rsidRPr="00F2675C">
        <w:t xml:space="preserve"> </w:t>
      </w:r>
      <w:r>
        <w:t xml:space="preserve">Ibid. </w:t>
      </w:r>
    </w:p>
  </w:endnote>
  <w:endnote w:id="29">
    <w:p w14:paraId="6EDD7EDD" w14:textId="380B484E" w:rsidR="00761CC3" w:rsidRPr="00F2675C" w:rsidRDefault="00761CC3" w:rsidP="00E37067">
      <w:pPr>
        <w:pStyle w:val="Footnote"/>
        <w:jc w:val="both"/>
      </w:pPr>
      <w:r w:rsidRPr="00F2675C">
        <w:rPr>
          <w:rStyle w:val="EndnoteReference"/>
        </w:rPr>
        <w:endnoteRef/>
      </w:r>
      <w:r w:rsidRPr="00F2675C">
        <w:t xml:space="preserve"> Chris Ma</w:t>
      </w:r>
      <w:r w:rsidR="00E37067">
        <w:t>tthews, “Yellen: Don’</w:t>
      </w:r>
      <w:r w:rsidRPr="00F2675C">
        <w:t xml:space="preserve">t Blame the Financial Crisis on Low Rates,” </w:t>
      </w:r>
      <w:r w:rsidRPr="00F2675C">
        <w:rPr>
          <w:i/>
        </w:rPr>
        <w:t>Fortune</w:t>
      </w:r>
      <w:r w:rsidRPr="00F2675C">
        <w:t>, July 2, 2014, accessed January 20, 2015, http://fortune.com/2014/07/02/janet-yellen-federal-reserve-interest-rates.</w:t>
      </w:r>
    </w:p>
  </w:endnote>
  <w:endnote w:id="30">
    <w:p w14:paraId="4258C6E4" w14:textId="3CF9D05E" w:rsidR="00761CC3" w:rsidRPr="00F2675C" w:rsidRDefault="00761CC3" w:rsidP="00E37067">
      <w:pPr>
        <w:pStyle w:val="Footnote"/>
        <w:jc w:val="both"/>
      </w:pPr>
      <w:r w:rsidRPr="00F2675C">
        <w:rPr>
          <w:rStyle w:val="EndnoteReference"/>
        </w:rPr>
        <w:endnoteRef/>
      </w:r>
      <w:r w:rsidRPr="00F2675C">
        <w:t xml:space="preserve"> Joshua </w:t>
      </w:r>
      <w:r w:rsidRPr="00F2675C">
        <w:t>Zumbrun, “Fed Trims QE Pace to $75 Billion on Labour Market Outlook,” Bloomberg, December 18, 2013, accessed January 20, 2015, www.bloomberg.com/news/2013-12-18/fed-cuts-qe-pace-to-75-billion-on-improved-job-market-outlook.html.</w:t>
      </w:r>
    </w:p>
  </w:endnote>
  <w:endnote w:id="31">
    <w:p w14:paraId="022B796A" w14:textId="384AD288" w:rsidR="00761CC3" w:rsidRPr="00F2675C" w:rsidRDefault="00761CC3" w:rsidP="00E37067">
      <w:pPr>
        <w:pStyle w:val="Footnote"/>
        <w:jc w:val="both"/>
      </w:pPr>
      <w:r w:rsidRPr="00F2675C">
        <w:rPr>
          <w:rStyle w:val="EndnoteReference"/>
        </w:rPr>
        <w:endnoteRef/>
      </w:r>
      <w:r w:rsidRPr="00F2675C">
        <w:t xml:space="preserve"> Steve Goldstein, “Yellen</w:t>
      </w:r>
      <w:r>
        <w:t>: Monetary Policy Will Eventually Need to Normalize</w:t>
      </w:r>
      <w:r w:rsidRPr="00F2675C">
        <w:t>,” Market Watch, November 7, 2014, accessed July 31, 2015, www.marketwatch.com/story/yellen-monetary-policy-will-eventually-need-to-normalize-2014-11-07.</w:t>
      </w:r>
    </w:p>
  </w:endnote>
  <w:endnote w:id="32">
    <w:p w14:paraId="62D2F42A" w14:textId="4F31C6DF" w:rsidR="00761CC3" w:rsidRPr="00F2675C" w:rsidRDefault="00761CC3" w:rsidP="00E37067">
      <w:pPr>
        <w:pStyle w:val="Footnote"/>
        <w:jc w:val="both"/>
      </w:pPr>
      <w:r w:rsidRPr="00F2675C">
        <w:rPr>
          <w:rStyle w:val="EndnoteReference"/>
        </w:rPr>
        <w:endnoteRef/>
      </w:r>
      <w:r w:rsidR="00E37067">
        <w:t xml:space="preserve"> “China’</w:t>
      </w:r>
      <w:r w:rsidRPr="00F2675C">
        <w:t>s Exchange Rate Policy,” ECR Research, accessed June 1, 2015, www.ecrresearch.com/chinas-exchange-rate-policy.</w:t>
      </w:r>
    </w:p>
  </w:endnote>
  <w:endnote w:id="33">
    <w:p w14:paraId="51EDD935" w14:textId="297B7211" w:rsidR="00761CC3" w:rsidRPr="00F2675C" w:rsidRDefault="00761CC3" w:rsidP="00E37067">
      <w:pPr>
        <w:pStyle w:val="Footnote"/>
        <w:jc w:val="both"/>
      </w:pPr>
      <w:r w:rsidRPr="00F2675C">
        <w:rPr>
          <w:rStyle w:val="EndnoteReference"/>
        </w:rPr>
        <w:endnoteRef/>
      </w:r>
      <w:r>
        <w:t xml:space="preserve"> Ibid.</w:t>
      </w:r>
    </w:p>
  </w:endnote>
  <w:endnote w:id="34">
    <w:p w14:paraId="2CB299F3" w14:textId="7C48223D" w:rsidR="00761CC3" w:rsidRPr="00F2675C" w:rsidRDefault="00761CC3" w:rsidP="00E37067">
      <w:pPr>
        <w:pStyle w:val="Footnote"/>
        <w:jc w:val="both"/>
      </w:pPr>
      <w:r w:rsidRPr="00F2675C">
        <w:rPr>
          <w:rStyle w:val="EndnoteReference"/>
        </w:rPr>
        <w:endnoteRef/>
      </w:r>
      <w:r w:rsidRPr="00F2675C">
        <w:t xml:space="preserve"> For more information about internationalization of the CNY, please see Emir </w:t>
      </w:r>
      <w:r w:rsidRPr="00F2675C">
        <w:t xml:space="preserve">Hrnjić and Han Dong, </w:t>
      </w:r>
      <w:r w:rsidRPr="009A6B9D">
        <w:t>OCBC Versus Elliott Management: Acquisition of Wing Hang Bank</w:t>
      </w:r>
      <w:r w:rsidRPr="007E4AD6">
        <w:t xml:space="preserve"> </w:t>
      </w:r>
      <w:r w:rsidRPr="00F2675C">
        <w:t>(London, ON: Ivey Publishing, 2015). Available from Ivey Publishing, product no. 9B15N010.</w:t>
      </w:r>
    </w:p>
  </w:endnote>
  <w:endnote w:id="35">
    <w:p w14:paraId="5AC8D4FE" w14:textId="7FD3B4AA" w:rsidR="00761CC3" w:rsidRPr="00F2675C" w:rsidRDefault="00761CC3" w:rsidP="00E37067">
      <w:pPr>
        <w:pStyle w:val="Footnote"/>
        <w:jc w:val="both"/>
      </w:pPr>
      <w:r w:rsidRPr="00F2675C">
        <w:rPr>
          <w:rStyle w:val="EndnoteReference"/>
        </w:rPr>
        <w:endnoteRef/>
      </w:r>
      <w:r w:rsidRPr="00F2675C">
        <w:t xml:space="preserve"> Yi </w:t>
      </w:r>
      <w:r w:rsidRPr="00F2675C">
        <w:t xml:space="preserve">Zianrong, “China Accelerates RMB Internationalization Process,” CCTV </w:t>
      </w:r>
      <w:r>
        <w:t>Com: English</w:t>
      </w:r>
      <w:r w:rsidRPr="00F2675C">
        <w:t>, November 20, 2014, accessed June 1, 2015, http://english.cntv.cn/2014/11/20/ARTI1416477609100365.shtml.</w:t>
      </w:r>
    </w:p>
  </w:endnote>
  <w:endnote w:id="36">
    <w:p w14:paraId="65A00CAE" w14:textId="204CDA00" w:rsidR="00761CC3" w:rsidRPr="00F2675C" w:rsidRDefault="00761CC3" w:rsidP="00E37067">
      <w:pPr>
        <w:pStyle w:val="Footnote"/>
        <w:jc w:val="both"/>
      </w:pPr>
      <w:r w:rsidRPr="00F2675C">
        <w:rPr>
          <w:rStyle w:val="EndnoteReference"/>
        </w:rPr>
        <w:endnoteRef/>
      </w:r>
      <w:r w:rsidRPr="00F2675C">
        <w:t xml:space="preserve"> </w:t>
      </w:r>
      <w:r>
        <w:t>Ibid.</w:t>
      </w:r>
    </w:p>
  </w:endnote>
  <w:endnote w:id="37">
    <w:p w14:paraId="48136B71" w14:textId="3F53F19D" w:rsidR="00761CC3" w:rsidRPr="00F2675C" w:rsidRDefault="00761CC3" w:rsidP="00E37067">
      <w:pPr>
        <w:pStyle w:val="Footnote"/>
        <w:jc w:val="both"/>
      </w:pPr>
      <w:r w:rsidRPr="00F2675C">
        <w:rPr>
          <w:rStyle w:val="EndnoteReference"/>
        </w:rPr>
        <w:endnoteRef/>
      </w:r>
      <w:r w:rsidRPr="00F2675C">
        <w:t xml:space="preserve"> </w:t>
      </w:r>
      <w:r w:rsidRPr="00F2675C">
        <w:t xml:space="preserve">Supantha Mukherjee and Ted Kerr, “Alibaba Gets 'A-Plus' Debt Rating </w:t>
      </w:r>
      <w:r>
        <w:t>f</w:t>
      </w:r>
      <w:r w:rsidRPr="00F2675C">
        <w:t>rom Agencies,” Reuters</w:t>
      </w:r>
      <w:r w:rsidRPr="00E37067">
        <w:t xml:space="preserve">, </w:t>
      </w:r>
      <w:r w:rsidRPr="00F2675C">
        <w:t>November 13, 2014, accessed January 20, 2015, www.reuters.com/article/alibaba-group-ratings-idUSL3N0T36S420141113.</w:t>
      </w:r>
    </w:p>
  </w:endnote>
  <w:endnote w:id="38">
    <w:p w14:paraId="4C1BECB8" w14:textId="258D597F" w:rsidR="00E37067" w:rsidRDefault="00761CC3" w:rsidP="00E37067">
      <w:pPr>
        <w:pStyle w:val="Footnote"/>
        <w:jc w:val="both"/>
      </w:pPr>
      <w:r w:rsidRPr="00F2675C">
        <w:rPr>
          <w:rStyle w:val="EndnoteReference"/>
        </w:rPr>
        <w:endnoteRef/>
      </w:r>
      <w:r w:rsidRPr="00F2675C">
        <w:t xml:space="preserve"> </w:t>
      </w:r>
      <w:r>
        <w:t>“</w:t>
      </w:r>
      <w:r w:rsidRPr="00F2675C">
        <w:t>Ratings Direct: Standard &amp; Poor’s Ratings Definitions</w:t>
      </w:r>
      <w:r>
        <w:t xml:space="preserve">,” </w:t>
      </w:r>
      <w:r w:rsidRPr="00F2675C">
        <w:t>Sta</w:t>
      </w:r>
      <w:r>
        <w:t xml:space="preserve">ndard &amp; Poor’s Ratings Services: </w:t>
      </w:r>
      <w:r w:rsidRPr="00F2675C">
        <w:t>McGraw Hill Financial</w:t>
      </w:r>
      <w:r>
        <w:t>, 5-8, November 20, 2014</w:t>
      </w:r>
      <w:r w:rsidRPr="00F2675C">
        <w:t>,</w:t>
      </w:r>
      <w:r w:rsidR="00E37067">
        <w:t xml:space="preserve"> </w:t>
      </w:r>
      <w:r w:rsidRPr="00F2675C">
        <w:t xml:space="preserve">accessed October 6, 2016, </w:t>
      </w:r>
      <w:r w:rsidR="00E37067" w:rsidRPr="00E37067">
        <w:t>www.spratings.com/documents/20184/86966/Standard+%26+Poor%27s</w:t>
      </w:r>
    </w:p>
    <w:p w14:paraId="5EDE46FE" w14:textId="2F438396" w:rsidR="00761CC3" w:rsidRPr="00E37067" w:rsidRDefault="00761CC3" w:rsidP="00E37067">
      <w:pPr>
        <w:pStyle w:val="Footnote"/>
        <w:jc w:val="both"/>
      </w:pPr>
      <w:r w:rsidRPr="00F2675C">
        <w:t>+</w:t>
      </w:r>
      <w:r w:rsidRPr="00F2675C">
        <w:t>Ratings+Definitions/fd2a2a96-be56-47b8-9ad2-390f3878d6c6</w:t>
      </w:r>
      <w:r>
        <w:t>.</w:t>
      </w:r>
    </w:p>
  </w:endnote>
  <w:endnote w:id="39">
    <w:p w14:paraId="56ED8DB0" w14:textId="3D2B3643" w:rsidR="00761CC3" w:rsidRPr="00B66AC1" w:rsidRDefault="00761CC3" w:rsidP="00E37067">
      <w:pPr>
        <w:pStyle w:val="Footnote"/>
        <w:jc w:val="both"/>
        <w:rPr>
          <w:i/>
        </w:rPr>
      </w:pPr>
      <w:r w:rsidRPr="00F2675C">
        <w:rPr>
          <w:rStyle w:val="EndnoteReference"/>
        </w:rPr>
        <w:endnoteRef/>
      </w:r>
      <w:r w:rsidRPr="00F2675C">
        <w:t xml:space="preserve"> </w:t>
      </w:r>
      <w:r>
        <w:t>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Arial Bold">
    <w:panose1 w:val="020B07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715B8" w14:textId="77777777" w:rsidR="00761CC3" w:rsidRDefault="00761CC3" w:rsidP="00D75295">
      <w:r>
        <w:separator/>
      </w:r>
    </w:p>
  </w:footnote>
  <w:footnote w:type="continuationSeparator" w:id="0">
    <w:p w14:paraId="094908D6" w14:textId="77777777" w:rsidR="00761CC3" w:rsidRDefault="00761CC3"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9ABA5" w14:textId="54C3EA5A" w:rsidR="00761CC3" w:rsidRDefault="00761CC3" w:rsidP="0017026D">
    <w:pPr>
      <w:pBdr>
        <w:bottom w:val="single" w:sz="18" w:space="1" w:color="auto"/>
      </w:pBdr>
      <w:tabs>
        <w:tab w:val="left" w:pos="-1440"/>
        <w:tab w:val="left" w:pos="-720"/>
        <w:tab w:val="left" w:pos="6835"/>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51105">
      <w:rPr>
        <w:rFonts w:ascii="Arial" w:hAnsi="Arial"/>
        <w:b/>
        <w:noProof/>
      </w:rPr>
      <w:t>5</w:t>
    </w:r>
    <w:r>
      <w:rPr>
        <w:rFonts w:ascii="Arial" w:hAnsi="Arial"/>
        <w:b/>
      </w:rPr>
      <w:fldChar w:fldCharType="end"/>
    </w:r>
    <w:r>
      <w:rPr>
        <w:rFonts w:ascii="Arial" w:hAnsi="Arial"/>
        <w:b/>
      </w:rPr>
      <w:tab/>
    </w:r>
    <w:r w:rsidR="0017026D">
      <w:rPr>
        <w:rFonts w:ascii="Arial" w:hAnsi="Arial"/>
        <w:b/>
      </w:rPr>
      <w:tab/>
    </w:r>
    <w:r w:rsidR="00314259">
      <w:rPr>
        <w:rFonts w:ascii="Arial" w:hAnsi="Arial"/>
        <w:b/>
      </w:rPr>
      <w:t>9B17</w:t>
    </w:r>
    <w:r>
      <w:rPr>
        <w:rFonts w:ascii="Arial" w:hAnsi="Arial"/>
        <w:b/>
      </w:rPr>
      <w:t>N</w:t>
    </w:r>
    <w:r w:rsidR="0017026D">
      <w:rPr>
        <w:rFonts w:ascii="Arial" w:hAnsi="Arial"/>
        <w:b/>
      </w:rPr>
      <w:t>001</w:t>
    </w:r>
  </w:p>
  <w:p w14:paraId="584ABC85" w14:textId="77777777" w:rsidR="00761CC3" w:rsidRDefault="00761CC3">
    <w:pPr>
      <w:pStyle w:val="Header"/>
    </w:pPr>
  </w:p>
  <w:p w14:paraId="462F2384" w14:textId="77777777" w:rsidR="00761CC3" w:rsidRDefault="00761CC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CBD21" w14:textId="506C3628" w:rsidR="00761CC3" w:rsidRDefault="00761CC3" w:rsidP="00FC7297">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51105">
      <w:rPr>
        <w:rFonts w:ascii="Arial" w:hAnsi="Arial"/>
        <w:b/>
        <w:noProof/>
      </w:rPr>
      <w:t>18</w:t>
    </w:r>
    <w:r>
      <w:rPr>
        <w:rFonts w:ascii="Arial" w:hAnsi="Arial"/>
        <w:b/>
      </w:rPr>
      <w:fldChar w:fldCharType="end"/>
    </w:r>
    <w:r w:rsidR="003F3921">
      <w:rPr>
        <w:rFonts w:ascii="Arial" w:hAnsi="Arial"/>
        <w:b/>
      </w:rPr>
      <w:tab/>
    </w:r>
    <w:r w:rsidR="00314259">
      <w:rPr>
        <w:rFonts w:ascii="Arial" w:hAnsi="Arial"/>
        <w:b/>
      </w:rPr>
      <w:t>9B17</w:t>
    </w:r>
    <w:r>
      <w:rPr>
        <w:rFonts w:ascii="Arial" w:hAnsi="Arial"/>
        <w:b/>
      </w:rPr>
      <w:t>N</w:t>
    </w:r>
    <w:r w:rsidR="003F3921">
      <w:rPr>
        <w:rFonts w:ascii="Arial" w:hAnsi="Arial"/>
        <w:b/>
      </w:rPr>
      <w:t>001</w:t>
    </w:r>
  </w:p>
  <w:p w14:paraId="13A05031" w14:textId="77777777" w:rsidR="00761CC3" w:rsidRPr="00930F39" w:rsidRDefault="00761CC3" w:rsidP="00FC7297">
    <w:pPr>
      <w:pStyle w:val="Header"/>
    </w:pPr>
  </w:p>
  <w:p w14:paraId="083119EE" w14:textId="77777777" w:rsidR="00761CC3" w:rsidRPr="00930F39" w:rsidRDefault="00761CC3" w:rsidP="00FC72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C5201" w14:textId="5B0EB4CD" w:rsidR="00761CC3" w:rsidRDefault="00761CC3" w:rsidP="006D61EA">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51105">
      <w:rPr>
        <w:rFonts w:ascii="Arial" w:hAnsi="Arial"/>
        <w:b/>
        <w:noProof/>
      </w:rPr>
      <w:t>6</w:t>
    </w:r>
    <w:r>
      <w:rPr>
        <w:rFonts w:ascii="Arial" w:hAnsi="Arial"/>
        <w:b/>
      </w:rPr>
      <w:fldChar w:fldCharType="end"/>
    </w:r>
    <w:r w:rsidR="00314259">
      <w:rPr>
        <w:rFonts w:ascii="Arial" w:hAnsi="Arial"/>
        <w:b/>
      </w:rPr>
      <w:tab/>
      <w:t>9B17</w:t>
    </w:r>
    <w:r>
      <w:rPr>
        <w:rFonts w:ascii="Arial" w:hAnsi="Arial"/>
        <w:b/>
      </w:rPr>
      <w:t>N</w:t>
    </w:r>
    <w:r w:rsidR="0017026D">
      <w:rPr>
        <w:rFonts w:ascii="Arial" w:hAnsi="Arial"/>
        <w:b/>
      </w:rPr>
      <w:t>001</w:t>
    </w:r>
  </w:p>
  <w:p w14:paraId="3ED291DB" w14:textId="77777777" w:rsidR="00761CC3" w:rsidRPr="00FC7297" w:rsidRDefault="00761CC3" w:rsidP="006D61EA">
    <w:pPr>
      <w:pStyle w:val="Header"/>
    </w:pPr>
  </w:p>
  <w:p w14:paraId="2F325FD1" w14:textId="77777777" w:rsidR="00761CC3" w:rsidRPr="00FC7297" w:rsidRDefault="00761CC3" w:rsidP="006D61EA">
    <w:pPr>
      <w:tabs>
        <w:tab w:val="left" w:pos="-1440"/>
        <w:tab w:val="left" w:pos="-720"/>
        <w:tab w:val="left" w:pos="1503"/>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10BBA" w14:textId="24E5B8A6" w:rsidR="00761CC3" w:rsidRDefault="00761CC3" w:rsidP="006D61EA">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51105">
      <w:rPr>
        <w:rFonts w:ascii="Arial" w:hAnsi="Arial"/>
        <w:b/>
        <w:noProof/>
      </w:rPr>
      <w:t>10</w:t>
    </w:r>
    <w:r>
      <w:rPr>
        <w:rFonts w:ascii="Arial" w:hAnsi="Arial"/>
        <w:b/>
      </w:rPr>
      <w:fldChar w:fldCharType="end"/>
    </w:r>
    <w:r>
      <w:rPr>
        <w:rFonts w:ascii="Arial" w:hAnsi="Arial"/>
        <w:b/>
      </w:rPr>
      <w:tab/>
    </w:r>
    <w:r>
      <w:rPr>
        <w:rFonts w:ascii="Arial" w:hAnsi="Arial"/>
        <w:b/>
      </w:rPr>
      <w:tab/>
    </w:r>
    <w:r>
      <w:rPr>
        <w:rFonts w:ascii="Arial" w:hAnsi="Arial"/>
        <w:b/>
      </w:rPr>
      <w:tab/>
      <w:t xml:space="preserve">       </w:t>
    </w:r>
    <w:r w:rsidR="00314259">
      <w:rPr>
        <w:rFonts w:ascii="Arial" w:hAnsi="Arial"/>
        <w:b/>
      </w:rPr>
      <w:t>9B17</w:t>
    </w:r>
    <w:r>
      <w:rPr>
        <w:rFonts w:ascii="Arial" w:hAnsi="Arial"/>
        <w:b/>
      </w:rPr>
      <w:t>N</w:t>
    </w:r>
    <w:r w:rsidR="0017026D">
      <w:rPr>
        <w:rFonts w:ascii="Arial" w:hAnsi="Arial"/>
        <w:b/>
      </w:rPr>
      <w:t>001</w:t>
    </w:r>
  </w:p>
  <w:p w14:paraId="7CAB9317" w14:textId="77777777" w:rsidR="00761CC3" w:rsidRDefault="00761CC3">
    <w:pPr>
      <w:pStyle w:val="Header"/>
    </w:pPr>
  </w:p>
  <w:p w14:paraId="5D36E638" w14:textId="77777777" w:rsidR="00761CC3" w:rsidRDefault="00761CC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4F07F" w14:textId="4871F4DB" w:rsidR="00761CC3" w:rsidRDefault="00761CC3" w:rsidP="0017026D">
    <w:pPr>
      <w:pBdr>
        <w:bottom w:val="single" w:sz="18" w:space="1" w:color="auto"/>
      </w:pBdr>
      <w:tabs>
        <w:tab w:val="left" w:pos="-1440"/>
        <w:tab w:val="left" w:pos="-720"/>
        <w:tab w:val="left" w:pos="5201"/>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51105">
      <w:rPr>
        <w:rFonts w:ascii="Arial" w:hAnsi="Arial"/>
        <w:b/>
        <w:noProof/>
      </w:rPr>
      <w:t>9</w:t>
    </w:r>
    <w:r>
      <w:rPr>
        <w:rFonts w:ascii="Arial" w:hAnsi="Arial"/>
        <w:b/>
      </w:rPr>
      <w:fldChar w:fldCharType="end"/>
    </w:r>
    <w:r w:rsidR="0017026D">
      <w:rPr>
        <w:rFonts w:ascii="Arial" w:hAnsi="Arial"/>
        <w:b/>
      </w:rPr>
      <w:tab/>
    </w:r>
    <w:r w:rsidR="0017026D">
      <w:rPr>
        <w:rFonts w:ascii="Arial" w:hAnsi="Arial"/>
        <w:b/>
      </w:rPr>
      <w:tab/>
    </w:r>
    <w:r>
      <w:rPr>
        <w:rFonts w:ascii="Arial" w:hAnsi="Arial"/>
        <w:b/>
      </w:rPr>
      <w:tab/>
    </w:r>
    <w:r>
      <w:rPr>
        <w:rFonts w:ascii="Arial" w:hAnsi="Arial"/>
        <w:b/>
      </w:rPr>
      <w:tab/>
      <w:t xml:space="preserve">       </w:t>
    </w:r>
    <w:r w:rsidR="00314259">
      <w:rPr>
        <w:rFonts w:ascii="Arial" w:hAnsi="Arial"/>
        <w:b/>
      </w:rPr>
      <w:t>9B17</w:t>
    </w:r>
    <w:r>
      <w:rPr>
        <w:rFonts w:ascii="Arial" w:hAnsi="Arial"/>
        <w:b/>
      </w:rPr>
      <w:t>N</w:t>
    </w:r>
    <w:r w:rsidR="0017026D">
      <w:rPr>
        <w:rFonts w:ascii="Arial" w:hAnsi="Arial"/>
        <w:b/>
      </w:rPr>
      <w:t>001</w:t>
    </w:r>
  </w:p>
  <w:p w14:paraId="55DB3F75" w14:textId="77777777" w:rsidR="00761CC3" w:rsidRPr="00930F39" w:rsidRDefault="00761CC3" w:rsidP="00FC7297">
    <w:pPr>
      <w:pStyle w:val="Header"/>
    </w:pPr>
  </w:p>
  <w:p w14:paraId="571E5E11" w14:textId="77777777" w:rsidR="00761CC3" w:rsidRPr="00930F39" w:rsidRDefault="00761CC3" w:rsidP="00FC729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DACAA" w14:textId="43A162B6" w:rsidR="00761CC3" w:rsidRDefault="00761CC3" w:rsidP="0017026D">
    <w:pPr>
      <w:pBdr>
        <w:bottom w:val="single" w:sz="18" w:space="1" w:color="auto"/>
      </w:pBdr>
      <w:tabs>
        <w:tab w:val="left" w:pos="-1440"/>
        <w:tab w:val="left" w:pos="-720"/>
        <w:tab w:val="left" w:pos="4513"/>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51105">
      <w:rPr>
        <w:rFonts w:ascii="Arial" w:hAnsi="Arial"/>
        <w:b/>
        <w:noProof/>
      </w:rPr>
      <w:t>15</w:t>
    </w:r>
    <w:r>
      <w:rPr>
        <w:rFonts w:ascii="Arial" w:hAnsi="Arial"/>
        <w:b/>
      </w:rPr>
      <w:fldChar w:fldCharType="end"/>
    </w:r>
    <w:r>
      <w:rPr>
        <w:rFonts w:ascii="Arial" w:hAnsi="Arial"/>
        <w:b/>
      </w:rPr>
      <w:tab/>
    </w:r>
    <w:r w:rsidR="0017026D">
      <w:rPr>
        <w:rFonts w:ascii="Arial" w:hAnsi="Arial"/>
        <w:b/>
      </w:rPr>
      <w:tab/>
    </w:r>
    <w:r w:rsidR="00314259">
      <w:rPr>
        <w:rFonts w:ascii="Arial" w:hAnsi="Arial"/>
        <w:b/>
      </w:rPr>
      <w:t>9B17</w:t>
    </w:r>
    <w:r>
      <w:rPr>
        <w:rFonts w:ascii="Arial" w:hAnsi="Arial"/>
        <w:b/>
      </w:rPr>
      <w:t>N</w:t>
    </w:r>
    <w:r w:rsidR="0017026D">
      <w:rPr>
        <w:rFonts w:ascii="Arial" w:hAnsi="Arial"/>
        <w:b/>
      </w:rPr>
      <w:t>001</w:t>
    </w:r>
  </w:p>
  <w:p w14:paraId="61A5A170" w14:textId="77777777" w:rsidR="00761CC3" w:rsidRDefault="00761CC3">
    <w:pPr>
      <w:pStyle w:val="Header"/>
    </w:pPr>
  </w:p>
  <w:p w14:paraId="2A2F41EC" w14:textId="77777777" w:rsidR="00761CC3" w:rsidRDefault="00761CC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58370" w14:textId="3CA1418D" w:rsidR="00761CC3" w:rsidRDefault="00761CC3" w:rsidP="00FC7297">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51105">
      <w:rPr>
        <w:rFonts w:ascii="Arial" w:hAnsi="Arial"/>
        <w:b/>
        <w:noProof/>
      </w:rPr>
      <w:t>11</w:t>
    </w:r>
    <w:r>
      <w:rPr>
        <w:rFonts w:ascii="Arial" w:hAnsi="Arial"/>
        <w:b/>
      </w:rPr>
      <w:fldChar w:fldCharType="end"/>
    </w:r>
    <w:r w:rsidR="0017026D">
      <w:rPr>
        <w:rFonts w:ascii="Arial" w:hAnsi="Arial"/>
        <w:b/>
      </w:rPr>
      <w:tab/>
    </w:r>
    <w:r w:rsidR="00314259">
      <w:rPr>
        <w:rFonts w:ascii="Arial" w:hAnsi="Arial"/>
        <w:b/>
      </w:rPr>
      <w:t>9B17</w:t>
    </w:r>
    <w:r w:rsidR="0017026D">
      <w:rPr>
        <w:rFonts w:ascii="Arial" w:hAnsi="Arial"/>
        <w:b/>
      </w:rPr>
      <w:t>N001</w:t>
    </w:r>
  </w:p>
  <w:p w14:paraId="7710200C" w14:textId="77777777" w:rsidR="00761CC3" w:rsidRPr="00930F39" w:rsidRDefault="00761CC3" w:rsidP="00FC7297">
    <w:pPr>
      <w:pStyle w:val="Header"/>
    </w:pPr>
  </w:p>
  <w:p w14:paraId="40AA6DB0" w14:textId="77777777" w:rsidR="00761CC3" w:rsidRPr="00930F39" w:rsidRDefault="00761CC3" w:rsidP="00FC729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9CF90" w14:textId="5B546CCF" w:rsidR="00761CC3" w:rsidRDefault="00761CC3" w:rsidP="003F3921">
    <w:pPr>
      <w:pBdr>
        <w:bottom w:val="single" w:sz="18" w:space="1" w:color="auto"/>
      </w:pBdr>
      <w:tabs>
        <w:tab w:val="left" w:pos="-1440"/>
        <w:tab w:val="left" w:pos="-720"/>
        <w:tab w:val="left" w:pos="7286"/>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51105">
      <w:rPr>
        <w:rFonts w:ascii="Arial" w:hAnsi="Arial"/>
        <w:b/>
        <w:noProof/>
      </w:rPr>
      <w:t>17</w:t>
    </w:r>
    <w:r>
      <w:rPr>
        <w:rFonts w:ascii="Arial" w:hAnsi="Arial"/>
        <w:b/>
      </w:rPr>
      <w:fldChar w:fldCharType="end"/>
    </w:r>
    <w:r w:rsidR="003F3921">
      <w:rPr>
        <w:rFonts w:ascii="Arial" w:hAnsi="Arial"/>
        <w:b/>
      </w:rPr>
      <w:tab/>
    </w:r>
    <w:r w:rsidR="003F3921">
      <w:rPr>
        <w:rFonts w:ascii="Arial" w:hAnsi="Arial"/>
        <w:b/>
      </w:rPr>
      <w:tab/>
    </w:r>
    <w:r w:rsidR="003F3921">
      <w:rPr>
        <w:rFonts w:ascii="Arial" w:hAnsi="Arial"/>
        <w:b/>
      </w:rPr>
      <w:tab/>
    </w:r>
    <w:r w:rsidR="003F3921">
      <w:rPr>
        <w:rFonts w:ascii="Arial" w:hAnsi="Arial"/>
        <w:b/>
      </w:rPr>
      <w:tab/>
      <w:t xml:space="preserve">       </w:t>
    </w:r>
    <w:r w:rsidR="00314259">
      <w:rPr>
        <w:rFonts w:ascii="Arial" w:hAnsi="Arial"/>
        <w:b/>
      </w:rPr>
      <w:t>9B17</w:t>
    </w:r>
    <w:r w:rsidR="003F3921">
      <w:rPr>
        <w:rFonts w:ascii="Arial" w:hAnsi="Arial"/>
        <w:b/>
      </w:rPr>
      <w:t>N001</w:t>
    </w:r>
  </w:p>
  <w:p w14:paraId="20DC710D" w14:textId="77777777" w:rsidR="00761CC3" w:rsidRDefault="00761CC3">
    <w:pPr>
      <w:pStyle w:val="Header"/>
    </w:pPr>
  </w:p>
  <w:p w14:paraId="43E9B9DE" w14:textId="77777777" w:rsidR="00761CC3" w:rsidRDefault="00761CC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3F05D8" w14:textId="15C9F40D" w:rsidR="00761CC3" w:rsidRDefault="00761CC3" w:rsidP="00FC7297">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51105">
      <w:rPr>
        <w:rFonts w:ascii="Arial" w:hAnsi="Arial"/>
        <w:b/>
        <w:noProof/>
      </w:rPr>
      <w:t>16</w:t>
    </w:r>
    <w:r>
      <w:rPr>
        <w:rFonts w:ascii="Arial" w:hAnsi="Arial"/>
        <w:b/>
      </w:rPr>
      <w:fldChar w:fldCharType="end"/>
    </w:r>
    <w:r w:rsidR="00051105">
      <w:rPr>
        <w:rFonts w:ascii="Arial" w:hAnsi="Arial"/>
        <w:b/>
      </w:rPr>
      <w:tab/>
    </w:r>
    <w:r>
      <w:rPr>
        <w:rFonts w:ascii="Arial" w:hAnsi="Arial"/>
        <w:b/>
      </w:rPr>
      <w:tab/>
    </w:r>
    <w:r>
      <w:rPr>
        <w:rFonts w:ascii="Arial" w:hAnsi="Arial"/>
        <w:b/>
      </w:rPr>
      <w:tab/>
      <w:t xml:space="preserve">       </w:t>
    </w:r>
    <w:r w:rsidR="00314259">
      <w:rPr>
        <w:rFonts w:ascii="Arial" w:hAnsi="Arial"/>
        <w:b/>
      </w:rPr>
      <w:t>9B17</w:t>
    </w:r>
    <w:r>
      <w:rPr>
        <w:rFonts w:ascii="Arial" w:hAnsi="Arial"/>
        <w:b/>
      </w:rPr>
      <w:t>N</w:t>
    </w:r>
    <w:r w:rsidR="00DD7749">
      <w:rPr>
        <w:rFonts w:ascii="Arial" w:hAnsi="Arial"/>
        <w:b/>
      </w:rPr>
      <w:t>001</w:t>
    </w:r>
  </w:p>
  <w:p w14:paraId="03D01E71" w14:textId="77777777" w:rsidR="00761CC3" w:rsidRPr="00930F39" w:rsidRDefault="00761CC3" w:rsidP="00FC7297">
    <w:pPr>
      <w:pStyle w:val="Header"/>
    </w:pPr>
  </w:p>
  <w:p w14:paraId="622C88E6" w14:textId="77777777" w:rsidR="00761CC3" w:rsidRPr="00930F39" w:rsidRDefault="00761CC3" w:rsidP="00FC729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776E3" w14:textId="36116234" w:rsidR="00761CC3" w:rsidRDefault="00761CC3"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51105">
      <w:rPr>
        <w:rFonts w:ascii="Arial" w:hAnsi="Arial"/>
        <w:b/>
        <w:noProof/>
      </w:rPr>
      <w:t>19</w:t>
    </w:r>
    <w:r>
      <w:rPr>
        <w:rFonts w:ascii="Arial" w:hAnsi="Arial"/>
        <w:b/>
      </w:rPr>
      <w:fldChar w:fldCharType="end"/>
    </w:r>
    <w:r w:rsidR="00314259">
      <w:rPr>
        <w:rFonts w:ascii="Arial" w:hAnsi="Arial"/>
        <w:b/>
      </w:rPr>
      <w:tab/>
      <w:t>9B17</w:t>
    </w:r>
    <w:r>
      <w:rPr>
        <w:rFonts w:ascii="Arial" w:hAnsi="Arial"/>
        <w:b/>
      </w:rPr>
      <w:t>N</w:t>
    </w:r>
    <w:r w:rsidR="00E37067">
      <w:rPr>
        <w:rFonts w:ascii="Arial" w:hAnsi="Arial"/>
        <w:b/>
      </w:rPr>
      <w:t>001</w:t>
    </w:r>
  </w:p>
  <w:p w14:paraId="37D8B93C" w14:textId="77777777" w:rsidR="00761CC3" w:rsidRPr="00C92CC4" w:rsidRDefault="00761CC3">
    <w:pPr>
      <w:pStyle w:val="Header"/>
      <w:rPr>
        <w:sz w:val="18"/>
        <w:szCs w:val="18"/>
      </w:rPr>
    </w:pPr>
  </w:p>
  <w:p w14:paraId="1046F350" w14:textId="77777777" w:rsidR="00761CC3" w:rsidRPr="00C92CC4" w:rsidRDefault="00761CC3">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C9062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3843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F92D8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2B89A8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814874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F18040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99CA4D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F96670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7068DA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F8EA1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42E04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C812D7"/>
    <w:multiLevelType w:val="hybridMultilevel"/>
    <w:tmpl w:val="D21C1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162E79"/>
    <w:multiLevelType w:val="hybridMultilevel"/>
    <w:tmpl w:val="38C4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814834"/>
    <w:multiLevelType w:val="hybridMultilevel"/>
    <w:tmpl w:val="67081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265509"/>
    <w:multiLevelType w:val="hybridMultilevel"/>
    <w:tmpl w:val="D4D8F2E2"/>
    <w:lvl w:ilvl="0" w:tplc="5566B1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2780FAE"/>
    <w:multiLevelType w:val="hybridMultilevel"/>
    <w:tmpl w:val="88EC45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1F2BE2"/>
    <w:multiLevelType w:val="hybridMultilevel"/>
    <w:tmpl w:val="88EC45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6" w15:restartNumberingAfterBreak="0">
    <w:nsid w:val="51F86165"/>
    <w:multiLevelType w:val="hybridMultilevel"/>
    <w:tmpl w:val="6DB6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9"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30"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1"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3" w15:restartNumberingAfterBreak="0">
    <w:nsid w:val="7FC8738A"/>
    <w:multiLevelType w:val="hybridMultilevel"/>
    <w:tmpl w:val="8950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8"/>
  </w:num>
  <w:num w:numId="12">
    <w:abstractNumId w:val="25"/>
  </w:num>
  <w:num w:numId="13">
    <w:abstractNumId w:val="15"/>
  </w:num>
  <w:num w:numId="14">
    <w:abstractNumId w:val="27"/>
  </w:num>
  <w:num w:numId="15">
    <w:abstractNumId w:val="28"/>
  </w:num>
  <w:num w:numId="16">
    <w:abstractNumId w:val="29"/>
  </w:num>
  <w:num w:numId="17">
    <w:abstractNumId w:val="21"/>
  </w:num>
  <w:num w:numId="18">
    <w:abstractNumId w:val="30"/>
  </w:num>
  <w:num w:numId="19">
    <w:abstractNumId w:val="14"/>
  </w:num>
  <w:num w:numId="20">
    <w:abstractNumId w:val="11"/>
  </w:num>
  <w:num w:numId="21">
    <w:abstractNumId w:val="31"/>
  </w:num>
  <w:num w:numId="22">
    <w:abstractNumId w:val="24"/>
  </w:num>
  <w:num w:numId="23">
    <w:abstractNumId w:val="32"/>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2"/>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2"/>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9"/>
  </w:num>
  <w:num w:numId="27">
    <w:abstractNumId w:val="23"/>
  </w:num>
  <w:num w:numId="28">
    <w:abstractNumId w:val="17"/>
  </w:num>
  <w:num w:numId="29">
    <w:abstractNumId w:val="20"/>
  </w:num>
  <w:num w:numId="30">
    <w:abstractNumId w:val="22"/>
  </w:num>
  <w:num w:numId="31">
    <w:abstractNumId w:val="0"/>
  </w:num>
  <w:num w:numId="32">
    <w:abstractNumId w:val="33"/>
  </w:num>
  <w:num w:numId="33">
    <w:abstractNumId w:val="16"/>
  </w:num>
  <w:num w:numId="34">
    <w:abstractNumId w:val="12"/>
  </w:num>
  <w:num w:numId="35">
    <w:abstractNumId w:val="26"/>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38BA"/>
    <w:rsid w:val="00013360"/>
    <w:rsid w:val="00020422"/>
    <w:rsid w:val="000216CE"/>
    <w:rsid w:val="0002471A"/>
    <w:rsid w:val="00025DC7"/>
    <w:rsid w:val="00026486"/>
    <w:rsid w:val="00027782"/>
    <w:rsid w:val="00037BD6"/>
    <w:rsid w:val="00041A76"/>
    <w:rsid w:val="000423F8"/>
    <w:rsid w:val="00042E0C"/>
    <w:rsid w:val="00044ECC"/>
    <w:rsid w:val="00051105"/>
    <w:rsid w:val="00051E88"/>
    <w:rsid w:val="000531D3"/>
    <w:rsid w:val="0005575C"/>
    <w:rsid w:val="00056259"/>
    <w:rsid w:val="0005646B"/>
    <w:rsid w:val="00065265"/>
    <w:rsid w:val="00075B7C"/>
    <w:rsid w:val="0008102D"/>
    <w:rsid w:val="00082E11"/>
    <w:rsid w:val="00085A2F"/>
    <w:rsid w:val="00086C13"/>
    <w:rsid w:val="00094C0E"/>
    <w:rsid w:val="00097A54"/>
    <w:rsid w:val="000B27C5"/>
    <w:rsid w:val="000B4C6B"/>
    <w:rsid w:val="000C7FDB"/>
    <w:rsid w:val="000D250E"/>
    <w:rsid w:val="000D7930"/>
    <w:rsid w:val="000E5F30"/>
    <w:rsid w:val="000E606A"/>
    <w:rsid w:val="000E79D6"/>
    <w:rsid w:val="000F0C22"/>
    <w:rsid w:val="000F2C96"/>
    <w:rsid w:val="000F6B09"/>
    <w:rsid w:val="000F6EF8"/>
    <w:rsid w:val="000F6FDC"/>
    <w:rsid w:val="00104567"/>
    <w:rsid w:val="0012732D"/>
    <w:rsid w:val="0013470A"/>
    <w:rsid w:val="00142673"/>
    <w:rsid w:val="00145E2B"/>
    <w:rsid w:val="00154FC9"/>
    <w:rsid w:val="0016112B"/>
    <w:rsid w:val="0017026D"/>
    <w:rsid w:val="0017798E"/>
    <w:rsid w:val="0018136F"/>
    <w:rsid w:val="0018210F"/>
    <w:rsid w:val="00186C33"/>
    <w:rsid w:val="00190279"/>
    <w:rsid w:val="00190645"/>
    <w:rsid w:val="0019241A"/>
    <w:rsid w:val="001A1303"/>
    <w:rsid w:val="001A4CC9"/>
    <w:rsid w:val="001A5335"/>
    <w:rsid w:val="001A69A6"/>
    <w:rsid w:val="001A74A3"/>
    <w:rsid w:val="001A752D"/>
    <w:rsid w:val="001C1882"/>
    <w:rsid w:val="001C3FB2"/>
    <w:rsid w:val="001D237E"/>
    <w:rsid w:val="001F3B77"/>
    <w:rsid w:val="00203AA1"/>
    <w:rsid w:val="002060B8"/>
    <w:rsid w:val="00213E98"/>
    <w:rsid w:val="00213FB9"/>
    <w:rsid w:val="00222B06"/>
    <w:rsid w:val="00223B52"/>
    <w:rsid w:val="0022726D"/>
    <w:rsid w:val="002314B0"/>
    <w:rsid w:val="00236053"/>
    <w:rsid w:val="00236941"/>
    <w:rsid w:val="00254F72"/>
    <w:rsid w:val="002637A8"/>
    <w:rsid w:val="0027344A"/>
    <w:rsid w:val="00277FBE"/>
    <w:rsid w:val="00282AE0"/>
    <w:rsid w:val="00284835"/>
    <w:rsid w:val="00286089"/>
    <w:rsid w:val="002A3DD4"/>
    <w:rsid w:val="002B6A9E"/>
    <w:rsid w:val="002D489A"/>
    <w:rsid w:val="002D6B8B"/>
    <w:rsid w:val="002F2CB8"/>
    <w:rsid w:val="002F3C17"/>
    <w:rsid w:val="002F460C"/>
    <w:rsid w:val="002F48D6"/>
    <w:rsid w:val="003002EB"/>
    <w:rsid w:val="00304E30"/>
    <w:rsid w:val="003118B8"/>
    <w:rsid w:val="00314259"/>
    <w:rsid w:val="0031712C"/>
    <w:rsid w:val="0033668E"/>
    <w:rsid w:val="00341BE3"/>
    <w:rsid w:val="00350E0D"/>
    <w:rsid w:val="00351EF3"/>
    <w:rsid w:val="00354899"/>
    <w:rsid w:val="00355FD6"/>
    <w:rsid w:val="00360808"/>
    <w:rsid w:val="00361C8E"/>
    <w:rsid w:val="00364A5C"/>
    <w:rsid w:val="00373FB1"/>
    <w:rsid w:val="003878C9"/>
    <w:rsid w:val="00390749"/>
    <w:rsid w:val="003922CC"/>
    <w:rsid w:val="003B1ED7"/>
    <w:rsid w:val="003B30D8"/>
    <w:rsid w:val="003B7EF2"/>
    <w:rsid w:val="003C1B77"/>
    <w:rsid w:val="003C3FA4"/>
    <w:rsid w:val="003C61E9"/>
    <w:rsid w:val="003E6299"/>
    <w:rsid w:val="003F2203"/>
    <w:rsid w:val="003F2B0C"/>
    <w:rsid w:val="003F3921"/>
    <w:rsid w:val="00412344"/>
    <w:rsid w:val="00414F40"/>
    <w:rsid w:val="004221E4"/>
    <w:rsid w:val="00456FC9"/>
    <w:rsid w:val="004600EA"/>
    <w:rsid w:val="00470F10"/>
    <w:rsid w:val="00471088"/>
    <w:rsid w:val="00481558"/>
    <w:rsid w:val="00483AF9"/>
    <w:rsid w:val="00486B01"/>
    <w:rsid w:val="00495E65"/>
    <w:rsid w:val="004A0868"/>
    <w:rsid w:val="004B1326"/>
    <w:rsid w:val="004B1CCB"/>
    <w:rsid w:val="004B3CEA"/>
    <w:rsid w:val="004D4713"/>
    <w:rsid w:val="004D73A5"/>
    <w:rsid w:val="004E645F"/>
    <w:rsid w:val="00506D4B"/>
    <w:rsid w:val="00526B95"/>
    <w:rsid w:val="00527C06"/>
    <w:rsid w:val="005322A1"/>
    <w:rsid w:val="00532CF5"/>
    <w:rsid w:val="005365B6"/>
    <w:rsid w:val="005379FC"/>
    <w:rsid w:val="00550ACB"/>
    <w:rsid w:val="005528CB"/>
    <w:rsid w:val="00566771"/>
    <w:rsid w:val="005754D0"/>
    <w:rsid w:val="00581E2E"/>
    <w:rsid w:val="005825B4"/>
    <w:rsid w:val="00584F15"/>
    <w:rsid w:val="005971EA"/>
    <w:rsid w:val="005A49D6"/>
    <w:rsid w:val="005A4CA3"/>
    <w:rsid w:val="005B3EB1"/>
    <w:rsid w:val="005B74E5"/>
    <w:rsid w:val="005C7D53"/>
    <w:rsid w:val="005D015D"/>
    <w:rsid w:val="005F3863"/>
    <w:rsid w:val="0060378D"/>
    <w:rsid w:val="00603874"/>
    <w:rsid w:val="00607950"/>
    <w:rsid w:val="006163F7"/>
    <w:rsid w:val="006175D1"/>
    <w:rsid w:val="00617A47"/>
    <w:rsid w:val="0062652F"/>
    <w:rsid w:val="00626B62"/>
    <w:rsid w:val="00631F40"/>
    <w:rsid w:val="00632F0D"/>
    <w:rsid w:val="00633A59"/>
    <w:rsid w:val="00645AA0"/>
    <w:rsid w:val="00647C38"/>
    <w:rsid w:val="00652606"/>
    <w:rsid w:val="00655F9D"/>
    <w:rsid w:val="00663E8F"/>
    <w:rsid w:val="00682330"/>
    <w:rsid w:val="00682754"/>
    <w:rsid w:val="0068388E"/>
    <w:rsid w:val="006866A7"/>
    <w:rsid w:val="006A58A9"/>
    <w:rsid w:val="006A606D"/>
    <w:rsid w:val="006A77E3"/>
    <w:rsid w:val="006B56D2"/>
    <w:rsid w:val="006C0371"/>
    <w:rsid w:val="006C08B6"/>
    <w:rsid w:val="006C0B1A"/>
    <w:rsid w:val="006C4384"/>
    <w:rsid w:val="006C6065"/>
    <w:rsid w:val="006C68FE"/>
    <w:rsid w:val="006C7F9F"/>
    <w:rsid w:val="006D12DB"/>
    <w:rsid w:val="006D3B48"/>
    <w:rsid w:val="006D61EA"/>
    <w:rsid w:val="006E2F6D"/>
    <w:rsid w:val="006E58F6"/>
    <w:rsid w:val="006E77E1"/>
    <w:rsid w:val="006F0167"/>
    <w:rsid w:val="006F131D"/>
    <w:rsid w:val="006F6943"/>
    <w:rsid w:val="0070755A"/>
    <w:rsid w:val="00711504"/>
    <w:rsid w:val="007115E9"/>
    <w:rsid w:val="00712DE1"/>
    <w:rsid w:val="00720672"/>
    <w:rsid w:val="0072214B"/>
    <w:rsid w:val="00731E29"/>
    <w:rsid w:val="00752BCD"/>
    <w:rsid w:val="00752FC0"/>
    <w:rsid w:val="007532BD"/>
    <w:rsid w:val="0075403F"/>
    <w:rsid w:val="00761CC3"/>
    <w:rsid w:val="00765298"/>
    <w:rsid w:val="0076540C"/>
    <w:rsid w:val="00766DA1"/>
    <w:rsid w:val="00772AA0"/>
    <w:rsid w:val="007866A6"/>
    <w:rsid w:val="00792DE2"/>
    <w:rsid w:val="00793B1D"/>
    <w:rsid w:val="007A130D"/>
    <w:rsid w:val="007A326E"/>
    <w:rsid w:val="007A40A9"/>
    <w:rsid w:val="007B0A15"/>
    <w:rsid w:val="007B5C4C"/>
    <w:rsid w:val="007D3309"/>
    <w:rsid w:val="007D4102"/>
    <w:rsid w:val="007E0A67"/>
    <w:rsid w:val="007E4AD6"/>
    <w:rsid w:val="007E5921"/>
    <w:rsid w:val="007E70C4"/>
    <w:rsid w:val="007F5872"/>
    <w:rsid w:val="00802379"/>
    <w:rsid w:val="00807034"/>
    <w:rsid w:val="008172CF"/>
    <w:rsid w:val="00821FFC"/>
    <w:rsid w:val="00823D76"/>
    <w:rsid w:val="008271CA"/>
    <w:rsid w:val="00841549"/>
    <w:rsid w:val="008467D5"/>
    <w:rsid w:val="00856D9F"/>
    <w:rsid w:val="00866F6D"/>
    <w:rsid w:val="0088431A"/>
    <w:rsid w:val="00884C6D"/>
    <w:rsid w:val="00890C09"/>
    <w:rsid w:val="0089371A"/>
    <w:rsid w:val="00894F0C"/>
    <w:rsid w:val="00895227"/>
    <w:rsid w:val="008A0D1A"/>
    <w:rsid w:val="008A3716"/>
    <w:rsid w:val="008A4DC4"/>
    <w:rsid w:val="008B1ECC"/>
    <w:rsid w:val="008B21C9"/>
    <w:rsid w:val="008B46BE"/>
    <w:rsid w:val="008C3288"/>
    <w:rsid w:val="008D26B5"/>
    <w:rsid w:val="008D5C56"/>
    <w:rsid w:val="00900605"/>
    <w:rsid w:val="0090269C"/>
    <w:rsid w:val="009047B8"/>
    <w:rsid w:val="009067A4"/>
    <w:rsid w:val="0090722E"/>
    <w:rsid w:val="009255FB"/>
    <w:rsid w:val="00927598"/>
    <w:rsid w:val="00930F39"/>
    <w:rsid w:val="009340DB"/>
    <w:rsid w:val="009345C0"/>
    <w:rsid w:val="009439CE"/>
    <w:rsid w:val="00945E1C"/>
    <w:rsid w:val="009521AA"/>
    <w:rsid w:val="009545FC"/>
    <w:rsid w:val="009573DD"/>
    <w:rsid w:val="00970B2C"/>
    <w:rsid w:val="00972498"/>
    <w:rsid w:val="00972C3F"/>
    <w:rsid w:val="00974CC6"/>
    <w:rsid w:val="00976AD4"/>
    <w:rsid w:val="0098624B"/>
    <w:rsid w:val="00986589"/>
    <w:rsid w:val="009A312F"/>
    <w:rsid w:val="009A5348"/>
    <w:rsid w:val="009A67BB"/>
    <w:rsid w:val="009A6B9D"/>
    <w:rsid w:val="009B006F"/>
    <w:rsid w:val="009B37FD"/>
    <w:rsid w:val="009B6707"/>
    <w:rsid w:val="009C76D5"/>
    <w:rsid w:val="009C7943"/>
    <w:rsid w:val="009D0972"/>
    <w:rsid w:val="009F7AA4"/>
    <w:rsid w:val="009F7D4D"/>
    <w:rsid w:val="00A0417F"/>
    <w:rsid w:val="00A143D8"/>
    <w:rsid w:val="00A21791"/>
    <w:rsid w:val="00A371F2"/>
    <w:rsid w:val="00A52288"/>
    <w:rsid w:val="00A534BD"/>
    <w:rsid w:val="00A540CB"/>
    <w:rsid w:val="00A54A44"/>
    <w:rsid w:val="00A559DB"/>
    <w:rsid w:val="00A5735E"/>
    <w:rsid w:val="00A575A9"/>
    <w:rsid w:val="00A7324C"/>
    <w:rsid w:val="00A842DA"/>
    <w:rsid w:val="00A85C01"/>
    <w:rsid w:val="00A868D9"/>
    <w:rsid w:val="00A87993"/>
    <w:rsid w:val="00A90456"/>
    <w:rsid w:val="00A961ED"/>
    <w:rsid w:val="00AA1859"/>
    <w:rsid w:val="00AA520A"/>
    <w:rsid w:val="00AA62CA"/>
    <w:rsid w:val="00AB0CE1"/>
    <w:rsid w:val="00AB0E86"/>
    <w:rsid w:val="00AB32F9"/>
    <w:rsid w:val="00AC0478"/>
    <w:rsid w:val="00AC18CF"/>
    <w:rsid w:val="00AD5DBB"/>
    <w:rsid w:val="00AE00BB"/>
    <w:rsid w:val="00AF2351"/>
    <w:rsid w:val="00AF35FC"/>
    <w:rsid w:val="00AF6215"/>
    <w:rsid w:val="00B024AE"/>
    <w:rsid w:val="00B0282E"/>
    <w:rsid w:val="00B02FEB"/>
    <w:rsid w:val="00B03639"/>
    <w:rsid w:val="00B0652A"/>
    <w:rsid w:val="00B133F8"/>
    <w:rsid w:val="00B16914"/>
    <w:rsid w:val="00B21085"/>
    <w:rsid w:val="00B34A12"/>
    <w:rsid w:val="00B3757D"/>
    <w:rsid w:val="00B403D7"/>
    <w:rsid w:val="00B40937"/>
    <w:rsid w:val="00B423EF"/>
    <w:rsid w:val="00B453DE"/>
    <w:rsid w:val="00B4742F"/>
    <w:rsid w:val="00B61AC8"/>
    <w:rsid w:val="00B62286"/>
    <w:rsid w:val="00B66AC1"/>
    <w:rsid w:val="00B7155C"/>
    <w:rsid w:val="00B8173B"/>
    <w:rsid w:val="00B901F9"/>
    <w:rsid w:val="00BC39A9"/>
    <w:rsid w:val="00BD04C4"/>
    <w:rsid w:val="00BD159C"/>
    <w:rsid w:val="00BD53F3"/>
    <w:rsid w:val="00BD6EFB"/>
    <w:rsid w:val="00BE0D15"/>
    <w:rsid w:val="00BE1DD2"/>
    <w:rsid w:val="00BE2011"/>
    <w:rsid w:val="00BE2417"/>
    <w:rsid w:val="00BE67E4"/>
    <w:rsid w:val="00BF064A"/>
    <w:rsid w:val="00BF2EC1"/>
    <w:rsid w:val="00C07514"/>
    <w:rsid w:val="00C118C1"/>
    <w:rsid w:val="00C15BE2"/>
    <w:rsid w:val="00C16448"/>
    <w:rsid w:val="00C22219"/>
    <w:rsid w:val="00C22BB9"/>
    <w:rsid w:val="00C3447F"/>
    <w:rsid w:val="00C411C5"/>
    <w:rsid w:val="00C5549D"/>
    <w:rsid w:val="00C62B4C"/>
    <w:rsid w:val="00C67CDC"/>
    <w:rsid w:val="00C7274F"/>
    <w:rsid w:val="00C75760"/>
    <w:rsid w:val="00C81491"/>
    <w:rsid w:val="00C81676"/>
    <w:rsid w:val="00C92CC4"/>
    <w:rsid w:val="00C9780C"/>
    <w:rsid w:val="00CA0AFB"/>
    <w:rsid w:val="00CA2CE1"/>
    <w:rsid w:val="00CA3976"/>
    <w:rsid w:val="00CA757B"/>
    <w:rsid w:val="00CA7B37"/>
    <w:rsid w:val="00CB00B5"/>
    <w:rsid w:val="00CB4AE7"/>
    <w:rsid w:val="00CC1787"/>
    <w:rsid w:val="00CC182C"/>
    <w:rsid w:val="00CD0824"/>
    <w:rsid w:val="00CD2908"/>
    <w:rsid w:val="00CE24EF"/>
    <w:rsid w:val="00CF027A"/>
    <w:rsid w:val="00D02605"/>
    <w:rsid w:val="00D03A82"/>
    <w:rsid w:val="00D12C7D"/>
    <w:rsid w:val="00D13777"/>
    <w:rsid w:val="00D15344"/>
    <w:rsid w:val="00D2336F"/>
    <w:rsid w:val="00D262EF"/>
    <w:rsid w:val="00D31BEC"/>
    <w:rsid w:val="00D32C12"/>
    <w:rsid w:val="00D35260"/>
    <w:rsid w:val="00D36CC0"/>
    <w:rsid w:val="00D53A81"/>
    <w:rsid w:val="00D63150"/>
    <w:rsid w:val="00D63AE2"/>
    <w:rsid w:val="00D644FF"/>
    <w:rsid w:val="00D64A32"/>
    <w:rsid w:val="00D64EFC"/>
    <w:rsid w:val="00D74701"/>
    <w:rsid w:val="00D75295"/>
    <w:rsid w:val="00D76CE9"/>
    <w:rsid w:val="00D82723"/>
    <w:rsid w:val="00D85468"/>
    <w:rsid w:val="00D864FB"/>
    <w:rsid w:val="00D866F2"/>
    <w:rsid w:val="00D94924"/>
    <w:rsid w:val="00D97F12"/>
    <w:rsid w:val="00DA418D"/>
    <w:rsid w:val="00DB154D"/>
    <w:rsid w:val="00DB2F9C"/>
    <w:rsid w:val="00DB42E7"/>
    <w:rsid w:val="00DC63F3"/>
    <w:rsid w:val="00DC66B6"/>
    <w:rsid w:val="00DC78E2"/>
    <w:rsid w:val="00DD7749"/>
    <w:rsid w:val="00DE2DE2"/>
    <w:rsid w:val="00DF32C2"/>
    <w:rsid w:val="00DF46FF"/>
    <w:rsid w:val="00DF65CA"/>
    <w:rsid w:val="00E03A43"/>
    <w:rsid w:val="00E14434"/>
    <w:rsid w:val="00E35814"/>
    <w:rsid w:val="00E37067"/>
    <w:rsid w:val="00E41F21"/>
    <w:rsid w:val="00E464D3"/>
    <w:rsid w:val="00E471A7"/>
    <w:rsid w:val="00E635CF"/>
    <w:rsid w:val="00E72E1F"/>
    <w:rsid w:val="00E73F27"/>
    <w:rsid w:val="00E74C59"/>
    <w:rsid w:val="00E84893"/>
    <w:rsid w:val="00EA73A9"/>
    <w:rsid w:val="00EB5410"/>
    <w:rsid w:val="00EC6391"/>
    <w:rsid w:val="00EC6E0A"/>
    <w:rsid w:val="00EC7999"/>
    <w:rsid w:val="00ED491E"/>
    <w:rsid w:val="00ED4E18"/>
    <w:rsid w:val="00EE1F37"/>
    <w:rsid w:val="00EE39E9"/>
    <w:rsid w:val="00EF2D0D"/>
    <w:rsid w:val="00F0159C"/>
    <w:rsid w:val="00F01948"/>
    <w:rsid w:val="00F105B7"/>
    <w:rsid w:val="00F1431A"/>
    <w:rsid w:val="00F17A21"/>
    <w:rsid w:val="00F24C07"/>
    <w:rsid w:val="00F25820"/>
    <w:rsid w:val="00F2675C"/>
    <w:rsid w:val="00F30CFF"/>
    <w:rsid w:val="00F36B13"/>
    <w:rsid w:val="00F50489"/>
    <w:rsid w:val="00F50E91"/>
    <w:rsid w:val="00F57D29"/>
    <w:rsid w:val="00F57E9B"/>
    <w:rsid w:val="00F64A32"/>
    <w:rsid w:val="00F7091A"/>
    <w:rsid w:val="00F90CA5"/>
    <w:rsid w:val="00F92A99"/>
    <w:rsid w:val="00F96201"/>
    <w:rsid w:val="00FC30E9"/>
    <w:rsid w:val="00FC7297"/>
    <w:rsid w:val="00FD0B18"/>
    <w:rsid w:val="00FD0F82"/>
    <w:rsid w:val="00FD71AF"/>
    <w:rsid w:val="00FE5B43"/>
    <w:rsid w:val="00FE714F"/>
    <w:rsid w:val="00FF6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587F2B6"/>
  <w15:docId w15:val="{97EE94BB-096B-4B27-996E-88ED68D7C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D250E"/>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qFormat/>
    <w:rsid w:val="006D61E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61E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D61EA"/>
    <w:pPr>
      <w:spacing w:before="100" w:beforeAutospacing="1" w:after="100" w:afterAutospacing="1"/>
      <w:outlineLvl w:val="2"/>
    </w:pPr>
    <w:rPr>
      <w:b/>
      <w:bCs/>
      <w:sz w:val="27"/>
      <w:szCs w:val="27"/>
    </w:rPr>
  </w:style>
  <w:style w:type="paragraph" w:styleId="Heading5">
    <w:name w:val="heading 5"/>
    <w:basedOn w:val="Normal"/>
    <w:link w:val="Heading5Char"/>
    <w:uiPriority w:val="9"/>
    <w:qFormat/>
    <w:rsid w:val="006D61EA"/>
    <w:pPr>
      <w:spacing w:before="100" w:beforeAutospacing="1" w:after="100" w:afterAutospacing="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18136F"/>
    <w:rPr>
      <w:i w:val="0"/>
      <w:vertAlign w:val="superscript"/>
    </w:rPr>
  </w:style>
  <w:style w:type="paragraph" w:customStyle="1" w:styleId="Footnote">
    <w:name w:val="Footnote"/>
    <w:basedOn w:val="FootnoteText"/>
    <w:link w:val="FootnoteChar"/>
    <w:qFormat/>
    <w:rsid w:val="00C411C5"/>
    <w:rPr>
      <w:rFonts w:ascii="Arial" w:hAnsi="Arial" w:cs="Arial"/>
      <w:sz w:val="17"/>
      <w:szCs w:val="17"/>
    </w:rPr>
  </w:style>
  <w:style w:type="character" w:customStyle="1" w:styleId="FootnoteChar">
    <w:name w:val="Footnote Char"/>
    <w:basedOn w:val="FootnoteTextChar"/>
    <w:link w:val="Footnote"/>
    <w:rsid w:val="00C411C5"/>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uiPriority w:val="9"/>
    <w:rsid w:val="006D61E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61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D61E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D61EA"/>
    <w:rPr>
      <w:rFonts w:ascii="Times New Roman" w:eastAsia="Times New Roman" w:hAnsi="Times New Roman" w:cs="Times New Roman"/>
      <w:b/>
      <w:bCs/>
      <w:sz w:val="20"/>
      <w:szCs w:val="20"/>
    </w:rPr>
  </w:style>
  <w:style w:type="character" w:customStyle="1" w:styleId="sm">
    <w:name w:val="sm"/>
    <w:basedOn w:val="DefaultParagraphFont"/>
    <w:rsid w:val="006D61EA"/>
  </w:style>
  <w:style w:type="character" w:customStyle="1" w:styleId="x-panel-header-text">
    <w:name w:val="x-panel-header-text"/>
    <w:basedOn w:val="DefaultParagraphFont"/>
    <w:rsid w:val="006D61EA"/>
  </w:style>
  <w:style w:type="character" w:customStyle="1" w:styleId="x-window-header-text">
    <w:name w:val="x-window-header-text"/>
    <w:basedOn w:val="DefaultParagraphFont"/>
    <w:rsid w:val="006D61EA"/>
  </w:style>
  <w:style w:type="character" w:customStyle="1" w:styleId="gr13px">
    <w:name w:val="gr13px"/>
    <w:basedOn w:val="DefaultParagraphFont"/>
    <w:rsid w:val="006D61EA"/>
  </w:style>
  <w:style w:type="character" w:customStyle="1" w:styleId="wh12px">
    <w:name w:val="wh12px"/>
    <w:basedOn w:val="DefaultParagraphFont"/>
    <w:rsid w:val="006D61EA"/>
  </w:style>
  <w:style w:type="paragraph" w:styleId="Title">
    <w:name w:val="Title"/>
    <w:basedOn w:val="Normal"/>
    <w:next w:val="Normal"/>
    <w:link w:val="TitleChar"/>
    <w:uiPriority w:val="10"/>
    <w:qFormat/>
    <w:rsid w:val="006D61E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61EA"/>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6D61EA"/>
  </w:style>
  <w:style w:type="character" w:styleId="FollowedHyperlink">
    <w:name w:val="FollowedHyperlink"/>
    <w:basedOn w:val="DefaultParagraphFont"/>
    <w:uiPriority w:val="99"/>
    <w:semiHidden/>
    <w:unhideWhenUsed/>
    <w:rsid w:val="006D61EA"/>
    <w:rPr>
      <w:color w:val="800080" w:themeColor="followedHyperlink"/>
      <w:u w:val="single"/>
    </w:rPr>
  </w:style>
  <w:style w:type="paragraph" w:styleId="NoSpacing">
    <w:name w:val="No Spacing"/>
    <w:uiPriority w:val="1"/>
    <w:qFormat/>
    <w:rsid w:val="006D61EA"/>
    <w:pPr>
      <w:spacing w:after="0" w:line="240" w:lineRule="auto"/>
    </w:pPr>
    <w:rPr>
      <w:lang w:val="en-SG"/>
    </w:rPr>
  </w:style>
  <w:style w:type="character" w:customStyle="1" w:styleId="plainlinks">
    <w:name w:val="plainlinks"/>
    <w:basedOn w:val="DefaultParagraphFont"/>
    <w:rsid w:val="006D61EA"/>
  </w:style>
  <w:style w:type="character" w:customStyle="1" w:styleId="latitude">
    <w:name w:val="latitude"/>
    <w:basedOn w:val="DefaultParagraphFont"/>
    <w:rsid w:val="006D61EA"/>
  </w:style>
  <w:style w:type="character" w:customStyle="1" w:styleId="longitude">
    <w:name w:val="longitude"/>
    <w:basedOn w:val="DefaultParagraphFont"/>
    <w:rsid w:val="006D61EA"/>
  </w:style>
  <w:style w:type="character" w:customStyle="1" w:styleId="toctoggle">
    <w:name w:val="toctoggle"/>
    <w:basedOn w:val="DefaultParagraphFont"/>
    <w:rsid w:val="006D61EA"/>
  </w:style>
  <w:style w:type="character" w:customStyle="1" w:styleId="tocnumber">
    <w:name w:val="tocnumber"/>
    <w:basedOn w:val="DefaultParagraphFont"/>
    <w:rsid w:val="006D61EA"/>
  </w:style>
  <w:style w:type="character" w:customStyle="1" w:styleId="toctext">
    <w:name w:val="toctext"/>
    <w:basedOn w:val="DefaultParagraphFont"/>
    <w:rsid w:val="006D61EA"/>
  </w:style>
  <w:style w:type="character" w:customStyle="1" w:styleId="editsection">
    <w:name w:val="editsection"/>
    <w:basedOn w:val="DefaultParagraphFont"/>
    <w:rsid w:val="006D61EA"/>
  </w:style>
  <w:style w:type="character" w:customStyle="1" w:styleId="mw-headline">
    <w:name w:val="mw-headline"/>
    <w:basedOn w:val="DefaultParagraphFont"/>
    <w:rsid w:val="006D61EA"/>
  </w:style>
  <w:style w:type="character" w:customStyle="1" w:styleId="mbox-text-span">
    <w:name w:val="mbox-text-span"/>
    <w:basedOn w:val="DefaultParagraphFont"/>
    <w:rsid w:val="006D61EA"/>
  </w:style>
  <w:style w:type="character" w:customStyle="1" w:styleId="hide-when-compact">
    <w:name w:val="hide-when-compact"/>
    <w:basedOn w:val="DefaultParagraphFont"/>
    <w:rsid w:val="006D61EA"/>
  </w:style>
  <w:style w:type="character" w:customStyle="1" w:styleId="citation">
    <w:name w:val="citation"/>
    <w:basedOn w:val="DefaultParagraphFont"/>
    <w:rsid w:val="006D61EA"/>
  </w:style>
  <w:style w:type="character" w:customStyle="1" w:styleId="reference-accessdate">
    <w:name w:val="reference-accessdate"/>
    <w:basedOn w:val="DefaultParagraphFont"/>
    <w:rsid w:val="006D61EA"/>
  </w:style>
  <w:style w:type="character" w:customStyle="1" w:styleId="yshortcuts">
    <w:name w:val="yshortcuts"/>
    <w:basedOn w:val="DefaultParagraphFont"/>
    <w:rsid w:val="006D61EA"/>
  </w:style>
  <w:style w:type="character" w:customStyle="1" w:styleId="cnndatestamp">
    <w:name w:val="cnndatestamp"/>
    <w:basedOn w:val="DefaultParagraphFont"/>
    <w:rsid w:val="006D61EA"/>
  </w:style>
  <w:style w:type="character" w:customStyle="1" w:styleId="submitted">
    <w:name w:val="submitted"/>
    <w:basedOn w:val="DefaultParagraphFont"/>
    <w:rsid w:val="006D61EA"/>
  </w:style>
  <w:style w:type="character" w:customStyle="1" w:styleId="mandelbrotrefrag">
    <w:name w:val="mandelbrot_refrag"/>
    <w:basedOn w:val="DefaultParagraphFont"/>
    <w:rsid w:val="006D61EA"/>
  </w:style>
  <w:style w:type="character" w:customStyle="1" w:styleId="c-name">
    <w:name w:val="c-name"/>
    <w:basedOn w:val="DefaultParagraphFont"/>
    <w:rsid w:val="006D61EA"/>
  </w:style>
  <w:style w:type="character" w:customStyle="1" w:styleId="tickerwrap">
    <w:name w:val="ticker_wrap"/>
    <w:basedOn w:val="DefaultParagraphFont"/>
    <w:rsid w:val="006D61EA"/>
  </w:style>
  <w:style w:type="paragraph" w:customStyle="1" w:styleId="byline">
    <w:name w:val="byline"/>
    <w:basedOn w:val="Normal"/>
    <w:rsid w:val="006D61EA"/>
    <w:pPr>
      <w:spacing w:before="100" w:beforeAutospacing="1" w:after="100" w:afterAutospacing="1"/>
    </w:pPr>
    <w:rPr>
      <w:sz w:val="24"/>
      <w:szCs w:val="24"/>
    </w:rPr>
  </w:style>
  <w:style w:type="character" w:customStyle="1" w:styleId="timestamp">
    <w:name w:val="timestamp"/>
    <w:basedOn w:val="DefaultParagraphFont"/>
    <w:rsid w:val="006D61EA"/>
  </w:style>
  <w:style w:type="character" w:customStyle="1" w:styleId="author">
    <w:name w:val="author"/>
    <w:basedOn w:val="DefaultParagraphFont"/>
    <w:rsid w:val="006D61EA"/>
  </w:style>
  <w:style w:type="character" w:customStyle="1" w:styleId="Date1">
    <w:name w:val="Date1"/>
    <w:basedOn w:val="DefaultParagraphFont"/>
    <w:rsid w:val="006D61EA"/>
  </w:style>
  <w:style w:type="paragraph" w:customStyle="1" w:styleId="story-body-text">
    <w:name w:val="story-body-text"/>
    <w:basedOn w:val="Normal"/>
    <w:rsid w:val="006D61EA"/>
    <w:pPr>
      <w:spacing w:before="100" w:beforeAutospacing="1" w:after="100" w:afterAutospacing="1"/>
    </w:pPr>
    <w:rPr>
      <w:sz w:val="24"/>
      <w:szCs w:val="24"/>
    </w:rPr>
  </w:style>
  <w:style w:type="table" w:customStyle="1" w:styleId="IveyTable">
    <w:name w:val="Ivey Table"/>
    <w:basedOn w:val="TableNormal"/>
    <w:uiPriority w:val="99"/>
    <w:rsid w:val="00DF65CA"/>
    <w:pPr>
      <w:spacing w:after="0" w:line="240" w:lineRule="auto"/>
    </w:pPr>
    <w:rPr>
      <w:rFonts w:ascii="Arial" w:hAnsi="Arial"/>
      <w:sz w:val="20"/>
    </w:rPr>
    <w:tblPr>
      <w:tblStyleRowBandSize w:val="1"/>
      <w:jc w:val="center"/>
    </w:tblPr>
    <w:trPr>
      <w:jc w:val="center"/>
    </w:trPr>
    <w:tcPr>
      <w:shd w:val="clear" w:color="auto" w:fill="auto"/>
      <w:vAlign w:val="center"/>
    </w:tcPr>
    <w:tblStylePr w:type="firstRow">
      <w:rPr>
        <w:b/>
      </w:rPr>
      <w:tblPr/>
      <w:tcPr>
        <w:tcBorders>
          <w:bottom w:val="single" w:sz="4" w:space="0" w:color="auto"/>
        </w:tcBorders>
        <w:shd w:val="clear" w:color="auto" w:fill="F2F2F2" w:themeFill="background1" w:themeFillShade="F2"/>
      </w:tcPr>
    </w:tblStylePr>
    <w:tblStylePr w:type="band2Horz">
      <w:tblPr/>
      <w:tcPr>
        <w:shd w:val="clear" w:color="auto" w:fill="F2F2F2" w:themeFill="background1" w:themeFillShade="F2"/>
      </w:tcPr>
    </w:tblStylePr>
  </w:style>
  <w:style w:type="table" w:customStyle="1" w:styleId="PlainTable11">
    <w:name w:val="Plain Table 11"/>
    <w:basedOn w:val="TableNormal"/>
    <w:uiPriority w:val="41"/>
    <w:rsid w:val="00D137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6Colorful1">
    <w:name w:val="List Table 6 Colorful1"/>
    <w:basedOn w:val="TableNormal"/>
    <w:uiPriority w:val="51"/>
    <w:rsid w:val="00D1377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31">
    <w:name w:val="Plain Table 31"/>
    <w:basedOn w:val="TableNormal"/>
    <w:uiPriority w:val="43"/>
    <w:rsid w:val="00894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894F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ocumentMap">
    <w:name w:val="Document Map"/>
    <w:basedOn w:val="Normal"/>
    <w:link w:val="DocumentMapChar"/>
    <w:uiPriority w:val="99"/>
    <w:semiHidden/>
    <w:unhideWhenUsed/>
    <w:rsid w:val="000B4C6B"/>
    <w:rPr>
      <w:sz w:val="24"/>
      <w:szCs w:val="24"/>
    </w:rPr>
  </w:style>
  <w:style w:type="character" w:customStyle="1" w:styleId="DocumentMapChar">
    <w:name w:val="Document Map Char"/>
    <w:basedOn w:val="DefaultParagraphFont"/>
    <w:link w:val="DocumentMap"/>
    <w:uiPriority w:val="99"/>
    <w:semiHidden/>
    <w:rsid w:val="000B4C6B"/>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08902">
      <w:bodyDiv w:val="1"/>
      <w:marLeft w:val="0"/>
      <w:marRight w:val="0"/>
      <w:marTop w:val="0"/>
      <w:marBottom w:val="0"/>
      <w:divBdr>
        <w:top w:val="none" w:sz="0" w:space="0" w:color="auto"/>
        <w:left w:val="none" w:sz="0" w:space="0" w:color="auto"/>
        <w:bottom w:val="none" w:sz="0" w:space="0" w:color="auto"/>
        <w:right w:val="none" w:sz="0" w:space="0" w:color="auto"/>
      </w:divBdr>
    </w:div>
    <w:div w:id="698896863">
      <w:bodyDiv w:val="1"/>
      <w:marLeft w:val="0"/>
      <w:marRight w:val="0"/>
      <w:marTop w:val="0"/>
      <w:marBottom w:val="0"/>
      <w:divBdr>
        <w:top w:val="none" w:sz="0" w:space="0" w:color="auto"/>
        <w:left w:val="none" w:sz="0" w:space="0" w:color="auto"/>
        <w:bottom w:val="none" w:sz="0" w:space="0" w:color="auto"/>
        <w:right w:val="none" w:sz="0" w:space="0" w:color="auto"/>
      </w:divBdr>
    </w:div>
    <w:div w:id="11326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chart" Target="charts/chart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yperlink" Target="mailto:cases@ivey.ca"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8.xml"/></Relationships>
</file>

<file path=word/charts/_rels/chart1.xml.rels><?xml version="1.0" encoding="UTF-8" standalone="yes"?>
<Relationships xmlns="http://schemas.openxmlformats.org/package/2006/relationships"><Relationship Id="rId1" Type="http://schemas.openxmlformats.org/officeDocument/2006/relationships/oleObject" Target="file:///E:\Dropbox\Bond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Dropbox\Bond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Arial" panose="020B0604020202020204" pitchFamily="34" charset="0"/>
                <a:ea typeface="+mn-ea"/>
                <a:cs typeface="Arial" panose="020B0604020202020204" pitchFamily="34" charset="0"/>
              </a:defRPr>
            </a:pPr>
            <a:r>
              <a:rPr lang="en-SG" sz="1000">
                <a:solidFill>
                  <a:sysClr val="windowText" lastClr="000000"/>
                </a:solidFill>
              </a:rPr>
              <a:t>10-Year History of Yields </a:t>
            </a:r>
          </a:p>
        </c:rich>
      </c:tx>
      <c:overlay val="0"/>
      <c:spPr>
        <a:noFill/>
        <a:ln>
          <a:noFill/>
        </a:ln>
        <a:effectLst/>
      </c:spPr>
    </c:title>
    <c:autoTitleDeleted val="0"/>
    <c:plotArea>
      <c:layout/>
      <c:lineChart>
        <c:grouping val="standard"/>
        <c:varyColors val="0"/>
        <c:ser>
          <c:idx val="0"/>
          <c:order val="0"/>
          <c:tx>
            <c:v>Moody's Aaa</c:v>
          </c:tx>
          <c:spPr>
            <a:ln w="28575" cap="rnd" cmpd="sng" algn="ctr">
              <a:solidFill>
                <a:schemeClr val="dk1">
                  <a:tint val="88500"/>
                  <a:shade val="95000"/>
                  <a:satMod val="105000"/>
                </a:schemeClr>
              </a:solidFill>
              <a:prstDash val="solid"/>
              <a:round/>
            </a:ln>
            <a:effectLst/>
          </c:spPr>
          <c:marker>
            <c:symbol val="none"/>
          </c:marker>
          <c:cat>
            <c:numRef>
              <c:f>'Moody''s Seasoned'!$A$2:$A$120</c:f>
              <c:numCache>
                <c:formatCode>mmm\-yy</c:formatCode>
                <c:ptCount val="119"/>
                <c:pt idx="0">
                  <c:v>38353</c:v>
                </c:pt>
                <c:pt idx="1">
                  <c:v>38384</c:v>
                </c:pt>
                <c:pt idx="2">
                  <c:v>38412</c:v>
                </c:pt>
                <c:pt idx="3">
                  <c:v>38443</c:v>
                </c:pt>
                <c:pt idx="4">
                  <c:v>38473</c:v>
                </c:pt>
                <c:pt idx="5">
                  <c:v>38504</c:v>
                </c:pt>
                <c:pt idx="6">
                  <c:v>38534</c:v>
                </c:pt>
                <c:pt idx="7">
                  <c:v>38565</c:v>
                </c:pt>
                <c:pt idx="8">
                  <c:v>38596</c:v>
                </c:pt>
                <c:pt idx="9">
                  <c:v>38626</c:v>
                </c:pt>
                <c:pt idx="10">
                  <c:v>38657</c:v>
                </c:pt>
                <c:pt idx="11">
                  <c:v>38687</c:v>
                </c:pt>
                <c:pt idx="12">
                  <c:v>38718</c:v>
                </c:pt>
                <c:pt idx="13">
                  <c:v>38749</c:v>
                </c:pt>
                <c:pt idx="14">
                  <c:v>38777</c:v>
                </c:pt>
                <c:pt idx="15">
                  <c:v>38808</c:v>
                </c:pt>
                <c:pt idx="16">
                  <c:v>38838</c:v>
                </c:pt>
                <c:pt idx="17">
                  <c:v>38869</c:v>
                </c:pt>
                <c:pt idx="18">
                  <c:v>38899</c:v>
                </c:pt>
                <c:pt idx="19">
                  <c:v>38930</c:v>
                </c:pt>
                <c:pt idx="20">
                  <c:v>38961</c:v>
                </c:pt>
                <c:pt idx="21">
                  <c:v>38991</c:v>
                </c:pt>
                <c:pt idx="22">
                  <c:v>39022</c:v>
                </c:pt>
                <c:pt idx="23">
                  <c:v>39052</c:v>
                </c:pt>
                <c:pt idx="24">
                  <c:v>39083</c:v>
                </c:pt>
                <c:pt idx="25">
                  <c:v>39114</c:v>
                </c:pt>
                <c:pt idx="26">
                  <c:v>39142</c:v>
                </c:pt>
                <c:pt idx="27">
                  <c:v>39173</c:v>
                </c:pt>
                <c:pt idx="28">
                  <c:v>39203</c:v>
                </c:pt>
                <c:pt idx="29">
                  <c:v>39234</c:v>
                </c:pt>
                <c:pt idx="30">
                  <c:v>39264</c:v>
                </c:pt>
                <c:pt idx="31">
                  <c:v>39295</c:v>
                </c:pt>
                <c:pt idx="32">
                  <c:v>39326</c:v>
                </c:pt>
                <c:pt idx="33">
                  <c:v>39356</c:v>
                </c:pt>
                <c:pt idx="34">
                  <c:v>39387</c:v>
                </c:pt>
                <c:pt idx="35">
                  <c:v>39417</c:v>
                </c:pt>
                <c:pt idx="36">
                  <c:v>39448</c:v>
                </c:pt>
                <c:pt idx="37">
                  <c:v>39479</c:v>
                </c:pt>
                <c:pt idx="38">
                  <c:v>39508</c:v>
                </c:pt>
                <c:pt idx="39">
                  <c:v>39539</c:v>
                </c:pt>
                <c:pt idx="40">
                  <c:v>39569</c:v>
                </c:pt>
                <c:pt idx="41">
                  <c:v>39600</c:v>
                </c:pt>
                <c:pt idx="42">
                  <c:v>39630</c:v>
                </c:pt>
                <c:pt idx="43">
                  <c:v>39661</c:v>
                </c:pt>
                <c:pt idx="44">
                  <c:v>39692</c:v>
                </c:pt>
                <c:pt idx="45">
                  <c:v>39722</c:v>
                </c:pt>
                <c:pt idx="46">
                  <c:v>39753</c:v>
                </c:pt>
                <c:pt idx="47">
                  <c:v>39783</c:v>
                </c:pt>
                <c:pt idx="48">
                  <c:v>39814</c:v>
                </c:pt>
                <c:pt idx="49">
                  <c:v>39845</c:v>
                </c:pt>
                <c:pt idx="50">
                  <c:v>39873</c:v>
                </c:pt>
                <c:pt idx="51">
                  <c:v>39904</c:v>
                </c:pt>
                <c:pt idx="52">
                  <c:v>39934</c:v>
                </c:pt>
                <c:pt idx="53">
                  <c:v>39965</c:v>
                </c:pt>
                <c:pt idx="54">
                  <c:v>39995</c:v>
                </c:pt>
                <c:pt idx="55">
                  <c:v>40026</c:v>
                </c:pt>
                <c:pt idx="56">
                  <c:v>40057</c:v>
                </c:pt>
                <c:pt idx="57">
                  <c:v>40087</c:v>
                </c:pt>
                <c:pt idx="58">
                  <c:v>40118</c:v>
                </c:pt>
                <c:pt idx="59">
                  <c:v>40148</c:v>
                </c:pt>
                <c:pt idx="60">
                  <c:v>40179</c:v>
                </c:pt>
                <c:pt idx="61">
                  <c:v>40210</c:v>
                </c:pt>
                <c:pt idx="62">
                  <c:v>40238</c:v>
                </c:pt>
                <c:pt idx="63">
                  <c:v>40269</c:v>
                </c:pt>
                <c:pt idx="64">
                  <c:v>40299</c:v>
                </c:pt>
                <c:pt idx="65">
                  <c:v>40330</c:v>
                </c:pt>
                <c:pt idx="66">
                  <c:v>40360</c:v>
                </c:pt>
                <c:pt idx="67">
                  <c:v>40391</c:v>
                </c:pt>
                <c:pt idx="68">
                  <c:v>40422</c:v>
                </c:pt>
                <c:pt idx="69">
                  <c:v>40452</c:v>
                </c:pt>
                <c:pt idx="70">
                  <c:v>40483</c:v>
                </c:pt>
                <c:pt idx="71">
                  <c:v>40513</c:v>
                </c:pt>
                <c:pt idx="72">
                  <c:v>40544</c:v>
                </c:pt>
                <c:pt idx="73">
                  <c:v>40575</c:v>
                </c:pt>
                <c:pt idx="74">
                  <c:v>40603</c:v>
                </c:pt>
                <c:pt idx="75">
                  <c:v>40634</c:v>
                </c:pt>
                <c:pt idx="76">
                  <c:v>40664</c:v>
                </c:pt>
                <c:pt idx="77">
                  <c:v>40695</c:v>
                </c:pt>
                <c:pt idx="78">
                  <c:v>40725</c:v>
                </c:pt>
                <c:pt idx="79">
                  <c:v>40756</c:v>
                </c:pt>
                <c:pt idx="80">
                  <c:v>40787</c:v>
                </c:pt>
                <c:pt idx="81">
                  <c:v>40817</c:v>
                </c:pt>
                <c:pt idx="82">
                  <c:v>40848</c:v>
                </c:pt>
                <c:pt idx="83">
                  <c:v>40878</c:v>
                </c:pt>
                <c:pt idx="84">
                  <c:v>40909</c:v>
                </c:pt>
                <c:pt idx="85">
                  <c:v>40940</c:v>
                </c:pt>
                <c:pt idx="86">
                  <c:v>40969</c:v>
                </c:pt>
                <c:pt idx="87">
                  <c:v>41000</c:v>
                </c:pt>
                <c:pt idx="88">
                  <c:v>41030</c:v>
                </c:pt>
                <c:pt idx="89">
                  <c:v>41061</c:v>
                </c:pt>
                <c:pt idx="90">
                  <c:v>41091</c:v>
                </c:pt>
                <c:pt idx="91">
                  <c:v>41122</c:v>
                </c:pt>
                <c:pt idx="92">
                  <c:v>41153</c:v>
                </c:pt>
                <c:pt idx="93">
                  <c:v>41183</c:v>
                </c:pt>
                <c:pt idx="94">
                  <c:v>41214</c:v>
                </c:pt>
                <c:pt idx="95">
                  <c:v>41244</c:v>
                </c:pt>
                <c:pt idx="96">
                  <c:v>41275</c:v>
                </c:pt>
                <c:pt idx="97">
                  <c:v>41306</c:v>
                </c:pt>
                <c:pt idx="98">
                  <c:v>41334</c:v>
                </c:pt>
                <c:pt idx="99">
                  <c:v>41365</c:v>
                </c:pt>
                <c:pt idx="100">
                  <c:v>41395</c:v>
                </c:pt>
                <c:pt idx="101">
                  <c:v>41426</c:v>
                </c:pt>
                <c:pt idx="102">
                  <c:v>41456</c:v>
                </c:pt>
                <c:pt idx="103">
                  <c:v>41487</c:v>
                </c:pt>
                <c:pt idx="104">
                  <c:v>41518</c:v>
                </c:pt>
                <c:pt idx="105">
                  <c:v>41548</c:v>
                </c:pt>
                <c:pt idx="106">
                  <c:v>41579</c:v>
                </c:pt>
                <c:pt idx="107">
                  <c:v>41609</c:v>
                </c:pt>
                <c:pt idx="108">
                  <c:v>41640</c:v>
                </c:pt>
                <c:pt idx="109">
                  <c:v>41671</c:v>
                </c:pt>
                <c:pt idx="110">
                  <c:v>41699</c:v>
                </c:pt>
                <c:pt idx="111">
                  <c:v>41730</c:v>
                </c:pt>
                <c:pt idx="112">
                  <c:v>41760</c:v>
                </c:pt>
                <c:pt idx="113">
                  <c:v>41791</c:v>
                </c:pt>
                <c:pt idx="114">
                  <c:v>41821</c:v>
                </c:pt>
                <c:pt idx="115">
                  <c:v>41852</c:v>
                </c:pt>
                <c:pt idx="116">
                  <c:v>41883</c:v>
                </c:pt>
                <c:pt idx="117">
                  <c:v>41913</c:v>
                </c:pt>
                <c:pt idx="118">
                  <c:v>41944</c:v>
                </c:pt>
              </c:numCache>
            </c:numRef>
          </c:cat>
          <c:val>
            <c:numRef>
              <c:f>'Moody''s Seasoned'!$B$2:$B$120</c:f>
              <c:numCache>
                <c:formatCode>General</c:formatCode>
                <c:ptCount val="119"/>
                <c:pt idx="0">
                  <c:v>5.3599999999999977</c:v>
                </c:pt>
                <c:pt idx="1">
                  <c:v>5.2</c:v>
                </c:pt>
                <c:pt idx="2">
                  <c:v>5.4</c:v>
                </c:pt>
                <c:pt idx="3">
                  <c:v>5.33</c:v>
                </c:pt>
                <c:pt idx="4">
                  <c:v>5.1499999999999986</c:v>
                </c:pt>
                <c:pt idx="5">
                  <c:v>4.96</c:v>
                </c:pt>
                <c:pt idx="6">
                  <c:v>5.0599999999999996</c:v>
                </c:pt>
                <c:pt idx="7">
                  <c:v>5.09</c:v>
                </c:pt>
                <c:pt idx="8">
                  <c:v>5.13</c:v>
                </c:pt>
                <c:pt idx="9">
                  <c:v>5.35</c:v>
                </c:pt>
                <c:pt idx="10">
                  <c:v>5.42</c:v>
                </c:pt>
                <c:pt idx="11">
                  <c:v>5.37</c:v>
                </c:pt>
                <c:pt idx="12">
                  <c:v>5.29</c:v>
                </c:pt>
                <c:pt idx="13">
                  <c:v>5.35</c:v>
                </c:pt>
                <c:pt idx="14">
                  <c:v>5.53</c:v>
                </c:pt>
                <c:pt idx="15">
                  <c:v>5.84</c:v>
                </c:pt>
                <c:pt idx="16">
                  <c:v>5.95</c:v>
                </c:pt>
                <c:pt idx="17">
                  <c:v>5.89</c:v>
                </c:pt>
                <c:pt idx="18">
                  <c:v>5.85</c:v>
                </c:pt>
                <c:pt idx="19">
                  <c:v>5.68</c:v>
                </c:pt>
                <c:pt idx="20">
                  <c:v>5.51</c:v>
                </c:pt>
                <c:pt idx="21">
                  <c:v>5.51</c:v>
                </c:pt>
                <c:pt idx="22">
                  <c:v>5.33</c:v>
                </c:pt>
                <c:pt idx="23">
                  <c:v>5.3199999999999976</c:v>
                </c:pt>
                <c:pt idx="24">
                  <c:v>5.4</c:v>
                </c:pt>
                <c:pt idx="25">
                  <c:v>5.39</c:v>
                </c:pt>
                <c:pt idx="26">
                  <c:v>5.3</c:v>
                </c:pt>
                <c:pt idx="27">
                  <c:v>5.47</c:v>
                </c:pt>
                <c:pt idx="28">
                  <c:v>5.47</c:v>
                </c:pt>
                <c:pt idx="29">
                  <c:v>5.79</c:v>
                </c:pt>
                <c:pt idx="30">
                  <c:v>5.73</c:v>
                </c:pt>
                <c:pt idx="31">
                  <c:v>5.79</c:v>
                </c:pt>
                <c:pt idx="32">
                  <c:v>5.74</c:v>
                </c:pt>
                <c:pt idx="33">
                  <c:v>5.6599999999999957</c:v>
                </c:pt>
                <c:pt idx="34">
                  <c:v>5.44</c:v>
                </c:pt>
                <c:pt idx="35">
                  <c:v>5.49</c:v>
                </c:pt>
                <c:pt idx="36">
                  <c:v>5.33</c:v>
                </c:pt>
                <c:pt idx="37">
                  <c:v>5.53</c:v>
                </c:pt>
                <c:pt idx="38">
                  <c:v>5.51</c:v>
                </c:pt>
                <c:pt idx="39">
                  <c:v>5.55</c:v>
                </c:pt>
                <c:pt idx="40">
                  <c:v>5.57</c:v>
                </c:pt>
                <c:pt idx="41">
                  <c:v>5.68</c:v>
                </c:pt>
                <c:pt idx="42">
                  <c:v>5.67</c:v>
                </c:pt>
                <c:pt idx="43">
                  <c:v>5.64</c:v>
                </c:pt>
                <c:pt idx="44">
                  <c:v>5.6499999999999977</c:v>
                </c:pt>
                <c:pt idx="45">
                  <c:v>6.28</c:v>
                </c:pt>
                <c:pt idx="46">
                  <c:v>6.1199999999999974</c:v>
                </c:pt>
                <c:pt idx="47">
                  <c:v>5.05</c:v>
                </c:pt>
                <c:pt idx="48">
                  <c:v>5.05</c:v>
                </c:pt>
                <c:pt idx="49">
                  <c:v>5.27</c:v>
                </c:pt>
                <c:pt idx="50">
                  <c:v>5.5</c:v>
                </c:pt>
                <c:pt idx="51">
                  <c:v>5.39</c:v>
                </c:pt>
                <c:pt idx="52">
                  <c:v>5.54</c:v>
                </c:pt>
                <c:pt idx="53">
                  <c:v>5.6099999999999977</c:v>
                </c:pt>
                <c:pt idx="54">
                  <c:v>5.41</c:v>
                </c:pt>
                <c:pt idx="55">
                  <c:v>5.26</c:v>
                </c:pt>
                <c:pt idx="56">
                  <c:v>5.13</c:v>
                </c:pt>
                <c:pt idx="57">
                  <c:v>5.1499999999999986</c:v>
                </c:pt>
                <c:pt idx="58">
                  <c:v>5.1899999999999986</c:v>
                </c:pt>
                <c:pt idx="59">
                  <c:v>5.26</c:v>
                </c:pt>
                <c:pt idx="60">
                  <c:v>5.26</c:v>
                </c:pt>
                <c:pt idx="61">
                  <c:v>5.35</c:v>
                </c:pt>
                <c:pt idx="62">
                  <c:v>5.27</c:v>
                </c:pt>
                <c:pt idx="63">
                  <c:v>5.29</c:v>
                </c:pt>
                <c:pt idx="64">
                  <c:v>4.96</c:v>
                </c:pt>
                <c:pt idx="65">
                  <c:v>4.88</c:v>
                </c:pt>
                <c:pt idx="66">
                  <c:v>4.72</c:v>
                </c:pt>
                <c:pt idx="67">
                  <c:v>4.49</c:v>
                </c:pt>
                <c:pt idx="68">
                  <c:v>4.53</c:v>
                </c:pt>
                <c:pt idx="69">
                  <c:v>4.68</c:v>
                </c:pt>
                <c:pt idx="70">
                  <c:v>4.87</c:v>
                </c:pt>
                <c:pt idx="71">
                  <c:v>5.0199999999999996</c:v>
                </c:pt>
                <c:pt idx="72">
                  <c:v>5.04</c:v>
                </c:pt>
                <c:pt idx="73">
                  <c:v>5.22</c:v>
                </c:pt>
                <c:pt idx="74">
                  <c:v>5.13</c:v>
                </c:pt>
                <c:pt idx="75">
                  <c:v>5.1599999999999966</c:v>
                </c:pt>
                <c:pt idx="76">
                  <c:v>4.96</c:v>
                </c:pt>
                <c:pt idx="77">
                  <c:v>4.99</c:v>
                </c:pt>
                <c:pt idx="78">
                  <c:v>4.93</c:v>
                </c:pt>
                <c:pt idx="79">
                  <c:v>4.37</c:v>
                </c:pt>
                <c:pt idx="80">
                  <c:v>4.09</c:v>
                </c:pt>
                <c:pt idx="81">
                  <c:v>3.98</c:v>
                </c:pt>
                <c:pt idx="82">
                  <c:v>3.87</c:v>
                </c:pt>
                <c:pt idx="83">
                  <c:v>3.93</c:v>
                </c:pt>
                <c:pt idx="84">
                  <c:v>3.85</c:v>
                </c:pt>
                <c:pt idx="85">
                  <c:v>3.85</c:v>
                </c:pt>
                <c:pt idx="86">
                  <c:v>3.99</c:v>
                </c:pt>
                <c:pt idx="87">
                  <c:v>3.96</c:v>
                </c:pt>
                <c:pt idx="88">
                  <c:v>3.8</c:v>
                </c:pt>
                <c:pt idx="89">
                  <c:v>3.64</c:v>
                </c:pt>
                <c:pt idx="90">
                  <c:v>3.4</c:v>
                </c:pt>
                <c:pt idx="91">
                  <c:v>3.48</c:v>
                </c:pt>
                <c:pt idx="92">
                  <c:v>3.49</c:v>
                </c:pt>
                <c:pt idx="93">
                  <c:v>3.47</c:v>
                </c:pt>
                <c:pt idx="94">
                  <c:v>3.5</c:v>
                </c:pt>
                <c:pt idx="95">
                  <c:v>3.65</c:v>
                </c:pt>
                <c:pt idx="96">
                  <c:v>3.8</c:v>
                </c:pt>
                <c:pt idx="97">
                  <c:v>3.9</c:v>
                </c:pt>
                <c:pt idx="98">
                  <c:v>3.93</c:v>
                </c:pt>
                <c:pt idx="99">
                  <c:v>3.73</c:v>
                </c:pt>
                <c:pt idx="100">
                  <c:v>3.89</c:v>
                </c:pt>
                <c:pt idx="101">
                  <c:v>4.2699999999999996</c:v>
                </c:pt>
                <c:pt idx="102">
                  <c:v>4.34</c:v>
                </c:pt>
                <c:pt idx="103">
                  <c:v>4.54</c:v>
                </c:pt>
                <c:pt idx="104">
                  <c:v>4.6399999999999997</c:v>
                </c:pt>
                <c:pt idx="105">
                  <c:v>4.53</c:v>
                </c:pt>
                <c:pt idx="106">
                  <c:v>4.63</c:v>
                </c:pt>
                <c:pt idx="107">
                  <c:v>4.6199999999999957</c:v>
                </c:pt>
                <c:pt idx="108">
                  <c:v>4.49</c:v>
                </c:pt>
                <c:pt idx="109">
                  <c:v>4.45</c:v>
                </c:pt>
                <c:pt idx="110">
                  <c:v>4.38</c:v>
                </c:pt>
                <c:pt idx="111">
                  <c:v>4.24</c:v>
                </c:pt>
                <c:pt idx="112">
                  <c:v>4.1599999999999966</c:v>
                </c:pt>
                <c:pt idx="113">
                  <c:v>4.25</c:v>
                </c:pt>
                <c:pt idx="114">
                  <c:v>4.1599999999999966</c:v>
                </c:pt>
                <c:pt idx="115">
                  <c:v>4.08</c:v>
                </c:pt>
                <c:pt idx="116">
                  <c:v>4.1099999999999994</c:v>
                </c:pt>
                <c:pt idx="117">
                  <c:v>3.92</c:v>
                </c:pt>
                <c:pt idx="118">
                  <c:v>3.92</c:v>
                </c:pt>
              </c:numCache>
            </c:numRef>
          </c:val>
          <c:smooth val="0"/>
          <c:extLst>
            <c:ext xmlns:c16="http://schemas.microsoft.com/office/drawing/2014/chart" uri="{C3380CC4-5D6E-409C-BE32-E72D297353CC}">
              <c16:uniqueId val="{00000000-883A-4819-910D-FFBBA7CAE2DD}"/>
            </c:ext>
          </c:extLst>
        </c:ser>
        <c:ser>
          <c:idx val="1"/>
          <c:order val="1"/>
          <c:tx>
            <c:v>Moody's Baa</c:v>
          </c:tx>
          <c:spPr>
            <a:ln w="28575" cap="rnd" cmpd="sng" algn="ctr">
              <a:solidFill>
                <a:schemeClr val="dk1">
                  <a:tint val="55000"/>
                  <a:shade val="95000"/>
                  <a:satMod val="105000"/>
                </a:schemeClr>
              </a:solidFill>
              <a:prstDash val="sysDot"/>
              <a:round/>
            </a:ln>
            <a:effectLst/>
          </c:spPr>
          <c:marker>
            <c:symbol val="none"/>
          </c:marker>
          <c:cat>
            <c:numRef>
              <c:f>'Moody''s Seasoned'!$A$2:$A$120</c:f>
              <c:numCache>
                <c:formatCode>mmm\-yy</c:formatCode>
                <c:ptCount val="119"/>
                <c:pt idx="0">
                  <c:v>38353</c:v>
                </c:pt>
                <c:pt idx="1">
                  <c:v>38384</c:v>
                </c:pt>
                <c:pt idx="2">
                  <c:v>38412</c:v>
                </c:pt>
                <c:pt idx="3">
                  <c:v>38443</c:v>
                </c:pt>
                <c:pt idx="4">
                  <c:v>38473</c:v>
                </c:pt>
                <c:pt idx="5">
                  <c:v>38504</c:v>
                </c:pt>
                <c:pt idx="6">
                  <c:v>38534</c:v>
                </c:pt>
                <c:pt idx="7">
                  <c:v>38565</c:v>
                </c:pt>
                <c:pt idx="8">
                  <c:v>38596</c:v>
                </c:pt>
                <c:pt idx="9">
                  <c:v>38626</c:v>
                </c:pt>
                <c:pt idx="10">
                  <c:v>38657</c:v>
                </c:pt>
                <c:pt idx="11">
                  <c:v>38687</c:v>
                </c:pt>
                <c:pt idx="12">
                  <c:v>38718</c:v>
                </c:pt>
                <c:pt idx="13">
                  <c:v>38749</c:v>
                </c:pt>
                <c:pt idx="14">
                  <c:v>38777</c:v>
                </c:pt>
                <c:pt idx="15">
                  <c:v>38808</c:v>
                </c:pt>
                <c:pt idx="16">
                  <c:v>38838</c:v>
                </c:pt>
                <c:pt idx="17">
                  <c:v>38869</c:v>
                </c:pt>
                <c:pt idx="18">
                  <c:v>38899</c:v>
                </c:pt>
                <c:pt idx="19">
                  <c:v>38930</c:v>
                </c:pt>
                <c:pt idx="20">
                  <c:v>38961</c:v>
                </c:pt>
                <c:pt idx="21">
                  <c:v>38991</c:v>
                </c:pt>
                <c:pt idx="22">
                  <c:v>39022</c:v>
                </c:pt>
                <c:pt idx="23">
                  <c:v>39052</c:v>
                </c:pt>
                <c:pt idx="24">
                  <c:v>39083</c:v>
                </c:pt>
                <c:pt idx="25">
                  <c:v>39114</c:v>
                </c:pt>
                <c:pt idx="26">
                  <c:v>39142</c:v>
                </c:pt>
                <c:pt idx="27">
                  <c:v>39173</c:v>
                </c:pt>
                <c:pt idx="28">
                  <c:v>39203</c:v>
                </c:pt>
                <c:pt idx="29">
                  <c:v>39234</c:v>
                </c:pt>
                <c:pt idx="30">
                  <c:v>39264</c:v>
                </c:pt>
                <c:pt idx="31">
                  <c:v>39295</c:v>
                </c:pt>
                <c:pt idx="32">
                  <c:v>39326</c:v>
                </c:pt>
                <c:pt idx="33">
                  <c:v>39356</c:v>
                </c:pt>
                <c:pt idx="34">
                  <c:v>39387</c:v>
                </c:pt>
                <c:pt idx="35">
                  <c:v>39417</c:v>
                </c:pt>
                <c:pt idx="36">
                  <c:v>39448</c:v>
                </c:pt>
                <c:pt idx="37">
                  <c:v>39479</c:v>
                </c:pt>
                <c:pt idx="38">
                  <c:v>39508</c:v>
                </c:pt>
                <c:pt idx="39">
                  <c:v>39539</c:v>
                </c:pt>
                <c:pt idx="40">
                  <c:v>39569</c:v>
                </c:pt>
                <c:pt idx="41">
                  <c:v>39600</c:v>
                </c:pt>
                <c:pt idx="42">
                  <c:v>39630</c:v>
                </c:pt>
                <c:pt idx="43">
                  <c:v>39661</c:v>
                </c:pt>
                <c:pt idx="44">
                  <c:v>39692</c:v>
                </c:pt>
                <c:pt idx="45">
                  <c:v>39722</c:v>
                </c:pt>
                <c:pt idx="46">
                  <c:v>39753</c:v>
                </c:pt>
                <c:pt idx="47">
                  <c:v>39783</c:v>
                </c:pt>
                <c:pt idx="48">
                  <c:v>39814</c:v>
                </c:pt>
                <c:pt idx="49">
                  <c:v>39845</c:v>
                </c:pt>
                <c:pt idx="50">
                  <c:v>39873</c:v>
                </c:pt>
                <c:pt idx="51">
                  <c:v>39904</c:v>
                </c:pt>
                <c:pt idx="52">
                  <c:v>39934</c:v>
                </c:pt>
                <c:pt idx="53">
                  <c:v>39965</c:v>
                </c:pt>
                <c:pt idx="54">
                  <c:v>39995</c:v>
                </c:pt>
                <c:pt idx="55">
                  <c:v>40026</c:v>
                </c:pt>
                <c:pt idx="56">
                  <c:v>40057</c:v>
                </c:pt>
                <c:pt idx="57">
                  <c:v>40087</c:v>
                </c:pt>
                <c:pt idx="58">
                  <c:v>40118</c:v>
                </c:pt>
                <c:pt idx="59">
                  <c:v>40148</c:v>
                </c:pt>
                <c:pt idx="60">
                  <c:v>40179</c:v>
                </c:pt>
                <c:pt idx="61">
                  <c:v>40210</c:v>
                </c:pt>
                <c:pt idx="62">
                  <c:v>40238</c:v>
                </c:pt>
                <c:pt idx="63">
                  <c:v>40269</c:v>
                </c:pt>
                <c:pt idx="64">
                  <c:v>40299</c:v>
                </c:pt>
                <c:pt idx="65">
                  <c:v>40330</c:v>
                </c:pt>
                <c:pt idx="66">
                  <c:v>40360</c:v>
                </c:pt>
                <c:pt idx="67">
                  <c:v>40391</c:v>
                </c:pt>
                <c:pt idx="68">
                  <c:v>40422</c:v>
                </c:pt>
                <c:pt idx="69">
                  <c:v>40452</c:v>
                </c:pt>
                <c:pt idx="70">
                  <c:v>40483</c:v>
                </c:pt>
                <c:pt idx="71">
                  <c:v>40513</c:v>
                </c:pt>
                <c:pt idx="72">
                  <c:v>40544</c:v>
                </c:pt>
                <c:pt idx="73">
                  <c:v>40575</c:v>
                </c:pt>
                <c:pt idx="74">
                  <c:v>40603</c:v>
                </c:pt>
                <c:pt idx="75">
                  <c:v>40634</c:v>
                </c:pt>
                <c:pt idx="76">
                  <c:v>40664</c:v>
                </c:pt>
                <c:pt idx="77">
                  <c:v>40695</c:v>
                </c:pt>
                <c:pt idx="78">
                  <c:v>40725</c:v>
                </c:pt>
                <c:pt idx="79">
                  <c:v>40756</c:v>
                </c:pt>
                <c:pt idx="80">
                  <c:v>40787</c:v>
                </c:pt>
                <c:pt idx="81">
                  <c:v>40817</c:v>
                </c:pt>
                <c:pt idx="82">
                  <c:v>40848</c:v>
                </c:pt>
                <c:pt idx="83">
                  <c:v>40878</c:v>
                </c:pt>
                <c:pt idx="84">
                  <c:v>40909</c:v>
                </c:pt>
                <c:pt idx="85">
                  <c:v>40940</c:v>
                </c:pt>
                <c:pt idx="86">
                  <c:v>40969</c:v>
                </c:pt>
                <c:pt idx="87">
                  <c:v>41000</c:v>
                </c:pt>
                <c:pt idx="88">
                  <c:v>41030</c:v>
                </c:pt>
                <c:pt idx="89">
                  <c:v>41061</c:v>
                </c:pt>
                <c:pt idx="90">
                  <c:v>41091</c:v>
                </c:pt>
                <c:pt idx="91">
                  <c:v>41122</c:v>
                </c:pt>
                <c:pt idx="92">
                  <c:v>41153</c:v>
                </c:pt>
                <c:pt idx="93">
                  <c:v>41183</c:v>
                </c:pt>
                <c:pt idx="94">
                  <c:v>41214</c:v>
                </c:pt>
                <c:pt idx="95">
                  <c:v>41244</c:v>
                </c:pt>
                <c:pt idx="96">
                  <c:v>41275</c:v>
                </c:pt>
                <c:pt idx="97">
                  <c:v>41306</c:v>
                </c:pt>
                <c:pt idx="98">
                  <c:v>41334</c:v>
                </c:pt>
                <c:pt idx="99">
                  <c:v>41365</c:v>
                </c:pt>
                <c:pt idx="100">
                  <c:v>41395</c:v>
                </c:pt>
                <c:pt idx="101">
                  <c:v>41426</c:v>
                </c:pt>
                <c:pt idx="102">
                  <c:v>41456</c:v>
                </c:pt>
                <c:pt idx="103">
                  <c:v>41487</c:v>
                </c:pt>
                <c:pt idx="104">
                  <c:v>41518</c:v>
                </c:pt>
                <c:pt idx="105">
                  <c:v>41548</c:v>
                </c:pt>
                <c:pt idx="106">
                  <c:v>41579</c:v>
                </c:pt>
                <c:pt idx="107">
                  <c:v>41609</c:v>
                </c:pt>
                <c:pt idx="108">
                  <c:v>41640</c:v>
                </c:pt>
                <c:pt idx="109">
                  <c:v>41671</c:v>
                </c:pt>
                <c:pt idx="110">
                  <c:v>41699</c:v>
                </c:pt>
                <c:pt idx="111">
                  <c:v>41730</c:v>
                </c:pt>
                <c:pt idx="112">
                  <c:v>41760</c:v>
                </c:pt>
                <c:pt idx="113">
                  <c:v>41791</c:v>
                </c:pt>
                <c:pt idx="114">
                  <c:v>41821</c:v>
                </c:pt>
                <c:pt idx="115">
                  <c:v>41852</c:v>
                </c:pt>
                <c:pt idx="116">
                  <c:v>41883</c:v>
                </c:pt>
                <c:pt idx="117">
                  <c:v>41913</c:v>
                </c:pt>
                <c:pt idx="118">
                  <c:v>41944</c:v>
                </c:pt>
              </c:numCache>
            </c:numRef>
          </c:cat>
          <c:val>
            <c:numRef>
              <c:f>'Moody''s Seasoned'!$C$2:$C$120</c:f>
              <c:numCache>
                <c:formatCode>General</c:formatCode>
                <c:ptCount val="119"/>
                <c:pt idx="0">
                  <c:v>6.02</c:v>
                </c:pt>
                <c:pt idx="1">
                  <c:v>5.8199999999999976</c:v>
                </c:pt>
                <c:pt idx="2">
                  <c:v>6.06</c:v>
                </c:pt>
                <c:pt idx="3">
                  <c:v>6.05</c:v>
                </c:pt>
                <c:pt idx="4">
                  <c:v>6.01</c:v>
                </c:pt>
                <c:pt idx="5">
                  <c:v>5.8599999999999977</c:v>
                </c:pt>
                <c:pt idx="6">
                  <c:v>5.95</c:v>
                </c:pt>
                <c:pt idx="7">
                  <c:v>5.96</c:v>
                </c:pt>
                <c:pt idx="8">
                  <c:v>6.03</c:v>
                </c:pt>
                <c:pt idx="9">
                  <c:v>6.3</c:v>
                </c:pt>
                <c:pt idx="10">
                  <c:v>6.39</c:v>
                </c:pt>
                <c:pt idx="11">
                  <c:v>6.3199999999999976</c:v>
                </c:pt>
                <c:pt idx="12">
                  <c:v>6.24</c:v>
                </c:pt>
                <c:pt idx="13">
                  <c:v>6.27</c:v>
                </c:pt>
                <c:pt idx="14">
                  <c:v>6.41</c:v>
                </c:pt>
                <c:pt idx="15">
                  <c:v>6.68</c:v>
                </c:pt>
                <c:pt idx="16">
                  <c:v>6.75</c:v>
                </c:pt>
                <c:pt idx="17">
                  <c:v>6.78</c:v>
                </c:pt>
                <c:pt idx="18">
                  <c:v>6.76</c:v>
                </c:pt>
                <c:pt idx="19">
                  <c:v>6.59</c:v>
                </c:pt>
                <c:pt idx="20">
                  <c:v>6.43</c:v>
                </c:pt>
                <c:pt idx="21">
                  <c:v>6.42</c:v>
                </c:pt>
                <c:pt idx="22">
                  <c:v>6.2</c:v>
                </c:pt>
                <c:pt idx="23">
                  <c:v>6.22</c:v>
                </c:pt>
                <c:pt idx="24">
                  <c:v>6.34</c:v>
                </c:pt>
                <c:pt idx="25">
                  <c:v>6.28</c:v>
                </c:pt>
                <c:pt idx="26">
                  <c:v>6.27</c:v>
                </c:pt>
                <c:pt idx="27">
                  <c:v>6.39</c:v>
                </c:pt>
                <c:pt idx="28">
                  <c:v>6.39</c:v>
                </c:pt>
                <c:pt idx="29">
                  <c:v>6.7</c:v>
                </c:pt>
                <c:pt idx="30">
                  <c:v>6.6499999999999977</c:v>
                </c:pt>
                <c:pt idx="31">
                  <c:v>6.6499999999999977</c:v>
                </c:pt>
                <c:pt idx="32">
                  <c:v>6.59</c:v>
                </c:pt>
                <c:pt idx="33">
                  <c:v>6.48</c:v>
                </c:pt>
                <c:pt idx="34">
                  <c:v>6.4</c:v>
                </c:pt>
                <c:pt idx="35">
                  <c:v>6.6499999999999977</c:v>
                </c:pt>
                <c:pt idx="36">
                  <c:v>6.54</c:v>
                </c:pt>
                <c:pt idx="37">
                  <c:v>6.8199999999999976</c:v>
                </c:pt>
                <c:pt idx="38">
                  <c:v>6.89</c:v>
                </c:pt>
                <c:pt idx="39">
                  <c:v>6.97</c:v>
                </c:pt>
                <c:pt idx="40">
                  <c:v>6.93</c:v>
                </c:pt>
                <c:pt idx="41">
                  <c:v>7.07</c:v>
                </c:pt>
                <c:pt idx="42">
                  <c:v>7.1599999999999966</c:v>
                </c:pt>
                <c:pt idx="43">
                  <c:v>7.1499999999999986</c:v>
                </c:pt>
                <c:pt idx="44">
                  <c:v>7.31</c:v>
                </c:pt>
                <c:pt idx="45">
                  <c:v>8.8800000000000008</c:v>
                </c:pt>
                <c:pt idx="46">
                  <c:v>9.2100000000000009</c:v>
                </c:pt>
                <c:pt idx="47">
                  <c:v>8.43</c:v>
                </c:pt>
                <c:pt idx="48">
                  <c:v>8.14</c:v>
                </c:pt>
                <c:pt idx="49">
                  <c:v>8.08</c:v>
                </c:pt>
                <c:pt idx="50">
                  <c:v>8.42</c:v>
                </c:pt>
                <c:pt idx="51">
                  <c:v>8.39</c:v>
                </c:pt>
                <c:pt idx="52">
                  <c:v>8.06</c:v>
                </c:pt>
                <c:pt idx="53">
                  <c:v>7.5</c:v>
                </c:pt>
                <c:pt idx="54">
                  <c:v>7.09</c:v>
                </c:pt>
                <c:pt idx="55">
                  <c:v>6.58</c:v>
                </c:pt>
                <c:pt idx="56">
                  <c:v>6.31</c:v>
                </c:pt>
                <c:pt idx="57">
                  <c:v>6.29</c:v>
                </c:pt>
                <c:pt idx="58">
                  <c:v>6.3199999999999976</c:v>
                </c:pt>
                <c:pt idx="59">
                  <c:v>6.37</c:v>
                </c:pt>
                <c:pt idx="60">
                  <c:v>6.25</c:v>
                </c:pt>
                <c:pt idx="61">
                  <c:v>6.34</c:v>
                </c:pt>
                <c:pt idx="62">
                  <c:v>6.27</c:v>
                </c:pt>
                <c:pt idx="63">
                  <c:v>6.25</c:v>
                </c:pt>
                <c:pt idx="64">
                  <c:v>6.05</c:v>
                </c:pt>
                <c:pt idx="65">
                  <c:v>6.23</c:v>
                </c:pt>
                <c:pt idx="66">
                  <c:v>6.01</c:v>
                </c:pt>
                <c:pt idx="67">
                  <c:v>5.6599999999999957</c:v>
                </c:pt>
                <c:pt idx="68">
                  <c:v>5.6599999999999957</c:v>
                </c:pt>
                <c:pt idx="69">
                  <c:v>5.72</c:v>
                </c:pt>
                <c:pt idx="70">
                  <c:v>5.92</c:v>
                </c:pt>
                <c:pt idx="71">
                  <c:v>6.1</c:v>
                </c:pt>
                <c:pt idx="72">
                  <c:v>6.09</c:v>
                </c:pt>
                <c:pt idx="73">
                  <c:v>6.1499999999999986</c:v>
                </c:pt>
                <c:pt idx="74">
                  <c:v>6.03</c:v>
                </c:pt>
                <c:pt idx="75">
                  <c:v>6.02</c:v>
                </c:pt>
                <c:pt idx="76">
                  <c:v>5.78</c:v>
                </c:pt>
                <c:pt idx="77">
                  <c:v>5.75</c:v>
                </c:pt>
                <c:pt idx="78">
                  <c:v>5.76</c:v>
                </c:pt>
                <c:pt idx="79">
                  <c:v>5.3599999999999977</c:v>
                </c:pt>
                <c:pt idx="80">
                  <c:v>5.27</c:v>
                </c:pt>
                <c:pt idx="81">
                  <c:v>5.37</c:v>
                </c:pt>
                <c:pt idx="82">
                  <c:v>5.14</c:v>
                </c:pt>
                <c:pt idx="83">
                  <c:v>5.25</c:v>
                </c:pt>
                <c:pt idx="84">
                  <c:v>5.23</c:v>
                </c:pt>
                <c:pt idx="85">
                  <c:v>5.14</c:v>
                </c:pt>
                <c:pt idx="86">
                  <c:v>5.23</c:v>
                </c:pt>
                <c:pt idx="87">
                  <c:v>5.1899999999999986</c:v>
                </c:pt>
                <c:pt idx="88">
                  <c:v>5.07</c:v>
                </c:pt>
                <c:pt idx="89">
                  <c:v>5.0199999999999996</c:v>
                </c:pt>
                <c:pt idx="90">
                  <c:v>4.87</c:v>
                </c:pt>
                <c:pt idx="91">
                  <c:v>4.91</c:v>
                </c:pt>
                <c:pt idx="92">
                  <c:v>4.84</c:v>
                </c:pt>
                <c:pt idx="93">
                  <c:v>4.58</c:v>
                </c:pt>
                <c:pt idx="94">
                  <c:v>4.51</c:v>
                </c:pt>
                <c:pt idx="95">
                  <c:v>4.63</c:v>
                </c:pt>
                <c:pt idx="96">
                  <c:v>4.7300000000000004</c:v>
                </c:pt>
                <c:pt idx="97">
                  <c:v>4.8499999999999996</c:v>
                </c:pt>
                <c:pt idx="98">
                  <c:v>4.8499999999999996</c:v>
                </c:pt>
                <c:pt idx="99">
                  <c:v>4.59</c:v>
                </c:pt>
                <c:pt idx="100">
                  <c:v>4.7300000000000004</c:v>
                </c:pt>
                <c:pt idx="101">
                  <c:v>5.1899999999999986</c:v>
                </c:pt>
                <c:pt idx="102">
                  <c:v>5.3199999999999976</c:v>
                </c:pt>
                <c:pt idx="103">
                  <c:v>5.42</c:v>
                </c:pt>
                <c:pt idx="104">
                  <c:v>5.47</c:v>
                </c:pt>
                <c:pt idx="105">
                  <c:v>5.31</c:v>
                </c:pt>
                <c:pt idx="106">
                  <c:v>5.38</c:v>
                </c:pt>
                <c:pt idx="107">
                  <c:v>5.38</c:v>
                </c:pt>
                <c:pt idx="108">
                  <c:v>5.1899999999999986</c:v>
                </c:pt>
                <c:pt idx="109">
                  <c:v>5.0999999999999996</c:v>
                </c:pt>
                <c:pt idx="110">
                  <c:v>5.0599999999999996</c:v>
                </c:pt>
                <c:pt idx="111">
                  <c:v>4.9000000000000004</c:v>
                </c:pt>
                <c:pt idx="112">
                  <c:v>4.76</c:v>
                </c:pt>
                <c:pt idx="113">
                  <c:v>4.8</c:v>
                </c:pt>
                <c:pt idx="114">
                  <c:v>4.7300000000000004</c:v>
                </c:pt>
                <c:pt idx="115">
                  <c:v>4.6899999999999986</c:v>
                </c:pt>
                <c:pt idx="116">
                  <c:v>4.8</c:v>
                </c:pt>
                <c:pt idx="117">
                  <c:v>4.6899999999999986</c:v>
                </c:pt>
                <c:pt idx="118">
                  <c:v>4.79</c:v>
                </c:pt>
              </c:numCache>
            </c:numRef>
          </c:val>
          <c:smooth val="0"/>
          <c:extLst>
            <c:ext xmlns:c16="http://schemas.microsoft.com/office/drawing/2014/chart" uri="{C3380CC4-5D6E-409C-BE32-E72D297353CC}">
              <c16:uniqueId val="{00000001-883A-4819-910D-FFBBA7CAE2DD}"/>
            </c:ext>
          </c:extLst>
        </c:ser>
        <c:ser>
          <c:idx val="2"/>
          <c:order val="2"/>
          <c:tx>
            <c:v>10-year Treasury Note</c:v>
          </c:tx>
          <c:spPr>
            <a:ln w="28575" cap="rnd" cmpd="sng" algn="ctr">
              <a:solidFill>
                <a:schemeClr val="dk1">
                  <a:tint val="75000"/>
                  <a:shade val="95000"/>
                  <a:satMod val="105000"/>
                </a:schemeClr>
              </a:solidFill>
              <a:prstDash val="dash"/>
              <a:round/>
            </a:ln>
            <a:effectLst/>
          </c:spPr>
          <c:marker>
            <c:symbol val="none"/>
          </c:marker>
          <c:cat>
            <c:numRef>
              <c:f>'Moody''s Seasoned'!$A$2:$A$120</c:f>
              <c:numCache>
                <c:formatCode>mmm\-yy</c:formatCode>
                <c:ptCount val="119"/>
                <c:pt idx="0">
                  <c:v>38353</c:v>
                </c:pt>
                <c:pt idx="1">
                  <c:v>38384</c:v>
                </c:pt>
                <c:pt idx="2">
                  <c:v>38412</c:v>
                </c:pt>
                <c:pt idx="3">
                  <c:v>38443</c:v>
                </c:pt>
                <c:pt idx="4">
                  <c:v>38473</c:v>
                </c:pt>
                <c:pt idx="5">
                  <c:v>38504</c:v>
                </c:pt>
                <c:pt idx="6">
                  <c:v>38534</c:v>
                </c:pt>
                <c:pt idx="7">
                  <c:v>38565</c:v>
                </c:pt>
                <c:pt idx="8">
                  <c:v>38596</c:v>
                </c:pt>
                <c:pt idx="9">
                  <c:v>38626</c:v>
                </c:pt>
                <c:pt idx="10">
                  <c:v>38657</c:v>
                </c:pt>
                <c:pt idx="11">
                  <c:v>38687</c:v>
                </c:pt>
                <c:pt idx="12">
                  <c:v>38718</c:v>
                </c:pt>
                <c:pt idx="13">
                  <c:v>38749</c:v>
                </c:pt>
                <c:pt idx="14">
                  <c:v>38777</c:v>
                </c:pt>
                <c:pt idx="15">
                  <c:v>38808</c:v>
                </c:pt>
                <c:pt idx="16">
                  <c:v>38838</c:v>
                </c:pt>
                <c:pt idx="17">
                  <c:v>38869</c:v>
                </c:pt>
                <c:pt idx="18">
                  <c:v>38899</c:v>
                </c:pt>
                <c:pt idx="19">
                  <c:v>38930</c:v>
                </c:pt>
                <c:pt idx="20">
                  <c:v>38961</c:v>
                </c:pt>
                <c:pt idx="21">
                  <c:v>38991</c:v>
                </c:pt>
                <c:pt idx="22">
                  <c:v>39022</c:v>
                </c:pt>
                <c:pt idx="23">
                  <c:v>39052</c:v>
                </c:pt>
                <c:pt idx="24">
                  <c:v>39083</c:v>
                </c:pt>
                <c:pt idx="25">
                  <c:v>39114</c:v>
                </c:pt>
                <c:pt idx="26">
                  <c:v>39142</c:v>
                </c:pt>
                <c:pt idx="27">
                  <c:v>39173</c:v>
                </c:pt>
                <c:pt idx="28">
                  <c:v>39203</c:v>
                </c:pt>
                <c:pt idx="29">
                  <c:v>39234</c:v>
                </c:pt>
                <c:pt idx="30">
                  <c:v>39264</c:v>
                </c:pt>
                <c:pt idx="31">
                  <c:v>39295</c:v>
                </c:pt>
                <c:pt idx="32">
                  <c:v>39326</c:v>
                </c:pt>
                <c:pt idx="33">
                  <c:v>39356</c:v>
                </c:pt>
                <c:pt idx="34">
                  <c:v>39387</c:v>
                </c:pt>
                <c:pt idx="35">
                  <c:v>39417</c:v>
                </c:pt>
                <c:pt idx="36">
                  <c:v>39448</c:v>
                </c:pt>
                <c:pt idx="37">
                  <c:v>39479</c:v>
                </c:pt>
                <c:pt idx="38">
                  <c:v>39508</c:v>
                </c:pt>
                <c:pt idx="39">
                  <c:v>39539</c:v>
                </c:pt>
                <c:pt idx="40">
                  <c:v>39569</c:v>
                </c:pt>
                <c:pt idx="41">
                  <c:v>39600</c:v>
                </c:pt>
                <c:pt idx="42">
                  <c:v>39630</c:v>
                </c:pt>
                <c:pt idx="43">
                  <c:v>39661</c:v>
                </c:pt>
                <c:pt idx="44">
                  <c:v>39692</c:v>
                </c:pt>
                <c:pt idx="45">
                  <c:v>39722</c:v>
                </c:pt>
                <c:pt idx="46">
                  <c:v>39753</c:v>
                </c:pt>
                <c:pt idx="47">
                  <c:v>39783</c:v>
                </c:pt>
                <c:pt idx="48">
                  <c:v>39814</c:v>
                </c:pt>
                <c:pt idx="49">
                  <c:v>39845</c:v>
                </c:pt>
                <c:pt idx="50">
                  <c:v>39873</c:v>
                </c:pt>
                <c:pt idx="51">
                  <c:v>39904</c:v>
                </c:pt>
                <c:pt idx="52">
                  <c:v>39934</c:v>
                </c:pt>
                <c:pt idx="53">
                  <c:v>39965</c:v>
                </c:pt>
                <c:pt idx="54">
                  <c:v>39995</c:v>
                </c:pt>
                <c:pt idx="55">
                  <c:v>40026</c:v>
                </c:pt>
                <c:pt idx="56">
                  <c:v>40057</c:v>
                </c:pt>
                <c:pt idx="57">
                  <c:v>40087</c:v>
                </c:pt>
                <c:pt idx="58">
                  <c:v>40118</c:v>
                </c:pt>
                <c:pt idx="59">
                  <c:v>40148</c:v>
                </c:pt>
                <c:pt idx="60">
                  <c:v>40179</c:v>
                </c:pt>
                <c:pt idx="61">
                  <c:v>40210</c:v>
                </c:pt>
                <c:pt idx="62">
                  <c:v>40238</c:v>
                </c:pt>
                <c:pt idx="63">
                  <c:v>40269</c:v>
                </c:pt>
                <c:pt idx="64">
                  <c:v>40299</c:v>
                </c:pt>
                <c:pt idx="65">
                  <c:v>40330</c:v>
                </c:pt>
                <c:pt idx="66">
                  <c:v>40360</c:v>
                </c:pt>
                <c:pt idx="67">
                  <c:v>40391</c:v>
                </c:pt>
                <c:pt idx="68">
                  <c:v>40422</c:v>
                </c:pt>
                <c:pt idx="69">
                  <c:v>40452</c:v>
                </c:pt>
                <c:pt idx="70">
                  <c:v>40483</c:v>
                </c:pt>
                <c:pt idx="71">
                  <c:v>40513</c:v>
                </c:pt>
                <c:pt idx="72">
                  <c:v>40544</c:v>
                </c:pt>
                <c:pt idx="73">
                  <c:v>40575</c:v>
                </c:pt>
                <c:pt idx="74">
                  <c:v>40603</c:v>
                </c:pt>
                <c:pt idx="75">
                  <c:v>40634</c:v>
                </c:pt>
                <c:pt idx="76">
                  <c:v>40664</c:v>
                </c:pt>
                <c:pt idx="77">
                  <c:v>40695</c:v>
                </c:pt>
                <c:pt idx="78">
                  <c:v>40725</c:v>
                </c:pt>
                <c:pt idx="79">
                  <c:v>40756</c:v>
                </c:pt>
                <c:pt idx="80">
                  <c:v>40787</c:v>
                </c:pt>
                <c:pt idx="81">
                  <c:v>40817</c:v>
                </c:pt>
                <c:pt idx="82">
                  <c:v>40848</c:v>
                </c:pt>
                <c:pt idx="83">
                  <c:v>40878</c:v>
                </c:pt>
                <c:pt idx="84">
                  <c:v>40909</c:v>
                </c:pt>
                <c:pt idx="85">
                  <c:v>40940</c:v>
                </c:pt>
                <c:pt idx="86">
                  <c:v>40969</c:v>
                </c:pt>
                <c:pt idx="87">
                  <c:v>41000</c:v>
                </c:pt>
                <c:pt idx="88">
                  <c:v>41030</c:v>
                </c:pt>
                <c:pt idx="89">
                  <c:v>41061</c:v>
                </c:pt>
                <c:pt idx="90">
                  <c:v>41091</c:v>
                </c:pt>
                <c:pt idx="91">
                  <c:v>41122</c:v>
                </c:pt>
                <c:pt idx="92">
                  <c:v>41153</c:v>
                </c:pt>
                <c:pt idx="93">
                  <c:v>41183</c:v>
                </c:pt>
                <c:pt idx="94">
                  <c:v>41214</c:v>
                </c:pt>
                <c:pt idx="95">
                  <c:v>41244</c:v>
                </c:pt>
                <c:pt idx="96">
                  <c:v>41275</c:v>
                </c:pt>
                <c:pt idx="97">
                  <c:v>41306</c:v>
                </c:pt>
                <c:pt idx="98">
                  <c:v>41334</c:v>
                </c:pt>
                <c:pt idx="99">
                  <c:v>41365</c:v>
                </c:pt>
                <c:pt idx="100">
                  <c:v>41395</c:v>
                </c:pt>
                <c:pt idx="101">
                  <c:v>41426</c:v>
                </c:pt>
                <c:pt idx="102">
                  <c:v>41456</c:v>
                </c:pt>
                <c:pt idx="103">
                  <c:v>41487</c:v>
                </c:pt>
                <c:pt idx="104">
                  <c:v>41518</c:v>
                </c:pt>
                <c:pt idx="105">
                  <c:v>41548</c:v>
                </c:pt>
                <c:pt idx="106">
                  <c:v>41579</c:v>
                </c:pt>
                <c:pt idx="107">
                  <c:v>41609</c:v>
                </c:pt>
                <c:pt idx="108">
                  <c:v>41640</c:v>
                </c:pt>
                <c:pt idx="109">
                  <c:v>41671</c:v>
                </c:pt>
                <c:pt idx="110">
                  <c:v>41699</c:v>
                </c:pt>
                <c:pt idx="111">
                  <c:v>41730</c:v>
                </c:pt>
                <c:pt idx="112">
                  <c:v>41760</c:v>
                </c:pt>
                <c:pt idx="113">
                  <c:v>41791</c:v>
                </c:pt>
                <c:pt idx="114">
                  <c:v>41821</c:v>
                </c:pt>
                <c:pt idx="115">
                  <c:v>41852</c:v>
                </c:pt>
                <c:pt idx="116">
                  <c:v>41883</c:v>
                </c:pt>
                <c:pt idx="117">
                  <c:v>41913</c:v>
                </c:pt>
                <c:pt idx="118">
                  <c:v>41944</c:v>
                </c:pt>
              </c:numCache>
            </c:numRef>
          </c:cat>
          <c:val>
            <c:numRef>
              <c:f>'Moody''s Seasoned'!$E$2:$E$120</c:f>
              <c:numCache>
                <c:formatCode>General</c:formatCode>
                <c:ptCount val="119"/>
                <c:pt idx="0">
                  <c:v>4.22</c:v>
                </c:pt>
                <c:pt idx="1">
                  <c:v>4.17</c:v>
                </c:pt>
                <c:pt idx="2">
                  <c:v>4.5</c:v>
                </c:pt>
                <c:pt idx="3">
                  <c:v>4.34</c:v>
                </c:pt>
                <c:pt idx="4">
                  <c:v>4.1399999999999997</c:v>
                </c:pt>
                <c:pt idx="5">
                  <c:v>4</c:v>
                </c:pt>
                <c:pt idx="6">
                  <c:v>4.18</c:v>
                </c:pt>
                <c:pt idx="7">
                  <c:v>4.26</c:v>
                </c:pt>
                <c:pt idx="8">
                  <c:v>4.2</c:v>
                </c:pt>
                <c:pt idx="9">
                  <c:v>4.46</c:v>
                </c:pt>
                <c:pt idx="10">
                  <c:v>4.54</c:v>
                </c:pt>
                <c:pt idx="11">
                  <c:v>4.47</c:v>
                </c:pt>
                <c:pt idx="12">
                  <c:v>4.42</c:v>
                </c:pt>
                <c:pt idx="13">
                  <c:v>4.57</c:v>
                </c:pt>
                <c:pt idx="14">
                  <c:v>4.72</c:v>
                </c:pt>
                <c:pt idx="15">
                  <c:v>4.99</c:v>
                </c:pt>
                <c:pt idx="16">
                  <c:v>5.1099999999999994</c:v>
                </c:pt>
                <c:pt idx="17">
                  <c:v>5.1099999999999994</c:v>
                </c:pt>
                <c:pt idx="18">
                  <c:v>5.09</c:v>
                </c:pt>
                <c:pt idx="19">
                  <c:v>4.88</c:v>
                </c:pt>
                <c:pt idx="20">
                  <c:v>4.72</c:v>
                </c:pt>
                <c:pt idx="21">
                  <c:v>4.7300000000000004</c:v>
                </c:pt>
                <c:pt idx="22">
                  <c:v>4.5999999999999996</c:v>
                </c:pt>
                <c:pt idx="23">
                  <c:v>4.5599999999999996</c:v>
                </c:pt>
                <c:pt idx="24">
                  <c:v>4.76</c:v>
                </c:pt>
                <c:pt idx="25">
                  <c:v>4.72</c:v>
                </c:pt>
                <c:pt idx="26">
                  <c:v>4.5599999999999996</c:v>
                </c:pt>
                <c:pt idx="27">
                  <c:v>4.6899999999999986</c:v>
                </c:pt>
                <c:pt idx="28">
                  <c:v>4.75</c:v>
                </c:pt>
                <c:pt idx="29">
                  <c:v>5.0999999999999996</c:v>
                </c:pt>
                <c:pt idx="30">
                  <c:v>5</c:v>
                </c:pt>
                <c:pt idx="31">
                  <c:v>4.67</c:v>
                </c:pt>
                <c:pt idx="32">
                  <c:v>4.5199999999999996</c:v>
                </c:pt>
                <c:pt idx="33">
                  <c:v>4.53</c:v>
                </c:pt>
                <c:pt idx="34">
                  <c:v>4.1499999999999986</c:v>
                </c:pt>
                <c:pt idx="35">
                  <c:v>4.0999999999999996</c:v>
                </c:pt>
                <c:pt idx="36">
                  <c:v>3.74</c:v>
                </c:pt>
                <c:pt idx="37">
                  <c:v>3.74</c:v>
                </c:pt>
                <c:pt idx="38">
                  <c:v>3.51</c:v>
                </c:pt>
                <c:pt idx="39">
                  <c:v>3.68</c:v>
                </c:pt>
                <c:pt idx="40">
                  <c:v>3.88</c:v>
                </c:pt>
                <c:pt idx="41">
                  <c:v>4.0999999999999996</c:v>
                </c:pt>
                <c:pt idx="42">
                  <c:v>4.01</c:v>
                </c:pt>
                <c:pt idx="43">
                  <c:v>3.89</c:v>
                </c:pt>
                <c:pt idx="44">
                  <c:v>3.69</c:v>
                </c:pt>
                <c:pt idx="45">
                  <c:v>3.81</c:v>
                </c:pt>
                <c:pt idx="46">
                  <c:v>3.53</c:v>
                </c:pt>
                <c:pt idx="47">
                  <c:v>2.42</c:v>
                </c:pt>
                <c:pt idx="48">
                  <c:v>2.52</c:v>
                </c:pt>
                <c:pt idx="49">
                  <c:v>2.87</c:v>
                </c:pt>
                <c:pt idx="50">
                  <c:v>2.82</c:v>
                </c:pt>
                <c:pt idx="51">
                  <c:v>2.93</c:v>
                </c:pt>
                <c:pt idx="52">
                  <c:v>3.29</c:v>
                </c:pt>
                <c:pt idx="53">
                  <c:v>3.72</c:v>
                </c:pt>
                <c:pt idx="54">
                  <c:v>3.56</c:v>
                </c:pt>
                <c:pt idx="55">
                  <c:v>3.59</c:v>
                </c:pt>
                <c:pt idx="56">
                  <c:v>3.4</c:v>
                </c:pt>
                <c:pt idx="57">
                  <c:v>3.39</c:v>
                </c:pt>
                <c:pt idx="58">
                  <c:v>3.4</c:v>
                </c:pt>
                <c:pt idx="59">
                  <c:v>3.59</c:v>
                </c:pt>
                <c:pt idx="60">
                  <c:v>3.73</c:v>
                </c:pt>
                <c:pt idx="61">
                  <c:v>3.69</c:v>
                </c:pt>
                <c:pt idx="62">
                  <c:v>3.73</c:v>
                </c:pt>
                <c:pt idx="63">
                  <c:v>3.85</c:v>
                </c:pt>
                <c:pt idx="64">
                  <c:v>3.42</c:v>
                </c:pt>
                <c:pt idx="65">
                  <c:v>3.2</c:v>
                </c:pt>
                <c:pt idx="66">
                  <c:v>3.01</c:v>
                </c:pt>
                <c:pt idx="67">
                  <c:v>2.7</c:v>
                </c:pt>
                <c:pt idx="68">
                  <c:v>2.65</c:v>
                </c:pt>
                <c:pt idx="69">
                  <c:v>2.54</c:v>
                </c:pt>
                <c:pt idx="70">
                  <c:v>2.76</c:v>
                </c:pt>
                <c:pt idx="71">
                  <c:v>3.29</c:v>
                </c:pt>
                <c:pt idx="72">
                  <c:v>3.39</c:v>
                </c:pt>
                <c:pt idx="73">
                  <c:v>3.58</c:v>
                </c:pt>
                <c:pt idx="74">
                  <c:v>3.41</c:v>
                </c:pt>
                <c:pt idx="75">
                  <c:v>3.46</c:v>
                </c:pt>
                <c:pt idx="76">
                  <c:v>3.17</c:v>
                </c:pt>
                <c:pt idx="77">
                  <c:v>3</c:v>
                </c:pt>
                <c:pt idx="78">
                  <c:v>3</c:v>
                </c:pt>
                <c:pt idx="79">
                  <c:v>2.2999999999999998</c:v>
                </c:pt>
                <c:pt idx="80">
                  <c:v>1.98</c:v>
                </c:pt>
                <c:pt idx="81">
                  <c:v>2.15</c:v>
                </c:pt>
                <c:pt idx="82">
                  <c:v>2.0099999999999998</c:v>
                </c:pt>
                <c:pt idx="83">
                  <c:v>1.98</c:v>
                </c:pt>
                <c:pt idx="84">
                  <c:v>1.97</c:v>
                </c:pt>
                <c:pt idx="85">
                  <c:v>1.97</c:v>
                </c:pt>
                <c:pt idx="86">
                  <c:v>2.17</c:v>
                </c:pt>
                <c:pt idx="87">
                  <c:v>2.0499999999999998</c:v>
                </c:pt>
                <c:pt idx="88">
                  <c:v>1.8</c:v>
                </c:pt>
                <c:pt idx="89">
                  <c:v>1.62</c:v>
                </c:pt>
                <c:pt idx="90">
                  <c:v>1.53</c:v>
                </c:pt>
                <c:pt idx="91">
                  <c:v>1.68</c:v>
                </c:pt>
                <c:pt idx="92">
                  <c:v>1.72</c:v>
                </c:pt>
                <c:pt idx="93">
                  <c:v>1.75</c:v>
                </c:pt>
                <c:pt idx="94">
                  <c:v>1.65</c:v>
                </c:pt>
                <c:pt idx="95">
                  <c:v>1.72</c:v>
                </c:pt>
                <c:pt idx="96">
                  <c:v>1.91</c:v>
                </c:pt>
                <c:pt idx="97">
                  <c:v>1.98</c:v>
                </c:pt>
                <c:pt idx="98">
                  <c:v>1.96</c:v>
                </c:pt>
                <c:pt idx="99">
                  <c:v>1.76</c:v>
                </c:pt>
                <c:pt idx="100">
                  <c:v>1.93</c:v>
                </c:pt>
                <c:pt idx="101">
                  <c:v>2.2999999999999998</c:v>
                </c:pt>
                <c:pt idx="102">
                  <c:v>2.58</c:v>
                </c:pt>
                <c:pt idx="103">
                  <c:v>2.74</c:v>
                </c:pt>
                <c:pt idx="104">
                  <c:v>2.81</c:v>
                </c:pt>
                <c:pt idx="105">
                  <c:v>2.62</c:v>
                </c:pt>
                <c:pt idx="106">
                  <c:v>2.72</c:v>
                </c:pt>
                <c:pt idx="107">
                  <c:v>2.9</c:v>
                </c:pt>
                <c:pt idx="108">
                  <c:v>2.86</c:v>
                </c:pt>
                <c:pt idx="109">
                  <c:v>2.71</c:v>
                </c:pt>
                <c:pt idx="110">
                  <c:v>2.72</c:v>
                </c:pt>
                <c:pt idx="111">
                  <c:v>2.71</c:v>
                </c:pt>
                <c:pt idx="112">
                  <c:v>2.56</c:v>
                </c:pt>
                <c:pt idx="113">
                  <c:v>2.6</c:v>
                </c:pt>
                <c:pt idx="114">
                  <c:v>2.54</c:v>
                </c:pt>
                <c:pt idx="115">
                  <c:v>2.42</c:v>
                </c:pt>
                <c:pt idx="116">
                  <c:v>2.5299999999999998</c:v>
                </c:pt>
                <c:pt idx="117">
                  <c:v>2.2999999999999998</c:v>
                </c:pt>
                <c:pt idx="118">
                  <c:v>2.33</c:v>
                </c:pt>
              </c:numCache>
            </c:numRef>
          </c:val>
          <c:smooth val="0"/>
          <c:extLst>
            <c:ext xmlns:c16="http://schemas.microsoft.com/office/drawing/2014/chart" uri="{C3380CC4-5D6E-409C-BE32-E72D297353CC}">
              <c16:uniqueId val="{00000002-883A-4819-910D-FFBBA7CAE2DD}"/>
            </c:ext>
          </c:extLst>
        </c:ser>
        <c:dLbls>
          <c:showLegendKey val="0"/>
          <c:showVal val="0"/>
          <c:showCatName val="0"/>
          <c:showSerName val="0"/>
          <c:showPercent val="0"/>
          <c:showBubbleSize val="0"/>
        </c:dLbls>
        <c:smooth val="0"/>
        <c:axId val="308321640"/>
        <c:axId val="309824432"/>
      </c:lineChart>
      <c:dateAx>
        <c:axId val="308321640"/>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09824432"/>
        <c:crosses val="autoZero"/>
        <c:auto val="1"/>
        <c:lblOffset val="100"/>
        <c:baseTimeUnit val="months"/>
      </c:dateAx>
      <c:valAx>
        <c:axId val="309824432"/>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SG"/>
                  <a:t>Yield (%)</a:t>
                </a:r>
              </a:p>
            </c:rich>
          </c:tx>
          <c:overlay val="0"/>
          <c:spPr>
            <a:noFill/>
            <a:ln>
              <a:noFill/>
            </a:ln>
            <a:effectLst/>
          </c:spPr>
        </c:title>
        <c:numFmt formatCode="#,##0.0" sourceLinked="0"/>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08321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800" b="1" i="0" u="none" strike="noStrike" kern="1200" baseline="0">
                <a:solidFill>
                  <a:schemeClr val="tx1"/>
                </a:solidFill>
                <a:latin typeface="Arial" panose="020B0604020202020204" pitchFamily="34" charset="0"/>
                <a:ea typeface="+mn-ea"/>
                <a:cs typeface="Arial" panose="020B0604020202020204" pitchFamily="34" charset="0"/>
              </a:defRPr>
            </a:pPr>
            <a:r>
              <a:rPr lang="en-SG" sz="1000"/>
              <a:t>Spread: Moody's Seasoned U.S. 10-Year T-Note</a:t>
            </a:r>
          </a:p>
        </c:rich>
      </c:tx>
      <c:overlay val="0"/>
      <c:spPr>
        <a:noFill/>
        <a:ln>
          <a:noFill/>
        </a:ln>
        <a:effectLst/>
      </c:spPr>
    </c:title>
    <c:autoTitleDeleted val="0"/>
    <c:plotArea>
      <c:layout/>
      <c:lineChart>
        <c:grouping val="standard"/>
        <c:varyColors val="0"/>
        <c:ser>
          <c:idx val="0"/>
          <c:order val="0"/>
          <c:tx>
            <c:v>Aaa Rate - 10-Year T-Note</c:v>
          </c:tx>
          <c:spPr>
            <a:ln w="28575" cap="rnd" cmpd="sng" algn="ctr">
              <a:solidFill>
                <a:schemeClr val="dk1">
                  <a:tint val="88500"/>
                  <a:shade val="95000"/>
                  <a:satMod val="105000"/>
                </a:schemeClr>
              </a:solidFill>
              <a:prstDash val="solid"/>
              <a:round/>
            </a:ln>
            <a:effectLst/>
          </c:spPr>
          <c:marker>
            <c:symbol val="none"/>
          </c:marker>
          <c:cat>
            <c:numRef>
              <c:f>'Moody''s Seasoned'!$A$2:$A$120</c:f>
              <c:numCache>
                <c:formatCode>mmm\-yy</c:formatCode>
                <c:ptCount val="119"/>
                <c:pt idx="0">
                  <c:v>38353</c:v>
                </c:pt>
                <c:pt idx="1">
                  <c:v>38384</c:v>
                </c:pt>
                <c:pt idx="2">
                  <c:v>38412</c:v>
                </c:pt>
                <c:pt idx="3">
                  <c:v>38443</c:v>
                </c:pt>
                <c:pt idx="4">
                  <c:v>38473</c:v>
                </c:pt>
                <c:pt idx="5">
                  <c:v>38504</c:v>
                </c:pt>
                <c:pt idx="6">
                  <c:v>38534</c:v>
                </c:pt>
                <c:pt idx="7">
                  <c:v>38565</c:v>
                </c:pt>
                <c:pt idx="8">
                  <c:v>38596</c:v>
                </c:pt>
                <c:pt idx="9">
                  <c:v>38626</c:v>
                </c:pt>
                <c:pt idx="10">
                  <c:v>38657</c:v>
                </c:pt>
                <c:pt idx="11">
                  <c:v>38687</c:v>
                </c:pt>
                <c:pt idx="12">
                  <c:v>38718</c:v>
                </c:pt>
                <c:pt idx="13">
                  <c:v>38749</c:v>
                </c:pt>
                <c:pt idx="14">
                  <c:v>38777</c:v>
                </c:pt>
                <c:pt idx="15">
                  <c:v>38808</c:v>
                </c:pt>
                <c:pt idx="16">
                  <c:v>38838</c:v>
                </c:pt>
                <c:pt idx="17">
                  <c:v>38869</c:v>
                </c:pt>
                <c:pt idx="18">
                  <c:v>38899</c:v>
                </c:pt>
                <c:pt idx="19">
                  <c:v>38930</c:v>
                </c:pt>
                <c:pt idx="20">
                  <c:v>38961</c:v>
                </c:pt>
                <c:pt idx="21">
                  <c:v>38991</c:v>
                </c:pt>
                <c:pt idx="22">
                  <c:v>39022</c:v>
                </c:pt>
                <c:pt idx="23">
                  <c:v>39052</c:v>
                </c:pt>
                <c:pt idx="24">
                  <c:v>39083</c:v>
                </c:pt>
                <c:pt idx="25">
                  <c:v>39114</c:v>
                </c:pt>
                <c:pt idx="26">
                  <c:v>39142</c:v>
                </c:pt>
                <c:pt idx="27">
                  <c:v>39173</c:v>
                </c:pt>
                <c:pt idx="28">
                  <c:v>39203</c:v>
                </c:pt>
                <c:pt idx="29">
                  <c:v>39234</c:v>
                </c:pt>
                <c:pt idx="30">
                  <c:v>39264</c:v>
                </c:pt>
                <c:pt idx="31">
                  <c:v>39295</c:v>
                </c:pt>
                <c:pt idx="32">
                  <c:v>39326</c:v>
                </c:pt>
                <c:pt idx="33">
                  <c:v>39356</c:v>
                </c:pt>
                <c:pt idx="34">
                  <c:v>39387</c:v>
                </c:pt>
                <c:pt idx="35">
                  <c:v>39417</c:v>
                </c:pt>
                <c:pt idx="36">
                  <c:v>39448</c:v>
                </c:pt>
                <c:pt idx="37">
                  <c:v>39479</c:v>
                </c:pt>
                <c:pt idx="38">
                  <c:v>39508</c:v>
                </c:pt>
                <c:pt idx="39">
                  <c:v>39539</c:v>
                </c:pt>
                <c:pt idx="40">
                  <c:v>39569</c:v>
                </c:pt>
                <c:pt idx="41">
                  <c:v>39600</c:v>
                </c:pt>
                <c:pt idx="42">
                  <c:v>39630</c:v>
                </c:pt>
                <c:pt idx="43">
                  <c:v>39661</c:v>
                </c:pt>
                <c:pt idx="44">
                  <c:v>39692</c:v>
                </c:pt>
                <c:pt idx="45">
                  <c:v>39722</c:v>
                </c:pt>
                <c:pt idx="46">
                  <c:v>39753</c:v>
                </c:pt>
                <c:pt idx="47">
                  <c:v>39783</c:v>
                </c:pt>
                <c:pt idx="48">
                  <c:v>39814</c:v>
                </c:pt>
                <c:pt idx="49">
                  <c:v>39845</c:v>
                </c:pt>
                <c:pt idx="50">
                  <c:v>39873</c:v>
                </c:pt>
                <c:pt idx="51">
                  <c:v>39904</c:v>
                </c:pt>
                <c:pt idx="52">
                  <c:v>39934</c:v>
                </c:pt>
                <c:pt idx="53">
                  <c:v>39965</c:v>
                </c:pt>
                <c:pt idx="54">
                  <c:v>39995</c:v>
                </c:pt>
                <c:pt idx="55">
                  <c:v>40026</c:v>
                </c:pt>
                <c:pt idx="56">
                  <c:v>40057</c:v>
                </c:pt>
                <c:pt idx="57">
                  <c:v>40087</c:v>
                </c:pt>
                <c:pt idx="58">
                  <c:v>40118</c:v>
                </c:pt>
                <c:pt idx="59">
                  <c:v>40148</c:v>
                </c:pt>
                <c:pt idx="60">
                  <c:v>40179</c:v>
                </c:pt>
                <c:pt idx="61">
                  <c:v>40210</c:v>
                </c:pt>
                <c:pt idx="62">
                  <c:v>40238</c:v>
                </c:pt>
                <c:pt idx="63">
                  <c:v>40269</c:v>
                </c:pt>
                <c:pt idx="64">
                  <c:v>40299</c:v>
                </c:pt>
                <c:pt idx="65">
                  <c:v>40330</c:v>
                </c:pt>
                <c:pt idx="66">
                  <c:v>40360</c:v>
                </c:pt>
                <c:pt idx="67">
                  <c:v>40391</c:v>
                </c:pt>
                <c:pt idx="68">
                  <c:v>40422</c:v>
                </c:pt>
                <c:pt idx="69">
                  <c:v>40452</c:v>
                </c:pt>
                <c:pt idx="70">
                  <c:v>40483</c:v>
                </c:pt>
                <c:pt idx="71">
                  <c:v>40513</c:v>
                </c:pt>
                <c:pt idx="72">
                  <c:v>40544</c:v>
                </c:pt>
                <c:pt idx="73">
                  <c:v>40575</c:v>
                </c:pt>
                <c:pt idx="74">
                  <c:v>40603</c:v>
                </c:pt>
                <c:pt idx="75">
                  <c:v>40634</c:v>
                </c:pt>
                <c:pt idx="76">
                  <c:v>40664</c:v>
                </c:pt>
                <c:pt idx="77">
                  <c:v>40695</c:v>
                </c:pt>
                <c:pt idx="78">
                  <c:v>40725</c:v>
                </c:pt>
                <c:pt idx="79">
                  <c:v>40756</c:v>
                </c:pt>
                <c:pt idx="80">
                  <c:v>40787</c:v>
                </c:pt>
                <c:pt idx="81">
                  <c:v>40817</c:v>
                </c:pt>
                <c:pt idx="82">
                  <c:v>40848</c:v>
                </c:pt>
                <c:pt idx="83">
                  <c:v>40878</c:v>
                </c:pt>
                <c:pt idx="84">
                  <c:v>40909</c:v>
                </c:pt>
                <c:pt idx="85">
                  <c:v>40940</c:v>
                </c:pt>
                <c:pt idx="86">
                  <c:v>40969</c:v>
                </c:pt>
                <c:pt idx="87">
                  <c:v>41000</c:v>
                </c:pt>
                <c:pt idx="88">
                  <c:v>41030</c:v>
                </c:pt>
                <c:pt idx="89">
                  <c:v>41061</c:v>
                </c:pt>
                <c:pt idx="90">
                  <c:v>41091</c:v>
                </c:pt>
                <c:pt idx="91">
                  <c:v>41122</c:v>
                </c:pt>
                <c:pt idx="92">
                  <c:v>41153</c:v>
                </c:pt>
                <c:pt idx="93">
                  <c:v>41183</c:v>
                </c:pt>
                <c:pt idx="94">
                  <c:v>41214</c:v>
                </c:pt>
                <c:pt idx="95">
                  <c:v>41244</c:v>
                </c:pt>
                <c:pt idx="96">
                  <c:v>41275</c:v>
                </c:pt>
                <c:pt idx="97">
                  <c:v>41306</c:v>
                </c:pt>
                <c:pt idx="98">
                  <c:v>41334</c:v>
                </c:pt>
                <c:pt idx="99">
                  <c:v>41365</c:v>
                </c:pt>
                <c:pt idx="100">
                  <c:v>41395</c:v>
                </c:pt>
                <c:pt idx="101">
                  <c:v>41426</c:v>
                </c:pt>
                <c:pt idx="102">
                  <c:v>41456</c:v>
                </c:pt>
                <c:pt idx="103">
                  <c:v>41487</c:v>
                </c:pt>
                <c:pt idx="104">
                  <c:v>41518</c:v>
                </c:pt>
                <c:pt idx="105">
                  <c:v>41548</c:v>
                </c:pt>
                <c:pt idx="106">
                  <c:v>41579</c:v>
                </c:pt>
                <c:pt idx="107">
                  <c:v>41609</c:v>
                </c:pt>
                <c:pt idx="108">
                  <c:v>41640</c:v>
                </c:pt>
                <c:pt idx="109">
                  <c:v>41671</c:v>
                </c:pt>
                <c:pt idx="110">
                  <c:v>41699</c:v>
                </c:pt>
                <c:pt idx="111">
                  <c:v>41730</c:v>
                </c:pt>
                <c:pt idx="112">
                  <c:v>41760</c:v>
                </c:pt>
                <c:pt idx="113">
                  <c:v>41791</c:v>
                </c:pt>
                <c:pt idx="114">
                  <c:v>41821</c:v>
                </c:pt>
                <c:pt idx="115">
                  <c:v>41852</c:v>
                </c:pt>
                <c:pt idx="116">
                  <c:v>41883</c:v>
                </c:pt>
                <c:pt idx="117">
                  <c:v>41913</c:v>
                </c:pt>
                <c:pt idx="118">
                  <c:v>41944</c:v>
                </c:pt>
              </c:numCache>
            </c:numRef>
          </c:cat>
          <c:val>
            <c:numRef>
              <c:f>'Moody''s Seasoned'!$F$2:$F$120</c:f>
              <c:numCache>
                <c:formatCode>General</c:formatCode>
                <c:ptCount val="119"/>
                <c:pt idx="0">
                  <c:v>1.140000000000001</c:v>
                </c:pt>
                <c:pt idx="1">
                  <c:v>1.03</c:v>
                </c:pt>
                <c:pt idx="2">
                  <c:v>0.9</c:v>
                </c:pt>
                <c:pt idx="3">
                  <c:v>0.99</c:v>
                </c:pt>
                <c:pt idx="4">
                  <c:v>1.0100000000000009</c:v>
                </c:pt>
                <c:pt idx="5">
                  <c:v>0.96</c:v>
                </c:pt>
                <c:pt idx="6">
                  <c:v>0.88</c:v>
                </c:pt>
                <c:pt idx="7">
                  <c:v>0.83</c:v>
                </c:pt>
                <c:pt idx="8">
                  <c:v>0.93</c:v>
                </c:pt>
                <c:pt idx="9">
                  <c:v>0.89</c:v>
                </c:pt>
                <c:pt idx="10">
                  <c:v>0.88</c:v>
                </c:pt>
                <c:pt idx="11">
                  <c:v>0.9</c:v>
                </c:pt>
                <c:pt idx="12">
                  <c:v>0.87</c:v>
                </c:pt>
                <c:pt idx="13">
                  <c:v>0.77999999999999903</c:v>
                </c:pt>
                <c:pt idx="14">
                  <c:v>0.81000000000000105</c:v>
                </c:pt>
                <c:pt idx="15">
                  <c:v>0.85</c:v>
                </c:pt>
                <c:pt idx="16">
                  <c:v>0.84</c:v>
                </c:pt>
                <c:pt idx="17">
                  <c:v>0.77999999999999903</c:v>
                </c:pt>
                <c:pt idx="18">
                  <c:v>0.76</c:v>
                </c:pt>
                <c:pt idx="19">
                  <c:v>0.8</c:v>
                </c:pt>
                <c:pt idx="20">
                  <c:v>0.79</c:v>
                </c:pt>
                <c:pt idx="21">
                  <c:v>0.77999999999999903</c:v>
                </c:pt>
                <c:pt idx="22">
                  <c:v>0.73</c:v>
                </c:pt>
                <c:pt idx="23">
                  <c:v>0.76000000000000101</c:v>
                </c:pt>
                <c:pt idx="24">
                  <c:v>0.64000000000000101</c:v>
                </c:pt>
                <c:pt idx="25">
                  <c:v>0.67</c:v>
                </c:pt>
                <c:pt idx="26">
                  <c:v>0.74</c:v>
                </c:pt>
                <c:pt idx="27">
                  <c:v>0.77999999999999903</c:v>
                </c:pt>
                <c:pt idx="28">
                  <c:v>0.72</c:v>
                </c:pt>
                <c:pt idx="29">
                  <c:v>0.69</c:v>
                </c:pt>
                <c:pt idx="30">
                  <c:v>0.73</c:v>
                </c:pt>
                <c:pt idx="31">
                  <c:v>1.1200000000000001</c:v>
                </c:pt>
                <c:pt idx="32">
                  <c:v>1.2200000000000011</c:v>
                </c:pt>
                <c:pt idx="33">
                  <c:v>1.1299999999999999</c:v>
                </c:pt>
                <c:pt idx="34">
                  <c:v>1.29</c:v>
                </c:pt>
                <c:pt idx="35">
                  <c:v>1.390000000000001</c:v>
                </c:pt>
                <c:pt idx="36">
                  <c:v>1.59</c:v>
                </c:pt>
                <c:pt idx="37">
                  <c:v>1.79</c:v>
                </c:pt>
                <c:pt idx="38">
                  <c:v>2</c:v>
                </c:pt>
                <c:pt idx="39">
                  <c:v>1.869999999999999</c:v>
                </c:pt>
                <c:pt idx="40">
                  <c:v>1.69</c:v>
                </c:pt>
                <c:pt idx="41">
                  <c:v>1.58</c:v>
                </c:pt>
                <c:pt idx="42">
                  <c:v>1.66</c:v>
                </c:pt>
                <c:pt idx="43">
                  <c:v>1.7499999999999989</c:v>
                </c:pt>
                <c:pt idx="44">
                  <c:v>1.96</c:v>
                </c:pt>
                <c:pt idx="45">
                  <c:v>2.4700000000000002</c:v>
                </c:pt>
                <c:pt idx="46">
                  <c:v>2.59</c:v>
                </c:pt>
                <c:pt idx="47">
                  <c:v>2.63</c:v>
                </c:pt>
                <c:pt idx="48">
                  <c:v>2.5299999999999998</c:v>
                </c:pt>
                <c:pt idx="49">
                  <c:v>2.399999999999999</c:v>
                </c:pt>
                <c:pt idx="50">
                  <c:v>2.68</c:v>
                </c:pt>
                <c:pt idx="51">
                  <c:v>2.4599999999999991</c:v>
                </c:pt>
                <c:pt idx="52">
                  <c:v>2.25</c:v>
                </c:pt>
                <c:pt idx="53">
                  <c:v>1.89</c:v>
                </c:pt>
                <c:pt idx="54">
                  <c:v>1.85</c:v>
                </c:pt>
                <c:pt idx="55">
                  <c:v>1.67</c:v>
                </c:pt>
                <c:pt idx="56">
                  <c:v>1.73</c:v>
                </c:pt>
                <c:pt idx="57">
                  <c:v>1.76</c:v>
                </c:pt>
                <c:pt idx="58">
                  <c:v>1.7900000000000009</c:v>
                </c:pt>
                <c:pt idx="59">
                  <c:v>1.67</c:v>
                </c:pt>
                <c:pt idx="60">
                  <c:v>1.53</c:v>
                </c:pt>
                <c:pt idx="61">
                  <c:v>1.659999999999999</c:v>
                </c:pt>
                <c:pt idx="62">
                  <c:v>1.5399999999999989</c:v>
                </c:pt>
                <c:pt idx="63">
                  <c:v>1.44</c:v>
                </c:pt>
                <c:pt idx="64">
                  <c:v>1.54</c:v>
                </c:pt>
                <c:pt idx="65">
                  <c:v>1.679999999999999</c:v>
                </c:pt>
                <c:pt idx="66">
                  <c:v>1.71</c:v>
                </c:pt>
                <c:pt idx="67">
                  <c:v>1.79</c:v>
                </c:pt>
                <c:pt idx="68">
                  <c:v>1.88</c:v>
                </c:pt>
                <c:pt idx="69">
                  <c:v>2.14</c:v>
                </c:pt>
                <c:pt idx="70">
                  <c:v>2.11</c:v>
                </c:pt>
                <c:pt idx="71">
                  <c:v>1.7299999999999991</c:v>
                </c:pt>
                <c:pt idx="72">
                  <c:v>1.65</c:v>
                </c:pt>
                <c:pt idx="73">
                  <c:v>1.639999999999999</c:v>
                </c:pt>
                <c:pt idx="74">
                  <c:v>1.72</c:v>
                </c:pt>
                <c:pt idx="75">
                  <c:v>1.7</c:v>
                </c:pt>
                <c:pt idx="76">
                  <c:v>1.79</c:v>
                </c:pt>
                <c:pt idx="77">
                  <c:v>1.99</c:v>
                </c:pt>
                <c:pt idx="78">
                  <c:v>1.929999999999999</c:v>
                </c:pt>
                <c:pt idx="79">
                  <c:v>2.0699999999999998</c:v>
                </c:pt>
                <c:pt idx="80">
                  <c:v>2.11</c:v>
                </c:pt>
                <c:pt idx="81">
                  <c:v>1.83</c:v>
                </c:pt>
                <c:pt idx="82">
                  <c:v>1.86</c:v>
                </c:pt>
                <c:pt idx="83">
                  <c:v>1.95</c:v>
                </c:pt>
                <c:pt idx="84">
                  <c:v>1.88</c:v>
                </c:pt>
                <c:pt idx="85">
                  <c:v>1.88</c:v>
                </c:pt>
                <c:pt idx="86">
                  <c:v>1.82</c:v>
                </c:pt>
                <c:pt idx="87">
                  <c:v>1.91</c:v>
                </c:pt>
                <c:pt idx="88">
                  <c:v>2</c:v>
                </c:pt>
                <c:pt idx="89">
                  <c:v>2.02</c:v>
                </c:pt>
                <c:pt idx="90">
                  <c:v>1.87</c:v>
                </c:pt>
                <c:pt idx="91">
                  <c:v>1.8</c:v>
                </c:pt>
                <c:pt idx="92">
                  <c:v>1.77</c:v>
                </c:pt>
                <c:pt idx="93">
                  <c:v>1.72</c:v>
                </c:pt>
                <c:pt idx="94">
                  <c:v>1.85</c:v>
                </c:pt>
                <c:pt idx="95">
                  <c:v>1.93</c:v>
                </c:pt>
                <c:pt idx="96">
                  <c:v>1.89</c:v>
                </c:pt>
                <c:pt idx="97">
                  <c:v>1.92</c:v>
                </c:pt>
                <c:pt idx="98">
                  <c:v>1.97</c:v>
                </c:pt>
                <c:pt idx="99">
                  <c:v>1.97</c:v>
                </c:pt>
                <c:pt idx="100">
                  <c:v>1.96</c:v>
                </c:pt>
                <c:pt idx="101">
                  <c:v>1.9699999999999991</c:v>
                </c:pt>
                <c:pt idx="102">
                  <c:v>1.76</c:v>
                </c:pt>
                <c:pt idx="103">
                  <c:v>1.8</c:v>
                </c:pt>
                <c:pt idx="104">
                  <c:v>1.829999999999999</c:v>
                </c:pt>
                <c:pt idx="105">
                  <c:v>1.91</c:v>
                </c:pt>
                <c:pt idx="106">
                  <c:v>1.909999999999999</c:v>
                </c:pt>
                <c:pt idx="107">
                  <c:v>1.72</c:v>
                </c:pt>
                <c:pt idx="108">
                  <c:v>1.63</c:v>
                </c:pt>
                <c:pt idx="109">
                  <c:v>1.74</c:v>
                </c:pt>
                <c:pt idx="110">
                  <c:v>1.659999999999999</c:v>
                </c:pt>
                <c:pt idx="111">
                  <c:v>1.53</c:v>
                </c:pt>
                <c:pt idx="112">
                  <c:v>1.6</c:v>
                </c:pt>
                <c:pt idx="113">
                  <c:v>1.65</c:v>
                </c:pt>
                <c:pt idx="114">
                  <c:v>1.62</c:v>
                </c:pt>
                <c:pt idx="115">
                  <c:v>1.66</c:v>
                </c:pt>
                <c:pt idx="116">
                  <c:v>1.58</c:v>
                </c:pt>
                <c:pt idx="117">
                  <c:v>1.62</c:v>
                </c:pt>
                <c:pt idx="118">
                  <c:v>1.59</c:v>
                </c:pt>
              </c:numCache>
            </c:numRef>
          </c:val>
          <c:smooth val="0"/>
          <c:extLst>
            <c:ext xmlns:c16="http://schemas.microsoft.com/office/drawing/2014/chart" uri="{C3380CC4-5D6E-409C-BE32-E72D297353CC}">
              <c16:uniqueId val="{00000000-ACED-4183-9C4C-ACA2C8249CB4}"/>
            </c:ext>
          </c:extLst>
        </c:ser>
        <c:ser>
          <c:idx val="1"/>
          <c:order val="1"/>
          <c:tx>
            <c:v>Baa Rate - 10-Year T-Note</c:v>
          </c:tx>
          <c:spPr>
            <a:ln w="28575" cap="rnd" cmpd="sng" algn="ctr">
              <a:solidFill>
                <a:schemeClr val="dk1">
                  <a:tint val="55000"/>
                  <a:shade val="95000"/>
                  <a:satMod val="105000"/>
                </a:schemeClr>
              </a:solidFill>
              <a:prstDash val="sysDash"/>
              <a:round/>
            </a:ln>
            <a:effectLst/>
          </c:spPr>
          <c:marker>
            <c:symbol val="none"/>
          </c:marker>
          <c:cat>
            <c:numRef>
              <c:f>'Moody''s Seasoned'!$A$2:$A$120</c:f>
              <c:numCache>
                <c:formatCode>mmm\-yy</c:formatCode>
                <c:ptCount val="119"/>
                <c:pt idx="0">
                  <c:v>38353</c:v>
                </c:pt>
                <c:pt idx="1">
                  <c:v>38384</c:v>
                </c:pt>
                <c:pt idx="2">
                  <c:v>38412</c:v>
                </c:pt>
                <c:pt idx="3">
                  <c:v>38443</c:v>
                </c:pt>
                <c:pt idx="4">
                  <c:v>38473</c:v>
                </c:pt>
                <c:pt idx="5">
                  <c:v>38504</c:v>
                </c:pt>
                <c:pt idx="6">
                  <c:v>38534</c:v>
                </c:pt>
                <c:pt idx="7">
                  <c:v>38565</c:v>
                </c:pt>
                <c:pt idx="8">
                  <c:v>38596</c:v>
                </c:pt>
                <c:pt idx="9">
                  <c:v>38626</c:v>
                </c:pt>
                <c:pt idx="10">
                  <c:v>38657</c:v>
                </c:pt>
                <c:pt idx="11">
                  <c:v>38687</c:v>
                </c:pt>
                <c:pt idx="12">
                  <c:v>38718</c:v>
                </c:pt>
                <c:pt idx="13">
                  <c:v>38749</c:v>
                </c:pt>
                <c:pt idx="14">
                  <c:v>38777</c:v>
                </c:pt>
                <c:pt idx="15">
                  <c:v>38808</c:v>
                </c:pt>
                <c:pt idx="16">
                  <c:v>38838</c:v>
                </c:pt>
                <c:pt idx="17">
                  <c:v>38869</c:v>
                </c:pt>
                <c:pt idx="18">
                  <c:v>38899</c:v>
                </c:pt>
                <c:pt idx="19">
                  <c:v>38930</c:v>
                </c:pt>
                <c:pt idx="20">
                  <c:v>38961</c:v>
                </c:pt>
                <c:pt idx="21">
                  <c:v>38991</c:v>
                </c:pt>
                <c:pt idx="22">
                  <c:v>39022</c:v>
                </c:pt>
                <c:pt idx="23">
                  <c:v>39052</c:v>
                </c:pt>
                <c:pt idx="24">
                  <c:v>39083</c:v>
                </c:pt>
                <c:pt idx="25">
                  <c:v>39114</c:v>
                </c:pt>
                <c:pt idx="26">
                  <c:v>39142</c:v>
                </c:pt>
                <c:pt idx="27">
                  <c:v>39173</c:v>
                </c:pt>
                <c:pt idx="28">
                  <c:v>39203</c:v>
                </c:pt>
                <c:pt idx="29">
                  <c:v>39234</c:v>
                </c:pt>
                <c:pt idx="30">
                  <c:v>39264</c:v>
                </c:pt>
                <c:pt idx="31">
                  <c:v>39295</c:v>
                </c:pt>
                <c:pt idx="32">
                  <c:v>39326</c:v>
                </c:pt>
                <c:pt idx="33">
                  <c:v>39356</c:v>
                </c:pt>
                <c:pt idx="34">
                  <c:v>39387</c:v>
                </c:pt>
                <c:pt idx="35">
                  <c:v>39417</c:v>
                </c:pt>
                <c:pt idx="36">
                  <c:v>39448</c:v>
                </c:pt>
                <c:pt idx="37">
                  <c:v>39479</c:v>
                </c:pt>
                <c:pt idx="38">
                  <c:v>39508</c:v>
                </c:pt>
                <c:pt idx="39">
                  <c:v>39539</c:v>
                </c:pt>
                <c:pt idx="40">
                  <c:v>39569</c:v>
                </c:pt>
                <c:pt idx="41">
                  <c:v>39600</c:v>
                </c:pt>
                <c:pt idx="42">
                  <c:v>39630</c:v>
                </c:pt>
                <c:pt idx="43">
                  <c:v>39661</c:v>
                </c:pt>
                <c:pt idx="44">
                  <c:v>39692</c:v>
                </c:pt>
                <c:pt idx="45">
                  <c:v>39722</c:v>
                </c:pt>
                <c:pt idx="46">
                  <c:v>39753</c:v>
                </c:pt>
                <c:pt idx="47">
                  <c:v>39783</c:v>
                </c:pt>
                <c:pt idx="48">
                  <c:v>39814</c:v>
                </c:pt>
                <c:pt idx="49">
                  <c:v>39845</c:v>
                </c:pt>
                <c:pt idx="50">
                  <c:v>39873</c:v>
                </c:pt>
                <c:pt idx="51">
                  <c:v>39904</c:v>
                </c:pt>
                <c:pt idx="52">
                  <c:v>39934</c:v>
                </c:pt>
                <c:pt idx="53">
                  <c:v>39965</c:v>
                </c:pt>
                <c:pt idx="54">
                  <c:v>39995</c:v>
                </c:pt>
                <c:pt idx="55">
                  <c:v>40026</c:v>
                </c:pt>
                <c:pt idx="56">
                  <c:v>40057</c:v>
                </c:pt>
                <c:pt idx="57">
                  <c:v>40087</c:v>
                </c:pt>
                <c:pt idx="58">
                  <c:v>40118</c:v>
                </c:pt>
                <c:pt idx="59">
                  <c:v>40148</c:v>
                </c:pt>
                <c:pt idx="60">
                  <c:v>40179</c:v>
                </c:pt>
                <c:pt idx="61">
                  <c:v>40210</c:v>
                </c:pt>
                <c:pt idx="62">
                  <c:v>40238</c:v>
                </c:pt>
                <c:pt idx="63">
                  <c:v>40269</c:v>
                </c:pt>
                <c:pt idx="64">
                  <c:v>40299</c:v>
                </c:pt>
                <c:pt idx="65">
                  <c:v>40330</c:v>
                </c:pt>
                <c:pt idx="66">
                  <c:v>40360</c:v>
                </c:pt>
                <c:pt idx="67">
                  <c:v>40391</c:v>
                </c:pt>
                <c:pt idx="68">
                  <c:v>40422</c:v>
                </c:pt>
                <c:pt idx="69">
                  <c:v>40452</c:v>
                </c:pt>
                <c:pt idx="70">
                  <c:v>40483</c:v>
                </c:pt>
                <c:pt idx="71">
                  <c:v>40513</c:v>
                </c:pt>
                <c:pt idx="72">
                  <c:v>40544</c:v>
                </c:pt>
                <c:pt idx="73">
                  <c:v>40575</c:v>
                </c:pt>
                <c:pt idx="74">
                  <c:v>40603</c:v>
                </c:pt>
                <c:pt idx="75">
                  <c:v>40634</c:v>
                </c:pt>
                <c:pt idx="76">
                  <c:v>40664</c:v>
                </c:pt>
                <c:pt idx="77">
                  <c:v>40695</c:v>
                </c:pt>
                <c:pt idx="78">
                  <c:v>40725</c:v>
                </c:pt>
                <c:pt idx="79">
                  <c:v>40756</c:v>
                </c:pt>
                <c:pt idx="80">
                  <c:v>40787</c:v>
                </c:pt>
                <c:pt idx="81">
                  <c:v>40817</c:v>
                </c:pt>
                <c:pt idx="82">
                  <c:v>40848</c:v>
                </c:pt>
                <c:pt idx="83">
                  <c:v>40878</c:v>
                </c:pt>
                <c:pt idx="84">
                  <c:v>40909</c:v>
                </c:pt>
                <c:pt idx="85">
                  <c:v>40940</c:v>
                </c:pt>
                <c:pt idx="86">
                  <c:v>40969</c:v>
                </c:pt>
                <c:pt idx="87">
                  <c:v>41000</c:v>
                </c:pt>
                <c:pt idx="88">
                  <c:v>41030</c:v>
                </c:pt>
                <c:pt idx="89">
                  <c:v>41061</c:v>
                </c:pt>
                <c:pt idx="90">
                  <c:v>41091</c:v>
                </c:pt>
                <c:pt idx="91">
                  <c:v>41122</c:v>
                </c:pt>
                <c:pt idx="92">
                  <c:v>41153</c:v>
                </c:pt>
                <c:pt idx="93">
                  <c:v>41183</c:v>
                </c:pt>
                <c:pt idx="94">
                  <c:v>41214</c:v>
                </c:pt>
                <c:pt idx="95">
                  <c:v>41244</c:v>
                </c:pt>
                <c:pt idx="96">
                  <c:v>41275</c:v>
                </c:pt>
                <c:pt idx="97">
                  <c:v>41306</c:v>
                </c:pt>
                <c:pt idx="98">
                  <c:v>41334</c:v>
                </c:pt>
                <c:pt idx="99">
                  <c:v>41365</c:v>
                </c:pt>
                <c:pt idx="100">
                  <c:v>41395</c:v>
                </c:pt>
                <c:pt idx="101">
                  <c:v>41426</c:v>
                </c:pt>
                <c:pt idx="102">
                  <c:v>41456</c:v>
                </c:pt>
                <c:pt idx="103">
                  <c:v>41487</c:v>
                </c:pt>
                <c:pt idx="104">
                  <c:v>41518</c:v>
                </c:pt>
                <c:pt idx="105">
                  <c:v>41548</c:v>
                </c:pt>
                <c:pt idx="106">
                  <c:v>41579</c:v>
                </c:pt>
                <c:pt idx="107">
                  <c:v>41609</c:v>
                </c:pt>
                <c:pt idx="108">
                  <c:v>41640</c:v>
                </c:pt>
                <c:pt idx="109">
                  <c:v>41671</c:v>
                </c:pt>
                <c:pt idx="110">
                  <c:v>41699</c:v>
                </c:pt>
                <c:pt idx="111">
                  <c:v>41730</c:v>
                </c:pt>
                <c:pt idx="112">
                  <c:v>41760</c:v>
                </c:pt>
                <c:pt idx="113">
                  <c:v>41791</c:v>
                </c:pt>
                <c:pt idx="114">
                  <c:v>41821</c:v>
                </c:pt>
                <c:pt idx="115">
                  <c:v>41852</c:v>
                </c:pt>
                <c:pt idx="116">
                  <c:v>41883</c:v>
                </c:pt>
                <c:pt idx="117">
                  <c:v>41913</c:v>
                </c:pt>
                <c:pt idx="118">
                  <c:v>41944</c:v>
                </c:pt>
              </c:numCache>
            </c:numRef>
          </c:cat>
          <c:val>
            <c:numRef>
              <c:f>'Moody''s Seasoned'!$G$2:$G$120</c:f>
              <c:numCache>
                <c:formatCode>General</c:formatCode>
                <c:ptCount val="119"/>
                <c:pt idx="0">
                  <c:v>1.8</c:v>
                </c:pt>
                <c:pt idx="1">
                  <c:v>1.65</c:v>
                </c:pt>
                <c:pt idx="2">
                  <c:v>1.5599999999999989</c:v>
                </c:pt>
                <c:pt idx="3">
                  <c:v>1.71</c:v>
                </c:pt>
                <c:pt idx="4">
                  <c:v>1.87</c:v>
                </c:pt>
                <c:pt idx="5">
                  <c:v>1.86</c:v>
                </c:pt>
                <c:pt idx="6">
                  <c:v>1.7700000000000009</c:v>
                </c:pt>
                <c:pt idx="7">
                  <c:v>1.7</c:v>
                </c:pt>
                <c:pt idx="8">
                  <c:v>1.83</c:v>
                </c:pt>
                <c:pt idx="9">
                  <c:v>1.84</c:v>
                </c:pt>
                <c:pt idx="10">
                  <c:v>1.849999999999999</c:v>
                </c:pt>
                <c:pt idx="11">
                  <c:v>1.85</c:v>
                </c:pt>
                <c:pt idx="12">
                  <c:v>1.82</c:v>
                </c:pt>
                <c:pt idx="13">
                  <c:v>1.6999999999999991</c:v>
                </c:pt>
                <c:pt idx="14">
                  <c:v>1.69</c:v>
                </c:pt>
                <c:pt idx="15">
                  <c:v>1.6899999999999991</c:v>
                </c:pt>
                <c:pt idx="16">
                  <c:v>1.639999999999999</c:v>
                </c:pt>
                <c:pt idx="17">
                  <c:v>1.67</c:v>
                </c:pt>
                <c:pt idx="18">
                  <c:v>1.67</c:v>
                </c:pt>
                <c:pt idx="19">
                  <c:v>1.71</c:v>
                </c:pt>
                <c:pt idx="20">
                  <c:v>1.71</c:v>
                </c:pt>
                <c:pt idx="21">
                  <c:v>1.6899999999999991</c:v>
                </c:pt>
                <c:pt idx="22">
                  <c:v>1.6</c:v>
                </c:pt>
                <c:pt idx="23">
                  <c:v>1.66</c:v>
                </c:pt>
                <c:pt idx="24">
                  <c:v>1.58</c:v>
                </c:pt>
                <c:pt idx="25">
                  <c:v>1.56</c:v>
                </c:pt>
                <c:pt idx="26">
                  <c:v>1.71</c:v>
                </c:pt>
                <c:pt idx="27">
                  <c:v>1.6999999999999991</c:v>
                </c:pt>
                <c:pt idx="28">
                  <c:v>1.639999999999999</c:v>
                </c:pt>
                <c:pt idx="29">
                  <c:v>1.6</c:v>
                </c:pt>
                <c:pt idx="30">
                  <c:v>1.65</c:v>
                </c:pt>
                <c:pt idx="31">
                  <c:v>1.98</c:v>
                </c:pt>
                <c:pt idx="32">
                  <c:v>2.0699999999999998</c:v>
                </c:pt>
                <c:pt idx="33">
                  <c:v>1.95</c:v>
                </c:pt>
                <c:pt idx="34">
                  <c:v>2.25</c:v>
                </c:pt>
                <c:pt idx="35">
                  <c:v>2.5500000000000012</c:v>
                </c:pt>
                <c:pt idx="36">
                  <c:v>2.8</c:v>
                </c:pt>
                <c:pt idx="37">
                  <c:v>3.08</c:v>
                </c:pt>
                <c:pt idx="38">
                  <c:v>3.38</c:v>
                </c:pt>
                <c:pt idx="39">
                  <c:v>3.29</c:v>
                </c:pt>
                <c:pt idx="40">
                  <c:v>3.05</c:v>
                </c:pt>
                <c:pt idx="41">
                  <c:v>2.97</c:v>
                </c:pt>
                <c:pt idx="42">
                  <c:v>3.15</c:v>
                </c:pt>
                <c:pt idx="43">
                  <c:v>3.26</c:v>
                </c:pt>
                <c:pt idx="44">
                  <c:v>3.62</c:v>
                </c:pt>
                <c:pt idx="45">
                  <c:v>5.07</c:v>
                </c:pt>
                <c:pt idx="46">
                  <c:v>5.68</c:v>
                </c:pt>
                <c:pt idx="47">
                  <c:v>6.01</c:v>
                </c:pt>
                <c:pt idx="48">
                  <c:v>5.6199999999999957</c:v>
                </c:pt>
                <c:pt idx="49">
                  <c:v>5.21</c:v>
                </c:pt>
                <c:pt idx="50">
                  <c:v>5.6</c:v>
                </c:pt>
                <c:pt idx="51">
                  <c:v>5.4600000000000009</c:v>
                </c:pt>
                <c:pt idx="52">
                  <c:v>4.7700000000000014</c:v>
                </c:pt>
                <c:pt idx="53">
                  <c:v>3.78</c:v>
                </c:pt>
                <c:pt idx="54">
                  <c:v>3.53</c:v>
                </c:pt>
                <c:pt idx="55">
                  <c:v>2.99</c:v>
                </c:pt>
                <c:pt idx="56">
                  <c:v>2.91</c:v>
                </c:pt>
                <c:pt idx="57">
                  <c:v>2.9</c:v>
                </c:pt>
                <c:pt idx="58">
                  <c:v>2.92</c:v>
                </c:pt>
                <c:pt idx="59">
                  <c:v>2.78</c:v>
                </c:pt>
                <c:pt idx="60">
                  <c:v>2.52</c:v>
                </c:pt>
                <c:pt idx="61">
                  <c:v>2.65</c:v>
                </c:pt>
                <c:pt idx="62">
                  <c:v>2.5399999999999991</c:v>
                </c:pt>
                <c:pt idx="63">
                  <c:v>2.4</c:v>
                </c:pt>
                <c:pt idx="64">
                  <c:v>2.63</c:v>
                </c:pt>
                <c:pt idx="65">
                  <c:v>3.03</c:v>
                </c:pt>
                <c:pt idx="66">
                  <c:v>3</c:v>
                </c:pt>
                <c:pt idx="67">
                  <c:v>2.96</c:v>
                </c:pt>
                <c:pt idx="68">
                  <c:v>3.01</c:v>
                </c:pt>
                <c:pt idx="69">
                  <c:v>3.18</c:v>
                </c:pt>
                <c:pt idx="70">
                  <c:v>3.16</c:v>
                </c:pt>
                <c:pt idx="71">
                  <c:v>2.8099999999999992</c:v>
                </c:pt>
                <c:pt idx="72">
                  <c:v>2.7</c:v>
                </c:pt>
                <c:pt idx="73">
                  <c:v>2.57</c:v>
                </c:pt>
                <c:pt idx="74">
                  <c:v>2.62</c:v>
                </c:pt>
                <c:pt idx="75">
                  <c:v>2.5599999999999992</c:v>
                </c:pt>
                <c:pt idx="76">
                  <c:v>2.61</c:v>
                </c:pt>
                <c:pt idx="77">
                  <c:v>2.75</c:v>
                </c:pt>
                <c:pt idx="78">
                  <c:v>2.76</c:v>
                </c:pt>
                <c:pt idx="79">
                  <c:v>3.06</c:v>
                </c:pt>
                <c:pt idx="80">
                  <c:v>3.29</c:v>
                </c:pt>
                <c:pt idx="81">
                  <c:v>3.22</c:v>
                </c:pt>
                <c:pt idx="82">
                  <c:v>3.13</c:v>
                </c:pt>
                <c:pt idx="83">
                  <c:v>3.27</c:v>
                </c:pt>
                <c:pt idx="84">
                  <c:v>3.2600000000000011</c:v>
                </c:pt>
                <c:pt idx="85">
                  <c:v>3.17</c:v>
                </c:pt>
                <c:pt idx="86">
                  <c:v>3.06</c:v>
                </c:pt>
                <c:pt idx="87">
                  <c:v>3.140000000000001</c:v>
                </c:pt>
                <c:pt idx="88">
                  <c:v>3.27</c:v>
                </c:pt>
                <c:pt idx="89">
                  <c:v>3.399999999999999</c:v>
                </c:pt>
                <c:pt idx="90">
                  <c:v>3.34</c:v>
                </c:pt>
                <c:pt idx="91">
                  <c:v>3.23</c:v>
                </c:pt>
                <c:pt idx="92">
                  <c:v>3.12</c:v>
                </c:pt>
                <c:pt idx="93">
                  <c:v>2.83</c:v>
                </c:pt>
                <c:pt idx="94">
                  <c:v>2.86</c:v>
                </c:pt>
                <c:pt idx="95">
                  <c:v>2.91</c:v>
                </c:pt>
                <c:pt idx="96">
                  <c:v>2.82</c:v>
                </c:pt>
                <c:pt idx="97">
                  <c:v>2.87</c:v>
                </c:pt>
                <c:pt idx="98">
                  <c:v>2.89</c:v>
                </c:pt>
                <c:pt idx="99">
                  <c:v>2.83</c:v>
                </c:pt>
                <c:pt idx="100">
                  <c:v>2.8000000000000012</c:v>
                </c:pt>
                <c:pt idx="101">
                  <c:v>2.89</c:v>
                </c:pt>
                <c:pt idx="102">
                  <c:v>2.74</c:v>
                </c:pt>
                <c:pt idx="103">
                  <c:v>2.68</c:v>
                </c:pt>
                <c:pt idx="104">
                  <c:v>2.66</c:v>
                </c:pt>
                <c:pt idx="105">
                  <c:v>2.6899999999999991</c:v>
                </c:pt>
                <c:pt idx="106">
                  <c:v>2.66</c:v>
                </c:pt>
                <c:pt idx="107">
                  <c:v>2.48</c:v>
                </c:pt>
                <c:pt idx="108">
                  <c:v>2.33</c:v>
                </c:pt>
                <c:pt idx="109">
                  <c:v>2.39</c:v>
                </c:pt>
                <c:pt idx="110">
                  <c:v>2.3399999999999981</c:v>
                </c:pt>
                <c:pt idx="111">
                  <c:v>2.19</c:v>
                </c:pt>
                <c:pt idx="112">
                  <c:v>2.2000000000000002</c:v>
                </c:pt>
                <c:pt idx="113">
                  <c:v>2.2000000000000002</c:v>
                </c:pt>
                <c:pt idx="114">
                  <c:v>2.19</c:v>
                </c:pt>
                <c:pt idx="115">
                  <c:v>2.27</c:v>
                </c:pt>
                <c:pt idx="116">
                  <c:v>2.27</c:v>
                </c:pt>
                <c:pt idx="117">
                  <c:v>2.39</c:v>
                </c:pt>
                <c:pt idx="118">
                  <c:v>2.46</c:v>
                </c:pt>
              </c:numCache>
            </c:numRef>
          </c:val>
          <c:smooth val="0"/>
          <c:extLst>
            <c:ext xmlns:c16="http://schemas.microsoft.com/office/drawing/2014/chart" uri="{C3380CC4-5D6E-409C-BE32-E72D297353CC}">
              <c16:uniqueId val="{00000001-ACED-4183-9C4C-ACA2C8249CB4}"/>
            </c:ext>
          </c:extLst>
        </c:ser>
        <c:dLbls>
          <c:showLegendKey val="0"/>
          <c:showVal val="0"/>
          <c:showCatName val="0"/>
          <c:showSerName val="0"/>
          <c:showPercent val="0"/>
          <c:showBubbleSize val="0"/>
        </c:dLbls>
        <c:smooth val="0"/>
        <c:axId val="309754976"/>
        <c:axId val="309755360"/>
      </c:lineChart>
      <c:dateAx>
        <c:axId val="309754976"/>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09755360"/>
        <c:crosses val="autoZero"/>
        <c:auto val="1"/>
        <c:lblOffset val="100"/>
        <c:baseTimeUnit val="months"/>
      </c:dateAx>
      <c:valAx>
        <c:axId val="309755360"/>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SG"/>
                  <a:t>Yield (%)</a:t>
                </a:r>
              </a:p>
            </c:rich>
          </c:tx>
          <c:overlay val="0"/>
          <c:spPr>
            <a:noFill/>
            <a:ln>
              <a:noFill/>
            </a:ln>
            <a:effectLst/>
          </c:spPr>
        </c:title>
        <c:numFmt formatCode="#,##0.0" sourceLinked="0"/>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309754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a:latin typeface="Arial" panose="020B0604020202020204" pitchFamily="34" charset="0"/>
          <a:cs typeface="Arial" panose="020B0604020202020204" pitchFamily="34"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Sheet1!$M$3</c:f>
              <c:strCache>
                <c:ptCount val="1"/>
                <c:pt idx="0">
                  <c:v>CNY Curve</c:v>
                </c:pt>
              </c:strCache>
            </c:strRef>
          </c:tx>
          <c:spPr>
            <a:ln w="28575" cap="rnd">
              <a:solidFill>
                <a:schemeClr val="tx1">
                  <a:lumMod val="50000"/>
                  <a:lumOff val="50000"/>
                </a:schemeClr>
              </a:solidFill>
              <a:prstDash val="sysDash"/>
              <a:round/>
            </a:ln>
            <a:effectLst/>
          </c:spPr>
          <c:marker>
            <c:symbol val="none"/>
          </c:marker>
          <c:cat>
            <c:strRef>
              <c:f>Sheet1!$L$4:$L$10</c:f>
              <c:strCache>
                <c:ptCount val="7"/>
                <c:pt idx="0">
                  <c:v>1Y</c:v>
                </c:pt>
                <c:pt idx="1">
                  <c:v>2Y</c:v>
                </c:pt>
                <c:pt idx="2">
                  <c:v>3Y</c:v>
                </c:pt>
                <c:pt idx="3">
                  <c:v>5Y</c:v>
                </c:pt>
                <c:pt idx="4">
                  <c:v>7Y</c:v>
                </c:pt>
                <c:pt idx="5">
                  <c:v>10Y</c:v>
                </c:pt>
                <c:pt idx="6">
                  <c:v>30Y</c:v>
                </c:pt>
              </c:strCache>
            </c:strRef>
          </c:cat>
          <c:val>
            <c:numRef>
              <c:f>Sheet1!$M$4:$M$10</c:f>
              <c:numCache>
                <c:formatCode>0.00%</c:formatCode>
                <c:ptCount val="7"/>
                <c:pt idx="0">
                  <c:v>3.3399999999999999E-2</c:v>
                </c:pt>
                <c:pt idx="1">
                  <c:v>3.4500000000000003E-2</c:v>
                </c:pt>
                <c:pt idx="2">
                  <c:v>3.4299999999999997E-2</c:v>
                </c:pt>
                <c:pt idx="3">
                  <c:v>3.5799999999999998E-2</c:v>
                </c:pt>
                <c:pt idx="4">
                  <c:v>3.7199999999999997E-2</c:v>
                </c:pt>
                <c:pt idx="5">
                  <c:v>3.78E-2</c:v>
                </c:pt>
                <c:pt idx="6">
                  <c:v>4.2500000000000003E-2</c:v>
                </c:pt>
              </c:numCache>
            </c:numRef>
          </c:val>
          <c:smooth val="0"/>
          <c:extLst>
            <c:ext xmlns:c16="http://schemas.microsoft.com/office/drawing/2014/chart" uri="{C3380CC4-5D6E-409C-BE32-E72D297353CC}">
              <c16:uniqueId val="{00000000-340D-4037-AB06-363212C96D61}"/>
            </c:ext>
          </c:extLst>
        </c:ser>
        <c:ser>
          <c:idx val="1"/>
          <c:order val="1"/>
          <c:tx>
            <c:strRef>
              <c:f>Sheet1!$N$3</c:f>
              <c:strCache>
                <c:ptCount val="1"/>
                <c:pt idx="0">
                  <c:v>U.S. Treasuries Curve</c:v>
                </c:pt>
              </c:strCache>
            </c:strRef>
          </c:tx>
          <c:spPr>
            <a:ln w="28575" cap="rnd">
              <a:solidFill>
                <a:schemeClr val="tx1"/>
              </a:solidFill>
              <a:round/>
            </a:ln>
            <a:effectLst/>
          </c:spPr>
          <c:marker>
            <c:symbol val="none"/>
          </c:marker>
          <c:cat>
            <c:strRef>
              <c:f>Sheet1!$L$4:$L$10</c:f>
              <c:strCache>
                <c:ptCount val="7"/>
                <c:pt idx="0">
                  <c:v>1Y</c:v>
                </c:pt>
                <c:pt idx="1">
                  <c:v>2Y</c:v>
                </c:pt>
                <c:pt idx="2">
                  <c:v>3Y</c:v>
                </c:pt>
                <c:pt idx="3">
                  <c:v>5Y</c:v>
                </c:pt>
                <c:pt idx="4">
                  <c:v>7Y</c:v>
                </c:pt>
                <c:pt idx="5">
                  <c:v>10Y</c:v>
                </c:pt>
                <c:pt idx="6">
                  <c:v>30Y</c:v>
                </c:pt>
              </c:strCache>
            </c:strRef>
          </c:cat>
          <c:val>
            <c:numRef>
              <c:f>Sheet1!$N$4:$N$10</c:f>
              <c:numCache>
                <c:formatCode>0.00%</c:formatCode>
                <c:ptCount val="7"/>
                <c:pt idx="0">
                  <c:v>8.9999999999999998E-4</c:v>
                </c:pt>
                <c:pt idx="1">
                  <c:v>4.8999999999999998E-3</c:v>
                </c:pt>
                <c:pt idx="2">
                  <c:v>9.1999999999999998E-3</c:v>
                </c:pt>
                <c:pt idx="3">
                  <c:v>1.61E-2</c:v>
                </c:pt>
                <c:pt idx="4">
                  <c:v>2.0400000000000001E-2</c:v>
                </c:pt>
                <c:pt idx="5">
                  <c:v>2.3400000000000001E-2</c:v>
                </c:pt>
                <c:pt idx="6">
                  <c:v>3.0700000000000002E-2</c:v>
                </c:pt>
              </c:numCache>
            </c:numRef>
          </c:val>
          <c:smooth val="0"/>
          <c:extLst>
            <c:ext xmlns:c16="http://schemas.microsoft.com/office/drawing/2014/chart" uri="{C3380CC4-5D6E-409C-BE32-E72D297353CC}">
              <c16:uniqueId val="{00000001-340D-4037-AB06-363212C96D61}"/>
            </c:ext>
          </c:extLst>
        </c:ser>
        <c:dLbls>
          <c:showLegendKey val="0"/>
          <c:showVal val="0"/>
          <c:showCatName val="0"/>
          <c:showSerName val="0"/>
          <c:showPercent val="0"/>
          <c:showBubbleSize val="0"/>
        </c:dLbls>
        <c:smooth val="0"/>
        <c:axId val="250280960"/>
        <c:axId val="309920744"/>
      </c:lineChart>
      <c:catAx>
        <c:axId val="250280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920744"/>
        <c:crosses val="autoZero"/>
        <c:auto val="1"/>
        <c:lblAlgn val="ctr"/>
        <c:lblOffset val="100"/>
        <c:noMultiLvlLbl val="0"/>
      </c:catAx>
      <c:valAx>
        <c:axId val="3099207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280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597D7-530D-4487-BFD0-255B866EB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4455</Words>
  <Characters>25396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Pepers, Karen</cp:lastModifiedBy>
  <cp:revision>4</cp:revision>
  <cp:lastPrinted>2017-02-21T19:32:00Z</cp:lastPrinted>
  <dcterms:created xsi:type="dcterms:W3CDTF">2017-02-21T19:38:00Z</dcterms:created>
  <dcterms:modified xsi:type="dcterms:W3CDTF">2020-07-20T13:58:00Z</dcterms:modified>
</cp:coreProperties>
</file>