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FD2EF1" w14:paraId="07B3E8A8" w14:textId="77777777" w:rsidTr="0056537D">
        <w:tc>
          <w:tcPr>
            <w:tcW w:w="4788" w:type="dxa"/>
          </w:tcPr>
          <w:p w14:paraId="4F715FD3" w14:textId="77777777" w:rsidR="00FD2EF1" w:rsidRDefault="00FD2EF1" w:rsidP="0056537D">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1BF12E0E" wp14:editId="0E808B55">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4B75F7E5" w14:textId="77777777" w:rsidR="00FD2EF1" w:rsidRDefault="00FD2EF1" w:rsidP="0056537D">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69504" behindDoc="1" locked="0" layoutInCell="1" allowOverlap="1" wp14:anchorId="746DF0DA" wp14:editId="38BDC525">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846A8FD" w14:textId="77777777" w:rsidR="00FD2EF1" w:rsidRPr="00280D94" w:rsidRDefault="00FD2EF1" w:rsidP="008467D5">
      <w:pPr>
        <w:pBdr>
          <w:bottom w:val="single" w:sz="18" w:space="1" w:color="auto"/>
        </w:pBdr>
        <w:tabs>
          <w:tab w:val="left" w:pos="-1440"/>
          <w:tab w:val="left" w:pos="-720"/>
          <w:tab w:val="left" w:pos="1"/>
        </w:tabs>
        <w:jc w:val="both"/>
        <w:rPr>
          <w:rFonts w:ascii="Arial" w:hAnsi="Arial"/>
          <w:b/>
          <w:sz w:val="24"/>
          <w:lang w:val="en-GB"/>
        </w:rPr>
      </w:pPr>
    </w:p>
    <w:p w14:paraId="0BF64DD9" w14:textId="1D300F10" w:rsidR="00D75295" w:rsidRPr="00280D94" w:rsidRDefault="00D42E2B" w:rsidP="00F105B7">
      <w:pPr>
        <w:pStyle w:val="ProductNumber"/>
        <w:rPr>
          <w:lang w:val="en-GB"/>
        </w:rPr>
      </w:pPr>
      <w:r>
        <w:rPr>
          <w:lang w:val="en-GB"/>
        </w:rPr>
        <w:t>9B17N</w:t>
      </w:r>
      <w:r w:rsidR="00FD2EF1">
        <w:rPr>
          <w:lang w:val="en-GB"/>
        </w:rPr>
        <w:t>002</w:t>
      </w:r>
    </w:p>
    <w:p w14:paraId="03154432" w14:textId="77777777" w:rsidR="00D75295" w:rsidRPr="00280D94" w:rsidRDefault="00D75295" w:rsidP="00D75295">
      <w:pPr>
        <w:jc w:val="right"/>
        <w:rPr>
          <w:rFonts w:ascii="Arial" w:hAnsi="Arial"/>
          <w:b/>
          <w:sz w:val="28"/>
          <w:szCs w:val="28"/>
          <w:lang w:val="en-GB"/>
        </w:rPr>
      </w:pPr>
    </w:p>
    <w:p w14:paraId="61E5D4C7" w14:textId="77777777" w:rsidR="00866F6D" w:rsidRPr="00280D94" w:rsidRDefault="00866F6D" w:rsidP="00D75295">
      <w:pPr>
        <w:jc w:val="right"/>
        <w:rPr>
          <w:rFonts w:ascii="Arial" w:hAnsi="Arial"/>
          <w:b/>
          <w:sz w:val="28"/>
          <w:szCs w:val="28"/>
          <w:lang w:val="en-GB"/>
        </w:rPr>
      </w:pPr>
    </w:p>
    <w:p w14:paraId="4920D35A" w14:textId="6AF8EC6B" w:rsidR="004E327F" w:rsidRPr="00280D94" w:rsidRDefault="00D42E2B" w:rsidP="00013360">
      <w:pPr>
        <w:pStyle w:val="CaseTitle"/>
        <w:spacing w:after="0" w:line="240" w:lineRule="auto"/>
        <w:rPr>
          <w:lang w:val="en-GB"/>
        </w:rPr>
      </w:pPr>
      <w:r>
        <w:rPr>
          <w:smallCaps/>
          <w:lang w:val="en-GB"/>
        </w:rPr>
        <w:t>WH GROUP: A</w:t>
      </w:r>
      <w:r w:rsidR="00D52B78" w:rsidRPr="00280D94">
        <w:rPr>
          <w:smallCaps/>
          <w:lang w:val="en-GB"/>
        </w:rPr>
        <w:t xml:space="preserve"> FAILED IPO IN HONG KONG</w:t>
      </w:r>
      <w:r w:rsidR="004E327F" w:rsidRPr="00280D94">
        <w:rPr>
          <w:rStyle w:val="EndnoteReference"/>
          <w:smallCaps/>
          <w:lang w:val="en-GB"/>
        </w:rPr>
        <w:endnoteReference w:id="1"/>
      </w:r>
    </w:p>
    <w:p w14:paraId="0B58F43F" w14:textId="77777777" w:rsidR="004E327F" w:rsidRPr="00280D94" w:rsidRDefault="004E327F" w:rsidP="00013360">
      <w:pPr>
        <w:pStyle w:val="CaseTitle"/>
        <w:spacing w:after="0" w:line="240" w:lineRule="auto"/>
        <w:rPr>
          <w:sz w:val="20"/>
          <w:szCs w:val="20"/>
          <w:lang w:val="en-GB"/>
        </w:rPr>
      </w:pPr>
    </w:p>
    <w:p w14:paraId="6E9ED27A" w14:textId="77777777" w:rsidR="004E327F" w:rsidRPr="00280D94" w:rsidRDefault="004E327F" w:rsidP="00013360">
      <w:pPr>
        <w:pStyle w:val="CaseTitle"/>
        <w:spacing w:after="0" w:line="240" w:lineRule="auto"/>
        <w:rPr>
          <w:sz w:val="20"/>
          <w:szCs w:val="20"/>
          <w:lang w:val="en-GB"/>
        </w:rPr>
      </w:pPr>
    </w:p>
    <w:p w14:paraId="5DFD77FF" w14:textId="77777777" w:rsidR="004E327F" w:rsidRPr="00280D94" w:rsidRDefault="004E327F" w:rsidP="00013360">
      <w:pPr>
        <w:pStyle w:val="CaseTitle"/>
        <w:spacing w:after="0" w:line="240" w:lineRule="auto"/>
        <w:rPr>
          <w:sz w:val="20"/>
          <w:szCs w:val="20"/>
          <w:lang w:val="en-GB"/>
        </w:rPr>
      </w:pPr>
    </w:p>
    <w:p w14:paraId="5FF15E35" w14:textId="77777777" w:rsidR="004E327F" w:rsidRPr="00280D94" w:rsidRDefault="00840FBB" w:rsidP="00104567">
      <w:pPr>
        <w:pStyle w:val="StyleCopyrightStatementAfter0ptBottomSinglesolidline1"/>
        <w:rPr>
          <w:lang w:val="en-GB"/>
        </w:rPr>
      </w:pPr>
      <w:r w:rsidRPr="00280D94">
        <w:rPr>
          <w:lang w:val="en-GB"/>
        </w:rPr>
        <w:t xml:space="preserve">Emir Hrnjic </w:t>
      </w:r>
      <w:r w:rsidR="004E327F" w:rsidRPr="00280D94">
        <w:rPr>
          <w:lang w:val="en-GB"/>
        </w:rPr>
        <w:t>wrote this case solely to provide material for class discussion. The</w:t>
      </w:r>
      <w:r w:rsidRPr="00280D94">
        <w:rPr>
          <w:lang w:val="en-GB"/>
        </w:rPr>
        <w:t xml:space="preserve"> author </w:t>
      </w:r>
      <w:r w:rsidR="004E327F" w:rsidRPr="00280D94">
        <w:rPr>
          <w:lang w:val="en-GB"/>
        </w:rPr>
        <w:t>do</w:t>
      </w:r>
      <w:r w:rsidRPr="00280D94">
        <w:rPr>
          <w:lang w:val="en-GB"/>
        </w:rPr>
        <w:t>es</w:t>
      </w:r>
      <w:r w:rsidR="004E327F" w:rsidRPr="00280D94">
        <w:rPr>
          <w:lang w:val="en-GB"/>
        </w:rPr>
        <w:t xml:space="preserve"> not intend to illustrate either effective or ineffective handling of a m</w:t>
      </w:r>
      <w:r w:rsidRPr="00280D94">
        <w:rPr>
          <w:lang w:val="en-GB"/>
        </w:rPr>
        <w:t>anagerial situation. The author</w:t>
      </w:r>
      <w:r w:rsidR="004E327F" w:rsidRPr="00280D94">
        <w:rPr>
          <w:lang w:val="en-GB"/>
        </w:rPr>
        <w:t xml:space="preserve"> may have disguised certain names and other identifying information to protect confidentiality.</w:t>
      </w:r>
    </w:p>
    <w:p w14:paraId="49B7F8A9" w14:textId="77777777" w:rsidR="004E327F" w:rsidRPr="00280D94" w:rsidRDefault="004E327F" w:rsidP="00104567">
      <w:pPr>
        <w:pStyle w:val="StyleCopyrightStatementAfter0ptBottomSinglesolidline1"/>
        <w:rPr>
          <w:lang w:val="en-GB"/>
        </w:rPr>
      </w:pPr>
    </w:p>
    <w:p w14:paraId="77E382E7" w14:textId="77777777" w:rsidR="00D42E2B" w:rsidRDefault="00D42E2B" w:rsidP="00D42E2B">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E21DABE" w14:textId="77777777" w:rsidR="00D42E2B" w:rsidRDefault="00D42E2B" w:rsidP="00D42E2B">
      <w:pPr>
        <w:pStyle w:val="StyleCopyrightStatementAfter0ptBottomSinglesolidline1"/>
        <w:pBdr>
          <w:top w:val="none" w:sz="0" w:space="0" w:color="auto"/>
        </w:pBdr>
      </w:pPr>
    </w:p>
    <w:p w14:paraId="4354E331" w14:textId="42299B05" w:rsidR="004E327F" w:rsidRPr="00280D94" w:rsidRDefault="00D42E2B" w:rsidP="00D42E2B">
      <w:pPr>
        <w:pStyle w:val="StyleStyleCopyrightStatementAfter0ptBottomSinglesolid"/>
        <w:rPr>
          <w:lang w:val="en-GB"/>
        </w:rPr>
      </w:pPr>
      <w:r>
        <w:t xml:space="preserve">Copyright © 2017, </w:t>
      </w:r>
      <w:r w:rsidR="00FD2EF1">
        <w:t xml:space="preserve">National University of Singapore and </w:t>
      </w:r>
      <w:r>
        <w:t>Richard Ivey School of Business Foundation</w:t>
      </w:r>
      <w:r>
        <w:tab/>
      </w:r>
      <w:r w:rsidR="004E327F" w:rsidRPr="00280D94">
        <w:rPr>
          <w:lang w:val="en-GB"/>
        </w:rPr>
        <w:t>Version: 201</w:t>
      </w:r>
      <w:r>
        <w:rPr>
          <w:lang w:val="en-GB"/>
        </w:rPr>
        <w:t>7</w:t>
      </w:r>
      <w:r w:rsidR="004E327F" w:rsidRPr="00280D94">
        <w:rPr>
          <w:lang w:val="en-GB"/>
        </w:rPr>
        <w:t>-</w:t>
      </w:r>
      <w:r w:rsidR="00FD2EF1">
        <w:rPr>
          <w:lang w:val="en-GB"/>
        </w:rPr>
        <w:t>02</w:t>
      </w:r>
      <w:r w:rsidR="004E327F" w:rsidRPr="00280D94">
        <w:rPr>
          <w:lang w:val="en-GB"/>
        </w:rPr>
        <w:t>-</w:t>
      </w:r>
      <w:r w:rsidR="00FD2EF1">
        <w:rPr>
          <w:lang w:val="en-GB"/>
        </w:rPr>
        <w:t>21</w:t>
      </w:r>
    </w:p>
    <w:p w14:paraId="2A9C959C" w14:textId="77777777" w:rsidR="004E327F" w:rsidRPr="00280D94" w:rsidRDefault="004E327F" w:rsidP="00104567">
      <w:pPr>
        <w:pStyle w:val="StyleCopyrightStatementAfter0ptBottomSinglesolidline1"/>
        <w:rPr>
          <w:rFonts w:ascii="Times New Roman" w:hAnsi="Times New Roman"/>
          <w:sz w:val="20"/>
          <w:lang w:val="en-GB"/>
        </w:rPr>
      </w:pPr>
    </w:p>
    <w:p w14:paraId="54244E19" w14:textId="77777777" w:rsidR="004E327F" w:rsidRPr="00280D94" w:rsidRDefault="004E327F" w:rsidP="00471088">
      <w:pPr>
        <w:pStyle w:val="StyleCopyrightStatementAfter0ptBottomSinglesolidline1"/>
        <w:pBdr>
          <w:top w:val="none" w:sz="0" w:space="0" w:color="auto"/>
        </w:pBdr>
        <w:rPr>
          <w:rFonts w:ascii="Times New Roman" w:hAnsi="Times New Roman"/>
          <w:i w:val="0"/>
          <w:sz w:val="22"/>
          <w:szCs w:val="22"/>
          <w:lang w:val="en-GB"/>
        </w:rPr>
      </w:pPr>
    </w:p>
    <w:p w14:paraId="0FD4F96A" w14:textId="6479AF97" w:rsidR="004E327F" w:rsidRPr="00280D94" w:rsidRDefault="004E327F" w:rsidP="00D52B78">
      <w:pPr>
        <w:pStyle w:val="BodyTextMain"/>
        <w:rPr>
          <w:rFonts w:eastAsiaTheme="minorHAnsi"/>
          <w:b/>
          <w:bCs/>
          <w:spacing w:val="-4"/>
          <w:kern w:val="22"/>
          <w:lang w:val="en-GB"/>
        </w:rPr>
      </w:pPr>
      <w:r w:rsidRPr="00280D94">
        <w:rPr>
          <w:rFonts w:eastAsiaTheme="minorHAnsi"/>
          <w:spacing w:val="-4"/>
          <w:kern w:val="22"/>
          <w:lang w:val="en-GB"/>
        </w:rPr>
        <w:t>In July 2014, WH Group’s</w:t>
      </w:r>
      <w:r w:rsidR="00CD4893" w:rsidRPr="00280D94">
        <w:rPr>
          <w:rFonts w:eastAsiaTheme="minorHAnsi"/>
          <w:spacing w:val="-4"/>
          <w:kern w:val="22"/>
          <w:lang w:val="en-GB"/>
        </w:rPr>
        <w:t xml:space="preserve"> </w:t>
      </w:r>
      <w:proofErr w:type="gramStart"/>
      <w:r w:rsidR="00CD4893" w:rsidRPr="00280D94">
        <w:rPr>
          <w:rFonts w:eastAsiaTheme="minorHAnsi"/>
          <w:spacing w:val="-4"/>
          <w:kern w:val="22"/>
          <w:lang w:val="en-GB"/>
        </w:rPr>
        <w:t>c</w:t>
      </w:r>
      <w:r w:rsidRPr="00280D94">
        <w:rPr>
          <w:rFonts w:eastAsiaTheme="minorHAnsi"/>
          <w:spacing w:val="-4"/>
          <w:kern w:val="22"/>
          <w:lang w:val="en-GB"/>
        </w:rPr>
        <w:t>hairman</w:t>
      </w:r>
      <w:proofErr w:type="gramEnd"/>
      <w:r w:rsidRPr="00280D94">
        <w:rPr>
          <w:rFonts w:eastAsiaTheme="minorHAnsi"/>
          <w:spacing w:val="-4"/>
          <w:kern w:val="22"/>
          <w:lang w:val="en-GB"/>
        </w:rPr>
        <w:t xml:space="preserve"> and</w:t>
      </w:r>
      <w:r w:rsidR="00CD4893" w:rsidRPr="00280D94">
        <w:rPr>
          <w:rFonts w:eastAsiaTheme="minorHAnsi"/>
          <w:spacing w:val="-4"/>
          <w:kern w:val="22"/>
          <w:lang w:val="en-GB"/>
        </w:rPr>
        <w:t xml:space="preserve"> chief executive officer</w:t>
      </w:r>
      <w:r w:rsidRPr="00280D94">
        <w:rPr>
          <w:rFonts w:eastAsiaTheme="minorHAnsi"/>
          <w:spacing w:val="-4"/>
          <w:kern w:val="22"/>
          <w:lang w:val="en-GB"/>
        </w:rPr>
        <w:t xml:space="preserve"> </w:t>
      </w:r>
      <w:r w:rsidR="00CD4893" w:rsidRPr="00280D94">
        <w:rPr>
          <w:rFonts w:eastAsiaTheme="minorHAnsi"/>
          <w:spacing w:val="-4"/>
          <w:kern w:val="22"/>
          <w:lang w:val="en-GB"/>
        </w:rPr>
        <w:t>(</w:t>
      </w:r>
      <w:r w:rsidRPr="00280D94">
        <w:rPr>
          <w:rFonts w:eastAsiaTheme="minorHAnsi"/>
          <w:spacing w:val="-4"/>
          <w:kern w:val="22"/>
          <w:lang w:val="en-GB"/>
        </w:rPr>
        <w:t>CEO</w:t>
      </w:r>
      <w:r w:rsidR="00CD4893" w:rsidRPr="00280D94">
        <w:rPr>
          <w:rFonts w:eastAsiaTheme="minorHAnsi"/>
          <w:spacing w:val="-4"/>
          <w:kern w:val="22"/>
          <w:lang w:val="en-GB"/>
        </w:rPr>
        <w:t>)</w:t>
      </w:r>
      <w:r w:rsidRPr="00280D94">
        <w:rPr>
          <w:rFonts w:eastAsiaTheme="minorHAnsi"/>
          <w:spacing w:val="-4"/>
          <w:kern w:val="22"/>
          <w:lang w:val="en-GB"/>
        </w:rPr>
        <w:t xml:space="preserve"> Wan Long, nicknamed </w:t>
      </w:r>
      <w:r w:rsidR="001B5FD7">
        <w:rPr>
          <w:rFonts w:eastAsiaTheme="minorHAnsi"/>
          <w:spacing w:val="-4"/>
          <w:kern w:val="22"/>
          <w:lang w:val="en-GB"/>
        </w:rPr>
        <w:t>“</w:t>
      </w:r>
      <w:r w:rsidRPr="00280D94">
        <w:rPr>
          <w:rFonts w:eastAsiaTheme="minorHAnsi"/>
          <w:spacing w:val="-4"/>
          <w:kern w:val="22"/>
          <w:lang w:val="en-GB"/>
        </w:rPr>
        <w:t>China’s number one butcher</w:t>
      </w:r>
      <w:r w:rsidR="001B5FD7">
        <w:rPr>
          <w:rFonts w:eastAsiaTheme="minorHAnsi"/>
          <w:spacing w:val="-4"/>
          <w:kern w:val="22"/>
          <w:lang w:val="en-GB"/>
        </w:rPr>
        <w:t>,</w:t>
      </w:r>
      <w:r w:rsidRPr="00280D94">
        <w:rPr>
          <w:rFonts w:eastAsiaTheme="minorHAnsi"/>
          <w:spacing w:val="-4"/>
          <w:kern w:val="22"/>
          <w:lang w:val="en-GB"/>
        </w:rPr>
        <w:t>”</w:t>
      </w:r>
      <w:r w:rsidRPr="00280D94">
        <w:rPr>
          <w:rStyle w:val="EndnoteReference"/>
          <w:rFonts w:eastAsiaTheme="minorHAnsi"/>
          <w:spacing w:val="-4"/>
          <w:kern w:val="22"/>
          <w:lang w:val="en-GB"/>
        </w:rPr>
        <w:endnoteReference w:id="2"/>
      </w:r>
      <w:r w:rsidRPr="00280D94">
        <w:rPr>
          <w:rFonts w:eastAsiaTheme="minorHAnsi"/>
          <w:spacing w:val="-4"/>
          <w:kern w:val="22"/>
          <w:lang w:val="en-GB"/>
        </w:rPr>
        <w:t xml:space="preserve"> resumed his normal work schedule in Hong Kong.</w:t>
      </w:r>
      <w:r w:rsidRPr="00280D94">
        <w:rPr>
          <w:rStyle w:val="EndnoteReference"/>
          <w:rFonts w:eastAsiaTheme="minorHAnsi"/>
          <w:spacing w:val="-4"/>
          <w:kern w:val="22"/>
          <w:lang w:val="en-GB"/>
        </w:rPr>
        <w:endnoteReference w:id="3"/>
      </w:r>
      <w:r w:rsidRPr="00280D94">
        <w:rPr>
          <w:rFonts w:eastAsiaTheme="minorHAnsi"/>
          <w:spacing w:val="-4"/>
          <w:kern w:val="22"/>
          <w:lang w:val="en-GB"/>
        </w:rPr>
        <w:t xml:space="preserve"> After successfully building </w:t>
      </w:r>
      <w:r w:rsidR="00C227CA" w:rsidRPr="00280D94">
        <w:rPr>
          <w:rFonts w:eastAsiaTheme="minorHAnsi"/>
          <w:spacing w:val="-4"/>
          <w:kern w:val="22"/>
          <w:lang w:val="en-GB"/>
        </w:rPr>
        <w:t xml:space="preserve">the </w:t>
      </w:r>
      <w:proofErr w:type="gramStart"/>
      <w:r w:rsidRPr="00280D94">
        <w:rPr>
          <w:rFonts w:eastAsiaTheme="minorHAnsi"/>
          <w:spacing w:val="-4"/>
          <w:kern w:val="22"/>
          <w:lang w:val="en-GB"/>
        </w:rPr>
        <w:t>meat</w:t>
      </w:r>
      <w:r w:rsidR="002341E4">
        <w:rPr>
          <w:rFonts w:eastAsiaTheme="minorHAnsi"/>
          <w:spacing w:val="-4"/>
          <w:kern w:val="22"/>
          <w:lang w:val="en-GB"/>
        </w:rPr>
        <w:t xml:space="preserve"> </w:t>
      </w:r>
      <w:r w:rsidRPr="00280D94">
        <w:rPr>
          <w:rFonts w:eastAsiaTheme="minorHAnsi"/>
          <w:spacing w:val="-4"/>
          <w:kern w:val="22"/>
          <w:lang w:val="en-GB"/>
        </w:rPr>
        <w:t>processing</w:t>
      </w:r>
      <w:proofErr w:type="gramEnd"/>
      <w:r w:rsidRPr="00280D94">
        <w:rPr>
          <w:rFonts w:eastAsiaTheme="minorHAnsi"/>
          <w:spacing w:val="-4"/>
          <w:kern w:val="22"/>
          <w:lang w:val="en-GB"/>
        </w:rPr>
        <w:t xml:space="preserve"> giant from scratch, he had to cancel the attempt to list WH Group’s shares on </w:t>
      </w:r>
      <w:r w:rsidR="00C227CA" w:rsidRPr="00280D94">
        <w:rPr>
          <w:rFonts w:eastAsiaTheme="minorHAnsi"/>
          <w:spacing w:val="-4"/>
          <w:kern w:val="22"/>
          <w:lang w:val="en-GB"/>
        </w:rPr>
        <w:t xml:space="preserve">the </w:t>
      </w:r>
      <w:r w:rsidRPr="00280D94">
        <w:rPr>
          <w:rFonts w:eastAsiaTheme="minorHAnsi"/>
          <w:spacing w:val="-4"/>
          <w:kern w:val="22"/>
          <w:lang w:val="en-GB"/>
        </w:rPr>
        <w:t xml:space="preserve">Hong Kong Stock </w:t>
      </w:r>
      <w:r w:rsidR="00CD4893" w:rsidRPr="00280D94">
        <w:rPr>
          <w:rFonts w:eastAsiaTheme="minorHAnsi"/>
          <w:spacing w:val="-4"/>
          <w:kern w:val="22"/>
          <w:lang w:val="en-GB"/>
        </w:rPr>
        <w:t xml:space="preserve">Exchange </w:t>
      </w:r>
      <w:r w:rsidRPr="00280D94">
        <w:rPr>
          <w:rFonts w:eastAsiaTheme="minorHAnsi"/>
          <w:spacing w:val="-4"/>
          <w:kern w:val="22"/>
          <w:lang w:val="en-GB"/>
        </w:rPr>
        <w:t xml:space="preserve">via initial public offering (IPO). </w:t>
      </w:r>
      <w:r w:rsidR="00280D94" w:rsidRPr="00280D94">
        <w:rPr>
          <w:rFonts w:eastAsiaTheme="minorHAnsi"/>
          <w:spacing w:val="-4"/>
          <w:kern w:val="22"/>
          <w:lang w:val="en-GB"/>
        </w:rPr>
        <w:t>Rumours</w:t>
      </w:r>
      <w:r w:rsidRPr="00280D94">
        <w:rPr>
          <w:rFonts w:eastAsiaTheme="minorHAnsi"/>
          <w:spacing w:val="-4"/>
          <w:kern w:val="22"/>
          <w:lang w:val="en-GB"/>
        </w:rPr>
        <w:t xml:space="preserve"> surfaced that the failed IPO affected his health.</w:t>
      </w:r>
      <w:r w:rsidRPr="00280D94">
        <w:rPr>
          <w:rStyle w:val="EndnoteReference"/>
          <w:rFonts w:eastAsiaTheme="minorHAnsi"/>
          <w:spacing w:val="-4"/>
          <w:kern w:val="22"/>
          <w:lang w:val="en-GB"/>
        </w:rPr>
        <w:endnoteReference w:id="4"/>
      </w:r>
    </w:p>
    <w:p w14:paraId="7871134C" w14:textId="77777777" w:rsidR="004E327F" w:rsidRPr="00280D94" w:rsidRDefault="004E327F" w:rsidP="00CD4893">
      <w:pPr>
        <w:pStyle w:val="BodyTextMain"/>
        <w:rPr>
          <w:rFonts w:eastAsiaTheme="minorHAnsi"/>
          <w:lang w:val="en-GB"/>
        </w:rPr>
      </w:pPr>
    </w:p>
    <w:p w14:paraId="24FE48DE" w14:textId="67D7CE48" w:rsidR="004E327F" w:rsidRPr="00280D94" w:rsidRDefault="001B5FD7" w:rsidP="00D52B78">
      <w:pPr>
        <w:pStyle w:val="BodyTextMain"/>
        <w:rPr>
          <w:rFonts w:eastAsiaTheme="minorHAnsi"/>
          <w:b/>
          <w:bCs/>
          <w:lang w:val="en-GB"/>
        </w:rPr>
      </w:pPr>
      <w:r>
        <w:rPr>
          <w:rFonts w:eastAsiaTheme="minorHAnsi"/>
          <w:lang w:val="en-GB"/>
        </w:rPr>
        <w:t>With</w:t>
      </w:r>
      <w:r w:rsidR="004E327F" w:rsidRPr="00280D94">
        <w:rPr>
          <w:rFonts w:eastAsiaTheme="minorHAnsi"/>
          <w:lang w:val="en-GB"/>
        </w:rPr>
        <w:t xml:space="preserve"> many challenges ahead </w:t>
      </w:r>
      <w:r w:rsidR="00712C3E" w:rsidRPr="00280D94">
        <w:rPr>
          <w:rFonts w:eastAsiaTheme="minorHAnsi"/>
          <w:lang w:val="en-GB"/>
        </w:rPr>
        <w:t>f</w:t>
      </w:r>
      <w:r>
        <w:rPr>
          <w:rFonts w:eastAsiaTheme="minorHAnsi"/>
          <w:lang w:val="en-GB"/>
        </w:rPr>
        <w:t>or</w:t>
      </w:r>
      <w:r w:rsidR="00712C3E" w:rsidRPr="00280D94">
        <w:rPr>
          <w:rFonts w:eastAsiaTheme="minorHAnsi"/>
          <w:lang w:val="en-GB"/>
        </w:rPr>
        <w:t xml:space="preserve"> </w:t>
      </w:r>
      <w:r w:rsidR="004E327F" w:rsidRPr="00280D94">
        <w:rPr>
          <w:rFonts w:eastAsiaTheme="minorHAnsi"/>
          <w:lang w:val="en-GB"/>
        </w:rPr>
        <w:t>WH Group</w:t>
      </w:r>
      <w:r>
        <w:rPr>
          <w:rFonts w:eastAsiaTheme="minorHAnsi"/>
          <w:lang w:val="en-GB"/>
        </w:rPr>
        <w:t>, Long had some decis</w:t>
      </w:r>
      <w:r w:rsidR="00D10DEC">
        <w:rPr>
          <w:rFonts w:eastAsiaTheme="minorHAnsi"/>
          <w:lang w:val="en-GB"/>
        </w:rPr>
        <w:t>i</w:t>
      </w:r>
      <w:r>
        <w:rPr>
          <w:rFonts w:eastAsiaTheme="minorHAnsi"/>
          <w:lang w:val="en-GB"/>
        </w:rPr>
        <w:t>ons to make about the company’s future</w:t>
      </w:r>
      <w:r w:rsidR="004E327F" w:rsidRPr="00280D94">
        <w:rPr>
          <w:rFonts w:eastAsiaTheme="minorHAnsi"/>
          <w:lang w:val="en-GB"/>
        </w:rPr>
        <w:t>. Should he try again to list his company via initial public offering</w:t>
      </w:r>
      <w:r>
        <w:rPr>
          <w:rFonts w:eastAsiaTheme="minorHAnsi"/>
          <w:lang w:val="en-GB"/>
        </w:rPr>
        <w:t>?</w:t>
      </w:r>
      <w:r w:rsidR="004E327F" w:rsidRPr="00280D94">
        <w:rPr>
          <w:rFonts w:eastAsiaTheme="minorHAnsi"/>
          <w:lang w:val="en-GB"/>
        </w:rPr>
        <w:t xml:space="preserve"> </w:t>
      </w:r>
      <w:proofErr w:type="gramStart"/>
      <w:r>
        <w:rPr>
          <w:rFonts w:eastAsiaTheme="minorHAnsi"/>
          <w:lang w:val="en-GB"/>
        </w:rPr>
        <w:t>O</w:t>
      </w:r>
      <w:r w:rsidR="004E327F" w:rsidRPr="00280D94">
        <w:rPr>
          <w:rFonts w:eastAsiaTheme="minorHAnsi"/>
          <w:lang w:val="en-GB"/>
        </w:rPr>
        <w:t>r</w:t>
      </w:r>
      <w:proofErr w:type="gramEnd"/>
      <w:r w:rsidR="004E327F" w:rsidRPr="00280D94">
        <w:rPr>
          <w:rFonts w:eastAsiaTheme="minorHAnsi"/>
          <w:lang w:val="en-GB"/>
        </w:rPr>
        <w:t xml:space="preserve"> should he keep the company private? </w:t>
      </w:r>
    </w:p>
    <w:p w14:paraId="4A3E22AC" w14:textId="77777777" w:rsidR="004E327F" w:rsidRPr="00280D94" w:rsidRDefault="004E327F" w:rsidP="00CD4893">
      <w:pPr>
        <w:pStyle w:val="BodyTextMain"/>
        <w:rPr>
          <w:rFonts w:eastAsiaTheme="minorHAnsi"/>
          <w:lang w:val="en-GB"/>
        </w:rPr>
      </w:pPr>
    </w:p>
    <w:p w14:paraId="4CC4F8E6" w14:textId="77777777" w:rsidR="004E327F" w:rsidRPr="00280D94" w:rsidRDefault="004E327F" w:rsidP="00CD4893">
      <w:pPr>
        <w:pStyle w:val="BodyTextMain"/>
        <w:rPr>
          <w:rFonts w:eastAsiaTheme="minorHAnsi"/>
          <w:lang w:val="en-GB"/>
        </w:rPr>
      </w:pPr>
    </w:p>
    <w:p w14:paraId="3B8D7648" w14:textId="77777777" w:rsidR="004E327F" w:rsidRPr="00280D94" w:rsidRDefault="004E327F" w:rsidP="00D52B78">
      <w:pPr>
        <w:pStyle w:val="Casehead1"/>
        <w:rPr>
          <w:lang w:val="en-GB"/>
        </w:rPr>
      </w:pPr>
      <w:r w:rsidRPr="00280D94">
        <w:rPr>
          <w:lang w:val="en-GB"/>
        </w:rPr>
        <w:t>WH GROUP’S ORIGINS</w:t>
      </w:r>
    </w:p>
    <w:p w14:paraId="3CFF831F" w14:textId="77777777" w:rsidR="004E327F" w:rsidRPr="00280D94" w:rsidRDefault="004E327F" w:rsidP="00D52B78">
      <w:pPr>
        <w:pStyle w:val="BodyTextMain"/>
        <w:rPr>
          <w:lang w:val="en-GB"/>
        </w:rPr>
      </w:pPr>
    </w:p>
    <w:p w14:paraId="3156035F" w14:textId="3BEB4981" w:rsidR="004E327F" w:rsidRPr="00280D94" w:rsidRDefault="004E327F" w:rsidP="00D52B78">
      <w:pPr>
        <w:pStyle w:val="BodyTextMain"/>
        <w:rPr>
          <w:spacing w:val="-2"/>
          <w:kern w:val="22"/>
          <w:lang w:val="en-GB"/>
        </w:rPr>
      </w:pPr>
      <w:r w:rsidRPr="00280D94">
        <w:rPr>
          <w:spacing w:val="-2"/>
          <w:kern w:val="22"/>
          <w:lang w:val="en-GB"/>
        </w:rPr>
        <w:t xml:space="preserve">WH Group originated from the merger between two </w:t>
      </w:r>
      <w:proofErr w:type="gramStart"/>
      <w:r w:rsidRPr="00280D94">
        <w:rPr>
          <w:spacing w:val="-2"/>
          <w:kern w:val="22"/>
          <w:lang w:val="en-GB"/>
        </w:rPr>
        <w:t>meat</w:t>
      </w:r>
      <w:r w:rsidR="002341E4">
        <w:rPr>
          <w:spacing w:val="-2"/>
          <w:kern w:val="22"/>
          <w:lang w:val="en-GB"/>
        </w:rPr>
        <w:t xml:space="preserve"> </w:t>
      </w:r>
      <w:r w:rsidRPr="00280D94">
        <w:rPr>
          <w:spacing w:val="-2"/>
          <w:kern w:val="22"/>
          <w:lang w:val="en-GB"/>
        </w:rPr>
        <w:t>processing</w:t>
      </w:r>
      <w:proofErr w:type="gramEnd"/>
      <w:r w:rsidRPr="00280D94">
        <w:rPr>
          <w:spacing w:val="-2"/>
          <w:kern w:val="22"/>
          <w:lang w:val="en-GB"/>
        </w:rPr>
        <w:t xml:space="preserve"> companies: Ch</w:t>
      </w:r>
      <w:r w:rsidR="00CD4893" w:rsidRPr="00280D94">
        <w:rPr>
          <w:spacing w:val="-2"/>
          <w:kern w:val="22"/>
          <w:lang w:val="en-GB"/>
        </w:rPr>
        <w:t>ina</w:t>
      </w:r>
      <w:r w:rsidR="003118D3">
        <w:rPr>
          <w:spacing w:val="-2"/>
          <w:kern w:val="22"/>
          <w:lang w:val="en-GB"/>
        </w:rPr>
        <w:t>’</w:t>
      </w:r>
      <w:r w:rsidR="00CD4893" w:rsidRPr="00280D94">
        <w:rPr>
          <w:spacing w:val="-2"/>
          <w:kern w:val="22"/>
          <w:lang w:val="en-GB"/>
        </w:rPr>
        <w:t xml:space="preserve">s </w:t>
      </w:r>
      <w:proofErr w:type="spellStart"/>
      <w:r w:rsidR="00CD4893" w:rsidRPr="00280D94">
        <w:rPr>
          <w:spacing w:val="-2"/>
          <w:kern w:val="22"/>
          <w:lang w:val="en-GB"/>
        </w:rPr>
        <w:t>Shuanghui</w:t>
      </w:r>
      <w:proofErr w:type="spellEnd"/>
      <w:r w:rsidR="00CD4893" w:rsidRPr="00280D94">
        <w:rPr>
          <w:spacing w:val="-2"/>
          <w:kern w:val="22"/>
          <w:lang w:val="en-GB"/>
        </w:rPr>
        <w:t xml:space="preserve"> International—</w:t>
      </w:r>
      <w:r w:rsidRPr="00280D94">
        <w:rPr>
          <w:spacing w:val="-2"/>
          <w:kern w:val="22"/>
          <w:lang w:val="en-GB"/>
        </w:rPr>
        <w:t xml:space="preserve">a global leader in animal protein and the </w:t>
      </w:r>
      <w:r w:rsidR="00CD4893" w:rsidRPr="00280D94">
        <w:rPr>
          <w:spacing w:val="-2"/>
          <w:kern w:val="22"/>
          <w:lang w:val="en-GB"/>
        </w:rPr>
        <w:t>world's largest pork producer—</w:t>
      </w:r>
      <w:r w:rsidRPr="00280D94">
        <w:rPr>
          <w:spacing w:val="-2"/>
          <w:kern w:val="22"/>
          <w:lang w:val="en-GB"/>
        </w:rPr>
        <w:t>and Smithfield Foods from the U</w:t>
      </w:r>
      <w:r w:rsidR="00CD4893" w:rsidRPr="00280D94">
        <w:rPr>
          <w:spacing w:val="-2"/>
          <w:kern w:val="22"/>
          <w:lang w:val="en-GB"/>
        </w:rPr>
        <w:t xml:space="preserve">nited </w:t>
      </w:r>
      <w:r w:rsidRPr="00280D94">
        <w:rPr>
          <w:spacing w:val="-2"/>
          <w:kern w:val="22"/>
          <w:lang w:val="en-GB"/>
        </w:rPr>
        <w:t>S</w:t>
      </w:r>
      <w:r w:rsidR="00CD4893" w:rsidRPr="00280D94">
        <w:rPr>
          <w:spacing w:val="-2"/>
          <w:kern w:val="22"/>
          <w:lang w:val="en-GB"/>
        </w:rPr>
        <w:t>tates</w:t>
      </w:r>
      <w:r w:rsidRPr="00280D94">
        <w:rPr>
          <w:spacing w:val="-2"/>
          <w:kern w:val="22"/>
          <w:lang w:val="en-GB"/>
        </w:rPr>
        <w:t xml:space="preserve">. Both </w:t>
      </w:r>
      <w:proofErr w:type="spellStart"/>
      <w:r w:rsidRPr="00280D94">
        <w:rPr>
          <w:spacing w:val="-2"/>
          <w:kern w:val="22"/>
          <w:lang w:val="en-GB"/>
        </w:rPr>
        <w:t>Shuanghui</w:t>
      </w:r>
      <w:proofErr w:type="spellEnd"/>
      <w:r w:rsidRPr="00280D94">
        <w:rPr>
          <w:spacing w:val="-2"/>
          <w:kern w:val="22"/>
          <w:lang w:val="en-GB"/>
        </w:rPr>
        <w:t xml:space="preserve"> and Smithfield Foods commanded top market shares of pork </w:t>
      </w:r>
      <w:proofErr w:type="gramStart"/>
      <w:r w:rsidRPr="00280D94">
        <w:rPr>
          <w:spacing w:val="-2"/>
          <w:kern w:val="22"/>
          <w:lang w:val="en-GB"/>
        </w:rPr>
        <w:t>consumption</w:t>
      </w:r>
      <w:proofErr w:type="gramEnd"/>
      <w:r w:rsidRPr="00280D94">
        <w:rPr>
          <w:spacing w:val="-2"/>
          <w:kern w:val="22"/>
          <w:lang w:val="en-GB"/>
        </w:rPr>
        <w:t xml:space="preserve"> in their respective countries</w:t>
      </w:r>
      <w:r w:rsidR="00CD4893" w:rsidRPr="00280D94">
        <w:rPr>
          <w:spacing w:val="-2"/>
          <w:kern w:val="22"/>
          <w:lang w:val="en-GB"/>
        </w:rPr>
        <w:t>—</w:t>
      </w:r>
      <w:proofErr w:type="spellStart"/>
      <w:r w:rsidRPr="00280D94">
        <w:rPr>
          <w:spacing w:val="-2"/>
          <w:kern w:val="22"/>
          <w:lang w:val="en-GB"/>
        </w:rPr>
        <w:t>Shuanghui</w:t>
      </w:r>
      <w:proofErr w:type="spellEnd"/>
      <w:r w:rsidRPr="00280D94">
        <w:rPr>
          <w:spacing w:val="-2"/>
          <w:kern w:val="22"/>
          <w:lang w:val="en-GB"/>
        </w:rPr>
        <w:t xml:space="preserve"> controlled 2 per cent in China and Smithfield Foods captured 26 per cent in the U</w:t>
      </w:r>
      <w:r w:rsidR="00CD4893" w:rsidRPr="00280D94">
        <w:rPr>
          <w:spacing w:val="-2"/>
          <w:kern w:val="22"/>
          <w:lang w:val="en-GB"/>
        </w:rPr>
        <w:t xml:space="preserve">nited </w:t>
      </w:r>
      <w:r w:rsidRPr="00280D94">
        <w:rPr>
          <w:spacing w:val="-2"/>
          <w:kern w:val="22"/>
          <w:lang w:val="en-GB"/>
        </w:rPr>
        <w:t>S</w:t>
      </w:r>
      <w:r w:rsidR="00CD4893" w:rsidRPr="00280D94">
        <w:rPr>
          <w:spacing w:val="-2"/>
          <w:kern w:val="22"/>
          <w:lang w:val="en-GB"/>
        </w:rPr>
        <w:t>tates</w:t>
      </w:r>
      <w:r w:rsidRPr="00280D94">
        <w:rPr>
          <w:spacing w:val="-2"/>
          <w:kern w:val="22"/>
          <w:lang w:val="en-GB"/>
        </w:rPr>
        <w:t>.</w:t>
      </w:r>
      <w:r w:rsidRPr="00280D94">
        <w:rPr>
          <w:rStyle w:val="EndnoteReference"/>
          <w:spacing w:val="-2"/>
          <w:kern w:val="22"/>
          <w:lang w:val="en-GB"/>
        </w:rPr>
        <w:endnoteReference w:id="5"/>
      </w:r>
      <w:r w:rsidRPr="00280D94">
        <w:rPr>
          <w:spacing w:val="-2"/>
          <w:kern w:val="22"/>
          <w:lang w:val="en-GB"/>
        </w:rPr>
        <w:t xml:space="preserve"> The merged company would potentially create value by importing pork products to the Chinese market where food safety became a major issue.</w:t>
      </w:r>
    </w:p>
    <w:p w14:paraId="4BCC1573" w14:textId="77777777" w:rsidR="004E327F" w:rsidRPr="00280D94" w:rsidRDefault="004E327F" w:rsidP="00D52B78">
      <w:pPr>
        <w:pStyle w:val="BodyTextMain"/>
        <w:rPr>
          <w:lang w:val="en-GB"/>
        </w:rPr>
      </w:pPr>
    </w:p>
    <w:p w14:paraId="6F5FB09F" w14:textId="4C6F9C79" w:rsidR="004E327F" w:rsidRPr="00280D94" w:rsidRDefault="004E327F" w:rsidP="00D52B78">
      <w:pPr>
        <w:pStyle w:val="BodyTextMain"/>
        <w:rPr>
          <w:lang w:val="en-GB"/>
        </w:rPr>
      </w:pPr>
      <w:r w:rsidRPr="00280D94">
        <w:rPr>
          <w:lang w:val="en-GB"/>
        </w:rPr>
        <w:t xml:space="preserve">Numerous scandals in </w:t>
      </w:r>
      <w:r w:rsidR="00C227CA" w:rsidRPr="00280D94">
        <w:rPr>
          <w:lang w:val="en-GB"/>
        </w:rPr>
        <w:t xml:space="preserve">the </w:t>
      </w:r>
      <w:r w:rsidRPr="00280D94">
        <w:rPr>
          <w:lang w:val="en-GB"/>
        </w:rPr>
        <w:t xml:space="preserve">food industry in China received global media attention. </w:t>
      </w:r>
      <w:r w:rsidR="00D10DEC">
        <w:rPr>
          <w:lang w:val="en-GB"/>
        </w:rPr>
        <w:t>After</w:t>
      </w:r>
      <w:r w:rsidR="00D10DEC" w:rsidRPr="00280D94">
        <w:rPr>
          <w:lang w:val="en-GB"/>
        </w:rPr>
        <w:t xml:space="preserve"> </w:t>
      </w:r>
      <w:r w:rsidRPr="00280D94">
        <w:rPr>
          <w:lang w:val="en-GB"/>
        </w:rPr>
        <w:t xml:space="preserve">the scandal with melamine-tainted milk powder in 2008, Chinese consumers </w:t>
      </w:r>
      <w:r w:rsidR="00D10DEC">
        <w:rPr>
          <w:lang w:val="en-GB"/>
        </w:rPr>
        <w:t>became increasingly</w:t>
      </w:r>
      <w:r w:rsidRPr="00280D94">
        <w:rPr>
          <w:lang w:val="en-GB"/>
        </w:rPr>
        <w:t xml:space="preserve"> concerned about food safety issues. In March 2013, thousands of dead pigs floated in rivers around Shanghai carrying a common pig disease (porcine circovirus).</w:t>
      </w:r>
      <w:r w:rsidRPr="00280D94">
        <w:rPr>
          <w:rStyle w:val="EndnoteReference"/>
          <w:lang w:val="en-GB"/>
        </w:rPr>
        <w:endnoteReference w:id="6"/>
      </w:r>
      <w:r w:rsidRPr="00280D94">
        <w:rPr>
          <w:lang w:val="en-GB"/>
        </w:rPr>
        <w:t xml:space="preserve"> In 2011, </w:t>
      </w:r>
      <w:proofErr w:type="spellStart"/>
      <w:r w:rsidRPr="00280D94">
        <w:rPr>
          <w:lang w:val="en-GB"/>
        </w:rPr>
        <w:t>Shuanghui</w:t>
      </w:r>
      <w:proofErr w:type="spellEnd"/>
      <w:r w:rsidRPr="00280D94">
        <w:rPr>
          <w:lang w:val="en-GB"/>
        </w:rPr>
        <w:t xml:space="preserve"> International</w:t>
      </w:r>
      <w:r w:rsidR="002341E4">
        <w:rPr>
          <w:lang w:val="en-GB"/>
        </w:rPr>
        <w:t>’</w:t>
      </w:r>
      <w:r w:rsidRPr="00280D94">
        <w:rPr>
          <w:lang w:val="en-GB"/>
        </w:rPr>
        <w:t xml:space="preserve">s listed unit </w:t>
      </w:r>
      <w:proofErr w:type="gramStart"/>
      <w:r w:rsidRPr="00280D94">
        <w:rPr>
          <w:lang w:val="en-GB"/>
        </w:rPr>
        <w:t>was found to be involved</w:t>
      </w:r>
      <w:proofErr w:type="gramEnd"/>
      <w:r w:rsidRPr="00280D94">
        <w:rPr>
          <w:lang w:val="en-GB"/>
        </w:rPr>
        <w:t xml:space="preserve"> in having </w:t>
      </w:r>
      <w:r w:rsidR="00C227CA" w:rsidRPr="00280D94">
        <w:rPr>
          <w:lang w:val="en-GB"/>
        </w:rPr>
        <w:t xml:space="preserve">an </w:t>
      </w:r>
      <w:r w:rsidRPr="00280D94">
        <w:rPr>
          <w:lang w:val="en-GB"/>
        </w:rPr>
        <w:t xml:space="preserve">illegal additive, </w:t>
      </w:r>
      <w:proofErr w:type="spellStart"/>
      <w:r w:rsidRPr="00280D94">
        <w:rPr>
          <w:lang w:val="en-GB"/>
        </w:rPr>
        <w:t>clenbuterol</w:t>
      </w:r>
      <w:proofErr w:type="spellEnd"/>
      <w:r w:rsidRPr="00280D94">
        <w:rPr>
          <w:lang w:val="en-GB"/>
        </w:rPr>
        <w:t xml:space="preserve">, in its products. </w:t>
      </w:r>
      <w:proofErr w:type="spellStart"/>
      <w:r w:rsidRPr="00280D94">
        <w:rPr>
          <w:lang w:val="en-GB"/>
        </w:rPr>
        <w:t>Shuanghui</w:t>
      </w:r>
      <w:proofErr w:type="spellEnd"/>
      <w:r w:rsidRPr="00280D94">
        <w:rPr>
          <w:lang w:val="en-GB"/>
        </w:rPr>
        <w:t xml:space="preserve"> publicly apologized for this incident and closed down the plant involved.</w:t>
      </w:r>
      <w:r w:rsidRPr="00280D94">
        <w:rPr>
          <w:rStyle w:val="EndnoteReference"/>
          <w:lang w:val="en-GB"/>
        </w:rPr>
        <w:endnoteReference w:id="7"/>
      </w:r>
    </w:p>
    <w:p w14:paraId="4507A76B" w14:textId="77777777" w:rsidR="004E327F" w:rsidRPr="00280D94" w:rsidRDefault="004E327F" w:rsidP="00D52B78">
      <w:pPr>
        <w:pStyle w:val="BodyTextMain"/>
        <w:rPr>
          <w:lang w:val="en-GB"/>
        </w:rPr>
      </w:pPr>
    </w:p>
    <w:p w14:paraId="51AE7DD3" w14:textId="77777777" w:rsidR="004E327F" w:rsidRPr="00280D94" w:rsidRDefault="004E327F" w:rsidP="00D52B78">
      <w:pPr>
        <w:pStyle w:val="BodyTextMain"/>
        <w:rPr>
          <w:rFonts w:eastAsiaTheme="minorHAnsi"/>
          <w:lang w:val="en-GB"/>
        </w:rPr>
      </w:pPr>
    </w:p>
    <w:p w14:paraId="2E1DEC35" w14:textId="77777777" w:rsidR="004E327F" w:rsidRPr="00280D94" w:rsidRDefault="004E327F" w:rsidP="00BC0088">
      <w:pPr>
        <w:pStyle w:val="Casehead2"/>
        <w:keepNext/>
        <w:rPr>
          <w:lang w:val="en-GB"/>
        </w:rPr>
      </w:pPr>
      <w:proofErr w:type="spellStart"/>
      <w:r w:rsidRPr="00280D94">
        <w:rPr>
          <w:lang w:val="en-GB"/>
        </w:rPr>
        <w:t>Shuanghui</w:t>
      </w:r>
      <w:proofErr w:type="spellEnd"/>
    </w:p>
    <w:p w14:paraId="4CFB7DF4" w14:textId="77777777" w:rsidR="004E327F" w:rsidRPr="00280D94" w:rsidRDefault="004E327F" w:rsidP="00BC0088">
      <w:pPr>
        <w:pStyle w:val="BodyTextMain"/>
        <w:keepNext/>
        <w:rPr>
          <w:lang w:val="en-GB"/>
        </w:rPr>
      </w:pPr>
    </w:p>
    <w:p w14:paraId="671BC52B" w14:textId="64BD758C" w:rsidR="004E327F" w:rsidRPr="00280D94" w:rsidRDefault="004E327F" w:rsidP="00BC0088">
      <w:pPr>
        <w:pStyle w:val="BodyTextMain"/>
        <w:keepNext/>
        <w:rPr>
          <w:lang w:val="en-GB"/>
        </w:rPr>
      </w:pPr>
      <w:proofErr w:type="spellStart"/>
      <w:r w:rsidRPr="00280D94">
        <w:rPr>
          <w:lang w:val="en-GB"/>
        </w:rPr>
        <w:t>Shuanghui</w:t>
      </w:r>
      <w:proofErr w:type="spellEnd"/>
      <w:r w:rsidRPr="00280D94">
        <w:rPr>
          <w:lang w:val="en-GB"/>
        </w:rPr>
        <w:t xml:space="preserve"> Group, a </w:t>
      </w:r>
      <w:proofErr w:type="gramStart"/>
      <w:r w:rsidRPr="00280D94">
        <w:rPr>
          <w:lang w:val="en-GB"/>
        </w:rPr>
        <w:t>privately-owned</w:t>
      </w:r>
      <w:proofErr w:type="gramEnd"/>
      <w:r w:rsidRPr="00280D94">
        <w:rPr>
          <w:lang w:val="en-GB"/>
        </w:rPr>
        <w:t xml:space="preserve"> meat processing company headquartered in </w:t>
      </w:r>
      <w:proofErr w:type="spellStart"/>
      <w:r w:rsidRPr="00280D94">
        <w:rPr>
          <w:lang w:val="en-GB"/>
        </w:rPr>
        <w:t>Luohe</w:t>
      </w:r>
      <w:proofErr w:type="spellEnd"/>
      <w:r w:rsidRPr="00280D94">
        <w:rPr>
          <w:lang w:val="en-GB"/>
        </w:rPr>
        <w:t xml:space="preserve">, China, was founded in 1958 by the local </w:t>
      </w:r>
      <w:proofErr w:type="spellStart"/>
      <w:r w:rsidRPr="00280D94">
        <w:rPr>
          <w:lang w:val="en-GB"/>
        </w:rPr>
        <w:t>Luohe</w:t>
      </w:r>
      <w:proofErr w:type="spellEnd"/>
      <w:r w:rsidRPr="00280D94">
        <w:rPr>
          <w:lang w:val="en-GB"/>
        </w:rPr>
        <w:t xml:space="preserve"> government. Known as </w:t>
      </w:r>
      <w:proofErr w:type="spellStart"/>
      <w:r w:rsidRPr="00280D94">
        <w:rPr>
          <w:lang w:val="en-GB"/>
        </w:rPr>
        <w:t>Shineway</w:t>
      </w:r>
      <w:proofErr w:type="spellEnd"/>
      <w:r w:rsidRPr="00280D94">
        <w:rPr>
          <w:lang w:val="en-GB"/>
        </w:rPr>
        <w:t xml:space="preserve"> Group to English-speaking countries, </w:t>
      </w:r>
      <w:r w:rsidRPr="00280D94">
        <w:rPr>
          <w:lang w:val="en-GB"/>
        </w:rPr>
        <w:lastRenderedPageBreak/>
        <w:t>the company dealt mainly in pork products including hog raising, execution, processing</w:t>
      </w:r>
      <w:r w:rsidR="003F6A95">
        <w:rPr>
          <w:lang w:val="en-GB"/>
        </w:rPr>
        <w:t>,</w:t>
      </w:r>
      <w:r w:rsidRPr="00280D94">
        <w:rPr>
          <w:lang w:val="en-GB"/>
        </w:rPr>
        <w:t xml:space="preserve"> and packaging. As of 2013, the company had</w:t>
      </w:r>
      <w:r w:rsidR="00CD4893" w:rsidRPr="00280D94">
        <w:rPr>
          <w:lang w:val="en-GB"/>
        </w:rPr>
        <w:t xml:space="preserve"> assets worth more than </w:t>
      </w:r>
      <w:r w:rsidR="00307775">
        <w:rPr>
          <w:lang w:val="en-GB"/>
        </w:rPr>
        <w:t>CN</w:t>
      </w:r>
      <w:r w:rsidR="00B31AFF" w:rsidRPr="00B31AFF">
        <w:rPr>
          <w:lang w:val="en-GB"/>
        </w:rPr>
        <w:t>¥</w:t>
      </w:r>
      <w:r w:rsidRPr="00280D94">
        <w:rPr>
          <w:lang w:val="en-GB"/>
        </w:rPr>
        <w:t>20 billion</w:t>
      </w:r>
      <w:r w:rsidR="00C46AA4">
        <w:rPr>
          <w:lang w:val="en-GB"/>
        </w:rPr>
        <w:t>,</w:t>
      </w:r>
      <w:r w:rsidR="003F6A95">
        <w:rPr>
          <w:rStyle w:val="EndnoteReference"/>
          <w:lang w:val="en-GB"/>
        </w:rPr>
        <w:endnoteReference w:id="8"/>
      </w:r>
      <w:r w:rsidRPr="00280D94">
        <w:rPr>
          <w:lang w:val="en-GB"/>
        </w:rPr>
        <w:t xml:space="preserve"> 70,000 </w:t>
      </w:r>
      <w:r w:rsidR="00B31AFF">
        <w:rPr>
          <w:lang w:val="en-GB"/>
        </w:rPr>
        <w:t xml:space="preserve">employees, </w:t>
      </w:r>
      <w:r w:rsidRPr="00280D94">
        <w:rPr>
          <w:lang w:val="en-GB"/>
        </w:rPr>
        <w:t xml:space="preserve">and sales of </w:t>
      </w:r>
      <w:r w:rsidR="00307775">
        <w:rPr>
          <w:lang w:val="en-GB"/>
        </w:rPr>
        <w:t>CN</w:t>
      </w:r>
      <w:r w:rsidR="00B31AFF" w:rsidRPr="00B31AFF">
        <w:rPr>
          <w:lang w:val="en-GB"/>
        </w:rPr>
        <w:t>¥</w:t>
      </w:r>
      <w:r w:rsidRPr="00280D94">
        <w:rPr>
          <w:lang w:val="en-GB"/>
        </w:rPr>
        <w:t>50 billion</w:t>
      </w:r>
      <w:r w:rsidR="00CD4893" w:rsidRPr="00280D94">
        <w:rPr>
          <w:lang w:val="en-GB"/>
        </w:rPr>
        <w:t>,</w:t>
      </w:r>
      <w:r w:rsidRPr="00280D94">
        <w:rPr>
          <w:lang w:val="en-GB"/>
        </w:rPr>
        <w:t xml:space="preserve"> becoming the biggest meat processing company in China. The company operated 13 facilities and produced 1,000 different products.</w:t>
      </w:r>
      <w:r w:rsidRPr="00280D94">
        <w:rPr>
          <w:rStyle w:val="EndnoteReference"/>
          <w:lang w:val="en-GB"/>
        </w:rPr>
        <w:endnoteReference w:id="9"/>
      </w:r>
    </w:p>
    <w:p w14:paraId="2F67E00F" w14:textId="77777777" w:rsidR="004E327F" w:rsidRPr="00280D94" w:rsidRDefault="004E327F" w:rsidP="00D52B78">
      <w:pPr>
        <w:pStyle w:val="BodyTextMain"/>
        <w:rPr>
          <w:lang w:val="en-GB"/>
        </w:rPr>
      </w:pPr>
    </w:p>
    <w:p w14:paraId="3F0B6655" w14:textId="703E49A0" w:rsidR="004E327F" w:rsidRPr="00C46AA4" w:rsidRDefault="00B31AFF" w:rsidP="00D52B78">
      <w:pPr>
        <w:pStyle w:val="BodyTextMain"/>
        <w:rPr>
          <w:spacing w:val="-2"/>
          <w:kern w:val="22"/>
          <w:lang w:val="en-GB"/>
        </w:rPr>
      </w:pPr>
      <w:r w:rsidRPr="00C46AA4">
        <w:rPr>
          <w:spacing w:val="-2"/>
          <w:kern w:val="22"/>
          <w:lang w:val="en-GB"/>
        </w:rPr>
        <w:t xml:space="preserve">Long </w:t>
      </w:r>
      <w:r w:rsidR="004E327F" w:rsidRPr="00C46AA4">
        <w:rPr>
          <w:spacing w:val="-2"/>
          <w:kern w:val="22"/>
          <w:lang w:val="en-GB"/>
        </w:rPr>
        <w:t xml:space="preserve">remained at the helm as the </w:t>
      </w:r>
      <w:proofErr w:type="gramStart"/>
      <w:r w:rsidR="00CD4893" w:rsidRPr="00C46AA4">
        <w:rPr>
          <w:spacing w:val="-2"/>
          <w:kern w:val="22"/>
          <w:lang w:val="en-GB"/>
        </w:rPr>
        <w:t>c</w:t>
      </w:r>
      <w:r w:rsidR="004E327F" w:rsidRPr="00C46AA4">
        <w:rPr>
          <w:spacing w:val="-2"/>
          <w:kern w:val="22"/>
          <w:lang w:val="en-GB"/>
        </w:rPr>
        <w:t>hairman</w:t>
      </w:r>
      <w:proofErr w:type="gramEnd"/>
      <w:r w:rsidR="004E327F" w:rsidRPr="00C46AA4">
        <w:rPr>
          <w:spacing w:val="-2"/>
          <w:kern w:val="22"/>
          <w:lang w:val="en-GB"/>
        </w:rPr>
        <w:t xml:space="preserve"> of the </w:t>
      </w:r>
      <w:r w:rsidR="00CD4893" w:rsidRPr="00C46AA4">
        <w:rPr>
          <w:spacing w:val="-2"/>
          <w:kern w:val="22"/>
          <w:lang w:val="en-GB"/>
        </w:rPr>
        <w:t>b</w:t>
      </w:r>
      <w:r w:rsidR="004E327F" w:rsidRPr="00C46AA4">
        <w:rPr>
          <w:spacing w:val="-2"/>
          <w:kern w:val="22"/>
          <w:lang w:val="en-GB"/>
        </w:rPr>
        <w:t xml:space="preserve">oard and </w:t>
      </w:r>
      <w:r w:rsidR="00712C3E" w:rsidRPr="00C46AA4">
        <w:rPr>
          <w:spacing w:val="-2"/>
          <w:kern w:val="22"/>
          <w:lang w:val="en-GB"/>
        </w:rPr>
        <w:t xml:space="preserve">the </w:t>
      </w:r>
      <w:r w:rsidR="00CD4893" w:rsidRPr="00C46AA4">
        <w:rPr>
          <w:spacing w:val="-2"/>
          <w:kern w:val="22"/>
          <w:lang w:val="en-GB"/>
        </w:rPr>
        <w:t>CEO</w:t>
      </w:r>
      <w:r w:rsidR="004E327F" w:rsidRPr="00C46AA4">
        <w:rPr>
          <w:spacing w:val="-2"/>
          <w:kern w:val="22"/>
          <w:lang w:val="en-GB"/>
        </w:rPr>
        <w:t xml:space="preserve"> </w:t>
      </w:r>
      <w:r w:rsidR="00E55FF7" w:rsidRPr="00C46AA4">
        <w:rPr>
          <w:spacing w:val="-2"/>
          <w:kern w:val="22"/>
          <w:lang w:val="en-GB"/>
        </w:rPr>
        <w:t xml:space="preserve">from </w:t>
      </w:r>
      <w:r w:rsidR="004E327F" w:rsidRPr="00C46AA4">
        <w:rPr>
          <w:spacing w:val="-2"/>
          <w:kern w:val="22"/>
          <w:lang w:val="en-GB"/>
        </w:rPr>
        <w:t>1984</w:t>
      </w:r>
      <w:r w:rsidR="00E55FF7" w:rsidRPr="00C46AA4">
        <w:rPr>
          <w:spacing w:val="-2"/>
          <w:kern w:val="22"/>
          <w:lang w:val="en-GB"/>
        </w:rPr>
        <w:t xml:space="preserve"> onwards</w:t>
      </w:r>
      <w:r w:rsidR="004E327F" w:rsidRPr="00C46AA4">
        <w:rPr>
          <w:spacing w:val="-2"/>
          <w:kern w:val="22"/>
          <w:lang w:val="en-GB"/>
        </w:rPr>
        <w:t xml:space="preserve">. Under </w:t>
      </w:r>
      <w:r w:rsidRPr="00C46AA4">
        <w:rPr>
          <w:spacing w:val="-2"/>
          <w:kern w:val="22"/>
          <w:lang w:val="en-GB"/>
        </w:rPr>
        <w:t>Long</w:t>
      </w:r>
      <w:r w:rsidR="004E327F" w:rsidRPr="00C46AA4">
        <w:rPr>
          <w:spacing w:val="-2"/>
          <w:kern w:val="22"/>
          <w:lang w:val="en-GB"/>
        </w:rPr>
        <w:t>, sales gre</w:t>
      </w:r>
      <w:r w:rsidR="00CD4893" w:rsidRPr="00C46AA4">
        <w:rPr>
          <w:spacing w:val="-2"/>
          <w:kern w:val="22"/>
          <w:lang w:val="en-GB"/>
        </w:rPr>
        <w:t xml:space="preserve">w from less than </w:t>
      </w:r>
      <w:r w:rsidR="00307775" w:rsidRPr="00C46AA4">
        <w:rPr>
          <w:spacing w:val="-2"/>
          <w:kern w:val="22"/>
          <w:lang w:val="en-GB"/>
        </w:rPr>
        <w:t>CN</w:t>
      </w:r>
      <w:r w:rsidRPr="00C46AA4">
        <w:rPr>
          <w:spacing w:val="-2"/>
          <w:kern w:val="22"/>
          <w:lang w:val="en-GB"/>
        </w:rPr>
        <w:t>¥</w:t>
      </w:r>
      <w:r w:rsidR="00CD4893" w:rsidRPr="00C46AA4">
        <w:rPr>
          <w:spacing w:val="-2"/>
          <w:kern w:val="22"/>
          <w:lang w:val="en-GB"/>
        </w:rPr>
        <w:t xml:space="preserve">10 million in the 1980s to </w:t>
      </w:r>
      <w:r w:rsidR="00307775" w:rsidRPr="00C46AA4">
        <w:rPr>
          <w:spacing w:val="-2"/>
          <w:kern w:val="22"/>
          <w:lang w:val="en-GB"/>
        </w:rPr>
        <w:t>CN</w:t>
      </w:r>
      <w:r w:rsidRPr="00C46AA4">
        <w:rPr>
          <w:spacing w:val="-2"/>
          <w:kern w:val="22"/>
          <w:lang w:val="en-GB"/>
        </w:rPr>
        <w:t>¥</w:t>
      </w:r>
      <w:r w:rsidR="00CD4893" w:rsidRPr="00C46AA4">
        <w:rPr>
          <w:spacing w:val="-2"/>
          <w:kern w:val="22"/>
          <w:lang w:val="en-GB"/>
        </w:rPr>
        <w:t xml:space="preserve">100 million in 1990 and to </w:t>
      </w:r>
      <w:r w:rsidR="00307775" w:rsidRPr="00C46AA4">
        <w:rPr>
          <w:spacing w:val="-2"/>
          <w:kern w:val="22"/>
          <w:lang w:val="en-GB"/>
        </w:rPr>
        <w:t>CN</w:t>
      </w:r>
      <w:r w:rsidRPr="00C46AA4">
        <w:rPr>
          <w:spacing w:val="-2"/>
          <w:kern w:val="22"/>
          <w:lang w:val="en-GB"/>
        </w:rPr>
        <w:t>¥</w:t>
      </w:r>
      <w:r w:rsidR="004E327F" w:rsidRPr="00C46AA4">
        <w:rPr>
          <w:spacing w:val="-2"/>
          <w:kern w:val="22"/>
          <w:lang w:val="en-GB"/>
        </w:rPr>
        <w:t xml:space="preserve">47.2 billion in 2013. </w:t>
      </w:r>
      <w:proofErr w:type="spellStart"/>
      <w:r w:rsidR="004E327F" w:rsidRPr="00C46AA4">
        <w:rPr>
          <w:spacing w:val="-2"/>
          <w:kern w:val="22"/>
          <w:lang w:val="en-GB"/>
        </w:rPr>
        <w:t>Shuanghui’s</w:t>
      </w:r>
      <w:proofErr w:type="spellEnd"/>
      <w:r w:rsidR="004E327F" w:rsidRPr="00C46AA4">
        <w:rPr>
          <w:spacing w:val="-2"/>
          <w:kern w:val="22"/>
          <w:lang w:val="en-GB"/>
        </w:rPr>
        <w:t xml:space="preserve"> subsidiary, Henan </w:t>
      </w:r>
      <w:proofErr w:type="spellStart"/>
      <w:r w:rsidR="004E327F" w:rsidRPr="00C46AA4">
        <w:rPr>
          <w:spacing w:val="-2"/>
          <w:kern w:val="22"/>
          <w:lang w:val="en-GB"/>
        </w:rPr>
        <w:t>Shuanghui</w:t>
      </w:r>
      <w:proofErr w:type="spellEnd"/>
      <w:r w:rsidR="004E327F" w:rsidRPr="00C46AA4">
        <w:rPr>
          <w:spacing w:val="-2"/>
          <w:kern w:val="22"/>
          <w:lang w:val="en-GB"/>
        </w:rPr>
        <w:t xml:space="preserve"> Investment &amp; Development Company Limited, </w:t>
      </w:r>
      <w:proofErr w:type="gramStart"/>
      <w:r w:rsidR="004E327F" w:rsidRPr="00C46AA4">
        <w:rPr>
          <w:spacing w:val="-2"/>
          <w:kern w:val="22"/>
          <w:lang w:val="en-GB"/>
        </w:rPr>
        <w:t>was listed</w:t>
      </w:r>
      <w:proofErr w:type="gramEnd"/>
      <w:r w:rsidR="004E327F" w:rsidRPr="00C46AA4">
        <w:rPr>
          <w:spacing w:val="-2"/>
          <w:kern w:val="22"/>
          <w:lang w:val="en-GB"/>
        </w:rPr>
        <w:t xml:space="preserve"> on the Shenzhen Stock Exchange. </w:t>
      </w:r>
      <w:proofErr w:type="spellStart"/>
      <w:r w:rsidR="004E327F" w:rsidRPr="00C46AA4">
        <w:rPr>
          <w:spacing w:val="-2"/>
          <w:kern w:val="22"/>
          <w:lang w:val="en-GB"/>
        </w:rPr>
        <w:t>Shuanghui</w:t>
      </w:r>
      <w:proofErr w:type="spellEnd"/>
      <w:r w:rsidR="004E327F" w:rsidRPr="00C46AA4">
        <w:rPr>
          <w:spacing w:val="-2"/>
          <w:kern w:val="22"/>
          <w:lang w:val="en-GB"/>
        </w:rPr>
        <w:t xml:space="preserve"> lost its state-owned enterprise status when </w:t>
      </w:r>
      <w:r w:rsidRPr="00C46AA4">
        <w:rPr>
          <w:spacing w:val="-2"/>
          <w:kern w:val="22"/>
          <w:lang w:val="en-GB"/>
        </w:rPr>
        <w:t xml:space="preserve">the </w:t>
      </w:r>
      <w:proofErr w:type="spellStart"/>
      <w:r w:rsidR="004E327F" w:rsidRPr="00C46AA4">
        <w:rPr>
          <w:spacing w:val="-2"/>
          <w:kern w:val="22"/>
          <w:lang w:val="en-GB"/>
        </w:rPr>
        <w:t>Luohe</w:t>
      </w:r>
      <w:proofErr w:type="spellEnd"/>
      <w:r w:rsidR="004E327F" w:rsidRPr="00C46AA4">
        <w:rPr>
          <w:spacing w:val="-2"/>
          <w:kern w:val="22"/>
          <w:lang w:val="en-GB"/>
        </w:rPr>
        <w:t xml:space="preserve"> government sold its stake in </w:t>
      </w:r>
      <w:proofErr w:type="spellStart"/>
      <w:r w:rsidR="004E327F" w:rsidRPr="00C46AA4">
        <w:rPr>
          <w:spacing w:val="-2"/>
          <w:kern w:val="22"/>
          <w:lang w:val="en-GB"/>
        </w:rPr>
        <w:t>Shuanghui</w:t>
      </w:r>
      <w:proofErr w:type="spellEnd"/>
      <w:r w:rsidR="004E327F" w:rsidRPr="00C46AA4">
        <w:rPr>
          <w:spacing w:val="-2"/>
          <w:kern w:val="22"/>
          <w:lang w:val="en-GB"/>
        </w:rPr>
        <w:t xml:space="preserve"> to a joint venture between Goldman Sachs and CDH Investments in 2006.</w:t>
      </w:r>
      <w:r w:rsidR="004E327F" w:rsidRPr="00C46AA4">
        <w:rPr>
          <w:rStyle w:val="EndnoteReference"/>
          <w:spacing w:val="-2"/>
          <w:kern w:val="22"/>
          <w:lang w:val="en-GB"/>
        </w:rPr>
        <w:endnoteReference w:id="10"/>
      </w:r>
    </w:p>
    <w:p w14:paraId="33619E46" w14:textId="77777777" w:rsidR="004E327F" w:rsidRPr="00280D94" w:rsidRDefault="004E327F" w:rsidP="004E327F">
      <w:pPr>
        <w:pStyle w:val="BodyTextMain"/>
        <w:rPr>
          <w:lang w:val="en-GB"/>
        </w:rPr>
      </w:pPr>
    </w:p>
    <w:p w14:paraId="4301C3A3" w14:textId="77777777" w:rsidR="004E327F" w:rsidRPr="00280D94" w:rsidRDefault="004E327F" w:rsidP="004E327F">
      <w:pPr>
        <w:pStyle w:val="BodyTextMain"/>
        <w:rPr>
          <w:lang w:val="en-GB"/>
        </w:rPr>
      </w:pPr>
    </w:p>
    <w:p w14:paraId="35BB26BF" w14:textId="77777777" w:rsidR="004E327F" w:rsidRPr="00280D94" w:rsidRDefault="004E327F" w:rsidP="00CD4893">
      <w:pPr>
        <w:pStyle w:val="Heading1"/>
        <w:keepNext w:val="0"/>
        <w:keepLines w:val="0"/>
        <w:spacing w:before="0"/>
        <w:jc w:val="both"/>
        <w:rPr>
          <w:rFonts w:ascii="Arial" w:hAnsi="Arial" w:cs="Arial"/>
          <w:color w:val="auto"/>
          <w:sz w:val="20"/>
          <w:szCs w:val="20"/>
          <w:lang w:val="en-GB"/>
        </w:rPr>
      </w:pPr>
      <w:r w:rsidRPr="00280D94">
        <w:rPr>
          <w:rFonts w:ascii="Arial" w:hAnsi="Arial" w:cs="Arial"/>
          <w:color w:val="auto"/>
          <w:sz w:val="20"/>
          <w:szCs w:val="20"/>
          <w:lang w:val="en-GB"/>
        </w:rPr>
        <w:t>Smithfield Foods</w:t>
      </w:r>
    </w:p>
    <w:p w14:paraId="67CA41C1" w14:textId="77777777" w:rsidR="004E327F" w:rsidRPr="00280D94" w:rsidRDefault="004E327F" w:rsidP="00CD4893">
      <w:pPr>
        <w:pStyle w:val="BodyTextMain"/>
        <w:rPr>
          <w:lang w:val="en-GB"/>
        </w:rPr>
      </w:pPr>
    </w:p>
    <w:p w14:paraId="7E344966" w14:textId="14675B9D" w:rsidR="004E327F" w:rsidRPr="00280D94" w:rsidRDefault="002E3BBB" w:rsidP="00D52B78">
      <w:pPr>
        <w:pStyle w:val="BodyTextMain"/>
        <w:rPr>
          <w:lang w:val="en-GB"/>
        </w:rPr>
      </w:pPr>
      <w:r w:rsidRPr="00280D94">
        <w:rPr>
          <w:lang w:val="en-GB"/>
        </w:rPr>
        <w:t>Smithfield Foods</w:t>
      </w:r>
      <w:r>
        <w:rPr>
          <w:lang w:val="en-GB"/>
        </w:rPr>
        <w:t>, Inc. (Smithfield)</w:t>
      </w:r>
      <w:r w:rsidRPr="00280D94">
        <w:rPr>
          <w:lang w:val="en-GB"/>
        </w:rPr>
        <w:t xml:space="preserve"> </w:t>
      </w:r>
      <w:r>
        <w:rPr>
          <w:lang w:val="en-GB"/>
        </w:rPr>
        <w:t>was t</w:t>
      </w:r>
      <w:r w:rsidR="004E327F" w:rsidRPr="00280D94">
        <w:rPr>
          <w:lang w:val="en-GB"/>
        </w:rPr>
        <w:t xml:space="preserve">he largest pork producer in the United States, </w:t>
      </w:r>
      <w:r>
        <w:rPr>
          <w:lang w:val="en-GB"/>
        </w:rPr>
        <w:t>with</w:t>
      </w:r>
      <w:r w:rsidR="004E327F" w:rsidRPr="00280D94">
        <w:rPr>
          <w:lang w:val="en-GB"/>
        </w:rPr>
        <w:t xml:space="preserve"> over 46,000 employees and </w:t>
      </w:r>
      <w:r w:rsidR="00CD4893" w:rsidRPr="00280D94">
        <w:rPr>
          <w:lang w:val="en-GB"/>
        </w:rPr>
        <w:t>annual</w:t>
      </w:r>
      <w:r w:rsidR="004E327F" w:rsidRPr="00280D94">
        <w:rPr>
          <w:lang w:val="en-GB"/>
        </w:rPr>
        <w:t xml:space="preserve"> revenue of U</w:t>
      </w:r>
      <w:r w:rsidR="00CD4893" w:rsidRPr="00280D94">
        <w:rPr>
          <w:lang w:val="en-GB"/>
        </w:rPr>
        <w:t>S</w:t>
      </w:r>
      <w:r w:rsidR="004E327F" w:rsidRPr="00280D94">
        <w:rPr>
          <w:lang w:val="en-GB"/>
        </w:rPr>
        <w:t>$13 billion. Headquartered in Smithfield, Virginia, it operated facilities in 26 U.S. states.</w:t>
      </w:r>
      <w:r w:rsidRPr="00280D94" w:rsidDel="002E3BBB">
        <w:rPr>
          <w:rStyle w:val="EndnoteReference"/>
          <w:lang w:val="en-GB"/>
        </w:rPr>
        <w:t xml:space="preserve"> </w:t>
      </w:r>
      <w:proofErr w:type="gramStart"/>
      <w:r w:rsidR="004E327F" w:rsidRPr="00280D94">
        <w:rPr>
          <w:lang w:val="en-GB"/>
        </w:rPr>
        <w:t xml:space="preserve">The company </w:t>
      </w:r>
      <w:r w:rsidR="00B31AFF">
        <w:rPr>
          <w:lang w:val="en-GB"/>
        </w:rPr>
        <w:t xml:space="preserve">was </w:t>
      </w:r>
      <w:r w:rsidR="004E327F" w:rsidRPr="00280D94">
        <w:rPr>
          <w:lang w:val="en-GB"/>
        </w:rPr>
        <w:t xml:space="preserve">started in 1936 </w:t>
      </w:r>
      <w:r w:rsidR="00B31AFF">
        <w:rPr>
          <w:lang w:val="en-GB"/>
        </w:rPr>
        <w:t xml:space="preserve">by </w:t>
      </w:r>
      <w:r w:rsidR="004E327F" w:rsidRPr="00280D94">
        <w:rPr>
          <w:lang w:val="en-GB"/>
        </w:rPr>
        <w:t xml:space="preserve">Joseph W. </w:t>
      </w:r>
      <w:proofErr w:type="spellStart"/>
      <w:r w:rsidR="004E327F" w:rsidRPr="00280D94">
        <w:rPr>
          <w:lang w:val="en-GB"/>
        </w:rPr>
        <w:t>Luter</w:t>
      </w:r>
      <w:proofErr w:type="spellEnd"/>
      <w:r w:rsidR="004E327F" w:rsidRPr="00280D94">
        <w:rPr>
          <w:lang w:val="en-GB"/>
        </w:rPr>
        <w:t xml:space="preserve"> Sr. and his son </w:t>
      </w:r>
      <w:r w:rsidR="00B31AFF">
        <w:rPr>
          <w:lang w:val="en-GB"/>
        </w:rPr>
        <w:t>as</w:t>
      </w:r>
      <w:r w:rsidR="00B31AFF" w:rsidRPr="00280D94">
        <w:rPr>
          <w:lang w:val="en-GB"/>
        </w:rPr>
        <w:t xml:space="preserve"> </w:t>
      </w:r>
      <w:r w:rsidR="004E327F" w:rsidRPr="00280D94">
        <w:rPr>
          <w:lang w:val="en-GB"/>
        </w:rPr>
        <w:t>the Smithfield Packing Company</w:t>
      </w:r>
      <w:proofErr w:type="gramEnd"/>
      <w:r w:rsidR="004E327F" w:rsidRPr="00280D94">
        <w:rPr>
          <w:lang w:val="en-GB"/>
        </w:rPr>
        <w:t>.</w:t>
      </w:r>
      <w:r w:rsidR="00712C3E" w:rsidRPr="00280D94">
        <w:rPr>
          <w:lang w:val="en-GB"/>
        </w:rPr>
        <w:t xml:space="preserve"> </w:t>
      </w:r>
      <w:r w:rsidR="004E327F" w:rsidRPr="00280D94">
        <w:rPr>
          <w:lang w:val="en-GB"/>
        </w:rPr>
        <w:t xml:space="preserve">In 2006, Larry Pope took over as </w:t>
      </w:r>
      <w:r w:rsidR="00B31AFF">
        <w:rPr>
          <w:lang w:val="en-GB"/>
        </w:rPr>
        <w:t>CEO. U</w:t>
      </w:r>
      <w:r w:rsidR="004E327F" w:rsidRPr="00280D94">
        <w:rPr>
          <w:lang w:val="en-GB"/>
        </w:rPr>
        <w:t>nder his leadership, Smithfield developed “an industry-leading sustainability program focused on the environment, animal care, employees, food safety, communities</w:t>
      </w:r>
      <w:r w:rsidR="00B31AFF">
        <w:rPr>
          <w:lang w:val="en-GB"/>
        </w:rPr>
        <w:t>,</w:t>
      </w:r>
      <w:r w:rsidR="004E327F" w:rsidRPr="00280D94">
        <w:rPr>
          <w:lang w:val="en-GB"/>
        </w:rPr>
        <w:t xml:space="preserve"> and value creation.”</w:t>
      </w:r>
      <w:r w:rsidR="004E327F" w:rsidRPr="00280D94">
        <w:rPr>
          <w:rStyle w:val="EndnoteReference"/>
          <w:lang w:val="en-GB"/>
        </w:rPr>
        <w:endnoteReference w:id="11"/>
      </w:r>
    </w:p>
    <w:p w14:paraId="36F0BB87" w14:textId="77777777" w:rsidR="004E327F" w:rsidRPr="00280D94" w:rsidRDefault="004E327F" w:rsidP="00CD4893">
      <w:pPr>
        <w:pStyle w:val="BodyTextMain"/>
        <w:rPr>
          <w:lang w:val="en-GB"/>
        </w:rPr>
      </w:pPr>
    </w:p>
    <w:p w14:paraId="4C56EC0E" w14:textId="77777777" w:rsidR="004E327F" w:rsidRPr="00280D94" w:rsidRDefault="004E327F" w:rsidP="00CD4893">
      <w:pPr>
        <w:pStyle w:val="BodyTextMain"/>
        <w:rPr>
          <w:lang w:val="en-GB"/>
        </w:rPr>
      </w:pPr>
    </w:p>
    <w:p w14:paraId="3DAAAFE6" w14:textId="77777777" w:rsidR="004E327F" w:rsidRPr="00280D94" w:rsidRDefault="004E327F" w:rsidP="00D52B78">
      <w:pPr>
        <w:pStyle w:val="Casehead1"/>
        <w:rPr>
          <w:lang w:val="en-GB"/>
        </w:rPr>
      </w:pPr>
      <w:r w:rsidRPr="00280D94">
        <w:rPr>
          <w:lang w:val="en-GB"/>
        </w:rPr>
        <w:t>MERGER</w:t>
      </w:r>
    </w:p>
    <w:p w14:paraId="582AEA16" w14:textId="77777777" w:rsidR="004E327F" w:rsidRPr="00280D94" w:rsidRDefault="004E327F" w:rsidP="00D52B78">
      <w:pPr>
        <w:pStyle w:val="BodyTextMain"/>
        <w:rPr>
          <w:lang w:val="en-GB"/>
        </w:rPr>
      </w:pPr>
    </w:p>
    <w:p w14:paraId="01633E8A" w14:textId="70D2BA27" w:rsidR="004E327F" w:rsidRPr="00280D94" w:rsidRDefault="004E327F" w:rsidP="00D52B78">
      <w:pPr>
        <w:pStyle w:val="BodyTextMain"/>
        <w:rPr>
          <w:lang w:val="en-GB"/>
        </w:rPr>
      </w:pPr>
      <w:r w:rsidRPr="00280D94">
        <w:rPr>
          <w:lang w:val="en-GB"/>
        </w:rPr>
        <w:t>On May</w:t>
      </w:r>
      <w:r w:rsidR="00B31AFF">
        <w:rPr>
          <w:lang w:val="en-GB"/>
        </w:rPr>
        <w:t xml:space="preserve"> 29,</w:t>
      </w:r>
      <w:r w:rsidRPr="00280D94">
        <w:rPr>
          <w:lang w:val="en-GB"/>
        </w:rPr>
        <w:t xml:space="preserve"> 2013, </w:t>
      </w:r>
      <w:proofErr w:type="spellStart"/>
      <w:r w:rsidRPr="00280D94">
        <w:rPr>
          <w:lang w:val="en-GB"/>
        </w:rPr>
        <w:t>Shuanghui</w:t>
      </w:r>
      <w:proofErr w:type="spellEnd"/>
      <w:r w:rsidRPr="00280D94">
        <w:rPr>
          <w:lang w:val="en-GB"/>
        </w:rPr>
        <w:t xml:space="preserve"> announced </w:t>
      </w:r>
      <w:r w:rsidR="00B31AFF">
        <w:rPr>
          <w:lang w:val="en-GB"/>
        </w:rPr>
        <w:t xml:space="preserve">that </w:t>
      </w:r>
      <w:r w:rsidRPr="00280D94">
        <w:rPr>
          <w:lang w:val="en-GB"/>
        </w:rPr>
        <w:t>it would purchase Smithfield</w:t>
      </w:r>
      <w:r w:rsidR="002E3BBB">
        <w:rPr>
          <w:lang w:val="en-GB"/>
        </w:rPr>
        <w:t>,</w:t>
      </w:r>
      <w:r w:rsidR="002341E4">
        <w:rPr>
          <w:lang w:val="en-GB"/>
        </w:rPr>
        <w:t xml:space="preserve"> </w:t>
      </w:r>
      <w:r w:rsidRPr="00280D94">
        <w:rPr>
          <w:lang w:val="en-GB"/>
        </w:rPr>
        <w:t>for U</w:t>
      </w:r>
      <w:r w:rsidR="00CD4893" w:rsidRPr="00280D94">
        <w:rPr>
          <w:lang w:val="en-GB"/>
        </w:rPr>
        <w:t>S</w:t>
      </w:r>
      <w:r w:rsidRPr="00280D94">
        <w:rPr>
          <w:lang w:val="en-GB"/>
        </w:rPr>
        <w:t>$34 per share</w:t>
      </w:r>
      <w:r w:rsidR="00861781">
        <w:rPr>
          <w:lang w:val="en-GB"/>
        </w:rPr>
        <w:t xml:space="preserve">, for a </w:t>
      </w:r>
      <w:r w:rsidRPr="00280D94">
        <w:rPr>
          <w:lang w:val="en-GB"/>
        </w:rPr>
        <w:t>total of U</w:t>
      </w:r>
      <w:r w:rsidR="00CD4893" w:rsidRPr="00280D94">
        <w:rPr>
          <w:lang w:val="en-GB"/>
        </w:rPr>
        <w:t>S</w:t>
      </w:r>
      <w:r w:rsidRPr="00280D94">
        <w:rPr>
          <w:lang w:val="en-GB"/>
        </w:rPr>
        <w:t>$4.72 billion.</w:t>
      </w:r>
      <w:r w:rsidRPr="00280D94">
        <w:rPr>
          <w:rStyle w:val="EndnoteReference"/>
          <w:lang w:val="en-GB"/>
        </w:rPr>
        <w:endnoteReference w:id="12"/>
      </w:r>
      <w:r w:rsidRPr="00280D94">
        <w:rPr>
          <w:lang w:val="en-GB"/>
        </w:rPr>
        <w:t xml:space="preserve"> </w:t>
      </w:r>
      <w:r w:rsidR="00861781">
        <w:rPr>
          <w:lang w:val="en-GB"/>
        </w:rPr>
        <w:t>The m</w:t>
      </w:r>
      <w:r w:rsidRPr="00280D94">
        <w:rPr>
          <w:lang w:val="en-GB"/>
        </w:rPr>
        <w:t xml:space="preserve">erger became the largest acquisition </w:t>
      </w:r>
      <w:r w:rsidR="00454BAF">
        <w:rPr>
          <w:lang w:val="en-GB"/>
        </w:rPr>
        <w:t xml:space="preserve">to date of a U.S. company </w:t>
      </w:r>
      <w:r w:rsidRPr="00280D94">
        <w:rPr>
          <w:lang w:val="en-GB"/>
        </w:rPr>
        <w:t>by a Chinese company,</w:t>
      </w:r>
      <w:r w:rsidRPr="00280D94">
        <w:rPr>
          <w:rStyle w:val="EndnoteReference"/>
          <w:lang w:val="en-GB"/>
        </w:rPr>
        <w:endnoteReference w:id="13"/>
      </w:r>
      <w:r w:rsidRPr="00280D94">
        <w:rPr>
          <w:lang w:val="en-GB"/>
        </w:rPr>
        <w:t xml:space="preserve"> since the value of the deal </w:t>
      </w:r>
      <w:r w:rsidR="00840F38" w:rsidRPr="00280D94">
        <w:rPr>
          <w:lang w:val="en-GB"/>
        </w:rPr>
        <w:t>totalled</w:t>
      </w:r>
      <w:r w:rsidRPr="00280D94">
        <w:rPr>
          <w:lang w:val="en-GB"/>
        </w:rPr>
        <w:t xml:space="preserve"> roughly U</w:t>
      </w:r>
      <w:r w:rsidR="00CD4893" w:rsidRPr="00280D94">
        <w:rPr>
          <w:lang w:val="en-GB"/>
        </w:rPr>
        <w:t>S</w:t>
      </w:r>
      <w:r w:rsidRPr="00280D94">
        <w:rPr>
          <w:lang w:val="en-GB"/>
        </w:rPr>
        <w:t xml:space="preserve">$7.1 billion </w:t>
      </w:r>
      <w:r w:rsidR="00861781">
        <w:rPr>
          <w:lang w:val="en-GB"/>
        </w:rPr>
        <w:t xml:space="preserve">once the company’s debt </w:t>
      </w:r>
      <w:proofErr w:type="gramStart"/>
      <w:r w:rsidR="00861781">
        <w:rPr>
          <w:lang w:val="en-GB"/>
        </w:rPr>
        <w:t>was</w:t>
      </w:r>
      <w:r w:rsidRPr="00280D94">
        <w:rPr>
          <w:lang w:val="en-GB"/>
        </w:rPr>
        <w:t xml:space="preserve"> assumed</w:t>
      </w:r>
      <w:proofErr w:type="gramEnd"/>
      <w:r w:rsidRPr="00280D94">
        <w:rPr>
          <w:lang w:val="en-GB"/>
        </w:rPr>
        <w:t>.</w:t>
      </w:r>
      <w:r w:rsidRPr="00280D94">
        <w:rPr>
          <w:rStyle w:val="EndnoteReference"/>
          <w:lang w:val="en-GB"/>
        </w:rPr>
        <w:endnoteReference w:id="14"/>
      </w:r>
      <w:r w:rsidRPr="00280D94">
        <w:rPr>
          <w:lang w:val="en-GB"/>
        </w:rPr>
        <w:t xml:space="preserve"> </w:t>
      </w:r>
      <w:r w:rsidR="00861781">
        <w:rPr>
          <w:lang w:val="en-GB"/>
        </w:rPr>
        <w:t xml:space="preserve">The purchase price of </w:t>
      </w:r>
      <w:r w:rsidRPr="00280D94">
        <w:rPr>
          <w:lang w:val="en-GB"/>
        </w:rPr>
        <w:t>U</w:t>
      </w:r>
      <w:r w:rsidR="00CD4893" w:rsidRPr="00280D94">
        <w:rPr>
          <w:lang w:val="en-GB"/>
        </w:rPr>
        <w:t>S</w:t>
      </w:r>
      <w:r w:rsidRPr="00280D94">
        <w:rPr>
          <w:lang w:val="en-GB"/>
        </w:rPr>
        <w:t>$34 per share represented a 31 per cent premium over Smithfield</w:t>
      </w:r>
      <w:r w:rsidR="002341E4">
        <w:rPr>
          <w:lang w:val="en-GB"/>
        </w:rPr>
        <w:t>’</w:t>
      </w:r>
      <w:r w:rsidRPr="00280D94">
        <w:rPr>
          <w:lang w:val="en-GB"/>
        </w:rPr>
        <w:t>s market price</w:t>
      </w:r>
      <w:r w:rsidR="00861781">
        <w:rPr>
          <w:lang w:val="en-GB"/>
        </w:rPr>
        <w:t>.</w:t>
      </w:r>
      <w:r w:rsidRPr="00280D94">
        <w:rPr>
          <w:lang w:val="en-GB"/>
        </w:rPr>
        <w:t xml:space="preserve"> </w:t>
      </w:r>
      <w:r w:rsidR="00861781">
        <w:rPr>
          <w:lang w:val="en-GB"/>
        </w:rPr>
        <w:t>It also</w:t>
      </w:r>
      <w:r w:rsidR="00861781" w:rsidRPr="00280D94">
        <w:rPr>
          <w:lang w:val="en-GB"/>
        </w:rPr>
        <w:t xml:space="preserve"> </w:t>
      </w:r>
      <w:r w:rsidRPr="00280D94">
        <w:rPr>
          <w:lang w:val="en-GB"/>
        </w:rPr>
        <w:t xml:space="preserve">implied </w:t>
      </w:r>
      <w:r w:rsidR="00861781">
        <w:rPr>
          <w:lang w:val="en-GB"/>
        </w:rPr>
        <w:t xml:space="preserve">eight times the company’s enterprise multiple ratio (calculated as </w:t>
      </w:r>
      <w:r w:rsidRPr="00280D94">
        <w:rPr>
          <w:lang w:val="en-GB"/>
        </w:rPr>
        <w:t>E</w:t>
      </w:r>
      <w:r w:rsidR="00861781">
        <w:rPr>
          <w:lang w:val="en-GB"/>
        </w:rPr>
        <w:t xml:space="preserve">nterprise </w:t>
      </w:r>
      <w:r w:rsidRPr="00280D94">
        <w:rPr>
          <w:lang w:val="en-GB"/>
        </w:rPr>
        <w:t>V</w:t>
      </w:r>
      <w:r w:rsidR="00861781">
        <w:rPr>
          <w:lang w:val="en-GB"/>
        </w:rPr>
        <w:t xml:space="preserve">alue </w:t>
      </w:r>
      <w:r w:rsidRPr="00280D94">
        <w:rPr>
          <w:lang w:val="en-GB"/>
        </w:rPr>
        <w:t>/</w:t>
      </w:r>
      <w:r w:rsidR="00861781">
        <w:rPr>
          <w:lang w:val="en-GB"/>
        </w:rPr>
        <w:t xml:space="preserve"> </w:t>
      </w:r>
      <w:r w:rsidR="00861781" w:rsidRPr="00861781">
        <w:rPr>
          <w:lang w:val="en-GB"/>
        </w:rPr>
        <w:t>Earnings Before Interest, Taxes, Depreciation and Amortization</w:t>
      </w:r>
      <w:r w:rsidR="00861781">
        <w:rPr>
          <w:lang w:val="en-GB"/>
        </w:rPr>
        <w:t>)</w:t>
      </w:r>
      <w:r w:rsidR="00454BAF">
        <w:rPr>
          <w:lang w:val="en-GB"/>
        </w:rPr>
        <w:t xml:space="preserve"> </w:t>
      </w:r>
      <w:r w:rsidR="00861781">
        <w:rPr>
          <w:lang w:val="en-GB"/>
        </w:rPr>
        <w:t xml:space="preserve">as well as 13 times the price / earnings </w:t>
      </w:r>
      <w:r w:rsidR="00454BAF">
        <w:rPr>
          <w:lang w:val="en-GB"/>
        </w:rPr>
        <w:t xml:space="preserve">(P/E) </w:t>
      </w:r>
      <w:r w:rsidR="00861781">
        <w:rPr>
          <w:lang w:val="en-GB"/>
        </w:rPr>
        <w:t>ratio,</w:t>
      </w:r>
      <w:r w:rsidRPr="00280D94">
        <w:rPr>
          <w:lang w:val="en-GB"/>
        </w:rPr>
        <w:t xml:space="preserve"> based on 2014 consensus estimates.</w:t>
      </w:r>
      <w:r w:rsidRPr="00280D94">
        <w:rPr>
          <w:rStyle w:val="EndnoteReference"/>
          <w:lang w:val="en-GB"/>
        </w:rPr>
        <w:endnoteReference w:id="15"/>
      </w:r>
    </w:p>
    <w:p w14:paraId="5762E0DD" w14:textId="77777777" w:rsidR="004E327F" w:rsidRPr="00280D94" w:rsidRDefault="004E327F" w:rsidP="00D52B78">
      <w:pPr>
        <w:pStyle w:val="BodyTextMain"/>
        <w:rPr>
          <w:lang w:val="en-GB"/>
        </w:rPr>
      </w:pPr>
    </w:p>
    <w:p w14:paraId="075968FD" w14:textId="27B33F56" w:rsidR="004E327F" w:rsidRPr="00280D94" w:rsidRDefault="004E327F" w:rsidP="00CD4893">
      <w:pPr>
        <w:pStyle w:val="BodyTextMain"/>
        <w:rPr>
          <w:lang w:val="en-GB"/>
        </w:rPr>
      </w:pPr>
      <w:r w:rsidRPr="00280D94">
        <w:rPr>
          <w:lang w:val="en-GB"/>
        </w:rPr>
        <w:t>After the ann</w:t>
      </w:r>
      <w:r w:rsidR="00CD4893" w:rsidRPr="00280D94">
        <w:rPr>
          <w:lang w:val="en-GB"/>
        </w:rPr>
        <w:t xml:space="preserve">ouncement of </w:t>
      </w:r>
      <w:r w:rsidR="00861781">
        <w:rPr>
          <w:lang w:val="en-GB"/>
        </w:rPr>
        <w:t xml:space="preserve">the </w:t>
      </w:r>
      <w:r w:rsidR="00CD4893" w:rsidRPr="00280D94">
        <w:rPr>
          <w:lang w:val="en-GB"/>
        </w:rPr>
        <w:t xml:space="preserve">merger, </w:t>
      </w:r>
      <w:proofErr w:type="gramStart"/>
      <w:r w:rsidR="00861781">
        <w:rPr>
          <w:lang w:val="en-GB"/>
        </w:rPr>
        <w:t>Long</w:t>
      </w:r>
      <w:proofErr w:type="gramEnd"/>
      <w:r w:rsidR="00CD4893" w:rsidRPr="00280D94">
        <w:rPr>
          <w:lang w:val="en-GB"/>
        </w:rPr>
        <w:t xml:space="preserve"> stated, “</w:t>
      </w:r>
      <w:r w:rsidRPr="00280D94">
        <w:rPr>
          <w:lang w:val="en-GB"/>
        </w:rPr>
        <w:t xml:space="preserve">Together we look forward to utilizing our individual strengths, including </w:t>
      </w:r>
      <w:proofErr w:type="spellStart"/>
      <w:r w:rsidRPr="00280D94">
        <w:rPr>
          <w:lang w:val="en-GB"/>
        </w:rPr>
        <w:t>Shuanghui</w:t>
      </w:r>
      <w:r w:rsidR="007D0096">
        <w:rPr>
          <w:lang w:val="en-GB"/>
        </w:rPr>
        <w:t>’</w:t>
      </w:r>
      <w:r w:rsidRPr="00280D94">
        <w:rPr>
          <w:lang w:val="en-GB"/>
        </w:rPr>
        <w:t>s</w:t>
      </w:r>
      <w:proofErr w:type="spellEnd"/>
      <w:r w:rsidRPr="00280D94">
        <w:rPr>
          <w:lang w:val="en-GB"/>
        </w:rPr>
        <w:t xml:space="preserve"> extensive distribution network in China and Smithfield</w:t>
      </w:r>
      <w:r w:rsidR="007D0096">
        <w:rPr>
          <w:lang w:val="en-GB"/>
        </w:rPr>
        <w:t>’</w:t>
      </w:r>
      <w:r w:rsidRPr="00280D94">
        <w:rPr>
          <w:lang w:val="en-GB"/>
        </w:rPr>
        <w:t>s leading production and safety protocols, to provide safe, high-quality products to consumers worldwide.</w:t>
      </w:r>
      <w:r w:rsidR="00CD4893" w:rsidRPr="00280D94">
        <w:rPr>
          <w:lang w:val="en-GB"/>
        </w:rPr>
        <w:t>”</w:t>
      </w:r>
      <w:r w:rsidRPr="00280D94">
        <w:rPr>
          <w:rStyle w:val="EndnoteReference"/>
          <w:lang w:val="en-GB"/>
        </w:rPr>
        <w:endnoteReference w:id="16"/>
      </w:r>
    </w:p>
    <w:p w14:paraId="0C1D63AB" w14:textId="77777777" w:rsidR="004E327F" w:rsidRPr="00280D94" w:rsidRDefault="004E327F" w:rsidP="00D52B78">
      <w:pPr>
        <w:pStyle w:val="BodyTextMain"/>
        <w:rPr>
          <w:lang w:val="en-GB"/>
        </w:rPr>
      </w:pPr>
    </w:p>
    <w:p w14:paraId="5E853B9C" w14:textId="58029F1A" w:rsidR="004E327F" w:rsidRPr="00280D94" w:rsidRDefault="004E327F" w:rsidP="00D52B78">
      <w:pPr>
        <w:pStyle w:val="BodyTextMain"/>
        <w:rPr>
          <w:lang w:val="en-GB"/>
        </w:rPr>
      </w:pPr>
      <w:r w:rsidRPr="00280D94">
        <w:rPr>
          <w:lang w:val="en-GB"/>
        </w:rPr>
        <w:t xml:space="preserve">Smithfield’s </w:t>
      </w:r>
      <w:r w:rsidR="00454BAF">
        <w:rPr>
          <w:lang w:val="en-GB"/>
        </w:rPr>
        <w:t>CEO</w:t>
      </w:r>
      <w:r w:rsidRPr="00280D94">
        <w:rPr>
          <w:lang w:val="en-GB"/>
        </w:rPr>
        <w:t xml:space="preserve"> Larry Pope added</w:t>
      </w:r>
      <w:r w:rsidR="00861781">
        <w:rPr>
          <w:lang w:val="en-GB"/>
        </w:rPr>
        <w:t xml:space="preserve"> his own remarks about the merger</w:t>
      </w:r>
      <w:r w:rsidRPr="00280D94">
        <w:rPr>
          <w:lang w:val="en-GB"/>
        </w:rPr>
        <w:t>:</w:t>
      </w:r>
    </w:p>
    <w:p w14:paraId="384CBB1F" w14:textId="77777777" w:rsidR="004E327F" w:rsidRPr="00280D94" w:rsidRDefault="004E327F" w:rsidP="00D52B78">
      <w:pPr>
        <w:pStyle w:val="BodyTextMain"/>
        <w:rPr>
          <w:lang w:val="en-GB"/>
        </w:rPr>
      </w:pPr>
    </w:p>
    <w:p w14:paraId="72B359DE" w14:textId="77777777" w:rsidR="004E327F" w:rsidRPr="00280D94" w:rsidRDefault="004E327F" w:rsidP="00D52B78">
      <w:pPr>
        <w:pStyle w:val="BodyTextMain"/>
        <w:ind w:left="720"/>
        <w:rPr>
          <w:lang w:val="en-GB"/>
        </w:rPr>
      </w:pPr>
      <w:r w:rsidRPr="00280D94">
        <w:rPr>
          <w:lang w:val="en-GB"/>
        </w:rPr>
        <w:t xml:space="preserve">Our partnership ensures the stability of our business for all our stakeholders, particularly our employees and the communities we serve, while simultaneously unlocking exciting opportunities for growth in the large and rapidly growing Chinese pork market. This is a new era for Smithfield, but one that will continue to </w:t>
      </w:r>
      <w:proofErr w:type="gramStart"/>
      <w:r w:rsidRPr="00280D94">
        <w:rPr>
          <w:lang w:val="en-GB"/>
        </w:rPr>
        <w:t>be defined</w:t>
      </w:r>
      <w:proofErr w:type="gramEnd"/>
      <w:r w:rsidRPr="00280D94">
        <w:rPr>
          <w:lang w:val="en-GB"/>
        </w:rPr>
        <w:t xml:space="preserve"> by the strictest adherence to the highest standards of food safety and quality, an unwavering commitment to giving back to our communities and acting as a responsible global corporate citizen.</w:t>
      </w:r>
      <w:r w:rsidRPr="00280D94">
        <w:rPr>
          <w:rStyle w:val="EndnoteReference"/>
          <w:lang w:val="en-GB"/>
        </w:rPr>
        <w:endnoteReference w:id="17"/>
      </w:r>
    </w:p>
    <w:p w14:paraId="658B9008" w14:textId="77777777" w:rsidR="004E327F" w:rsidRPr="00280D94" w:rsidRDefault="004E327F" w:rsidP="00D52B78">
      <w:pPr>
        <w:pStyle w:val="BodyTextMain"/>
        <w:rPr>
          <w:lang w:val="en-GB"/>
        </w:rPr>
      </w:pPr>
    </w:p>
    <w:p w14:paraId="38BA824C" w14:textId="53535686" w:rsidR="008A4EF3" w:rsidRPr="00C46AA4" w:rsidRDefault="004E327F" w:rsidP="00D52B78">
      <w:pPr>
        <w:pStyle w:val="BodyTextMain"/>
        <w:rPr>
          <w:lang w:val="en-GB"/>
        </w:rPr>
      </w:pPr>
      <w:r w:rsidRPr="00280D94">
        <w:rPr>
          <w:lang w:val="en-GB"/>
        </w:rPr>
        <w:t xml:space="preserve">Smithfield executives emphasized that the deal </w:t>
      </w:r>
      <w:r w:rsidR="00840F38" w:rsidRPr="00280D94">
        <w:rPr>
          <w:lang w:val="en-GB"/>
        </w:rPr>
        <w:t>centred</w:t>
      </w:r>
      <w:r w:rsidRPr="00280D94">
        <w:rPr>
          <w:lang w:val="en-GB"/>
        </w:rPr>
        <w:t xml:space="preserve"> on satisfying growing demands for meat in China. </w:t>
      </w:r>
      <w:r w:rsidR="00D84EE2">
        <w:rPr>
          <w:lang w:val="en-GB"/>
        </w:rPr>
        <w:t xml:space="preserve">While </w:t>
      </w:r>
      <w:r w:rsidR="00FD6665">
        <w:rPr>
          <w:lang w:val="en-GB"/>
        </w:rPr>
        <w:t>A</w:t>
      </w:r>
      <w:r w:rsidRPr="00280D94">
        <w:rPr>
          <w:lang w:val="en-GB"/>
        </w:rPr>
        <w:t>merica’s meat consumption ha</w:t>
      </w:r>
      <w:r w:rsidR="00FD6665">
        <w:rPr>
          <w:lang w:val="en-GB"/>
        </w:rPr>
        <w:t>d</w:t>
      </w:r>
      <w:r w:rsidRPr="00280D94">
        <w:rPr>
          <w:lang w:val="en-GB"/>
        </w:rPr>
        <w:t xml:space="preserve"> been shrinking, China’s </w:t>
      </w:r>
      <w:r w:rsidR="00FD6665">
        <w:rPr>
          <w:lang w:val="en-GB"/>
        </w:rPr>
        <w:t>consumption was</w:t>
      </w:r>
      <w:r w:rsidRPr="00280D94">
        <w:rPr>
          <w:lang w:val="en-GB"/>
        </w:rPr>
        <w:t xml:space="preserve"> grow</w:t>
      </w:r>
      <w:r w:rsidR="00FD6665">
        <w:rPr>
          <w:lang w:val="en-GB"/>
        </w:rPr>
        <w:t>i</w:t>
      </w:r>
      <w:r w:rsidRPr="00280D94">
        <w:rPr>
          <w:lang w:val="en-GB"/>
        </w:rPr>
        <w:t>n</w:t>
      </w:r>
      <w:r w:rsidR="00FD6665">
        <w:rPr>
          <w:lang w:val="en-GB"/>
        </w:rPr>
        <w:t>g</w:t>
      </w:r>
      <w:r w:rsidRPr="00280D94">
        <w:rPr>
          <w:lang w:val="en-GB"/>
        </w:rPr>
        <w:t xml:space="preserve"> to twice the size of </w:t>
      </w:r>
      <w:proofErr w:type="gramStart"/>
      <w:r w:rsidRPr="00280D94">
        <w:rPr>
          <w:lang w:val="en-GB"/>
        </w:rPr>
        <w:t>America’s</w:t>
      </w:r>
      <w:proofErr w:type="gramEnd"/>
      <w:r w:rsidRPr="00280D94">
        <w:rPr>
          <w:lang w:val="en-GB"/>
        </w:rPr>
        <w:t xml:space="preserve">. </w:t>
      </w:r>
      <w:r w:rsidR="00FD6665">
        <w:rPr>
          <w:lang w:val="en-GB"/>
        </w:rPr>
        <w:t>China’s</w:t>
      </w:r>
      <w:r w:rsidRPr="00280D94">
        <w:rPr>
          <w:lang w:val="en-GB"/>
        </w:rPr>
        <w:t xml:space="preserve"> half a billion pigs represented roughly half of the global pig population, </w:t>
      </w:r>
      <w:r w:rsidR="00FD6665">
        <w:rPr>
          <w:lang w:val="en-GB"/>
        </w:rPr>
        <w:t xml:space="preserve">and yet </w:t>
      </w:r>
      <w:r w:rsidRPr="00280D94">
        <w:rPr>
          <w:lang w:val="en-GB"/>
        </w:rPr>
        <w:t xml:space="preserve">China </w:t>
      </w:r>
      <w:r w:rsidR="00FD6665">
        <w:rPr>
          <w:lang w:val="en-GB"/>
        </w:rPr>
        <w:t>was continuing to</w:t>
      </w:r>
      <w:r w:rsidRPr="00280D94">
        <w:rPr>
          <w:lang w:val="en-GB"/>
        </w:rPr>
        <w:t xml:space="preserve"> import pork.</w:t>
      </w:r>
      <w:r w:rsidRPr="00280D94">
        <w:rPr>
          <w:rStyle w:val="EndnoteReference"/>
          <w:lang w:val="en-GB"/>
        </w:rPr>
        <w:endnoteReference w:id="18"/>
      </w:r>
      <w:r w:rsidRPr="00280D94">
        <w:rPr>
          <w:lang w:val="en-GB"/>
        </w:rPr>
        <w:t xml:space="preserve"> Smithfield, the world’s largest hog producer, raised about 15.8 million hogs per year</w:t>
      </w:r>
      <w:r w:rsidRPr="00280D94">
        <w:rPr>
          <w:rStyle w:val="EndnoteReference"/>
          <w:lang w:val="en-GB"/>
        </w:rPr>
        <w:endnoteReference w:id="19"/>
      </w:r>
      <w:r w:rsidRPr="00280D94">
        <w:rPr>
          <w:lang w:val="en-GB"/>
        </w:rPr>
        <w:t xml:space="preserve"> and exported a quarter of its products to China.</w:t>
      </w:r>
      <w:r w:rsidRPr="00280D94">
        <w:rPr>
          <w:rStyle w:val="EndnoteReference"/>
          <w:lang w:val="en-GB"/>
        </w:rPr>
        <w:endnoteReference w:id="20"/>
      </w:r>
    </w:p>
    <w:p w14:paraId="66256A55" w14:textId="77777777" w:rsidR="004E327F" w:rsidRPr="00280D94" w:rsidRDefault="004E327F" w:rsidP="00D52B78">
      <w:pPr>
        <w:pStyle w:val="Casehead2"/>
        <w:rPr>
          <w:lang w:val="en-GB"/>
        </w:rPr>
      </w:pPr>
      <w:r w:rsidRPr="00280D94">
        <w:rPr>
          <w:lang w:val="en-GB"/>
        </w:rPr>
        <w:lastRenderedPageBreak/>
        <w:t>Obstacles</w:t>
      </w:r>
    </w:p>
    <w:p w14:paraId="446D3F15" w14:textId="77777777" w:rsidR="004E327F" w:rsidRPr="00280D94" w:rsidRDefault="004E327F" w:rsidP="00D52B78">
      <w:pPr>
        <w:pStyle w:val="BodyTextMain"/>
        <w:rPr>
          <w:lang w:val="en-GB"/>
        </w:rPr>
      </w:pPr>
    </w:p>
    <w:p w14:paraId="2E19DA4D" w14:textId="6733E860" w:rsidR="004E327F" w:rsidRPr="00280D94" w:rsidRDefault="004E327F" w:rsidP="00D52B78">
      <w:pPr>
        <w:pStyle w:val="BodyTextMain"/>
        <w:rPr>
          <w:lang w:val="en-GB"/>
        </w:rPr>
      </w:pPr>
      <w:r w:rsidRPr="00280D94">
        <w:rPr>
          <w:lang w:val="en-GB"/>
        </w:rPr>
        <w:t xml:space="preserve">In the process, the merger faced numerous obstacles including </w:t>
      </w:r>
      <w:r w:rsidR="00FD6665">
        <w:rPr>
          <w:lang w:val="en-GB"/>
        </w:rPr>
        <w:t>a</w:t>
      </w:r>
      <w:r w:rsidR="00FD6665" w:rsidRPr="00280D94">
        <w:rPr>
          <w:lang w:val="en-GB"/>
        </w:rPr>
        <w:t xml:space="preserve"> </w:t>
      </w:r>
      <w:r w:rsidRPr="00280D94">
        <w:rPr>
          <w:lang w:val="en-GB"/>
        </w:rPr>
        <w:t>U</w:t>
      </w:r>
      <w:r w:rsidR="00B74B6C" w:rsidRPr="00280D94">
        <w:rPr>
          <w:lang w:val="en-GB"/>
        </w:rPr>
        <w:t>.</w:t>
      </w:r>
      <w:r w:rsidRPr="00280D94">
        <w:rPr>
          <w:lang w:val="en-GB"/>
        </w:rPr>
        <w:t>S</w:t>
      </w:r>
      <w:r w:rsidR="00B74B6C" w:rsidRPr="00280D94">
        <w:rPr>
          <w:lang w:val="en-GB"/>
        </w:rPr>
        <w:t>.</w:t>
      </w:r>
      <w:r w:rsidRPr="00280D94">
        <w:rPr>
          <w:lang w:val="en-GB"/>
        </w:rPr>
        <w:t xml:space="preserve"> Senate hearing regarding the possibility that Smithfield plants were located close to sensitive government facilities and, therefore, represented a potential national security risk.</w:t>
      </w:r>
      <w:r w:rsidR="001E6FB8">
        <w:rPr>
          <w:rStyle w:val="EndnoteReference"/>
          <w:lang w:val="en-GB"/>
        </w:rPr>
        <w:endnoteReference w:id="21"/>
      </w:r>
      <w:r w:rsidRPr="00280D94">
        <w:rPr>
          <w:lang w:val="en-GB"/>
        </w:rPr>
        <w:t xml:space="preserve"> Missouri Governor Jay Nixon vetoed two bills related to revoking the ban on foreign ownership of agricultural land in that American state. </w:t>
      </w:r>
      <w:r w:rsidR="00FD6665">
        <w:rPr>
          <w:lang w:val="en-GB"/>
        </w:rPr>
        <w:t>In addition</w:t>
      </w:r>
      <w:r w:rsidRPr="00280D94">
        <w:rPr>
          <w:lang w:val="en-GB"/>
        </w:rPr>
        <w:t>,</w:t>
      </w:r>
      <w:r w:rsidR="00CD4893" w:rsidRPr="00280D94">
        <w:rPr>
          <w:lang w:val="en-GB"/>
        </w:rPr>
        <w:t xml:space="preserve"> activist investor Starboard—</w:t>
      </w:r>
      <w:proofErr w:type="gramStart"/>
      <w:r w:rsidRPr="00280D94">
        <w:rPr>
          <w:lang w:val="en-GB"/>
        </w:rPr>
        <w:t>which</w:t>
      </w:r>
      <w:proofErr w:type="gramEnd"/>
      <w:r w:rsidRPr="00280D94">
        <w:rPr>
          <w:lang w:val="en-GB"/>
        </w:rPr>
        <w:t xml:space="preserve"> owned 5.7 </w:t>
      </w:r>
      <w:r w:rsidR="00CD4893" w:rsidRPr="00280D94">
        <w:rPr>
          <w:lang w:val="en-GB"/>
        </w:rPr>
        <w:t>per cent of Smithfield shares—</w:t>
      </w:r>
      <w:r w:rsidRPr="00280D94">
        <w:rPr>
          <w:lang w:val="en-GB"/>
        </w:rPr>
        <w:t>tried to block the merger</w:t>
      </w:r>
      <w:r w:rsidR="0023361F">
        <w:rPr>
          <w:lang w:val="en-GB"/>
        </w:rPr>
        <w:t>,</w:t>
      </w:r>
      <w:r w:rsidRPr="00280D94">
        <w:rPr>
          <w:lang w:val="en-GB"/>
        </w:rPr>
        <w:t xml:space="preserve"> claim</w:t>
      </w:r>
      <w:r w:rsidR="00FD6665">
        <w:rPr>
          <w:lang w:val="en-GB"/>
        </w:rPr>
        <w:t>ing</w:t>
      </w:r>
      <w:r w:rsidRPr="00280D94">
        <w:rPr>
          <w:lang w:val="en-GB"/>
        </w:rPr>
        <w:t xml:space="preserve"> that it had </w:t>
      </w:r>
      <w:r w:rsidR="00FD6665">
        <w:rPr>
          <w:lang w:val="en-GB"/>
        </w:rPr>
        <w:t xml:space="preserve">an </w:t>
      </w:r>
      <w:r w:rsidRPr="00280D94">
        <w:rPr>
          <w:lang w:val="en-GB"/>
        </w:rPr>
        <w:t>indication of interest from third parties</w:t>
      </w:r>
      <w:r w:rsidR="00FD6665">
        <w:rPr>
          <w:lang w:val="en-GB"/>
        </w:rPr>
        <w:t xml:space="preserve"> that</w:t>
      </w:r>
      <w:r w:rsidRPr="00280D94">
        <w:rPr>
          <w:lang w:val="en-GB"/>
        </w:rPr>
        <w:t xml:space="preserve"> exceeded the offered price. According to some sources, there were at least two other bidders for Smithfield.</w:t>
      </w:r>
      <w:r w:rsidRPr="00280D94">
        <w:rPr>
          <w:rStyle w:val="EndnoteReference"/>
          <w:lang w:val="en-GB"/>
        </w:rPr>
        <w:endnoteReference w:id="22"/>
      </w:r>
    </w:p>
    <w:p w14:paraId="30D8955D" w14:textId="77777777" w:rsidR="004E327F" w:rsidRPr="00280D94" w:rsidRDefault="004E327F" w:rsidP="00D52B78">
      <w:pPr>
        <w:pStyle w:val="BodyTextMain"/>
        <w:rPr>
          <w:lang w:val="en-GB"/>
        </w:rPr>
      </w:pPr>
    </w:p>
    <w:p w14:paraId="7FE6DF02" w14:textId="6FC9C0AE" w:rsidR="004E327F" w:rsidRPr="0038535E" w:rsidRDefault="004E327F" w:rsidP="00D52B78">
      <w:pPr>
        <w:pStyle w:val="BodyTextMain"/>
        <w:rPr>
          <w:lang w:val="en-GB"/>
        </w:rPr>
      </w:pPr>
      <w:r w:rsidRPr="00280D94">
        <w:rPr>
          <w:lang w:val="en-GB"/>
        </w:rPr>
        <w:t xml:space="preserve">However, none of these obstacles </w:t>
      </w:r>
      <w:r w:rsidR="001E6FB8">
        <w:rPr>
          <w:lang w:val="en-GB"/>
        </w:rPr>
        <w:t>remained</w:t>
      </w:r>
      <w:r w:rsidR="001E6FB8" w:rsidRPr="00280D94">
        <w:rPr>
          <w:lang w:val="en-GB"/>
        </w:rPr>
        <w:t xml:space="preserve"> </w:t>
      </w:r>
      <w:r w:rsidRPr="00280D94">
        <w:rPr>
          <w:lang w:val="en-GB"/>
        </w:rPr>
        <w:t xml:space="preserve">in the way. </w:t>
      </w:r>
      <w:r w:rsidR="001E6FB8">
        <w:rPr>
          <w:lang w:val="en-GB"/>
        </w:rPr>
        <w:t>By</w:t>
      </w:r>
      <w:r w:rsidRPr="00280D94">
        <w:rPr>
          <w:lang w:val="en-GB"/>
        </w:rPr>
        <w:t xml:space="preserve"> September 26, 2013, </w:t>
      </w:r>
      <w:proofErr w:type="spellStart"/>
      <w:r w:rsidRPr="00280D94">
        <w:rPr>
          <w:lang w:val="en-GB"/>
        </w:rPr>
        <w:t>Shuanghui</w:t>
      </w:r>
      <w:proofErr w:type="spellEnd"/>
      <w:r w:rsidRPr="00280D94">
        <w:rPr>
          <w:lang w:val="en-GB"/>
        </w:rPr>
        <w:t xml:space="preserve"> announced the completion of the acquisition of Smithfield</w:t>
      </w:r>
      <w:r w:rsidR="001E6FB8">
        <w:rPr>
          <w:lang w:val="en-GB"/>
        </w:rPr>
        <w:t>—</w:t>
      </w:r>
      <w:r w:rsidR="001E6FB8" w:rsidRPr="00280D94">
        <w:rPr>
          <w:lang w:val="en-GB"/>
        </w:rPr>
        <w:t>the largest Chinese investment in the United States</w:t>
      </w:r>
      <w:r w:rsidRPr="00280D94">
        <w:rPr>
          <w:lang w:val="en-GB"/>
        </w:rPr>
        <w:t xml:space="preserve">. </w:t>
      </w:r>
      <w:proofErr w:type="spellStart"/>
      <w:r w:rsidRPr="00280D94">
        <w:rPr>
          <w:lang w:val="en-GB"/>
        </w:rPr>
        <w:t>Shuanghui</w:t>
      </w:r>
      <w:proofErr w:type="spellEnd"/>
      <w:r w:rsidRPr="00280D94">
        <w:rPr>
          <w:lang w:val="en-GB"/>
        </w:rPr>
        <w:t xml:space="preserve"> woul</w:t>
      </w:r>
      <w:r w:rsidR="00CD4893" w:rsidRPr="00280D94">
        <w:rPr>
          <w:lang w:val="en-GB"/>
        </w:rPr>
        <w:t>d buy Smithfield</w:t>
      </w:r>
      <w:r w:rsidR="007D0096">
        <w:rPr>
          <w:lang w:val="en-GB"/>
        </w:rPr>
        <w:t>’</w:t>
      </w:r>
      <w:r w:rsidR="00CD4893" w:rsidRPr="00280D94">
        <w:rPr>
          <w:lang w:val="en-GB"/>
        </w:rPr>
        <w:t>s shares at US$</w:t>
      </w:r>
      <w:r w:rsidRPr="00280D94">
        <w:rPr>
          <w:lang w:val="en-GB"/>
        </w:rPr>
        <w:t>34 per share for a total of U</w:t>
      </w:r>
      <w:r w:rsidR="00CD4893" w:rsidRPr="00280D94">
        <w:rPr>
          <w:lang w:val="en-GB"/>
        </w:rPr>
        <w:t>S</w:t>
      </w:r>
      <w:r w:rsidRPr="00280D94">
        <w:rPr>
          <w:lang w:val="en-GB"/>
        </w:rPr>
        <w:t xml:space="preserve">$4.7 billion. </w:t>
      </w:r>
      <w:proofErr w:type="spellStart"/>
      <w:r w:rsidRPr="00280D94">
        <w:rPr>
          <w:lang w:val="en-GB"/>
        </w:rPr>
        <w:t>Shuanghui</w:t>
      </w:r>
      <w:proofErr w:type="spellEnd"/>
      <w:r w:rsidRPr="00280D94">
        <w:rPr>
          <w:lang w:val="en-GB"/>
        </w:rPr>
        <w:t xml:space="preserve"> would also assume U</w:t>
      </w:r>
      <w:r w:rsidR="00034E2D" w:rsidRPr="00280D94">
        <w:rPr>
          <w:lang w:val="en-GB"/>
        </w:rPr>
        <w:t>S</w:t>
      </w:r>
      <w:r w:rsidRPr="00280D94">
        <w:rPr>
          <w:lang w:val="en-GB"/>
        </w:rPr>
        <w:t>$2.4 billion in debt</w:t>
      </w:r>
      <w:r w:rsidR="001E6FB8">
        <w:rPr>
          <w:lang w:val="en-GB"/>
        </w:rPr>
        <w:t>,</w:t>
      </w:r>
      <w:r w:rsidRPr="00280D94">
        <w:rPr>
          <w:lang w:val="en-GB"/>
        </w:rPr>
        <w:t xml:space="preserve"> which amounted to a total deal value of U</w:t>
      </w:r>
      <w:r w:rsidR="00034E2D" w:rsidRPr="00280D94">
        <w:rPr>
          <w:lang w:val="en-GB"/>
        </w:rPr>
        <w:t>S</w:t>
      </w:r>
      <w:r w:rsidRPr="00280D94">
        <w:rPr>
          <w:lang w:val="en-GB"/>
        </w:rPr>
        <w:t>$7.1 billion</w:t>
      </w:r>
      <w:r w:rsidR="00034E2D" w:rsidRPr="00280D94">
        <w:rPr>
          <w:lang w:val="en-GB"/>
        </w:rPr>
        <w:t xml:space="preserve">. </w:t>
      </w:r>
      <w:r w:rsidRPr="00280D94">
        <w:rPr>
          <w:lang w:val="en-GB"/>
        </w:rPr>
        <w:t xml:space="preserve">The deal valued Smithfield at 12.9 times </w:t>
      </w:r>
      <w:r w:rsidR="001E6FB8">
        <w:rPr>
          <w:lang w:val="en-GB"/>
        </w:rPr>
        <w:t xml:space="preserve">its </w:t>
      </w:r>
      <w:r w:rsidRPr="00280D94">
        <w:rPr>
          <w:lang w:val="en-GB"/>
        </w:rPr>
        <w:t xml:space="preserve">estimated profit </w:t>
      </w:r>
      <w:r w:rsidR="00034E2D" w:rsidRPr="00280D94">
        <w:rPr>
          <w:lang w:val="en-GB"/>
        </w:rPr>
        <w:t xml:space="preserve">for the year ended April 2014. </w:t>
      </w:r>
      <w:r w:rsidRPr="00280D94">
        <w:rPr>
          <w:lang w:val="en-GB"/>
        </w:rPr>
        <w:t xml:space="preserve">More than 96 per cent of Smithfield’s shareholders voted in </w:t>
      </w:r>
      <w:r w:rsidR="0038535E" w:rsidRPr="0038535E">
        <w:rPr>
          <w:lang w:val="en-GB"/>
        </w:rPr>
        <w:t>favour</w:t>
      </w:r>
      <w:r w:rsidRPr="0038535E">
        <w:rPr>
          <w:lang w:val="en-GB"/>
        </w:rPr>
        <w:t xml:space="preserve"> of the transaction.</w:t>
      </w:r>
    </w:p>
    <w:p w14:paraId="570641D7" w14:textId="77777777" w:rsidR="004E327F" w:rsidRPr="0038535E" w:rsidRDefault="004E327F" w:rsidP="00D52B78">
      <w:pPr>
        <w:pStyle w:val="BodyTextMain"/>
        <w:rPr>
          <w:lang w:val="en-GB"/>
        </w:rPr>
      </w:pPr>
    </w:p>
    <w:p w14:paraId="2618C786" w14:textId="77777777" w:rsidR="004E327F" w:rsidRPr="0038535E" w:rsidRDefault="004E327F" w:rsidP="00D52B78">
      <w:pPr>
        <w:pStyle w:val="BodyTextMain"/>
        <w:rPr>
          <w:lang w:val="en-GB"/>
        </w:rPr>
      </w:pPr>
    </w:p>
    <w:p w14:paraId="1FAB212B" w14:textId="77777777" w:rsidR="004E327F" w:rsidRPr="0038535E" w:rsidRDefault="004E327F" w:rsidP="00D52B78">
      <w:pPr>
        <w:pStyle w:val="Casehead2"/>
        <w:rPr>
          <w:lang w:val="en-GB"/>
        </w:rPr>
      </w:pPr>
      <w:r w:rsidRPr="0038535E">
        <w:rPr>
          <w:lang w:val="en-GB"/>
        </w:rPr>
        <w:t>Syndicated Loan</w:t>
      </w:r>
    </w:p>
    <w:p w14:paraId="03243F06" w14:textId="77777777" w:rsidR="004E327F" w:rsidRPr="0038535E" w:rsidRDefault="004E327F" w:rsidP="00D52B78">
      <w:pPr>
        <w:pStyle w:val="BodyTextMain"/>
        <w:rPr>
          <w:lang w:val="en-GB"/>
        </w:rPr>
      </w:pPr>
    </w:p>
    <w:p w14:paraId="209278D6" w14:textId="0880B32B" w:rsidR="004E327F" w:rsidRPr="0038535E" w:rsidRDefault="004E327F" w:rsidP="00D52B78">
      <w:pPr>
        <w:pStyle w:val="BodyTextMain"/>
        <w:rPr>
          <w:lang w:val="en-GB"/>
        </w:rPr>
      </w:pPr>
      <w:proofErr w:type="spellStart"/>
      <w:r w:rsidRPr="0038535E">
        <w:rPr>
          <w:lang w:val="en-GB"/>
        </w:rPr>
        <w:t>Shuanghui</w:t>
      </w:r>
      <w:proofErr w:type="spellEnd"/>
      <w:r w:rsidRPr="0038535E">
        <w:rPr>
          <w:lang w:val="en-GB"/>
        </w:rPr>
        <w:t xml:space="preserve"> raised </w:t>
      </w:r>
      <w:r w:rsidR="0023361F">
        <w:rPr>
          <w:lang w:val="en-GB"/>
        </w:rPr>
        <w:t xml:space="preserve">a </w:t>
      </w:r>
      <w:r w:rsidRPr="0038535E">
        <w:rPr>
          <w:lang w:val="en-GB"/>
        </w:rPr>
        <w:t>U</w:t>
      </w:r>
      <w:r w:rsidR="00034E2D" w:rsidRPr="0038535E">
        <w:rPr>
          <w:lang w:val="en-GB"/>
        </w:rPr>
        <w:t>S</w:t>
      </w:r>
      <w:r w:rsidRPr="0038535E">
        <w:rPr>
          <w:lang w:val="en-GB"/>
        </w:rPr>
        <w:t>$4 billion syndicated loan to finance the merger. Bank of China held U</w:t>
      </w:r>
      <w:r w:rsidR="00034E2D" w:rsidRPr="0038535E">
        <w:rPr>
          <w:lang w:val="en-GB"/>
        </w:rPr>
        <w:t>S</w:t>
      </w:r>
      <w:r w:rsidRPr="0038535E">
        <w:rPr>
          <w:lang w:val="en-GB"/>
        </w:rPr>
        <w:t>$1 billion, six banks received U</w:t>
      </w:r>
      <w:r w:rsidR="00034E2D" w:rsidRPr="0038535E">
        <w:rPr>
          <w:lang w:val="en-GB"/>
        </w:rPr>
        <w:t>S</w:t>
      </w:r>
      <w:r w:rsidRPr="0038535E">
        <w:rPr>
          <w:lang w:val="en-GB"/>
        </w:rPr>
        <w:t>$450 million each, and ICBC (Asia) received U</w:t>
      </w:r>
      <w:r w:rsidR="00034E2D" w:rsidRPr="0038535E">
        <w:rPr>
          <w:lang w:val="en-GB"/>
        </w:rPr>
        <w:t>S</w:t>
      </w:r>
      <w:r w:rsidRPr="0038535E">
        <w:rPr>
          <w:lang w:val="en-GB"/>
        </w:rPr>
        <w:t>$300 million. The loan included a U</w:t>
      </w:r>
      <w:r w:rsidR="00034E2D" w:rsidRPr="0038535E">
        <w:rPr>
          <w:lang w:val="en-GB"/>
        </w:rPr>
        <w:t>S</w:t>
      </w:r>
      <w:r w:rsidRPr="0038535E">
        <w:rPr>
          <w:lang w:val="en-GB"/>
        </w:rPr>
        <w:t xml:space="preserve">$2.5 billion three-year tranche paying </w:t>
      </w:r>
      <w:r w:rsidR="001E6FB8">
        <w:rPr>
          <w:lang w:val="en-GB"/>
        </w:rPr>
        <w:t xml:space="preserve">the </w:t>
      </w:r>
      <w:r w:rsidR="001E6FB8" w:rsidRPr="001E6FB8">
        <w:rPr>
          <w:lang w:val="en-GB"/>
        </w:rPr>
        <w:t>London Interbank Offered Rate</w:t>
      </w:r>
      <w:r w:rsidR="001E6FB8">
        <w:rPr>
          <w:lang w:val="en-GB"/>
        </w:rPr>
        <w:t xml:space="preserve"> (</w:t>
      </w:r>
      <w:r w:rsidRPr="0038535E">
        <w:rPr>
          <w:lang w:val="en-GB"/>
        </w:rPr>
        <w:t>LIBOR</w:t>
      </w:r>
      <w:r w:rsidR="001E6FB8">
        <w:rPr>
          <w:lang w:val="en-GB"/>
        </w:rPr>
        <w:t>)</w:t>
      </w:r>
      <w:r w:rsidRPr="0038535E">
        <w:rPr>
          <w:lang w:val="en-GB"/>
        </w:rPr>
        <w:t xml:space="preserve"> + 350 </w:t>
      </w:r>
      <w:r w:rsidR="001E6FB8">
        <w:rPr>
          <w:lang w:val="en-GB"/>
        </w:rPr>
        <w:t>basis points</w:t>
      </w:r>
      <w:r w:rsidR="001E6FB8" w:rsidRPr="0038535E">
        <w:rPr>
          <w:lang w:val="en-GB"/>
        </w:rPr>
        <w:t xml:space="preserve"> </w:t>
      </w:r>
      <w:r w:rsidRPr="0038535E">
        <w:rPr>
          <w:lang w:val="en-GB"/>
        </w:rPr>
        <w:t>and a U</w:t>
      </w:r>
      <w:r w:rsidR="00034E2D" w:rsidRPr="0038535E">
        <w:rPr>
          <w:lang w:val="en-GB"/>
        </w:rPr>
        <w:t>S</w:t>
      </w:r>
      <w:r w:rsidRPr="0038535E">
        <w:rPr>
          <w:lang w:val="en-GB"/>
        </w:rPr>
        <w:t>$1.5 billion five-year tranche at LIBOR + 450 b</w:t>
      </w:r>
      <w:r w:rsidR="001E6FB8">
        <w:rPr>
          <w:lang w:val="en-GB"/>
        </w:rPr>
        <w:t xml:space="preserve">asis </w:t>
      </w:r>
      <w:r w:rsidRPr="0038535E">
        <w:rPr>
          <w:lang w:val="en-GB"/>
        </w:rPr>
        <w:t>p</w:t>
      </w:r>
      <w:r w:rsidR="001E6FB8">
        <w:rPr>
          <w:lang w:val="en-GB"/>
        </w:rPr>
        <w:t>oint</w:t>
      </w:r>
      <w:r w:rsidRPr="0038535E">
        <w:rPr>
          <w:lang w:val="en-GB"/>
        </w:rPr>
        <w:t>s.</w:t>
      </w:r>
      <w:r w:rsidRPr="0038535E">
        <w:rPr>
          <w:rStyle w:val="EndnoteReference"/>
          <w:lang w:val="en-GB"/>
        </w:rPr>
        <w:endnoteReference w:id="23"/>
      </w:r>
    </w:p>
    <w:p w14:paraId="2E32714D" w14:textId="77777777" w:rsidR="004E327F" w:rsidRPr="0038535E" w:rsidRDefault="004E327F" w:rsidP="00D52B78">
      <w:pPr>
        <w:pStyle w:val="BodyTextMain"/>
        <w:rPr>
          <w:lang w:val="en-GB"/>
        </w:rPr>
      </w:pPr>
    </w:p>
    <w:p w14:paraId="7E44916B" w14:textId="29F1D5D0" w:rsidR="007D0096" w:rsidRDefault="004E327F" w:rsidP="00D52B78">
      <w:pPr>
        <w:pStyle w:val="BodyTextMain"/>
        <w:rPr>
          <w:lang w:val="en-GB"/>
        </w:rPr>
      </w:pPr>
      <w:proofErr w:type="gramStart"/>
      <w:r w:rsidRPr="0038535E">
        <w:rPr>
          <w:lang w:val="en-GB"/>
        </w:rPr>
        <w:t xml:space="preserve">The loan was secured by shares in Smithfield Foods and a 73.26 per cent stake in </w:t>
      </w:r>
      <w:r w:rsidR="001E6FB8">
        <w:rPr>
          <w:lang w:val="en-GB"/>
        </w:rPr>
        <w:t xml:space="preserve">a </w:t>
      </w:r>
      <w:r w:rsidRPr="0038535E">
        <w:rPr>
          <w:lang w:val="en-GB"/>
        </w:rPr>
        <w:t xml:space="preserve">Shenzhen-listed Henan </w:t>
      </w:r>
      <w:proofErr w:type="spellStart"/>
      <w:r w:rsidRPr="0038535E">
        <w:rPr>
          <w:lang w:val="en-GB"/>
        </w:rPr>
        <w:t>Shuanghui</w:t>
      </w:r>
      <w:proofErr w:type="spellEnd"/>
      <w:r w:rsidRPr="0038535E">
        <w:rPr>
          <w:lang w:val="en-GB"/>
        </w:rPr>
        <w:t xml:space="preserve"> Investment </w:t>
      </w:r>
      <w:r w:rsidR="00650F57">
        <w:rPr>
          <w:lang w:val="en-GB"/>
        </w:rPr>
        <w:t>&amp;</w:t>
      </w:r>
      <w:r w:rsidR="00650F57" w:rsidRPr="0038535E">
        <w:rPr>
          <w:lang w:val="en-GB"/>
        </w:rPr>
        <w:t xml:space="preserve"> </w:t>
      </w:r>
      <w:r w:rsidRPr="0038535E">
        <w:rPr>
          <w:lang w:val="en-GB"/>
        </w:rPr>
        <w:t>Development</w:t>
      </w:r>
      <w:proofErr w:type="gramEnd"/>
      <w:r w:rsidRPr="0038535E">
        <w:rPr>
          <w:lang w:val="en-GB"/>
        </w:rPr>
        <w:t xml:space="preserve">. According to the </w:t>
      </w:r>
      <w:proofErr w:type="spellStart"/>
      <w:r w:rsidRPr="0038535E">
        <w:rPr>
          <w:lang w:val="en-GB"/>
        </w:rPr>
        <w:t>Debtwire</w:t>
      </w:r>
      <w:proofErr w:type="spellEnd"/>
      <w:r w:rsidRPr="0038535E">
        <w:rPr>
          <w:lang w:val="en-GB"/>
        </w:rPr>
        <w:t xml:space="preserve">, </w:t>
      </w:r>
      <w:r w:rsidR="001E6FB8">
        <w:rPr>
          <w:lang w:val="en-GB"/>
        </w:rPr>
        <w:t xml:space="preserve">the deal included the following </w:t>
      </w:r>
      <w:r w:rsidRPr="0038535E">
        <w:rPr>
          <w:lang w:val="en-GB"/>
        </w:rPr>
        <w:t xml:space="preserve">financial covenants: </w:t>
      </w:r>
    </w:p>
    <w:p w14:paraId="02A65A5A" w14:textId="77777777" w:rsidR="007D0096" w:rsidRDefault="007D0096" w:rsidP="00D52B78">
      <w:pPr>
        <w:pStyle w:val="BodyTextMain"/>
        <w:rPr>
          <w:lang w:val="en-GB"/>
        </w:rPr>
      </w:pPr>
    </w:p>
    <w:p w14:paraId="6031735C" w14:textId="302739BC" w:rsidR="004E327F" w:rsidRPr="00C46AA4" w:rsidRDefault="004E327F" w:rsidP="00140AC3">
      <w:pPr>
        <w:pStyle w:val="BodyTextMain"/>
        <w:ind w:left="720"/>
        <w:rPr>
          <w:spacing w:val="-4"/>
          <w:kern w:val="22"/>
          <w:lang w:val="en-GB"/>
        </w:rPr>
      </w:pPr>
      <w:proofErr w:type="spellStart"/>
      <w:r w:rsidRPr="00C46AA4">
        <w:rPr>
          <w:spacing w:val="-4"/>
          <w:kern w:val="22"/>
          <w:lang w:val="en-GB"/>
        </w:rPr>
        <w:t>Shuanghui</w:t>
      </w:r>
      <w:proofErr w:type="spellEnd"/>
      <w:r w:rsidRPr="00C46AA4">
        <w:rPr>
          <w:spacing w:val="-4"/>
          <w:kern w:val="22"/>
          <w:lang w:val="en-GB"/>
        </w:rPr>
        <w:t xml:space="preserve"> International </w:t>
      </w:r>
      <w:r w:rsidR="002E3BBB" w:rsidRPr="00C46AA4">
        <w:rPr>
          <w:spacing w:val="-4"/>
          <w:kern w:val="22"/>
          <w:lang w:val="en-GB"/>
        </w:rPr>
        <w:t xml:space="preserve">Holdings </w:t>
      </w:r>
      <w:r w:rsidRPr="00C46AA4">
        <w:rPr>
          <w:spacing w:val="-4"/>
          <w:kern w:val="22"/>
          <w:lang w:val="en-GB"/>
        </w:rPr>
        <w:t>consolidated net worth must not fall below U</w:t>
      </w:r>
      <w:r w:rsidR="00034E2D" w:rsidRPr="00C46AA4">
        <w:rPr>
          <w:spacing w:val="-4"/>
          <w:kern w:val="22"/>
          <w:lang w:val="en-GB"/>
        </w:rPr>
        <w:t>S</w:t>
      </w:r>
      <w:r w:rsidRPr="00C46AA4">
        <w:rPr>
          <w:spacing w:val="-4"/>
          <w:kern w:val="22"/>
          <w:lang w:val="en-GB"/>
        </w:rPr>
        <w:t xml:space="preserve">$2 billion; consolidated total net borrowings-to-consolidated </w:t>
      </w:r>
      <w:r w:rsidR="000B696D" w:rsidRPr="00C46AA4">
        <w:rPr>
          <w:spacing w:val="-4"/>
          <w:kern w:val="22"/>
          <w:lang w:val="en-GB"/>
        </w:rPr>
        <w:t xml:space="preserve">Earnings </w:t>
      </w:r>
      <w:proofErr w:type="gramStart"/>
      <w:r w:rsidR="000B696D" w:rsidRPr="00C46AA4">
        <w:rPr>
          <w:spacing w:val="-4"/>
          <w:kern w:val="22"/>
          <w:lang w:val="en-GB"/>
        </w:rPr>
        <w:t>Before</w:t>
      </w:r>
      <w:proofErr w:type="gramEnd"/>
      <w:r w:rsidR="000B696D" w:rsidRPr="00C46AA4">
        <w:rPr>
          <w:spacing w:val="-4"/>
          <w:kern w:val="22"/>
          <w:lang w:val="en-GB"/>
        </w:rPr>
        <w:t xml:space="preserve"> Interest, Taxes, Depreciation and Amortization (</w:t>
      </w:r>
      <w:r w:rsidRPr="00C46AA4">
        <w:rPr>
          <w:spacing w:val="-4"/>
          <w:kern w:val="22"/>
          <w:lang w:val="en-GB"/>
        </w:rPr>
        <w:t>EBITDA</w:t>
      </w:r>
      <w:r w:rsidR="000B696D" w:rsidRPr="00C46AA4">
        <w:rPr>
          <w:spacing w:val="-4"/>
          <w:kern w:val="22"/>
          <w:lang w:val="en-GB"/>
        </w:rPr>
        <w:t>)</w:t>
      </w:r>
      <w:r w:rsidRPr="00C46AA4">
        <w:rPr>
          <w:spacing w:val="-4"/>
          <w:kern w:val="22"/>
          <w:lang w:val="en-GB"/>
        </w:rPr>
        <w:t xml:space="preserve"> must not exceed </w:t>
      </w:r>
      <w:r w:rsidR="001E6FB8" w:rsidRPr="00C46AA4">
        <w:rPr>
          <w:spacing w:val="-4"/>
          <w:kern w:val="22"/>
          <w:lang w:val="en-GB"/>
        </w:rPr>
        <w:t>five time</w:t>
      </w:r>
      <w:r w:rsidR="0023361F" w:rsidRPr="00C46AA4">
        <w:rPr>
          <w:spacing w:val="-4"/>
          <w:kern w:val="22"/>
          <w:lang w:val="en-GB"/>
        </w:rPr>
        <w:t>s</w:t>
      </w:r>
      <w:r w:rsidR="001E6FB8" w:rsidRPr="00C46AA4">
        <w:rPr>
          <w:spacing w:val="-4"/>
          <w:kern w:val="22"/>
          <w:lang w:val="en-GB"/>
        </w:rPr>
        <w:t xml:space="preserve"> the value</w:t>
      </w:r>
      <w:r w:rsidRPr="00C46AA4">
        <w:rPr>
          <w:spacing w:val="-4"/>
          <w:kern w:val="22"/>
          <w:lang w:val="en-GB"/>
        </w:rPr>
        <w:t>; interest coverage ratio must stay above 1.5</w:t>
      </w:r>
      <w:r w:rsidR="001E6FB8" w:rsidRPr="00C46AA4">
        <w:rPr>
          <w:spacing w:val="-4"/>
          <w:kern w:val="22"/>
          <w:lang w:val="en-GB"/>
        </w:rPr>
        <w:t xml:space="preserve"> times the v</w:t>
      </w:r>
      <w:r w:rsidR="000B696D" w:rsidRPr="00C46AA4">
        <w:rPr>
          <w:spacing w:val="-4"/>
          <w:kern w:val="22"/>
          <w:lang w:val="en-GB"/>
        </w:rPr>
        <w:t>alue</w:t>
      </w:r>
      <w:r w:rsidRPr="00C46AA4">
        <w:rPr>
          <w:spacing w:val="-4"/>
          <w:kern w:val="22"/>
          <w:lang w:val="en-GB"/>
        </w:rPr>
        <w:t>; [and] the onshore unit’s total borrowings must not exceed U</w:t>
      </w:r>
      <w:r w:rsidR="00034E2D" w:rsidRPr="00C46AA4">
        <w:rPr>
          <w:spacing w:val="-4"/>
          <w:kern w:val="22"/>
          <w:lang w:val="en-GB"/>
        </w:rPr>
        <w:t>S</w:t>
      </w:r>
      <w:r w:rsidRPr="00C46AA4">
        <w:rPr>
          <w:spacing w:val="-4"/>
          <w:kern w:val="22"/>
          <w:lang w:val="en-GB"/>
        </w:rPr>
        <w:t>$490 million.</w:t>
      </w:r>
      <w:r w:rsidRPr="00C46AA4">
        <w:rPr>
          <w:rStyle w:val="EndnoteReference"/>
          <w:spacing w:val="-4"/>
          <w:kern w:val="22"/>
          <w:lang w:val="en-GB"/>
        </w:rPr>
        <w:endnoteReference w:id="24"/>
      </w:r>
    </w:p>
    <w:p w14:paraId="642368D6" w14:textId="77777777" w:rsidR="004E327F" w:rsidRPr="0038535E" w:rsidRDefault="004E327F" w:rsidP="00D52B78">
      <w:pPr>
        <w:pStyle w:val="BodyTextMain"/>
        <w:rPr>
          <w:lang w:val="en-GB"/>
        </w:rPr>
      </w:pPr>
    </w:p>
    <w:p w14:paraId="3D79C078" w14:textId="7F14FA10" w:rsidR="004E327F" w:rsidRPr="0038535E" w:rsidRDefault="004E327F" w:rsidP="00D52B78">
      <w:pPr>
        <w:pStyle w:val="BodyTextMain"/>
        <w:rPr>
          <w:lang w:val="en-GB"/>
        </w:rPr>
      </w:pPr>
      <w:proofErr w:type="spellStart"/>
      <w:r w:rsidRPr="0038535E">
        <w:rPr>
          <w:lang w:val="en-GB"/>
        </w:rPr>
        <w:t>Shuanghui</w:t>
      </w:r>
      <w:proofErr w:type="spellEnd"/>
      <w:r w:rsidRPr="0038535E">
        <w:rPr>
          <w:lang w:val="en-GB"/>
        </w:rPr>
        <w:t xml:space="preserve"> hired several banks for its impending IPO</w:t>
      </w:r>
      <w:r w:rsidR="000B696D">
        <w:rPr>
          <w:lang w:val="en-GB"/>
        </w:rPr>
        <w:t>,</w:t>
      </w:r>
      <w:r w:rsidRPr="0038535E">
        <w:rPr>
          <w:lang w:val="en-GB"/>
        </w:rPr>
        <w:t xml:space="preserve"> including UBS, Standard Chartered, Morgan Stanley, Goldman Sachs, </w:t>
      </w:r>
      <w:proofErr w:type="spellStart"/>
      <w:r w:rsidRPr="0038535E">
        <w:rPr>
          <w:lang w:val="en-GB"/>
        </w:rPr>
        <w:t>Citic</w:t>
      </w:r>
      <w:proofErr w:type="spellEnd"/>
      <w:r w:rsidRPr="0038535E">
        <w:rPr>
          <w:lang w:val="en-GB"/>
        </w:rPr>
        <w:t xml:space="preserve"> Securities International</w:t>
      </w:r>
      <w:r w:rsidR="000B696D">
        <w:rPr>
          <w:lang w:val="en-GB"/>
        </w:rPr>
        <w:t>,</w:t>
      </w:r>
      <w:r w:rsidRPr="0038535E">
        <w:rPr>
          <w:lang w:val="en-GB"/>
        </w:rPr>
        <w:t xml:space="preserve"> and BOC International. Clearly, </w:t>
      </w:r>
      <w:proofErr w:type="spellStart"/>
      <w:r w:rsidRPr="0038535E">
        <w:rPr>
          <w:lang w:val="en-GB"/>
        </w:rPr>
        <w:t>Shuanghui</w:t>
      </w:r>
      <w:proofErr w:type="spellEnd"/>
      <w:r w:rsidRPr="0038535E">
        <w:rPr>
          <w:lang w:val="en-GB"/>
        </w:rPr>
        <w:t xml:space="preserve"> </w:t>
      </w:r>
      <w:r w:rsidR="000B696D">
        <w:rPr>
          <w:lang w:val="en-GB"/>
        </w:rPr>
        <w:t xml:space="preserve">had </w:t>
      </w:r>
      <w:r w:rsidRPr="0038535E">
        <w:rPr>
          <w:lang w:val="en-GB"/>
        </w:rPr>
        <w:t xml:space="preserve">planned two processes simultaneously and, according to sources, promised bankers that the three-year tranche would be repaid from IPO or bonds proceeds. The company generated </w:t>
      </w:r>
      <w:r w:rsidR="000B696D">
        <w:rPr>
          <w:lang w:val="en-GB"/>
        </w:rPr>
        <w:t xml:space="preserve">an </w:t>
      </w:r>
      <w:r w:rsidRPr="0038535E">
        <w:rPr>
          <w:lang w:val="en-GB"/>
        </w:rPr>
        <w:t>EBITDA</w:t>
      </w:r>
      <w:r w:rsidR="000B696D">
        <w:rPr>
          <w:lang w:val="en-GB"/>
        </w:rPr>
        <w:t xml:space="preserve"> </w:t>
      </w:r>
      <w:r w:rsidRPr="0038535E">
        <w:rPr>
          <w:lang w:val="en-GB"/>
        </w:rPr>
        <w:t>of U</w:t>
      </w:r>
      <w:r w:rsidR="00034E2D" w:rsidRPr="0038535E">
        <w:rPr>
          <w:lang w:val="en-GB"/>
        </w:rPr>
        <w:t>S</w:t>
      </w:r>
      <w:r w:rsidRPr="0038535E">
        <w:rPr>
          <w:lang w:val="en-GB"/>
        </w:rPr>
        <w:t xml:space="preserve">$635 million in 2012; analysts expected </w:t>
      </w:r>
      <w:r w:rsidR="000B696D">
        <w:rPr>
          <w:lang w:val="en-GB"/>
        </w:rPr>
        <w:t xml:space="preserve">the </w:t>
      </w:r>
      <w:r w:rsidRPr="0038535E">
        <w:rPr>
          <w:lang w:val="en-GB"/>
        </w:rPr>
        <w:t xml:space="preserve">EBITDA </w:t>
      </w:r>
      <w:r w:rsidR="00B8219A">
        <w:rPr>
          <w:lang w:val="en-GB"/>
        </w:rPr>
        <w:t xml:space="preserve">of </w:t>
      </w:r>
      <w:r w:rsidRPr="0038535E">
        <w:rPr>
          <w:lang w:val="en-GB"/>
        </w:rPr>
        <w:t>U</w:t>
      </w:r>
      <w:r w:rsidR="00034E2D" w:rsidRPr="0038535E">
        <w:rPr>
          <w:lang w:val="en-GB"/>
        </w:rPr>
        <w:t>S</w:t>
      </w:r>
      <w:r w:rsidRPr="0038535E">
        <w:rPr>
          <w:lang w:val="en-GB"/>
        </w:rPr>
        <w:t>$1.5 billion</w:t>
      </w:r>
      <w:r w:rsidR="00B8219A" w:rsidRPr="00B8219A">
        <w:rPr>
          <w:lang w:val="en-GB"/>
        </w:rPr>
        <w:t xml:space="preserve"> </w:t>
      </w:r>
      <w:r w:rsidR="00B8219A" w:rsidRPr="0038535E">
        <w:rPr>
          <w:lang w:val="en-GB"/>
        </w:rPr>
        <w:t>in 2014</w:t>
      </w:r>
      <w:r w:rsidRPr="0038535E">
        <w:rPr>
          <w:lang w:val="en-GB"/>
        </w:rPr>
        <w:t>.</w:t>
      </w:r>
      <w:r w:rsidRPr="0038535E">
        <w:rPr>
          <w:rStyle w:val="EndnoteReference"/>
          <w:lang w:val="en-GB"/>
        </w:rPr>
        <w:endnoteReference w:id="25"/>
      </w:r>
    </w:p>
    <w:p w14:paraId="02D99690" w14:textId="77777777" w:rsidR="004E327F" w:rsidRPr="0038535E" w:rsidRDefault="004E327F" w:rsidP="00D52B78">
      <w:pPr>
        <w:pStyle w:val="BodyTextMain"/>
        <w:rPr>
          <w:lang w:val="en-GB"/>
        </w:rPr>
      </w:pPr>
    </w:p>
    <w:p w14:paraId="7071B30E" w14:textId="77777777" w:rsidR="004E327F" w:rsidRPr="0038535E" w:rsidRDefault="004E327F" w:rsidP="00D52B78">
      <w:pPr>
        <w:pStyle w:val="BodyTextMain"/>
        <w:rPr>
          <w:lang w:val="en-GB"/>
        </w:rPr>
      </w:pPr>
    </w:p>
    <w:p w14:paraId="54EF0863" w14:textId="77777777" w:rsidR="004E327F" w:rsidRPr="0038535E" w:rsidRDefault="004E327F" w:rsidP="00BC0088">
      <w:pPr>
        <w:pStyle w:val="Casehead2"/>
        <w:keepNext/>
        <w:rPr>
          <w:lang w:val="en-GB"/>
        </w:rPr>
      </w:pPr>
      <w:r w:rsidRPr="0038535E">
        <w:rPr>
          <w:lang w:val="en-GB"/>
        </w:rPr>
        <w:t>Post-Merger</w:t>
      </w:r>
    </w:p>
    <w:p w14:paraId="7121A8E3" w14:textId="77777777" w:rsidR="004E327F" w:rsidRPr="0038535E" w:rsidRDefault="004E327F" w:rsidP="00BC0088">
      <w:pPr>
        <w:pStyle w:val="BodyTextMain"/>
        <w:keepNext/>
        <w:rPr>
          <w:lang w:val="en-GB"/>
        </w:rPr>
      </w:pPr>
    </w:p>
    <w:p w14:paraId="08891CFD" w14:textId="1478CA40" w:rsidR="006D3F29" w:rsidRPr="00C46AA4" w:rsidRDefault="00B74B6C" w:rsidP="00BC0088">
      <w:pPr>
        <w:pStyle w:val="BodyTextMain"/>
        <w:keepNext/>
        <w:rPr>
          <w:spacing w:val="-4"/>
          <w:kern w:val="22"/>
          <w:lang w:val="en-GB"/>
        </w:rPr>
      </w:pPr>
      <w:r w:rsidRPr="00C46AA4">
        <w:rPr>
          <w:spacing w:val="-4"/>
          <w:kern w:val="22"/>
          <w:lang w:val="en-GB"/>
        </w:rPr>
        <w:t>Both c</w:t>
      </w:r>
      <w:r w:rsidR="004E327F" w:rsidRPr="00C46AA4">
        <w:rPr>
          <w:spacing w:val="-4"/>
          <w:kern w:val="22"/>
          <w:lang w:val="en-GB"/>
        </w:rPr>
        <w:t>ompanies claimed that existing American plants would continue operating as independent business</w:t>
      </w:r>
      <w:r w:rsidR="007D0096" w:rsidRPr="00C46AA4">
        <w:rPr>
          <w:spacing w:val="-4"/>
          <w:kern w:val="22"/>
          <w:lang w:val="en-GB"/>
        </w:rPr>
        <w:t>es</w:t>
      </w:r>
      <w:r w:rsidR="004E327F" w:rsidRPr="00C46AA4">
        <w:rPr>
          <w:spacing w:val="-4"/>
          <w:kern w:val="22"/>
          <w:lang w:val="en-GB"/>
        </w:rPr>
        <w:t xml:space="preserve"> without changes.</w:t>
      </w:r>
      <w:r w:rsidR="004E327F" w:rsidRPr="00C46AA4">
        <w:rPr>
          <w:rStyle w:val="EndnoteReference"/>
          <w:spacing w:val="-4"/>
          <w:kern w:val="22"/>
          <w:lang w:val="en-GB"/>
        </w:rPr>
        <w:endnoteReference w:id="26"/>
      </w:r>
      <w:r w:rsidR="004E327F" w:rsidRPr="00C46AA4">
        <w:rPr>
          <w:spacing w:val="-4"/>
          <w:kern w:val="22"/>
          <w:lang w:val="en-GB"/>
        </w:rPr>
        <w:t xml:space="preserve"> All management teams and workforces of Smithfield</w:t>
      </w:r>
      <w:r w:rsidR="007D0096" w:rsidRPr="00C46AA4">
        <w:rPr>
          <w:spacing w:val="-4"/>
          <w:kern w:val="22"/>
          <w:lang w:val="en-GB"/>
        </w:rPr>
        <w:t>’</w:t>
      </w:r>
      <w:r w:rsidR="004E327F" w:rsidRPr="00C46AA4">
        <w:rPr>
          <w:spacing w:val="-4"/>
          <w:kern w:val="22"/>
          <w:lang w:val="en-GB"/>
        </w:rPr>
        <w:t xml:space="preserve">s Operating Companies (including </w:t>
      </w:r>
      <w:r w:rsidR="0023361F" w:rsidRPr="00C46AA4">
        <w:rPr>
          <w:spacing w:val="-4"/>
          <w:kern w:val="22"/>
          <w:lang w:val="en-GB"/>
        </w:rPr>
        <w:t>company</w:t>
      </w:r>
      <w:r w:rsidRPr="00C46AA4">
        <w:rPr>
          <w:spacing w:val="-4"/>
          <w:kern w:val="22"/>
          <w:lang w:val="en-GB"/>
        </w:rPr>
        <w:t xml:space="preserve"> </w:t>
      </w:r>
      <w:r w:rsidR="004E327F" w:rsidRPr="00C46AA4">
        <w:rPr>
          <w:spacing w:val="-4"/>
          <w:kern w:val="22"/>
          <w:lang w:val="en-GB"/>
        </w:rPr>
        <w:t>CEO</w:t>
      </w:r>
      <w:r w:rsidR="0023361F" w:rsidRPr="00C46AA4">
        <w:rPr>
          <w:spacing w:val="-4"/>
          <w:kern w:val="22"/>
          <w:lang w:val="en-GB"/>
        </w:rPr>
        <w:t xml:space="preserve"> and </w:t>
      </w:r>
      <w:r w:rsidR="004E327F" w:rsidRPr="00C46AA4">
        <w:rPr>
          <w:spacing w:val="-4"/>
          <w:kern w:val="22"/>
          <w:lang w:val="en-GB"/>
        </w:rPr>
        <w:t xml:space="preserve">President </w:t>
      </w:r>
      <w:r w:rsidR="0023361F" w:rsidRPr="00C46AA4">
        <w:rPr>
          <w:spacing w:val="-4"/>
          <w:kern w:val="22"/>
          <w:lang w:val="en-GB"/>
        </w:rPr>
        <w:t xml:space="preserve">Larry </w:t>
      </w:r>
      <w:r w:rsidR="004E327F" w:rsidRPr="00C46AA4">
        <w:rPr>
          <w:spacing w:val="-4"/>
          <w:kern w:val="22"/>
          <w:lang w:val="en-GB"/>
        </w:rPr>
        <w:t xml:space="preserve">Pope) continued in place after the transaction. After the acquisition </w:t>
      </w:r>
      <w:r w:rsidR="007D0096" w:rsidRPr="00C46AA4">
        <w:rPr>
          <w:spacing w:val="-4"/>
          <w:kern w:val="22"/>
          <w:lang w:val="en-GB"/>
        </w:rPr>
        <w:t xml:space="preserve">was </w:t>
      </w:r>
      <w:r w:rsidRPr="00C46AA4">
        <w:rPr>
          <w:spacing w:val="-4"/>
          <w:kern w:val="22"/>
          <w:lang w:val="en-GB"/>
        </w:rPr>
        <w:t>finalized</w:t>
      </w:r>
      <w:r w:rsidRPr="00C46AA4" w:rsidDel="00B74B6C">
        <w:rPr>
          <w:spacing w:val="-4"/>
          <w:kern w:val="22"/>
          <w:lang w:val="en-GB"/>
        </w:rPr>
        <w:t xml:space="preserve"> </w:t>
      </w:r>
      <w:r w:rsidR="004E327F" w:rsidRPr="00C46AA4">
        <w:rPr>
          <w:spacing w:val="-4"/>
          <w:kern w:val="22"/>
          <w:lang w:val="en-GB"/>
        </w:rPr>
        <w:t xml:space="preserve">on September 26, 2013, Smithfield delisted from the New York Stock Exchange and continued to operate as Smithfield Foods (a wholly-owned subsidiary of </w:t>
      </w:r>
      <w:proofErr w:type="spellStart"/>
      <w:r w:rsidR="004E327F" w:rsidRPr="00C46AA4">
        <w:rPr>
          <w:spacing w:val="-4"/>
          <w:kern w:val="22"/>
          <w:lang w:val="en-GB"/>
        </w:rPr>
        <w:t>Shuanghui</w:t>
      </w:r>
      <w:proofErr w:type="spellEnd"/>
      <w:r w:rsidR="004E327F" w:rsidRPr="00C46AA4">
        <w:rPr>
          <w:spacing w:val="-4"/>
          <w:kern w:val="22"/>
          <w:lang w:val="en-GB"/>
        </w:rPr>
        <w:t xml:space="preserve"> International)</w:t>
      </w:r>
      <w:r w:rsidR="0023361F" w:rsidRPr="00C46AA4">
        <w:rPr>
          <w:spacing w:val="-4"/>
          <w:kern w:val="22"/>
          <w:lang w:val="en-GB"/>
        </w:rPr>
        <w:t>, keeping its existing brand names</w:t>
      </w:r>
      <w:r w:rsidR="004E327F" w:rsidRPr="00C46AA4">
        <w:rPr>
          <w:spacing w:val="-4"/>
          <w:kern w:val="22"/>
          <w:lang w:val="en-GB"/>
        </w:rPr>
        <w:t>.</w:t>
      </w:r>
      <w:r w:rsidR="004E327F" w:rsidRPr="00C46AA4">
        <w:rPr>
          <w:rStyle w:val="EndnoteReference"/>
          <w:spacing w:val="-4"/>
          <w:kern w:val="22"/>
          <w:lang w:val="en-GB"/>
        </w:rPr>
        <w:endnoteReference w:id="27"/>
      </w:r>
      <w:r w:rsidR="00034E2D" w:rsidRPr="00C46AA4">
        <w:rPr>
          <w:spacing w:val="-4"/>
          <w:kern w:val="22"/>
          <w:lang w:val="en-GB"/>
        </w:rPr>
        <w:t xml:space="preserve"> </w:t>
      </w:r>
      <w:proofErr w:type="spellStart"/>
      <w:r w:rsidR="006D3F29" w:rsidRPr="00C46AA4">
        <w:rPr>
          <w:spacing w:val="-4"/>
          <w:kern w:val="22"/>
          <w:lang w:val="en-GB"/>
        </w:rPr>
        <w:t>Shuanghui</w:t>
      </w:r>
      <w:proofErr w:type="spellEnd"/>
      <w:r w:rsidR="006D3F29" w:rsidRPr="00C46AA4">
        <w:rPr>
          <w:spacing w:val="-4"/>
          <w:kern w:val="22"/>
          <w:lang w:val="en-GB"/>
        </w:rPr>
        <w:t xml:space="preserve"> counted on importing safe and inexpensive pork from the United States to meet rising </w:t>
      </w:r>
      <w:r w:rsidR="006D3F29" w:rsidRPr="00C46AA4">
        <w:rPr>
          <w:spacing w:val="-4"/>
          <w:kern w:val="22"/>
          <w:lang w:val="en-GB"/>
        </w:rPr>
        <w:lastRenderedPageBreak/>
        <w:t xml:space="preserve">demand for pork in China. At the same time, the best operational practices from the United States (including food safety) </w:t>
      </w:r>
      <w:proofErr w:type="gramStart"/>
      <w:r w:rsidR="006D3F29" w:rsidRPr="00C46AA4">
        <w:rPr>
          <w:spacing w:val="-4"/>
          <w:kern w:val="22"/>
          <w:lang w:val="en-GB"/>
        </w:rPr>
        <w:t>would be transferred</w:t>
      </w:r>
      <w:proofErr w:type="gramEnd"/>
      <w:r w:rsidR="006D3F29" w:rsidRPr="00C46AA4">
        <w:rPr>
          <w:spacing w:val="-4"/>
          <w:kern w:val="22"/>
          <w:lang w:val="en-GB"/>
        </w:rPr>
        <w:t xml:space="preserve"> to Chinese operations in order to improve efficiency of China operations.</w:t>
      </w:r>
      <w:r w:rsidR="006D3F29" w:rsidRPr="00C46AA4">
        <w:rPr>
          <w:rStyle w:val="EndnoteReference"/>
          <w:spacing w:val="-4"/>
          <w:kern w:val="22"/>
          <w:lang w:val="en-GB"/>
        </w:rPr>
        <w:endnoteReference w:id="28"/>
      </w:r>
    </w:p>
    <w:p w14:paraId="1360F9EC" w14:textId="77777777" w:rsidR="006D3F29" w:rsidRDefault="006D3F29" w:rsidP="00BC0088">
      <w:pPr>
        <w:pStyle w:val="BodyTextMain"/>
        <w:keepNext/>
        <w:rPr>
          <w:lang w:val="en-GB"/>
        </w:rPr>
      </w:pPr>
    </w:p>
    <w:p w14:paraId="3358EE06" w14:textId="61E46E1B" w:rsidR="004E327F" w:rsidRPr="0038535E" w:rsidRDefault="004E327F" w:rsidP="00BC0088">
      <w:pPr>
        <w:pStyle w:val="BodyTextMain"/>
        <w:keepNext/>
        <w:rPr>
          <w:lang w:val="en-GB"/>
        </w:rPr>
      </w:pPr>
      <w:r w:rsidRPr="0038535E">
        <w:rPr>
          <w:lang w:val="en-GB"/>
        </w:rPr>
        <w:t xml:space="preserve">According to </w:t>
      </w:r>
      <w:r w:rsidR="00A74C08" w:rsidRPr="0038535E">
        <w:rPr>
          <w:lang w:val="en-GB"/>
        </w:rPr>
        <w:t xml:space="preserve">the </w:t>
      </w:r>
      <w:r w:rsidRPr="0038535E">
        <w:rPr>
          <w:lang w:val="en-GB"/>
        </w:rPr>
        <w:t>company’s IPO Prospectus:</w:t>
      </w:r>
    </w:p>
    <w:p w14:paraId="75B022D6" w14:textId="77777777" w:rsidR="004E327F" w:rsidRPr="0038535E" w:rsidRDefault="004E327F" w:rsidP="00D52B78">
      <w:pPr>
        <w:pStyle w:val="BodyTextMain"/>
        <w:rPr>
          <w:lang w:val="en-GB"/>
        </w:rPr>
      </w:pPr>
    </w:p>
    <w:p w14:paraId="0135509A" w14:textId="55A48485" w:rsidR="004E327F" w:rsidRPr="00FD2EF1" w:rsidRDefault="004E327F" w:rsidP="00D52B78">
      <w:pPr>
        <w:pStyle w:val="BodyTextMain"/>
        <w:ind w:left="720"/>
        <w:rPr>
          <w:spacing w:val="-2"/>
          <w:kern w:val="22"/>
          <w:lang w:val="en-GB"/>
        </w:rPr>
      </w:pPr>
      <w:r w:rsidRPr="00FD2EF1">
        <w:rPr>
          <w:spacing w:val="-2"/>
          <w:kern w:val="22"/>
          <w:lang w:val="en-GB"/>
        </w:rPr>
        <w:t>We plan to leverage our U</w:t>
      </w:r>
      <w:r w:rsidR="00034E2D" w:rsidRPr="00FD2EF1">
        <w:rPr>
          <w:spacing w:val="-2"/>
          <w:kern w:val="22"/>
          <w:lang w:val="en-GB"/>
        </w:rPr>
        <w:t>.</w:t>
      </w:r>
      <w:r w:rsidRPr="00FD2EF1">
        <w:rPr>
          <w:spacing w:val="-2"/>
          <w:kern w:val="22"/>
          <w:lang w:val="en-GB"/>
        </w:rPr>
        <w:t>S</w:t>
      </w:r>
      <w:r w:rsidR="00034E2D" w:rsidRPr="00FD2EF1">
        <w:rPr>
          <w:spacing w:val="-2"/>
          <w:kern w:val="22"/>
          <w:lang w:val="en-GB"/>
        </w:rPr>
        <w:t>.</w:t>
      </w:r>
      <w:r w:rsidRPr="00FD2EF1">
        <w:rPr>
          <w:spacing w:val="-2"/>
          <w:kern w:val="22"/>
          <w:lang w:val="en-GB"/>
        </w:rPr>
        <w:t xml:space="preserve"> brands, raw materials and technology, our distribution and marketing capabilities in China and our combined strength in research and development to expand our range of American-style premium packaged meat products offerings in China to appeal to the palate of Chinese consumers demanding Western products, which we expect </w:t>
      </w:r>
      <w:proofErr w:type="gramStart"/>
      <w:r w:rsidRPr="00FD2EF1">
        <w:rPr>
          <w:spacing w:val="-2"/>
          <w:kern w:val="22"/>
          <w:lang w:val="en-GB"/>
        </w:rPr>
        <w:t>to positively affect</w:t>
      </w:r>
      <w:proofErr w:type="gramEnd"/>
      <w:r w:rsidRPr="00FD2EF1">
        <w:rPr>
          <w:spacing w:val="-2"/>
          <w:kern w:val="22"/>
          <w:lang w:val="en-GB"/>
        </w:rPr>
        <w:t xml:space="preserve"> our turnover and profitability.</w:t>
      </w:r>
      <w:r w:rsidRPr="00FD2EF1">
        <w:rPr>
          <w:rStyle w:val="EndnoteReference"/>
          <w:spacing w:val="-2"/>
          <w:kern w:val="22"/>
          <w:lang w:val="en-GB"/>
        </w:rPr>
        <w:endnoteReference w:id="29"/>
      </w:r>
    </w:p>
    <w:p w14:paraId="7561C3F0" w14:textId="77777777" w:rsidR="004E327F" w:rsidRPr="0038535E" w:rsidRDefault="004E327F" w:rsidP="00D52B78">
      <w:pPr>
        <w:pStyle w:val="BodyTextMain"/>
        <w:rPr>
          <w:lang w:val="en-GB"/>
        </w:rPr>
      </w:pPr>
    </w:p>
    <w:p w14:paraId="42A6BD88" w14:textId="4E5B524E" w:rsidR="004E327F" w:rsidRPr="0038535E" w:rsidRDefault="004E327F" w:rsidP="00D52B78">
      <w:pPr>
        <w:pStyle w:val="BodyTextMain"/>
        <w:rPr>
          <w:lang w:val="en-GB"/>
        </w:rPr>
      </w:pPr>
      <w:r w:rsidRPr="0038535E">
        <w:rPr>
          <w:lang w:val="en-GB"/>
        </w:rPr>
        <w:t xml:space="preserve">In January 2014, </w:t>
      </w:r>
      <w:proofErr w:type="spellStart"/>
      <w:r w:rsidRPr="0038535E">
        <w:rPr>
          <w:lang w:val="en-GB"/>
        </w:rPr>
        <w:t>Shuanghui</w:t>
      </w:r>
      <w:proofErr w:type="spellEnd"/>
      <w:r w:rsidRPr="0038535E">
        <w:rPr>
          <w:lang w:val="en-GB"/>
        </w:rPr>
        <w:t xml:space="preserve"> International Holdings Limited announced that it ha</w:t>
      </w:r>
      <w:r w:rsidR="0023361F">
        <w:rPr>
          <w:lang w:val="en-GB"/>
        </w:rPr>
        <w:t>d</w:t>
      </w:r>
      <w:r w:rsidRPr="0038535E">
        <w:rPr>
          <w:lang w:val="en-GB"/>
        </w:rPr>
        <w:t xml:space="preserve"> changed its corporate name to WH Group Limited. WH Group’s mission would continue to be “delivering quality, </w:t>
      </w:r>
      <w:proofErr w:type="gramStart"/>
      <w:r w:rsidRPr="0038535E">
        <w:rPr>
          <w:lang w:val="en-GB"/>
        </w:rPr>
        <w:t>tasty</w:t>
      </w:r>
      <w:r w:rsidR="001B2036">
        <w:rPr>
          <w:lang w:val="en-GB"/>
        </w:rPr>
        <w:t>,</w:t>
      </w:r>
      <w:proofErr w:type="gramEnd"/>
      <w:r w:rsidRPr="0038535E">
        <w:rPr>
          <w:lang w:val="en-GB"/>
        </w:rPr>
        <w:t xml:space="preserve"> and nutritious animal protein products worldwide, anchored on a safety-first priority.”</w:t>
      </w:r>
      <w:r w:rsidRPr="0038535E">
        <w:rPr>
          <w:rStyle w:val="EndnoteReference"/>
          <w:lang w:val="en-GB"/>
        </w:rPr>
        <w:endnoteReference w:id="30"/>
      </w:r>
    </w:p>
    <w:p w14:paraId="11C1ECA4" w14:textId="77777777" w:rsidR="004E327F" w:rsidRPr="0038535E" w:rsidRDefault="004E327F" w:rsidP="00D52B78">
      <w:pPr>
        <w:pStyle w:val="BodyTextMain"/>
        <w:rPr>
          <w:lang w:val="en-GB"/>
        </w:rPr>
      </w:pPr>
    </w:p>
    <w:p w14:paraId="57A00813" w14:textId="77777777" w:rsidR="004E327F" w:rsidRPr="0038535E" w:rsidRDefault="004E327F" w:rsidP="00D52B78">
      <w:pPr>
        <w:pStyle w:val="BodyTextMain"/>
        <w:rPr>
          <w:lang w:val="en-GB"/>
        </w:rPr>
      </w:pPr>
    </w:p>
    <w:p w14:paraId="31629918" w14:textId="77777777" w:rsidR="004E327F" w:rsidRPr="0038535E" w:rsidRDefault="004E327F" w:rsidP="00034E2D">
      <w:pPr>
        <w:pStyle w:val="Heading1"/>
        <w:keepNext w:val="0"/>
        <w:keepLines w:val="0"/>
        <w:spacing w:before="0"/>
        <w:jc w:val="both"/>
        <w:rPr>
          <w:rFonts w:ascii="Arial" w:hAnsi="Arial" w:cs="Arial"/>
          <w:color w:val="auto"/>
          <w:sz w:val="20"/>
          <w:szCs w:val="20"/>
          <w:lang w:val="en-GB"/>
        </w:rPr>
      </w:pPr>
      <w:r w:rsidRPr="0038535E">
        <w:rPr>
          <w:rFonts w:ascii="Arial" w:hAnsi="Arial" w:cs="Arial"/>
          <w:color w:val="auto"/>
          <w:sz w:val="20"/>
          <w:szCs w:val="20"/>
          <w:lang w:val="en-GB"/>
        </w:rPr>
        <w:t>IPO ATTEMPT</w:t>
      </w:r>
    </w:p>
    <w:p w14:paraId="2E97FF8B" w14:textId="77777777" w:rsidR="004E327F" w:rsidRPr="0038535E" w:rsidRDefault="004E327F" w:rsidP="00034E2D">
      <w:pPr>
        <w:pStyle w:val="BodyTextMain"/>
        <w:rPr>
          <w:lang w:val="en-GB"/>
        </w:rPr>
      </w:pPr>
    </w:p>
    <w:p w14:paraId="18333876" w14:textId="6F908E87" w:rsidR="004E327F" w:rsidRPr="0038535E" w:rsidRDefault="004E327F" w:rsidP="00034E2D">
      <w:pPr>
        <w:pStyle w:val="Heading1"/>
        <w:keepNext w:val="0"/>
        <w:keepLines w:val="0"/>
        <w:spacing w:before="0"/>
        <w:jc w:val="both"/>
        <w:rPr>
          <w:rFonts w:ascii="Arial" w:hAnsi="Arial" w:cs="Arial"/>
          <w:color w:val="auto"/>
          <w:sz w:val="20"/>
          <w:szCs w:val="20"/>
          <w:lang w:val="en-GB"/>
        </w:rPr>
      </w:pPr>
      <w:r w:rsidRPr="0038535E">
        <w:rPr>
          <w:rFonts w:ascii="Arial" w:hAnsi="Arial" w:cs="Arial"/>
          <w:color w:val="auto"/>
          <w:sz w:val="20"/>
          <w:szCs w:val="20"/>
          <w:lang w:val="en-GB"/>
        </w:rPr>
        <w:t>Financials</w:t>
      </w:r>
    </w:p>
    <w:p w14:paraId="0009CCDB" w14:textId="77777777" w:rsidR="004E327F" w:rsidRPr="0038535E" w:rsidRDefault="004E327F" w:rsidP="00034E2D">
      <w:pPr>
        <w:rPr>
          <w:sz w:val="22"/>
          <w:szCs w:val="22"/>
          <w:lang w:val="en-GB"/>
        </w:rPr>
      </w:pPr>
    </w:p>
    <w:p w14:paraId="6750D0F8" w14:textId="02D4EF2D" w:rsidR="004E327F" w:rsidRPr="00440A28" w:rsidRDefault="004E327F" w:rsidP="00440A28">
      <w:pPr>
        <w:pStyle w:val="BodyTextMain"/>
      </w:pPr>
      <w:r w:rsidRPr="00440A28">
        <w:t xml:space="preserve">According to the press release, </w:t>
      </w:r>
      <w:r w:rsidR="001B2036" w:rsidRPr="00440A28">
        <w:t xml:space="preserve">WH </w:t>
      </w:r>
      <w:r w:rsidRPr="00440A28">
        <w:t>Group’s total turnover (sales) increased to U</w:t>
      </w:r>
      <w:r w:rsidR="00034E2D" w:rsidRPr="00440A28">
        <w:t>S</w:t>
      </w:r>
      <w:r w:rsidRPr="00440A28">
        <w:t>$5.053 billion in the first three months of 2014 (compared to U</w:t>
      </w:r>
      <w:r w:rsidR="00034E2D" w:rsidRPr="00440A28">
        <w:t>S</w:t>
      </w:r>
      <w:r w:rsidRPr="00440A28">
        <w:t>$1.554 billion in the same period a year before), while cost of sales increased to U</w:t>
      </w:r>
      <w:r w:rsidR="00034E2D" w:rsidRPr="00440A28">
        <w:t>S</w:t>
      </w:r>
      <w:r w:rsidRPr="00440A28">
        <w:t xml:space="preserve">$4.281 billion. </w:t>
      </w:r>
      <w:r w:rsidR="001B2036" w:rsidRPr="00440A28">
        <w:t>G</w:t>
      </w:r>
      <w:r w:rsidRPr="00440A28">
        <w:t xml:space="preserve">ross profit </w:t>
      </w:r>
      <w:r w:rsidR="001B2036" w:rsidRPr="00440A28">
        <w:t xml:space="preserve">also </w:t>
      </w:r>
      <w:r w:rsidRPr="00440A28">
        <w:t>increased to U</w:t>
      </w:r>
      <w:r w:rsidR="00034E2D" w:rsidRPr="00440A28">
        <w:t>S</w:t>
      </w:r>
      <w:r w:rsidRPr="00440A28">
        <w:t>$772 million</w:t>
      </w:r>
      <w:r w:rsidR="001B2036" w:rsidRPr="00440A28">
        <w:t>,</w:t>
      </w:r>
      <w:r w:rsidRPr="00440A28">
        <w:t xml:space="preserve"> or 15.3 per cent</w:t>
      </w:r>
      <w:r w:rsidR="001B2036" w:rsidRPr="00440A28">
        <w:t>,</w:t>
      </w:r>
      <w:r w:rsidRPr="00440A28">
        <w:t xml:space="preserve"> of the turnover.</w:t>
      </w:r>
      <w:r w:rsidR="00BD79E5" w:rsidRPr="00440A28">
        <w:rPr>
          <w:rStyle w:val="EndnoteReference"/>
        </w:rPr>
        <w:endnoteReference w:id="31"/>
      </w:r>
      <w:r w:rsidR="0023361F" w:rsidRPr="00440A28">
        <w:t xml:space="preserve"> </w:t>
      </w:r>
      <w:proofErr w:type="gramStart"/>
      <w:r w:rsidRPr="00440A28">
        <w:t>As a consequence</w:t>
      </w:r>
      <w:proofErr w:type="gramEnd"/>
      <w:r w:rsidRPr="00440A28">
        <w:t xml:space="preserve"> of different taxation systems, the effective tax rate increased from 22.4 per cent to 30 per cent.</w:t>
      </w:r>
      <w:r w:rsidR="00BD79E5" w:rsidRPr="00440A28">
        <w:rPr>
          <w:rStyle w:val="EndnoteReference"/>
        </w:rPr>
        <w:endnoteReference w:id="32"/>
      </w:r>
      <w:r w:rsidR="0023361F" w:rsidRPr="00440A28">
        <w:t xml:space="preserve"> </w:t>
      </w:r>
      <w:r w:rsidRPr="00440A28">
        <w:t>Borrowings amounted to U</w:t>
      </w:r>
      <w:r w:rsidR="00034E2D" w:rsidRPr="00440A28">
        <w:t>S</w:t>
      </w:r>
      <w:r w:rsidRPr="00440A28">
        <w:t xml:space="preserve">$7.735 billion as of March 31, 2014. Bank loans with fixed interest rates varied from 2.37 per cent to 2.65 per cent, while loans with variable interest rates carried </w:t>
      </w:r>
      <w:r w:rsidR="0023361F" w:rsidRPr="00440A28">
        <w:t xml:space="preserve">the </w:t>
      </w:r>
      <w:r w:rsidRPr="00440A28">
        <w:t>LIBOR + 1.5 pe</w:t>
      </w:r>
      <w:r w:rsidR="00034E2D" w:rsidRPr="00440A28">
        <w:t xml:space="preserve">r cent to </w:t>
      </w:r>
      <w:r w:rsidR="0023361F" w:rsidRPr="00440A28">
        <w:t xml:space="preserve">a </w:t>
      </w:r>
      <w:r w:rsidR="00034E2D" w:rsidRPr="00440A28">
        <w:t>LIBOR + 2.5 per cent (see Exhibits 1</w:t>
      </w:r>
      <w:r w:rsidR="0023361F" w:rsidRPr="00440A28">
        <w:t>–</w:t>
      </w:r>
      <w:r w:rsidRPr="00440A28">
        <w:t>4</w:t>
      </w:r>
      <w:r w:rsidR="00034E2D" w:rsidRPr="00440A28">
        <w:t>)</w:t>
      </w:r>
      <w:r w:rsidRPr="00440A28">
        <w:t>.</w:t>
      </w:r>
      <w:r w:rsidR="00BD79E5" w:rsidRPr="00440A28">
        <w:rPr>
          <w:rStyle w:val="EndnoteReference"/>
        </w:rPr>
        <w:endnoteReference w:id="33"/>
      </w:r>
    </w:p>
    <w:p w14:paraId="226D9F79" w14:textId="77777777" w:rsidR="004E327F" w:rsidRPr="0038535E" w:rsidRDefault="004E327F" w:rsidP="00034E2D">
      <w:pPr>
        <w:pStyle w:val="BodyTextMain"/>
        <w:rPr>
          <w:lang w:val="en-GB"/>
        </w:rPr>
      </w:pPr>
    </w:p>
    <w:p w14:paraId="628BB594" w14:textId="77777777" w:rsidR="004E327F" w:rsidRPr="0038535E" w:rsidRDefault="004E327F" w:rsidP="00034E2D">
      <w:pPr>
        <w:pStyle w:val="BodyTextMain"/>
        <w:rPr>
          <w:lang w:val="en-GB"/>
        </w:rPr>
      </w:pPr>
    </w:p>
    <w:p w14:paraId="24C1D9B1" w14:textId="77777777" w:rsidR="004E327F" w:rsidRPr="0038535E" w:rsidRDefault="004E327F" w:rsidP="00034E2D">
      <w:pPr>
        <w:pStyle w:val="Heading1"/>
        <w:keepNext w:val="0"/>
        <w:keepLines w:val="0"/>
        <w:spacing w:before="0"/>
        <w:jc w:val="both"/>
        <w:rPr>
          <w:rFonts w:ascii="Arial" w:hAnsi="Arial" w:cs="Arial"/>
          <w:color w:val="auto"/>
          <w:sz w:val="20"/>
          <w:szCs w:val="20"/>
          <w:lang w:val="en-GB"/>
        </w:rPr>
      </w:pPr>
      <w:r w:rsidRPr="0038535E">
        <w:rPr>
          <w:rFonts w:ascii="Arial" w:hAnsi="Arial" w:cs="Arial"/>
          <w:color w:val="auto"/>
          <w:sz w:val="20"/>
          <w:szCs w:val="20"/>
          <w:lang w:val="en-GB"/>
        </w:rPr>
        <w:t>Valuation</w:t>
      </w:r>
    </w:p>
    <w:p w14:paraId="3BC9167F" w14:textId="77777777" w:rsidR="004E327F" w:rsidRPr="0038535E" w:rsidRDefault="004E327F" w:rsidP="00034E2D">
      <w:pPr>
        <w:pStyle w:val="BodyTextMain"/>
        <w:rPr>
          <w:lang w:val="en-GB"/>
        </w:rPr>
      </w:pPr>
    </w:p>
    <w:p w14:paraId="2C70CCA5" w14:textId="39471572" w:rsidR="007E7F36" w:rsidRPr="0038535E" w:rsidRDefault="004E327F" w:rsidP="00034E2D">
      <w:pPr>
        <w:jc w:val="both"/>
        <w:rPr>
          <w:sz w:val="22"/>
          <w:szCs w:val="22"/>
          <w:lang w:val="en-GB"/>
        </w:rPr>
      </w:pPr>
      <w:r w:rsidRPr="0038535E">
        <w:rPr>
          <w:sz w:val="22"/>
          <w:szCs w:val="22"/>
          <w:lang w:val="en-GB"/>
        </w:rPr>
        <w:t>On April 10, 2014, WH Group filed for a U</w:t>
      </w:r>
      <w:r w:rsidR="00034E2D" w:rsidRPr="0038535E">
        <w:rPr>
          <w:sz w:val="22"/>
          <w:szCs w:val="22"/>
          <w:lang w:val="en-GB"/>
        </w:rPr>
        <w:t>S</w:t>
      </w:r>
      <w:r w:rsidRPr="0038535E">
        <w:rPr>
          <w:sz w:val="22"/>
          <w:szCs w:val="22"/>
          <w:lang w:val="en-GB"/>
        </w:rPr>
        <w:t>$5.3 billion initial public offering in Hong Kong.</w:t>
      </w:r>
      <w:r w:rsidR="007E7F36">
        <w:rPr>
          <w:rStyle w:val="EndnoteReference"/>
          <w:sz w:val="22"/>
          <w:szCs w:val="22"/>
          <w:lang w:val="en-GB"/>
        </w:rPr>
        <w:endnoteReference w:id="34"/>
      </w:r>
      <w:r w:rsidR="007E7F36" w:rsidRPr="0038535E">
        <w:rPr>
          <w:sz w:val="22"/>
          <w:szCs w:val="22"/>
          <w:lang w:val="en-GB"/>
        </w:rPr>
        <w:t xml:space="preserve"> WH Group set an </w:t>
      </w:r>
      <w:proofErr w:type="gramStart"/>
      <w:r w:rsidR="007E7F36" w:rsidRPr="0038535E">
        <w:rPr>
          <w:sz w:val="22"/>
          <w:szCs w:val="22"/>
          <w:lang w:val="en-GB"/>
        </w:rPr>
        <w:t>unusually wide initial</w:t>
      </w:r>
      <w:proofErr w:type="gramEnd"/>
      <w:r w:rsidR="007E7F36" w:rsidRPr="0038535E">
        <w:rPr>
          <w:sz w:val="22"/>
          <w:szCs w:val="22"/>
          <w:lang w:val="en-GB"/>
        </w:rPr>
        <w:t xml:space="preserve"> valuation range of HK$8.00</w:t>
      </w:r>
      <w:r w:rsidR="007E7F36">
        <w:rPr>
          <w:rStyle w:val="EndnoteReference"/>
          <w:sz w:val="22"/>
          <w:szCs w:val="22"/>
          <w:lang w:val="en-GB"/>
        </w:rPr>
        <w:endnoteReference w:id="35"/>
      </w:r>
      <w:r w:rsidR="007E7F36" w:rsidRPr="0038535E">
        <w:rPr>
          <w:sz w:val="22"/>
          <w:szCs w:val="22"/>
          <w:lang w:val="en-GB"/>
        </w:rPr>
        <w:t xml:space="preserve"> to HK$11.25.</w:t>
      </w:r>
      <w:r w:rsidR="007E7F36">
        <w:rPr>
          <w:rStyle w:val="EndnoteReference"/>
          <w:sz w:val="22"/>
          <w:szCs w:val="22"/>
          <w:lang w:val="en-GB"/>
        </w:rPr>
        <w:endnoteReference w:id="36"/>
      </w:r>
      <w:r w:rsidR="007E7F36" w:rsidRPr="0038535E">
        <w:rPr>
          <w:sz w:val="22"/>
          <w:szCs w:val="22"/>
          <w:lang w:val="en-GB"/>
        </w:rPr>
        <w:t xml:space="preserve"> </w:t>
      </w:r>
      <w:proofErr w:type="gramStart"/>
      <w:r w:rsidR="007E7F36" w:rsidRPr="0038535E">
        <w:rPr>
          <w:sz w:val="22"/>
          <w:szCs w:val="22"/>
          <w:lang w:val="en-GB"/>
        </w:rPr>
        <w:t>A total of 3.65</w:t>
      </w:r>
      <w:proofErr w:type="gramEnd"/>
      <w:r w:rsidR="007E7F36" w:rsidRPr="0038535E">
        <w:rPr>
          <w:sz w:val="22"/>
          <w:szCs w:val="22"/>
          <w:lang w:val="en-GB"/>
        </w:rPr>
        <w:t xml:space="preserve"> billion shares would be offered, valuing the deal at HK$41.06 billion (US$5.3 billion) at the upper end of the filing range.</w:t>
      </w:r>
      <w:r w:rsidR="007E7F36">
        <w:rPr>
          <w:rStyle w:val="EndnoteReference"/>
          <w:sz w:val="22"/>
          <w:szCs w:val="22"/>
          <w:lang w:val="en-GB"/>
        </w:rPr>
        <w:endnoteReference w:id="37"/>
      </w:r>
      <w:r w:rsidR="007E7F36" w:rsidRPr="0038535E">
        <w:rPr>
          <w:sz w:val="22"/>
          <w:szCs w:val="22"/>
          <w:lang w:val="en-GB"/>
        </w:rPr>
        <w:t xml:space="preserve"> The firm had a debt-to-equity ratio of 236.8 per cent with the total debt of US$7.4 billion.</w:t>
      </w:r>
      <w:r w:rsidR="00894795">
        <w:rPr>
          <w:sz w:val="22"/>
          <w:szCs w:val="22"/>
          <w:lang w:val="en-GB"/>
        </w:rPr>
        <w:t xml:space="preserve"> For a comparison, the same ratio was 7.6 per cent a year before</w:t>
      </w:r>
      <w:r w:rsidR="007D0096">
        <w:rPr>
          <w:sz w:val="22"/>
          <w:szCs w:val="22"/>
          <w:lang w:val="en-GB"/>
        </w:rPr>
        <w:t xml:space="preserve"> (s</w:t>
      </w:r>
      <w:r w:rsidR="00894795">
        <w:rPr>
          <w:sz w:val="22"/>
          <w:szCs w:val="22"/>
          <w:lang w:val="en-GB"/>
        </w:rPr>
        <w:t>ee Exhibits 2 and 3</w:t>
      </w:r>
      <w:r w:rsidR="007D0096">
        <w:rPr>
          <w:sz w:val="22"/>
          <w:szCs w:val="22"/>
          <w:lang w:val="en-GB"/>
        </w:rPr>
        <w:t>)</w:t>
      </w:r>
      <w:r w:rsidR="00894795">
        <w:rPr>
          <w:sz w:val="22"/>
          <w:szCs w:val="22"/>
          <w:lang w:val="en-GB"/>
        </w:rPr>
        <w:t>.</w:t>
      </w:r>
    </w:p>
    <w:p w14:paraId="0027C70F" w14:textId="77777777" w:rsidR="007E7F36" w:rsidRPr="0038535E" w:rsidRDefault="007E7F36" w:rsidP="00D52B78">
      <w:pPr>
        <w:jc w:val="both"/>
        <w:rPr>
          <w:sz w:val="22"/>
          <w:szCs w:val="22"/>
          <w:lang w:val="en-GB"/>
        </w:rPr>
      </w:pPr>
    </w:p>
    <w:p w14:paraId="7E67ACDB" w14:textId="389D2272" w:rsidR="007E7F36" w:rsidRPr="0038535E" w:rsidRDefault="007E7F36" w:rsidP="00D52B78">
      <w:pPr>
        <w:jc w:val="both"/>
        <w:rPr>
          <w:sz w:val="22"/>
          <w:szCs w:val="22"/>
          <w:lang w:val="en-GB"/>
        </w:rPr>
      </w:pPr>
      <w:r w:rsidRPr="0038535E">
        <w:rPr>
          <w:sz w:val="22"/>
          <w:szCs w:val="22"/>
          <w:lang w:val="en-GB"/>
        </w:rPr>
        <w:t xml:space="preserve">The initial filing range (HK$8 to HK$11.25) implied a valuation of 15 to 21 times </w:t>
      </w:r>
      <w:r>
        <w:rPr>
          <w:sz w:val="22"/>
          <w:szCs w:val="22"/>
          <w:lang w:val="en-GB"/>
        </w:rPr>
        <w:t xml:space="preserve">its </w:t>
      </w:r>
      <w:r w:rsidRPr="0038535E">
        <w:rPr>
          <w:sz w:val="22"/>
          <w:szCs w:val="22"/>
          <w:lang w:val="en-GB"/>
        </w:rPr>
        <w:t>estimated 2014 earnings.</w:t>
      </w:r>
      <w:r w:rsidRPr="0038535E">
        <w:rPr>
          <w:rStyle w:val="EndnoteReference"/>
          <w:sz w:val="22"/>
          <w:szCs w:val="22"/>
          <w:lang w:val="en-GB"/>
        </w:rPr>
        <w:endnoteReference w:id="38"/>
      </w:r>
      <w:r w:rsidRPr="0038535E">
        <w:rPr>
          <w:sz w:val="22"/>
          <w:szCs w:val="22"/>
          <w:lang w:val="en-GB"/>
        </w:rPr>
        <w:t xml:space="preserve"> In comparison, the U.S.-based distributor Hormel Foods and WH’s mainland China-listed unit Henan </w:t>
      </w:r>
      <w:proofErr w:type="spellStart"/>
      <w:r w:rsidRPr="0038535E">
        <w:rPr>
          <w:sz w:val="22"/>
          <w:szCs w:val="22"/>
          <w:lang w:val="en-GB"/>
        </w:rPr>
        <w:t>Shuanghui</w:t>
      </w:r>
      <w:proofErr w:type="spellEnd"/>
      <w:r w:rsidRPr="0038535E">
        <w:rPr>
          <w:sz w:val="22"/>
          <w:szCs w:val="22"/>
          <w:lang w:val="en-GB"/>
        </w:rPr>
        <w:t xml:space="preserve"> Investment &amp; Development were valued at roughly 20 and 17 times </w:t>
      </w:r>
      <w:r>
        <w:rPr>
          <w:sz w:val="22"/>
          <w:szCs w:val="22"/>
          <w:lang w:val="en-GB"/>
        </w:rPr>
        <w:t xml:space="preserve">their </w:t>
      </w:r>
      <w:r w:rsidRPr="0038535E">
        <w:rPr>
          <w:sz w:val="22"/>
          <w:szCs w:val="22"/>
          <w:lang w:val="en-GB"/>
        </w:rPr>
        <w:t>earnings, respectively.</w:t>
      </w:r>
      <w:r w:rsidRPr="0038535E">
        <w:rPr>
          <w:rStyle w:val="EndnoteReference"/>
          <w:sz w:val="22"/>
          <w:szCs w:val="22"/>
          <w:lang w:val="en-GB"/>
        </w:rPr>
        <w:endnoteReference w:id="39"/>
      </w:r>
      <w:r w:rsidRPr="0038535E">
        <w:rPr>
          <w:sz w:val="22"/>
          <w:szCs w:val="22"/>
          <w:lang w:val="en-GB"/>
        </w:rPr>
        <w:t xml:space="preserve"> </w:t>
      </w:r>
      <w:proofErr w:type="spellStart"/>
      <w:r w:rsidRPr="0038535E">
        <w:rPr>
          <w:sz w:val="22"/>
          <w:szCs w:val="22"/>
          <w:lang w:val="en-GB"/>
        </w:rPr>
        <w:t>Shuanghui’s</w:t>
      </w:r>
      <w:proofErr w:type="spellEnd"/>
      <w:r w:rsidRPr="0038535E">
        <w:rPr>
          <w:sz w:val="22"/>
          <w:szCs w:val="22"/>
          <w:lang w:val="en-GB"/>
        </w:rPr>
        <w:t xml:space="preserve"> European packaged meat business was trading at 20.12 times its 2014 earnings.</w:t>
      </w:r>
      <w:r w:rsidRPr="0038535E">
        <w:rPr>
          <w:rStyle w:val="EndnoteReference"/>
          <w:sz w:val="22"/>
          <w:szCs w:val="22"/>
          <w:lang w:val="en-GB"/>
        </w:rPr>
        <w:endnoteReference w:id="40"/>
      </w:r>
      <w:r w:rsidRPr="0038535E">
        <w:rPr>
          <w:sz w:val="22"/>
          <w:szCs w:val="22"/>
          <w:lang w:val="en-GB"/>
        </w:rPr>
        <w:t xml:space="preserve"> Other </w:t>
      </w:r>
      <w:proofErr w:type="spellStart"/>
      <w:r w:rsidRPr="0038535E">
        <w:rPr>
          <w:sz w:val="22"/>
          <w:szCs w:val="22"/>
          <w:lang w:val="en-GB"/>
        </w:rPr>
        <w:t>comparables</w:t>
      </w:r>
      <w:proofErr w:type="spellEnd"/>
      <w:r w:rsidRPr="0038535E">
        <w:rPr>
          <w:sz w:val="22"/>
          <w:szCs w:val="22"/>
          <w:lang w:val="en-GB"/>
        </w:rPr>
        <w:t xml:space="preserve"> included Chinese Tingyi Holdings and Wan Want China Holdings, trading at 30 and 24 times forward earnings, respectively (see Exhibits 5</w:t>
      </w:r>
      <w:r>
        <w:rPr>
          <w:sz w:val="22"/>
          <w:szCs w:val="22"/>
          <w:lang w:val="en-GB"/>
        </w:rPr>
        <w:t xml:space="preserve"> and </w:t>
      </w:r>
      <w:r w:rsidRPr="0038535E">
        <w:rPr>
          <w:sz w:val="22"/>
          <w:szCs w:val="22"/>
          <w:lang w:val="en-GB"/>
        </w:rPr>
        <w:t>6).</w:t>
      </w:r>
    </w:p>
    <w:p w14:paraId="6A5F425F" w14:textId="6E8F270F" w:rsidR="007E7F36" w:rsidRDefault="007E7F36" w:rsidP="00D52B78">
      <w:pPr>
        <w:pStyle w:val="BodyTextMain"/>
        <w:rPr>
          <w:lang w:val="en-GB"/>
        </w:rPr>
      </w:pPr>
    </w:p>
    <w:p w14:paraId="04DA6543" w14:textId="77777777" w:rsidR="00FD2EF1" w:rsidRPr="0038535E" w:rsidRDefault="00FD2EF1" w:rsidP="00D52B78">
      <w:pPr>
        <w:pStyle w:val="BodyTextMain"/>
        <w:rPr>
          <w:lang w:val="en-GB"/>
        </w:rPr>
      </w:pPr>
    </w:p>
    <w:p w14:paraId="10C29279" w14:textId="77777777" w:rsidR="007E7F36" w:rsidRPr="0038535E" w:rsidRDefault="007E7F36" w:rsidP="00034E2D">
      <w:pPr>
        <w:pStyle w:val="Heading1"/>
        <w:keepNext w:val="0"/>
        <w:keepLines w:val="0"/>
        <w:spacing w:before="0"/>
        <w:jc w:val="both"/>
        <w:rPr>
          <w:rFonts w:ascii="Arial" w:hAnsi="Arial" w:cs="Arial"/>
          <w:color w:val="auto"/>
          <w:sz w:val="20"/>
          <w:szCs w:val="20"/>
          <w:lang w:val="en-GB"/>
        </w:rPr>
      </w:pPr>
      <w:r w:rsidRPr="0038535E">
        <w:rPr>
          <w:rFonts w:ascii="Arial" w:hAnsi="Arial" w:cs="Arial"/>
          <w:color w:val="auto"/>
          <w:sz w:val="20"/>
          <w:szCs w:val="20"/>
          <w:lang w:val="en-GB"/>
        </w:rPr>
        <w:t>Business Concerns</w:t>
      </w:r>
    </w:p>
    <w:p w14:paraId="1379E37B" w14:textId="77777777" w:rsidR="007E7F36" w:rsidRPr="0038535E" w:rsidRDefault="007E7F36" w:rsidP="00034E2D">
      <w:pPr>
        <w:pStyle w:val="BodyTextMain"/>
        <w:rPr>
          <w:lang w:val="en-GB"/>
        </w:rPr>
      </w:pPr>
    </w:p>
    <w:p w14:paraId="4618B003" w14:textId="3B2795E3" w:rsidR="007E7F36" w:rsidRPr="0038535E" w:rsidRDefault="007E7F36" w:rsidP="00034E2D">
      <w:pPr>
        <w:jc w:val="both"/>
        <w:rPr>
          <w:sz w:val="22"/>
          <w:szCs w:val="22"/>
          <w:lang w:val="en-GB"/>
        </w:rPr>
      </w:pPr>
      <w:r w:rsidRPr="0038535E">
        <w:rPr>
          <w:sz w:val="22"/>
          <w:szCs w:val="22"/>
          <w:lang w:val="en-GB"/>
        </w:rPr>
        <w:t>Historically, the pork prices in the U</w:t>
      </w:r>
      <w:r>
        <w:rPr>
          <w:sz w:val="22"/>
          <w:szCs w:val="22"/>
          <w:lang w:val="en-GB"/>
        </w:rPr>
        <w:t xml:space="preserve">nited </w:t>
      </w:r>
      <w:r w:rsidRPr="0038535E">
        <w:rPr>
          <w:sz w:val="22"/>
          <w:szCs w:val="22"/>
          <w:lang w:val="en-GB"/>
        </w:rPr>
        <w:t>S</w:t>
      </w:r>
      <w:r>
        <w:rPr>
          <w:sz w:val="22"/>
          <w:szCs w:val="22"/>
          <w:lang w:val="en-GB"/>
        </w:rPr>
        <w:t>tates</w:t>
      </w:r>
      <w:r w:rsidRPr="0038535E">
        <w:rPr>
          <w:sz w:val="22"/>
          <w:szCs w:val="22"/>
          <w:lang w:val="en-GB"/>
        </w:rPr>
        <w:t xml:space="preserve"> ha</w:t>
      </w:r>
      <w:r>
        <w:rPr>
          <w:sz w:val="22"/>
          <w:szCs w:val="22"/>
          <w:lang w:val="en-GB"/>
        </w:rPr>
        <w:t>d</w:t>
      </w:r>
      <w:r w:rsidRPr="0038535E">
        <w:rPr>
          <w:sz w:val="22"/>
          <w:szCs w:val="22"/>
          <w:lang w:val="en-GB"/>
        </w:rPr>
        <w:t xml:space="preserve"> been on average 50 per cent below those in China</w:t>
      </w:r>
      <w:r>
        <w:rPr>
          <w:sz w:val="22"/>
          <w:szCs w:val="22"/>
          <w:lang w:val="en-GB"/>
        </w:rPr>
        <w:t>,</w:t>
      </w:r>
      <w:r w:rsidRPr="0038535E">
        <w:rPr>
          <w:sz w:val="22"/>
          <w:szCs w:val="22"/>
          <w:lang w:val="en-GB"/>
        </w:rPr>
        <w:t xml:space="preserve"> mainly because the price of feed ha</w:t>
      </w:r>
      <w:r>
        <w:rPr>
          <w:sz w:val="22"/>
          <w:szCs w:val="22"/>
          <w:lang w:val="en-GB"/>
        </w:rPr>
        <w:t>d</w:t>
      </w:r>
      <w:r w:rsidRPr="0038535E">
        <w:rPr>
          <w:sz w:val="22"/>
          <w:szCs w:val="22"/>
          <w:lang w:val="en-GB"/>
        </w:rPr>
        <w:t xml:space="preserve"> been lower. </w:t>
      </w:r>
      <w:r>
        <w:rPr>
          <w:sz w:val="22"/>
          <w:szCs w:val="22"/>
          <w:lang w:val="en-GB"/>
        </w:rPr>
        <w:t>However</w:t>
      </w:r>
      <w:r w:rsidRPr="0038535E">
        <w:rPr>
          <w:sz w:val="22"/>
          <w:szCs w:val="22"/>
          <w:lang w:val="en-GB"/>
        </w:rPr>
        <w:t xml:space="preserve">, U.S. prices increased </w:t>
      </w:r>
      <w:r>
        <w:rPr>
          <w:sz w:val="22"/>
          <w:szCs w:val="22"/>
          <w:lang w:val="en-GB"/>
        </w:rPr>
        <w:t xml:space="preserve">in 2014 </w:t>
      </w:r>
      <w:proofErr w:type="gramStart"/>
      <w:r w:rsidRPr="0038535E">
        <w:rPr>
          <w:sz w:val="22"/>
          <w:szCs w:val="22"/>
          <w:lang w:val="en-GB"/>
        </w:rPr>
        <w:t>as a result</w:t>
      </w:r>
      <w:proofErr w:type="gramEnd"/>
      <w:r w:rsidRPr="0038535E">
        <w:rPr>
          <w:sz w:val="22"/>
          <w:szCs w:val="22"/>
          <w:lang w:val="en-GB"/>
        </w:rPr>
        <w:t xml:space="preserve"> of </w:t>
      </w:r>
      <w:r>
        <w:rPr>
          <w:sz w:val="22"/>
          <w:szCs w:val="22"/>
          <w:lang w:val="en-GB"/>
        </w:rPr>
        <w:t xml:space="preserve">the </w:t>
      </w:r>
      <w:r w:rsidRPr="0038535E">
        <w:rPr>
          <w:sz w:val="22"/>
          <w:szCs w:val="22"/>
          <w:lang w:val="en-GB"/>
        </w:rPr>
        <w:t xml:space="preserve">porcine epidemic </w:t>
      </w:r>
      <w:proofErr w:type="spellStart"/>
      <w:r w:rsidRPr="0038535E">
        <w:rPr>
          <w:sz w:val="22"/>
          <w:szCs w:val="22"/>
          <w:lang w:val="en-GB"/>
        </w:rPr>
        <w:t>diarrhea</w:t>
      </w:r>
      <w:proofErr w:type="spellEnd"/>
      <w:r w:rsidRPr="0038535E">
        <w:rPr>
          <w:sz w:val="22"/>
          <w:szCs w:val="22"/>
          <w:lang w:val="en-GB"/>
        </w:rPr>
        <w:t xml:space="preserve"> virus, which killed almost 5 million pigs (about 4.5 per</w:t>
      </w:r>
      <w:r w:rsidR="00FD2EF1">
        <w:rPr>
          <w:sz w:val="22"/>
          <w:szCs w:val="22"/>
          <w:lang w:val="en-GB"/>
        </w:rPr>
        <w:t xml:space="preserve"> </w:t>
      </w:r>
      <w:r w:rsidRPr="0038535E">
        <w:rPr>
          <w:sz w:val="22"/>
          <w:szCs w:val="22"/>
          <w:lang w:val="en-GB"/>
        </w:rPr>
        <w:t xml:space="preserve">cent of annual </w:t>
      </w:r>
      <w:r w:rsidRPr="0038535E">
        <w:rPr>
          <w:sz w:val="22"/>
          <w:szCs w:val="22"/>
          <w:lang w:val="en-GB"/>
        </w:rPr>
        <w:lastRenderedPageBreak/>
        <w:t>production).</w:t>
      </w:r>
      <w:r w:rsidRPr="0038535E">
        <w:rPr>
          <w:rStyle w:val="EndnoteReference"/>
          <w:sz w:val="22"/>
          <w:szCs w:val="22"/>
          <w:lang w:val="en-GB"/>
        </w:rPr>
        <w:endnoteReference w:id="41"/>
      </w:r>
      <w:r w:rsidRPr="0038535E">
        <w:rPr>
          <w:sz w:val="22"/>
          <w:szCs w:val="22"/>
          <w:lang w:val="en-GB"/>
        </w:rPr>
        <w:t xml:space="preserve"> </w:t>
      </w:r>
      <w:r>
        <w:rPr>
          <w:sz w:val="22"/>
          <w:szCs w:val="22"/>
          <w:lang w:val="en-GB"/>
        </w:rPr>
        <w:t>Related stock prices in Chicago</w:t>
      </w:r>
      <w:r w:rsidRPr="0038535E">
        <w:rPr>
          <w:sz w:val="22"/>
          <w:szCs w:val="22"/>
          <w:lang w:val="en-GB"/>
        </w:rPr>
        <w:t xml:space="preserve"> surged dramatically in </w:t>
      </w:r>
      <w:r>
        <w:rPr>
          <w:sz w:val="22"/>
          <w:szCs w:val="22"/>
          <w:lang w:val="en-GB"/>
        </w:rPr>
        <w:t xml:space="preserve">the </w:t>
      </w:r>
      <w:r w:rsidRPr="0038535E">
        <w:rPr>
          <w:sz w:val="22"/>
          <w:szCs w:val="22"/>
          <w:lang w:val="en-GB"/>
        </w:rPr>
        <w:t>first few months of 2014</w:t>
      </w:r>
      <w:r>
        <w:rPr>
          <w:sz w:val="22"/>
          <w:szCs w:val="22"/>
          <w:lang w:val="en-GB"/>
        </w:rPr>
        <w:t>,</w:t>
      </w:r>
      <w:r w:rsidRPr="0038535E">
        <w:rPr>
          <w:sz w:val="22"/>
          <w:szCs w:val="22"/>
          <w:lang w:val="en-GB"/>
        </w:rPr>
        <w:t xml:space="preserve"> indicating the shortage in supply (see Exhibit 7).</w:t>
      </w:r>
    </w:p>
    <w:p w14:paraId="3C25441F" w14:textId="77777777" w:rsidR="007E7F36" w:rsidRPr="0038535E" w:rsidRDefault="007E7F36" w:rsidP="00D52B78">
      <w:pPr>
        <w:jc w:val="both"/>
        <w:rPr>
          <w:sz w:val="22"/>
          <w:szCs w:val="22"/>
          <w:lang w:val="en-GB"/>
        </w:rPr>
      </w:pPr>
    </w:p>
    <w:p w14:paraId="20FAA453" w14:textId="7A613FB3" w:rsidR="007E7F36" w:rsidRDefault="007E7F36" w:rsidP="00D52B78">
      <w:pPr>
        <w:jc w:val="both"/>
        <w:rPr>
          <w:sz w:val="22"/>
          <w:szCs w:val="22"/>
          <w:lang w:val="en-GB"/>
        </w:rPr>
      </w:pPr>
      <w:r w:rsidRPr="0038535E">
        <w:rPr>
          <w:sz w:val="22"/>
          <w:szCs w:val="22"/>
          <w:lang w:val="en-GB"/>
        </w:rPr>
        <w:t xml:space="preserve">Another concern involved the share compensation to </w:t>
      </w:r>
      <w:r>
        <w:rPr>
          <w:sz w:val="22"/>
          <w:szCs w:val="22"/>
          <w:lang w:val="en-GB"/>
        </w:rPr>
        <w:t xml:space="preserve">Wan Long, the company’s </w:t>
      </w:r>
      <w:r w:rsidRPr="0038535E">
        <w:rPr>
          <w:sz w:val="22"/>
          <w:szCs w:val="22"/>
          <w:lang w:val="en-GB"/>
        </w:rPr>
        <w:t>CEO</w:t>
      </w:r>
      <w:r>
        <w:rPr>
          <w:sz w:val="22"/>
          <w:szCs w:val="22"/>
          <w:lang w:val="en-GB"/>
        </w:rPr>
        <w:t>,</w:t>
      </w:r>
      <w:r w:rsidRPr="0038535E">
        <w:rPr>
          <w:sz w:val="22"/>
          <w:szCs w:val="22"/>
          <w:lang w:val="en-GB"/>
        </w:rPr>
        <w:t xml:space="preserve"> and Yang </w:t>
      </w:r>
      <w:proofErr w:type="spellStart"/>
      <w:r w:rsidRPr="0038535E">
        <w:rPr>
          <w:sz w:val="22"/>
          <w:szCs w:val="22"/>
          <w:lang w:val="en-GB"/>
        </w:rPr>
        <w:t>Zhijun</w:t>
      </w:r>
      <w:proofErr w:type="spellEnd"/>
      <w:r>
        <w:rPr>
          <w:sz w:val="22"/>
          <w:szCs w:val="22"/>
          <w:lang w:val="en-GB"/>
        </w:rPr>
        <w:t>, one of the company’s directors,</w:t>
      </w:r>
      <w:r w:rsidRPr="0038535E">
        <w:rPr>
          <w:sz w:val="22"/>
          <w:szCs w:val="22"/>
          <w:lang w:val="en-GB"/>
        </w:rPr>
        <w:t xml:space="preserve"> who </w:t>
      </w:r>
      <w:proofErr w:type="gramStart"/>
      <w:r w:rsidRPr="0038535E">
        <w:rPr>
          <w:sz w:val="22"/>
          <w:szCs w:val="22"/>
          <w:lang w:val="en-GB"/>
        </w:rPr>
        <w:t>were awarded</w:t>
      </w:r>
      <w:proofErr w:type="gramEnd"/>
      <w:r w:rsidRPr="0038535E">
        <w:rPr>
          <w:sz w:val="22"/>
          <w:szCs w:val="22"/>
          <w:lang w:val="en-GB"/>
        </w:rPr>
        <w:t xml:space="preserve"> company shares worth almost US$600 million as a “recognition and reward for contribution to the acquisition of Smithfield.”</w:t>
      </w:r>
      <w:r>
        <w:rPr>
          <w:rStyle w:val="EndnoteReference"/>
          <w:sz w:val="22"/>
          <w:szCs w:val="22"/>
          <w:lang w:val="en-GB"/>
        </w:rPr>
        <w:endnoteReference w:id="42"/>
      </w:r>
      <w:r w:rsidRPr="0038535E">
        <w:rPr>
          <w:sz w:val="22"/>
          <w:szCs w:val="22"/>
          <w:lang w:val="en-GB"/>
        </w:rPr>
        <w:t xml:space="preserve"> According to David Webb, a corporate governance advocate</w:t>
      </w:r>
      <w:r>
        <w:rPr>
          <w:sz w:val="22"/>
          <w:szCs w:val="22"/>
          <w:lang w:val="en-GB"/>
        </w:rPr>
        <w:t xml:space="preserve">, this </w:t>
      </w:r>
      <w:proofErr w:type="gramStart"/>
      <w:r>
        <w:rPr>
          <w:sz w:val="22"/>
          <w:szCs w:val="22"/>
          <w:lang w:val="en-GB"/>
        </w:rPr>
        <w:t>was considered</w:t>
      </w:r>
      <w:proofErr w:type="gramEnd"/>
      <w:r>
        <w:rPr>
          <w:sz w:val="22"/>
          <w:szCs w:val="22"/>
          <w:lang w:val="en-GB"/>
        </w:rPr>
        <w:t xml:space="preserve"> very unusual</w:t>
      </w:r>
      <w:r w:rsidRPr="0038535E">
        <w:rPr>
          <w:sz w:val="22"/>
          <w:szCs w:val="22"/>
          <w:lang w:val="en-GB"/>
        </w:rPr>
        <w:t xml:space="preserve">: </w:t>
      </w:r>
    </w:p>
    <w:p w14:paraId="7C17D8FB" w14:textId="77777777" w:rsidR="007E7F36" w:rsidRDefault="007E7F36" w:rsidP="00D52B78">
      <w:pPr>
        <w:jc w:val="both"/>
        <w:rPr>
          <w:sz w:val="22"/>
          <w:szCs w:val="22"/>
          <w:lang w:val="en-GB"/>
        </w:rPr>
      </w:pPr>
    </w:p>
    <w:p w14:paraId="7CB33BB7" w14:textId="6E2AC860" w:rsidR="007E7F36" w:rsidRPr="0038535E" w:rsidRDefault="007E7F36" w:rsidP="00AF16F9">
      <w:pPr>
        <w:ind w:left="720"/>
        <w:jc w:val="both"/>
        <w:rPr>
          <w:sz w:val="22"/>
          <w:szCs w:val="22"/>
          <w:lang w:val="en-GB"/>
        </w:rPr>
      </w:pPr>
      <w:r>
        <w:rPr>
          <w:sz w:val="22"/>
          <w:szCs w:val="22"/>
          <w:lang w:val="en-GB"/>
        </w:rPr>
        <w:t>N</w:t>
      </w:r>
      <w:r w:rsidRPr="0038535E">
        <w:rPr>
          <w:sz w:val="22"/>
          <w:szCs w:val="22"/>
          <w:lang w:val="en-GB"/>
        </w:rPr>
        <w:t>ormally</w:t>
      </w:r>
      <w:r>
        <w:rPr>
          <w:sz w:val="22"/>
          <w:szCs w:val="22"/>
          <w:lang w:val="en-GB"/>
        </w:rPr>
        <w:t>,</w:t>
      </w:r>
      <w:r w:rsidRPr="0038535E">
        <w:rPr>
          <w:sz w:val="22"/>
          <w:szCs w:val="22"/>
          <w:lang w:val="en-GB"/>
        </w:rPr>
        <w:t xml:space="preserve"> you would incentivise management for overall long</w:t>
      </w:r>
      <w:r>
        <w:rPr>
          <w:sz w:val="22"/>
          <w:szCs w:val="22"/>
          <w:lang w:val="en-GB"/>
        </w:rPr>
        <w:t>-</w:t>
      </w:r>
      <w:r w:rsidRPr="0038535E">
        <w:rPr>
          <w:sz w:val="22"/>
          <w:szCs w:val="22"/>
          <w:lang w:val="en-GB"/>
        </w:rPr>
        <w:t>term performance and not simply for executing a transaction – which is part of their job.</w:t>
      </w:r>
      <w:r w:rsidRPr="00AF16F9">
        <w:t xml:space="preserve"> </w:t>
      </w:r>
      <w:r w:rsidRPr="00AF16F9">
        <w:rPr>
          <w:sz w:val="22"/>
          <w:szCs w:val="22"/>
          <w:lang w:val="en-GB"/>
        </w:rPr>
        <w:t xml:space="preserve">Especially given </w:t>
      </w:r>
      <w:proofErr w:type="gramStart"/>
      <w:r>
        <w:rPr>
          <w:sz w:val="22"/>
          <w:szCs w:val="22"/>
          <w:lang w:val="en-GB"/>
        </w:rPr>
        <w:t>that</w:t>
      </w:r>
      <w:proofErr w:type="gramEnd"/>
      <w:r>
        <w:rPr>
          <w:sz w:val="22"/>
          <w:szCs w:val="22"/>
          <w:lang w:val="en-GB"/>
        </w:rPr>
        <w:t xml:space="preserve"> </w:t>
      </w:r>
      <w:r w:rsidRPr="00AF16F9">
        <w:rPr>
          <w:sz w:val="22"/>
          <w:szCs w:val="22"/>
          <w:lang w:val="en-GB"/>
        </w:rPr>
        <w:t>there</w:t>
      </w:r>
      <w:r w:rsidR="00650F57">
        <w:rPr>
          <w:sz w:val="22"/>
          <w:szCs w:val="22"/>
          <w:lang w:val="en-GB"/>
        </w:rPr>
        <w:t>’</w:t>
      </w:r>
      <w:r w:rsidRPr="00AF16F9">
        <w:rPr>
          <w:sz w:val="22"/>
          <w:szCs w:val="22"/>
          <w:lang w:val="en-GB"/>
        </w:rPr>
        <w:t xml:space="preserve">s no evidence yet that the transaction is value-accreting. </w:t>
      </w:r>
      <w:proofErr w:type="gramStart"/>
      <w:r w:rsidRPr="00AF16F9">
        <w:rPr>
          <w:sz w:val="22"/>
          <w:szCs w:val="22"/>
          <w:lang w:val="en-GB"/>
        </w:rPr>
        <w:t>Let</w:t>
      </w:r>
      <w:r w:rsidR="00650F57">
        <w:rPr>
          <w:sz w:val="22"/>
          <w:szCs w:val="22"/>
          <w:lang w:val="en-GB"/>
        </w:rPr>
        <w:t>’</w:t>
      </w:r>
      <w:r w:rsidRPr="00AF16F9">
        <w:rPr>
          <w:sz w:val="22"/>
          <w:szCs w:val="22"/>
          <w:lang w:val="en-GB"/>
        </w:rPr>
        <w:t>s</w:t>
      </w:r>
      <w:proofErr w:type="gramEnd"/>
      <w:r w:rsidRPr="00AF16F9">
        <w:rPr>
          <w:sz w:val="22"/>
          <w:szCs w:val="22"/>
          <w:lang w:val="en-GB"/>
        </w:rPr>
        <w:t xml:space="preserve"> hope they don</w:t>
      </w:r>
      <w:r w:rsidR="00650F57">
        <w:rPr>
          <w:sz w:val="22"/>
          <w:szCs w:val="22"/>
          <w:lang w:val="en-GB"/>
        </w:rPr>
        <w:t>’</w:t>
      </w:r>
      <w:r w:rsidRPr="00AF16F9">
        <w:rPr>
          <w:sz w:val="22"/>
          <w:szCs w:val="22"/>
          <w:lang w:val="en-GB"/>
        </w:rPr>
        <w:t>t continue that kind of remuneration policy after they go public.</w:t>
      </w:r>
      <w:r>
        <w:rPr>
          <w:rStyle w:val="EndnoteReference"/>
          <w:sz w:val="22"/>
          <w:szCs w:val="22"/>
          <w:lang w:val="en-GB"/>
        </w:rPr>
        <w:endnoteReference w:id="43"/>
      </w:r>
    </w:p>
    <w:p w14:paraId="0306CF40" w14:textId="77777777" w:rsidR="007E7F36" w:rsidRPr="0038535E" w:rsidRDefault="007E7F36" w:rsidP="00D52B78">
      <w:pPr>
        <w:pStyle w:val="BodyTextMain"/>
        <w:rPr>
          <w:lang w:val="en-GB"/>
        </w:rPr>
      </w:pPr>
    </w:p>
    <w:p w14:paraId="37496FCA" w14:textId="77777777" w:rsidR="007E7F36" w:rsidRPr="0038535E" w:rsidRDefault="007E7F36" w:rsidP="00034E2D">
      <w:pPr>
        <w:pStyle w:val="BodyTextMain"/>
        <w:rPr>
          <w:lang w:val="en-GB"/>
        </w:rPr>
      </w:pPr>
    </w:p>
    <w:p w14:paraId="1752724D" w14:textId="08FE542F" w:rsidR="007E7F36" w:rsidRPr="0038535E" w:rsidRDefault="007E7F36" w:rsidP="00034E2D">
      <w:pPr>
        <w:pStyle w:val="Heading1"/>
        <w:keepNext w:val="0"/>
        <w:keepLines w:val="0"/>
        <w:spacing w:before="0"/>
        <w:jc w:val="both"/>
        <w:rPr>
          <w:rFonts w:ascii="Arial" w:hAnsi="Arial" w:cs="Arial"/>
          <w:color w:val="auto"/>
          <w:sz w:val="20"/>
          <w:szCs w:val="20"/>
          <w:lang w:val="en-GB"/>
        </w:rPr>
      </w:pPr>
      <w:r w:rsidRPr="0038535E">
        <w:rPr>
          <w:rFonts w:ascii="Arial" w:hAnsi="Arial" w:cs="Arial"/>
          <w:color w:val="auto"/>
          <w:sz w:val="20"/>
          <w:szCs w:val="20"/>
          <w:lang w:val="en-GB"/>
        </w:rPr>
        <w:t xml:space="preserve">IPO </w:t>
      </w:r>
      <w:r w:rsidR="00302631">
        <w:rPr>
          <w:rFonts w:ascii="Arial" w:hAnsi="Arial" w:cs="Arial"/>
          <w:color w:val="auto"/>
          <w:sz w:val="20"/>
          <w:szCs w:val="20"/>
          <w:lang w:val="en-GB"/>
        </w:rPr>
        <w:t>C</w:t>
      </w:r>
      <w:r w:rsidRPr="0038535E">
        <w:rPr>
          <w:rFonts w:ascii="Arial" w:hAnsi="Arial" w:cs="Arial"/>
          <w:color w:val="auto"/>
          <w:sz w:val="20"/>
          <w:szCs w:val="20"/>
          <w:lang w:val="en-GB"/>
        </w:rPr>
        <w:t>oncerns</w:t>
      </w:r>
    </w:p>
    <w:p w14:paraId="50F7BD40" w14:textId="77777777" w:rsidR="007E7F36" w:rsidRPr="0038535E" w:rsidRDefault="007E7F36" w:rsidP="00034E2D">
      <w:pPr>
        <w:pStyle w:val="BodyTextMain"/>
        <w:rPr>
          <w:lang w:val="en-GB"/>
        </w:rPr>
      </w:pPr>
    </w:p>
    <w:p w14:paraId="4B2432D1" w14:textId="5F192E30" w:rsidR="007E7F36" w:rsidRPr="0038535E" w:rsidRDefault="007E7F36" w:rsidP="00034E2D">
      <w:pPr>
        <w:pStyle w:val="BodyTextMain"/>
        <w:rPr>
          <w:lang w:val="en-GB"/>
        </w:rPr>
      </w:pPr>
      <w:r w:rsidRPr="0038535E">
        <w:rPr>
          <w:lang w:val="en-GB"/>
        </w:rPr>
        <w:t>The IPO came at a time of slower growth in China and rising interest rates in the U</w:t>
      </w:r>
      <w:r>
        <w:rPr>
          <w:lang w:val="en-GB"/>
        </w:rPr>
        <w:t xml:space="preserve">nited </w:t>
      </w:r>
      <w:r w:rsidRPr="0038535E">
        <w:rPr>
          <w:lang w:val="en-GB"/>
        </w:rPr>
        <w:t>S</w:t>
      </w:r>
      <w:r>
        <w:rPr>
          <w:lang w:val="en-GB"/>
        </w:rPr>
        <w:t>tates</w:t>
      </w:r>
      <w:r w:rsidRPr="0038535E">
        <w:rPr>
          <w:lang w:val="en-GB"/>
        </w:rPr>
        <w:t>. Since the launch</w:t>
      </w:r>
      <w:r>
        <w:rPr>
          <w:lang w:val="en-GB"/>
        </w:rPr>
        <w:t xml:space="preserve"> of the IPO</w:t>
      </w:r>
      <w:r w:rsidRPr="0038535E">
        <w:rPr>
          <w:lang w:val="en-GB"/>
        </w:rPr>
        <w:t xml:space="preserve">, Hong Kong’s Hang Seng </w:t>
      </w:r>
      <w:r>
        <w:rPr>
          <w:lang w:val="en-GB"/>
        </w:rPr>
        <w:t>I</w:t>
      </w:r>
      <w:r w:rsidRPr="0038535E">
        <w:rPr>
          <w:lang w:val="en-GB"/>
        </w:rPr>
        <w:t>ndex dropped 4.5 per cent and the H-</w:t>
      </w:r>
      <w:r>
        <w:rPr>
          <w:lang w:val="en-GB"/>
        </w:rPr>
        <w:t>S</w:t>
      </w:r>
      <w:r w:rsidRPr="0038535E">
        <w:rPr>
          <w:lang w:val="en-GB"/>
        </w:rPr>
        <w:t xml:space="preserve">hare </w:t>
      </w:r>
      <w:r>
        <w:rPr>
          <w:lang w:val="en-GB"/>
        </w:rPr>
        <w:t>I</w:t>
      </w:r>
      <w:r w:rsidRPr="0038535E">
        <w:rPr>
          <w:lang w:val="en-GB"/>
        </w:rPr>
        <w:t>ndex lost 6.2 per cent.</w:t>
      </w:r>
      <w:r w:rsidRPr="0038535E">
        <w:rPr>
          <w:rStyle w:val="EndnoteReference"/>
          <w:lang w:val="en-GB"/>
        </w:rPr>
        <w:endnoteReference w:id="44"/>
      </w:r>
      <w:r w:rsidRPr="0038535E">
        <w:rPr>
          <w:lang w:val="en-GB"/>
        </w:rPr>
        <w:t xml:space="preserve"> </w:t>
      </w:r>
      <w:r>
        <w:rPr>
          <w:lang w:val="en-GB"/>
        </w:rPr>
        <w:t>Other</w:t>
      </w:r>
      <w:r w:rsidRPr="0038535E">
        <w:rPr>
          <w:lang w:val="en-GB"/>
        </w:rPr>
        <w:t xml:space="preserve"> Asian IPOs ha</w:t>
      </w:r>
      <w:r>
        <w:rPr>
          <w:lang w:val="en-GB"/>
        </w:rPr>
        <w:t>d also</w:t>
      </w:r>
      <w:r w:rsidRPr="0038535E">
        <w:rPr>
          <w:lang w:val="en-GB"/>
        </w:rPr>
        <w:t xml:space="preserve"> </w:t>
      </w:r>
      <w:r>
        <w:rPr>
          <w:lang w:val="en-GB"/>
        </w:rPr>
        <w:t>been under</w:t>
      </w:r>
      <w:r w:rsidRPr="0038535E">
        <w:rPr>
          <w:lang w:val="en-GB"/>
        </w:rPr>
        <w:t>perform</w:t>
      </w:r>
      <w:r>
        <w:rPr>
          <w:lang w:val="en-GB"/>
        </w:rPr>
        <w:t>ing</w:t>
      </w:r>
      <w:r w:rsidR="00650F57">
        <w:rPr>
          <w:lang w:val="en-GB"/>
        </w:rPr>
        <w:t>.</w:t>
      </w:r>
      <w:r>
        <w:rPr>
          <w:lang w:val="en-GB"/>
        </w:rPr>
        <w:t xml:space="preserve"> </w:t>
      </w:r>
      <w:proofErr w:type="gramStart"/>
      <w:r>
        <w:rPr>
          <w:lang w:val="en-GB"/>
        </w:rPr>
        <w:t>For example, s</w:t>
      </w:r>
      <w:r w:rsidRPr="0038535E">
        <w:rPr>
          <w:lang w:val="en-GB"/>
        </w:rPr>
        <w:t>hares of Japan Display</w:t>
      </w:r>
      <w:r w:rsidR="00823C3E">
        <w:rPr>
          <w:lang w:val="en-GB"/>
        </w:rPr>
        <w:t xml:space="preserve"> Inc.</w:t>
      </w:r>
      <w:r w:rsidRPr="0038535E">
        <w:rPr>
          <w:lang w:val="en-GB"/>
        </w:rPr>
        <w:t>, which went public in March 2014, fell 16 per cent</w:t>
      </w:r>
      <w:r w:rsidR="00302631">
        <w:rPr>
          <w:lang w:val="en-GB"/>
        </w:rPr>
        <w:t>, while</w:t>
      </w:r>
      <w:r w:rsidRPr="0038535E">
        <w:rPr>
          <w:lang w:val="en-GB"/>
        </w:rPr>
        <w:t xml:space="preserve"> Hong Kong’s </w:t>
      </w:r>
      <w:r>
        <w:rPr>
          <w:lang w:val="en-GB"/>
        </w:rPr>
        <w:t xml:space="preserve">A.S. </w:t>
      </w:r>
      <w:r w:rsidRPr="0038535E">
        <w:rPr>
          <w:lang w:val="en-GB"/>
        </w:rPr>
        <w:t>Watson</w:t>
      </w:r>
      <w:r>
        <w:rPr>
          <w:lang w:val="en-GB"/>
        </w:rPr>
        <w:t xml:space="preserve"> Group</w:t>
      </w:r>
      <w:r w:rsidRPr="0038535E">
        <w:rPr>
          <w:lang w:val="en-GB"/>
        </w:rPr>
        <w:t xml:space="preserve"> </w:t>
      </w:r>
      <w:r>
        <w:rPr>
          <w:lang w:val="en-GB"/>
        </w:rPr>
        <w:t>scrapped</w:t>
      </w:r>
      <w:r w:rsidRPr="0038535E">
        <w:rPr>
          <w:lang w:val="en-GB"/>
        </w:rPr>
        <w:t xml:space="preserve"> its multi-billion dollar IPO</w:t>
      </w:r>
      <w:r>
        <w:rPr>
          <w:lang w:val="en-GB"/>
        </w:rPr>
        <w:t>;</w:t>
      </w:r>
      <w:r>
        <w:rPr>
          <w:rStyle w:val="EndnoteReference"/>
          <w:lang w:val="en-GB"/>
        </w:rPr>
        <w:endnoteReference w:id="45"/>
      </w:r>
      <w:r w:rsidRPr="0038535E">
        <w:rPr>
          <w:lang w:val="en-GB"/>
        </w:rPr>
        <w:t xml:space="preserve"> </w:t>
      </w:r>
      <w:proofErr w:type="spellStart"/>
      <w:r>
        <w:rPr>
          <w:lang w:val="en-GB"/>
        </w:rPr>
        <w:t>Sina</w:t>
      </w:r>
      <w:proofErr w:type="spellEnd"/>
      <w:r>
        <w:rPr>
          <w:lang w:val="en-GB"/>
        </w:rPr>
        <w:t xml:space="preserve"> </w:t>
      </w:r>
      <w:r w:rsidRPr="0038535E">
        <w:rPr>
          <w:lang w:val="en-GB"/>
        </w:rPr>
        <w:t xml:space="preserve">Weibo shares </w:t>
      </w:r>
      <w:r w:rsidR="00A573E2">
        <w:rPr>
          <w:lang w:val="en-GB"/>
        </w:rPr>
        <w:t xml:space="preserve">got </w:t>
      </w:r>
      <w:r w:rsidRPr="0038535E">
        <w:rPr>
          <w:lang w:val="en-GB"/>
        </w:rPr>
        <w:t>listed on</w:t>
      </w:r>
      <w:r w:rsidR="00440A28">
        <w:rPr>
          <w:lang w:val="en-GB"/>
        </w:rPr>
        <w:t xml:space="preserve"> the</w:t>
      </w:r>
      <w:r w:rsidRPr="0038535E">
        <w:rPr>
          <w:lang w:val="en-GB"/>
        </w:rPr>
        <w:t xml:space="preserve"> NASDAQ in April 2014, but the company had to cut down the number of offered shares by almost 20 per cent and price the IPO at the bottom end of </w:t>
      </w:r>
      <w:r>
        <w:rPr>
          <w:lang w:val="en-GB"/>
        </w:rPr>
        <w:t>its range of</w:t>
      </w:r>
      <w:r w:rsidRPr="0038535E">
        <w:rPr>
          <w:lang w:val="en-GB"/>
        </w:rPr>
        <w:t xml:space="preserve"> US$17</w:t>
      </w:r>
      <w:r>
        <w:rPr>
          <w:lang w:val="en-GB"/>
        </w:rPr>
        <w:t>–</w:t>
      </w:r>
      <w:r w:rsidRPr="0038535E">
        <w:rPr>
          <w:lang w:val="en-GB"/>
        </w:rPr>
        <w:t>19.</w:t>
      </w:r>
      <w:r w:rsidRPr="0038535E">
        <w:rPr>
          <w:rStyle w:val="EndnoteReference"/>
          <w:lang w:val="en-GB"/>
        </w:rPr>
        <w:endnoteReference w:id="46"/>
      </w:r>
      <w:proofErr w:type="gramEnd"/>
      <w:r w:rsidRPr="0038535E">
        <w:rPr>
          <w:lang w:val="en-GB"/>
        </w:rPr>
        <w:t xml:space="preserve"> </w:t>
      </w:r>
      <w:r>
        <w:rPr>
          <w:lang w:val="en-GB"/>
        </w:rPr>
        <w:t>All of this occurred at a time when</w:t>
      </w:r>
      <w:r w:rsidRPr="0038535E">
        <w:rPr>
          <w:lang w:val="en-GB"/>
        </w:rPr>
        <w:t xml:space="preserve"> investors were waiting for the most anticipated Asian IPO ever</w:t>
      </w:r>
      <w:r>
        <w:rPr>
          <w:lang w:val="en-GB"/>
        </w:rPr>
        <w:t>:</w:t>
      </w:r>
      <w:r w:rsidRPr="0038535E">
        <w:rPr>
          <w:lang w:val="en-GB"/>
        </w:rPr>
        <w:t xml:space="preserve"> Alibaba Group.</w:t>
      </w:r>
      <w:r w:rsidRPr="0038535E">
        <w:rPr>
          <w:rStyle w:val="EndnoteReference"/>
          <w:lang w:val="en-GB"/>
        </w:rPr>
        <w:endnoteReference w:id="47"/>
      </w:r>
    </w:p>
    <w:p w14:paraId="46BE4B5A" w14:textId="77777777" w:rsidR="007E7F36" w:rsidRPr="0038535E" w:rsidRDefault="007E7F36" w:rsidP="00034E2D">
      <w:pPr>
        <w:pStyle w:val="BodyTextMain"/>
        <w:rPr>
          <w:lang w:val="en-GB"/>
        </w:rPr>
      </w:pPr>
    </w:p>
    <w:p w14:paraId="0D5D83DB" w14:textId="77777777" w:rsidR="007E7F36" w:rsidRPr="0038535E" w:rsidRDefault="007E7F36" w:rsidP="00034E2D">
      <w:pPr>
        <w:pStyle w:val="BodyTextMain"/>
        <w:rPr>
          <w:lang w:val="en-GB"/>
        </w:rPr>
      </w:pPr>
    </w:p>
    <w:p w14:paraId="579818F6" w14:textId="77777777" w:rsidR="007E7F36" w:rsidRPr="0038535E" w:rsidRDefault="007E7F36" w:rsidP="0090653C">
      <w:pPr>
        <w:pStyle w:val="Casehead2"/>
        <w:rPr>
          <w:lang w:val="en-GB"/>
        </w:rPr>
      </w:pPr>
      <w:r w:rsidRPr="0038535E">
        <w:rPr>
          <w:lang w:val="en-GB"/>
        </w:rPr>
        <w:t>Withdrawal</w:t>
      </w:r>
    </w:p>
    <w:p w14:paraId="01027C3F" w14:textId="77777777" w:rsidR="007E7F36" w:rsidRPr="0038535E" w:rsidRDefault="007E7F36" w:rsidP="0090653C">
      <w:pPr>
        <w:pStyle w:val="BodyTextMain"/>
        <w:rPr>
          <w:lang w:val="en-GB"/>
        </w:rPr>
      </w:pPr>
    </w:p>
    <w:p w14:paraId="57653F6C" w14:textId="76F30122" w:rsidR="007E7F36" w:rsidRPr="0038535E" w:rsidRDefault="00823C3E" w:rsidP="0090653C">
      <w:pPr>
        <w:pStyle w:val="BodyTextMain"/>
        <w:rPr>
          <w:lang w:val="en-GB"/>
        </w:rPr>
      </w:pPr>
      <w:r>
        <w:rPr>
          <w:lang w:val="en-GB"/>
        </w:rPr>
        <w:t>Obviously, b</w:t>
      </w:r>
      <w:r w:rsidR="007E7F36">
        <w:rPr>
          <w:lang w:val="en-GB"/>
        </w:rPr>
        <w:t>oth u</w:t>
      </w:r>
      <w:r w:rsidR="007E7F36" w:rsidRPr="0038535E">
        <w:rPr>
          <w:lang w:val="en-GB"/>
        </w:rPr>
        <w:t xml:space="preserve">nderwriters and management </w:t>
      </w:r>
      <w:r w:rsidR="007E7F36">
        <w:rPr>
          <w:lang w:val="en-GB"/>
        </w:rPr>
        <w:t xml:space="preserve">had </w:t>
      </w:r>
      <w:r w:rsidR="007E7F36" w:rsidRPr="0038535E">
        <w:rPr>
          <w:lang w:val="en-GB"/>
        </w:rPr>
        <w:t>clearly overestimated</w:t>
      </w:r>
      <w:r w:rsidR="007E7F36">
        <w:rPr>
          <w:lang w:val="en-GB"/>
        </w:rPr>
        <w:t xml:space="preserve"> </w:t>
      </w:r>
      <w:r w:rsidR="007E7F36" w:rsidRPr="0038535E">
        <w:rPr>
          <w:lang w:val="en-GB"/>
        </w:rPr>
        <w:t xml:space="preserve">investor demand for WH Group. </w:t>
      </w:r>
      <w:r w:rsidR="007E7F36">
        <w:rPr>
          <w:lang w:val="en-GB"/>
        </w:rPr>
        <w:t>The l</w:t>
      </w:r>
      <w:r w:rsidR="007E7F36" w:rsidRPr="0038535E">
        <w:rPr>
          <w:lang w:val="en-GB"/>
        </w:rPr>
        <w:t xml:space="preserve">arge number of underwriters </w:t>
      </w:r>
      <w:r w:rsidR="007E7F36">
        <w:rPr>
          <w:lang w:val="en-GB"/>
        </w:rPr>
        <w:t xml:space="preserve">for the IPO </w:t>
      </w:r>
      <w:proofErr w:type="gramStart"/>
      <w:r w:rsidR="007E7F36" w:rsidRPr="0038535E">
        <w:rPr>
          <w:lang w:val="en-GB"/>
        </w:rPr>
        <w:t>didn’t</w:t>
      </w:r>
      <w:proofErr w:type="gramEnd"/>
      <w:r w:rsidR="007E7F36" w:rsidRPr="0038535E">
        <w:rPr>
          <w:lang w:val="en-GB"/>
        </w:rPr>
        <w:t xml:space="preserve"> </w:t>
      </w:r>
      <w:r w:rsidR="007E7F36">
        <w:rPr>
          <w:lang w:val="en-GB"/>
        </w:rPr>
        <w:t>prove to be</w:t>
      </w:r>
      <w:r w:rsidR="007E7F36" w:rsidRPr="0038535E">
        <w:rPr>
          <w:lang w:val="en-GB"/>
        </w:rPr>
        <w:t xml:space="preserve"> a good idea</w:t>
      </w:r>
      <w:r w:rsidR="007E7F36">
        <w:rPr>
          <w:lang w:val="en-GB"/>
        </w:rPr>
        <w:t>. T</w:t>
      </w:r>
      <w:r w:rsidR="007E7F36" w:rsidRPr="0038535E">
        <w:rPr>
          <w:lang w:val="en-GB"/>
        </w:rPr>
        <w:t xml:space="preserve">hey </w:t>
      </w:r>
      <w:r w:rsidR="007E7F36">
        <w:rPr>
          <w:lang w:val="en-GB"/>
        </w:rPr>
        <w:t>apparently failed</w:t>
      </w:r>
      <w:r w:rsidR="007E7F36" w:rsidRPr="0038535E">
        <w:rPr>
          <w:lang w:val="en-GB"/>
        </w:rPr>
        <w:t xml:space="preserve"> to coordinate well with each other </w:t>
      </w:r>
      <w:r w:rsidR="007E7F36">
        <w:rPr>
          <w:lang w:val="en-GB"/>
        </w:rPr>
        <w:t>during the deal’s</w:t>
      </w:r>
      <w:r w:rsidR="007E7F36" w:rsidRPr="0038535E">
        <w:rPr>
          <w:lang w:val="en-GB"/>
        </w:rPr>
        <w:t xml:space="preserve"> pricing and estimating </w:t>
      </w:r>
      <w:r w:rsidR="007E7F36">
        <w:rPr>
          <w:lang w:val="en-GB"/>
        </w:rPr>
        <w:t>of</w:t>
      </w:r>
      <w:r w:rsidR="007E7F36" w:rsidRPr="0038535E">
        <w:rPr>
          <w:lang w:val="en-GB"/>
        </w:rPr>
        <w:t xml:space="preserve"> demand.</w:t>
      </w:r>
      <w:r w:rsidR="007E7F36" w:rsidRPr="0038535E">
        <w:rPr>
          <w:rStyle w:val="EndnoteReference"/>
          <w:lang w:val="en-GB"/>
        </w:rPr>
        <w:endnoteReference w:id="48"/>
      </w:r>
      <w:r w:rsidR="007E7F36" w:rsidRPr="0038535E">
        <w:rPr>
          <w:lang w:val="en-GB"/>
        </w:rPr>
        <w:t xml:space="preserve"> </w:t>
      </w:r>
      <w:r>
        <w:rPr>
          <w:lang w:val="en-GB"/>
        </w:rPr>
        <w:t>S</w:t>
      </w:r>
      <w:r w:rsidR="007E7F36" w:rsidRPr="0038535E">
        <w:rPr>
          <w:lang w:val="en-GB"/>
        </w:rPr>
        <w:t>imilar-sized deals in Hong Kong would tap</w:t>
      </w:r>
      <w:r w:rsidR="007E7F36">
        <w:rPr>
          <w:lang w:val="en-GB"/>
        </w:rPr>
        <w:t xml:space="preserve"> so-called</w:t>
      </w:r>
      <w:r w:rsidR="007E7F36" w:rsidRPr="0038535E">
        <w:rPr>
          <w:lang w:val="en-GB"/>
        </w:rPr>
        <w:t xml:space="preserve"> “cornerstone investors</w:t>
      </w:r>
      <w:r w:rsidR="007E7F36">
        <w:rPr>
          <w:lang w:val="en-GB"/>
        </w:rPr>
        <w:t>,</w:t>
      </w:r>
      <w:r w:rsidR="007E7F36" w:rsidRPr="0038535E">
        <w:rPr>
          <w:lang w:val="en-GB"/>
        </w:rPr>
        <w:t xml:space="preserve">” </w:t>
      </w:r>
      <w:r w:rsidR="007E7F36">
        <w:rPr>
          <w:lang w:val="en-GB"/>
        </w:rPr>
        <w:t>who were investors that</w:t>
      </w:r>
      <w:r w:rsidR="007E7F36" w:rsidRPr="0038535E">
        <w:rPr>
          <w:lang w:val="en-GB"/>
        </w:rPr>
        <w:t xml:space="preserve"> receive</w:t>
      </w:r>
      <w:r w:rsidR="007E7F36">
        <w:rPr>
          <w:lang w:val="en-GB"/>
        </w:rPr>
        <w:t>d</w:t>
      </w:r>
      <w:r w:rsidR="007E7F36" w:rsidRPr="0038535E">
        <w:rPr>
          <w:lang w:val="en-GB"/>
        </w:rPr>
        <w:t xml:space="preserve"> a guaranteed allocation in exchange for retaining the stakes for at least six months.</w:t>
      </w:r>
      <w:r w:rsidR="007E7F36" w:rsidRPr="0038535E">
        <w:rPr>
          <w:rStyle w:val="EndnoteReference"/>
          <w:lang w:val="en-GB"/>
        </w:rPr>
        <w:endnoteReference w:id="49"/>
      </w:r>
      <w:r w:rsidR="007E7F36" w:rsidRPr="0038535E">
        <w:rPr>
          <w:lang w:val="en-GB"/>
        </w:rPr>
        <w:t xml:space="preserve"> Even though WH Group hired a record 29 underwriters, they </w:t>
      </w:r>
      <w:proofErr w:type="gramStart"/>
      <w:r w:rsidR="007E7F36" w:rsidRPr="0038535E">
        <w:rPr>
          <w:lang w:val="en-GB"/>
        </w:rPr>
        <w:t>didn’t</w:t>
      </w:r>
      <w:proofErr w:type="gramEnd"/>
      <w:r w:rsidR="007E7F36" w:rsidRPr="0038535E">
        <w:rPr>
          <w:lang w:val="en-GB"/>
        </w:rPr>
        <w:t xml:space="preserve"> sign </w:t>
      </w:r>
      <w:r w:rsidR="007E7F36">
        <w:rPr>
          <w:lang w:val="en-GB"/>
        </w:rPr>
        <w:t xml:space="preserve">any of these </w:t>
      </w:r>
      <w:r w:rsidR="007E7F36" w:rsidRPr="0038535E">
        <w:rPr>
          <w:lang w:val="en-GB"/>
        </w:rPr>
        <w:t>cornerstone investors.</w:t>
      </w:r>
    </w:p>
    <w:p w14:paraId="623EF776" w14:textId="77777777" w:rsidR="007E7F36" w:rsidRPr="0038535E" w:rsidRDefault="007E7F36" w:rsidP="00BC0088">
      <w:pPr>
        <w:pStyle w:val="BodyTextMain"/>
        <w:rPr>
          <w:lang w:val="en-GB"/>
        </w:rPr>
      </w:pPr>
    </w:p>
    <w:p w14:paraId="24A85E62" w14:textId="281EC4C1" w:rsidR="007E7F36" w:rsidRPr="0038535E" w:rsidRDefault="007E7F36" w:rsidP="0090653C">
      <w:pPr>
        <w:pStyle w:val="BodyTextMain"/>
        <w:rPr>
          <w:lang w:val="en-GB"/>
        </w:rPr>
      </w:pPr>
      <w:r w:rsidRPr="0038535E">
        <w:rPr>
          <w:lang w:val="en-GB"/>
        </w:rPr>
        <w:t xml:space="preserve">Due to the lack of demand, WH Group reduced the size of the deal from </w:t>
      </w:r>
      <w:r w:rsidRPr="00657A72">
        <w:rPr>
          <w:lang w:val="en-GB"/>
        </w:rPr>
        <w:t>$5.3 billion to $1.9 billion</w:t>
      </w:r>
      <w:r w:rsidRPr="0038535E">
        <w:rPr>
          <w:lang w:val="en-GB"/>
        </w:rPr>
        <w:t>.</w:t>
      </w:r>
      <w:r>
        <w:rPr>
          <w:rStyle w:val="EndnoteReference"/>
          <w:lang w:val="en-GB"/>
        </w:rPr>
        <w:endnoteReference w:id="50"/>
      </w:r>
      <w:r w:rsidRPr="0038535E">
        <w:rPr>
          <w:lang w:val="en-GB"/>
        </w:rPr>
        <w:t xml:space="preserve"> However, that reduction failed to incite investors</w:t>
      </w:r>
      <w:r>
        <w:rPr>
          <w:lang w:val="en-GB"/>
        </w:rPr>
        <w:t>,</w:t>
      </w:r>
      <w:r w:rsidRPr="0038535E">
        <w:rPr>
          <w:lang w:val="en-GB"/>
        </w:rPr>
        <w:t xml:space="preserve"> </w:t>
      </w:r>
      <w:r>
        <w:rPr>
          <w:lang w:val="en-GB"/>
        </w:rPr>
        <w:t>so</w:t>
      </w:r>
      <w:r w:rsidRPr="0038535E">
        <w:rPr>
          <w:lang w:val="en-GB"/>
        </w:rPr>
        <w:t xml:space="preserve"> WH group officially announced the withdrawal of its IPO, citing “deteriorating market conditions and recent excessive market volatility.”</w:t>
      </w:r>
      <w:r>
        <w:rPr>
          <w:rStyle w:val="EndnoteReference"/>
          <w:lang w:val="en-GB"/>
        </w:rPr>
        <w:endnoteReference w:id="51"/>
      </w:r>
    </w:p>
    <w:p w14:paraId="6A399A62" w14:textId="77777777" w:rsidR="004E327F" w:rsidRPr="0038535E" w:rsidRDefault="004E327F" w:rsidP="00034E2D">
      <w:pPr>
        <w:pStyle w:val="BodyTextMain"/>
        <w:rPr>
          <w:rFonts w:eastAsiaTheme="minorHAnsi"/>
          <w:lang w:val="en-GB"/>
        </w:rPr>
      </w:pPr>
    </w:p>
    <w:p w14:paraId="3EE49810" w14:textId="77777777" w:rsidR="004E327F" w:rsidRPr="0038535E" w:rsidRDefault="004E327F" w:rsidP="00034E2D">
      <w:pPr>
        <w:pStyle w:val="BodyTextMain"/>
        <w:rPr>
          <w:lang w:val="en-GB"/>
        </w:rPr>
      </w:pPr>
    </w:p>
    <w:p w14:paraId="62AA7E51" w14:textId="77777777" w:rsidR="004E327F" w:rsidRPr="0038535E" w:rsidRDefault="004E327F" w:rsidP="00BC0088">
      <w:pPr>
        <w:pStyle w:val="Casehead1"/>
        <w:keepNext/>
        <w:rPr>
          <w:lang w:val="en-GB"/>
        </w:rPr>
      </w:pPr>
      <w:r w:rsidRPr="0038535E">
        <w:rPr>
          <w:lang w:val="en-GB"/>
        </w:rPr>
        <w:t>NEW ENVIRONMENT</w:t>
      </w:r>
    </w:p>
    <w:p w14:paraId="41BCE7D4" w14:textId="77777777" w:rsidR="004E327F" w:rsidRPr="0038535E" w:rsidRDefault="004E327F" w:rsidP="00BC0088">
      <w:pPr>
        <w:pStyle w:val="BodyTextMain"/>
        <w:keepNext/>
        <w:rPr>
          <w:lang w:val="en-GB"/>
        </w:rPr>
      </w:pPr>
    </w:p>
    <w:p w14:paraId="07169A45" w14:textId="640DC3AC" w:rsidR="00D52B78" w:rsidRPr="0038535E" w:rsidRDefault="004E327F" w:rsidP="00BC0088">
      <w:pPr>
        <w:pStyle w:val="BodyTextMain"/>
        <w:keepNext/>
        <w:rPr>
          <w:lang w:val="en-GB"/>
        </w:rPr>
      </w:pPr>
      <w:r w:rsidRPr="0038535E">
        <w:rPr>
          <w:lang w:val="en-GB"/>
        </w:rPr>
        <w:t xml:space="preserve">On May 14, 2014, WH </w:t>
      </w:r>
      <w:r w:rsidR="00650F57">
        <w:rPr>
          <w:lang w:val="en-GB"/>
        </w:rPr>
        <w:t>G</w:t>
      </w:r>
      <w:r w:rsidRPr="0038535E">
        <w:rPr>
          <w:lang w:val="en-GB"/>
        </w:rPr>
        <w:t xml:space="preserve">roup reported record first quarter earnings. Smithfield Foods posted </w:t>
      </w:r>
      <w:r w:rsidR="00BE4BB1">
        <w:rPr>
          <w:lang w:val="en-GB"/>
        </w:rPr>
        <w:t xml:space="preserve">a </w:t>
      </w:r>
      <w:r w:rsidRPr="0038535E">
        <w:rPr>
          <w:lang w:val="en-GB"/>
        </w:rPr>
        <w:t>net income of U</w:t>
      </w:r>
      <w:r w:rsidR="00103CC9" w:rsidRPr="0038535E">
        <w:rPr>
          <w:lang w:val="en-GB"/>
        </w:rPr>
        <w:t>S</w:t>
      </w:r>
      <w:r w:rsidRPr="0038535E">
        <w:rPr>
          <w:lang w:val="en-GB"/>
        </w:rPr>
        <w:t xml:space="preserve">$105.3 million, a 479 per cent increase from the same quarter a year </w:t>
      </w:r>
      <w:r w:rsidR="006F2151">
        <w:rPr>
          <w:lang w:val="en-GB"/>
        </w:rPr>
        <w:t>earlier</w:t>
      </w:r>
      <w:r w:rsidRPr="0038535E">
        <w:rPr>
          <w:lang w:val="en-GB"/>
        </w:rPr>
        <w:t>.</w:t>
      </w:r>
      <w:r w:rsidRPr="0038535E">
        <w:rPr>
          <w:rStyle w:val="EndnoteReference"/>
          <w:lang w:val="en-GB"/>
        </w:rPr>
        <w:endnoteReference w:id="52"/>
      </w:r>
      <w:r w:rsidRPr="0038535E">
        <w:rPr>
          <w:lang w:val="en-GB"/>
        </w:rPr>
        <w:t xml:space="preserve"> Sales went up by 3 per cent to U</w:t>
      </w:r>
      <w:r w:rsidR="00103CC9" w:rsidRPr="0038535E">
        <w:rPr>
          <w:lang w:val="en-GB"/>
        </w:rPr>
        <w:t>S</w:t>
      </w:r>
      <w:r w:rsidRPr="0038535E">
        <w:rPr>
          <w:lang w:val="en-GB"/>
        </w:rPr>
        <w:t>$3.4 billion and consolidated operating profit increased 234 per cent to U</w:t>
      </w:r>
      <w:r w:rsidR="00103CC9" w:rsidRPr="0038535E">
        <w:rPr>
          <w:lang w:val="en-GB"/>
        </w:rPr>
        <w:t>S</w:t>
      </w:r>
      <w:r w:rsidRPr="0038535E">
        <w:rPr>
          <w:lang w:val="en-GB"/>
        </w:rPr>
        <w:t>$196.4 million.</w:t>
      </w:r>
      <w:r w:rsidRPr="0038535E">
        <w:rPr>
          <w:rStyle w:val="EndnoteReference"/>
          <w:lang w:val="en-GB"/>
        </w:rPr>
        <w:endnoteReference w:id="53"/>
      </w:r>
      <w:r w:rsidRPr="0038535E">
        <w:rPr>
          <w:lang w:val="en-GB"/>
        </w:rPr>
        <w:t xml:space="preserve"> The Chinese and U</w:t>
      </w:r>
      <w:r w:rsidR="00103CC9" w:rsidRPr="0038535E">
        <w:rPr>
          <w:lang w:val="en-GB"/>
        </w:rPr>
        <w:t>.</w:t>
      </w:r>
      <w:r w:rsidRPr="0038535E">
        <w:rPr>
          <w:lang w:val="en-GB"/>
        </w:rPr>
        <w:t>S</w:t>
      </w:r>
      <w:r w:rsidR="00103CC9" w:rsidRPr="0038535E">
        <w:rPr>
          <w:lang w:val="en-GB"/>
        </w:rPr>
        <w:t>.</w:t>
      </w:r>
      <w:r w:rsidRPr="0038535E">
        <w:rPr>
          <w:lang w:val="en-GB"/>
        </w:rPr>
        <w:t xml:space="preserve"> segments combined rose 225 per cent to U</w:t>
      </w:r>
      <w:r w:rsidR="00103CC9" w:rsidRPr="0038535E">
        <w:rPr>
          <w:lang w:val="en-GB"/>
        </w:rPr>
        <w:t>S</w:t>
      </w:r>
      <w:r w:rsidRPr="0038535E">
        <w:rPr>
          <w:lang w:val="en-GB"/>
        </w:rPr>
        <w:t xml:space="preserve">$407 million. The Hang Seng Index rallied about 6 per cent in </w:t>
      </w:r>
      <w:r w:rsidR="00112DCC">
        <w:rPr>
          <w:lang w:val="en-GB"/>
        </w:rPr>
        <w:t>one</w:t>
      </w:r>
      <w:r w:rsidRPr="0038535E">
        <w:rPr>
          <w:lang w:val="en-GB"/>
        </w:rPr>
        <w:t xml:space="preserve"> month</w:t>
      </w:r>
      <w:r w:rsidR="00103CC9" w:rsidRPr="0038535E">
        <w:rPr>
          <w:lang w:val="en-GB"/>
        </w:rPr>
        <w:t xml:space="preserve"> (see Exhibit </w:t>
      </w:r>
      <w:r w:rsidR="00E26C42">
        <w:rPr>
          <w:lang w:val="en-GB"/>
        </w:rPr>
        <w:t>8</w:t>
      </w:r>
      <w:r w:rsidR="00103CC9" w:rsidRPr="0038535E">
        <w:rPr>
          <w:lang w:val="en-GB"/>
        </w:rPr>
        <w:t>)</w:t>
      </w:r>
      <w:r w:rsidRPr="0038535E">
        <w:rPr>
          <w:lang w:val="en-GB"/>
        </w:rPr>
        <w:t>.</w:t>
      </w:r>
      <w:r w:rsidR="00E26C42">
        <w:rPr>
          <w:lang w:val="en-GB"/>
        </w:rPr>
        <w:t xml:space="preserve"> Exhibit 9 provides equity risk premiums for relevant markets, while Exhibit 10 provides yields on relevant government bonds. </w:t>
      </w:r>
    </w:p>
    <w:p w14:paraId="0928EBE9" w14:textId="77777777" w:rsidR="004E327F" w:rsidRPr="0038535E" w:rsidRDefault="004E327F" w:rsidP="0090653C">
      <w:pPr>
        <w:pStyle w:val="BodyTextMain"/>
        <w:rPr>
          <w:lang w:val="en-GB"/>
        </w:rPr>
      </w:pPr>
    </w:p>
    <w:p w14:paraId="01EF0EE2" w14:textId="77777777" w:rsidR="004E327F" w:rsidRPr="0038535E" w:rsidRDefault="004E327F" w:rsidP="0090653C">
      <w:pPr>
        <w:pStyle w:val="BodyTextMain"/>
        <w:rPr>
          <w:lang w:val="en-GB"/>
        </w:rPr>
      </w:pPr>
    </w:p>
    <w:p w14:paraId="4B1AA148" w14:textId="77777777" w:rsidR="00D52B78" w:rsidRPr="0038535E" w:rsidRDefault="00D52B78" w:rsidP="0090653C">
      <w:pPr>
        <w:pStyle w:val="Casehead1"/>
        <w:rPr>
          <w:lang w:val="en-GB"/>
        </w:rPr>
      </w:pPr>
      <w:r w:rsidRPr="0038535E">
        <w:rPr>
          <w:lang w:val="en-GB"/>
        </w:rPr>
        <w:lastRenderedPageBreak/>
        <w:t>EPILOGUE</w:t>
      </w:r>
    </w:p>
    <w:p w14:paraId="57AA354D" w14:textId="77777777" w:rsidR="00D52B78" w:rsidRPr="0038535E" w:rsidRDefault="00D52B78" w:rsidP="0090653C">
      <w:pPr>
        <w:pStyle w:val="BodyTextMain"/>
        <w:rPr>
          <w:lang w:val="en-GB"/>
        </w:rPr>
      </w:pPr>
    </w:p>
    <w:p w14:paraId="37CBBC44" w14:textId="2E12A33C" w:rsidR="00D52B78" w:rsidRPr="0038535E" w:rsidRDefault="00112DCC" w:rsidP="0090653C">
      <w:pPr>
        <w:pStyle w:val="BodyTextMain"/>
        <w:rPr>
          <w:lang w:val="en-GB"/>
        </w:rPr>
      </w:pPr>
      <w:r>
        <w:rPr>
          <w:lang w:val="en-GB"/>
        </w:rPr>
        <w:t>Long had</w:t>
      </w:r>
      <w:r w:rsidRPr="0038535E">
        <w:rPr>
          <w:lang w:val="en-GB"/>
        </w:rPr>
        <w:t xml:space="preserve"> </w:t>
      </w:r>
      <w:r w:rsidR="00D52B78" w:rsidRPr="0038535E">
        <w:rPr>
          <w:lang w:val="en-GB"/>
        </w:rPr>
        <w:t xml:space="preserve">faced various challenges throughout his career, </w:t>
      </w:r>
      <w:r>
        <w:rPr>
          <w:lang w:val="en-GB"/>
        </w:rPr>
        <w:t xml:space="preserve">but </w:t>
      </w:r>
      <w:r w:rsidR="00D52B78" w:rsidRPr="0038535E">
        <w:rPr>
          <w:lang w:val="en-GB"/>
        </w:rPr>
        <w:t xml:space="preserve">this one seemed especially </w:t>
      </w:r>
      <w:r>
        <w:rPr>
          <w:lang w:val="en-GB"/>
        </w:rPr>
        <w:t>difficult:</w:t>
      </w:r>
      <w:r w:rsidR="00D52B78" w:rsidRPr="0038535E">
        <w:rPr>
          <w:lang w:val="en-GB"/>
        </w:rPr>
        <w:t xml:space="preserve"> should he try again to list his company through </w:t>
      </w:r>
      <w:r w:rsidR="00BE4BB1">
        <w:rPr>
          <w:lang w:val="en-GB"/>
        </w:rPr>
        <w:t>a second IPO attempt</w:t>
      </w:r>
      <w:r w:rsidR="00D52B78" w:rsidRPr="0038535E">
        <w:rPr>
          <w:lang w:val="en-GB"/>
        </w:rPr>
        <w:t xml:space="preserve"> or should he keep the company private? </w:t>
      </w:r>
      <w:r>
        <w:rPr>
          <w:lang w:val="en-GB"/>
        </w:rPr>
        <w:t>Long</w:t>
      </w:r>
      <w:r w:rsidRPr="0038535E">
        <w:rPr>
          <w:lang w:val="en-GB"/>
        </w:rPr>
        <w:t xml:space="preserve"> </w:t>
      </w:r>
      <w:r w:rsidR="00D52B78" w:rsidRPr="0038535E">
        <w:rPr>
          <w:lang w:val="en-GB"/>
        </w:rPr>
        <w:t>carefully examined his options.</w:t>
      </w:r>
    </w:p>
    <w:p w14:paraId="1E0248C2" w14:textId="77777777" w:rsidR="003C4C0E" w:rsidRPr="0038535E" w:rsidRDefault="003C4C0E" w:rsidP="008A4EF3">
      <w:pPr>
        <w:pStyle w:val="BodyTextMain"/>
        <w:rPr>
          <w:lang w:val="en-GB"/>
        </w:rPr>
      </w:pPr>
      <w:r w:rsidRPr="0038535E">
        <w:rPr>
          <w:noProof/>
          <w:lang w:val="en-GB" w:eastAsia="en-GB"/>
        </w:rPr>
        <mc:AlternateContent>
          <mc:Choice Requires="wps">
            <w:drawing>
              <wp:anchor distT="0" distB="0" distL="114300" distR="114300" simplePos="0" relativeHeight="251667456" behindDoc="0" locked="0" layoutInCell="1" allowOverlap="1" wp14:anchorId="126BAA86" wp14:editId="13D0408B">
                <wp:simplePos x="0" y="0"/>
                <wp:positionH relativeFrom="margin">
                  <wp:posOffset>934720</wp:posOffset>
                </wp:positionH>
                <wp:positionV relativeFrom="paragraph">
                  <wp:posOffset>318770</wp:posOffset>
                </wp:positionV>
                <wp:extent cx="4257675" cy="873125"/>
                <wp:effectExtent l="0" t="0" r="28575" b="222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873125"/>
                        </a:xfrm>
                        <a:prstGeom prst="rect">
                          <a:avLst/>
                        </a:prstGeom>
                        <a:solidFill>
                          <a:srgbClr val="FFFFFF"/>
                        </a:solidFill>
                        <a:ln w="9525">
                          <a:solidFill>
                            <a:srgbClr val="000000"/>
                          </a:solidFill>
                          <a:miter lim="800000"/>
                          <a:headEnd/>
                          <a:tailEnd/>
                        </a:ln>
                      </wps:spPr>
                      <wps:txbx>
                        <w:txbxContent>
                          <w:p w14:paraId="25B3F6D1" w14:textId="5D7FC27C" w:rsidR="00C46AA4" w:rsidRDefault="00C46AA4" w:rsidP="00D42E2B">
                            <w:pPr>
                              <w:pStyle w:val="Footnote"/>
                              <w:rPr>
                                <w:color w:val="000000"/>
                                <w:sz w:val="18"/>
                                <w:szCs w:val="18"/>
                                <w:shd w:val="clear" w:color="auto" w:fill="FFFFFF"/>
                              </w:rPr>
                            </w:pPr>
                            <w:r>
                              <w:rPr>
                                <w:color w:val="000000"/>
                                <w:sz w:val="18"/>
                                <w:szCs w:val="18"/>
                                <w:shd w:val="clear" w:color="auto" w:fill="FFFFFF"/>
                              </w:rPr>
                              <w:t xml:space="preserve">Emir Hrnjic is a Chief Executive Officer of the Centre </w:t>
                            </w:r>
                            <w:proofErr w:type="gramStart"/>
                            <w:r>
                              <w:rPr>
                                <w:color w:val="000000"/>
                                <w:sz w:val="18"/>
                                <w:szCs w:val="18"/>
                                <w:shd w:val="clear" w:color="auto" w:fill="FFFFFF"/>
                              </w:rPr>
                              <w:t>For</w:t>
                            </w:r>
                            <w:proofErr w:type="gramEnd"/>
                            <w:r>
                              <w:rPr>
                                <w:color w:val="000000"/>
                                <w:sz w:val="18"/>
                                <w:szCs w:val="18"/>
                                <w:shd w:val="clear" w:color="auto" w:fill="FFFFFF"/>
                              </w:rPr>
                              <w:t xml:space="preserve"> Islamic Banking, Finance And Management (CIBFM), </w:t>
                            </w:r>
                            <w:proofErr w:type="spellStart"/>
                            <w:r>
                              <w:rPr>
                                <w:color w:val="000000"/>
                                <w:sz w:val="18"/>
                                <w:szCs w:val="18"/>
                                <w:shd w:val="clear" w:color="auto" w:fill="FFFFFF"/>
                              </w:rPr>
                              <w:t>Autoriti</w:t>
                            </w:r>
                            <w:proofErr w:type="spellEnd"/>
                            <w:r>
                              <w:rPr>
                                <w:color w:val="000000"/>
                                <w:sz w:val="18"/>
                                <w:szCs w:val="18"/>
                                <w:shd w:val="clear" w:color="auto" w:fill="FFFFFF"/>
                              </w:rPr>
                              <w:t xml:space="preserve"> </w:t>
                            </w:r>
                            <w:proofErr w:type="spellStart"/>
                            <w:r>
                              <w:rPr>
                                <w:color w:val="000000"/>
                                <w:sz w:val="18"/>
                                <w:szCs w:val="18"/>
                                <w:shd w:val="clear" w:color="auto" w:fill="FFFFFF"/>
                              </w:rPr>
                              <w:t>Monetari</w:t>
                            </w:r>
                            <w:proofErr w:type="spellEnd"/>
                            <w:r>
                              <w:rPr>
                                <w:color w:val="000000"/>
                                <w:sz w:val="18"/>
                                <w:szCs w:val="18"/>
                                <w:shd w:val="clear" w:color="auto" w:fill="FFFFFF"/>
                              </w:rPr>
                              <w:t xml:space="preserve"> Brunei Darussalam (AMBD).</w:t>
                            </w:r>
                          </w:p>
                          <w:p w14:paraId="35B78BED" w14:textId="77777777" w:rsidR="00C46AA4" w:rsidRPr="00D42E2B" w:rsidRDefault="00C46AA4" w:rsidP="00D42E2B">
                            <w:pPr>
                              <w:pStyle w:val="Footnote"/>
                            </w:pPr>
                          </w:p>
                          <w:p w14:paraId="724361FD" w14:textId="383D60B6" w:rsidR="00C46AA4" w:rsidRPr="00D42E2B" w:rsidRDefault="00C46AA4" w:rsidP="00D42E2B">
                            <w:pPr>
                              <w:pStyle w:val="Footnote"/>
                            </w:pPr>
                            <w:r w:rsidRPr="00D42E2B">
                              <w:t xml:space="preserve">The author would like to thank the Centre for Asset Management Research &amp; Investments (CAMRI) for the donation to this case and </w:t>
                            </w:r>
                            <w:proofErr w:type="spellStart"/>
                            <w:r w:rsidRPr="00D42E2B">
                              <w:t>XiangYu</w:t>
                            </w:r>
                            <w:proofErr w:type="spellEnd"/>
                            <w:r w:rsidRPr="00D42E2B">
                              <w:t xml:space="preserve"> Zhou for his excellent research assistance.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6BAA86" id="_x0000_t202" coordsize="21600,21600" o:spt="202" path="m,l,21600r21600,l21600,xe">
                <v:stroke joinstyle="miter"/>
                <v:path gradientshapeok="t" o:connecttype="rect"/>
              </v:shapetype>
              <v:shape id="Text Box 2" o:spid="_x0000_s1026" type="#_x0000_t202" style="position:absolute;left:0;text-align:left;margin-left:73.6pt;margin-top:25.1pt;width:335.25pt;height:6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">
                <v:textbox>
                  <w:txbxContent>
                    <w:p w14:paraId="25B3F6D1" w14:textId="5D7FC27C" w:rsidR="00C46AA4" w:rsidRDefault="00C46AA4" w:rsidP="00D42E2B">
                      <w:pPr>
                        <w:pStyle w:val="Footnote"/>
                        <w:rPr>
                          <w:color w:val="000000"/>
                          <w:sz w:val="18"/>
                          <w:szCs w:val="18"/>
                          <w:shd w:val="clear" w:color="auto" w:fill="FFFFFF"/>
                        </w:rPr>
                      </w:pPr>
                      <w:r>
                        <w:rPr>
                          <w:color w:val="000000"/>
                          <w:sz w:val="18"/>
                          <w:szCs w:val="18"/>
                          <w:shd w:val="clear" w:color="auto" w:fill="FFFFFF"/>
                        </w:rPr>
                        <w:t>Emir Hrnjic is a Chief Executive Officer of the Centre For Islamic Banking, Finance And Management (CIBFM), Autoriti Monetari Brunei Darussalam (AMBD).</w:t>
                      </w:r>
                    </w:p>
                    <w:p w14:paraId="35B78BED" w14:textId="77777777" w:rsidR="00C46AA4" w:rsidRPr="00D42E2B" w:rsidRDefault="00C46AA4" w:rsidP="00D42E2B">
                      <w:pPr>
                        <w:pStyle w:val="Footnote"/>
                      </w:pPr>
                    </w:p>
                    <w:p w14:paraId="724361FD" w14:textId="383D60B6" w:rsidR="00C46AA4" w:rsidRPr="00D42E2B" w:rsidRDefault="00C46AA4" w:rsidP="00D42E2B">
                      <w:pPr>
                        <w:pStyle w:val="Footnote"/>
                      </w:pPr>
                      <w:r w:rsidRPr="00D42E2B">
                        <w:t>The author would like to thank the Centre for Asset Management Research &amp; Investments (CAMRI) for the donation to this case and XiangYu Zhou for his excellent research assistance.</w:t>
                      </w:r>
                    </w:p>
                  </w:txbxContent>
                </v:textbox>
                <w10:wrap type="topAndBottom" anchorx="margin"/>
              </v:shape>
            </w:pict>
          </mc:Fallback>
        </mc:AlternateContent>
      </w:r>
      <w:r w:rsidRPr="0038535E">
        <w:rPr>
          <w:rFonts w:eastAsia="SimSun"/>
          <w:lang w:val="en-GB" w:eastAsia="zh-CN"/>
        </w:rPr>
        <w:br w:type="page"/>
      </w:r>
    </w:p>
    <w:p w14:paraId="58ADFBF6" w14:textId="77777777" w:rsidR="00D52B78" w:rsidRPr="0038535E" w:rsidRDefault="00D52B78" w:rsidP="0090653C">
      <w:pPr>
        <w:pStyle w:val="ExhibitHeading"/>
        <w:rPr>
          <w:rFonts w:eastAsia="SimSun"/>
          <w:lang w:val="en-GB" w:eastAsia="zh-CN"/>
        </w:rPr>
      </w:pPr>
      <w:r w:rsidRPr="0038535E">
        <w:rPr>
          <w:rFonts w:eastAsia="SimSun"/>
          <w:lang w:val="en-GB" w:eastAsia="zh-CN"/>
        </w:rPr>
        <w:lastRenderedPageBreak/>
        <w:t>Exhibit 1: WH Group’S INCOME STATEMENT</w:t>
      </w:r>
      <w:r w:rsidR="008A4EF3" w:rsidRPr="0038535E">
        <w:rPr>
          <w:rFonts w:eastAsia="SimSun"/>
          <w:lang w:val="en-GB" w:eastAsia="zh-CN"/>
        </w:rPr>
        <w:t xml:space="preserve"> (In US$ Million)</w:t>
      </w:r>
    </w:p>
    <w:p w14:paraId="25A80321" w14:textId="77777777" w:rsidR="00D52B78" w:rsidRPr="0038535E" w:rsidRDefault="00D52B78" w:rsidP="008A4EF3">
      <w:pPr>
        <w:pStyle w:val="BodyTextMain"/>
        <w:rPr>
          <w:rFonts w:eastAsia="SimSun"/>
          <w:sz w:val="18"/>
          <w:lang w:val="en-GB" w:eastAsia="zh-CN"/>
        </w:rPr>
      </w:pPr>
    </w:p>
    <w:tbl>
      <w:tblPr>
        <w:tblW w:w="8640" w:type="dxa"/>
        <w:jc w:val="center"/>
        <w:tblLook w:val="04A0" w:firstRow="1" w:lastRow="0" w:firstColumn="1" w:lastColumn="0" w:noHBand="0" w:noVBand="1"/>
      </w:tblPr>
      <w:tblGrid>
        <w:gridCol w:w="3640"/>
        <w:gridCol w:w="248"/>
        <w:gridCol w:w="270"/>
        <w:gridCol w:w="1841"/>
        <w:gridCol w:w="301"/>
        <w:gridCol w:w="918"/>
        <w:gridCol w:w="1422"/>
      </w:tblGrid>
      <w:tr w:rsidR="00D52B78" w:rsidRPr="0038535E" w14:paraId="1E17A1C7"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398CDF02" w14:textId="77777777" w:rsidR="00D52B78" w:rsidRPr="0038535E" w:rsidRDefault="00D52B78" w:rsidP="0090653C">
            <w:pPr>
              <w:pStyle w:val="ExhibitText"/>
              <w:rPr>
                <w:sz w:val="19"/>
                <w:szCs w:val="19"/>
                <w:lang w:val="en-GB" w:eastAsia="zh-CN"/>
              </w:rPr>
            </w:pPr>
          </w:p>
        </w:tc>
        <w:tc>
          <w:tcPr>
            <w:tcW w:w="2359" w:type="dxa"/>
            <w:gridSpan w:val="3"/>
            <w:tcBorders>
              <w:top w:val="nil"/>
              <w:left w:val="nil"/>
              <w:bottom w:val="nil"/>
              <w:right w:val="nil"/>
            </w:tcBorders>
            <w:shd w:val="clear" w:color="auto" w:fill="auto"/>
            <w:noWrap/>
            <w:vAlign w:val="center"/>
            <w:hideMark/>
          </w:tcPr>
          <w:p w14:paraId="6C541748" w14:textId="77777777" w:rsidR="00D52B78" w:rsidRPr="0038535E" w:rsidRDefault="00D52B78" w:rsidP="0090653C">
            <w:pPr>
              <w:pStyle w:val="ExhibitText"/>
              <w:rPr>
                <w:sz w:val="19"/>
                <w:szCs w:val="19"/>
                <w:lang w:val="en-GB" w:eastAsia="zh-CN"/>
              </w:rPr>
            </w:pPr>
            <w:r w:rsidRPr="0038535E">
              <w:rPr>
                <w:sz w:val="19"/>
                <w:szCs w:val="19"/>
                <w:lang w:val="en-GB" w:eastAsia="zh-CN"/>
              </w:rPr>
              <w:t>Information Released in</w:t>
            </w:r>
          </w:p>
        </w:tc>
        <w:tc>
          <w:tcPr>
            <w:tcW w:w="301" w:type="dxa"/>
            <w:tcBorders>
              <w:top w:val="nil"/>
              <w:left w:val="nil"/>
              <w:bottom w:val="nil"/>
              <w:right w:val="nil"/>
            </w:tcBorders>
            <w:shd w:val="clear" w:color="auto" w:fill="auto"/>
            <w:noWrap/>
            <w:vAlign w:val="center"/>
            <w:hideMark/>
          </w:tcPr>
          <w:p w14:paraId="710E10E7" w14:textId="77777777" w:rsidR="00D52B78" w:rsidRPr="0038535E" w:rsidRDefault="00D52B78" w:rsidP="0090653C">
            <w:pPr>
              <w:pStyle w:val="ExhibitText"/>
              <w:rPr>
                <w:sz w:val="19"/>
                <w:szCs w:val="19"/>
                <w:lang w:val="en-GB" w:eastAsia="zh-CN"/>
              </w:rPr>
            </w:pPr>
          </w:p>
        </w:tc>
        <w:tc>
          <w:tcPr>
            <w:tcW w:w="2340" w:type="dxa"/>
            <w:gridSpan w:val="2"/>
            <w:tcBorders>
              <w:top w:val="nil"/>
              <w:left w:val="nil"/>
              <w:bottom w:val="nil"/>
              <w:right w:val="nil"/>
            </w:tcBorders>
            <w:shd w:val="clear" w:color="auto" w:fill="auto"/>
            <w:noWrap/>
            <w:vAlign w:val="center"/>
            <w:hideMark/>
          </w:tcPr>
          <w:p w14:paraId="43AB4F8D" w14:textId="77777777" w:rsidR="00D52B78" w:rsidRPr="0038535E" w:rsidRDefault="00D52B78" w:rsidP="0090653C">
            <w:pPr>
              <w:pStyle w:val="ExhibitText"/>
              <w:rPr>
                <w:sz w:val="19"/>
                <w:szCs w:val="19"/>
                <w:lang w:val="en-GB" w:eastAsia="zh-CN"/>
              </w:rPr>
            </w:pPr>
            <w:r w:rsidRPr="0038535E">
              <w:rPr>
                <w:sz w:val="19"/>
                <w:szCs w:val="19"/>
                <w:lang w:val="en-GB" w:eastAsia="zh-CN"/>
              </w:rPr>
              <w:t xml:space="preserve">Additional </w:t>
            </w:r>
            <w:r w:rsidR="004E327F" w:rsidRPr="0038535E">
              <w:rPr>
                <w:sz w:val="19"/>
                <w:szCs w:val="19"/>
                <w:lang w:val="en-GB" w:eastAsia="zh-CN"/>
              </w:rPr>
              <w:t>Information</w:t>
            </w:r>
          </w:p>
        </w:tc>
      </w:tr>
      <w:tr w:rsidR="00D52B78" w:rsidRPr="0038535E" w14:paraId="1A78FD2A"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0BA602B3" w14:textId="77777777" w:rsidR="00D52B78" w:rsidRPr="0038535E" w:rsidRDefault="00D52B78" w:rsidP="0090653C">
            <w:pPr>
              <w:pStyle w:val="ExhibitText"/>
              <w:rPr>
                <w:sz w:val="19"/>
                <w:szCs w:val="19"/>
                <w:lang w:val="en-GB" w:eastAsia="zh-CN"/>
              </w:rPr>
            </w:pPr>
          </w:p>
        </w:tc>
        <w:tc>
          <w:tcPr>
            <w:tcW w:w="2359" w:type="dxa"/>
            <w:gridSpan w:val="3"/>
            <w:tcBorders>
              <w:top w:val="nil"/>
              <w:left w:val="nil"/>
              <w:bottom w:val="nil"/>
              <w:right w:val="nil"/>
            </w:tcBorders>
            <w:shd w:val="clear" w:color="auto" w:fill="auto"/>
            <w:noWrap/>
            <w:vAlign w:val="center"/>
            <w:hideMark/>
          </w:tcPr>
          <w:p w14:paraId="7AC2315D" w14:textId="77777777" w:rsidR="00D52B78" w:rsidRPr="0038535E" w:rsidRDefault="00D52B78" w:rsidP="0090653C">
            <w:pPr>
              <w:pStyle w:val="ExhibitText"/>
              <w:rPr>
                <w:sz w:val="19"/>
                <w:szCs w:val="19"/>
                <w:lang w:val="en-GB" w:eastAsia="zh-CN"/>
              </w:rPr>
            </w:pPr>
            <w:r w:rsidRPr="0038535E">
              <w:rPr>
                <w:sz w:val="19"/>
                <w:szCs w:val="19"/>
                <w:lang w:val="en-GB" w:eastAsia="zh-CN"/>
              </w:rPr>
              <w:t>April IPO Prospectus</w:t>
            </w:r>
          </w:p>
        </w:tc>
        <w:tc>
          <w:tcPr>
            <w:tcW w:w="301" w:type="dxa"/>
            <w:tcBorders>
              <w:top w:val="nil"/>
              <w:left w:val="nil"/>
              <w:bottom w:val="nil"/>
              <w:right w:val="nil"/>
            </w:tcBorders>
            <w:shd w:val="clear" w:color="auto" w:fill="auto"/>
            <w:noWrap/>
            <w:vAlign w:val="center"/>
            <w:hideMark/>
          </w:tcPr>
          <w:p w14:paraId="06ECC0AA" w14:textId="77777777" w:rsidR="00D52B78" w:rsidRPr="0038535E" w:rsidRDefault="00D52B78" w:rsidP="0090653C">
            <w:pPr>
              <w:pStyle w:val="ExhibitText"/>
              <w:rPr>
                <w:sz w:val="19"/>
                <w:szCs w:val="19"/>
                <w:lang w:val="en-GB" w:eastAsia="zh-CN"/>
              </w:rPr>
            </w:pPr>
          </w:p>
        </w:tc>
        <w:tc>
          <w:tcPr>
            <w:tcW w:w="2340" w:type="dxa"/>
            <w:gridSpan w:val="2"/>
            <w:tcBorders>
              <w:top w:val="nil"/>
              <w:left w:val="nil"/>
              <w:bottom w:val="nil"/>
              <w:right w:val="nil"/>
            </w:tcBorders>
            <w:shd w:val="clear" w:color="auto" w:fill="auto"/>
            <w:noWrap/>
            <w:vAlign w:val="center"/>
            <w:hideMark/>
          </w:tcPr>
          <w:p w14:paraId="43A7E13F" w14:textId="77777777" w:rsidR="00D52B78" w:rsidRPr="0038535E" w:rsidRDefault="00D52B78" w:rsidP="004E327F">
            <w:pPr>
              <w:pStyle w:val="ExhibitText"/>
              <w:rPr>
                <w:sz w:val="19"/>
                <w:szCs w:val="19"/>
                <w:lang w:val="en-GB" w:eastAsia="zh-CN"/>
              </w:rPr>
            </w:pPr>
            <w:r w:rsidRPr="0038535E">
              <w:rPr>
                <w:sz w:val="19"/>
                <w:szCs w:val="19"/>
                <w:lang w:val="en-GB" w:eastAsia="zh-CN"/>
              </w:rPr>
              <w:t>Released</w:t>
            </w:r>
            <w:r w:rsidR="004E327F" w:rsidRPr="0038535E">
              <w:rPr>
                <w:sz w:val="19"/>
                <w:szCs w:val="19"/>
                <w:lang w:val="en-GB" w:eastAsia="zh-CN"/>
              </w:rPr>
              <w:t xml:space="preserve"> in July</w:t>
            </w:r>
          </w:p>
        </w:tc>
      </w:tr>
      <w:tr w:rsidR="00D52B78" w:rsidRPr="0038535E" w14:paraId="5B2DDA64"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2E94EE7A" w14:textId="77777777" w:rsidR="00D52B78" w:rsidRPr="0038535E" w:rsidRDefault="00D52B78" w:rsidP="0090653C">
            <w:pPr>
              <w:pStyle w:val="ExhibitText"/>
              <w:rPr>
                <w:sz w:val="19"/>
                <w:szCs w:val="19"/>
                <w:lang w:val="en-GB" w:eastAsia="zh-CN"/>
              </w:rPr>
            </w:pPr>
          </w:p>
        </w:tc>
        <w:tc>
          <w:tcPr>
            <w:tcW w:w="2359"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228D9D55"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Year ended</w:t>
            </w:r>
          </w:p>
        </w:tc>
        <w:tc>
          <w:tcPr>
            <w:tcW w:w="301" w:type="dxa"/>
            <w:tcBorders>
              <w:top w:val="nil"/>
              <w:left w:val="nil"/>
              <w:bottom w:val="nil"/>
              <w:right w:val="nil"/>
            </w:tcBorders>
            <w:shd w:val="clear" w:color="auto" w:fill="auto"/>
            <w:noWrap/>
            <w:vAlign w:val="center"/>
            <w:hideMark/>
          </w:tcPr>
          <w:p w14:paraId="2DD985A5" w14:textId="77777777" w:rsidR="00D52B78" w:rsidRPr="0038535E" w:rsidRDefault="00D52B78" w:rsidP="0090653C">
            <w:pPr>
              <w:pStyle w:val="ExhibitText"/>
              <w:rPr>
                <w:b/>
                <w:bCs/>
                <w:sz w:val="19"/>
                <w:szCs w:val="19"/>
                <w:lang w:val="en-GB" w:eastAsia="zh-CN"/>
              </w:rPr>
            </w:pPr>
          </w:p>
        </w:tc>
        <w:tc>
          <w:tcPr>
            <w:tcW w:w="2340"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0CE8D486"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Three months ended</w:t>
            </w:r>
          </w:p>
        </w:tc>
      </w:tr>
      <w:tr w:rsidR="00D52B78" w:rsidRPr="0038535E" w14:paraId="0FC4FE56"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092013A3" w14:textId="77777777" w:rsidR="00D52B78" w:rsidRPr="0038535E" w:rsidRDefault="00D52B78" w:rsidP="0090653C">
            <w:pPr>
              <w:pStyle w:val="ExhibitText"/>
              <w:rPr>
                <w:b/>
                <w:bCs/>
                <w:sz w:val="19"/>
                <w:szCs w:val="19"/>
                <w:lang w:val="en-GB" w:eastAsia="zh-CN"/>
              </w:rPr>
            </w:pPr>
          </w:p>
        </w:tc>
        <w:tc>
          <w:tcPr>
            <w:tcW w:w="2359" w:type="dxa"/>
            <w:gridSpan w:val="3"/>
            <w:tcBorders>
              <w:top w:val="nil"/>
              <w:left w:val="single" w:sz="8" w:space="0" w:color="auto"/>
              <w:bottom w:val="nil"/>
              <w:right w:val="single" w:sz="8" w:space="0" w:color="000000"/>
            </w:tcBorders>
            <w:shd w:val="clear" w:color="auto" w:fill="auto"/>
            <w:noWrap/>
            <w:vAlign w:val="center"/>
            <w:hideMark/>
          </w:tcPr>
          <w:p w14:paraId="2E9DF782"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December 31, 2013</w:t>
            </w:r>
          </w:p>
        </w:tc>
        <w:tc>
          <w:tcPr>
            <w:tcW w:w="301" w:type="dxa"/>
            <w:tcBorders>
              <w:top w:val="nil"/>
              <w:left w:val="nil"/>
              <w:bottom w:val="nil"/>
              <w:right w:val="nil"/>
            </w:tcBorders>
            <w:shd w:val="clear" w:color="auto" w:fill="auto"/>
            <w:noWrap/>
            <w:vAlign w:val="center"/>
            <w:hideMark/>
          </w:tcPr>
          <w:p w14:paraId="7D2CFEE7" w14:textId="77777777" w:rsidR="00D52B78" w:rsidRPr="0038535E" w:rsidRDefault="00D52B78" w:rsidP="0090653C">
            <w:pPr>
              <w:pStyle w:val="ExhibitText"/>
              <w:rPr>
                <w:b/>
                <w:bCs/>
                <w:sz w:val="19"/>
                <w:szCs w:val="19"/>
                <w:lang w:val="en-GB" w:eastAsia="zh-CN"/>
              </w:rPr>
            </w:pPr>
          </w:p>
        </w:tc>
        <w:tc>
          <w:tcPr>
            <w:tcW w:w="2340" w:type="dxa"/>
            <w:gridSpan w:val="2"/>
            <w:tcBorders>
              <w:top w:val="nil"/>
              <w:left w:val="single" w:sz="8" w:space="0" w:color="auto"/>
              <w:bottom w:val="nil"/>
              <w:right w:val="single" w:sz="8" w:space="0" w:color="000000"/>
            </w:tcBorders>
            <w:shd w:val="clear" w:color="auto" w:fill="auto"/>
            <w:noWrap/>
            <w:vAlign w:val="center"/>
            <w:hideMark/>
          </w:tcPr>
          <w:p w14:paraId="423BEB77"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March 31, 2014</w:t>
            </w:r>
          </w:p>
        </w:tc>
      </w:tr>
      <w:tr w:rsidR="00D52B78" w:rsidRPr="0038535E" w14:paraId="32E82C13"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135DF55F" w14:textId="77777777" w:rsidR="00D52B78" w:rsidRPr="0038535E" w:rsidRDefault="00D52B78" w:rsidP="0090653C">
            <w:pPr>
              <w:pStyle w:val="ExhibitText"/>
              <w:rPr>
                <w:b/>
                <w:bCs/>
                <w:sz w:val="19"/>
                <w:szCs w:val="19"/>
                <w:lang w:val="en-GB" w:eastAsia="zh-CN"/>
              </w:rPr>
            </w:pPr>
          </w:p>
        </w:tc>
        <w:tc>
          <w:tcPr>
            <w:tcW w:w="248" w:type="dxa"/>
            <w:tcBorders>
              <w:top w:val="single" w:sz="4" w:space="0" w:color="auto"/>
              <w:left w:val="single" w:sz="8" w:space="0" w:color="auto"/>
              <w:bottom w:val="single" w:sz="4" w:space="0" w:color="auto"/>
              <w:right w:val="nil"/>
            </w:tcBorders>
            <w:shd w:val="clear" w:color="auto" w:fill="auto"/>
            <w:noWrap/>
            <w:vAlign w:val="center"/>
          </w:tcPr>
          <w:p w14:paraId="169B05F8" w14:textId="77777777" w:rsidR="00D52B78" w:rsidRPr="0038535E" w:rsidRDefault="00D52B78" w:rsidP="0090653C">
            <w:pPr>
              <w:pStyle w:val="ExhibitText"/>
              <w:rPr>
                <w:b/>
                <w:bCs/>
                <w:sz w:val="19"/>
                <w:szCs w:val="19"/>
                <w:lang w:val="en-GB" w:eastAsia="zh-CN"/>
              </w:rPr>
            </w:pPr>
          </w:p>
        </w:tc>
        <w:tc>
          <w:tcPr>
            <w:tcW w:w="270" w:type="dxa"/>
            <w:tcBorders>
              <w:top w:val="single" w:sz="4" w:space="0" w:color="auto"/>
              <w:left w:val="nil"/>
              <w:bottom w:val="single" w:sz="4" w:space="0" w:color="auto"/>
              <w:right w:val="nil"/>
            </w:tcBorders>
            <w:shd w:val="clear" w:color="auto" w:fill="auto"/>
            <w:noWrap/>
            <w:vAlign w:val="center"/>
          </w:tcPr>
          <w:p w14:paraId="5440C75F" w14:textId="77777777" w:rsidR="00D52B78" w:rsidRPr="0038535E" w:rsidRDefault="00D52B78" w:rsidP="0090653C">
            <w:pPr>
              <w:pStyle w:val="ExhibitText"/>
              <w:rPr>
                <w:b/>
                <w:bCs/>
                <w:sz w:val="19"/>
                <w:szCs w:val="19"/>
                <w:lang w:val="en-GB" w:eastAsia="zh-CN"/>
              </w:rPr>
            </w:pPr>
          </w:p>
        </w:tc>
        <w:tc>
          <w:tcPr>
            <w:tcW w:w="1841" w:type="dxa"/>
            <w:tcBorders>
              <w:top w:val="single" w:sz="4" w:space="0" w:color="auto"/>
              <w:left w:val="nil"/>
              <w:bottom w:val="single" w:sz="4" w:space="0" w:color="auto"/>
              <w:right w:val="single" w:sz="8" w:space="0" w:color="auto"/>
            </w:tcBorders>
            <w:shd w:val="clear" w:color="auto" w:fill="auto"/>
            <w:noWrap/>
            <w:vAlign w:val="center"/>
            <w:hideMark/>
          </w:tcPr>
          <w:p w14:paraId="542D5DE7" w14:textId="77777777" w:rsidR="00D52B78" w:rsidRPr="0038535E" w:rsidRDefault="00D52B78" w:rsidP="0090653C">
            <w:pPr>
              <w:pStyle w:val="ExhibitText"/>
              <w:rPr>
                <w:b/>
                <w:bCs/>
                <w:sz w:val="19"/>
                <w:szCs w:val="19"/>
                <w:lang w:val="en-GB" w:eastAsia="zh-CN"/>
              </w:rPr>
            </w:pPr>
          </w:p>
        </w:tc>
        <w:tc>
          <w:tcPr>
            <w:tcW w:w="301" w:type="dxa"/>
            <w:tcBorders>
              <w:top w:val="nil"/>
              <w:left w:val="nil"/>
              <w:bottom w:val="nil"/>
              <w:right w:val="nil"/>
            </w:tcBorders>
            <w:shd w:val="clear" w:color="auto" w:fill="auto"/>
            <w:noWrap/>
            <w:vAlign w:val="center"/>
            <w:hideMark/>
          </w:tcPr>
          <w:p w14:paraId="6B785150" w14:textId="77777777" w:rsidR="00D52B78" w:rsidRPr="0038535E" w:rsidRDefault="00D52B78" w:rsidP="0090653C">
            <w:pPr>
              <w:pStyle w:val="ExhibitText"/>
              <w:rPr>
                <w:b/>
                <w:bCs/>
                <w:sz w:val="19"/>
                <w:szCs w:val="19"/>
                <w:lang w:val="en-GB" w:eastAsia="zh-CN"/>
              </w:rPr>
            </w:pPr>
          </w:p>
        </w:tc>
        <w:tc>
          <w:tcPr>
            <w:tcW w:w="918" w:type="dxa"/>
            <w:tcBorders>
              <w:top w:val="single" w:sz="4" w:space="0" w:color="auto"/>
              <w:left w:val="single" w:sz="8" w:space="0" w:color="auto"/>
              <w:bottom w:val="single" w:sz="4" w:space="0" w:color="auto"/>
              <w:right w:val="nil"/>
            </w:tcBorders>
            <w:shd w:val="clear" w:color="auto" w:fill="auto"/>
            <w:noWrap/>
            <w:vAlign w:val="center"/>
            <w:hideMark/>
          </w:tcPr>
          <w:p w14:paraId="01D46792" w14:textId="77777777" w:rsidR="00D52B78" w:rsidRPr="0038535E" w:rsidRDefault="00D52B78" w:rsidP="0090653C">
            <w:pPr>
              <w:pStyle w:val="ExhibitText"/>
              <w:rPr>
                <w:b/>
                <w:bCs/>
                <w:sz w:val="19"/>
                <w:szCs w:val="19"/>
                <w:lang w:val="en-GB" w:eastAsia="zh-CN"/>
              </w:rPr>
            </w:pPr>
          </w:p>
        </w:tc>
        <w:tc>
          <w:tcPr>
            <w:tcW w:w="1422" w:type="dxa"/>
            <w:tcBorders>
              <w:top w:val="single" w:sz="4" w:space="0" w:color="auto"/>
              <w:left w:val="nil"/>
              <w:bottom w:val="single" w:sz="4" w:space="0" w:color="auto"/>
              <w:right w:val="single" w:sz="8" w:space="0" w:color="auto"/>
            </w:tcBorders>
            <w:shd w:val="clear" w:color="auto" w:fill="auto"/>
            <w:noWrap/>
            <w:vAlign w:val="center"/>
            <w:hideMark/>
          </w:tcPr>
          <w:p w14:paraId="4C96091B" w14:textId="77777777" w:rsidR="00D52B78" w:rsidRPr="0038535E" w:rsidRDefault="00D52B78" w:rsidP="0090653C">
            <w:pPr>
              <w:pStyle w:val="ExhibitText"/>
              <w:rPr>
                <w:b/>
                <w:bCs/>
                <w:sz w:val="19"/>
                <w:szCs w:val="19"/>
                <w:lang w:val="en-GB" w:eastAsia="zh-CN"/>
              </w:rPr>
            </w:pPr>
          </w:p>
        </w:tc>
      </w:tr>
      <w:tr w:rsidR="00D52B78" w:rsidRPr="0038535E" w14:paraId="23B5A2FC"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0FEFA887" w14:textId="77777777" w:rsidR="00D52B78" w:rsidRPr="0038535E" w:rsidRDefault="008A4EF3" w:rsidP="0090653C">
            <w:pPr>
              <w:pStyle w:val="ExhibitText"/>
              <w:rPr>
                <w:sz w:val="19"/>
                <w:szCs w:val="19"/>
                <w:lang w:val="en-GB" w:eastAsia="zh-CN"/>
              </w:rPr>
            </w:pPr>
            <w:r w:rsidRPr="0038535E">
              <w:rPr>
                <w:sz w:val="19"/>
                <w:szCs w:val="19"/>
                <w:lang w:val="en-GB" w:eastAsia="zh-CN"/>
              </w:rPr>
              <w:t>Turnover</w:t>
            </w:r>
          </w:p>
        </w:tc>
        <w:tc>
          <w:tcPr>
            <w:tcW w:w="248" w:type="dxa"/>
            <w:tcBorders>
              <w:top w:val="nil"/>
              <w:left w:val="single" w:sz="8" w:space="0" w:color="auto"/>
              <w:bottom w:val="nil"/>
              <w:right w:val="nil"/>
            </w:tcBorders>
            <w:shd w:val="clear" w:color="auto" w:fill="auto"/>
            <w:noWrap/>
            <w:vAlign w:val="center"/>
          </w:tcPr>
          <w:p w14:paraId="7820EB6D"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21F4B121"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433C14A2"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21,184</w:t>
            </w:r>
          </w:p>
        </w:tc>
        <w:tc>
          <w:tcPr>
            <w:tcW w:w="301" w:type="dxa"/>
            <w:tcBorders>
              <w:top w:val="nil"/>
              <w:left w:val="nil"/>
              <w:bottom w:val="nil"/>
              <w:right w:val="nil"/>
            </w:tcBorders>
            <w:shd w:val="clear" w:color="auto" w:fill="auto"/>
            <w:noWrap/>
            <w:vAlign w:val="center"/>
            <w:hideMark/>
          </w:tcPr>
          <w:p w14:paraId="72F055ED"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091D6574"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47C9CC76"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5,053</w:t>
            </w:r>
          </w:p>
        </w:tc>
      </w:tr>
      <w:tr w:rsidR="00D52B78" w:rsidRPr="0038535E" w14:paraId="2A75446D"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0A3A6867" w14:textId="77777777" w:rsidR="00D52B78" w:rsidRPr="0038535E" w:rsidRDefault="00D52B78" w:rsidP="0090653C">
            <w:pPr>
              <w:pStyle w:val="ExhibitText"/>
              <w:rPr>
                <w:sz w:val="19"/>
                <w:szCs w:val="19"/>
                <w:lang w:val="en-GB" w:eastAsia="zh-CN"/>
              </w:rPr>
            </w:pPr>
            <w:r w:rsidRPr="0038535E">
              <w:rPr>
                <w:sz w:val="19"/>
                <w:szCs w:val="19"/>
                <w:lang w:val="en-GB" w:eastAsia="zh-CN"/>
              </w:rPr>
              <w:t>Cost of sales</w:t>
            </w:r>
          </w:p>
        </w:tc>
        <w:tc>
          <w:tcPr>
            <w:tcW w:w="248" w:type="dxa"/>
            <w:tcBorders>
              <w:top w:val="nil"/>
              <w:left w:val="single" w:sz="8" w:space="0" w:color="auto"/>
              <w:bottom w:val="single" w:sz="4" w:space="0" w:color="231F20"/>
              <w:right w:val="nil"/>
            </w:tcBorders>
            <w:shd w:val="clear" w:color="auto" w:fill="auto"/>
            <w:noWrap/>
            <w:vAlign w:val="center"/>
          </w:tcPr>
          <w:p w14:paraId="7DC3FC80"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single" w:sz="4" w:space="0" w:color="231F20"/>
              <w:right w:val="nil"/>
            </w:tcBorders>
            <w:shd w:val="clear" w:color="auto" w:fill="auto"/>
            <w:noWrap/>
            <w:vAlign w:val="center"/>
          </w:tcPr>
          <w:p w14:paraId="62BAA678"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single" w:sz="4" w:space="0" w:color="231F20"/>
              <w:right w:val="single" w:sz="8" w:space="0" w:color="auto"/>
            </w:tcBorders>
            <w:shd w:val="clear" w:color="auto" w:fill="auto"/>
            <w:noWrap/>
            <w:vAlign w:val="center"/>
            <w:hideMark/>
          </w:tcPr>
          <w:p w14:paraId="2D91400F"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(18,028)</w:t>
            </w:r>
          </w:p>
        </w:tc>
        <w:tc>
          <w:tcPr>
            <w:tcW w:w="301" w:type="dxa"/>
            <w:tcBorders>
              <w:top w:val="nil"/>
              <w:left w:val="nil"/>
              <w:bottom w:val="nil"/>
              <w:right w:val="nil"/>
            </w:tcBorders>
            <w:shd w:val="clear" w:color="auto" w:fill="auto"/>
            <w:noWrap/>
            <w:vAlign w:val="center"/>
            <w:hideMark/>
          </w:tcPr>
          <w:p w14:paraId="38533998"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single" w:sz="4" w:space="0" w:color="231F20"/>
              <w:right w:val="nil"/>
            </w:tcBorders>
            <w:shd w:val="clear" w:color="auto" w:fill="auto"/>
            <w:noWrap/>
            <w:vAlign w:val="center"/>
          </w:tcPr>
          <w:p w14:paraId="6BD55442"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single" w:sz="4" w:space="0" w:color="231F20"/>
              <w:right w:val="single" w:sz="8" w:space="0" w:color="auto"/>
            </w:tcBorders>
            <w:shd w:val="clear" w:color="auto" w:fill="auto"/>
            <w:noWrap/>
            <w:vAlign w:val="center"/>
            <w:hideMark/>
          </w:tcPr>
          <w:p w14:paraId="720E5239"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(4,281)</w:t>
            </w:r>
          </w:p>
        </w:tc>
      </w:tr>
      <w:tr w:rsidR="00D52B78" w:rsidRPr="0038535E" w14:paraId="5022518B"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6FCEDCD7"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Gross profit</w:t>
            </w:r>
          </w:p>
        </w:tc>
        <w:tc>
          <w:tcPr>
            <w:tcW w:w="248" w:type="dxa"/>
            <w:tcBorders>
              <w:top w:val="nil"/>
              <w:left w:val="single" w:sz="8" w:space="0" w:color="auto"/>
              <w:bottom w:val="nil"/>
              <w:right w:val="nil"/>
            </w:tcBorders>
            <w:shd w:val="clear" w:color="auto" w:fill="auto"/>
            <w:noWrap/>
            <w:vAlign w:val="center"/>
          </w:tcPr>
          <w:p w14:paraId="6DFB1CBD" w14:textId="77777777" w:rsidR="00D52B78" w:rsidRPr="0038535E" w:rsidRDefault="00D52B78" w:rsidP="008A4EF3">
            <w:pPr>
              <w:pStyle w:val="ExhibitText"/>
              <w:jc w:val="right"/>
              <w:rPr>
                <w:b/>
                <w:bCs/>
                <w:sz w:val="19"/>
                <w:szCs w:val="19"/>
                <w:lang w:val="en-GB" w:eastAsia="zh-CN"/>
              </w:rPr>
            </w:pPr>
          </w:p>
        </w:tc>
        <w:tc>
          <w:tcPr>
            <w:tcW w:w="270" w:type="dxa"/>
            <w:tcBorders>
              <w:top w:val="nil"/>
              <w:left w:val="nil"/>
              <w:bottom w:val="nil"/>
              <w:right w:val="nil"/>
            </w:tcBorders>
            <w:shd w:val="clear" w:color="auto" w:fill="auto"/>
            <w:noWrap/>
            <w:vAlign w:val="center"/>
          </w:tcPr>
          <w:p w14:paraId="558A6995" w14:textId="77777777" w:rsidR="00D52B78" w:rsidRPr="0038535E" w:rsidRDefault="00D52B78" w:rsidP="008A4EF3">
            <w:pPr>
              <w:pStyle w:val="ExhibitText"/>
              <w:jc w:val="right"/>
              <w:rPr>
                <w:b/>
                <w:bCs/>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3A015AC3" w14:textId="77777777" w:rsidR="00D52B78" w:rsidRPr="0038535E" w:rsidRDefault="00D52B78" w:rsidP="008A4EF3">
            <w:pPr>
              <w:pStyle w:val="ExhibitText"/>
              <w:jc w:val="right"/>
              <w:rPr>
                <w:b/>
                <w:bCs/>
                <w:sz w:val="19"/>
                <w:szCs w:val="19"/>
                <w:lang w:val="en-GB" w:eastAsia="zh-CN"/>
              </w:rPr>
            </w:pPr>
            <w:r w:rsidRPr="0038535E">
              <w:rPr>
                <w:b/>
                <w:bCs/>
                <w:sz w:val="19"/>
                <w:szCs w:val="19"/>
                <w:lang w:val="en-GB" w:eastAsia="zh-CN"/>
              </w:rPr>
              <w:t>3,156</w:t>
            </w:r>
          </w:p>
        </w:tc>
        <w:tc>
          <w:tcPr>
            <w:tcW w:w="301" w:type="dxa"/>
            <w:tcBorders>
              <w:top w:val="nil"/>
              <w:left w:val="nil"/>
              <w:bottom w:val="nil"/>
              <w:right w:val="nil"/>
            </w:tcBorders>
            <w:shd w:val="clear" w:color="auto" w:fill="auto"/>
            <w:noWrap/>
            <w:vAlign w:val="center"/>
            <w:hideMark/>
          </w:tcPr>
          <w:p w14:paraId="6103B850" w14:textId="77777777" w:rsidR="00D52B78" w:rsidRPr="0038535E" w:rsidRDefault="00D52B78" w:rsidP="008A4EF3">
            <w:pPr>
              <w:pStyle w:val="ExhibitText"/>
              <w:jc w:val="right"/>
              <w:rPr>
                <w:b/>
                <w:bCs/>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66C2CE38" w14:textId="77777777" w:rsidR="00D52B78" w:rsidRPr="0038535E" w:rsidRDefault="00D52B78" w:rsidP="008A4EF3">
            <w:pPr>
              <w:pStyle w:val="ExhibitText"/>
              <w:jc w:val="right"/>
              <w:rPr>
                <w:b/>
                <w:bCs/>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5A6E2F88" w14:textId="77777777" w:rsidR="00D52B78" w:rsidRPr="0038535E" w:rsidRDefault="00D52B78" w:rsidP="008A4EF3">
            <w:pPr>
              <w:pStyle w:val="ExhibitText"/>
              <w:jc w:val="right"/>
              <w:rPr>
                <w:b/>
                <w:bCs/>
                <w:sz w:val="19"/>
                <w:szCs w:val="19"/>
                <w:lang w:val="en-GB" w:eastAsia="zh-CN"/>
              </w:rPr>
            </w:pPr>
            <w:r w:rsidRPr="0038535E">
              <w:rPr>
                <w:b/>
                <w:bCs/>
                <w:sz w:val="19"/>
                <w:szCs w:val="19"/>
                <w:lang w:val="en-GB" w:eastAsia="zh-CN"/>
              </w:rPr>
              <w:t>772</w:t>
            </w:r>
          </w:p>
        </w:tc>
      </w:tr>
      <w:tr w:rsidR="00D52B78" w:rsidRPr="0038535E" w14:paraId="4A81A126"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4F9F12DE" w14:textId="77777777" w:rsidR="00D52B78" w:rsidRPr="0038535E" w:rsidRDefault="00D52B78" w:rsidP="0090653C">
            <w:pPr>
              <w:pStyle w:val="ExhibitText"/>
              <w:rPr>
                <w:sz w:val="19"/>
                <w:szCs w:val="19"/>
                <w:lang w:val="en-GB" w:eastAsia="zh-CN"/>
              </w:rPr>
            </w:pPr>
            <w:r w:rsidRPr="0038535E">
              <w:rPr>
                <w:sz w:val="19"/>
                <w:szCs w:val="19"/>
                <w:lang w:val="en-GB" w:eastAsia="zh-CN"/>
              </w:rPr>
              <w:t>Distribution and selling expenses</w:t>
            </w:r>
          </w:p>
        </w:tc>
        <w:tc>
          <w:tcPr>
            <w:tcW w:w="248" w:type="dxa"/>
            <w:tcBorders>
              <w:top w:val="nil"/>
              <w:left w:val="single" w:sz="8" w:space="0" w:color="auto"/>
              <w:bottom w:val="nil"/>
              <w:right w:val="nil"/>
            </w:tcBorders>
            <w:shd w:val="clear" w:color="auto" w:fill="auto"/>
            <w:noWrap/>
            <w:vAlign w:val="center"/>
          </w:tcPr>
          <w:p w14:paraId="24A3B288"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3704C3C1"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4CD68D5E"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(1,336)</w:t>
            </w:r>
          </w:p>
        </w:tc>
        <w:tc>
          <w:tcPr>
            <w:tcW w:w="301" w:type="dxa"/>
            <w:tcBorders>
              <w:top w:val="nil"/>
              <w:left w:val="nil"/>
              <w:bottom w:val="nil"/>
              <w:right w:val="nil"/>
            </w:tcBorders>
            <w:shd w:val="clear" w:color="auto" w:fill="auto"/>
            <w:noWrap/>
            <w:vAlign w:val="center"/>
            <w:hideMark/>
          </w:tcPr>
          <w:p w14:paraId="5DFA2936"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610BE331"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2017C231"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(360)</w:t>
            </w:r>
          </w:p>
        </w:tc>
      </w:tr>
      <w:tr w:rsidR="00D52B78" w:rsidRPr="0038535E" w14:paraId="6AECBB12"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6A10165A" w14:textId="77777777" w:rsidR="00D52B78" w:rsidRPr="0038535E" w:rsidRDefault="00D52B78" w:rsidP="0090653C">
            <w:pPr>
              <w:pStyle w:val="ExhibitText"/>
              <w:rPr>
                <w:sz w:val="19"/>
                <w:szCs w:val="19"/>
                <w:lang w:val="en-GB" w:eastAsia="zh-CN"/>
              </w:rPr>
            </w:pPr>
            <w:r w:rsidRPr="0038535E">
              <w:rPr>
                <w:sz w:val="19"/>
                <w:szCs w:val="19"/>
                <w:lang w:val="en-GB" w:eastAsia="zh-CN"/>
              </w:rPr>
              <w:t>Administrative expenses</w:t>
            </w:r>
          </w:p>
        </w:tc>
        <w:tc>
          <w:tcPr>
            <w:tcW w:w="248" w:type="dxa"/>
            <w:tcBorders>
              <w:top w:val="nil"/>
              <w:left w:val="single" w:sz="8" w:space="0" w:color="auto"/>
              <w:bottom w:val="nil"/>
              <w:right w:val="nil"/>
            </w:tcBorders>
            <w:shd w:val="clear" w:color="auto" w:fill="auto"/>
            <w:noWrap/>
            <w:vAlign w:val="center"/>
          </w:tcPr>
          <w:p w14:paraId="06367BF3"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733DD96A"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26CAA3EE"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(705)</w:t>
            </w:r>
          </w:p>
        </w:tc>
        <w:tc>
          <w:tcPr>
            <w:tcW w:w="301" w:type="dxa"/>
            <w:tcBorders>
              <w:top w:val="nil"/>
              <w:left w:val="nil"/>
              <w:bottom w:val="nil"/>
              <w:right w:val="nil"/>
            </w:tcBorders>
            <w:shd w:val="clear" w:color="auto" w:fill="auto"/>
            <w:noWrap/>
            <w:vAlign w:val="center"/>
            <w:hideMark/>
          </w:tcPr>
          <w:p w14:paraId="46FFB502"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5ACFD582"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723EB683"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(181)</w:t>
            </w:r>
          </w:p>
        </w:tc>
      </w:tr>
      <w:tr w:rsidR="00D52B78" w:rsidRPr="0038535E" w14:paraId="3ACF8CB9"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16D18891" w14:textId="77777777" w:rsidR="00D52B78" w:rsidRPr="0038535E" w:rsidRDefault="00D52B78" w:rsidP="0090653C">
            <w:pPr>
              <w:pStyle w:val="ExhibitText"/>
              <w:rPr>
                <w:sz w:val="19"/>
                <w:szCs w:val="19"/>
                <w:lang w:val="en-GB" w:eastAsia="zh-CN"/>
              </w:rPr>
            </w:pPr>
            <w:r w:rsidRPr="0038535E">
              <w:rPr>
                <w:sz w:val="19"/>
                <w:szCs w:val="19"/>
                <w:lang w:val="en-GB" w:eastAsia="zh-CN"/>
              </w:rPr>
              <w:t>Gain arising from agricultural produce at fair value</w:t>
            </w:r>
          </w:p>
        </w:tc>
        <w:tc>
          <w:tcPr>
            <w:tcW w:w="248" w:type="dxa"/>
            <w:tcBorders>
              <w:top w:val="nil"/>
              <w:left w:val="single" w:sz="8" w:space="0" w:color="auto"/>
              <w:bottom w:val="nil"/>
              <w:right w:val="nil"/>
            </w:tcBorders>
            <w:shd w:val="clear" w:color="auto" w:fill="auto"/>
            <w:noWrap/>
            <w:vAlign w:val="center"/>
          </w:tcPr>
          <w:p w14:paraId="7F70F338"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2B2FB5AA"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6058FA38" w14:textId="77777777" w:rsidR="00D52B78" w:rsidRPr="0038535E" w:rsidRDefault="00D52B78" w:rsidP="008A4EF3">
            <w:pPr>
              <w:pStyle w:val="ExhibitText"/>
              <w:jc w:val="right"/>
              <w:rPr>
                <w:sz w:val="19"/>
                <w:szCs w:val="19"/>
                <w:lang w:val="en-GB" w:eastAsia="zh-CN"/>
              </w:rPr>
            </w:pPr>
          </w:p>
        </w:tc>
        <w:tc>
          <w:tcPr>
            <w:tcW w:w="301" w:type="dxa"/>
            <w:tcBorders>
              <w:top w:val="nil"/>
              <w:left w:val="nil"/>
              <w:bottom w:val="nil"/>
              <w:right w:val="nil"/>
            </w:tcBorders>
            <w:shd w:val="clear" w:color="auto" w:fill="auto"/>
            <w:noWrap/>
            <w:vAlign w:val="center"/>
            <w:hideMark/>
          </w:tcPr>
          <w:p w14:paraId="508430C7"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7A50147C"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6D2EE336" w14:textId="77777777" w:rsidR="00D52B78" w:rsidRPr="0038535E" w:rsidRDefault="00D52B78" w:rsidP="008A4EF3">
            <w:pPr>
              <w:pStyle w:val="ExhibitText"/>
              <w:jc w:val="right"/>
              <w:rPr>
                <w:sz w:val="19"/>
                <w:szCs w:val="19"/>
                <w:lang w:val="en-GB" w:eastAsia="zh-CN"/>
              </w:rPr>
            </w:pPr>
          </w:p>
        </w:tc>
      </w:tr>
      <w:tr w:rsidR="00D52B78" w:rsidRPr="0038535E" w14:paraId="40FD5127"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475663A8" w14:textId="77777777" w:rsidR="00D52B78" w:rsidRPr="0038535E" w:rsidRDefault="00D52B78" w:rsidP="0090653C">
            <w:pPr>
              <w:pStyle w:val="ExhibitText"/>
              <w:rPr>
                <w:sz w:val="19"/>
                <w:szCs w:val="19"/>
                <w:lang w:val="en-GB" w:eastAsia="zh-CN"/>
              </w:rPr>
            </w:pPr>
            <w:r w:rsidRPr="0038535E">
              <w:rPr>
                <w:sz w:val="19"/>
                <w:szCs w:val="19"/>
                <w:lang w:val="en-GB" w:eastAsia="zh-CN"/>
              </w:rPr>
              <w:t>less cost to sell at the point of harvest</w:t>
            </w:r>
          </w:p>
        </w:tc>
        <w:tc>
          <w:tcPr>
            <w:tcW w:w="248" w:type="dxa"/>
            <w:tcBorders>
              <w:top w:val="nil"/>
              <w:left w:val="single" w:sz="8" w:space="0" w:color="auto"/>
              <w:bottom w:val="nil"/>
              <w:right w:val="nil"/>
            </w:tcBorders>
            <w:shd w:val="clear" w:color="auto" w:fill="auto"/>
            <w:noWrap/>
            <w:vAlign w:val="center"/>
          </w:tcPr>
          <w:p w14:paraId="583A04B0"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44D2B9EA"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63332803"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124</w:t>
            </w:r>
          </w:p>
        </w:tc>
        <w:tc>
          <w:tcPr>
            <w:tcW w:w="301" w:type="dxa"/>
            <w:tcBorders>
              <w:top w:val="nil"/>
              <w:left w:val="nil"/>
              <w:bottom w:val="nil"/>
              <w:right w:val="nil"/>
            </w:tcBorders>
            <w:shd w:val="clear" w:color="auto" w:fill="auto"/>
            <w:noWrap/>
            <w:vAlign w:val="center"/>
            <w:hideMark/>
          </w:tcPr>
          <w:p w14:paraId="3C92EB68"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6B5DD955"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0A6788F2"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111</w:t>
            </w:r>
          </w:p>
        </w:tc>
      </w:tr>
      <w:tr w:rsidR="00D52B78" w:rsidRPr="0038535E" w14:paraId="46B194BA"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511F2992" w14:textId="77777777" w:rsidR="00D52B78" w:rsidRPr="0038535E" w:rsidRDefault="00D52B78" w:rsidP="0090653C">
            <w:pPr>
              <w:pStyle w:val="ExhibitText"/>
              <w:rPr>
                <w:sz w:val="19"/>
                <w:szCs w:val="19"/>
                <w:lang w:val="en-GB" w:eastAsia="zh-CN"/>
              </w:rPr>
            </w:pPr>
            <w:r w:rsidRPr="0038535E">
              <w:rPr>
                <w:sz w:val="19"/>
                <w:szCs w:val="19"/>
                <w:lang w:val="en-GB" w:eastAsia="zh-CN"/>
              </w:rPr>
              <w:t>Gain arising from changes in fair value</w:t>
            </w:r>
          </w:p>
        </w:tc>
        <w:tc>
          <w:tcPr>
            <w:tcW w:w="248" w:type="dxa"/>
            <w:tcBorders>
              <w:top w:val="nil"/>
              <w:left w:val="single" w:sz="8" w:space="0" w:color="auto"/>
              <w:bottom w:val="nil"/>
              <w:right w:val="nil"/>
            </w:tcBorders>
            <w:shd w:val="clear" w:color="auto" w:fill="auto"/>
            <w:noWrap/>
            <w:vAlign w:val="center"/>
          </w:tcPr>
          <w:p w14:paraId="338AAF2A"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6A6EB206"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33B0933B" w14:textId="77777777" w:rsidR="00D52B78" w:rsidRPr="0038535E" w:rsidRDefault="00D52B78" w:rsidP="008A4EF3">
            <w:pPr>
              <w:pStyle w:val="ExhibitText"/>
              <w:jc w:val="right"/>
              <w:rPr>
                <w:sz w:val="19"/>
                <w:szCs w:val="19"/>
                <w:lang w:val="en-GB" w:eastAsia="zh-CN"/>
              </w:rPr>
            </w:pPr>
          </w:p>
        </w:tc>
        <w:tc>
          <w:tcPr>
            <w:tcW w:w="301" w:type="dxa"/>
            <w:tcBorders>
              <w:top w:val="nil"/>
              <w:left w:val="nil"/>
              <w:bottom w:val="nil"/>
              <w:right w:val="nil"/>
            </w:tcBorders>
            <w:shd w:val="clear" w:color="auto" w:fill="auto"/>
            <w:noWrap/>
            <w:vAlign w:val="center"/>
            <w:hideMark/>
          </w:tcPr>
          <w:p w14:paraId="180D0C5D"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479FFBAA"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5F868538" w14:textId="77777777" w:rsidR="00D52B78" w:rsidRPr="0038535E" w:rsidRDefault="00D52B78" w:rsidP="008A4EF3">
            <w:pPr>
              <w:pStyle w:val="ExhibitText"/>
              <w:jc w:val="right"/>
              <w:rPr>
                <w:sz w:val="19"/>
                <w:szCs w:val="19"/>
                <w:lang w:val="en-GB" w:eastAsia="zh-CN"/>
              </w:rPr>
            </w:pPr>
          </w:p>
        </w:tc>
      </w:tr>
      <w:tr w:rsidR="00D52B78" w:rsidRPr="0038535E" w14:paraId="37B6E606"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25A3862E" w14:textId="29E9EE8D" w:rsidR="00D52B78" w:rsidRPr="0038535E" w:rsidRDefault="00D52B78" w:rsidP="0090653C">
            <w:pPr>
              <w:pStyle w:val="ExhibitText"/>
              <w:rPr>
                <w:sz w:val="19"/>
                <w:szCs w:val="19"/>
                <w:lang w:val="en-GB" w:eastAsia="zh-CN"/>
              </w:rPr>
            </w:pPr>
            <w:r w:rsidRPr="0038535E">
              <w:rPr>
                <w:sz w:val="19"/>
                <w:szCs w:val="19"/>
                <w:lang w:val="en-GB" w:eastAsia="zh-CN"/>
              </w:rPr>
              <w:t>less cost to sell biological assets</w:t>
            </w:r>
          </w:p>
        </w:tc>
        <w:tc>
          <w:tcPr>
            <w:tcW w:w="248" w:type="dxa"/>
            <w:tcBorders>
              <w:top w:val="nil"/>
              <w:left w:val="single" w:sz="8" w:space="0" w:color="auto"/>
              <w:bottom w:val="nil"/>
              <w:right w:val="nil"/>
            </w:tcBorders>
            <w:shd w:val="clear" w:color="auto" w:fill="auto"/>
            <w:noWrap/>
            <w:vAlign w:val="center"/>
          </w:tcPr>
          <w:p w14:paraId="0D5F47B0"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1B4DEE86"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17C45E61"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76</w:t>
            </w:r>
          </w:p>
        </w:tc>
        <w:tc>
          <w:tcPr>
            <w:tcW w:w="301" w:type="dxa"/>
            <w:tcBorders>
              <w:top w:val="nil"/>
              <w:left w:val="nil"/>
              <w:bottom w:val="nil"/>
              <w:right w:val="nil"/>
            </w:tcBorders>
            <w:shd w:val="clear" w:color="auto" w:fill="auto"/>
            <w:noWrap/>
            <w:vAlign w:val="center"/>
            <w:hideMark/>
          </w:tcPr>
          <w:p w14:paraId="63655E97"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42EABF44"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42B86992"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305</w:t>
            </w:r>
          </w:p>
        </w:tc>
      </w:tr>
      <w:tr w:rsidR="00D52B78" w:rsidRPr="0038535E" w14:paraId="75ECE7A9"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7EA341CD" w14:textId="77777777" w:rsidR="00D52B78" w:rsidRPr="0038535E" w:rsidRDefault="00D52B78" w:rsidP="0090653C">
            <w:pPr>
              <w:pStyle w:val="ExhibitText"/>
              <w:rPr>
                <w:sz w:val="19"/>
                <w:szCs w:val="19"/>
                <w:lang w:val="en-GB" w:eastAsia="zh-CN"/>
              </w:rPr>
            </w:pPr>
            <w:r w:rsidRPr="0038535E">
              <w:rPr>
                <w:sz w:val="19"/>
                <w:szCs w:val="19"/>
                <w:lang w:val="en-GB" w:eastAsia="zh-CN"/>
              </w:rPr>
              <w:t>Other income</w:t>
            </w:r>
          </w:p>
        </w:tc>
        <w:tc>
          <w:tcPr>
            <w:tcW w:w="248" w:type="dxa"/>
            <w:tcBorders>
              <w:top w:val="nil"/>
              <w:left w:val="single" w:sz="8" w:space="0" w:color="auto"/>
              <w:bottom w:val="nil"/>
              <w:right w:val="nil"/>
            </w:tcBorders>
            <w:shd w:val="clear" w:color="auto" w:fill="auto"/>
            <w:noWrap/>
            <w:vAlign w:val="center"/>
          </w:tcPr>
          <w:p w14:paraId="58205C91"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6C8C13B2"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54DC7884"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8</w:t>
            </w:r>
          </w:p>
        </w:tc>
        <w:tc>
          <w:tcPr>
            <w:tcW w:w="301" w:type="dxa"/>
            <w:tcBorders>
              <w:top w:val="nil"/>
              <w:left w:val="nil"/>
              <w:bottom w:val="nil"/>
              <w:right w:val="nil"/>
            </w:tcBorders>
            <w:shd w:val="clear" w:color="auto" w:fill="auto"/>
            <w:noWrap/>
            <w:vAlign w:val="center"/>
            <w:hideMark/>
          </w:tcPr>
          <w:p w14:paraId="29084CAD"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3E7251D4"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42BA08B5"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24</w:t>
            </w:r>
          </w:p>
        </w:tc>
      </w:tr>
      <w:tr w:rsidR="00D52B78" w:rsidRPr="0038535E" w14:paraId="667CDD50"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1C802B6B" w14:textId="77777777" w:rsidR="00D52B78" w:rsidRPr="0038535E" w:rsidRDefault="008A4EF3" w:rsidP="0090653C">
            <w:pPr>
              <w:pStyle w:val="ExhibitText"/>
              <w:rPr>
                <w:sz w:val="19"/>
                <w:szCs w:val="19"/>
                <w:lang w:val="en-GB" w:eastAsia="zh-CN"/>
              </w:rPr>
            </w:pPr>
            <w:r w:rsidRPr="0038535E">
              <w:rPr>
                <w:sz w:val="19"/>
                <w:szCs w:val="19"/>
                <w:lang w:val="en-GB" w:eastAsia="zh-CN"/>
              </w:rPr>
              <w:t>Other gains and losses</w:t>
            </w:r>
          </w:p>
        </w:tc>
        <w:tc>
          <w:tcPr>
            <w:tcW w:w="248" w:type="dxa"/>
            <w:tcBorders>
              <w:top w:val="nil"/>
              <w:left w:val="single" w:sz="8" w:space="0" w:color="auto"/>
              <w:bottom w:val="nil"/>
              <w:right w:val="nil"/>
            </w:tcBorders>
            <w:shd w:val="clear" w:color="auto" w:fill="auto"/>
            <w:noWrap/>
            <w:vAlign w:val="center"/>
          </w:tcPr>
          <w:p w14:paraId="7C0E666F"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4F7CA3DD"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7BA732B8"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19</w:t>
            </w:r>
          </w:p>
        </w:tc>
        <w:tc>
          <w:tcPr>
            <w:tcW w:w="301" w:type="dxa"/>
            <w:tcBorders>
              <w:top w:val="nil"/>
              <w:left w:val="nil"/>
              <w:bottom w:val="nil"/>
              <w:right w:val="nil"/>
            </w:tcBorders>
            <w:shd w:val="clear" w:color="auto" w:fill="auto"/>
            <w:noWrap/>
            <w:vAlign w:val="center"/>
            <w:hideMark/>
          </w:tcPr>
          <w:p w14:paraId="5851AA17"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4FF707E6"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52F6F0B3"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6</w:t>
            </w:r>
          </w:p>
        </w:tc>
      </w:tr>
      <w:tr w:rsidR="00D52B78" w:rsidRPr="0038535E" w14:paraId="7A485ED3"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5F43418B" w14:textId="77777777" w:rsidR="00D52B78" w:rsidRPr="0038535E" w:rsidRDefault="00D52B78" w:rsidP="0090653C">
            <w:pPr>
              <w:pStyle w:val="ExhibitText"/>
              <w:rPr>
                <w:sz w:val="19"/>
                <w:szCs w:val="19"/>
                <w:lang w:val="en-GB" w:eastAsia="zh-CN"/>
              </w:rPr>
            </w:pPr>
            <w:r w:rsidRPr="0038535E">
              <w:rPr>
                <w:sz w:val="19"/>
                <w:szCs w:val="19"/>
                <w:lang w:val="en-GB" w:eastAsia="zh-CN"/>
              </w:rPr>
              <w:t>Other expenses</w:t>
            </w:r>
          </w:p>
        </w:tc>
        <w:tc>
          <w:tcPr>
            <w:tcW w:w="248" w:type="dxa"/>
            <w:tcBorders>
              <w:top w:val="nil"/>
              <w:left w:val="single" w:sz="8" w:space="0" w:color="auto"/>
              <w:bottom w:val="nil"/>
              <w:right w:val="nil"/>
            </w:tcBorders>
            <w:shd w:val="clear" w:color="auto" w:fill="auto"/>
            <w:noWrap/>
            <w:vAlign w:val="center"/>
          </w:tcPr>
          <w:p w14:paraId="32365886"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69EEDD27"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0BA6FE28" w14:textId="77777777" w:rsidR="00D52B78" w:rsidRPr="0038535E" w:rsidRDefault="00D52B78" w:rsidP="008A4EF3">
            <w:pPr>
              <w:pStyle w:val="ExhibitText"/>
              <w:jc w:val="right"/>
              <w:rPr>
                <w:sz w:val="19"/>
                <w:szCs w:val="19"/>
                <w:lang w:val="en-GB" w:eastAsia="zh-CN"/>
              </w:rPr>
            </w:pPr>
          </w:p>
        </w:tc>
        <w:tc>
          <w:tcPr>
            <w:tcW w:w="301" w:type="dxa"/>
            <w:tcBorders>
              <w:top w:val="nil"/>
              <w:left w:val="nil"/>
              <w:bottom w:val="nil"/>
              <w:right w:val="nil"/>
            </w:tcBorders>
            <w:shd w:val="clear" w:color="auto" w:fill="auto"/>
            <w:noWrap/>
            <w:vAlign w:val="center"/>
            <w:hideMark/>
          </w:tcPr>
          <w:p w14:paraId="207107F8"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2B4B7ADB"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09B4DB29"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(19)</w:t>
            </w:r>
          </w:p>
        </w:tc>
      </w:tr>
      <w:tr w:rsidR="00D52B78" w:rsidRPr="0038535E" w14:paraId="07C0EA6D"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456AC7ED" w14:textId="77777777" w:rsidR="00D52B78" w:rsidRPr="0038535E" w:rsidRDefault="00D52B78" w:rsidP="0090653C">
            <w:pPr>
              <w:pStyle w:val="ExhibitText"/>
              <w:rPr>
                <w:sz w:val="19"/>
                <w:szCs w:val="19"/>
                <w:lang w:val="en-GB" w:eastAsia="zh-CN"/>
              </w:rPr>
            </w:pPr>
            <w:r w:rsidRPr="0038535E">
              <w:rPr>
                <w:sz w:val="19"/>
                <w:szCs w:val="19"/>
                <w:lang w:val="en-GB" w:eastAsia="zh-CN"/>
              </w:rPr>
              <w:t>Finance costs</w:t>
            </w:r>
          </w:p>
        </w:tc>
        <w:tc>
          <w:tcPr>
            <w:tcW w:w="248" w:type="dxa"/>
            <w:tcBorders>
              <w:top w:val="nil"/>
              <w:left w:val="single" w:sz="8" w:space="0" w:color="auto"/>
              <w:bottom w:val="nil"/>
              <w:right w:val="nil"/>
            </w:tcBorders>
            <w:shd w:val="clear" w:color="auto" w:fill="auto"/>
            <w:noWrap/>
            <w:vAlign w:val="center"/>
          </w:tcPr>
          <w:p w14:paraId="2C84B1EE"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79AAC156"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26C80431"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(376)</w:t>
            </w:r>
          </w:p>
        </w:tc>
        <w:tc>
          <w:tcPr>
            <w:tcW w:w="301" w:type="dxa"/>
            <w:tcBorders>
              <w:top w:val="nil"/>
              <w:left w:val="nil"/>
              <w:bottom w:val="nil"/>
              <w:right w:val="nil"/>
            </w:tcBorders>
            <w:shd w:val="clear" w:color="auto" w:fill="auto"/>
            <w:noWrap/>
            <w:vAlign w:val="center"/>
            <w:hideMark/>
          </w:tcPr>
          <w:p w14:paraId="6255A0B1"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0A029ECA"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219261DC"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(92)</w:t>
            </w:r>
          </w:p>
        </w:tc>
      </w:tr>
      <w:tr w:rsidR="00D52B78" w:rsidRPr="0038535E" w14:paraId="49B5391D"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0EEDFF3D" w14:textId="77777777" w:rsidR="00D52B78" w:rsidRPr="0038535E" w:rsidRDefault="00D52B78" w:rsidP="0090653C">
            <w:pPr>
              <w:pStyle w:val="ExhibitText"/>
              <w:rPr>
                <w:sz w:val="19"/>
                <w:szCs w:val="19"/>
                <w:lang w:val="en-GB" w:eastAsia="zh-CN"/>
              </w:rPr>
            </w:pPr>
            <w:r w:rsidRPr="0038535E">
              <w:rPr>
                <w:sz w:val="19"/>
                <w:szCs w:val="19"/>
                <w:lang w:val="en-GB" w:eastAsia="zh-CN"/>
              </w:rPr>
              <w:t>Share of profits of associates</w:t>
            </w:r>
          </w:p>
        </w:tc>
        <w:tc>
          <w:tcPr>
            <w:tcW w:w="248" w:type="dxa"/>
            <w:tcBorders>
              <w:top w:val="nil"/>
              <w:left w:val="single" w:sz="8" w:space="0" w:color="auto"/>
              <w:bottom w:val="nil"/>
              <w:right w:val="nil"/>
            </w:tcBorders>
            <w:shd w:val="clear" w:color="auto" w:fill="auto"/>
            <w:noWrap/>
            <w:vAlign w:val="center"/>
          </w:tcPr>
          <w:p w14:paraId="5B657E02"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5F9FEB11"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1509CAF0"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8</w:t>
            </w:r>
          </w:p>
        </w:tc>
        <w:tc>
          <w:tcPr>
            <w:tcW w:w="301" w:type="dxa"/>
            <w:tcBorders>
              <w:top w:val="nil"/>
              <w:left w:val="nil"/>
              <w:bottom w:val="nil"/>
              <w:right w:val="nil"/>
            </w:tcBorders>
            <w:shd w:val="clear" w:color="auto" w:fill="auto"/>
            <w:noWrap/>
            <w:vAlign w:val="center"/>
            <w:hideMark/>
          </w:tcPr>
          <w:p w14:paraId="33BB11E9"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2AAADE61"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7821F4B2"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4</w:t>
            </w:r>
          </w:p>
        </w:tc>
      </w:tr>
      <w:tr w:rsidR="00D52B78" w:rsidRPr="0038535E" w14:paraId="1DDC05BD"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485CEF77" w14:textId="77777777" w:rsidR="00D52B78" w:rsidRPr="0038535E" w:rsidRDefault="00D52B78" w:rsidP="0090653C">
            <w:pPr>
              <w:pStyle w:val="ExhibitText"/>
              <w:rPr>
                <w:sz w:val="19"/>
                <w:szCs w:val="19"/>
                <w:lang w:val="en-GB" w:eastAsia="zh-CN"/>
              </w:rPr>
            </w:pPr>
            <w:r w:rsidRPr="0038535E">
              <w:rPr>
                <w:sz w:val="19"/>
                <w:szCs w:val="19"/>
                <w:lang w:val="en-GB" w:eastAsia="zh-CN"/>
              </w:rPr>
              <w:t>Share of (losses) profits of joint</w:t>
            </w:r>
          </w:p>
        </w:tc>
        <w:tc>
          <w:tcPr>
            <w:tcW w:w="248" w:type="dxa"/>
            <w:tcBorders>
              <w:top w:val="nil"/>
              <w:left w:val="single" w:sz="8" w:space="0" w:color="auto"/>
              <w:bottom w:val="nil"/>
              <w:right w:val="nil"/>
            </w:tcBorders>
            <w:shd w:val="clear" w:color="auto" w:fill="auto"/>
            <w:noWrap/>
            <w:vAlign w:val="center"/>
          </w:tcPr>
          <w:p w14:paraId="305B9195"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nil"/>
              <w:right w:val="nil"/>
            </w:tcBorders>
            <w:shd w:val="clear" w:color="auto" w:fill="auto"/>
            <w:noWrap/>
            <w:vAlign w:val="center"/>
          </w:tcPr>
          <w:p w14:paraId="43ECC371"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6D12965F" w14:textId="77777777" w:rsidR="00D52B78" w:rsidRPr="0038535E" w:rsidRDefault="00D52B78" w:rsidP="008A4EF3">
            <w:pPr>
              <w:pStyle w:val="ExhibitText"/>
              <w:jc w:val="right"/>
              <w:rPr>
                <w:sz w:val="19"/>
                <w:szCs w:val="19"/>
                <w:lang w:val="en-GB" w:eastAsia="zh-CN"/>
              </w:rPr>
            </w:pPr>
          </w:p>
        </w:tc>
        <w:tc>
          <w:tcPr>
            <w:tcW w:w="301" w:type="dxa"/>
            <w:tcBorders>
              <w:top w:val="nil"/>
              <w:left w:val="nil"/>
              <w:bottom w:val="nil"/>
              <w:right w:val="nil"/>
            </w:tcBorders>
            <w:shd w:val="clear" w:color="auto" w:fill="auto"/>
            <w:noWrap/>
            <w:vAlign w:val="center"/>
            <w:hideMark/>
          </w:tcPr>
          <w:p w14:paraId="7D1FAFEC"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43ACE2DA"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5A87913F" w14:textId="77777777" w:rsidR="00D52B78" w:rsidRPr="0038535E" w:rsidRDefault="00D52B78" w:rsidP="008A4EF3">
            <w:pPr>
              <w:pStyle w:val="ExhibitText"/>
              <w:jc w:val="right"/>
              <w:rPr>
                <w:sz w:val="19"/>
                <w:szCs w:val="19"/>
                <w:lang w:val="en-GB" w:eastAsia="zh-CN"/>
              </w:rPr>
            </w:pPr>
          </w:p>
        </w:tc>
      </w:tr>
      <w:tr w:rsidR="00D52B78" w:rsidRPr="0038535E" w14:paraId="3FEC5C98"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1CD4F410" w14:textId="0E7162E7" w:rsidR="00D52B78" w:rsidRPr="0038535E" w:rsidRDefault="00F769C4" w:rsidP="0090653C">
            <w:pPr>
              <w:pStyle w:val="ExhibitText"/>
              <w:rPr>
                <w:sz w:val="19"/>
                <w:szCs w:val="19"/>
                <w:lang w:val="en-GB" w:eastAsia="zh-CN"/>
              </w:rPr>
            </w:pPr>
            <w:r>
              <w:rPr>
                <w:sz w:val="19"/>
                <w:szCs w:val="19"/>
                <w:lang w:val="en-GB" w:eastAsia="zh-CN"/>
              </w:rPr>
              <w:t>v</w:t>
            </w:r>
            <w:r w:rsidR="00D52B78" w:rsidRPr="0038535E">
              <w:rPr>
                <w:sz w:val="19"/>
                <w:szCs w:val="19"/>
                <w:lang w:val="en-GB" w:eastAsia="zh-CN"/>
              </w:rPr>
              <w:t>entures</w:t>
            </w:r>
          </w:p>
        </w:tc>
        <w:tc>
          <w:tcPr>
            <w:tcW w:w="248" w:type="dxa"/>
            <w:tcBorders>
              <w:top w:val="nil"/>
              <w:left w:val="single" w:sz="8" w:space="0" w:color="auto"/>
              <w:bottom w:val="single" w:sz="4" w:space="0" w:color="231F20"/>
              <w:right w:val="nil"/>
            </w:tcBorders>
            <w:shd w:val="clear" w:color="auto" w:fill="auto"/>
            <w:noWrap/>
            <w:vAlign w:val="center"/>
          </w:tcPr>
          <w:p w14:paraId="30A3B978"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single" w:sz="4" w:space="0" w:color="231F20"/>
              <w:right w:val="nil"/>
            </w:tcBorders>
            <w:shd w:val="clear" w:color="auto" w:fill="auto"/>
            <w:noWrap/>
            <w:vAlign w:val="center"/>
          </w:tcPr>
          <w:p w14:paraId="140EF827"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1D52B58E" w14:textId="77777777" w:rsidR="00D52B78" w:rsidRPr="0038535E" w:rsidRDefault="00D52B78" w:rsidP="008A4EF3">
            <w:pPr>
              <w:pStyle w:val="ExhibitText"/>
              <w:jc w:val="right"/>
              <w:rPr>
                <w:sz w:val="19"/>
                <w:szCs w:val="19"/>
                <w:lang w:val="en-GB" w:eastAsia="zh-CN"/>
              </w:rPr>
            </w:pPr>
          </w:p>
        </w:tc>
        <w:tc>
          <w:tcPr>
            <w:tcW w:w="301" w:type="dxa"/>
            <w:tcBorders>
              <w:top w:val="nil"/>
              <w:left w:val="nil"/>
              <w:bottom w:val="nil"/>
              <w:right w:val="nil"/>
            </w:tcBorders>
            <w:shd w:val="clear" w:color="auto" w:fill="auto"/>
            <w:noWrap/>
            <w:vAlign w:val="center"/>
            <w:hideMark/>
          </w:tcPr>
          <w:p w14:paraId="090BC3B5"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single" w:sz="4" w:space="0" w:color="231F20"/>
              <w:right w:val="nil"/>
            </w:tcBorders>
            <w:shd w:val="clear" w:color="auto" w:fill="auto"/>
            <w:noWrap/>
            <w:vAlign w:val="center"/>
          </w:tcPr>
          <w:p w14:paraId="235FB64C"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single" w:sz="4" w:space="0" w:color="231F20"/>
              <w:right w:val="single" w:sz="8" w:space="0" w:color="auto"/>
            </w:tcBorders>
            <w:shd w:val="clear" w:color="auto" w:fill="auto"/>
            <w:noWrap/>
            <w:vAlign w:val="center"/>
            <w:hideMark/>
          </w:tcPr>
          <w:p w14:paraId="29E13649"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12</w:t>
            </w:r>
          </w:p>
        </w:tc>
      </w:tr>
      <w:tr w:rsidR="00D52B78" w:rsidRPr="0038535E" w14:paraId="14C91807"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69A91765"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Profit before taxation</w:t>
            </w:r>
          </w:p>
        </w:tc>
        <w:tc>
          <w:tcPr>
            <w:tcW w:w="248" w:type="dxa"/>
            <w:tcBorders>
              <w:top w:val="nil"/>
              <w:left w:val="single" w:sz="8" w:space="0" w:color="auto"/>
              <w:bottom w:val="nil"/>
              <w:right w:val="nil"/>
            </w:tcBorders>
            <w:shd w:val="clear" w:color="auto" w:fill="auto"/>
            <w:noWrap/>
            <w:vAlign w:val="center"/>
          </w:tcPr>
          <w:p w14:paraId="16F37847" w14:textId="77777777" w:rsidR="00D52B78" w:rsidRPr="0038535E" w:rsidRDefault="00D52B78" w:rsidP="008A4EF3">
            <w:pPr>
              <w:pStyle w:val="ExhibitText"/>
              <w:jc w:val="right"/>
              <w:rPr>
                <w:b/>
                <w:bCs/>
                <w:sz w:val="19"/>
                <w:szCs w:val="19"/>
                <w:lang w:val="en-GB" w:eastAsia="zh-CN"/>
              </w:rPr>
            </w:pPr>
          </w:p>
        </w:tc>
        <w:tc>
          <w:tcPr>
            <w:tcW w:w="270" w:type="dxa"/>
            <w:tcBorders>
              <w:top w:val="nil"/>
              <w:left w:val="nil"/>
              <w:bottom w:val="nil"/>
              <w:right w:val="nil"/>
            </w:tcBorders>
            <w:shd w:val="clear" w:color="auto" w:fill="auto"/>
            <w:noWrap/>
            <w:vAlign w:val="center"/>
          </w:tcPr>
          <w:p w14:paraId="1559F591" w14:textId="77777777" w:rsidR="00D52B78" w:rsidRPr="0038535E" w:rsidRDefault="00D52B78" w:rsidP="008A4EF3">
            <w:pPr>
              <w:pStyle w:val="ExhibitText"/>
              <w:jc w:val="right"/>
              <w:rPr>
                <w:b/>
                <w:bCs/>
                <w:sz w:val="19"/>
                <w:szCs w:val="19"/>
                <w:lang w:val="en-GB" w:eastAsia="zh-CN"/>
              </w:rPr>
            </w:pPr>
          </w:p>
        </w:tc>
        <w:tc>
          <w:tcPr>
            <w:tcW w:w="1841" w:type="dxa"/>
            <w:tcBorders>
              <w:top w:val="single" w:sz="4" w:space="0" w:color="231F20"/>
              <w:left w:val="nil"/>
              <w:bottom w:val="nil"/>
              <w:right w:val="single" w:sz="8" w:space="0" w:color="auto"/>
            </w:tcBorders>
            <w:shd w:val="clear" w:color="auto" w:fill="auto"/>
            <w:noWrap/>
            <w:vAlign w:val="center"/>
            <w:hideMark/>
          </w:tcPr>
          <w:p w14:paraId="372E70E0" w14:textId="77777777" w:rsidR="00D52B78" w:rsidRPr="0038535E" w:rsidRDefault="00D52B78" w:rsidP="008A4EF3">
            <w:pPr>
              <w:pStyle w:val="ExhibitText"/>
              <w:jc w:val="right"/>
              <w:rPr>
                <w:b/>
                <w:bCs/>
                <w:sz w:val="19"/>
                <w:szCs w:val="19"/>
                <w:lang w:val="en-GB" w:eastAsia="zh-CN"/>
              </w:rPr>
            </w:pPr>
            <w:r w:rsidRPr="0038535E">
              <w:rPr>
                <w:b/>
                <w:bCs/>
                <w:sz w:val="19"/>
                <w:szCs w:val="19"/>
                <w:lang w:val="en-GB" w:eastAsia="zh-CN"/>
              </w:rPr>
              <w:t>974</w:t>
            </w:r>
          </w:p>
        </w:tc>
        <w:tc>
          <w:tcPr>
            <w:tcW w:w="301" w:type="dxa"/>
            <w:tcBorders>
              <w:top w:val="nil"/>
              <w:left w:val="nil"/>
              <w:bottom w:val="nil"/>
              <w:right w:val="nil"/>
            </w:tcBorders>
            <w:shd w:val="clear" w:color="auto" w:fill="auto"/>
            <w:noWrap/>
            <w:vAlign w:val="center"/>
            <w:hideMark/>
          </w:tcPr>
          <w:p w14:paraId="0BAD19DE" w14:textId="77777777" w:rsidR="00D52B78" w:rsidRPr="0038535E" w:rsidRDefault="00D52B78" w:rsidP="008A4EF3">
            <w:pPr>
              <w:pStyle w:val="ExhibitText"/>
              <w:jc w:val="right"/>
              <w:rPr>
                <w:b/>
                <w:bCs/>
                <w:sz w:val="19"/>
                <w:szCs w:val="19"/>
                <w:lang w:val="en-GB" w:eastAsia="zh-CN"/>
              </w:rPr>
            </w:pPr>
          </w:p>
        </w:tc>
        <w:tc>
          <w:tcPr>
            <w:tcW w:w="918" w:type="dxa"/>
            <w:tcBorders>
              <w:top w:val="nil"/>
              <w:left w:val="single" w:sz="8" w:space="0" w:color="auto"/>
              <w:bottom w:val="nil"/>
              <w:right w:val="nil"/>
            </w:tcBorders>
            <w:shd w:val="clear" w:color="auto" w:fill="auto"/>
            <w:noWrap/>
            <w:vAlign w:val="center"/>
          </w:tcPr>
          <w:p w14:paraId="0AC620FC" w14:textId="77777777" w:rsidR="00D52B78" w:rsidRPr="0038535E" w:rsidRDefault="00D52B78" w:rsidP="008A4EF3">
            <w:pPr>
              <w:pStyle w:val="ExhibitText"/>
              <w:jc w:val="right"/>
              <w:rPr>
                <w:b/>
                <w:bCs/>
                <w:sz w:val="19"/>
                <w:szCs w:val="19"/>
                <w:lang w:val="en-GB" w:eastAsia="zh-CN"/>
              </w:rPr>
            </w:pPr>
          </w:p>
        </w:tc>
        <w:tc>
          <w:tcPr>
            <w:tcW w:w="1422" w:type="dxa"/>
            <w:tcBorders>
              <w:top w:val="nil"/>
              <w:left w:val="nil"/>
              <w:bottom w:val="nil"/>
              <w:right w:val="single" w:sz="8" w:space="0" w:color="auto"/>
            </w:tcBorders>
            <w:shd w:val="clear" w:color="auto" w:fill="auto"/>
            <w:noWrap/>
            <w:vAlign w:val="center"/>
            <w:hideMark/>
          </w:tcPr>
          <w:p w14:paraId="6DEC1406" w14:textId="77777777" w:rsidR="00D52B78" w:rsidRPr="0038535E" w:rsidRDefault="00D52B78" w:rsidP="008A4EF3">
            <w:pPr>
              <w:pStyle w:val="ExhibitText"/>
              <w:jc w:val="right"/>
              <w:rPr>
                <w:b/>
                <w:bCs/>
                <w:sz w:val="19"/>
                <w:szCs w:val="19"/>
                <w:lang w:val="en-GB" w:eastAsia="zh-CN"/>
              </w:rPr>
            </w:pPr>
            <w:r w:rsidRPr="0038535E">
              <w:rPr>
                <w:b/>
                <w:bCs/>
                <w:sz w:val="19"/>
                <w:szCs w:val="19"/>
                <w:lang w:val="en-GB" w:eastAsia="zh-CN"/>
              </w:rPr>
              <w:t>582</w:t>
            </w:r>
          </w:p>
        </w:tc>
      </w:tr>
      <w:tr w:rsidR="00D52B78" w:rsidRPr="0038535E" w14:paraId="0E7CCFB8"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01AB831D" w14:textId="77777777" w:rsidR="00D52B78" w:rsidRPr="0038535E" w:rsidRDefault="00D52B78" w:rsidP="0090653C">
            <w:pPr>
              <w:pStyle w:val="ExhibitText"/>
              <w:rPr>
                <w:sz w:val="19"/>
                <w:szCs w:val="19"/>
                <w:lang w:val="en-GB" w:eastAsia="zh-CN"/>
              </w:rPr>
            </w:pPr>
            <w:r w:rsidRPr="0038535E">
              <w:rPr>
                <w:sz w:val="19"/>
                <w:szCs w:val="19"/>
                <w:lang w:val="en-GB" w:eastAsia="zh-CN"/>
              </w:rPr>
              <w:t>Taxation</w:t>
            </w:r>
          </w:p>
        </w:tc>
        <w:tc>
          <w:tcPr>
            <w:tcW w:w="248" w:type="dxa"/>
            <w:tcBorders>
              <w:top w:val="nil"/>
              <w:left w:val="single" w:sz="8" w:space="0" w:color="auto"/>
              <w:bottom w:val="single" w:sz="4" w:space="0" w:color="231F20"/>
              <w:right w:val="nil"/>
            </w:tcBorders>
            <w:shd w:val="clear" w:color="auto" w:fill="auto"/>
            <w:noWrap/>
            <w:vAlign w:val="center"/>
          </w:tcPr>
          <w:p w14:paraId="2BD19659" w14:textId="77777777" w:rsidR="00D52B78" w:rsidRPr="0038535E" w:rsidRDefault="00D52B78" w:rsidP="008A4EF3">
            <w:pPr>
              <w:pStyle w:val="ExhibitText"/>
              <w:jc w:val="right"/>
              <w:rPr>
                <w:sz w:val="19"/>
                <w:szCs w:val="19"/>
                <w:lang w:val="en-GB" w:eastAsia="zh-CN"/>
              </w:rPr>
            </w:pPr>
          </w:p>
        </w:tc>
        <w:tc>
          <w:tcPr>
            <w:tcW w:w="270" w:type="dxa"/>
            <w:tcBorders>
              <w:top w:val="nil"/>
              <w:left w:val="nil"/>
              <w:bottom w:val="single" w:sz="4" w:space="0" w:color="231F20"/>
              <w:right w:val="nil"/>
            </w:tcBorders>
            <w:shd w:val="clear" w:color="auto" w:fill="auto"/>
            <w:noWrap/>
            <w:vAlign w:val="center"/>
          </w:tcPr>
          <w:p w14:paraId="2281B19F" w14:textId="77777777" w:rsidR="00D52B78" w:rsidRPr="0038535E" w:rsidRDefault="00D52B78" w:rsidP="008A4EF3">
            <w:pPr>
              <w:pStyle w:val="ExhibitText"/>
              <w:jc w:val="right"/>
              <w:rPr>
                <w:sz w:val="19"/>
                <w:szCs w:val="19"/>
                <w:lang w:val="en-GB" w:eastAsia="zh-CN"/>
              </w:rPr>
            </w:pPr>
          </w:p>
        </w:tc>
        <w:tc>
          <w:tcPr>
            <w:tcW w:w="1841" w:type="dxa"/>
            <w:tcBorders>
              <w:top w:val="nil"/>
              <w:left w:val="nil"/>
              <w:bottom w:val="nil"/>
              <w:right w:val="single" w:sz="8" w:space="0" w:color="auto"/>
            </w:tcBorders>
            <w:shd w:val="clear" w:color="auto" w:fill="auto"/>
            <w:noWrap/>
            <w:vAlign w:val="center"/>
            <w:hideMark/>
          </w:tcPr>
          <w:p w14:paraId="6487F0B5"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(279)</w:t>
            </w:r>
          </w:p>
        </w:tc>
        <w:tc>
          <w:tcPr>
            <w:tcW w:w="301" w:type="dxa"/>
            <w:tcBorders>
              <w:top w:val="nil"/>
              <w:left w:val="nil"/>
              <w:bottom w:val="nil"/>
              <w:right w:val="nil"/>
            </w:tcBorders>
            <w:shd w:val="clear" w:color="auto" w:fill="auto"/>
            <w:noWrap/>
            <w:vAlign w:val="center"/>
            <w:hideMark/>
          </w:tcPr>
          <w:p w14:paraId="4E2A48B0" w14:textId="77777777" w:rsidR="00D52B78" w:rsidRPr="0038535E" w:rsidRDefault="00D52B78" w:rsidP="008A4EF3">
            <w:pPr>
              <w:pStyle w:val="ExhibitText"/>
              <w:jc w:val="right"/>
              <w:rPr>
                <w:sz w:val="19"/>
                <w:szCs w:val="19"/>
                <w:lang w:val="en-GB" w:eastAsia="zh-CN"/>
              </w:rPr>
            </w:pPr>
          </w:p>
        </w:tc>
        <w:tc>
          <w:tcPr>
            <w:tcW w:w="918" w:type="dxa"/>
            <w:tcBorders>
              <w:top w:val="nil"/>
              <w:left w:val="single" w:sz="8" w:space="0" w:color="auto"/>
              <w:bottom w:val="single" w:sz="4" w:space="0" w:color="231F20"/>
              <w:right w:val="nil"/>
            </w:tcBorders>
            <w:shd w:val="clear" w:color="auto" w:fill="auto"/>
            <w:noWrap/>
            <w:vAlign w:val="center"/>
          </w:tcPr>
          <w:p w14:paraId="47336838" w14:textId="77777777" w:rsidR="00D52B78" w:rsidRPr="0038535E" w:rsidRDefault="00D52B78" w:rsidP="008A4EF3">
            <w:pPr>
              <w:pStyle w:val="ExhibitText"/>
              <w:jc w:val="right"/>
              <w:rPr>
                <w:sz w:val="19"/>
                <w:szCs w:val="19"/>
                <w:lang w:val="en-GB" w:eastAsia="zh-CN"/>
              </w:rPr>
            </w:pPr>
          </w:p>
        </w:tc>
        <w:tc>
          <w:tcPr>
            <w:tcW w:w="1422" w:type="dxa"/>
            <w:tcBorders>
              <w:top w:val="nil"/>
              <w:left w:val="nil"/>
              <w:bottom w:val="single" w:sz="4" w:space="0" w:color="231F20"/>
              <w:right w:val="single" w:sz="8" w:space="0" w:color="auto"/>
            </w:tcBorders>
            <w:shd w:val="clear" w:color="auto" w:fill="auto"/>
            <w:noWrap/>
            <w:vAlign w:val="center"/>
            <w:hideMark/>
          </w:tcPr>
          <w:p w14:paraId="1A3215D8" w14:textId="77777777" w:rsidR="00D52B78" w:rsidRPr="0038535E" w:rsidRDefault="00D52B78" w:rsidP="008A4EF3">
            <w:pPr>
              <w:pStyle w:val="ExhibitText"/>
              <w:jc w:val="right"/>
              <w:rPr>
                <w:sz w:val="19"/>
                <w:szCs w:val="19"/>
                <w:lang w:val="en-GB" w:eastAsia="zh-CN"/>
              </w:rPr>
            </w:pPr>
            <w:r w:rsidRPr="0038535E">
              <w:rPr>
                <w:sz w:val="19"/>
                <w:szCs w:val="19"/>
                <w:lang w:val="en-GB" w:eastAsia="zh-CN"/>
              </w:rPr>
              <w:t>(175)</w:t>
            </w:r>
          </w:p>
        </w:tc>
      </w:tr>
      <w:tr w:rsidR="00D52B78" w:rsidRPr="0038535E" w14:paraId="50EE30FC" w14:textId="77777777" w:rsidTr="008A4EF3">
        <w:trPr>
          <w:trHeight w:val="20"/>
          <w:jc w:val="center"/>
        </w:trPr>
        <w:tc>
          <w:tcPr>
            <w:tcW w:w="3640" w:type="dxa"/>
            <w:tcBorders>
              <w:top w:val="nil"/>
              <w:left w:val="nil"/>
              <w:bottom w:val="nil"/>
              <w:right w:val="nil"/>
            </w:tcBorders>
            <w:shd w:val="clear" w:color="auto" w:fill="auto"/>
            <w:noWrap/>
            <w:vAlign w:val="center"/>
            <w:hideMark/>
          </w:tcPr>
          <w:p w14:paraId="65398DEC" w14:textId="77777777" w:rsidR="00D52B78" w:rsidRPr="0038535E" w:rsidRDefault="00D52B78" w:rsidP="0090653C">
            <w:pPr>
              <w:pStyle w:val="ExhibitText"/>
              <w:rPr>
                <w:sz w:val="19"/>
                <w:szCs w:val="19"/>
                <w:lang w:val="en-GB" w:eastAsia="zh-CN"/>
              </w:rPr>
            </w:pPr>
            <w:r w:rsidRPr="0038535E">
              <w:rPr>
                <w:b/>
                <w:bCs/>
                <w:sz w:val="19"/>
                <w:szCs w:val="19"/>
                <w:lang w:val="en-GB" w:eastAsia="zh-CN"/>
              </w:rPr>
              <w:t>Profit for the year/period</w:t>
            </w:r>
          </w:p>
        </w:tc>
        <w:tc>
          <w:tcPr>
            <w:tcW w:w="248" w:type="dxa"/>
            <w:tcBorders>
              <w:top w:val="single" w:sz="4" w:space="0" w:color="auto"/>
              <w:left w:val="single" w:sz="8" w:space="0" w:color="auto"/>
              <w:bottom w:val="single" w:sz="8" w:space="0" w:color="auto"/>
              <w:right w:val="nil"/>
            </w:tcBorders>
            <w:shd w:val="clear" w:color="auto" w:fill="auto"/>
            <w:noWrap/>
            <w:vAlign w:val="center"/>
          </w:tcPr>
          <w:p w14:paraId="6C068CE5" w14:textId="77777777" w:rsidR="00D52B78" w:rsidRPr="0038535E" w:rsidRDefault="00D52B78" w:rsidP="008A4EF3">
            <w:pPr>
              <w:pStyle w:val="ExhibitText"/>
              <w:jc w:val="right"/>
              <w:rPr>
                <w:b/>
                <w:bCs/>
                <w:sz w:val="19"/>
                <w:szCs w:val="19"/>
                <w:lang w:val="en-GB" w:eastAsia="zh-CN"/>
              </w:rPr>
            </w:pPr>
          </w:p>
        </w:tc>
        <w:tc>
          <w:tcPr>
            <w:tcW w:w="270" w:type="dxa"/>
            <w:tcBorders>
              <w:top w:val="single" w:sz="4" w:space="0" w:color="auto"/>
              <w:left w:val="nil"/>
              <w:bottom w:val="single" w:sz="8" w:space="0" w:color="auto"/>
              <w:right w:val="nil"/>
            </w:tcBorders>
            <w:shd w:val="clear" w:color="auto" w:fill="auto"/>
            <w:noWrap/>
            <w:vAlign w:val="center"/>
          </w:tcPr>
          <w:p w14:paraId="52581830" w14:textId="77777777" w:rsidR="00D52B78" w:rsidRPr="0038535E" w:rsidRDefault="00D52B78" w:rsidP="008A4EF3">
            <w:pPr>
              <w:pStyle w:val="ExhibitText"/>
              <w:jc w:val="right"/>
              <w:rPr>
                <w:b/>
                <w:bCs/>
                <w:sz w:val="19"/>
                <w:szCs w:val="19"/>
                <w:lang w:val="en-GB" w:eastAsia="zh-CN"/>
              </w:rPr>
            </w:pPr>
          </w:p>
        </w:tc>
        <w:tc>
          <w:tcPr>
            <w:tcW w:w="1841" w:type="dxa"/>
            <w:tcBorders>
              <w:top w:val="single" w:sz="4" w:space="0" w:color="auto"/>
              <w:left w:val="nil"/>
              <w:bottom w:val="single" w:sz="8" w:space="0" w:color="auto"/>
              <w:right w:val="single" w:sz="8" w:space="0" w:color="auto"/>
            </w:tcBorders>
            <w:shd w:val="clear" w:color="auto" w:fill="auto"/>
            <w:noWrap/>
            <w:vAlign w:val="center"/>
            <w:hideMark/>
          </w:tcPr>
          <w:p w14:paraId="18A4D1F7" w14:textId="77777777" w:rsidR="00D52B78" w:rsidRPr="0038535E" w:rsidRDefault="00D52B78" w:rsidP="008A4EF3">
            <w:pPr>
              <w:pStyle w:val="ExhibitText"/>
              <w:jc w:val="right"/>
              <w:rPr>
                <w:b/>
                <w:bCs/>
                <w:sz w:val="19"/>
                <w:szCs w:val="19"/>
                <w:lang w:val="en-GB" w:eastAsia="zh-CN"/>
              </w:rPr>
            </w:pPr>
            <w:r w:rsidRPr="0038535E">
              <w:rPr>
                <w:b/>
                <w:bCs/>
                <w:sz w:val="19"/>
                <w:szCs w:val="19"/>
                <w:lang w:val="en-GB" w:eastAsia="zh-CN"/>
              </w:rPr>
              <w:t>695</w:t>
            </w:r>
          </w:p>
        </w:tc>
        <w:tc>
          <w:tcPr>
            <w:tcW w:w="301" w:type="dxa"/>
            <w:tcBorders>
              <w:top w:val="nil"/>
              <w:left w:val="nil"/>
              <w:bottom w:val="nil"/>
              <w:right w:val="nil"/>
            </w:tcBorders>
            <w:shd w:val="clear" w:color="auto" w:fill="auto"/>
            <w:noWrap/>
            <w:vAlign w:val="center"/>
            <w:hideMark/>
          </w:tcPr>
          <w:p w14:paraId="0617B31F" w14:textId="77777777" w:rsidR="00D52B78" w:rsidRPr="0038535E" w:rsidRDefault="00D52B78" w:rsidP="008A4EF3">
            <w:pPr>
              <w:pStyle w:val="ExhibitText"/>
              <w:jc w:val="right"/>
              <w:rPr>
                <w:b/>
                <w:bCs/>
                <w:sz w:val="19"/>
                <w:szCs w:val="19"/>
                <w:lang w:val="en-GB" w:eastAsia="zh-CN"/>
              </w:rPr>
            </w:pPr>
          </w:p>
        </w:tc>
        <w:tc>
          <w:tcPr>
            <w:tcW w:w="918" w:type="dxa"/>
            <w:tcBorders>
              <w:top w:val="single" w:sz="4" w:space="0" w:color="auto"/>
              <w:left w:val="single" w:sz="8" w:space="0" w:color="auto"/>
              <w:bottom w:val="single" w:sz="8" w:space="0" w:color="auto"/>
              <w:right w:val="nil"/>
            </w:tcBorders>
            <w:shd w:val="clear" w:color="auto" w:fill="auto"/>
            <w:noWrap/>
            <w:vAlign w:val="center"/>
          </w:tcPr>
          <w:p w14:paraId="563F5D30" w14:textId="77777777" w:rsidR="00D52B78" w:rsidRPr="0038535E" w:rsidRDefault="00D52B78" w:rsidP="008A4EF3">
            <w:pPr>
              <w:pStyle w:val="ExhibitText"/>
              <w:jc w:val="right"/>
              <w:rPr>
                <w:b/>
                <w:bCs/>
                <w:sz w:val="19"/>
                <w:szCs w:val="19"/>
                <w:lang w:val="en-GB" w:eastAsia="zh-CN"/>
              </w:rPr>
            </w:pPr>
          </w:p>
        </w:tc>
        <w:tc>
          <w:tcPr>
            <w:tcW w:w="1422" w:type="dxa"/>
            <w:tcBorders>
              <w:top w:val="single" w:sz="4" w:space="0" w:color="auto"/>
              <w:left w:val="nil"/>
              <w:bottom w:val="single" w:sz="8" w:space="0" w:color="auto"/>
              <w:right w:val="single" w:sz="8" w:space="0" w:color="auto"/>
            </w:tcBorders>
            <w:shd w:val="clear" w:color="auto" w:fill="auto"/>
            <w:noWrap/>
            <w:vAlign w:val="center"/>
            <w:hideMark/>
          </w:tcPr>
          <w:p w14:paraId="57E6EBBA" w14:textId="77777777" w:rsidR="00D52B78" w:rsidRPr="0038535E" w:rsidRDefault="00D52B78" w:rsidP="008A4EF3">
            <w:pPr>
              <w:pStyle w:val="ExhibitText"/>
              <w:jc w:val="right"/>
              <w:rPr>
                <w:b/>
                <w:bCs/>
                <w:sz w:val="19"/>
                <w:szCs w:val="19"/>
                <w:lang w:val="en-GB" w:eastAsia="zh-CN"/>
              </w:rPr>
            </w:pPr>
            <w:r w:rsidRPr="0038535E">
              <w:rPr>
                <w:b/>
                <w:bCs/>
                <w:sz w:val="19"/>
                <w:szCs w:val="19"/>
                <w:lang w:val="en-GB" w:eastAsia="zh-CN"/>
              </w:rPr>
              <w:t>182</w:t>
            </w:r>
          </w:p>
        </w:tc>
      </w:tr>
    </w:tbl>
    <w:p w14:paraId="5CDA1B65" w14:textId="77777777" w:rsidR="00D52B78" w:rsidRPr="0038535E" w:rsidRDefault="00D52B78" w:rsidP="008A4EF3">
      <w:pPr>
        <w:pStyle w:val="BodyTextMain"/>
        <w:rPr>
          <w:rFonts w:eastAsia="SimSun"/>
          <w:sz w:val="18"/>
          <w:lang w:val="en-GB" w:eastAsia="zh-CN"/>
        </w:rPr>
      </w:pPr>
    </w:p>
    <w:p w14:paraId="3659E874" w14:textId="77777777" w:rsidR="0090653C" w:rsidRPr="0038535E" w:rsidRDefault="00D52B78" w:rsidP="00D42E2B">
      <w:pPr>
        <w:pStyle w:val="Footnote"/>
        <w:rPr>
          <w:rFonts w:eastAsia="SimSun"/>
          <w:lang w:val="en-GB" w:eastAsia="zh-CN"/>
        </w:rPr>
      </w:pPr>
      <w:r w:rsidRPr="0038535E">
        <w:rPr>
          <w:rFonts w:eastAsia="SimSun"/>
          <w:lang w:val="en-GB" w:eastAsia="zh-CN"/>
        </w:rPr>
        <w:t xml:space="preserve">Source: WH Group IPO Prospectus, </w:t>
      </w:r>
      <w:r w:rsidR="004E327F" w:rsidRPr="0038535E">
        <w:rPr>
          <w:rFonts w:eastAsia="SimSun"/>
          <w:lang w:val="en-GB" w:eastAsia="zh-CN"/>
        </w:rPr>
        <w:t>accessed</w:t>
      </w:r>
      <w:r w:rsidRPr="0038535E">
        <w:rPr>
          <w:rFonts w:eastAsia="SimSun"/>
          <w:lang w:val="en-GB" w:eastAsia="zh-CN"/>
        </w:rPr>
        <w:t xml:space="preserve"> March 3, 2015</w:t>
      </w:r>
      <w:r w:rsidR="004E327F" w:rsidRPr="0038535E">
        <w:rPr>
          <w:rFonts w:eastAsia="SimSun"/>
          <w:lang w:val="en-GB" w:eastAsia="zh-CN"/>
        </w:rPr>
        <w:t>.</w:t>
      </w:r>
    </w:p>
    <w:p w14:paraId="32378029" w14:textId="77777777" w:rsidR="0090653C" w:rsidRPr="0038535E" w:rsidRDefault="0090653C" w:rsidP="008A4EF3">
      <w:pPr>
        <w:pStyle w:val="BodyTextMain"/>
        <w:rPr>
          <w:rFonts w:eastAsia="SimSun"/>
          <w:sz w:val="18"/>
          <w:lang w:val="en-GB" w:eastAsia="zh-CN"/>
        </w:rPr>
      </w:pPr>
    </w:p>
    <w:p w14:paraId="163C6C74" w14:textId="77777777" w:rsidR="0090653C" w:rsidRPr="0038535E" w:rsidRDefault="0090653C" w:rsidP="008A4EF3">
      <w:pPr>
        <w:pStyle w:val="BodyTextMain"/>
        <w:rPr>
          <w:rFonts w:eastAsia="SimSun"/>
          <w:sz w:val="18"/>
          <w:lang w:val="en-GB" w:eastAsia="zh-CN"/>
        </w:rPr>
      </w:pPr>
    </w:p>
    <w:p w14:paraId="3A2B8B58" w14:textId="77777777" w:rsidR="00BF441F" w:rsidRDefault="00BF441F">
      <w:pPr>
        <w:spacing w:after="200" w:line="276" w:lineRule="auto"/>
        <w:rPr>
          <w:rFonts w:ascii="Arial" w:eastAsia="SimSun" w:hAnsi="Arial" w:cs="Arial"/>
          <w:b/>
          <w:caps/>
          <w:lang w:val="en-GB" w:eastAsia="zh-CN"/>
        </w:rPr>
      </w:pPr>
      <w:r>
        <w:rPr>
          <w:rFonts w:eastAsia="SimSun"/>
          <w:lang w:val="en-GB" w:eastAsia="zh-CN"/>
        </w:rPr>
        <w:br w:type="page"/>
      </w:r>
    </w:p>
    <w:p w14:paraId="27196387" w14:textId="567AA57D" w:rsidR="00D52B78" w:rsidRPr="0038535E" w:rsidRDefault="00D52B78" w:rsidP="0090653C">
      <w:pPr>
        <w:pStyle w:val="ExhibitHeading"/>
        <w:rPr>
          <w:rFonts w:eastAsia="SimSun"/>
          <w:lang w:val="en-GB" w:eastAsia="zh-CN"/>
        </w:rPr>
      </w:pPr>
      <w:r w:rsidRPr="0038535E">
        <w:rPr>
          <w:rFonts w:eastAsia="SimSun"/>
          <w:lang w:val="en-GB" w:eastAsia="zh-CN"/>
        </w:rPr>
        <w:lastRenderedPageBreak/>
        <w:t>Exhibit 2: WH Group’s combined BALANCE SHEET</w:t>
      </w:r>
      <w:r w:rsidR="008A4EF3" w:rsidRPr="0038535E">
        <w:rPr>
          <w:rFonts w:eastAsia="SimSun"/>
          <w:lang w:val="en-GB" w:eastAsia="zh-CN"/>
        </w:rPr>
        <w:t xml:space="preserve"> (IN US$ Million)</w:t>
      </w:r>
    </w:p>
    <w:p w14:paraId="140BED2A" w14:textId="77777777" w:rsidR="00D52B78" w:rsidRPr="0038535E" w:rsidRDefault="00D52B78" w:rsidP="008A4EF3">
      <w:pPr>
        <w:pStyle w:val="BodyTextMain"/>
        <w:rPr>
          <w:rFonts w:eastAsia="SimSun"/>
          <w:sz w:val="18"/>
          <w:lang w:val="en-GB" w:eastAsia="zh-CN"/>
        </w:rPr>
      </w:pPr>
    </w:p>
    <w:tbl>
      <w:tblPr>
        <w:tblW w:w="8505" w:type="dxa"/>
        <w:jc w:val="center"/>
        <w:tblLayout w:type="fixed"/>
        <w:tblLook w:val="04A0" w:firstRow="1" w:lastRow="0" w:firstColumn="1" w:lastColumn="0" w:noHBand="0" w:noVBand="1"/>
      </w:tblPr>
      <w:tblGrid>
        <w:gridCol w:w="3240"/>
        <w:gridCol w:w="810"/>
        <w:gridCol w:w="180"/>
        <w:gridCol w:w="990"/>
        <w:gridCol w:w="90"/>
        <w:gridCol w:w="810"/>
        <w:gridCol w:w="270"/>
        <w:gridCol w:w="2115"/>
      </w:tblGrid>
      <w:tr w:rsidR="00D52B78" w:rsidRPr="0038535E" w14:paraId="4711C597"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289623CC" w14:textId="77777777" w:rsidR="00D52B78" w:rsidRPr="0038535E" w:rsidRDefault="00D52B78" w:rsidP="0090653C">
            <w:pPr>
              <w:pStyle w:val="ExhibitText"/>
              <w:rPr>
                <w:sz w:val="19"/>
                <w:szCs w:val="19"/>
                <w:lang w:val="en-GB" w:eastAsia="zh-CN"/>
              </w:rPr>
            </w:pPr>
          </w:p>
        </w:tc>
        <w:tc>
          <w:tcPr>
            <w:tcW w:w="2880" w:type="dxa"/>
            <w:gridSpan w:val="5"/>
            <w:tcBorders>
              <w:top w:val="nil"/>
              <w:left w:val="nil"/>
              <w:bottom w:val="nil"/>
              <w:right w:val="nil"/>
            </w:tcBorders>
            <w:shd w:val="clear" w:color="auto" w:fill="auto"/>
            <w:noWrap/>
            <w:vAlign w:val="center"/>
            <w:hideMark/>
          </w:tcPr>
          <w:p w14:paraId="22E82426" w14:textId="77777777" w:rsidR="00D52B78" w:rsidRPr="0038535E" w:rsidRDefault="00D52B78" w:rsidP="0090653C">
            <w:pPr>
              <w:pStyle w:val="ExhibitText"/>
              <w:rPr>
                <w:sz w:val="19"/>
                <w:szCs w:val="19"/>
                <w:lang w:val="en-GB" w:eastAsia="zh-CN"/>
              </w:rPr>
            </w:pPr>
            <w:r w:rsidRPr="0038535E">
              <w:rPr>
                <w:sz w:val="19"/>
                <w:szCs w:val="19"/>
                <w:lang w:val="en-GB" w:eastAsia="zh-CN"/>
              </w:rPr>
              <w:t>Information Released in</w:t>
            </w:r>
          </w:p>
        </w:tc>
        <w:tc>
          <w:tcPr>
            <w:tcW w:w="270" w:type="dxa"/>
            <w:tcBorders>
              <w:top w:val="nil"/>
              <w:left w:val="nil"/>
              <w:bottom w:val="nil"/>
              <w:right w:val="nil"/>
            </w:tcBorders>
            <w:shd w:val="clear" w:color="auto" w:fill="auto"/>
            <w:noWrap/>
            <w:vAlign w:val="center"/>
            <w:hideMark/>
          </w:tcPr>
          <w:p w14:paraId="3EBF93E1" w14:textId="77777777" w:rsidR="00D52B78" w:rsidRPr="0038535E" w:rsidRDefault="00D52B78" w:rsidP="0090653C">
            <w:pPr>
              <w:pStyle w:val="ExhibitText"/>
              <w:rPr>
                <w:sz w:val="19"/>
                <w:szCs w:val="19"/>
                <w:lang w:val="en-GB" w:eastAsia="zh-CN"/>
              </w:rPr>
            </w:pPr>
          </w:p>
        </w:tc>
        <w:tc>
          <w:tcPr>
            <w:tcW w:w="2115" w:type="dxa"/>
            <w:tcBorders>
              <w:top w:val="nil"/>
              <w:left w:val="nil"/>
              <w:bottom w:val="nil"/>
              <w:right w:val="nil"/>
            </w:tcBorders>
            <w:shd w:val="clear" w:color="auto" w:fill="auto"/>
            <w:noWrap/>
            <w:vAlign w:val="center"/>
            <w:hideMark/>
          </w:tcPr>
          <w:p w14:paraId="569902EB" w14:textId="77777777" w:rsidR="00D52B78" w:rsidRPr="0038535E" w:rsidRDefault="00D52B78" w:rsidP="0090653C">
            <w:pPr>
              <w:pStyle w:val="ExhibitText"/>
              <w:rPr>
                <w:sz w:val="19"/>
                <w:szCs w:val="19"/>
                <w:lang w:val="en-GB" w:eastAsia="zh-CN"/>
              </w:rPr>
            </w:pPr>
            <w:r w:rsidRPr="0038535E">
              <w:rPr>
                <w:sz w:val="19"/>
                <w:szCs w:val="19"/>
                <w:lang w:val="en-GB" w:eastAsia="zh-CN"/>
              </w:rPr>
              <w:t xml:space="preserve">Additional </w:t>
            </w:r>
            <w:r w:rsidR="004E327F" w:rsidRPr="0038535E">
              <w:rPr>
                <w:sz w:val="19"/>
                <w:szCs w:val="19"/>
                <w:lang w:val="en-GB" w:eastAsia="zh-CN"/>
              </w:rPr>
              <w:t>Information</w:t>
            </w:r>
          </w:p>
        </w:tc>
      </w:tr>
      <w:tr w:rsidR="00D52B78" w:rsidRPr="0038535E" w14:paraId="58CF2403"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0FD611FE" w14:textId="77777777" w:rsidR="00D52B78" w:rsidRPr="0038535E" w:rsidRDefault="00D52B78" w:rsidP="0090653C">
            <w:pPr>
              <w:pStyle w:val="ExhibitText"/>
              <w:rPr>
                <w:sz w:val="19"/>
                <w:szCs w:val="19"/>
                <w:lang w:val="en-GB" w:eastAsia="zh-CN"/>
              </w:rPr>
            </w:pPr>
          </w:p>
        </w:tc>
        <w:tc>
          <w:tcPr>
            <w:tcW w:w="2880" w:type="dxa"/>
            <w:gridSpan w:val="5"/>
            <w:tcBorders>
              <w:top w:val="nil"/>
              <w:left w:val="nil"/>
              <w:bottom w:val="nil"/>
              <w:right w:val="nil"/>
            </w:tcBorders>
            <w:shd w:val="clear" w:color="auto" w:fill="auto"/>
            <w:noWrap/>
            <w:vAlign w:val="center"/>
            <w:hideMark/>
          </w:tcPr>
          <w:p w14:paraId="227CF27A" w14:textId="77777777" w:rsidR="00D52B78" w:rsidRPr="0038535E" w:rsidRDefault="00D52B78" w:rsidP="0090653C">
            <w:pPr>
              <w:pStyle w:val="ExhibitText"/>
              <w:rPr>
                <w:sz w:val="19"/>
                <w:szCs w:val="19"/>
                <w:lang w:val="en-GB" w:eastAsia="zh-CN"/>
              </w:rPr>
            </w:pPr>
            <w:r w:rsidRPr="0038535E">
              <w:rPr>
                <w:sz w:val="19"/>
                <w:szCs w:val="19"/>
                <w:lang w:val="en-GB" w:eastAsia="zh-CN"/>
              </w:rPr>
              <w:t>April IPO Prospectus</w:t>
            </w:r>
          </w:p>
        </w:tc>
        <w:tc>
          <w:tcPr>
            <w:tcW w:w="270" w:type="dxa"/>
            <w:tcBorders>
              <w:top w:val="nil"/>
              <w:left w:val="nil"/>
              <w:bottom w:val="nil"/>
              <w:right w:val="nil"/>
            </w:tcBorders>
            <w:shd w:val="clear" w:color="auto" w:fill="auto"/>
            <w:noWrap/>
            <w:vAlign w:val="center"/>
            <w:hideMark/>
          </w:tcPr>
          <w:p w14:paraId="2E6EE473" w14:textId="77777777" w:rsidR="00D52B78" w:rsidRPr="0038535E" w:rsidRDefault="00D52B78" w:rsidP="0090653C">
            <w:pPr>
              <w:pStyle w:val="ExhibitText"/>
              <w:rPr>
                <w:sz w:val="19"/>
                <w:szCs w:val="19"/>
                <w:lang w:val="en-GB" w:eastAsia="zh-CN"/>
              </w:rPr>
            </w:pPr>
          </w:p>
        </w:tc>
        <w:tc>
          <w:tcPr>
            <w:tcW w:w="2115" w:type="dxa"/>
            <w:tcBorders>
              <w:top w:val="nil"/>
              <w:left w:val="nil"/>
              <w:bottom w:val="nil"/>
              <w:right w:val="nil"/>
            </w:tcBorders>
            <w:shd w:val="clear" w:color="auto" w:fill="auto"/>
            <w:noWrap/>
            <w:vAlign w:val="center"/>
            <w:hideMark/>
          </w:tcPr>
          <w:p w14:paraId="6F3ED71B" w14:textId="77777777" w:rsidR="00D52B78" w:rsidRPr="0038535E" w:rsidRDefault="004E327F" w:rsidP="0090653C">
            <w:pPr>
              <w:pStyle w:val="ExhibitText"/>
              <w:rPr>
                <w:sz w:val="19"/>
                <w:szCs w:val="19"/>
                <w:lang w:val="en-GB" w:eastAsia="zh-CN"/>
              </w:rPr>
            </w:pPr>
            <w:r w:rsidRPr="0038535E">
              <w:rPr>
                <w:sz w:val="19"/>
                <w:szCs w:val="19"/>
                <w:lang w:val="en-GB" w:eastAsia="zh-CN"/>
              </w:rPr>
              <w:t>Released in July</w:t>
            </w:r>
          </w:p>
        </w:tc>
      </w:tr>
      <w:tr w:rsidR="00D52B78" w:rsidRPr="0038535E" w14:paraId="50665916"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1DA57503" w14:textId="77777777" w:rsidR="00D52B78" w:rsidRPr="0038535E" w:rsidRDefault="00D52B78" w:rsidP="0090653C">
            <w:pPr>
              <w:pStyle w:val="ExhibitText"/>
              <w:rPr>
                <w:sz w:val="19"/>
                <w:szCs w:val="19"/>
                <w:lang w:val="en-GB" w:eastAsia="zh-CN"/>
              </w:rPr>
            </w:pPr>
          </w:p>
        </w:tc>
        <w:tc>
          <w:tcPr>
            <w:tcW w:w="810" w:type="dxa"/>
            <w:tcBorders>
              <w:top w:val="single" w:sz="8" w:space="0" w:color="auto"/>
              <w:left w:val="single" w:sz="8" w:space="0" w:color="auto"/>
              <w:bottom w:val="nil"/>
              <w:right w:val="nil"/>
            </w:tcBorders>
            <w:shd w:val="clear" w:color="auto" w:fill="auto"/>
            <w:noWrap/>
            <w:vAlign w:val="center"/>
            <w:hideMark/>
          </w:tcPr>
          <w:p w14:paraId="6F86B979" w14:textId="77777777" w:rsidR="00D52B78" w:rsidRPr="0038535E" w:rsidRDefault="00D52B78" w:rsidP="0090653C">
            <w:pPr>
              <w:pStyle w:val="ExhibitText"/>
              <w:rPr>
                <w:sz w:val="19"/>
                <w:szCs w:val="19"/>
                <w:lang w:val="en-GB" w:eastAsia="zh-CN"/>
              </w:rPr>
            </w:pPr>
          </w:p>
        </w:tc>
        <w:tc>
          <w:tcPr>
            <w:tcW w:w="1260" w:type="dxa"/>
            <w:gridSpan w:val="3"/>
            <w:tcBorders>
              <w:top w:val="single" w:sz="8" w:space="0" w:color="auto"/>
              <w:left w:val="nil"/>
              <w:bottom w:val="nil"/>
              <w:right w:val="nil"/>
            </w:tcBorders>
            <w:shd w:val="clear" w:color="auto" w:fill="auto"/>
            <w:noWrap/>
            <w:vAlign w:val="center"/>
            <w:hideMark/>
          </w:tcPr>
          <w:p w14:paraId="1E863871" w14:textId="77777777" w:rsidR="00D52B78" w:rsidRPr="0038535E" w:rsidRDefault="00D52B78" w:rsidP="0090653C">
            <w:pPr>
              <w:pStyle w:val="ExhibitText"/>
              <w:rPr>
                <w:sz w:val="19"/>
                <w:szCs w:val="19"/>
                <w:lang w:val="en-GB" w:eastAsia="zh-CN"/>
              </w:rPr>
            </w:pPr>
          </w:p>
        </w:tc>
        <w:tc>
          <w:tcPr>
            <w:tcW w:w="810" w:type="dxa"/>
            <w:tcBorders>
              <w:top w:val="single" w:sz="8" w:space="0" w:color="auto"/>
              <w:left w:val="nil"/>
              <w:bottom w:val="nil"/>
              <w:right w:val="single" w:sz="8" w:space="0" w:color="auto"/>
            </w:tcBorders>
            <w:shd w:val="clear" w:color="auto" w:fill="auto"/>
            <w:noWrap/>
            <w:vAlign w:val="center"/>
            <w:hideMark/>
          </w:tcPr>
          <w:p w14:paraId="1E3006AB" w14:textId="77777777" w:rsidR="00D52B78" w:rsidRPr="0038535E" w:rsidRDefault="00D52B78" w:rsidP="0090653C">
            <w:pPr>
              <w:pStyle w:val="ExhibitText"/>
              <w:rPr>
                <w:sz w:val="19"/>
                <w:szCs w:val="19"/>
                <w:lang w:val="en-GB" w:eastAsia="zh-CN"/>
              </w:rPr>
            </w:pPr>
          </w:p>
        </w:tc>
        <w:tc>
          <w:tcPr>
            <w:tcW w:w="270" w:type="dxa"/>
            <w:tcBorders>
              <w:top w:val="nil"/>
              <w:left w:val="nil"/>
              <w:bottom w:val="nil"/>
              <w:right w:val="nil"/>
            </w:tcBorders>
            <w:shd w:val="clear" w:color="auto" w:fill="auto"/>
            <w:noWrap/>
            <w:vAlign w:val="center"/>
            <w:hideMark/>
          </w:tcPr>
          <w:p w14:paraId="337C89C4" w14:textId="77777777" w:rsidR="00D52B78" w:rsidRPr="0038535E" w:rsidRDefault="00D52B78" w:rsidP="0090653C">
            <w:pPr>
              <w:pStyle w:val="ExhibitText"/>
              <w:rPr>
                <w:sz w:val="19"/>
                <w:szCs w:val="19"/>
                <w:lang w:val="en-GB" w:eastAsia="zh-CN"/>
              </w:rPr>
            </w:pPr>
          </w:p>
        </w:tc>
        <w:tc>
          <w:tcPr>
            <w:tcW w:w="2115" w:type="dxa"/>
            <w:tcBorders>
              <w:top w:val="single" w:sz="8" w:space="0" w:color="auto"/>
              <w:left w:val="single" w:sz="8" w:space="0" w:color="auto"/>
              <w:bottom w:val="nil"/>
              <w:right w:val="single" w:sz="8" w:space="0" w:color="auto"/>
            </w:tcBorders>
            <w:shd w:val="clear" w:color="auto" w:fill="auto"/>
            <w:noWrap/>
            <w:vAlign w:val="center"/>
            <w:hideMark/>
          </w:tcPr>
          <w:p w14:paraId="4BBDEE28" w14:textId="77777777" w:rsidR="00D52B78" w:rsidRPr="0038535E" w:rsidRDefault="00D52B78" w:rsidP="0090653C">
            <w:pPr>
              <w:pStyle w:val="ExhibitText"/>
              <w:rPr>
                <w:b/>
                <w:bCs/>
                <w:sz w:val="19"/>
                <w:szCs w:val="19"/>
                <w:lang w:val="en-GB" w:eastAsia="zh-CN"/>
              </w:rPr>
            </w:pPr>
          </w:p>
        </w:tc>
      </w:tr>
      <w:tr w:rsidR="00D52B78" w:rsidRPr="0038535E" w14:paraId="440F3288"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017471B2" w14:textId="77777777" w:rsidR="00D52B78" w:rsidRPr="0038535E" w:rsidRDefault="00D52B78" w:rsidP="0090653C">
            <w:pPr>
              <w:pStyle w:val="ExhibitText"/>
              <w:rPr>
                <w:sz w:val="19"/>
                <w:szCs w:val="19"/>
                <w:lang w:val="en-GB" w:eastAsia="zh-CN"/>
              </w:rPr>
            </w:pPr>
          </w:p>
        </w:tc>
        <w:tc>
          <w:tcPr>
            <w:tcW w:w="2880" w:type="dxa"/>
            <w:gridSpan w:val="5"/>
            <w:tcBorders>
              <w:top w:val="nil"/>
              <w:left w:val="single" w:sz="8" w:space="0" w:color="auto"/>
              <w:bottom w:val="nil"/>
              <w:right w:val="single" w:sz="8" w:space="0" w:color="000000"/>
            </w:tcBorders>
            <w:shd w:val="clear" w:color="auto" w:fill="auto"/>
            <w:noWrap/>
            <w:vAlign w:val="center"/>
            <w:hideMark/>
          </w:tcPr>
          <w:p w14:paraId="6B3A5ED4"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As of December 31,</w:t>
            </w:r>
          </w:p>
        </w:tc>
        <w:tc>
          <w:tcPr>
            <w:tcW w:w="270" w:type="dxa"/>
            <w:tcBorders>
              <w:top w:val="nil"/>
              <w:left w:val="nil"/>
              <w:bottom w:val="nil"/>
              <w:right w:val="nil"/>
            </w:tcBorders>
            <w:shd w:val="clear" w:color="auto" w:fill="auto"/>
            <w:noWrap/>
            <w:vAlign w:val="center"/>
            <w:hideMark/>
          </w:tcPr>
          <w:p w14:paraId="3954C874" w14:textId="77777777" w:rsidR="00D52B78" w:rsidRPr="0038535E" w:rsidRDefault="00D52B78" w:rsidP="0090653C">
            <w:pPr>
              <w:pStyle w:val="ExhibitText"/>
              <w:rPr>
                <w:b/>
                <w:bCs/>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049ADCA4" w14:textId="77777777" w:rsidR="00D52B78" w:rsidRPr="0038535E" w:rsidRDefault="0090653C" w:rsidP="0090653C">
            <w:pPr>
              <w:pStyle w:val="ExhibitText"/>
              <w:rPr>
                <w:b/>
                <w:bCs/>
                <w:sz w:val="19"/>
                <w:szCs w:val="19"/>
                <w:lang w:val="en-GB" w:eastAsia="zh-CN"/>
              </w:rPr>
            </w:pPr>
            <w:r w:rsidRPr="0038535E">
              <w:rPr>
                <w:b/>
                <w:bCs/>
                <w:sz w:val="19"/>
                <w:szCs w:val="19"/>
                <w:lang w:val="en-GB" w:eastAsia="zh-CN"/>
              </w:rPr>
              <w:t xml:space="preserve">As of </w:t>
            </w:r>
            <w:r w:rsidR="00D52B78" w:rsidRPr="0038535E">
              <w:rPr>
                <w:b/>
                <w:bCs/>
                <w:sz w:val="19"/>
                <w:szCs w:val="19"/>
                <w:lang w:val="en-GB" w:eastAsia="zh-CN"/>
              </w:rPr>
              <w:t>March 31,</w:t>
            </w:r>
          </w:p>
        </w:tc>
      </w:tr>
      <w:tr w:rsidR="00D52B78" w:rsidRPr="0038535E" w14:paraId="5782F517"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161252AA" w14:textId="77777777" w:rsidR="00D52B78" w:rsidRPr="0038535E" w:rsidRDefault="00D52B78" w:rsidP="0090653C">
            <w:pPr>
              <w:pStyle w:val="ExhibitText"/>
              <w:rPr>
                <w:sz w:val="19"/>
                <w:szCs w:val="19"/>
                <w:lang w:val="en-GB" w:eastAsia="zh-CN"/>
              </w:rPr>
            </w:pPr>
          </w:p>
        </w:tc>
        <w:tc>
          <w:tcPr>
            <w:tcW w:w="990" w:type="dxa"/>
            <w:gridSpan w:val="2"/>
            <w:tcBorders>
              <w:top w:val="single" w:sz="4" w:space="0" w:color="auto"/>
              <w:left w:val="single" w:sz="8" w:space="0" w:color="auto"/>
              <w:bottom w:val="single" w:sz="4" w:space="0" w:color="auto"/>
              <w:right w:val="nil"/>
            </w:tcBorders>
            <w:shd w:val="clear" w:color="auto" w:fill="auto"/>
            <w:noWrap/>
            <w:vAlign w:val="center"/>
            <w:hideMark/>
          </w:tcPr>
          <w:p w14:paraId="57FA13A1"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2011</w:t>
            </w:r>
          </w:p>
        </w:tc>
        <w:tc>
          <w:tcPr>
            <w:tcW w:w="990" w:type="dxa"/>
            <w:tcBorders>
              <w:top w:val="single" w:sz="4" w:space="0" w:color="auto"/>
              <w:left w:val="nil"/>
              <w:bottom w:val="single" w:sz="4" w:space="0" w:color="auto"/>
              <w:right w:val="nil"/>
            </w:tcBorders>
            <w:shd w:val="clear" w:color="auto" w:fill="auto"/>
            <w:noWrap/>
            <w:vAlign w:val="center"/>
            <w:hideMark/>
          </w:tcPr>
          <w:p w14:paraId="2FCFF975"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2012</w:t>
            </w:r>
          </w:p>
        </w:tc>
        <w:tc>
          <w:tcPr>
            <w:tcW w:w="900" w:type="dxa"/>
            <w:gridSpan w:val="2"/>
            <w:tcBorders>
              <w:top w:val="single" w:sz="4" w:space="0" w:color="auto"/>
              <w:left w:val="nil"/>
              <w:bottom w:val="single" w:sz="4" w:space="0" w:color="auto"/>
              <w:right w:val="single" w:sz="8" w:space="0" w:color="auto"/>
            </w:tcBorders>
            <w:shd w:val="clear" w:color="auto" w:fill="auto"/>
            <w:noWrap/>
            <w:vAlign w:val="center"/>
            <w:hideMark/>
          </w:tcPr>
          <w:p w14:paraId="58A1BB8B"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2013</w:t>
            </w:r>
          </w:p>
        </w:tc>
        <w:tc>
          <w:tcPr>
            <w:tcW w:w="270" w:type="dxa"/>
            <w:tcBorders>
              <w:top w:val="nil"/>
              <w:left w:val="nil"/>
              <w:bottom w:val="nil"/>
              <w:right w:val="nil"/>
            </w:tcBorders>
            <w:shd w:val="clear" w:color="auto" w:fill="auto"/>
            <w:noWrap/>
            <w:vAlign w:val="center"/>
            <w:hideMark/>
          </w:tcPr>
          <w:p w14:paraId="4FA4AC9F" w14:textId="77777777" w:rsidR="00D52B78" w:rsidRPr="0038535E" w:rsidRDefault="00D52B78" w:rsidP="0090653C">
            <w:pPr>
              <w:pStyle w:val="ExhibitText"/>
              <w:rPr>
                <w:b/>
                <w:bCs/>
                <w:sz w:val="19"/>
                <w:szCs w:val="19"/>
                <w:lang w:val="en-GB" w:eastAsia="zh-CN"/>
              </w:rPr>
            </w:pPr>
          </w:p>
        </w:tc>
        <w:tc>
          <w:tcPr>
            <w:tcW w:w="2115"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B7F2387"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2014</w:t>
            </w:r>
          </w:p>
        </w:tc>
      </w:tr>
      <w:tr w:rsidR="00D52B78" w:rsidRPr="0038535E" w14:paraId="4657E8CE"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560167B8" w14:textId="77777777" w:rsidR="00D52B78" w:rsidRPr="0038535E" w:rsidRDefault="00D52B78" w:rsidP="0090653C">
            <w:pPr>
              <w:pStyle w:val="ExhibitText"/>
              <w:rPr>
                <w:sz w:val="19"/>
                <w:szCs w:val="19"/>
                <w:lang w:val="en-GB" w:eastAsia="zh-CN"/>
              </w:rPr>
            </w:pPr>
            <w:r w:rsidRPr="0038535E">
              <w:rPr>
                <w:sz w:val="19"/>
                <w:szCs w:val="19"/>
                <w:lang w:val="en-GB" w:eastAsia="zh-CN"/>
              </w:rPr>
              <w:t>Non-current assets</w:t>
            </w:r>
          </w:p>
        </w:tc>
        <w:tc>
          <w:tcPr>
            <w:tcW w:w="990" w:type="dxa"/>
            <w:gridSpan w:val="2"/>
            <w:tcBorders>
              <w:top w:val="nil"/>
              <w:left w:val="single" w:sz="8" w:space="0" w:color="auto"/>
              <w:bottom w:val="single" w:sz="4" w:space="0" w:color="231F20"/>
              <w:right w:val="nil"/>
            </w:tcBorders>
            <w:shd w:val="clear" w:color="auto" w:fill="auto"/>
            <w:noWrap/>
            <w:vAlign w:val="center"/>
            <w:hideMark/>
          </w:tcPr>
          <w:p w14:paraId="0EF4DB0F"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2,179</w:t>
            </w:r>
          </w:p>
        </w:tc>
        <w:tc>
          <w:tcPr>
            <w:tcW w:w="990" w:type="dxa"/>
            <w:tcBorders>
              <w:top w:val="nil"/>
              <w:left w:val="nil"/>
              <w:bottom w:val="single" w:sz="4" w:space="0" w:color="231F20"/>
              <w:right w:val="nil"/>
            </w:tcBorders>
            <w:shd w:val="clear" w:color="auto" w:fill="auto"/>
            <w:noWrap/>
            <w:vAlign w:val="center"/>
            <w:hideMark/>
          </w:tcPr>
          <w:p w14:paraId="6284806D"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2,227</w:t>
            </w:r>
          </w:p>
        </w:tc>
        <w:tc>
          <w:tcPr>
            <w:tcW w:w="900" w:type="dxa"/>
            <w:gridSpan w:val="2"/>
            <w:tcBorders>
              <w:top w:val="nil"/>
              <w:left w:val="nil"/>
              <w:bottom w:val="single" w:sz="4" w:space="0" w:color="231F20"/>
              <w:right w:val="single" w:sz="8" w:space="0" w:color="auto"/>
            </w:tcBorders>
            <w:shd w:val="clear" w:color="auto" w:fill="auto"/>
            <w:noWrap/>
            <w:vAlign w:val="center"/>
            <w:hideMark/>
          </w:tcPr>
          <w:p w14:paraId="103FB55C"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8,989</w:t>
            </w:r>
          </w:p>
        </w:tc>
        <w:tc>
          <w:tcPr>
            <w:tcW w:w="270" w:type="dxa"/>
            <w:tcBorders>
              <w:top w:val="nil"/>
              <w:left w:val="nil"/>
              <w:bottom w:val="nil"/>
              <w:right w:val="nil"/>
            </w:tcBorders>
            <w:shd w:val="clear" w:color="auto" w:fill="auto"/>
            <w:noWrap/>
            <w:vAlign w:val="center"/>
            <w:hideMark/>
          </w:tcPr>
          <w:p w14:paraId="771D4324"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single" w:sz="4" w:space="0" w:color="231F20"/>
              <w:right w:val="single" w:sz="8" w:space="0" w:color="auto"/>
            </w:tcBorders>
            <w:shd w:val="clear" w:color="auto" w:fill="auto"/>
            <w:noWrap/>
            <w:vAlign w:val="center"/>
            <w:hideMark/>
          </w:tcPr>
          <w:p w14:paraId="38A5A92D"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8,904</w:t>
            </w:r>
          </w:p>
        </w:tc>
      </w:tr>
      <w:tr w:rsidR="00D52B78" w:rsidRPr="0038535E" w14:paraId="4DA20755"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358B0F49" w14:textId="77777777" w:rsidR="00D52B78" w:rsidRPr="0038535E" w:rsidRDefault="00D52B78" w:rsidP="0090653C">
            <w:pPr>
              <w:pStyle w:val="ExhibitText"/>
              <w:rPr>
                <w:sz w:val="19"/>
                <w:szCs w:val="19"/>
                <w:lang w:val="en-GB" w:eastAsia="zh-CN"/>
              </w:rPr>
            </w:pPr>
            <w:r w:rsidRPr="0038535E">
              <w:rPr>
                <w:sz w:val="19"/>
                <w:szCs w:val="19"/>
                <w:lang w:val="en-GB" w:eastAsia="zh-CN"/>
              </w:rPr>
              <w:t xml:space="preserve">Current assets </w:t>
            </w:r>
          </w:p>
        </w:tc>
        <w:tc>
          <w:tcPr>
            <w:tcW w:w="990" w:type="dxa"/>
            <w:gridSpan w:val="2"/>
            <w:tcBorders>
              <w:top w:val="nil"/>
              <w:left w:val="single" w:sz="8" w:space="0" w:color="auto"/>
              <w:bottom w:val="nil"/>
              <w:right w:val="nil"/>
            </w:tcBorders>
            <w:shd w:val="clear" w:color="auto" w:fill="auto"/>
            <w:noWrap/>
            <w:vAlign w:val="center"/>
            <w:hideMark/>
          </w:tcPr>
          <w:p w14:paraId="32D6454D"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1,703</w:t>
            </w:r>
          </w:p>
        </w:tc>
        <w:tc>
          <w:tcPr>
            <w:tcW w:w="990" w:type="dxa"/>
            <w:tcBorders>
              <w:top w:val="nil"/>
              <w:left w:val="nil"/>
              <w:bottom w:val="nil"/>
              <w:right w:val="nil"/>
            </w:tcBorders>
            <w:shd w:val="clear" w:color="auto" w:fill="auto"/>
            <w:noWrap/>
            <w:vAlign w:val="center"/>
            <w:hideMark/>
          </w:tcPr>
          <w:p w14:paraId="612D7662"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1,270</w:t>
            </w:r>
          </w:p>
        </w:tc>
        <w:tc>
          <w:tcPr>
            <w:tcW w:w="900" w:type="dxa"/>
            <w:gridSpan w:val="2"/>
            <w:tcBorders>
              <w:top w:val="nil"/>
              <w:left w:val="nil"/>
              <w:bottom w:val="nil"/>
              <w:right w:val="single" w:sz="8" w:space="0" w:color="auto"/>
            </w:tcBorders>
            <w:shd w:val="clear" w:color="auto" w:fill="auto"/>
            <w:noWrap/>
            <w:vAlign w:val="center"/>
            <w:hideMark/>
          </w:tcPr>
          <w:p w14:paraId="28237E85"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5,167</w:t>
            </w:r>
          </w:p>
        </w:tc>
        <w:tc>
          <w:tcPr>
            <w:tcW w:w="270" w:type="dxa"/>
            <w:tcBorders>
              <w:top w:val="nil"/>
              <w:left w:val="nil"/>
              <w:bottom w:val="nil"/>
              <w:right w:val="nil"/>
            </w:tcBorders>
            <w:shd w:val="clear" w:color="auto" w:fill="auto"/>
            <w:noWrap/>
            <w:vAlign w:val="center"/>
            <w:hideMark/>
          </w:tcPr>
          <w:p w14:paraId="74B983E3"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0C0597ED"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5,735</w:t>
            </w:r>
          </w:p>
        </w:tc>
      </w:tr>
      <w:tr w:rsidR="00D52B78" w:rsidRPr="0038535E" w14:paraId="1547BE00"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5C003679" w14:textId="77777777" w:rsidR="00D52B78" w:rsidRPr="0038535E" w:rsidRDefault="00D52B78" w:rsidP="0090653C">
            <w:pPr>
              <w:pStyle w:val="ExhibitText"/>
              <w:rPr>
                <w:sz w:val="19"/>
                <w:szCs w:val="19"/>
                <w:lang w:val="en-GB" w:eastAsia="zh-CN"/>
              </w:rPr>
            </w:pPr>
            <w:r w:rsidRPr="0038535E">
              <w:rPr>
                <w:sz w:val="19"/>
                <w:szCs w:val="19"/>
                <w:lang w:val="en-GB" w:eastAsia="zh-CN"/>
              </w:rPr>
              <w:t>Current liabilities</w:t>
            </w:r>
          </w:p>
        </w:tc>
        <w:tc>
          <w:tcPr>
            <w:tcW w:w="990" w:type="dxa"/>
            <w:gridSpan w:val="2"/>
            <w:tcBorders>
              <w:top w:val="nil"/>
              <w:left w:val="single" w:sz="8" w:space="0" w:color="auto"/>
              <w:bottom w:val="single" w:sz="4" w:space="0" w:color="231F20"/>
              <w:right w:val="nil"/>
            </w:tcBorders>
            <w:shd w:val="clear" w:color="auto" w:fill="auto"/>
            <w:noWrap/>
            <w:vAlign w:val="center"/>
            <w:hideMark/>
          </w:tcPr>
          <w:p w14:paraId="0F369DB2"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1,619</w:t>
            </w:r>
          </w:p>
        </w:tc>
        <w:tc>
          <w:tcPr>
            <w:tcW w:w="990" w:type="dxa"/>
            <w:tcBorders>
              <w:top w:val="nil"/>
              <w:left w:val="nil"/>
              <w:bottom w:val="single" w:sz="4" w:space="0" w:color="231F20"/>
              <w:right w:val="nil"/>
            </w:tcBorders>
            <w:shd w:val="clear" w:color="auto" w:fill="auto"/>
            <w:noWrap/>
            <w:vAlign w:val="center"/>
            <w:hideMark/>
          </w:tcPr>
          <w:p w14:paraId="3D4C720F"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788</w:t>
            </w:r>
          </w:p>
        </w:tc>
        <w:tc>
          <w:tcPr>
            <w:tcW w:w="900" w:type="dxa"/>
            <w:gridSpan w:val="2"/>
            <w:tcBorders>
              <w:top w:val="nil"/>
              <w:left w:val="nil"/>
              <w:bottom w:val="single" w:sz="4" w:space="0" w:color="231F20"/>
              <w:right w:val="single" w:sz="8" w:space="0" w:color="auto"/>
            </w:tcBorders>
            <w:shd w:val="clear" w:color="auto" w:fill="auto"/>
            <w:noWrap/>
            <w:vAlign w:val="center"/>
            <w:hideMark/>
          </w:tcPr>
          <w:p w14:paraId="38C06C5C"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2,822</w:t>
            </w:r>
          </w:p>
        </w:tc>
        <w:tc>
          <w:tcPr>
            <w:tcW w:w="270" w:type="dxa"/>
            <w:tcBorders>
              <w:top w:val="nil"/>
              <w:left w:val="nil"/>
              <w:bottom w:val="nil"/>
              <w:right w:val="nil"/>
            </w:tcBorders>
            <w:shd w:val="clear" w:color="auto" w:fill="auto"/>
            <w:noWrap/>
            <w:vAlign w:val="center"/>
            <w:hideMark/>
          </w:tcPr>
          <w:p w14:paraId="4909E721"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single" w:sz="4" w:space="0" w:color="231F20"/>
              <w:right w:val="single" w:sz="8" w:space="0" w:color="auto"/>
            </w:tcBorders>
            <w:shd w:val="clear" w:color="auto" w:fill="auto"/>
            <w:noWrap/>
            <w:vAlign w:val="center"/>
            <w:hideMark/>
          </w:tcPr>
          <w:p w14:paraId="1BF4B16F"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2,892</w:t>
            </w:r>
          </w:p>
        </w:tc>
      </w:tr>
      <w:tr w:rsidR="00D52B78" w:rsidRPr="0038535E" w14:paraId="5EC7FE4F"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7C50D532" w14:textId="77777777" w:rsidR="00D52B78" w:rsidRPr="0038535E" w:rsidRDefault="00D52B78" w:rsidP="0090653C">
            <w:pPr>
              <w:pStyle w:val="ExhibitText"/>
              <w:rPr>
                <w:sz w:val="19"/>
                <w:szCs w:val="19"/>
                <w:lang w:val="en-GB" w:eastAsia="zh-CN"/>
              </w:rPr>
            </w:pPr>
            <w:r w:rsidRPr="0038535E">
              <w:rPr>
                <w:sz w:val="19"/>
                <w:szCs w:val="19"/>
                <w:lang w:val="en-GB" w:eastAsia="zh-CN"/>
              </w:rPr>
              <w:t>Net current assets</w:t>
            </w:r>
          </w:p>
        </w:tc>
        <w:tc>
          <w:tcPr>
            <w:tcW w:w="990" w:type="dxa"/>
            <w:gridSpan w:val="2"/>
            <w:tcBorders>
              <w:top w:val="nil"/>
              <w:left w:val="single" w:sz="8" w:space="0" w:color="auto"/>
              <w:bottom w:val="single" w:sz="4" w:space="0" w:color="231F20"/>
              <w:right w:val="nil"/>
            </w:tcBorders>
            <w:shd w:val="clear" w:color="auto" w:fill="auto"/>
            <w:noWrap/>
            <w:vAlign w:val="center"/>
            <w:hideMark/>
          </w:tcPr>
          <w:p w14:paraId="440FDF24"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84</w:t>
            </w:r>
          </w:p>
        </w:tc>
        <w:tc>
          <w:tcPr>
            <w:tcW w:w="990" w:type="dxa"/>
            <w:tcBorders>
              <w:top w:val="nil"/>
              <w:left w:val="nil"/>
              <w:bottom w:val="single" w:sz="4" w:space="0" w:color="231F20"/>
              <w:right w:val="nil"/>
            </w:tcBorders>
            <w:shd w:val="clear" w:color="auto" w:fill="auto"/>
            <w:noWrap/>
            <w:vAlign w:val="center"/>
            <w:hideMark/>
          </w:tcPr>
          <w:p w14:paraId="2FF04B36"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482</w:t>
            </w:r>
          </w:p>
        </w:tc>
        <w:tc>
          <w:tcPr>
            <w:tcW w:w="900" w:type="dxa"/>
            <w:gridSpan w:val="2"/>
            <w:tcBorders>
              <w:top w:val="nil"/>
              <w:left w:val="nil"/>
              <w:bottom w:val="single" w:sz="4" w:space="0" w:color="231F20"/>
              <w:right w:val="single" w:sz="8" w:space="0" w:color="auto"/>
            </w:tcBorders>
            <w:shd w:val="clear" w:color="auto" w:fill="auto"/>
            <w:noWrap/>
            <w:vAlign w:val="center"/>
            <w:hideMark/>
          </w:tcPr>
          <w:p w14:paraId="30821602"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2,345</w:t>
            </w:r>
          </w:p>
        </w:tc>
        <w:tc>
          <w:tcPr>
            <w:tcW w:w="270" w:type="dxa"/>
            <w:tcBorders>
              <w:top w:val="nil"/>
              <w:left w:val="nil"/>
              <w:bottom w:val="nil"/>
              <w:right w:val="nil"/>
            </w:tcBorders>
            <w:shd w:val="clear" w:color="auto" w:fill="auto"/>
            <w:noWrap/>
            <w:vAlign w:val="center"/>
            <w:hideMark/>
          </w:tcPr>
          <w:p w14:paraId="099317D5"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single" w:sz="4" w:space="0" w:color="231F20"/>
              <w:right w:val="single" w:sz="8" w:space="0" w:color="auto"/>
            </w:tcBorders>
            <w:shd w:val="clear" w:color="auto" w:fill="auto"/>
            <w:noWrap/>
            <w:vAlign w:val="center"/>
            <w:hideMark/>
          </w:tcPr>
          <w:p w14:paraId="6B05F655"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2,843</w:t>
            </w:r>
          </w:p>
        </w:tc>
      </w:tr>
      <w:tr w:rsidR="00D52B78" w:rsidRPr="0038535E" w14:paraId="2BCA1EAF"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3973F80A" w14:textId="77777777" w:rsidR="00D52B78" w:rsidRPr="0038535E" w:rsidRDefault="00D52B78" w:rsidP="0090653C">
            <w:pPr>
              <w:pStyle w:val="ExhibitText"/>
              <w:rPr>
                <w:sz w:val="19"/>
                <w:szCs w:val="19"/>
                <w:lang w:val="en-GB" w:eastAsia="zh-CN"/>
              </w:rPr>
            </w:pPr>
            <w:r w:rsidRPr="0038535E">
              <w:rPr>
                <w:sz w:val="19"/>
                <w:szCs w:val="19"/>
                <w:lang w:val="en-GB" w:eastAsia="zh-CN"/>
              </w:rPr>
              <w:t>Total assets less current liabilities</w:t>
            </w:r>
          </w:p>
        </w:tc>
        <w:tc>
          <w:tcPr>
            <w:tcW w:w="990" w:type="dxa"/>
            <w:gridSpan w:val="2"/>
            <w:tcBorders>
              <w:top w:val="nil"/>
              <w:left w:val="single" w:sz="8" w:space="0" w:color="auto"/>
              <w:bottom w:val="nil"/>
              <w:right w:val="nil"/>
            </w:tcBorders>
            <w:shd w:val="clear" w:color="auto" w:fill="auto"/>
            <w:noWrap/>
            <w:vAlign w:val="center"/>
            <w:hideMark/>
          </w:tcPr>
          <w:p w14:paraId="30FF5B38"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2,263</w:t>
            </w:r>
          </w:p>
        </w:tc>
        <w:tc>
          <w:tcPr>
            <w:tcW w:w="990" w:type="dxa"/>
            <w:tcBorders>
              <w:top w:val="nil"/>
              <w:left w:val="nil"/>
              <w:bottom w:val="nil"/>
              <w:right w:val="nil"/>
            </w:tcBorders>
            <w:shd w:val="clear" w:color="auto" w:fill="auto"/>
            <w:noWrap/>
            <w:vAlign w:val="center"/>
            <w:hideMark/>
          </w:tcPr>
          <w:p w14:paraId="4F5B470A"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2,709</w:t>
            </w:r>
          </w:p>
        </w:tc>
        <w:tc>
          <w:tcPr>
            <w:tcW w:w="900" w:type="dxa"/>
            <w:gridSpan w:val="2"/>
            <w:tcBorders>
              <w:top w:val="nil"/>
              <w:left w:val="nil"/>
              <w:bottom w:val="nil"/>
              <w:right w:val="single" w:sz="8" w:space="0" w:color="auto"/>
            </w:tcBorders>
            <w:shd w:val="clear" w:color="auto" w:fill="auto"/>
            <w:noWrap/>
            <w:vAlign w:val="center"/>
            <w:hideMark/>
          </w:tcPr>
          <w:p w14:paraId="7BC12059"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11,334</w:t>
            </w:r>
          </w:p>
        </w:tc>
        <w:tc>
          <w:tcPr>
            <w:tcW w:w="270" w:type="dxa"/>
            <w:tcBorders>
              <w:top w:val="nil"/>
              <w:left w:val="nil"/>
              <w:bottom w:val="nil"/>
              <w:right w:val="nil"/>
            </w:tcBorders>
            <w:shd w:val="clear" w:color="auto" w:fill="auto"/>
            <w:noWrap/>
            <w:vAlign w:val="center"/>
            <w:hideMark/>
          </w:tcPr>
          <w:p w14:paraId="3B02EEBE"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7A8DC4F7"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11,747</w:t>
            </w:r>
          </w:p>
        </w:tc>
      </w:tr>
      <w:tr w:rsidR="00D52B78" w:rsidRPr="0038535E" w14:paraId="3DD0623C"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0407E93C" w14:textId="77777777" w:rsidR="00D52B78" w:rsidRPr="0038535E" w:rsidRDefault="00D52B78" w:rsidP="0090653C">
            <w:pPr>
              <w:pStyle w:val="ExhibitText"/>
              <w:rPr>
                <w:sz w:val="19"/>
                <w:szCs w:val="19"/>
                <w:lang w:val="en-GB" w:eastAsia="zh-CN"/>
              </w:rPr>
            </w:pPr>
            <w:r w:rsidRPr="0038535E">
              <w:rPr>
                <w:sz w:val="19"/>
                <w:szCs w:val="19"/>
                <w:lang w:val="en-GB" w:eastAsia="zh-CN"/>
              </w:rPr>
              <w:t xml:space="preserve">Non-current liabilities </w:t>
            </w:r>
          </w:p>
        </w:tc>
        <w:tc>
          <w:tcPr>
            <w:tcW w:w="990" w:type="dxa"/>
            <w:gridSpan w:val="2"/>
            <w:tcBorders>
              <w:top w:val="nil"/>
              <w:left w:val="single" w:sz="8" w:space="0" w:color="auto"/>
              <w:bottom w:val="single" w:sz="4" w:space="0" w:color="231F20"/>
              <w:right w:val="nil"/>
            </w:tcBorders>
            <w:shd w:val="clear" w:color="auto" w:fill="auto"/>
            <w:noWrap/>
            <w:vAlign w:val="center"/>
            <w:hideMark/>
          </w:tcPr>
          <w:p w14:paraId="3E8B451D"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130</w:t>
            </w:r>
          </w:p>
        </w:tc>
        <w:tc>
          <w:tcPr>
            <w:tcW w:w="990" w:type="dxa"/>
            <w:tcBorders>
              <w:top w:val="nil"/>
              <w:left w:val="nil"/>
              <w:bottom w:val="single" w:sz="4" w:space="0" w:color="231F20"/>
              <w:right w:val="nil"/>
            </w:tcBorders>
            <w:shd w:val="clear" w:color="auto" w:fill="auto"/>
            <w:noWrap/>
            <w:vAlign w:val="center"/>
            <w:hideMark/>
          </w:tcPr>
          <w:p w14:paraId="7FE74AB7"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159</w:t>
            </w:r>
          </w:p>
        </w:tc>
        <w:tc>
          <w:tcPr>
            <w:tcW w:w="900" w:type="dxa"/>
            <w:gridSpan w:val="2"/>
            <w:tcBorders>
              <w:top w:val="nil"/>
              <w:left w:val="nil"/>
              <w:bottom w:val="single" w:sz="4" w:space="0" w:color="231F20"/>
              <w:right w:val="single" w:sz="8" w:space="0" w:color="auto"/>
            </w:tcBorders>
            <w:shd w:val="clear" w:color="auto" w:fill="auto"/>
            <w:noWrap/>
            <w:vAlign w:val="center"/>
            <w:hideMark/>
          </w:tcPr>
          <w:p w14:paraId="672A3EDF"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8,196</w:t>
            </w:r>
          </w:p>
        </w:tc>
        <w:tc>
          <w:tcPr>
            <w:tcW w:w="270" w:type="dxa"/>
            <w:tcBorders>
              <w:top w:val="nil"/>
              <w:left w:val="nil"/>
              <w:bottom w:val="nil"/>
              <w:right w:val="nil"/>
            </w:tcBorders>
            <w:shd w:val="clear" w:color="auto" w:fill="auto"/>
            <w:noWrap/>
            <w:vAlign w:val="center"/>
            <w:hideMark/>
          </w:tcPr>
          <w:p w14:paraId="5ABADC88"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single" w:sz="4" w:space="0" w:color="231F20"/>
              <w:right w:val="single" w:sz="8" w:space="0" w:color="auto"/>
            </w:tcBorders>
            <w:shd w:val="clear" w:color="auto" w:fill="auto"/>
            <w:noWrap/>
            <w:vAlign w:val="center"/>
            <w:hideMark/>
          </w:tcPr>
          <w:p w14:paraId="4DAB4059"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8,562</w:t>
            </w:r>
          </w:p>
        </w:tc>
      </w:tr>
      <w:tr w:rsidR="00D52B78" w:rsidRPr="0038535E" w14:paraId="6156A0FB"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7E5571B5"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Net assets</w:t>
            </w:r>
          </w:p>
        </w:tc>
        <w:tc>
          <w:tcPr>
            <w:tcW w:w="990" w:type="dxa"/>
            <w:gridSpan w:val="2"/>
            <w:tcBorders>
              <w:top w:val="nil"/>
              <w:left w:val="single" w:sz="8" w:space="0" w:color="auto"/>
              <w:bottom w:val="nil"/>
              <w:right w:val="nil"/>
            </w:tcBorders>
            <w:shd w:val="clear" w:color="auto" w:fill="auto"/>
            <w:noWrap/>
            <w:vAlign w:val="center"/>
            <w:hideMark/>
          </w:tcPr>
          <w:p w14:paraId="2EF82BC2" w14:textId="77777777" w:rsidR="00D52B78" w:rsidRPr="0038535E" w:rsidRDefault="00D52B78" w:rsidP="008A4EF3">
            <w:pPr>
              <w:pStyle w:val="ExhibitText"/>
              <w:jc w:val="left"/>
              <w:rPr>
                <w:b/>
                <w:bCs/>
                <w:sz w:val="19"/>
                <w:szCs w:val="19"/>
                <w:lang w:val="en-GB" w:eastAsia="zh-CN"/>
              </w:rPr>
            </w:pPr>
            <w:r w:rsidRPr="0038535E">
              <w:rPr>
                <w:b/>
                <w:bCs/>
                <w:sz w:val="19"/>
                <w:szCs w:val="19"/>
                <w:lang w:val="en-GB" w:eastAsia="zh-CN"/>
              </w:rPr>
              <w:t>2,133</w:t>
            </w:r>
          </w:p>
        </w:tc>
        <w:tc>
          <w:tcPr>
            <w:tcW w:w="990" w:type="dxa"/>
            <w:tcBorders>
              <w:top w:val="nil"/>
              <w:left w:val="nil"/>
              <w:bottom w:val="nil"/>
              <w:right w:val="nil"/>
            </w:tcBorders>
            <w:shd w:val="clear" w:color="auto" w:fill="auto"/>
            <w:noWrap/>
            <w:vAlign w:val="center"/>
            <w:hideMark/>
          </w:tcPr>
          <w:p w14:paraId="01B386D3" w14:textId="77777777" w:rsidR="00D52B78" w:rsidRPr="0038535E" w:rsidRDefault="00D52B78" w:rsidP="008A4EF3">
            <w:pPr>
              <w:pStyle w:val="ExhibitText"/>
              <w:jc w:val="left"/>
              <w:rPr>
                <w:b/>
                <w:bCs/>
                <w:sz w:val="19"/>
                <w:szCs w:val="19"/>
                <w:lang w:val="en-GB" w:eastAsia="zh-CN"/>
              </w:rPr>
            </w:pPr>
            <w:r w:rsidRPr="0038535E">
              <w:rPr>
                <w:b/>
                <w:bCs/>
                <w:sz w:val="19"/>
                <w:szCs w:val="19"/>
                <w:lang w:val="en-GB" w:eastAsia="zh-CN"/>
              </w:rPr>
              <w:t>2,550</w:t>
            </w:r>
          </w:p>
        </w:tc>
        <w:tc>
          <w:tcPr>
            <w:tcW w:w="900" w:type="dxa"/>
            <w:gridSpan w:val="2"/>
            <w:tcBorders>
              <w:top w:val="nil"/>
              <w:left w:val="nil"/>
              <w:bottom w:val="nil"/>
              <w:right w:val="single" w:sz="8" w:space="0" w:color="auto"/>
            </w:tcBorders>
            <w:shd w:val="clear" w:color="auto" w:fill="auto"/>
            <w:noWrap/>
            <w:vAlign w:val="center"/>
            <w:hideMark/>
          </w:tcPr>
          <w:p w14:paraId="5F47FBDB" w14:textId="77777777" w:rsidR="00D52B78" w:rsidRPr="0038535E" w:rsidRDefault="008A4EF3" w:rsidP="008A4EF3">
            <w:pPr>
              <w:pStyle w:val="ExhibitText"/>
              <w:jc w:val="left"/>
              <w:rPr>
                <w:b/>
                <w:bCs/>
                <w:sz w:val="19"/>
                <w:szCs w:val="19"/>
                <w:lang w:val="en-GB" w:eastAsia="zh-CN"/>
              </w:rPr>
            </w:pPr>
            <w:r w:rsidRPr="0038535E">
              <w:rPr>
                <w:b/>
                <w:bCs/>
                <w:sz w:val="19"/>
                <w:szCs w:val="19"/>
                <w:lang w:val="en-GB" w:eastAsia="zh-CN"/>
              </w:rPr>
              <w:t xml:space="preserve">  </w:t>
            </w:r>
            <w:r w:rsidR="00D52B78" w:rsidRPr="0038535E">
              <w:rPr>
                <w:b/>
                <w:bCs/>
                <w:sz w:val="19"/>
                <w:szCs w:val="19"/>
                <w:lang w:val="en-GB" w:eastAsia="zh-CN"/>
              </w:rPr>
              <w:t>3,138</w:t>
            </w:r>
          </w:p>
        </w:tc>
        <w:tc>
          <w:tcPr>
            <w:tcW w:w="270" w:type="dxa"/>
            <w:tcBorders>
              <w:top w:val="nil"/>
              <w:left w:val="nil"/>
              <w:bottom w:val="nil"/>
              <w:right w:val="nil"/>
            </w:tcBorders>
            <w:shd w:val="clear" w:color="auto" w:fill="auto"/>
            <w:noWrap/>
            <w:vAlign w:val="center"/>
            <w:hideMark/>
          </w:tcPr>
          <w:p w14:paraId="6795EB08" w14:textId="77777777" w:rsidR="00D52B78" w:rsidRPr="0038535E" w:rsidRDefault="00D52B78" w:rsidP="008A4EF3">
            <w:pPr>
              <w:pStyle w:val="ExhibitText"/>
              <w:jc w:val="left"/>
              <w:rPr>
                <w:b/>
                <w:bCs/>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7D668704" w14:textId="77777777" w:rsidR="00D52B78" w:rsidRPr="0038535E" w:rsidRDefault="008A4EF3" w:rsidP="008A4EF3">
            <w:pPr>
              <w:pStyle w:val="ExhibitText"/>
              <w:jc w:val="left"/>
              <w:rPr>
                <w:b/>
                <w:bCs/>
                <w:sz w:val="19"/>
                <w:szCs w:val="19"/>
                <w:lang w:val="en-GB" w:eastAsia="zh-CN"/>
              </w:rPr>
            </w:pPr>
            <w:r w:rsidRPr="0038535E">
              <w:rPr>
                <w:b/>
                <w:bCs/>
                <w:sz w:val="19"/>
                <w:szCs w:val="19"/>
                <w:lang w:val="en-GB" w:eastAsia="zh-CN"/>
              </w:rPr>
              <w:t xml:space="preserve">  </w:t>
            </w:r>
            <w:r w:rsidR="00D52B78" w:rsidRPr="0038535E">
              <w:rPr>
                <w:b/>
                <w:bCs/>
                <w:sz w:val="19"/>
                <w:szCs w:val="19"/>
                <w:lang w:val="en-GB" w:eastAsia="zh-CN"/>
              </w:rPr>
              <w:t>3,185</w:t>
            </w:r>
          </w:p>
        </w:tc>
      </w:tr>
      <w:tr w:rsidR="00D52B78" w:rsidRPr="0038535E" w14:paraId="6704EE43"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536AB930" w14:textId="77777777" w:rsidR="00D52B78" w:rsidRPr="0038535E" w:rsidRDefault="00D52B78" w:rsidP="0090653C">
            <w:pPr>
              <w:pStyle w:val="ExhibitText"/>
              <w:rPr>
                <w:sz w:val="19"/>
                <w:szCs w:val="19"/>
                <w:lang w:val="en-GB" w:eastAsia="zh-CN"/>
              </w:rPr>
            </w:pPr>
          </w:p>
        </w:tc>
        <w:tc>
          <w:tcPr>
            <w:tcW w:w="990" w:type="dxa"/>
            <w:gridSpan w:val="2"/>
            <w:tcBorders>
              <w:top w:val="nil"/>
              <w:left w:val="single" w:sz="8" w:space="0" w:color="auto"/>
              <w:bottom w:val="nil"/>
              <w:right w:val="nil"/>
            </w:tcBorders>
            <w:shd w:val="clear" w:color="auto" w:fill="auto"/>
            <w:noWrap/>
            <w:vAlign w:val="center"/>
            <w:hideMark/>
          </w:tcPr>
          <w:p w14:paraId="404F57E1" w14:textId="77777777" w:rsidR="00D52B78" w:rsidRPr="0038535E" w:rsidRDefault="00D52B78" w:rsidP="008A4EF3">
            <w:pPr>
              <w:pStyle w:val="ExhibitText"/>
              <w:jc w:val="left"/>
              <w:rPr>
                <w:sz w:val="19"/>
                <w:szCs w:val="19"/>
                <w:lang w:val="en-GB" w:eastAsia="zh-CN"/>
              </w:rPr>
            </w:pPr>
          </w:p>
        </w:tc>
        <w:tc>
          <w:tcPr>
            <w:tcW w:w="990" w:type="dxa"/>
            <w:tcBorders>
              <w:top w:val="nil"/>
              <w:left w:val="nil"/>
              <w:bottom w:val="nil"/>
              <w:right w:val="nil"/>
            </w:tcBorders>
            <w:shd w:val="clear" w:color="auto" w:fill="auto"/>
            <w:noWrap/>
            <w:vAlign w:val="center"/>
            <w:hideMark/>
          </w:tcPr>
          <w:p w14:paraId="3EEB2CBA" w14:textId="77777777" w:rsidR="00D52B78" w:rsidRPr="0038535E" w:rsidRDefault="00D52B78" w:rsidP="008A4EF3">
            <w:pPr>
              <w:pStyle w:val="ExhibitText"/>
              <w:jc w:val="left"/>
              <w:rPr>
                <w:sz w:val="19"/>
                <w:szCs w:val="19"/>
                <w:lang w:val="en-GB" w:eastAsia="zh-CN"/>
              </w:rPr>
            </w:pPr>
          </w:p>
        </w:tc>
        <w:tc>
          <w:tcPr>
            <w:tcW w:w="900" w:type="dxa"/>
            <w:gridSpan w:val="2"/>
            <w:tcBorders>
              <w:top w:val="nil"/>
              <w:left w:val="nil"/>
              <w:bottom w:val="nil"/>
              <w:right w:val="single" w:sz="8" w:space="0" w:color="auto"/>
            </w:tcBorders>
            <w:shd w:val="clear" w:color="auto" w:fill="auto"/>
            <w:noWrap/>
            <w:vAlign w:val="center"/>
            <w:hideMark/>
          </w:tcPr>
          <w:p w14:paraId="5F1FBB2D" w14:textId="77777777" w:rsidR="00D52B78" w:rsidRPr="0038535E" w:rsidRDefault="00D52B78" w:rsidP="008A4EF3">
            <w:pPr>
              <w:pStyle w:val="ExhibitText"/>
              <w:jc w:val="left"/>
              <w:rPr>
                <w:sz w:val="19"/>
                <w:szCs w:val="19"/>
                <w:lang w:val="en-GB" w:eastAsia="zh-CN"/>
              </w:rPr>
            </w:pPr>
          </w:p>
        </w:tc>
        <w:tc>
          <w:tcPr>
            <w:tcW w:w="270" w:type="dxa"/>
            <w:tcBorders>
              <w:top w:val="nil"/>
              <w:left w:val="nil"/>
              <w:bottom w:val="nil"/>
              <w:right w:val="nil"/>
            </w:tcBorders>
            <w:shd w:val="clear" w:color="auto" w:fill="auto"/>
            <w:noWrap/>
            <w:vAlign w:val="center"/>
            <w:hideMark/>
          </w:tcPr>
          <w:p w14:paraId="5F5CA4DB"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002D5AE7" w14:textId="77777777" w:rsidR="00D52B78" w:rsidRPr="0038535E" w:rsidRDefault="00D52B78" w:rsidP="008A4EF3">
            <w:pPr>
              <w:pStyle w:val="ExhibitText"/>
              <w:jc w:val="left"/>
              <w:rPr>
                <w:sz w:val="19"/>
                <w:szCs w:val="19"/>
                <w:lang w:val="en-GB" w:eastAsia="zh-CN"/>
              </w:rPr>
            </w:pPr>
          </w:p>
        </w:tc>
      </w:tr>
      <w:tr w:rsidR="00D52B78" w:rsidRPr="0038535E" w14:paraId="5CEBF1D1"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43356FD6" w14:textId="77777777" w:rsidR="00D52B78" w:rsidRPr="0038535E" w:rsidRDefault="00D52B78" w:rsidP="0090653C">
            <w:pPr>
              <w:pStyle w:val="ExhibitText"/>
              <w:rPr>
                <w:sz w:val="19"/>
                <w:szCs w:val="19"/>
                <w:lang w:val="en-GB" w:eastAsia="zh-CN"/>
              </w:rPr>
            </w:pPr>
            <w:r w:rsidRPr="0038535E">
              <w:rPr>
                <w:sz w:val="19"/>
                <w:szCs w:val="19"/>
                <w:lang w:val="en-GB" w:eastAsia="zh-CN"/>
              </w:rPr>
              <w:t>Capital and reserves</w:t>
            </w:r>
          </w:p>
        </w:tc>
        <w:tc>
          <w:tcPr>
            <w:tcW w:w="990" w:type="dxa"/>
            <w:gridSpan w:val="2"/>
            <w:tcBorders>
              <w:top w:val="nil"/>
              <w:left w:val="single" w:sz="8" w:space="0" w:color="auto"/>
              <w:bottom w:val="nil"/>
              <w:right w:val="nil"/>
            </w:tcBorders>
            <w:shd w:val="clear" w:color="auto" w:fill="auto"/>
            <w:noWrap/>
            <w:vAlign w:val="center"/>
            <w:hideMark/>
          </w:tcPr>
          <w:p w14:paraId="74103164" w14:textId="77777777" w:rsidR="00D52B78" w:rsidRPr="0038535E" w:rsidRDefault="00D52B78" w:rsidP="008A4EF3">
            <w:pPr>
              <w:pStyle w:val="ExhibitText"/>
              <w:jc w:val="left"/>
              <w:rPr>
                <w:sz w:val="19"/>
                <w:szCs w:val="19"/>
                <w:lang w:val="en-GB" w:eastAsia="zh-CN"/>
              </w:rPr>
            </w:pPr>
          </w:p>
        </w:tc>
        <w:tc>
          <w:tcPr>
            <w:tcW w:w="990" w:type="dxa"/>
            <w:tcBorders>
              <w:top w:val="nil"/>
              <w:left w:val="nil"/>
              <w:bottom w:val="nil"/>
              <w:right w:val="nil"/>
            </w:tcBorders>
            <w:shd w:val="clear" w:color="auto" w:fill="auto"/>
            <w:noWrap/>
            <w:vAlign w:val="center"/>
            <w:hideMark/>
          </w:tcPr>
          <w:p w14:paraId="2C43C290" w14:textId="77777777" w:rsidR="00D52B78" w:rsidRPr="0038535E" w:rsidRDefault="00D52B78" w:rsidP="008A4EF3">
            <w:pPr>
              <w:pStyle w:val="ExhibitText"/>
              <w:jc w:val="left"/>
              <w:rPr>
                <w:sz w:val="19"/>
                <w:szCs w:val="19"/>
                <w:lang w:val="en-GB" w:eastAsia="zh-CN"/>
              </w:rPr>
            </w:pPr>
          </w:p>
        </w:tc>
        <w:tc>
          <w:tcPr>
            <w:tcW w:w="900" w:type="dxa"/>
            <w:gridSpan w:val="2"/>
            <w:tcBorders>
              <w:top w:val="nil"/>
              <w:left w:val="nil"/>
              <w:bottom w:val="nil"/>
              <w:right w:val="single" w:sz="8" w:space="0" w:color="auto"/>
            </w:tcBorders>
            <w:shd w:val="clear" w:color="auto" w:fill="auto"/>
            <w:noWrap/>
            <w:vAlign w:val="center"/>
            <w:hideMark/>
          </w:tcPr>
          <w:p w14:paraId="3E8BE441" w14:textId="77777777" w:rsidR="00D52B78" w:rsidRPr="0038535E" w:rsidRDefault="00D52B78" w:rsidP="008A4EF3">
            <w:pPr>
              <w:pStyle w:val="ExhibitText"/>
              <w:jc w:val="left"/>
              <w:rPr>
                <w:sz w:val="19"/>
                <w:szCs w:val="19"/>
                <w:lang w:val="en-GB" w:eastAsia="zh-CN"/>
              </w:rPr>
            </w:pPr>
          </w:p>
        </w:tc>
        <w:tc>
          <w:tcPr>
            <w:tcW w:w="270" w:type="dxa"/>
            <w:tcBorders>
              <w:top w:val="nil"/>
              <w:left w:val="nil"/>
              <w:bottom w:val="nil"/>
              <w:right w:val="nil"/>
            </w:tcBorders>
            <w:shd w:val="clear" w:color="auto" w:fill="auto"/>
            <w:noWrap/>
            <w:vAlign w:val="center"/>
            <w:hideMark/>
          </w:tcPr>
          <w:p w14:paraId="17C07891"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4DDE1C2E" w14:textId="77777777" w:rsidR="00D52B78" w:rsidRPr="0038535E" w:rsidRDefault="00D52B78" w:rsidP="008A4EF3">
            <w:pPr>
              <w:pStyle w:val="ExhibitText"/>
              <w:jc w:val="left"/>
              <w:rPr>
                <w:sz w:val="19"/>
                <w:szCs w:val="19"/>
                <w:lang w:val="en-GB" w:eastAsia="zh-CN"/>
              </w:rPr>
            </w:pPr>
          </w:p>
        </w:tc>
      </w:tr>
      <w:tr w:rsidR="00D52B78" w:rsidRPr="0038535E" w14:paraId="47EBDE85"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62A8C859" w14:textId="77777777" w:rsidR="00D52B78" w:rsidRPr="0038535E" w:rsidRDefault="00D52B78" w:rsidP="0090653C">
            <w:pPr>
              <w:pStyle w:val="ExhibitText"/>
              <w:rPr>
                <w:sz w:val="19"/>
                <w:szCs w:val="19"/>
                <w:lang w:val="en-GB" w:eastAsia="zh-CN"/>
              </w:rPr>
            </w:pPr>
            <w:r w:rsidRPr="0038535E">
              <w:rPr>
                <w:sz w:val="19"/>
                <w:szCs w:val="19"/>
                <w:lang w:val="en-GB" w:eastAsia="zh-CN"/>
              </w:rPr>
              <w:t xml:space="preserve">Share capital  </w:t>
            </w:r>
          </w:p>
        </w:tc>
        <w:tc>
          <w:tcPr>
            <w:tcW w:w="990" w:type="dxa"/>
            <w:gridSpan w:val="2"/>
            <w:tcBorders>
              <w:top w:val="nil"/>
              <w:left w:val="single" w:sz="8" w:space="0" w:color="auto"/>
              <w:bottom w:val="nil"/>
              <w:right w:val="nil"/>
            </w:tcBorders>
            <w:shd w:val="clear" w:color="auto" w:fill="auto"/>
            <w:noWrap/>
            <w:vAlign w:val="center"/>
            <w:hideMark/>
          </w:tcPr>
          <w:p w14:paraId="001AEDFB"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1</w:t>
            </w:r>
          </w:p>
        </w:tc>
        <w:tc>
          <w:tcPr>
            <w:tcW w:w="990" w:type="dxa"/>
            <w:tcBorders>
              <w:top w:val="nil"/>
              <w:left w:val="nil"/>
              <w:bottom w:val="nil"/>
              <w:right w:val="nil"/>
            </w:tcBorders>
            <w:shd w:val="clear" w:color="auto" w:fill="auto"/>
            <w:noWrap/>
            <w:vAlign w:val="center"/>
            <w:hideMark/>
          </w:tcPr>
          <w:p w14:paraId="24285C06"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1</w:t>
            </w:r>
          </w:p>
        </w:tc>
        <w:tc>
          <w:tcPr>
            <w:tcW w:w="900" w:type="dxa"/>
            <w:gridSpan w:val="2"/>
            <w:tcBorders>
              <w:top w:val="nil"/>
              <w:left w:val="nil"/>
              <w:bottom w:val="nil"/>
              <w:right w:val="single" w:sz="8" w:space="0" w:color="auto"/>
            </w:tcBorders>
            <w:shd w:val="clear" w:color="auto" w:fill="auto"/>
            <w:noWrap/>
            <w:vAlign w:val="center"/>
            <w:hideMark/>
          </w:tcPr>
          <w:p w14:paraId="3B5F219B"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1</w:t>
            </w:r>
          </w:p>
        </w:tc>
        <w:tc>
          <w:tcPr>
            <w:tcW w:w="270" w:type="dxa"/>
            <w:tcBorders>
              <w:top w:val="nil"/>
              <w:left w:val="nil"/>
              <w:bottom w:val="nil"/>
              <w:right w:val="nil"/>
            </w:tcBorders>
            <w:shd w:val="clear" w:color="auto" w:fill="auto"/>
            <w:noWrap/>
            <w:vAlign w:val="center"/>
            <w:hideMark/>
          </w:tcPr>
          <w:p w14:paraId="4B990DDA"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49B5362B"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1</w:t>
            </w:r>
          </w:p>
        </w:tc>
      </w:tr>
      <w:tr w:rsidR="00D52B78" w:rsidRPr="0038535E" w14:paraId="5F651F50"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3EC4786C" w14:textId="77777777" w:rsidR="00D52B78" w:rsidRPr="0038535E" w:rsidRDefault="00D52B78" w:rsidP="0090653C">
            <w:pPr>
              <w:pStyle w:val="ExhibitText"/>
              <w:rPr>
                <w:sz w:val="19"/>
                <w:szCs w:val="19"/>
                <w:lang w:val="en-GB" w:eastAsia="zh-CN"/>
              </w:rPr>
            </w:pPr>
            <w:r w:rsidRPr="0038535E">
              <w:rPr>
                <w:sz w:val="19"/>
                <w:szCs w:val="19"/>
                <w:lang w:val="en-GB" w:eastAsia="zh-CN"/>
              </w:rPr>
              <w:t xml:space="preserve">Reserves   </w:t>
            </w:r>
          </w:p>
        </w:tc>
        <w:tc>
          <w:tcPr>
            <w:tcW w:w="990" w:type="dxa"/>
            <w:gridSpan w:val="2"/>
            <w:tcBorders>
              <w:top w:val="nil"/>
              <w:left w:val="single" w:sz="8" w:space="0" w:color="auto"/>
              <w:bottom w:val="single" w:sz="4" w:space="0" w:color="231F20"/>
              <w:right w:val="nil"/>
            </w:tcBorders>
            <w:shd w:val="clear" w:color="auto" w:fill="auto"/>
            <w:noWrap/>
            <w:vAlign w:val="center"/>
            <w:hideMark/>
          </w:tcPr>
          <w:p w14:paraId="124C947D"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1,547</w:t>
            </w:r>
          </w:p>
        </w:tc>
        <w:tc>
          <w:tcPr>
            <w:tcW w:w="990" w:type="dxa"/>
            <w:tcBorders>
              <w:top w:val="nil"/>
              <w:left w:val="nil"/>
              <w:bottom w:val="single" w:sz="4" w:space="0" w:color="231F20"/>
              <w:right w:val="nil"/>
            </w:tcBorders>
            <w:shd w:val="clear" w:color="auto" w:fill="auto"/>
            <w:noWrap/>
            <w:vAlign w:val="center"/>
            <w:hideMark/>
          </w:tcPr>
          <w:p w14:paraId="1EE93D4E"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1,788</w:t>
            </w:r>
          </w:p>
        </w:tc>
        <w:tc>
          <w:tcPr>
            <w:tcW w:w="900" w:type="dxa"/>
            <w:gridSpan w:val="2"/>
            <w:tcBorders>
              <w:top w:val="nil"/>
              <w:left w:val="nil"/>
              <w:bottom w:val="single" w:sz="4" w:space="0" w:color="231F20"/>
              <w:right w:val="single" w:sz="8" w:space="0" w:color="auto"/>
            </w:tcBorders>
            <w:shd w:val="clear" w:color="auto" w:fill="auto"/>
            <w:noWrap/>
            <w:vAlign w:val="center"/>
            <w:hideMark/>
          </w:tcPr>
          <w:p w14:paraId="74E18E28"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2,274</w:t>
            </w:r>
          </w:p>
        </w:tc>
        <w:tc>
          <w:tcPr>
            <w:tcW w:w="270" w:type="dxa"/>
            <w:tcBorders>
              <w:top w:val="nil"/>
              <w:left w:val="nil"/>
              <w:bottom w:val="nil"/>
              <w:right w:val="nil"/>
            </w:tcBorders>
            <w:shd w:val="clear" w:color="auto" w:fill="auto"/>
            <w:noWrap/>
            <w:vAlign w:val="center"/>
            <w:hideMark/>
          </w:tcPr>
          <w:p w14:paraId="0C1796E9"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single" w:sz="4" w:space="0" w:color="231F20"/>
              <w:right w:val="single" w:sz="8" w:space="0" w:color="auto"/>
            </w:tcBorders>
            <w:shd w:val="clear" w:color="auto" w:fill="auto"/>
            <w:noWrap/>
            <w:vAlign w:val="center"/>
            <w:hideMark/>
          </w:tcPr>
          <w:p w14:paraId="00051E39"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2,422</w:t>
            </w:r>
          </w:p>
        </w:tc>
      </w:tr>
      <w:tr w:rsidR="00D52B78" w:rsidRPr="0038535E" w14:paraId="44D21807"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456F1927" w14:textId="77777777" w:rsidR="00D52B78" w:rsidRPr="0038535E" w:rsidRDefault="00D52B78" w:rsidP="0090653C">
            <w:pPr>
              <w:pStyle w:val="ExhibitText"/>
              <w:rPr>
                <w:sz w:val="19"/>
                <w:szCs w:val="19"/>
                <w:lang w:val="en-GB" w:eastAsia="zh-CN"/>
              </w:rPr>
            </w:pPr>
            <w:r w:rsidRPr="0038535E">
              <w:rPr>
                <w:sz w:val="19"/>
                <w:szCs w:val="19"/>
                <w:lang w:val="en-GB" w:eastAsia="zh-CN"/>
              </w:rPr>
              <w:t>Equity attributable to owners of the</w:t>
            </w:r>
          </w:p>
        </w:tc>
        <w:tc>
          <w:tcPr>
            <w:tcW w:w="990" w:type="dxa"/>
            <w:gridSpan w:val="2"/>
            <w:tcBorders>
              <w:top w:val="nil"/>
              <w:left w:val="single" w:sz="8" w:space="0" w:color="auto"/>
              <w:bottom w:val="nil"/>
              <w:right w:val="nil"/>
            </w:tcBorders>
            <w:shd w:val="clear" w:color="auto" w:fill="auto"/>
            <w:noWrap/>
            <w:vAlign w:val="center"/>
            <w:hideMark/>
          </w:tcPr>
          <w:p w14:paraId="5224D3BE" w14:textId="77777777" w:rsidR="00D52B78" w:rsidRPr="0038535E" w:rsidRDefault="00D52B78" w:rsidP="008A4EF3">
            <w:pPr>
              <w:pStyle w:val="ExhibitText"/>
              <w:jc w:val="left"/>
              <w:rPr>
                <w:sz w:val="19"/>
                <w:szCs w:val="19"/>
                <w:lang w:val="en-GB" w:eastAsia="zh-CN"/>
              </w:rPr>
            </w:pPr>
          </w:p>
        </w:tc>
        <w:tc>
          <w:tcPr>
            <w:tcW w:w="990" w:type="dxa"/>
            <w:tcBorders>
              <w:top w:val="nil"/>
              <w:left w:val="nil"/>
              <w:bottom w:val="nil"/>
              <w:right w:val="nil"/>
            </w:tcBorders>
            <w:shd w:val="clear" w:color="auto" w:fill="auto"/>
            <w:noWrap/>
            <w:vAlign w:val="center"/>
            <w:hideMark/>
          </w:tcPr>
          <w:p w14:paraId="69DC1369" w14:textId="77777777" w:rsidR="00D52B78" w:rsidRPr="0038535E" w:rsidRDefault="00D52B78" w:rsidP="008A4EF3">
            <w:pPr>
              <w:pStyle w:val="ExhibitText"/>
              <w:jc w:val="left"/>
              <w:rPr>
                <w:sz w:val="19"/>
                <w:szCs w:val="19"/>
                <w:lang w:val="en-GB" w:eastAsia="zh-CN"/>
              </w:rPr>
            </w:pPr>
          </w:p>
        </w:tc>
        <w:tc>
          <w:tcPr>
            <w:tcW w:w="900" w:type="dxa"/>
            <w:gridSpan w:val="2"/>
            <w:tcBorders>
              <w:top w:val="nil"/>
              <w:left w:val="nil"/>
              <w:bottom w:val="nil"/>
              <w:right w:val="single" w:sz="8" w:space="0" w:color="auto"/>
            </w:tcBorders>
            <w:shd w:val="clear" w:color="auto" w:fill="auto"/>
            <w:noWrap/>
            <w:vAlign w:val="center"/>
            <w:hideMark/>
          </w:tcPr>
          <w:p w14:paraId="3AE198DC" w14:textId="77777777" w:rsidR="00D52B78" w:rsidRPr="0038535E" w:rsidRDefault="00D52B78" w:rsidP="008A4EF3">
            <w:pPr>
              <w:pStyle w:val="ExhibitText"/>
              <w:jc w:val="left"/>
              <w:rPr>
                <w:sz w:val="19"/>
                <w:szCs w:val="19"/>
                <w:lang w:val="en-GB" w:eastAsia="zh-CN"/>
              </w:rPr>
            </w:pPr>
          </w:p>
        </w:tc>
        <w:tc>
          <w:tcPr>
            <w:tcW w:w="270" w:type="dxa"/>
            <w:tcBorders>
              <w:top w:val="nil"/>
              <w:left w:val="nil"/>
              <w:bottom w:val="nil"/>
              <w:right w:val="nil"/>
            </w:tcBorders>
            <w:shd w:val="clear" w:color="auto" w:fill="auto"/>
            <w:noWrap/>
            <w:vAlign w:val="center"/>
            <w:hideMark/>
          </w:tcPr>
          <w:p w14:paraId="7BB1F11B"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747B9A0F" w14:textId="77777777" w:rsidR="00D52B78" w:rsidRPr="0038535E" w:rsidRDefault="00D52B78" w:rsidP="008A4EF3">
            <w:pPr>
              <w:pStyle w:val="ExhibitText"/>
              <w:jc w:val="left"/>
              <w:rPr>
                <w:sz w:val="19"/>
                <w:szCs w:val="19"/>
                <w:lang w:val="en-GB" w:eastAsia="zh-CN"/>
              </w:rPr>
            </w:pPr>
          </w:p>
        </w:tc>
      </w:tr>
      <w:tr w:rsidR="00D52B78" w:rsidRPr="0038535E" w14:paraId="2324858F"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4AF091A5" w14:textId="2EEBFCEE" w:rsidR="00D52B78" w:rsidRPr="0038535E" w:rsidRDefault="00F769C4" w:rsidP="0090653C">
            <w:pPr>
              <w:pStyle w:val="ExhibitText"/>
              <w:rPr>
                <w:sz w:val="19"/>
                <w:szCs w:val="19"/>
                <w:lang w:val="en-GB" w:eastAsia="zh-CN"/>
              </w:rPr>
            </w:pPr>
            <w:r>
              <w:rPr>
                <w:sz w:val="19"/>
                <w:szCs w:val="19"/>
                <w:lang w:val="en-GB" w:eastAsia="zh-CN"/>
              </w:rPr>
              <w:t>c</w:t>
            </w:r>
            <w:r w:rsidR="00D52B78" w:rsidRPr="0038535E">
              <w:rPr>
                <w:sz w:val="19"/>
                <w:szCs w:val="19"/>
                <w:lang w:val="en-GB" w:eastAsia="zh-CN"/>
              </w:rPr>
              <w:t xml:space="preserve">ompany  </w:t>
            </w:r>
          </w:p>
        </w:tc>
        <w:tc>
          <w:tcPr>
            <w:tcW w:w="990" w:type="dxa"/>
            <w:gridSpan w:val="2"/>
            <w:tcBorders>
              <w:top w:val="nil"/>
              <w:left w:val="single" w:sz="8" w:space="0" w:color="auto"/>
              <w:bottom w:val="nil"/>
              <w:right w:val="nil"/>
            </w:tcBorders>
            <w:shd w:val="clear" w:color="auto" w:fill="auto"/>
            <w:noWrap/>
            <w:vAlign w:val="center"/>
            <w:hideMark/>
          </w:tcPr>
          <w:p w14:paraId="0A103D43"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1,548</w:t>
            </w:r>
          </w:p>
        </w:tc>
        <w:tc>
          <w:tcPr>
            <w:tcW w:w="990" w:type="dxa"/>
            <w:tcBorders>
              <w:top w:val="nil"/>
              <w:left w:val="nil"/>
              <w:bottom w:val="nil"/>
              <w:right w:val="nil"/>
            </w:tcBorders>
            <w:shd w:val="clear" w:color="auto" w:fill="auto"/>
            <w:noWrap/>
            <w:vAlign w:val="center"/>
            <w:hideMark/>
          </w:tcPr>
          <w:p w14:paraId="2C0AF068" w14:textId="77777777" w:rsidR="00D52B78" w:rsidRPr="0038535E" w:rsidRDefault="00D52B78" w:rsidP="008A4EF3">
            <w:pPr>
              <w:pStyle w:val="ExhibitText"/>
              <w:jc w:val="left"/>
              <w:rPr>
                <w:sz w:val="19"/>
                <w:szCs w:val="19"/>
                <w:lang w:val="en-GB" w:eastAsia="zh-CN"/>
              </w:rPr>
            </w:pPr>
            <w:r w:rsidRPr="0038535E">
              <w:rPr>
                <w:sz w:val="19"/>
                <w:szCs w:val="19"/>
                <w:lang w:val="en-GB" w:eastAsia="zh-CN"/>
              </w:rPr>
              <w:t>1,789</w:t>
            </w:r>
          </w:p>
        </w:tc>
        <w:tc>
          <w:tcPr>
            <w:tcW w:w="900" w:type="dxa"/>
            <w:gridSpan w:val="2"/>
            <w:tcBorders>
              <w:top w:val="nil"/>
              <w:left w:val="nil"/>
              <w:bottom w:val="nil"/>
              <w:right w:val="single" w:sz="8" w:space="0" w:color="auto"/>
            </w:tcBorders>
            <w:shd w:val="clear" w:color="auto" w:fill="auto"/>
            <w:noWrap/>
            <w:vAlign w:val="center"/>
            <w:hideMark/>
          </w:tcPr>
          <w:p w14:paraId="3AB5A10B"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2,275</w:t>
            </w:r>
          </w:p>
        </w:tc>
        <w:tc>
          <w:tcPr>
            <w:tcW w:w="270" w:type="dxa"/>
            <w:tcBorders>
              <w:top w:val="nil"/>
              <w:left w:val="nil"/>
              <w:bottom w:val="nil"/>
              <w:right w:val="nil"/>
            </w:tcBorders>
            <w:shd w:val="clear" w:color="auto" w:fill="auto"/>
            <w:noWrap/>
            <w:vAlign w:val="center"/>
            <w:hideMark/>
          </w:tcPr>
          <w:p w14:paraId="64F005F9"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67221FA2"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2,423</w:t>
            </w:r>
          </w:p>
        </w:tc>
      </w:tr>
      <w:tr w:rsidR="00D52B78" w:rsidRPr="0038535E" w14:paraId="2FDD4B2B"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4B249484" w14:textId="77777777" w:rsidR="00D52B78" w:rsidRPr="0038535E" w:rsidRDefault="00D52B78" w:rsidP="0090653C">
            <w:pPr>
              <w:pStyle w:val="ExhibitText"/>
              <w:rPr>
                <w:sz w:val="19"/>
                <w:szCs w:val="19"/>
                <w:lang w:val="en-GB" w:eastAsia="zh-CN"/>
              </w:rPr>
            </w:pPr>
            <w:r w:rsidRPr="0038535E">
              <w:rPr>
                <w:sz w:val="19"/>
                <w:szCs w:val="19"/>
                <w:lang w:val="en-GB" w:eastAsia="zh-CN"/>
              </w:rPr>
              <w:t>Non-controlling interests</w:t>
            </w:r>
          </w:p>
        </w:tc>
        <w:tc>
          <w:tcPr>
            <w:tcW w:w="990" w:type="dxa"/>
            <w:gridSpan w:val="2"/>
            <w:tcBorders>
              <w:top w:val="nil"/>
              <w:left w:val="single" w:sz="8" w:space="0" w:color="auto"/>
              <w:bottom w:val="nil"/>
              <w:right w:val="nil"/>
            </w:tcBorders>
            <w:shd w:val="clear" w:color="auto" w:fill="auto"/>
            <w:noWrap/>
            <w:vAlign w:val="center"/>
            <w:hideMark/>
          </w:tcPr>
          <w:p w14:paraId="5562766D"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585</w:t>
            </w:r>
          </w:p>
        </w:tc>
        <w:tc>
          <w:tcPr>
            <w:tcW w:w="990" w:type="dxa"/>
            <w:tcBorders>
              <w:top w:val="nil"/>
              <w:left w:val="nil"/>
              <w:bottom w:val="nil"/>
              <w:right w:val="nil"/>
            </w:tcBorders>
            <w:shd w:val="clear" w:color="auto" w:fill="auto"/>
            <w:noWrap/>
            <w:vAlign w:val="center"/>
            <w:hideMark/>
          </w:tcPr>
          <w:p w14:paraId="3D6611B5"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761</w:t>
            </w:r>
          </w:p>
        </w:tc>
        <w:tc>
          <w:tcPr>
            <w:tcW w:w="900" w:type="dxa"/>
            <w:gridSpan w:val="2"/>
            <w:tcBorders>
              <w:top w:val="nil"/>
              <w:left w:val="nil"/>
              <w:bottom w:val="nil"/>
              <w:right w:val="single" w:sz="8" w:space="0" w:color="auto"/>
            </w:tcBorders>
            <w:shd w:val="clear" w:color="auto" w:fill="auto"/>
            <w:noWrap/>
            <w:vAlign w:val="center"/>
            <w:hideMark/>
          </w:tcPr>
          <w:p w14:paraId="0FC22BFE"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863</w:t>
            </w:r>
          </w:p>
        </w:tc>
        <w:tc>
          <w:tcPr>
            <w:tcW w:w="270" w:type="dxa"/>
            <w:tcBorders>
              <w:top w:val="nil"/>
              <w:left w:val="nil"/>
              <w:bottom w:val="nil"/>
              <w:right w:val="nil"/>
            </w:tcBorders>
            <w:shd w:val="clear" w:color="auto" w:fill="auto"/>
            <w:noWrap/>
            <w:vAlign w:val="center"/>
            <w:hideMark/>
          </w:tcPr>
          <w:p w14:paraId="271E5D95" w14:textId="77777777" w:rsidR="00D52B78" w:rsidRPr="0038535E" w:rsidRDefault="00D52B78" w:rsidP="008A4EF3">
            <w:pPr>
              <w:pStyle w:val="ExhibitText"/>
              <w:jc w:val="left"/>
              <w:rPr>
                <w:sz w:val="19"/>
                <w:szCs w:val="19"/>
                <w:lang w:val="en-GB" w:eastAsia="zh-CN"/>
              </w:rPr>
            </w:pPr>
          </w:p>
        </w:tc>
        <w:tc>
          <w:tcPr>
            <w:tcW w:w="2115" w:type="dxa"/>
            <w:tcBorders>
              <w:top w:val="nil"/>
              <w:left w:val="single" w:sz="8" w:space="0" w:color="auto"/>
              <w:bottom w:val="nil"/>
              <w:right w:val="single" w:sz="8" w:space="0" w:color="auto"/>
            </w:tcBorders>
            <w:shd w:val="clear" w:color="auto" w:fill="auto"/>
            <w:noWrap/>
            <w:vAlign w:val="center"/>
            <w:hideMark/>
          </w:tcPr>
          <w:p w14:paraId="52F8DA58" w14:textId="77777777" w:rsidR="00D52B78" w:rsidRPr="0038535E" w:rsidRDefault="008A4EF3" w:rsidP="008A4EF3">
            <w:pPr>
              <w:pStyle w:val="ExhibitText"/>
              <w:jc w:val="left"/>
              <w:rPr>
                <w:sz w:val="19"/>
                <w:szCs w:val="19"/>
                <w:lang w:val="en-GB" w:eastAsia="zh-CN"/>
              </w:rPr>
            </w:pPr>
            <w:r w:rsidRPr="0038535E">
              <w:rPr>
                <w:sz w:val="19"/>
                <w:szCs w:val="19"/>
                <w:lang w:val="en-GB" w:eastAsia="zh-CN"/>
              </w:rPr>
              <w:t xml:space="preserve">     </w:t>
            </w:r>
            <w:r w:rsidR="00D52B78" w:rsidRPr="0038535E">
              <w:rPr>
                <w:sz w:val="19"/>
                <w:szCs w:val="19"/>
                <w:lang w:val="en-GB" w:eastAsia="zh-CN"/>
              </w:rPr>
              <w:t>762</w:t>
            </w:r>
          </w:p>
        </w:tc>
      </w:tr>
      <w:tr w:rsidR="00D52B78" w:rsidRPr="0038535E" w14:paraId="36986FA0" w14:textId="77777777" w:rsidTr="00140AC3">
        <w:trPr>
          <w:trHeight w:val="20"/>
          <w:jc w:val="center"/>
        </w:trPr>
        <w:tc>
          <w:tcPr>
            <w:tcW w:w="3240" w:type="dxa"/>
            <w:tcBorders>
              <w:top w:val="nil"/>
              <w:left w:val="nil"/>
              <w:bottom w:val="nil"/>
              <w:right w:val="nil"/>
            </w:tcBorders>
            <w:shd w:val="clear" w:color="auto" w:fill="auto"/>
            <w:noWrap/>
            <w:vAlign w:val="center"/>
            <w:hideMark/>
          </w:tcPr>
          <w:p w14:paraId="57998B5C" w14:textId="77777777" w:rsidR="00D52B78" w:rsidRPr="0038535E" w:rsidRDefault="00D52B78" w:rsidP="0090653C">
            <w:pPr>
              <w:pStyle w:val="ExhibitText"/>
              <w:rPr>
                <w:b/>
                <w:bCs/>
                <w:sz w:val="19"/>
                <w:szCs w:val="19"/>
                <w:lang w:val="en-GB" w:eastAsia="zh-CN"/>
              </w:rPr>
            </w:pPr>
            <w:r w:rsidRPr="0038535E">
              <w:rPr>
                <w:b/>
                <w:bCs/>
                <w:sz w:val="19"/>
                <w:szCs w:val="19"/>
                <w:lang w:val="en-GB" w:eastAsia="zh-CN"/>
              </w:rPr>
              <w:t xml:space="preserve">Total equity </w:t>
            </w:r>
          </w:p>
        </w:tc>
        <w:tc>
          <w:tcPr>
            <w:tcW w:w="990" w:type="dxa"/>
            <w:gridSpan w:val="2"/>
            <w:tcBorders>
              <w:top w:val="single" w:sz="4" w:space="0" w:color="auto"/>
              <w:left w:val="single" w:sz="8" w:space="0" w:color="auto"/>
              <w:bottom w:val="single" w:sz="8" w:space="0" w:color="auto"/>
              <w:right w:val="nil"/>
            </w:tcBorders>
            <w:shd w:val="clear" w:color="auto" w:fill="auto"/>
            <w:noWrap/>
            <w:vAlign w:val="center"/>
            <w:hideMark/>
          </w:tcPr>
          <w:p w14:paraId="388420FD" w14:textId="77777777" w:rsidR="00D52B78" w:rsidRPr="0038535E" w:rsidRDefault="00D52B78" w:rsidP="008A4EF3">
            <w:pPr>
              <w:pStyle w:val="ExhibitText"/>
              <w:jc w:val="left"/>
              <w:rPr>
                <w:b/>
                <w:bCs/>
                <w:sz w:val="19"/>
                <w:szCs w:val="19"/>
                <w:lang w:val="en-GB" w:eastAsia="zh-CN"/>
              </w:rPr>
            </w:pPr>
            <w:r w:rsidRPr="0038535E">
              <w:rPr>
                <w:b/>
                <w:bCs/>
                <w:sz w:val="19"/>
                <w:szCs w:val="19"/>
                <w:lang w:val="en-GB" w:eastAsia="zh-CN"/>
              </w:rPr>
              <w:t>2,133</w:t>
            </w:r>
          </w:p>
        </w:tc>
        <w:tc>
          <w:tcPr>
            <w:tcW w:w="990" w:type="dxa"/>
            <w:tcBorders>
              <w:top w:val="single" w:sz="4" w:space="0" w:color="auto"/>
              <w:left w:val="nil"/>
              <w:bottom w:val="single" w:sz="8" w:space="0" w:color="auto"/>
              <w:right w:val="nil"/>
            </w:tcBorders>
            <w:shd w:val="clear" w:color="auto" w:fill="auto"/>
            <w:noWrap/>
            <w:vAlign w:val="center"/>
            <w:hideMark/>
          </w:tcPr>
          <w:p w14:paraId="3FF25836" w14:textId="77777777" w:rsidR="00D52B78" w:rsidRPr="0038535E" w:rsidRDefault="00D52B78" w:rsidP="008A4EF3">
            <w:pPr>
              <w:pStyle w:val="ExhibitText"/>
              <w:jc w:val="left"/>
              <w:rPr>
                <w:b/>
                <w:bCs/>
                <w:sz w:val="19"/>
                <w:szCs w:val="19"/>
                <w:lang w:val="en-GB" w:eastAsia="zh-CN"/>
              </w:rPr>
            </w:pPr>
            <w:r w:rsidRPr="0038535E">
              <w:rPr>
                <w:b/>
                <w:bCs/>
                <w:sz w:val="19"/>
                <w:szCs w:val="19"/>
                <w:lang w:val="en-GB" w:eastAsia="zh-CN"/>
              </w:rPr>
              <w:t>2,550</w:t>
            </w:r>
          </w:p>
        </w:tc>
        <w:tc>
          <w:tcPr>
            <w:tcW w:w="900" w:type="dxa"/>
            <w:gridSpan w:val="2"/>
            <w:tcBorders>
              <w:top w:val="single" w:sz="4" w:space="0" w:color="auto"/>
              <w:left w:val="nil"/>
              <w:bottom w:val="single" w:sz="8" w:space="0" w:color="auto"/>
              <w:right w:val="single" w:sz="8" w:space="0" w:color="auto"/>
            </w:tcBorders>
            <w:shd w:val="clear" w:color="auto" w:fill="auto"/>
            <w:noWrap/>
            <w:vAlign w:val="center"/>
            <w:hideMark/>
          </w:tcPr>
          <w:p w14:paraId="4F2EE256" w14:textId="77777777" w:rsidR="00D52B78" w:rsidRPr="0038535E" w:rsidRDefault="008A4EF3" w:rsidP="008A4EF3">
            <w:pPr>
              <w:pStyle w:val="ExhibitText"/>
              <w:jc w:val="left"/>
              <w:rPr>
                <w:b/>
                <w:bCs/>
                <w:sz w:val="19"/>
                <w:szCs w:val="19"/>
                <w:lang w:val="en-GB" w:eastAsia="zh-CN"/>
              </w:rPr>
            </w:pPr>
            <w:r w:rsidRPr="0038535E">
              <w:rPr>
                <w:b/>
                <w:bCs/>
                <w:sz w:val="19"/>
                <w:szCs w:val="19"/>
                <w:lang w:val="en-GB" w:eastAsia="zh-CN"/>
              </w:rPr>
              <w:t xml:space="preserve">  </w:t>
            </w:r>
            <w:r w:rsidR="00D52B78" w:rsidRPr="0038535E">
              <w:rPr>
                <w:b/>
                <w:bCs/>
                <w:sz w:val="19"/>
                <w:szCs w:val="19"/>
                <w:lang w:val="en-GB" w:eastAsia="zh-CN"/>
              </w:rPr>
              <w:t>3,138</w:t>
            </w:r>
          </w:p>
        </w:tc>
        <w:tc>
          <w:tcPr>
            <w:tcW w:w="270" w:type="dxa"/>
            <w:tcBorders>
              <w:top w:val="nil"/>
              <w:left w:val="nil"/>
              <w:bottom w:val="nil"/>
              <w:right w:val="nil"/>
            </w:tcBorders>
            <w:shd w:val="clear" w:color="auto" w:fill="auto"/>
            <w:noWrap/>
            <w:vAlign w:val="center"/>
            <w:hideMark/>
          </w:tcPr>
          <w:p w14:paraId="54ADEB76" w14:textId="77777777" w:rsidR="00D52B78" w:rsidRPr="0038535E" w:rsidRDefault="00D52B78" w:rsidP="008A4EF3">
            <w:pPr>
              <w:pStyle w:val="ExhibitText"/>
              <w:jc w:val="left"/>
              <w:rPr>
                <w:b/>
                <w:bCs/>
                <w:sz w:val="19"/>
                <w:szCs w:val="19"/>
                <w:lang w:val="en-GB" w:eastAsia="zh-CN"/>
              </w:rPr>
            </w:pPr>
          </w:p>
        </w:tc>
        <w:tc>
          <w:tcPr>
            <w:tcW w:w="2115"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F2EEF20" w14:textId="77777777" w:rsidR="00D52B78" w:rsidRPr="0038535E" w:rsidRDefault="008A4EF3" w:rsidP="008A4EF3">
            <w:pPr>
              <w:pStyle w:val="ExhibitText"/>
              <w:jc w:val="left"/>
              <w:rPr>
                <w:b/>
                <w:bCs/>
                <w:sz w:val="19"/>
                <w:szCs w:val="19"/>
                <w:lang w:val="en-GB" w:eastAsia="zh-CN"/>
              </w:rPr>
            </w:pPr>
            <w:r w:rsidRPr="0038535E">
              <w:rPr>
                <w:b/>
                <w:bCs/>
                <w:sz w:val="19"/>
                <w:szCs w:val="19"/>
                <w:lang w:val="en-GB" w:eastAsia="zh-CN"/>
              </w:rPr>
              <w:t xml:space="preserve">  </w:t>
            </w:r>
            <w:r w:rsidR="00D52B78" w:rsidRPr="0038535E">
              <w:rPr>
                <w:b/>
                <w:bCs/>
                <w:sz w:val="19"/>
                <w:szCs w:val="19"/>
                <w:lang w:val="en-GB" w:eastAsia="zh-CN"/>
              </w:rPr>
              <w:t>3,185</w:t>
            </w:r>
          </w:p>
        </w:tc>
      </w:tr>
    </w:tbl>
    <w:p w14:paraId="10FF0E2A" w14:textId="77777777" w:rsidR="00D52B78" w:rsidRPr="00D42E2B" w:rsidRDefault="00D52B78" w:rsidP="00D42E2B">
      <w:pPr>
        <w:pStyle w:val="Footnote"/>
        <w:rPr>
          <w:rFonts w:eastAsia="SimSun"/>
        </w:rPr>
      </w:pPr>
    </w:p>
    <w:p w14:paraId="23CF2E36" w14:textId="77777777" w:rsidR="00D52B78" w:rsidRPr="00D42E2B" w:rsidRDefault="00D52B78" w:rsidP="00D42E2B">
      <w:pPr>
        <w:pStyle w:val="Footnote"/>
        <w:rPr>
          <w:rFonts w:eastAsia="SimSun"/>
        </w:rPr>
      </w:pPr>
      <w:r w:rsidRPr="00D42E2B">
        <w:rPr>
          <w:rFonts w:eastAsia="SimSun"/>
        </w:rPr>
        <w:t xml:space="preserve">Source: WH Group IPO Prospectus, </w:t>
      </w:r>
      <w:r w:rsidR="004E327F" w:rsidRPr="00D42E2B">
        <w:rPr>
          <w:rFonts w:eastAsia="SimSun"/>
        </w:rPr>
        <w:t>accessed</w:t>
      </w:r>
      <w:r w:rsidRPr="00D42E2B">
        <w:rPr>
          <w:rFonts w:eastAsia="SimSun"/>
        </w:rPr>
        <w:t xml:space="preserve"> March 3, 2015</w:t>
      </w:r>
      <w:r w:rsidR="004E327F" w:rsidRPr="00D42E2B">
        <w:rPr>
          <w:rFonts w:eastAsia="SimSun"/>
        </w:rPr>
        <w:t>.</w:t>
      </w:r>
    </w:p>
    <w:p w14:paraId="5E2C95FF" w14:textId="77777777" w:rsidR="00AB3DB7" w:rsidRPr="0038535E" w:rsidRDefault="00AB3DB7" w:rsidP="00AB3DB7">
      <w:pPr>
        <w:pStyle w:val="BodyTextMain"/>
        <w:rPr>
          <w:rFonts w:eastAsia="SimSun"/>
          <w:lang w:val="en-GB"/>
        </w:rPr>
      </w:pPr>
      <w:r w:rsidRPr="0038535E">
        <w:rPr>
          <w:rFonts w:eastAsia="SimSun"/>
          <w:lang w:val="en-GB" w:eastAsia="zh-CN"/>
        </w:rPr>
        <w:br w:type="page"/>
      </w:r>
    </w:p>
    <w:p w14:paraId="6F83434E" w14:textId="77777777" w:rsidR="00D52B78" w:rsidRPr="0038535E" w:rsidRDefault="00D52B78" w:rsidP="0090653C">
      <w:pPr>
        <w:pStyle w:val="ExhibitHeading"/>
        <w:rPr>
          <w:rFonts w:eastAsia="SimSun"/>
          <w:lang w:val="en-GB" w:eastAsia="zh-CN"/>
        </w:rPr>
      </w:pPr>
      <w:r w:rsidRPr="0038535E">
        <w:rPr>
          <w:rFonts w:eastAsia="SimSun"/>
          <w:lang w:val="en-GB" w:eastAsia="zh-CN"/>
        </w:rPr>
        <w:lastRenderedPageBreak/>
        <w:t>Exhibit 3: WH Group’S KEY FINANCIAL RATIOS</w:t>
      </w:r>
    </w:p>
    <w:p w14:paraId="19BA0837" w14:textId="77777777" w:rsidR="00D52B78" w:rsidRPr="0038535E" w:rsidRDefault="00D52B78" w:rsidP="00EA1F2E">
      <w:pPr>
        <w:pStyle w:val="BodyTextMain"/>
        <w:rPr>
          <w:rFonts w:eastAsia="SimSun"/>
          <w:lang w:val="en-GB"/>
        </w:rPr>
      </w:pPr>
    </w:p>
    <w:tbl>
      <w:tblPr>
        <w:tblW w:w="0" w:type="auto"/>
        <w:jc w:val="center"/>
        <w:tblLook w:val="04A0" w:firstRow="1" w:lastRow="0" w:firstColumn="1" w:lastColumn="0" w:noHBand="0" w:noVBand="1"/>
      </w:tblPr>
      <w:tblGrid>
        <w:gridCol w:w="2251"/>
        <w:gridCol w:w="784"/>
        <w:gridCol w:w="784"/>
        <w:gridCol w:w="917"/>
        <w:gridCol w:w="222"/>
        <w:gridCol w:w="2262"/>
      </w:tblGrid>
      <w:tr w:rsidR="00D52B78" w:rsidRPr="0038535E" w14:paraId="0182A1ED" w14:textId="77777777" w:rsidTr="00C46AA4">
        <w:trPr>
          <w:trHeight w:val="20"/>
          <w:jc w:val="center"/>
        </w:trPr>
        <w:tc>
          <w:tcPr>
            <w:tcW w:w="0" w:type="auto"/>
            <w:tcBorders>
              <w:top w:val="nil"/>
              <w:left w:val="nil"/>
              <w:bottom w:val="nil"/>
              <w:right w:val="nil"/>
            </w:tcBorders>
            <w:shd w:val="clear" w:color="auto" w:fill="auto"/>
            <w:noWrap/>
            <w:vAlign w:val="center"/>
            <w:hideMark/>
          </w:tcPr>
          <w:p w14:paraId="10D9E9A5" w14:textId="77777777" w:rsidR="00D52B78" w:rsidRPr="0038535E" w:rsidRDefault="00D52B78" w:rsidP="0090653C">
            <w:pPr>
              <w:pStyle w:val="ExhibitText"/>
              <w:rPr>
                <w:lang w:val="en-GB" w:eastAsia="zh-CN"/>
              </w:rPr>
            </w:pPr>
          </w:p>
        </w:tc>
        <w:tc>
          <w:tcPr>
            <w:tcW w:w="0" w:type="auto"/>
            <w:gridSpan w:val="3"/>
            <w:tcBorders>
              <w:top w:val="nil"/>
              <w:left w:val="nil"/>
              <w:bottom w:val="nil"/>
              <w:right w:val="nil"/>
            </w:tcBorders>
            <w:shd w:val="clear" w:color="auto" w:fill="auto"/>
            <w:noWrap/>
            <w:vAlign w:val="center"/>
            <w:hideMark/>
          </w:tcPr>
          <w:p w14:paraId="12E5133F" w14:textId="77777777" w:rsidR="00D52B78" w:rsidRPr="0038535E" w:rsidRDefault="00D52B78" w:rsidP="0090653C">
            <w:pPr>
              <w:pStyle w:val="ExhibitText"/>
              <w:rPr>
                <w:lang w:val="en-GB" w:eastAsia="zh-CN"/>
              </w:rPr>
            </w:pPr>
            <w:r w:rsidRPr="0038535E">
              <w:rPr>
                <w:lang w:val="en-GB" w:eastAsia="zh-CN"/>
              </w:rPr>
              <w:t>Information Released in</w:t>
            </w:r>
          </w:p>
        </w:tc>
        <w:tc>
          <w:tcPr>
            <w:tcW w:w="0" w:type="auto"/>
            <w:tcBorders>
              <w:top w:val="nil"/>
              <w:left w:val="nil"/>
              <w:bottom w:val="nil"/>
              <w:right w:val="nil"/>
            </w:tcBorders>
            <w:shd w:val="clear" w:color="auto" w:fill="auto"/>
            <w:noWrap/>
            <w:vAlign w:val="center"/>
            <w:hideMark/>
          </w:tcPr>
          <w:p w14:paraId="7920031E" w14:textId="77777777" w:rsidR="00D52B78" w:rsidRPr="0038535E" w:rsidRDefault="00D52B78" w:rsidP="0090653C">
            <w:pPr>
              <w:pStyle w:val="ExhibitText"/>
              <w:rPr>
                <w:lang w:val="en-GB" w:eastAsia="zh-CN"/>
              </w:rPr>
            </w:pPr>
          </w:p>
        </w:tc>
        <w:tc>
          <w:tcPr>
            <w:tcW w:w="2262" w:type="dxa"/>
            <w:tcBorders>
              <w:top w:val="nil"/>
              <w:left w:val="nil"/>
              <w:bottom w:val="nil"/>
              <w:right w:val="nil"/>
            </w:tcBorders>
            <w:shd w:val="clear" w:color="auto" w:fill="auto"/>
            <w:noWrap/>
            <w:vAlign w:val="center"/>
            <w:hideMark/>
          </w:tcPr>
          <w:p w14:paraId="5C248EAE" w14:textId="77164ACC" w:rsidR="00D52B78" w:rsidRPr="0038535E" w:rsidRDefault="00D52B78" w:rsidP="0090653C">
            <w:pPr>
              <w:pStyle w:val="ExhibitText"/>
              <w:rPr>
                <w:lang w:val="en-GB" w:eastAsia="zh-CN"/>
              </w:rPr>
            </w:pPr>
            <w:r w:rsidRPr="0038535E">
              <w:rPr>
                <w:lang w:val="en-GB" w:eastAsia="zh-CN"/>
              </w:rPr>
              <w:t xml:space="preserve">Additional </w:t>
            </w:r>
            <w:r w:rsidR="00B24E6F">
              <w:rPr>
                <w:lang w:val="en-GB" w:eastAsia="zh-CN"/>
              </w:rPr>
              <w:t>Information</w:t>
            </w:r>
          </w:p>
        </w:tc>
      </w:tr>
      <w:tr w:rsidR="00D52B78" w:rsidRPr="0038535E" w14:paraId="1F0D8FC7" w14:textId="77777777" w:rsidTr="00C46AA4">
        <w:trPr>
          <w:trHeight w:val="20"/>
          <w:jc w:val="center"/>
        </w:trPr>
        <w:tc>
          <w:tcPr>
            <w:tcW w:w="0" w:type="auto"/>
            <w:tcBorders>
              <w:top w:val="nil"/>
              <w:left w:val="nil"/>
              <w:bottom w:val="nil"/>
              <w:right w:val="nil"/>
            </w:tcBorders>
            <w:shd w:val="clear" w:color="auto" w:fill="auto"/>
            <w:noWrap/>
            <w:vAlign w:val="center"/>
            <w:hideMark/>
          </w:tcPr>
          <w:p w14:paraId="0B8AA61E" w14:textId="77777777" w:rsidR="00D52B78" w:rsidRPr="0038535E" w:rsidRDefault="00D52B78" w:rsidP="0090653C">
            <w:pPr>
              <w:pStyle w:val="ExhibitText"/>
              <w:rPr>
                <w:lang w:val="en-GB" w:eastAsia="zh-CN"/>
              </w:rPr>
            </w:pPr>
          </w:p>
        </w:tc>
        <w:tc>
          <w:tcPr>
            <w:tcW w:w="0" w:type="auto"/>
            <w:gridSpan w:val="3"/>
            <w:tcBorders>
              <w:top w:val="nil"/>
              <w:left w:val="nil"/>
              <w:right w:val="nil"/>
            </w:tcBorders>
            <w:shd w:val="clear" w:color="auto" w:fill="auto"/>
            <w:noWrap/>
            <w:vAlign w:val="center"/>
            <w:hideMark/>
          </w:tcPr>
          <w:p w14:paraId="61137609" w14:textId="77777777" w:rsidR="00D52B78" w:rsidRPr="0038535E" w:rsidRDefault="00D52B78" w:rsidP="0090653C">
            <w:pPr>
              <w:pStyle w:val="ExhibitText"/>
              <w:rPr>
                <w:lang w:val="en-GB" w:eastAsia="zh-CN"/>
              </w:rPr>
            </w:pPr>
            <w:r w:rsidRPr="0038535E">
              <w:rPr>
                <w:lang w:val="en-GB" w:eastAsia="zh-CN"/>
              </w:rPr>
              <w:t>April IPO Prospectus</w:t>
            </w:r>
          </w:p>
        </w:tc>
        <w:tc>
          <w:tcPr>
            <w:tcW w:w="0" w:type="auto"/>
            <w:tcBorders>
              <w:top w:val="nil"/>
              <w:left w:val="nil"/>
              <w:bottom w:val="nil"/>
              <w:right w:val="nil"/>
            </w:tcBorders>
            <w:shd w:val="clear" w:color="auto" w:fill="auto"/>
            <w:noWrap/>
            <w:vAlign w:val="center"/>
            <w:hideMark/>
          </w:tcPr>
          <w:p w14:paraId="42A411E5" w14:textId="77777777" w:rsidR="00D52B78" w:rsidRPr="0038535E" w:rsidRDefault="00D52B78" w:rsidP="0090653C">
            <w:pPr>
              <w:pStyle w:val="ExhibitText"/>
              <w:rPr>
                <w:lang w:val="en-GB" w:eastAsia="zh-CN"/>
              </w:rPr>
            </w:pPr>
          </w:p>
        </w:tc>
        <w:tc>
          <w:tcPr>
            <w:tcW w:w="2262" w:type="dxa"/>
            <w:tcBorders>
              <w:top w:val="nil"/>
              <w:left w:val="nil"/>
              <w:bottom w:val="nil"/>
              <w:right w:val="nil"/>
            </w:tcBorders>
            <w:shd w:val="clear" w:color="auto" w:fill="auto"/>
            <w:noWrap/>
            <w:vAlign w:val="center"/>
            <w:hideMark/>
          </w:tcPr>
          <w:p w14:paraId="2B4F5F73" w14:textId="69CC7200" w:rsidR="00D52B78" w:rsidRPr="0038535E" w:rsidRDefault="00D52B78" w:rsidP="0090653C">
            <w:pPr>
              <w:pStyle w:val="ExhibitText"/>
              <w:rPr>
                <w:lang w:val="en-GB" w:eastAsia="zh-CN"/>
              </w:rPr>
            </w:pPr>
            <w:r w:rsidRPr="0038535E">
              <w:rPr>
                <w:lang w:val="en-GB" w:eastAsia="zh-CN"/>
              </w:rPr>
              <w:t xml:space="preserve">Released </w:t>
            </w:r>
            <w:r w:rsidR="00B24E6F">
              <w:rPr>
                <w:lang w:val="en-GB" w:eastAsia="zh-CN"/>
              </w:rPr>
              <w:t>in July</w:t>
            </w:r>
          </w:p>
        </w:tc>
      </w:tr>
      <w:tr w:rsidR="00D52B78" w:rsidRPr="0038535E" w14:paraId="1BECBF71" w14:textId="77777777" w:rsidTr="00C46AA4">
        <w:trPr>
          <w:trHeight w:val="20"/>
          <w:jc w:val="center"/>
        </w:trPr>
        <w:tc>
          <w:tcPr>
            <w:tcW w:w="0" w:type="auto"/>
            <w:tcBorders>
              <w:top w:val="nil"/>
              <w:left w:val="nil"/>
              <w:bottom w:val="nil"/>
              <w:right w:val="nil"/>
            </w:tcBorders>
            <w:shd w:val="clear" w:color="auto" w:fill="auto"/>
            <w:noWrap/>
            <w:vAlign w:val="center"/>
          </w:tcPr>
          <w:p w14:paraId="66518654" w14:textId="77777777" w:rsidR="00D52B78" w:rsidRPr="0038535E" w:rsidRDefault="00D52B78" w:rsidP="0090653C">
            <w:pPr>
              <w:pStyle w:val="ExhibitText"/>
              <w:rPr>
                <w:lang w:val="en-GB" w:eastAsia="zh-CN"/>
              </w:rPr>
            </w:pPr>
          </w:p>
        </w:tc>
        <w:tc>
          <w:tcPr>
            <w:tcW w:w="0" w:type="auto"/>
            <w:tcBorders>
              <w:top w:val="nil"/>
              <w:left w:val="nil"/>
              <w:bottom w:val="single" w:sz="4" w:space="0" w:color="auto"/>
              <w:right w:val="nil"/>
            </w:tcBorders>
            <w:shd w:val="clear" w:color="auto" w:fill="auto"/>
            <w:noWrap/>
            <w:vAlign w:val="center"/>
          </w:tcPr>
          <w:p w14:paraId="609B37D4" w14:textId="77777777" w:rsidR="00D52B78" w:rsidRPr="0038535E" w:rsidRDefault="00D52B78" w:rsidP="0090653C">
            <w:pPr>
              <w:pStyle w:val="ExhibitText"/>
              <w:rPr>
                <w:lang w:val="en-GB" w:eastAsia="zh-CN"/>
              </w:rPr>
            </w:pPr>
          </w:p>
        </w:tc>
        <w:tc>
          <w:tcPr>
            <w:tcW w:w="0" w:type="auto"/>
            <w:tcBorders>
              <w:top w:val="nil"/>
              <w:left w:val="nil"/>
              <w:bottom w:val="single" w:sz="4" w:space="0" w:color="auto"/>
              <w:right w:val="nil"/>
            </w:tcBorders>
            <w:shd w:val="clear" w:color="auto" w:fill="auto"/>
            <w:noWrap/>
            <w:vAlign w:val="center"/>
          </w:tcPr>
          <w:p w14:paraId="3DB9AEC3" w14:textId="77777777" w:rsidR="00D52B78" w:rsidRPr="0038535E" w:rsidRDefault="00D52B78" w:rsidP="0090653C">
            <w:pPr>
              <w:pStyle w:val="ExhibitText"/>
              <w:rPr>
                <w:lang w:val="en-GB" w:eastAsia="zh-CN"/>
              </w:rPr>
            </w:pPr>
          </w:p>
        </w:tc>
        <w:tc>
          <w:tcPr>
            <w:tcW w:w="0" w:type="auto"/>
            <w:tcBorders>
              <w:top w:val="nil"/>
              <w:left w:val="nil"/>
              <w:bottom w:val="single" w:sz="4" w:space="0" w:color="auto"/>
              <w:right w:val="nil"/>
            </w:tcBorders>
            <w:shd w:val="clear" w:color="auto" w:fill="auto"/>
            <w:noWrap/>
            <w:vAlign w:val="center"/>
          </w:tcPr>
          <w:p w14:paraId="17723427" w14:textId="77777777" w:rsidR="00D52B78" w:rsidRPr="0038535E" w:rsidRDefault="00D52B78" w:rsidP="0090653C">
            <w:pPr>
              <w:pStyle w:val="ExhibitText"/>
              <w:rPr>
                <w:lang w:val="en-GB" w:eastAsia="zh-CN"/>
              </w:rPr>
            </w:pPr>
          </w:p>
        </w:tc>
        <w:tc>
          <w:tcPr>
            <w:tcW w:w="0" w:type="auto"/>
            <w:tcBorders>
              <w:top w:val="nil"/>
              <w:left w:val="nil"/>
              <w:bottom w:val="nil"/>
              <w:right w:val="nil"/>
            </w:tcBorders>
            <w:shd w:val="clear" w:color="auto" w:fill="auto"/>
            <w:noWrap/>
            <w:vAlign w:val="center"/>
          </w:tcPr>
          <w:p w14:paraId="13477052" w14:textId="77777777" w:rsidR="00D52B78" w:rsidRPr="0038535E" w:rsidRDefault="00D52B78" w:rsidP="0090653C">
            <w:pPr>
              <w:pStyle w:val="ExhibitText"/>
              <w:rPr>
                <w:lang w:val="en-GB" w:eastAsia="zh-CN"/>
              </w:rPr>
            </w:pPr>
          </w:p>
        </w:tc>
        <w:tc>
          <w:tcPr>
            <w:tcW w:w="2262" w:type="dxa"/>
            <w:tcBorders>
              <w:top w:val="nil"/>
              <w:left w:val="nil"/>
              <w:bottom w:val="single" w:sz="4" w:space="0" w:color="auto"/>
              <w:right w:val="nil"/>
            </w:tcBorders>
            <w:shd w:val="clear" w:color="auto" w:fill="auto"/>
            <w:noWrap/>
            <w:vAlign w:val="center"/>
          </w:tcPr>
          <w:p w14:paraId="36ACBD73" w14:textId="3FFFE7B0" w:rsidR="00D52B78" w:rsidRPr="0038535E" w:rsidRDefault="00D52B78" w:rsidP="0090653C">
            <w:pPr>
              <w:pStyle w:val="ExhibitText"/>
              <w:rPr>
                <w:lang w:val="en-GB" w:eastAsia="zh-CN"/>
              </w:rPr>
            </w:pPr>
          </w:p>
        </w:tc>
      </w:tr>
      <w:tr w:rsidR="00D52B78" w:rsidRPr="0038535E" w14:paraId="6667D44D" w14:textId="77777777" w:rsidTr="00C46AA4">
        <w:trPr>
          <w:trHeight w:val="20"/>
          <w:jc w:val="center"/>
        </w:trPr>
        <w:tc>
          <w:tcPr>
            <w:tcW w:w="0" w:type="auto"/>
            <w:tcBorders>
              <w:top w:val="nil"/>
              <w:left w:val="nil"/>
              <w:bottom w:val="nil"/>
              <w:right w:val="nil"/>
            </w:tcBorders>
            <w:shd w:val="clear" w:color="auto" w:fill="auto"/>
            <w:noWrap/>
            <w:vAlign w:val="center"/>
            <w:hideMark/>
          </w:tcPr>
          <w:p w14:paraId="647923A5" w14:textId="77777777" w:rsidR="00D52B78" w:rsidRPr="0038535E" w:rsidRDefault="00D52B78" w:rsidP="0090653C">
            <w:pPr>
              <w:pStyle w:val="ExhibitText"/>
              <w:rPr>
                <w:b/>
                <w:bCs/>
                <w:lang w:val="en-GB" w:eastAsia="zh-CN"/>
              </w:rPr>
            </w:pPr>
          </w:p>
        </w:tc>
        <w:tc>
          <w:tcPr>
            <w:tcW w:w="0" w:type="auto"/>
            <w:tcBorders>
              <w:top w:val="single" w:sz="4" w:space="0" w:color="auto"/>
              <w:left w:val="single" w:sz="8" w:space="0" w:color="auto"/>
              <w:bottom w:val="nil"/>
              <w:right w:val="nil"/>
            </w:tcBorders>
            <w:shd w:val="clear" w:color="auto" w:fill="auto"/>
            <w:noWrap/>
            <w:vAlign w:val="center"/>
            <w:hideMark/>
          </w:tcPr>
          <w:p w14:paraId="165969BB" w14:textId="77777777" w:rsidR="00D52B78" w:rsidRPr="0038535E" w:rsidRDefault="00D52B78" w:rsidP="0090653C">
            <w:pPr>
              <w:pStyle w:val="ExhibitText"/>
              <w:rPr>
                <w:lang w:val="en-GB" w:eastAsia="zh-CN"/>
              </w:rPr>
            </w:pPr>
            <w:r w:rsidRPr="0038535E">
              <w:rPr>
                <w:lang w:val="en-GB" w:eastAsia="zh-CN"/>
              </w:rPr>
              <w:t> </w:t>
            </w:r>
          </w:p>
        </w:tc>
        <w:tc>
          <w:tcPr>
            <w:tcW w:w="0" w:type="auto"/>
            <w:tcBorders>
              <w:top w:val="single" w:sz="4" w:space="0" w:color="auto"/>
              <w:left w:val="nil"/>
              <w:bottom w:val="nil"/>
              <w:right w:val="nil"/>
            </w:tcBorders>
            <w:shd w:val="clear" w:color="auto" w:fill="auto"/>
            <w:noWrap/>
            <w:vAlign w:val="center"/>
            <w:hideMark/>
          </w:tcPr>
          <w:p w14:paraId="7F39D6EA" w14:textId="77777777" w:rsidR="00D52B78" w:rsidRPr="0038535E" w:rsidRDefault="00D52B78" w:rsidP="0090653C">
            <w:pPr>
              <w:pStyle w:val="ExhibitText"/>
              <w:rPr>
                <w:lang w:val="en-GB" w:eastAsia="zh-CN"/>
              </w:rPr>
            </w:pPr>
          </w:p>
        </w:tc>
        <w:tc>
          <w:tcPr>
            <w:tcW w:w="0" w:type="auto"/>
            <w:tcBorders>
              <w:top w:val="single" w:sz="4" w:space="0" w:color="auto"/>
              <w:left w:val="nil"/>
              <w:bottom w:val="nil"/>
              <w:right w:val="single" w:sz="8" w:space="0" w:color="auto"/>
            </w:tcBorders>
            <w:shd w:val="clear" w:color="auto" w:fill="auto"/>
            <w:noWrap/>
            <w:vAlign w:val="center"/>
            <w:hideMark/>
          </w:tcPr>
          <w:p w14:paraId="68F6C0BF" w14:textId="77777777" w:rsidR="00D52B78" w:rsidRPr="0038535E" w:rsidRDefault="00D52B78" w:rsidP="0090653C">
            <w:pPr>
              <w:pStyle w:val="ExhibitText"/>
              <w:rPr>
                <w:lang w:val="en-GB" w:eastAsia="zh-CN"/>
              </w:rPr>
            </w:pPr>
            <w:r w:rsidRPr="0038535E">
              <w:rPr>
                <w:lang w:val="en-GB" w:eastAsia="zh-CN"/>
              </w:rPr>
              <w:t> </w:t>
            </w:r>
          </w:p>
        </w:tc>
        <w:tc>
          <w:tcPr>
            <w:tcW w:w="0" w:type="auto"/>
            <w:tcBorders>
              <w:top w:val="nil"/>
              <w:left w:val="nil"/>
              <w:bottom w:val="nil"/>
              <w:right w:val="nil"/>
            </w:tcBorders>
            <w:shd w:val="clear" w:color="auto" w:fill="auto"/>
            <w:noWrap/>
            <w:vAlign w:val="center"/>
            <w:hideMark/>
          </w:tcPr>
          <w:p w14:paraId="5D4D5566" w14:textId="77777777" w:rsidR="00D52B78" w:rsidRPr="0038535E" w:rsidRDefault="00D52B78" w:rsidP="0090653C">
            <w:pPr>
              <w:pStyle w:val="ExhibitText"/>
              <w:rPr>
                <w:lang w:val="en-GB" w:eastAsia="zh-CN"/>
              </w:rPr>
            </w:pPr>
          </w:p>
        </w:tc>
        <w:tc>
          <w:tcPr>
            <w:tcW w:w="2262" w:type="dxa"/>
            <w:tcBorders>
              <w:top w:val="single" w:sz="4" w:space="0" w:color="auto"/>
              <w:left w:val="single" w:sz="8" w:space="0" w:color="auto"/>
              <w:bottom w:val="nil"/>
              <w:right w:val="single" w:sz="8" w:space="0" w:color="auto"/>
            </w:tcBorders>
            <w:shd w:val="clear" w:color="auto" w:fill="auto"/>
            <w:noWrap/>
            <w:vAlign w:val="center"/>
            <w:hideMark/>
          </w:tcPr>
          <w:p w14:paraId="7AD2071D" w14:textId="77777777" w:rsidR="00D52B78" w:rsidRPr="0038535E" w:rsidRDefault="00D52B78" w:rsidP="0090653C">
            <w:pPr>
              <w:pStyle w:val="ExhibitText"/>
              <w:rPr>
                <w:b/>
                <w:bCs/>
                <w:lang w:val="en-GB" w:eastAsia="zh-CN"/>
              </w:rPr>
            </w:pPr>
            <w:r w:rsidRPr="0038535E">
              <w:rPr>
                <w:b/>
                <w:bCs/>
                <w:lang w:val="en-GB" w:eastAsia="zh-CN"/>
              </w:rPr>
              <w:t>For the three</w:t>
            </w:r>
          </w:p>
        </w:tc>
      </w:tr>
      <w:tr w:rsidR="00D52B78" w:rsidRPr="0038535E" w14:paraId="029597A0" w14:textId="77777777" w:rsidTr="00C46AA4">
        <w:trPr>
          <w:trHeight w:val="20"/>
          <w:jc w:val="center"/>
        </w:trPr>
        <w:tc>
          <w:tcPr>
            <w:tcW w:w="0" w:type="auto"/>
            <w:tcBorders>
              <w:top w:val="nil"/>
              <w:left w:val="nil"/>
              <w:bottom w:val="nil"/>
              <w:right w:val="nil"/>
            </w:tcBorders>
            <w:shd w:val="clear" w:color="auto" w:fill="auto"/>
            <w:noWrap/>
            <w:vAlign w:val="center"/>
            <w:hideMark/>
          </w:tcPr>
          <w:p w14:paraId="3848760D" w14:textId="77777777" w:rsidR="00D52B78" w:rsidRPr="0038535E" w:rsidRDefault="00D52B78" w:rsidP="0090653C">
            <w:pPr>
              <w:pStyle w:val="ExhibitText"/>
              <w:rPr>
                <w:b/>
                <w:bCs/>
                <w:lang w:val="en-GB" w:eastAsia="zh-CN"/>
              </w:rPr>
            </w:pPr>
          </w:p>
        </w:tc>
        <w:tc>
          <w:tcPr>
            <w:tcW w:w="0" w:type="auto"/>
            <w:gridSpan w:val="3"/>
            <w:tcBorders>
              <w:top w:val="nil"/>
              <w:left w:val="single" w:sz="8" w:space="0" w:color="auto"/>
              <w:bottom w:val="nil"/>
              <w:right w:val="single" w:sz="8" w:space="0" w:color="000000"/>
            </w:tcBorders>
            <w:shd w:val="clear" w:color="auto" w:fill="auto"/>
            <w:noWrap/>
            <w:vAlign w:val="center"/>
            <w:hideMark/>
          </w:tcPr>
          <w:p w14:paraId="4EE58FA9" w14:textId="77777777" w:rsidR="00D52B78" w:rsidRPr="0038535E" w:rsidRDefault="00D52B78" w:rsidP="0090653C">
            <w:pPr>
              <w:pStyle w:val="ExhibitText"/>
              <w:rPr>
                <w:b/>
                <w:bCs/>
                <w:lang w:val="en-GB" w:eastAsia="zh-CN"/>
              </w:rPr>
            </w:pPr>
            <w:r w:rsidRPr="0038535E">
              <w:rPr>
                <w:b/>
                <w:bCs/>
                <w:lang w:val="en-GB" w:eastAsia="zh-CN"/>
              </w:rPr>
              <w:t>For the year ended</w:t>
            </w:r>
          </w:p>
        </w:tc>
        <w:tc>
          <w:tcPr>
            <w:tcW w:w="0" w:type="auto"/>
            <w:tcBorders>
              <w:top w:val="nil"/>
              <w:left w:val="nil"/>
              <w:bottom w:val="nil"/>
              <w:right w:val="nil"/>
            </w:tcBorders>
            <w:shd w:val="clear" w:color="auto" w:fill="auto"/>
            <w:noWrap/>
            <w:vAlign w:val="center"/>
            <w:hideMark/>
          </w:tcPr>
          <w:p w14:paraId="57C53669" w14:textId="77777777" w:rsidR="00D52B78" w:rsidRPr="0038535E" w:rsidRDefault="00D52B78" w:rsidP="0090653C">
            <w:pPr>
              <w:pStyle w:val="ExhibitText"/>
              <w:rPr>
                <w:b/>
                <w:bCs/>
                <w:lang w:val="en-GB" w:eastAsia="zh-CN"/>
              </w:rPr>
            </w:pPr>
          </w:p>
        </w:tc>
        <w:tc>
          <w:tcPr>
            <w:tcW w:w="2262" w:type="dxa"/>
            <w:tcBorders>
              <w:top w:val="nil"/>
              <w:left w:val="single" w:sz="8" w:space="0" w:color="auto"/>
              <w:bottom w:val="nil"/>
              <w:right w:val="single" w:sz="8" w:space="0" w:color="auto"/>
            </w:tcBorders>
            <w:shd w:val="clear" w:color="auto" w:fill="auto"/>
            <w:noWrap/>
            <w:vAlign w:val="center"/>
            <w:hideMark/>
          </w:tcPr>
          <w:p w14:paraId="43C54930" w14:textId="77777777" w:rsidR="00D52B78" w:rsidRPr="0038535E" w:rsidRDefault="00D52B78" w:rsidP="0090653C">
            <w:pPr>
              <w:pStyle w:val="ExhibitText"/>
              <w:rPr>
                <w:b/>
                <w:bCs/>
                <w:lang w:val="en-GB" w:eastAsia="zh-CN"/>
              </w:rPr>
            </w:pPr>
            <w:r w:rsidRPr="0038535E">
              <w:rPr>
                <w:b/>
                <w:bCs/>
                <w:lang w:val="en-GB" w:eastAsia="zh-CN"/>
              </w:rPr>
              <w:t>months ended</w:t>
            </w:r>
          </w:p>
        </w:tc>
      </w:tr>
      <w:tr w:rsidR="00D52B78" w:rsidRPr="0038535E" w14:paraId="249F4400" w14:textId="77777777" w:rsidTr="00C46AA4">
        <w:trPr>
          <w:trHeight w:val="20"/>
          <w:jc w:val="center"/>
        </w:trPr>
        <w:tc>
          <w:tcPr>
            <w:tcW w:w="0" w:type="auto"/>
            <w:tcBorders>
              <w:top w:val="nil"/>
              <w:left w:val="nil"/>
              <w:bottom w:val="nil"/>
              <w:right w:val="nil"/>
            </w:tcBorders>
            <w:shd w:val="clear" w:color="auto" w:fill="auto"/>
            <w:noWrap/>
            <w:vAlign w:val="center"/>
            <w:hideMark/>
          </w:tcPr>
          <w:p w14:paraId="3FE678CB" w14:textId="77777777" w:rsidR="00D52B78" w:rsidRPr="0038535E" w:rsidRDefault="00D52B78" w:rsidP="0090653C">
            <w:pPr>
              <w:pStyle w:val="ExhibitText"/>
              <w:rPr>
                <w:b/>
                <w:bCs/>
                <w:lang w:val="en-GB" w:eastAsia="zh-CN"/>
              </w:rPr>
            </w:pPr>
          </w:p>
        </w:tc>
        <w:tc>
          <w:tcPr>
            <w:tcW w:w="0" w:type="auto"/>
            <w:gridSpan w:val="3"/>
            <w:tcBorders>
              <w:top w:val="nil"/>
              <w:left w:val="single" w:sz="8" w:space="0" w:color="auto"/>
              <w:bottom w:val="nil"/>
              <w:right w:val="single" w:sz="8" w:space="0" w:color="000000"/>
            </w:tcBorders>
            <w:shd w:val="clear" w:color="auto" w:fill="auto"/>
            <w:noWrap/>
            <w:vAlign w:val="center"/>
            <w:hideMark/>
          </w:tcPr>
          <w:p w14:paraId="07B4C8E9" w14:textId="77777777" w:rsidR="00D52B78" w:rsidRPr="0038535E" w:rsidRDefault="00D52B78" w:rsidP="0090653C">
            <w:pPr>
              <w:pStyle w:val="ExhibitText"/>
              <w:rPr>
                <w:b/>
                <w:bCs/>
                <w:lang w:val="en-GB" w:eastAsia="zh-CN"/>
              </w:rPr>
            </w:pPr>
            <w:r w:rsidRPr="0038535E">
              <w:rPr>
                <w:b/>
                <w:bCs/>
                <w:lang w:val="en-GB" w:eastAsia="zh-CN"/>
              </w:rPr>
              <w:t>December 31,</w:t>
            </w:r>
          </w:p>
        </w:tc>
        <w:tc>
          <w:tcPr>
            <w:tcW w:w="0" w:type="auto"/>
            <w:tcBorders>
              <w:top w:val="nil"/>
              <w:left w:val="nil"/>
              <w:bottom w:val="nil"/>
              <w:right w:val="nil"/>
            </w:tcBorders>
            <w:shd w:val="clear" w:color="auto" w:fill="auto"/>
            <w:noWrap/>
            <w:vAlign w:val="center"/>
            <w:hideMark/>
          </w:tcPr>
          <w:p w14:paraId="3D8C4FDD" w14:textId="77777777" w:rsidR="00D52B78" w:rsidRPr="0038535E" w:rsidRDefault="00D52B78" w:rsidP="0090653C">
            <w:pPr>
              <w:pStyle w:val="ExhibitText"/>
              <w:rPr>
                <w:b/>
                <w:bCs/>
                <w:lang w:val="en-GB" w:eastAsia="zh-CN"/>
              </w:rPr>
            </w:pPr>
          </w:p>
        </w:tc>
        <w:tc>
          <w:tcPr>
            <w:tcW w:w="2262" w:type="dxa"/>
            <w:tcBorders>
              <w:top w:val="nil"/>
              <w:left w:val="single" w:sz="8" w:space="0" w:color="auto"/>
              <w:bottom w:val="nil"/>
              <w:right w:val="single" w:sz="8" w:space="0" w:color="auto"/>
            </w:tcBorders>
            <w:shd w:val="clear" w:color="auto" w:fill="auto"/>
            <w:noWrap/>
            <w:vAlign w:val="center"/>
            <w:hideMark/>
          </w:tcPr>
          <w:p w14:paraId="4AE0941F" w14:textId="77777777" w:rsidR="00D52B78" w:rsidRPr="0038535E" w:rsidRDefault="00D52B78" w:rsidP="0090653C">
            <w:pPr>
              <w:pStyle w:val="ExhibitText"/>
              <w:rPr>
                <w:b/>
                <w:bCs/>
                <w:lang w:val="en-GB" w:eastAsia="zh-CN"/>
              </w:rPr>
            </w:pPr>
            <w:r w:rsidRPr="0038535E">
              <w:rPr>
                <w:b/>
                <w:bCs/>
                <w:lang w:val="en-GB" w:eastAsia="zh-CN"/>
              </w:rPr>
              <w:t>March 31,</w:t>
            </w:r>
          </w:p>
        </w:tc>
      </w:tr>
      <w:tr w:rsidR="00D52B78" w:rsidRPr="0038535E" w14:paraId="3C71CF9E" w14:textId="77777777" w:rsidTr="00C46AA4">
        <w:trPr>
          <w:trHeight w:val="20"/>
          <w:jc w:val="center"/>
        </w:trPr>
        <w:tc>
          <w:tcPr>
            <w:tcW w:w="0" w:type="auto"/>
            <w:tcBorders>
              <w:top w:val="nil"/>
              <w:left w:val="nil"/>
              <w:bottom w:val="nil"/>
              <w:right w:val="nil"/>
            </w:tcBorders>
            <w:shd w:val="clear" w:color="auto" w:fill="auto"/>
            <w:noWrap/>
            <w:vAlign w:val="center"/>
            <w:hideMark/>
          </w:tcPr>
          <w:p w14:paraId="0D008C92" w14:textId="77777777" w:rsidR="00D52B78" w:rsidRPr="0038535E" w:rsidRDefault="00D52B78" w:rsidP="0090653C">
            <w:pPr>
              <w:pStyle w:val="ExhibitText"/>
              <w:rPr>
                <w:b/>
                <w:bCs/>
                <w:lang w:val="en-GB" w:eastAsia="zh-CN"/>
              </w:rPr>
            </w:pPr>
          </w:p>
        </w:tc>
        <w:tc>
          <w:tcPr>
            <w:tcW w:w="0" w:type="auto"/>
            <w:tcBorders>
              <w:top w:val="single" w:sz="4" w:space="0" w:color="auto"/>
              <w:left w:val="single" w:sz="8" w:space="0" w:color="auto"/>
              <w:bottom w:val="single" w:sz="4" w:space="0" w:color="auto"/>
              <w:right w:val="nil"/>
            </w:tcBorders>
            <w:shd w:val="clear" w:color="auto" w:fill="auto"/>
            <w:noWrap/>
            <w:vAlign w:val="center"/>
            <w:hideMark/>
          </w:tcPr>
          <w:p w14:paraId="691D64F9" w14:textId="77777777" w:rsidR="00D52B78" w:rsidRPr="0038535E" w:rsidRDefault="00D52B78" w:rsidP="00C46AA4">
            <w:pPr>
              <w:pStyle w:val="ExhibitText"/>
              <w:jc w:val="center"/>
              <w:rPr>
                <w:b/>
                <w:bCs/>
                <w:lang w:val="en-GB" w:eastAsia="zh-CN"/>
              </w:rPr>
            </w:pPr>
            <w:r w:rsidRPr="0038535E">
              <w:rPr>
                <w:b/>
                <w:bCs/>
                <w:lang w:val="en-GB" w:eastAsia="zh-CN"/>
              </w:rPr>
              <w:t>2011</w:t>
            </w:r>
          </w:p>
        </w:tc>
        <w:tc>
          <w:tcPr>
            <w:tcW w:w="0" w:type="auto"/>
            <w:tcBorders>
              <w:top w:val="single" w:sz="4" w:space="0" w:color="auto"/>
              <w:left w:val="nil"/>
              <w:bottom w:val="single" w:sz="4" w:space="0" w:color="auto"/>
              <w:right w:val="nil"/>
            </w:tcBorders>
            <w:shd w:val="clear" w:color="auto" w:fill="auto"/>
            <w:noWrap/>
            <w:vAlign w:val="center"/>
            <w:hideMark/>
          </w:tcPr>
          <w:p w14:paraId="27B79D8B" w14:textId="77777777" w:rsidR="00D52B78" w:rsidRPr="0038535E" w:rsidRDefault="00D52B78" w:rsidP="00C46AA4">
            <w:pPr>
              <w:pStyle w:val="ExhibitText"/>
              <w:jc w:val="center"/>
              <w:rPr>
                <w:b/>
                <w:bCs/>
                <w:lang w:val="en-GB" w:eastAsia="zh-CN"/>
              </w:rPr>
            </w:pPr>
            <w:r w:rsidRPr="0038535E">
              <w:rPr>
                <w:b/>
                <w:bCs/>
                <w:lang w:val="en-GB" w:eastAsia="zh-CN"/>
              </w:rPr>
              <w:t>2012</w:t>
            </w:r>
          </w:p>
        </w:tc>
        <w:tc>
          <w:tcPr>
            <w:tcW w:w="0" w:type="auto"/>
            <w:tcBorders>
              <w:top w:val="single" w:sz="4" w:space="0" w:color="auto"/>
              <w:left w:val="nil"/>
              <w:bottom w:val="single" w:sz="4" w:space="0" w:color="auto"/>
              <w:right w:val="single" w:sz="8" w:space="0" w:color="auto"/>
            </w:tcBorders>
            <w:shd w:val="clear" w:color="auto" w:fill="auto"/>
            <w:noWrap/>
            <w:vAlign w:val="center"/>
            <w:hideMark/>
          </w:tcPr>
          <w:p w14:paraId="4A23A55A" w14:textId="77777777" w:rsidR="00D52B78" w:rsidRPr="0038535E" w:rsidRDefault="00D52B78" w:rsidP="00C46AA4">
            <w:pPr>
              <w:pStyle w:val="ExhibitText"/>
              <w:jc w:val="center"/>
              <w:rPr>
                <w:b/>
                <w:bCs/>
                <w:lang w:val="en-GB" w:eastAsia="zh-CN"/>
              </w:rPr>
            </w:pPr>
            <w:r w:rsidRPr="0038535E">
              <w:rPr>
                <w:b/>
                <w:bCs/>
                <w:lang w:val="en-GB" w:eastAsia="zh-CN"/>
              </w:rPr>
              <w:t>2013</w:t>
            </w:r>
          </w:p>
        </w:tc>
        <w:tc>
          <w:tcPr>
            <w:tcW w:w="0" w:type="auto"/>
            <w:tcBorders>
              <w:top w:val="nil"/>
              <w:left w:val="nil"/>
              <w:bottom w:val="nil"/>
              <w:right w:val="nil"/>
            </w:tcBorders>
            <w:shd w:val="clear" w:color="auto" w:fill="auto"/>
            <w:noWrap/>
            <w:vAlign w:val="center"/>
            <w:hideMark/>
          </w:tcPr>
          <w:p w14:paraId="548B4EF4" w14:textId="77777777" w:rsidR="00D52B78" w:rsidRPr="0038535E" w:rsidRDefault="00D52B78" w:rsidP="00C46AA4">
            <w:pPr>
              <w:pStyle w:val="ExhibitText"/>
              <w:jc w:val="center"/>
              <w:rPr>
                <w:b/>
                <w:bCs/>
                <w:lang w:val="en-GB" w:eastAsia="zh-CN"/>
              </w:rPr>
            </w:pPr>
          </w:p>
        </w:tc>
        <w:tc>
          <w:tcPr>
            <w:tcW w:w="226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F60B7A2" w14:textId="77777777" w:rsidR="00D52B78" w:rsidRPr="0038535E" w:rsidRDefault="00D52B78" w:rsidP="00C46AA4">
            <w:pPr>
              <w:pStyle w:val="ExhibitText"/>
              <w:jc w:val="center"/>
              <w:rPr>
                <w:b/>
                <w:bCs/>
                <w:lang w:val="en-GB" w:eastAsia="zh-CN"/>
              </w:rPr>
            </w:pPr>
            <w:r w:rsidRPr="0038535E">
              <w:rPr>
                <w:b/>
                <w:bCs/>
                <w:lang w:val="en-GB" w:eastAsia="zh-CN"/>
              </w:rPr>
              <w:t>2014</w:t>
            </w:r>
          </w:p>
        </w:tc>
      </w:tr>
      <w:tr w:rsidR="00D52B78" w:rsidRPr="0038535E" w14:paraId="4E7E5C60" w14:textId="77777777" w:rsidTr="00C46AA4">
        <w:trPr>
          <w:trHeight w:val="20"/>
          <w:jc w:val="center"/>
        </w:trPr>
        <w:tc>
          <w:tcPr>
            <w:tcW w:w="0" w:type="auto"/>
            <w:tcBorders>
              <w:top w:val="nil"/>
              <w:left w:val="nil"/>
              <w:bottom w:val="nil"/>
              <w:right w:val="nil"/>
            </w:tcBorders>
            <w:shd w:val="clear" w:color="auto" w:fill="auto"/>
            <w:noWrap/>
            <w:vAlign w:val="center"/>
            <w:hideMark/>
          </w:tcPr>
          <w:p w14:paraId="7536AD59" w14:textId="77777777" w:rsidR="00D52B78" w:rsidRPr="0038535E" w:rsidRDefault="00D52B78" w:rsidP="0090653C">
            <w:pPr>
              <w:pStyle w:val="ExhibitText"/>
              <w:rPr>
                <w:lang w:val="en-GB" w:eastAsia="zh-CN"/>
              </w:rPr>
            </w:pPr>
            <w:r w:rsidRPr="0038535E">
              <w:rPr>
                <w:lang w:val="en-GB" w:eastAsia="zh-CN"/>
              </w:rPr>
              <w:t xml:space="preserve">Gross Profit Margin </w:t>
            </w:r>
          </w:p>
        </w:tc>
        <w:tc>
          <w:tcPr>
            <w:tcW w:w="0" w:type="auto"/>
            <w:tcBorders>
              <w:top w:val="nil"/>
              <w:left w:val="single" w:sz="8" w:space="0" w:color="auto"/>
              <w:bottom w:val="nil"/>
              <w:right w:val="nil"/>
            </w:tcBorders>
            <w:shd w:val="clear" w:color="auto" w:fill="auto"/>
            <w:noWrap/>
            <w:vAlign w:val="center"/>
            <w:hideMark/>
          </w:tcPr>
          <w:p w14:paraId="4DA51E13" w14:textId="77777777" w:rsidR="00D52B78" w:rsidRPr="0038535E" w:rsidRDefault="00D52B78" w:rsidP="00C46AA4">
            <w:pPr>
              <w:pStyle w:val="ExhibitText"/>
              <w:jc w:val="right"/>
              <w:rPr>
                <w:lang w:val="en-GB" w:eastAsia="zh-CN"/>
              </w:rPr>
            </w:pPr>
            <w:r w:rsidRPr="0038535E">
              <w:rPr>
                <w:lang w:val="en-GB" w:eastAsia="zh-CN"/>
              </w:rPr>
              <w:t>10.1%</w:t>
            </w:r>
          </w:p>
        </w:tc>
        <w:tc>
          <w:tcPr>
            <w:tcW w:w="0" w:type="auto"/>
            <w:tcBorders>
              <w:top w:val="nil"/>
              <w:left w:val="nil"/>
              <w:bottom w:val="nil"/>
              <w:right w:val="nil"/>
            </w:tcBorders>
            <w:shd w:val="clear" w:color="auto" w:fill="auto"/>
            <w:noWrap/>
            <w:vAlign w:val="center"/>
            <w:hideMark/>
          </w:tcPr>
          <w:p w14:paraId="527FAAB9" w14:textId="77777777" w:rsidR="00D52B78" w:rsidRPr="0038535E" w:rsidRDefault="00D52B78" w:rsidP="00C46AA4">
            <w:pPr>
              <w:pStyle w:val="ExhibitText"/>
              <w:jc w:val="right"/>
              <w:rPr>
                <w:lang w:val="en-GB" w:eastAsia="zh-CN"/>
              </w:rPr>
            </w:pPr>
            <w:r w:rsidRPr="0038535E">
              <w:rPr>
                <w:lang w:val="en-GB" w:eastAsia="zh-CN"/>
              </w:rPr>
              <w:t>15.6%</w:t>
            </w:r>
          </w:p>
        </w:tc>
        <w:tc>
          <w:tcPr>
            <w:tcW w:w="0" w:type="auto"/>
            <w:tcBorders>
              <w:top w:val="nil"/>
              <w:left w:val="nil"/>
              <w:bottom w:val="nil"/>
              <w:right w:val="single" w:sz="8" w:space="0" w:color="auto"/>
            </w:tcBorders>
            <w:shd w:val="clear" w:color="auto" w:fill="auto"/>
            <w:noWrap/>
            <w:vAlign w:val="center"/>
            <w:hideMark/>
          </w:tcPr>
          <w:p w14:paraId="06C563A9" w14:textId="77777777" w:rsidR="00D52B78" w:rsidRPr="0038535E" w:rsidRDefault="00D52B78" w:rsidP="00C46AA4">
            <w:pPr>
              <w:pStyle w:val="ExhibitText"/>
              <w:jc w:val="right"/>
              <w:rPr>
                <w:lang w:val="en-GB" w:eastAsia="zh-CN"/>
              </w:rPr>
            </w:pPr>
            <w:r w:rsidRPr="0038535E">
              <w:rPr>
                <w:lang w:val="en-GB" w:eastAsia="zh-CN"/>
              </w:rPr>
              <w:t>15.8%</w:t>
            </w:r>
          </w:p>
        </w:tc>
        <w:tc>
          <w:tcPr>
            <w:tcW w:w="0" w:type="auto"/>
            <w:tcBorders>
              <w:top w:val="nil"/>
              <w:left w:val="nil"/>
              <w:bottom w:val="nil"/>
              <w:right w:val="nil"/>
            </w:tcBorders>
            <w:shd w:val="clear" w:color="auto" w:fill="auto"/>
            <w:noWrap/>
            <w:vAlign w:val="center"/>
            <w:hideMark/>
          </w:tcPr>
          <w:p w14:paraId="5D8D05D0" w14:textId="77777777" w:rsidR="00D52B78" w:rsidRPr="0038535E" w:rsidRDefault="00D52B78" w:rsidP="0090653C">
            <w:pPr>
              <w:pStyle w:val="ExhibitText"/>
              <w:rPr>
                <w:lang w:val="en-GB" w:eastAsia="zh-CN"/>
              </w:rPr>
            </w:pPr>
          </w:p>
        </w:tc>
        <w:tc>
          <w:tcPr>
            <w:tcW w:w="2262" w:type="dxa"/>
            <w:tcBorders>
              <w:top w:val="nil"/>
              <w:left w:val="single" w:sz="8" w:space="0" w:color="auto"/>
              <w:bottom w:val="nil"/>
              <w:right w:val="single" w:sz="8" w:space="0" w:color="auto"/>
            </w:tcBorders>
            <w:shd w:val="clear" w:color="auto" w:fill="auto"/>
            <w:noWrap/>
            <w:vAlign w:val="center"/>
            <w:hideMark/>
          </w:tcPr>
          <w:p w14:paraId="0624D7FB" w14:textId="77777777" w:rsidR="00D52B78" w:rsidRPr="0038535E" w:rsidRDefault="00D52B78" w:rsidP="00C46AA4">
            <w:pPr>
              <w:pStyle w:val="ExhibitText"/>
              <w:jc w:val="right"/>
              <w:rPr>
                <w:lang w:val="en-GB" w:eastAsia="zh-CN"/>
              </w:rPr>
            </w:pPr>
            <w:r w:rsidRPr="0038535E">
              <w:rPr>
                <w:lang w:val="en-GB" w:eastAsia="zh-CN"/>
              </w:rPr>
              <w:t>15.3%</w:t>
            </w:r>
          </w:p>
        </w:tc>
      </w:tr>
      <w:tr w:rsidR="00D52B78" w:rsidRPr="0038535E" w14:paraId="62901CB2" w14:textId="77777777" w:rsidTr="00C46AA4">
        <w:trPr>
          <w:trHeight w:val="20"/>
          <w:jc w:val="center"/>
        </w:trPr>
        <w:tc>
          <w:tcPr>
            <w:tcW w:w="0" w:type="auto"/>
            <w:tcBorders>
              <w:top w:val="nil"/>
              <w:left w:val="nil"/>
              <w:bottom w:val="nil"/>
              <w:right w:val="nil"/>
            </w:tcBorders>
            <w:shd w:val="clear" w:color="auto" w:fill="auto"/>
            <w:noWrap/>
            <w:vAlign w:val="center"/>
            <w:hideMark/>
          </w:tcPr>
          <w:p w14:paraId="60AA9E72" w14:textId="77777777" w:rsidR="00D52B78" w:rsidRPr="0038535E" w:rsidRDefault="00D52B78" w:rsidP="0090653C">
            <w:pPr>
              <w:pStyle w:val="ExhibitText"/>
              <w:rPr>
                <w:lang w:val="en-GB" w:eastAsia="zh-CN"/>
              </w:rPr>
            </w:pPr>
            <w:r w:rsidRPr="0038535E">
              <w:rPr>
                <w:lang w:val="en-GB" w:eastAsia="zh-CN"/>
              </w:rPr>
              <w:t xml:space="preserve">Net Profit Margin </w:t>
            </w:r>
          </w:p>
        </w:tc>
        <w:tc>
          <w:tcPr>
            <w:tcW w:w="0" w:type="auto"/>
            <w:tcBorders>
              <w:top w:val="nil"/>
              <w:left w:val="single" w:sz="8" w:space="0" w:color="auto"/>
              <w:bottom w:val="nil"/>
              <w:right w:val="nil"/>
            </w:tcBorders>
            <w:shd w:val="clear" w:color="auto" w:fill="auto"/>
            <w:noWrap/>
            <w:vAlign w:val="center"/>
            <w:hideMark/>
          </w:tcPr>
          <w:p w14:paraId="0C8D77E0" w14:textId="77777777" w:rsidR="00D52B78" w:rsidRPr="0038535E" w:rsidRDefault="00D52B78" w:rsidP="00C46AA4">
            <w:pPr>
              <w:pStyle w:val="ExhibitText"/>
              <w:jc w:val="right"/>
              <w:rPr>
                <w:lang w:val="en-GB" w:eastAsia="zh-CN"/>
              </w:rPr>
            </w:pPr>
            <w:r w:rsidRPr="0038535E">
              <w:rPr>
                <w:lang w:val="en-GB" w:eastAsia="zh-CN"/>
              </w:rPr>
              <w:t>2.4%</w:t>
            </w:r>
          </w:p>
        </w:tc>
        <w:tc>
          <w:tcPr>
            <w:tcW w:w="0" w:type="auto"/>
            <w:tcBorders>
              <w:top w:val="nil"/>
              <w:left w:val="nil"/>
              <w:bottom w:val="nil"/>
              <w:right w:val="nil"/>
            </w:tcBorders>
            <w:shd w:val="clear" w:color="auto" w:fill="auto"/>
            <w:noWrap/>
            <w:vAlign w:val="center"/>
            <w:hideMark/>
          </w:tcPr>
          <w:p w14:paraId="2A3C748A" w14:textId="77777777" w:rsidR="00D52B78" w:rsidRPr="0038535E" w:rsidRDefault="00D52B78" w:rsidP="00C46AA4">
            <w:pPr>
              <w:pStyle w:val="ExhibitText"/>
              <w:jc w:val="right"/>
              <w:rPr>
                <w:lang w:val="en-GB" w:eastAsia="zh-CN"/>
              </w:rPr>
            </w:pPr>
            <w:r w:rsidRPr="0038535E">
              <w:rPr>
                <w:lang w:val="en-GB" w:eastAsia="zh-CN"/>
              </w:rPr>
              <w:t>5.2%</w:t>
            </w:r>
          </w:p>
        </w:tc>
        <w:tc>
          <w:tcPr>
            <w:tcW w:w="0" w:type="auto"/>
            <w:tcBorders>
              <w:top w:val="nil"/>
              <w:left w:val="nil"/>
              <w:bottom w:val="nil"/>
              <w:right w:val="single" w:sz="8" w:space="0" w:color="auto"/>
            </w:tcBorders>
            <w:shd w:val="clear" w:color="auto" w:fill="auto"/>
            <w:noWrap/>
            <w:vAlign w:val="center"/>
            <w:hideMark/>
          </w:tcPr>
          <w:p w14:paraId="6C4F9365" w14:textId="77777777" w:rsidR="00D52B78" w:rsidRPr="0038535E" w:rsidRDefault="00D52B78" w:rsidP="00C46AA4">
            <w:pPr>
              <w:pStyle w:val="ExhibitText"/>
              <w:jc w:val="right"/>
              <w:rPr>
                <w:lang w:val="en-GB" w:eastAsia="zh-CN"/>
              </w:rPr>
            </w:pPr>
            <w:r w:rsidRPr="0038535E">
              <w:rPr>
                <w:lang w:val="en-GB" w:eastAsia="zh-CN"/>
              </w:rPr>
              <w:t>(2.3)%</w:t>
            </w:r>
          </w:p>
        </w:tc>
        <w:tc>
          <w:tcPr>
            <w:tcW w:w="0" w:type="auto"/>
            <w:tcBorders>
              <w:top w:val="nil"/>
              <w:left w:val="nil"/>
              <w:bottom w:val="nil"/>
              <w:right w:val="nil"/>
            </w:tcBorders>
            <w:shd w:val="clear" w:color="auto" w:fill="auto"/>
            <w:noWrap/>
            <w:vAlign w:val="center"/>
            <w:hideMark/>
          </w:tcPr>
          <w:p w14:paraId="43D66B8C" w14:textId="77777777" w:rsidR="00D52B78" w:rsidRPr="0038535E" w:rsidRDefault="00D52B78" w:rsidP="0090653C">
            <w:pPr>
              <w:pStyle w:val="ExhibitText"/>
              <w:rPr>
                <w:lang w:val="en-GB" w:eastAsia="zh-CN"/>
              </w:rPr>
            </w:pPr>
          </w:p>
        </w:tc>
        <w:tc>
          <w:tcPr>
            <w:tcW w:w="2262" w:type="dxa"/>
            <w:tcBorders>
              <w:top w:val="nil"/>
              <w:left w:val="single" w:sz="8" w:space="0" w:color="auto"/>
              <w:bottom w:val="nil"/>
              <w:right w:val="single" w:sz="8" w:space="0" w:color="auto"/>
            </w:tcBorders>
            <w:shd w:val="clear" w:color="auto" w:fill="auto"/>
            <w:noWrap/>
            <w:vAlign w:val="center"/>
            <w:hideMark/>
          </w:tcPr>
          <w:p w14:paraId="13E8BC65" w14:textId="77777777" w:rsidR="00D52B78" w:rsidRPr="0038535E" w:rsidRDefault="00D52B78" w:rsidP="00C46AA4">
            <w:pPr>
              <w:pStyle w:val="ExhibitText"/>
              <w:jc w:val="right"/>
              <w:rPr>
                <w:lang w:val="en-GB" w:eastAsia="zh-CN"/>
              </w:rPr>
            </w:pPr>
            <w:r w:rsidRPr="0038535E">
              <w:rPr>
                <w:lang w:val="en-GB" w:eastAsia="zh-CN"/>
              </w:rPr>
              <w:t>7.0%</w:t>
            </w:r>
          </w:p>
        </w:tc>
      </w:tr>
      <w:tr w:rsidR="00D52B78" w:rsidRPr="0038535E" w14:paraId="7B55F08B" w14:textId="77777777" w:rsidTr="00C46AA4">
        <w:trPr>
          <w:trHeight w:val="20"/>
          <w:jc w:val="center"/>
        </w:trPr>
        <w:tc>
          <w:tcPr>
            <w:tcW w:w="0" w:type="auto"/>
            <w:tcBorders>
              <w:top w:val="nil"/>
              <w:left w:val="nil"/>
              <w:bottom w:val="nil"/>
              <w:right w:val="nil"/>
            </w:tcBorders>
            <w:shd w:val="clear" w:color="auto" w:fill="auto"/>
            <w:noWrap/>
            <w:vAlign w:val="center"/>
            <w:hideMark/>
          </w:tcPr>
          <w:p w14:paraId="4DA9C6BC" w14:textId="77777777" w:rsidR="00D52B78" w:rsidRPr="0038535E" w:rsidRDefault="00D52B78" w:rsidP="0090653C">
            <w:pPr>
              <w:pStyle w:val="ExhibitText"/>
              <w:rPr>
                <w:lang w:val="en-GB" w:eastAsia="zh-CN"/>
              </w:rPr>
            </w:pPr>
            <w:r w:rsidRPr="0038535E">
              <w:rPr>
                <w:lang w:val="en-GB" w:eastAsia="zh-CN"/>
              </w:rPr>
              <w:t>Return on Equity</w:t>
            </w:r>
          </w:p>
        </w:tc>
        <w:tc>
          <w:tcPr>
            <w:tcW w:w="0" w:type="auto"/>
            <w:tcBorders>
              <w:top w:val="nil"/>
              <w:left w:val="single" w:sz="8" w:space="0" w:color="auto"/>
              <w:bottom w:val="nil"/>
              <w:right w:val="nil"/>
            </w:tcBorders>
            <w:shd w:val="clear" w:color="auto" w:fill="auto"/>
            <w:noWrap/>
            <w:vAlign w:val="center"/>
            <w:hideMark/>
          </w:tcPr>
          <w:p w14:paraId="0539ED9F" w14:textId="77777777" w:rsidR="00D52B78" w:rsidRPr="0038535E" w:rsidRDefault="00D52B78" w:rsidP="00C46AA4">
            <w:pPr>
              <w:pStyle w:val="ExhibitText"/>
              <w:jc w:val="right"/>
              <w:rPr>
                <w:lang w:val="en-GB" w:eastAsia="zh-CN"/>
              </w:rPr>
            </w:pPr>
            <w:r w:rsidRPr="0038535E">
              <w:rPr>
                <w:lang w:val="en-GB" w:eastAsia="zh-CN"/>
              </w:rPr>
              <w:t>8.9%</w:t>
            </w:r>
          </w:p>
        </w:tc>
        <w:tc>
          <w:tcPr>
            <w:tcW w:w="0" w:type="auto"/>
            <w:tcBorders>
              <w:top w:val="nil"/>
              <w:left w:val="nil"/>
              <w:bottom w:val="nil"/>
              <w:right w:val="nil"/>
            </w:tcBorders>
            <w:shd w:val="clear" w:color="auto" w:fill="auto"/>
            <w:noWrap/>
            <w:vAlign w:val="center"/>
            <w:hideMark/>
          </w:tcPr>
          <w:p w14:paraId="1A5D9FA4" w14:textId="77777777" w:rsidR="00D52B78" w:rsidRPr="0038535E" w:rsidRDefault="00D52B78" w:rsidP="00C46AA4">
            <w:pPr>
              <w:pStyle w:val="ExhibitText"/>
              <w:jc w:val="right"/>
              <w:rPr>
                <w:lang w:val="en-GB" w:eastAsia="zh-CN"/>
              </w:rPr>
            </w:pPr>
            <w:r w:rsidRPr="0038535E">
              <w:rPr>
                <w:lang w:val="en-GB" w:eastAsia="zh-CN"/>
              </w:rPr>
              <w:t>19.5%</w:t>
            </w:r>
          </w:p>
        </w:tc>
        <w:tc>
          <w:tcPr>
            <w:tcW w:w="0" w:type="auto"/>
            <w:tcBorders>
              <w:top w:val="nil"/>
              <w:left w:val="nil"/>
              <w:bottom w:val="nil"/>
              <w:right w:val="single" w:sz="8" w:space="0" w:color="auto"/>
            </w:tcBorders>
            <w:shd w:val="clear" w:color="auto" w:fill="auto"/>
            <w:noWrap/>
            <w:vAlign w:val="center"/>
            <w:hideMark/>
          </w:tcPr>
          <w:p w14:paraId="14C216DF" w14:textId="77777777" w:rsidR="00D52B78" w:rsidRPr="0038535E" w:rsidRDefault="00D52B78" w:rsidP="00C46AA4">
            <w:pPr>
              <w:pStyle w:val="ExhibitText"/>
              <w:jc w:val="right"/>
              <w:rPr>
                <w:lang w:val="en-GB" w:eastAsia="zh-CN"/>
              </w:rPr>
            </w:pPr>
            <w:r w:rsidRPr="0038535E">
              <w:rPr>
                <w:lang w:val="en-GB" w:eastAsia="zh-CN"/>
              </w:rPr>
              <w:t>(12.9)%</w:t>
            </w:r>
          </w:p>
        </w:tc>
        <w:tc>
          <w:tcPr>
            <w:tcW w:w="0" w:type="auto"/>
            <w:tcBorders>
              <w:top w:val="nil"/>
              <w:left w:val="nil"/>
              <w:bottom w:val="nil"/>
              <w:right w:val="nil"/>
            </w:tcBorders>
            <w:shd w:val="clear" w:color="auto" w:fill="auto"/>
            <w:noWrap/>
            <w:vAlign w:val="center"/>
            <w:hideMark/>
          </w:tcPr>
          <w:p w14:paraId="74F416A4" w14:textId="77777777" w:rsidR="00D52B78" w:rsidRPr="0038535E" w:rsidRDefault="00D52B78" w:rsidP="0090653C">
            <w:pPr>
              <w:pStyle w:val="ExhibitText"/>
              <w:rPr>
                <w:lang w:val="en-GB" w:eastAsia="zh-CN"/>
              </w:rPr>
            </w:pPr>
          </w:p>
        </w:tc>
        <w:tc>
          <w:tcPr>
            <w:tcW w:w="2262" w:type="dxa"/>
            <w:tcBorders>
              <w:top w:val="nil"/>
              <w:left w:val="single" w:sz="8" w:space="0" w:color="auto"/>
              <w:bottom w:val="nil"/>
              <w:right w:val="single" w:sz="8" w:space="0" w:color="auto"/>
            </w:tcBorders>
            <w:shd w:val="clear" w:color="auto" w:fill="auto"/>
            <w:noWrap/>
            <w:vAlign w:val="center"/>
            <w:hideMark/>
          </w:tcPr>
          <w:p w14:paraId="5315832B" w14:textId="77777777" w:rsidR="00D52B78" w:rsidRPr="0038535E" w:rsidRDefault="00D52B78" w:rsidP="00C46AA4">
            <w:pPr>
              <w:pStyle w:val="ExhibitText"/>
              <w:jc w:val="right"/>
              <w:rPr>
                <w:lang w:val="en-GB" w:eastAsia="zh-CN"/>
              </w:rPr>
            </w:pPr>
            <w:r w:rsidRPr="0038535E">
              <w:rPr>
                <w:lang w:val="en-GB" w:eastAsia="zh-CN"/>
              </w:rPr>
              <w:t>15.0%</w:t>
            </w:r>
          </w:p>
        </w:tc>
      </w:tr>
      <w:tr w:rsidR="00D52B78" w:rsidRPr="0038535E" w14:paraId="38741855" w14:textId="77777777" w:rsidTr="00C46AA4">
        <w:trPr>
          <w:trHeight w:val="20"/>
          <w:jc w:val="center"/>
        </w:trPr>
        <w:tc>
          <w:tcPr>
            <w:tcW w:w="0" w:type="auto"/>
            <w:tcBorders>
              <w:top w:val="nil"/>
              <w:left w:val="nil"/>
              <w:bottom w:val="nil"/>
              <w:right w:val="nil"/>
            </w:tcBorders>
            <w:shd w:val="clear" w:color="auto" w:fill="auto"/>
            <w:noWrap/>
            <w:vAlign w:val="center"/>
            <w:hideMark/>
          </w:tcPr>
          <w:p w14:paraId="2AFA023A" w14:textId="77777777" w:rsidR="00D52B78" w:rsidRPr="0038535E" w:rsidRDefault="00D52B78" w:rsidP="0090653C">
            <w:pPr>
              <w:pStyle w:val="ExhibitText"/>
              <w:rPr>
                <w:lang w:val="en-GB" w:eastAsia="zh-CN"/>
              </w:rPr>
            </w:pPr>
            <w:r w:rsidRPr="0038535E">
              <w:rPr>
                <w:lang w:val="en-GB" w:eastAsia="zh-CN"/>
              </w:rPr>
              <w:t>Return on Total Assets</w:t>
            </w:r>
          </w:p>
        </w:tc>
        <w:tc>
          <w:tcPr>
            <w:tcW w:w="0" w:type="auto"/>
            <w:tcBorders>
              <w:top w:val="nil"/>
              <w:left w:val="single" w:sz="8" w:space="0" w:color="auto"/>
              <w:bottom w:val="nil"/>
              <w:right w:val="nil"/>
            </w:tcBorders>
            <w:shd w:val="clear" w:color="auto" w:fill="auto"/>
            <w:noWrap/>
            <w:vAlign w:val="center"/>
            <w:hideMark/>
          </w:tcPr>
          <w:p w14:paraId="54343D1E" w14:textId="77777777" w:rsidR="00D52B78" w:rsidRPr="0038535E" w:rsidRDefault="00D52B78" w:rsidP="00C46AA4">
            <w:pPr>
              <w:pStyle w:val="ExhibitText"/>
              <w:jc w:val="right"/>
              <w:rPr>
                <w:lang w:val="en-GB" w:eastAsia="zh-CN"/>
              </w:rPr>
            </w:pPr>
            <w:r w:rsidRPr="0038535E">
              <w:rPr>
                <w:lang w:val="en-GB" w:eastAsia="zh-CN"/>
              </w:rPr>
              <w:t>5.1%</w:t>
            </w:r>
          </w:p>
        </w:tc>
        <w:tc>
          <w:tcPr>
            <w:tcW w:w="0" w:type="auto"/>
            <w:tcBorders>
              <w:top w:val="nil"/>
              <w:left w:val="nil"/>
              <w:bottom w:val="nil"/>
              <w:right w:val="nil"/>
            </w:tcBorders>
            <w:shd w:val="clear" w:color="auto" w:fill="auto"/>
            <w:noWrap/>
            <w:vAlign w:val="center"/>
            <w:hideMark/>
          </w:tcPr>
          <w:p w14:paraId="73197DC3" w14:textId="77777777" w:rsidR="00D52B78" w:rsidRPr="0038535E" w:rsidRDefault="00D52B78" w:rsidP="00C46AA4">
            <w:pPr>
              <w:pStyle w:val="ExhibitText"/>
              <w:jc w:val="right"/>
              <w:rPr>
                <w:lang w:val="en-GB" w:eastAsia="zh-CN"/>
              </w:rPr>
            </w:pPr>
            <w:r w:rsidRPr="0038535E">
              <w:rPr>
                <w:lang w:val="en-GB" w:eastAsia="zh-CN"/>
              </w:rPr>
              <w:t>12.7%</w:t>
            </w:r>
          </w:p>
        </w:tc>
        <w:tc>
          <w:tcPr>
            <w:tcW w:w="0" w:type="auto"/>
            <w:tcBorders>
              <w:top w:val="nil"/>
              <w:left w:val="nil"/>
              <w:bottom w:val="nil"/>
              <w:right w:val="single" w:sz="8" w:space="0" w:color="auto"/>
            </w:tcBorders>
            <w:shd w:val="clear" w:color="auto" w:fill="auto"/>
            <w:noWrap/>
            <w:vAlign w:val="center"/>
            <w:hideMark/>
          </w:tcPr>
          <w:p w14:paraId="33FAA830" w14:textId="77777777" w:rsidR="00D52B78" w:rsidRPr="0038535E" w:rsidRDefault="00D52B78" w:rsidP="00C46AA4">
            <w:pPr>
              <w:pStyle w:val="ExhibitText"/>
              <w:jc w:val="right"/>
              <w:rPr>
                <w:lang w:val="en-GB" w:eastAsia="zh-CN"/>
              </w:rPr>
            </w:pPr>
            <w:r w:rsidRPr="0038535E">
              <w:rPr>
                <w:lang w:val="en-GB" w:eastAsia="zh-CN"/>
              </w:rPr>
              <w:t>(0.8)%</w:t>
            </w:r>
          </w:p>
        </w:tc>
        <w:tc>
          <w:tcPr>
            <w:tcW w:w="0" w:type="auto"/>
            <w:tcBorders>
              <w:top w:val="nil"/>
              <w:left w:val="nil"/>
              <w:bottom w:val="nil"/>
              <w:right w:val="nil"/>
            </w:tcBorders>
            <w:shd w:val="clear" w:color="auto" w:fill="auto"/>
            <w:noWrap/>
            <w:vAlign w:val="center"/>
            <w:hideMark/>
          </w:tcPr>
          <w:p w14:paraId="32130724" w14:textId="77777777" w:rsidR="00D52B78" w:rsidRPr="0038535E" w:rsidRDefault="00D52B78" w:rsidP="0090653C">
            <w:pPr>
              <w:pStyle w:val="ExhibitText"/>
              <w:rPr>
                <w:lang w:val="en-GB" w:eastAsia="zh-CN"/>
              </w:rPr>
            </w:pPr>
          </w:p>
        </w:tc>
        <w:tc>
          <w:tcPr>
            <w:tcW w:w="2262" w:type="dxa"/>
            <w:tcBorders>
              <w:top w:val="nil"/>
              <w:left w:val="single" w:sz="8" w:space="0" w:color="auto"/>
              <w:bottom w:val="nil"/>
              <w:right w:val="single" w:sz="8" w:space="0" w:color="auto"/>
            </w:tcBorders>
            <w:shd w:val="clear" w:color="auto" w:fill="auto"/>
            <w:noWrap/>
            <w:vAlign w:val="center"/>
            <w:hideMark/>
          </w:tcPr>
          <w:p w14:paraId="1F05B16B" w14:textId="77777777" w:rsidR="00D52B78" w:rsidRPr="0038535E" w:rsidRDefault="00D52B78" w:rsidP="00C46AA4">
            <w:pPr>
              <w:pStyle w:val="ExhibitText"/>
              <w:jc w:val="right"/>
              <w:rPr>
                <w:lang w:val="en-GB" w:eastAsia="zh-CN"/>
              </w:rPr>
            </w:pPr>
            <w:r w:rsidRPr="0038535E">
              <w:rPr>
                <w:lang w:val="en-GB" w:eastAsia="zh-CN"/>
              </w:rPr>
              <w:t>2.8%</w:t>
            </w:r>
          </w:p>
        </w:tc>
      </w:tr>
      <w:tr w:rsidR="00D52B78" w:rsidRPr="0038535E" w14:paraId="5C168153" w14:textId="77777777" w:rsidTr="00C46AA4">
        <w:trPr>
          <w:trHeight w:val="20"/>
          <w:jc w:val="center"/>
        </w:trPr>
        <w:tc>
          <w:tcPr>
            <w:tcW w:w="0" w:type="auto"/>
            <w:tcBorders>
              <w:top w:val="nil"/>
              <w:left w:val="nil"/>
              <w:bottom w:val="nil"/>
              <w:right w:val="nil"/>
            </w:tcBorders>
            <w:shd w:val="clear" w:color="auto" w:fill="auto"/>
            <w:noWrap/>
            <w:vAlign w:val="center"/>
          </w:tcPr>
          <w:p w14:paraId="58D65323" w14:textId="77777777" w:rsidR="00D52B78" w:rsidRPr="0038535E" w:rsidRDefault="00D52B78" w:rsidP="0090653C">
            <w:pPr>
              <w:pStyle w:val="ExhibitText"/>
              <w:rPr>
                <w:lang w:val="en-GB" w:eastAsia="zh-CN"/>
              </w:rPr>
            </w:pPr>
          </w:p>
        </w:tc>
        <w:tc>
          <w:tcPr>
            <w:tcW w:w="0" w:type="auto"/>
            <w:tcBorders>
              <w:top w:val="nil"/>
              <w:left w:val="single" w:sz="8" w:space="0" w:color="auto"/>
              <w:bottom w:val="nil"/>
              <w:right w:val="nil"/>
            </w:tcBorders>
            <w:shd w:val="clear" w:color="auto" w:fill="auto"/>
            <w:noWrap/>
            <w:vAlign w:val="center"/>
          </w:tcPr>
          <w:p w14:paraId="314052E3" w14:textId="77777777" w:rsidR="00D52B78" w:rsidRPr="0038535E" w:rsidRDefault="00D52B78" w:rsidP="0090653C">
            <w:pPr>
              <w:pStyle w:val="ExhibitText"/>
              <w:rPr>
                <w:lang w:val="en-GB" w:eastAsia="zh-CN"/>
              </w:rPr>
            </w:pPr>
          </w:p>
        </w:tc>
        <w:tc>
          <w:tcPr>
            <w:tcW w:w="0" w:type="auto"/>
            <w:tcBorders>
              <w:top w:val="nil"/>
              <w:left w:val="nil"/>
              <w:bottom w:val="nil"/>
              <w:right w:val="nil"/>
            </w:tcBorders>
            <w:shd w:val="clear" w:color="auto" w:fill="auto"/>
            <w:noWrap/>
            <w:vAlign w:val="center"/>
          </w:tcPr>
          <w:p w14:paraId="0BB89AE5" w14:textId="77777777" w:rsidR="00D52B78" w:rsidRPr="0038535E" w:rsidRDefault="00D52B78" w:rsidP="0090653C">
            <w:pPr>
              <w:pStyle w:val="ExhibitText"/>
              <w:rPr>
                <w:lang w:val="en-GB" w:eastAsia="zh-CN"/>
              </w:rPr>
            </w:pPr>
          </w:p>
        </w:tc>
        <w:tc>
          <w:tcPr>
            <w:tcW w:w="0" w:type="auto"/>
            <w:tcBorders>
              <w:top w:val="nil"/>
              <w:left w:val="nil"/>
              <w:bottom w:val="nil"/>
              <w:right w:val="single" w:sz="8" w:space="0" w:color="auto"/>
            </w:tcBorders>
            <w:shd w:val="clear" w:color="auto" w:fill="auto"/>
            <w:noWrap/>
            <w:vAlign w:val="center"/>
          </w:tcPr>
          <w:p w14:paraId="441B0128" w14:textId="77777777" w:rsidR="00D52B78" w:rsidRPr="0038535E" w:rsidRDefault="00D52B78" w:rsidP="0090653C">
            <w:pPr>
              <w:pStyle w:val="ExhibitText"/>
              <w:rPr>
                <w:lang w:val="en-GB" w:eastAsia="zh-CN"/>
              </w:rPr>
            </w:pPr>
          </w:p>
        </w:tc>
        <w:tc>
          <w:tcPr>
            <w:tcW w:w="0" w:type="auto"/>
            <w:tcBorders>
              <w:top w:val="nil"/>
              <w:left w:val="nil"/>
              <w:bottom w:val="nil"/>
              <w:right w:val="nil"/>
            </w:tcBorders>
            <w:shd w:val="clear" w:color="auto" w:fill="auto"/>
            <w:noWrap/>
            <w:vAlign w:val="center"/>
          </w:tcPr>
          <w:p w14:paraId="5B083DB0" w14:textId="77777777" w:rsidR="00D52B78" w:rsidRPr="0038535E" w:rsidRDefault="00D52B78" w:rsidP="0090653C">
            <w:pPr>
              <w:pStyle w:val="ExhibitText"/>
              <w:rPr>
                <w:lang w:val="en-GB" w:eastAsia="zh-CN"/>
              </w:rPr>
            </w:pPr>
          </w:p>
        </w:tc>
        <w:tc>
          <w:tcPr>
            <w:tcW w:w="2262" w:type="dxa"/>
            <w:tcBorders>
              <w:top w:val="nil"/>
              <w:left w:val="single" w:sz="8" w:space="0" w:color="auto"/>
              <w:bottom w:val="nil"/>
              <w:right w:val="single" w:sz="8" w:space="0" w:color="auto"/>
            </w:tcBorders>
            <w:shd w:val="clear" w:color="auto" w:fill="auto"/>
            <w:noWrap/>
            <w:vAlign w:val="center"/>
          </w:tcPr>
          <w:p w14:paraId="663360D4" w14:textId="77777777" w:rsidR="00D52B78" w:rsidRPr="0038535E" w:rsidRDefault="00D52B78" w:rsidP="0090653C">
            <w:pPr>
              <w:pStyle w:val="ExhibitText"/>
              <w:rPr>
                <w:b/>
                <w:bCs/>
                <w:lang w:val="en-GB" w:eastAsia="zh-CN"/>
              </w:rPr>
            </w:pPr>
          </w:p>
        </w:tc>
      </w:tr>
      <w:tr w:rsidR="00D52B78" w:rsidRPr="0038535E" w14:paraId="4C60D9AA" w14:textId="77777777" w:rsidTr="00C46AA4">
        <w:trPr>
          <w:trHeight w:val="20"/>
          <w:jc w:val="center"/>
        </w:trPr>
        <w:tc>
          <w:tcPr>
            <w:tcW w:w="0" w:type="auto"/>
            <w:tcBorders>
              <w:top w:val="nil"/>
              <w:left w:val="nil"/>
              <w:bottom w:val="nil"/>
              <w:right w:val="nil"/>
            </w:tcBorders>
            <w:shd w:val="clear" w:color="auto" w:fill="auto"/>
            <w:noWrap/>
            <w:vAlign w:val="center"/>
            <w:hideMark/>
          </w:tcPr>
          <w:p w14:paraId="666C44F6" w14:textId="77777777" w:rsidR="00D52B78" w:rsidRPr="0038535E" w:rsidRDefault="00D52B78" w:rsidP="0090653C">
            <w:pPr>
              <w:pStyle w:val="ExhibitText"/>
              <w:rPr>
                <w:b/>
                <w:bCs/>
                <w:lang w:val="en-GB" w:eastAsia="zh-CN"/>
              </w:rPr>
            </w:pPr>
          </w:p>
        </w:tc>
        <w:tc>
          <w:tcPr>
            <w:tcW w:w="0" w:type="auto"/>
            <w:gridSpan w:val="3"/>
            <w:tcBorders>
              <w:top w:val="nil"/>
              <w:left w:val="single" w:sz="8" w:space="0" w:color="auto"/>
              <w:bottom w:val="single" w:sz="4" w:space="0" w:color="auto"/>
              <w:right w:val="single" w:sz="8" w:space="0" w:color="000000"/>
            </w:tcBorders>
            <w:shd w:val="clear" w:color="auto" w:fill="auto"/>
            <w:noWrap/>
            <w:vAlign w:val="center"/>
            <w:hideMark/>
          </w:tcPr>
          <w:p w14:paraId="629E7C37" w14:textId="77777777" w:rsidR="00D52B78" w:rsidRPr="0038535E" w:rsidRDefault="00D52B78" w:rsidP="0090653C">
            <w:pPr>
              <w:pStyle w:val="ExhibitText"/>
              <w:rPr>
                <w:b/>
                <w:bCs/>
                <w:lang w:val="en-GB" w:eastAsia="zh-CN"/>
              </w:rPr>
            </w:pPr>
            <w:r w:rsidRPr="0038535E">
              <w:rPr>
                <w:b/>
                <w:bCs/>
                <w:lang w:val="en-GB" w:eastAsia="zh-CN"/>
              </w:rPr>
              <w:t>As of December 31,</w:t>
            </w:r>
          </w:p>
        </w:tc>
        <w:tc>
          <w:tcPr>
            <w:tcW w:w="0" w:type="auto"/>
            <w:tcBorders>
              <w:top w:val="nil"/>
              <w:left w:val="nil"/>
              <w:bottom w:val="nil"/>
              <w:right w:val="nil"/>
            </w:tcBorders>
            <w:shd w:val="clear" w:color="auto" w:fill="auto"/>
            <w:noWrap/>
            <w:vAlign w:val="center"/>
            <w:hideMark/>
          </w:tcPr>
          <w:p w14:paraId="75102491" w14:textId="77777777" w:rsidR="00D52B78" w:rsidRPr="0038535E" w:rsidRDefault="00D52B78" w:rsidP="0090653C">
            <w:pPr>
              <w:pStyle w:val="ExhibitText"/>
              <w:rPr>
                <w:b/>
                <w:bCs/>
                <w:lang w:val="en-GB" w:eastAsia="zh-CN"/>
              </w:rPr>
            </w:pPr>
          </w:p>
        </w:tc>
        <w:tc>
          <w:tcPr>
            <w:tcW w:w="2262" w:type="dxa"/>
            <w:tcBorders>
              <w:top w:val="nil"/>
              <w:left w:val="single" w:sz="8" w:space="0" w:color="auto"/>
              <w:bottom w:val="nil"/>
              <w:right w:val="single" w:sz="8" w:space="0" w:color="auto"/>
            </w:tcBorders>
            <w:shd w:val="clear" w:color="auto" w:fill="auto"/>
            <w:noWrap/>
            <w:vAlign w:val="center"/>
            <w:hideMark/>
          </w:tcPr>
          <w:p w14:paraId="0757BFAC" w14:textId="77777777" w:rsidR="00D52B78" w:rsidRPr="0038535E" w:rsidRDefault="0090653C" w:rsidP="0090653C">
            <w:pPr>
              <w:pStyle w:val="ExhibitText"/>
              <w:rPr>
                <w:b/>
                <w:bCs/>
                <w:lang w:val="en-GB" w:eastAsia="zh-CN"/>
              </w:rPr>
            </w:pPr>
            <w:r w:rsidRPr="0038535E">
              <w:rPr>
                <w:b/>
                <w:bCs/>
                <w:lang w:val="en-GB" w:eastAsia="zh-CN"/>
              </w:rPr>
              <w:t xml:space="preserve">As of </w:t>
            </w:r>
            <w:r w:rsidR="00D52B78" w:rsidRPr="0038535E">
              <w:rPr>
                <w:b/>
                <w:bCs/>
                <w:lang w:val="en-GB" w:eastAsia="zh-CN"/>
              </w:rPr>
              <w:t>March 31,</w:t>
            </w:r>
          </w:p>
        </w:tc>
      </w:tr>
      <w:tr w:rsidR="00D52B78" w:rsidRPr="0038535E" w14:paraId="7C663EB5" w14:textId="77777777" w:rsidTr="00C46AA4">
        <w:trPr>
          <w:trHeight w:val="20"/>
          <w:jc w:val="center"/>
        </w:trPr>
        <w:tc>
          <w:tcPr>
            <w:tcW w:w="0" w:type="auto"/>
            <w:tcBorders>
              <w:top w:val="nil"/>
              <w:left w:val="nil"/>
              <w:bottom w:val="nil"/>
              <w:right w:val="nil"/>
            </w:tcBorders>
            <w:shd w:val="clear" w:color="auto" w:fill="auto"/>
            <w:noWrap/>
            <w:vAlign w:val="center"/>
            <w:hideMark/>
          </w:tcPr>
          <w:p w14:paraId="3A8B20BB" w14:textId="77777777" w:rsidR="00D52B78" w:rsidRPr="0038535E" w:rsidRDefault="00D52B78" w:rsidP="0090653C">
            <w:pPr>
              <w:pStyle w:val="ExhibitText"/>
              <w:rPr>
                <w:b/>
                <w:bCs/>
                <w:lang w:val="en-GB" w:eastAsia="zh-CN"/>
              </w:rPr>
            </w:pPr>
          </w:p>
        </w:tc>
        <w:tc>
          <w:tcPr>
            <w:tcW w:w="0" w:type="auto"/>
            <w:tcBorders>
              <w:top w:val="nil"/>
              <w:left w:val="single" w:sz="8" w:space="0" w:color="auto"/>
              <w:bottom w:val="single" w:sz="4" w:space="0" w:color="auto"/>
              <w:right w:val="nil"/>
            </w:tcBorders>
            <w:shd w:val="clear" w:color="auto" w:fill="auto"/>
            <w:noWrap/>
            <w:vAlign w:val="center"/>
            <w:hideMark/>
          </w:tcPr>
          <w:p w14:paraId="067374D6" w14:textId="77777777" w:rsidR="00D52B78" w:rsidRPr="0038535E" w:rsidRDefault="00D52B78" w:rsidP="00C46AA4">
            <w:pPr>
              <w:pStyle w:val="ExhibitText"/>
              <w:jc w:val="center"/>
              <w:rPr>
                <w:b/>
                <w:bCs/>
                <w:lang w:val="en-GB" w:eastAsia="zh-CN"/>
              </w:rPr>
            </w:pPr>
            <w:r w:rsidRPr="0038535E">
              <w:rPr>
                <w:b/>
                <w:bCs/>
                <w:lang w:val="en-GB" w:eastAsia="zh-CN"/>
              </w:rPr>
              <w:t>2011</w:t>
            </w:r>
          </w:p>
        </w:tc>
        <w:tc>
          <w:tcPr>
            <w:tcW w:w="0" w:type="auto"/>
            <w:tcBorders>
              <w:top w:val="nil"/>
              <w:left w:val="nil"/>
              <w:bottom w:val="single" w:sz="4" w:space="0" w:color="auto"/>
              <w:right w:val="nil"/>
            </w:tcBorders>
            <w:shd w:val="clear" w:color="auto" w:fill="auto"/>
            <w:noWrap/>
            <w:vAlign w:val="center"/>
            <w:hideMark/>
          </w:tcPr>
          <w:p w14:paraId="1655F37C" w14:textId="77777777" w:rsidR="00D52B78" w:rsidRPr="0038535E" w:rsidRDefault="00D52B78" w:rsidP="00C46AA4">
            <w:pPr>
              <w:pStyle w:val="ExhibitText"/>
              <w:jc w:val="center"/>
              <w:rPr>
                <w:b/>
                <w:bCs/>
                <w:lang w:val="en-GB" w:eastAsia="zh-CN"/>
              </w:rPr>
            </w:pPr>
            <w:r w:rsidRPr="0038535E">
              <w:rPr>
                <w:b/>
                <w:bCs/>
                <w:lang w:val="en-GB" w:eastAsia="zh-CN"/>
              </w:rPr>
              <w:t>2012</w:t>
            </w:r>
          </w:p>
        </w:tc>
        <w:tc>
          <w:tcPr>
            <w:tcW w:w="0" w:type="auto"/>
            <w:tcBorders>
              <w:top w:val="nil"/>
              <w:left w:val="nil"/>
              <w:bottom w:val="single" w:sz="4" w:space="0" w:color="auto"/>
              <w:right w:val="single" w:sz="8" w:space="0" w:color="auto"/>
            </w:tcBorders>
            <w:shd w:val="clear" w:color="auto" w:fill="auto"/>
            <w:noWrap/>
            <w:vAlign w:val="center"/>
            <w:hideMark/>
          </w:tcPr>
          <w:p w14:paraId="7A6AA94B" w14:textId="77777777" w:rsidR="00D52B78" w:rsidRPr="0038535E" w:rsidRDefault="00D52B78" w:rsidP="00C46AA4">
            <w:pPr>
              <w:pStyle w:val="ExhibitText"/>
              <w:jc w:val="center"/>
              <w:rPr>
                <w:b/>
                <w:bCs/>
                <w:lang w:val="en-GB" w:eastAsia="zh-CN"/>
              </w:rPr>
            </w:pPr>
            <w:r w:rsidRPr="0038535E">
              <w:rPr>
                <w:b/>
                <w:bCs/>
                <w:lang w:val="en-GB" w:eastAsia="zh-CN"/>
              </w:rPr>
              <w:t>2013</w:t>
            </w:r>
          </w:p>
        </w:tc>
        <w:tc>
          <w:tcPr>
            <w:tcW w:w="0" w:type="auto"/>
            <w:tcBorders>
              <w:top w:val="nil"/>
              <w:left w:val="nil"/>
              <w:bottom w:val="nil"/>
              <w:right w:val="nil"/>
            </w:tcBorders>
            <w:shd w:val="clear" w:color="auto" w:fill="auto"/>
            <w:noWrap/>
            <w:vAlign w:val="center"/>
            <w:hideMark/>
          </w:tcPr>
          <w:p w14:paraId="68EDACDC" w14:textId="77777777" w:rsidR="00D52B78" w:rsidRPr="0038535E" w:rsidRDefault="00D52B78" w:rsidP="00C46AA4">
            <w:pPr>
              <w:pStyle w:val="ExhibitText"/>
              <w:jc w:val="center"/>
              <w:rPr>
                <w:b/>
                <w:bCs/>
                <w:lang w:val="en-GB" w:eastAsia="zh-CN"/>
              </w:rPr>
            </w:pPr>
          </w:p>
        </w:tc>
        <w:tc>
          <w:tcPr>
            <w:tcW w:w="226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10D75A0" w14:textId="77777777" w:rsidR="00D52B78" w:rsidRPr="0038535E" w:rsidRDefault="00D52B78" w:rsidP="00C46AA4">
            <w:pPr>
              <w:pStyle w:val="ExhibitText"/>
              <w:jc w:val="center"/>
              <w:rPr>
                <w:b/>
                <w:bCs/>
                <w:lang w:val="en-GB" w:eastAsia="zh-CN"/>
              </w:rPr>
            </w:pPr>
            <w:r w:rsidRPr="0038535E">
              <w:rPr>
                <w:b/>
                <w:bCs/>
                <w:lang w:val="en-GB" w:eastAsia="zh-CN"/>
              </w:rPr>
              <w:t>2014</w:t>
            </w:r>
          </w:p>
        </w:tc>
      </w:tr>
      <w:tr w:rsidR="00D52B78" w:rsidRPr="0038535E" w14:paraId="7691018A" w14:textId="77777777" w:rsidTr="00C46AA4">
        <w:trPr>
          <w:trHeight w:val="20"/>
          <w:jc w:val="center"/>
        </w:trPr>
        <w:tc>
          <w:tcPr>
            <w:tcW w:w="0" w:type="auto"/>
            <w:tcBorders>
              <w:top w:val="nil"/>
              <w:left w:val="nil"/>
              <w:bottom w:val="nil"/>
              <w:right w:val="nil"/>
            </w:tcBorders>
            <w:shd w:val="clear" w:color="auto" w:fill="auto"/>
            <w:noWrap/>
            <w:vAlign w:val="center"/>
            <w:hideMark/>
          </w:tcPr>
          <w:p w14:paraId="79809FCF" w14:textId="77777777" w:rsidR="00D52B78" w:rsidRPr="0038535E" w:rsidRDefault="00D52B78" w:rsidP="0090653C">
            <w:pPr>
              <w:pStyle w:val="ExhibitText"/>
              <w:rPr>
                <w:lang w:val="en-GB" w:eastAsia="zh-CN"/>
              </w:rPr>
            </w:pPr>
            <w:r w:rsidRPr="0038535E">
              <w:rPr>
                <w:lang w:val="en-GB" w:eastAsia="zh-CN"/>
              </w:rPr>
              <w:t xml:space="preserve">Current Ratio </w:t>
            </w:r>
          </w:p>
        </w:tc>
        <w:tc>
          <w:tcPr>
            <w:tcW w:w="0" w:type="auto"/>
            <w:tcBorders>
              <w:top w:val="single" w:sz="4" w:space="0" w:color="231F20"/>
              <w:left w:val="single" w:sz="8" w:space="0" w:color="auto"/>
              <w:bottom w:val="nil"/>
              <w:right w:val="nil"/>
            </w:tcBorders>
            <w:shd w:val="clear" w:color="auto" w:fill="auto"/>
            <w:noWrap/>
            <w:vAlign w:val="center"/>
            <w:hideMark/>
          </w:tcPr>
          <w:p w14:paraId="567FCFE5" w14:textId="77777777" w:rsidR="00D52B78" w:rsidRPr="0038535E" w:rsidRDefault="00D52B78" w:rsidP="00C46AA4">
            <w:pPr>
              <w:pStyle w:val="ExhibitText"/>
              <w:jc w:val="right"/>
              <w:rPr>
                <w:lang w:val="en-GB" w:eastAsia="zh-CN"/>
              </w:rPr>
            </w:pPr>
            <w:r w:rsidRPr="0038535E">
              <w:rPr>
                <w:lang w:val="en-GB" w:eastAsia="zh-CN"/>
              </w:rPr>
              <w:t>1.05</w:t>
            </w:r>
          </w:p>
        </w:tc>
        <w:tc>
          <w:tcPr>
            <w:tcW w:w="0" w:type="auto"/>
            <w:tcBorders>
              <w:top w:val="single" w:sz="4" w:space="0" w:color="231F20"/>
              <w:left w:val="nil"/>
              <w:bottom w:val="nil"/>
              <w:right w:val="nil"/>
            </w:tcBorders>
            <w:shd w:val="clear" w:color="auto" w:fill="auto"/>
            <w:noWrap/>
            <w:vAlign w:val="center"/>
            <w:hideMark/>
          </w:tcPr>
          <w:p w14:paraId="00575C3D" w14:textId="77777777" w:rsidR="00D52B78" w:rsidRPr="0038535E" w:rsidRDefault="00D52B78" w:rsidP="00C46AA4">
            <w:pPr>
              <w:pStyle w:val="ExhibitText"/>
              <w:jc w:val="right"/>
              <w:rPr>
                <w:lang w:val="en-GB" w:eastAsia="zh-CN"/>
              </w:rPr>
            </w:pPr>
            <w:r w:rsidRPr="0038535E">
              <w:rPr>
                <w:lang w:val="en-GB" w:eastAsia="zh-CN"/>
              </w:rPr>
              <w:t>1.61</w:t>
            </w:r>
          </w:p>
        </w:tc>
        <w:tc>
          <w:tcPr>
            <w:tcW w:w="0" w:type="auto"/>
            <w:tcBorders>
              <w:top w:val="single" w:sz="4" w:space="0" w:color="231F20"/>
              <w:left w:val="nil"/>
              <w:bottom w:val="nil"/>
              <w:right w:val="single" w:sz="8" w:space="0" w:color="auto"/>
            </w:tcBorders>
            <w:shd w:val="clear" w:color="auto" w:fill="auto"/>
            <w:noWrap/>
            <w:vAlign w:val="center"/>
            <w:hideMark/>
          </w:tcPr>
          <w:p w14:paraId="327A2DAF" w14:textId="77777777" w:rsidR="00D52B78" w:rsidRPr="0038535E" w:rsidRDefault="00D52B78" w:rsidP="00C46AA4">
            <w:pPr>
              <w:pStyle w:val="ExhibitText"/>
              <w:jc w:val="right"/>
              <w:rPr>
                <w:lang w:val="en-GB" w:eastAsia="zh-CN"/>
              </w:rPr>
            </w:pPr>
            <w:r w:rsidRPr="0038535E">
              <w:rPr>
                <w:lang w:val="en-GB" w:eastAsia="zh-CN"/>
              </w:rPr>
              <w:t>1.83</w:t>
            </w:r>
          </w:p>
        </w:tc>
        <w:tc>
          <w:tcPr>
            <w:tcW w:w="0" w:type="auto"/>
            <w:tcBorders>
              <w:top w:val="nil"/>
              <w:left w:val="nil"/>
              <w:bottom w:val="nil"/>
              <w:right w:val="nil"/>
            </w:tcBorders>
            <w:shd w:val="clear" w:color="auto" w:fill="auto"/>
            <w:noWrap/>
            <w:vAlign w:val="center"/>
            <w:hideMark/>
          </w:tcPr>
          <w:p w14:paraId="14375BC9" w14:textId="77777777" w:rsidR="00D52B78" w:rsidRPr="0038535E" w:rsidRDefault="00D52B78" w:rsidP="0090653C">
            <w:pPr>
              <w:pStyle w:val="ExhibitText"/>
              <w:rPr>
                <w:lang w:val="en-GB" w:eastAsia="zh-CN"/>
              </w:rPr>
            </w:pPr>
          </w:p>
        </w:tc>
        <w:tc>
          <w:tcPr>
            <w:tcW w:w="2262" w:type="dxa"/>
            <w:tcBorders>
              <w:top w:val="single" w:sz="4" w:space="0" w:color="231F20"/>
              <w:left w:val="single" w:sz="8" w:space="0" w:color="auto"/>
              <w:bottom w:val="nil"/>
              <w:right w:val="single" w:sz="8" w:space="0" w:color="auto"/>
            </w:tcBorders>
            <w:shd w:val="clear" w:color="auto" w:fill="auto"/>
            <w:noWrap/>
            <w:vAlign w:val="center"/>
            <w:hideMark/>
          </w:tcPr>
          <w:p w14:paraId="2AC8DB47" w14:textId="77777777" w:rsidR="00D52B78" w:rsidRPr="0038535E" w:rsidRDefault="00D52B78" w:rsidP="00C46AA4">
            <w:pPr>
              <w:pStyle w:val="ExhibitText"/>
              <w:jc w:val="right"/>
              <w:rPr>
                <w:lang w:val="en-GB" w:eastAsia="zh-CN"/>
              </w:rPr>
            </w:pPr>
            <w:r w:rsidRPr="0038535E">
              <w:rPr>
                <w:lang w:val="en-GB" w:eastAsia="zh-CN"/>
              </w:rPr>
              <w:t>1.98</w:t>
            </w:r>
          </w:p>
        </w:tc>
      </w:tr>
      <w:tr w:rsidR="00D52B78" w:rsidRPr="0038535E" w14:paraId="4578C1E3" w14:textId="77777777" w:rsidTr="00C46AA4">
        <w:trPr>
          <w:trHeight w:val="20"/>
          <w:jc w:val="center"/>
        </w:trPr>
        <w:tc>
          <w:tcPr>
            <w:tcW w:w="0" w:type="auto"/>
            <w:tcBorders>
              <w:top w:val="nil"/>
              <w:left w:val="nil"/>
              <w:bottom w:val="nil"/>
              <w:right w:val="nil"/>
            </w:tcBorders>
            <w:shd w:val="clear" w:color="auto" w:fill="auto"/>
            <w:noWrap/>
            <w:vAlign w:val="center"/>
            <w:hideMark/>
          </w:tcPr>
          <w:p w14:paraId="33F507AA" w14:textId="77777777" w:rsidR="00D52B78" w:rsidRPr="0038535E" w:rsidRDefault="00D52B78" w:rsidP="0090653C">
            <w:pPr>
              <w:pStyle w:val="ExhibitText"/>
              <w:rPr>
                <w:lang w:val="en-GB" w:eastAsia="zh-CN"/>
              </w:rPr>
            </w:pPr>
            <w:r w:rsidRPr="0038535E">
              <w:rPr>
                <w:lang w:val="en-GB" w:eastAsia="zh-CN"/>
              </w:rPr>
              <w:t>Debt-to-Equity Ratio</w:t>
            </w:r>
          </w:p>
        </w:tc>
        <w:tc>
          <w:tcPr>
            <w:tcW w:w="0" w:type="auto"/>
            <w:tcBorders>
              <w:top w:val="nil"/>
              <w:left w:val="single" w:sz="8" w:space="0" w:color="auto"/>
              <w:bottom w:val="single" w:sz="8" w:space="0" w:color="auto"/>
              <w:right w:val="nil"/>
            </w:tcBorders>
            <w:shd w:val="clear" w:color="auto" w:fill="auto"/>
            <w:noWrap/>
            <w:vAlign w:val="center"/>
            <w:hideMark/>
          </w:tcPr>
          <w:p w14:paraId="5A33DA66" w14:textId="77777777" w:rsidR="00D52B78" w:rsidRPr="0038535E" w:rsidRDefault="00D52B78" w:rsidP="00C46AA4">
            <w:pPr>
              <w:pStyle w:val="ExhibitText"/>
              <w:jc w:val="right"/>
              <w:rPr>
                <w:lang w:val="en-GB" w:eastAsia="zh-CN"/>
              </w:rPr>
            </w:pPr>
            <w:r w:rsidRPr="0038535E">
              <w:rPr>
                <w:lang w:val="en-GB" w:eastAsia="zh-CN"/>
              </w:rPr>
              <w:t>40.5%</w:t>
            </w:r>
          </w:p>
        </w:tc>
        <w:tc>
          <w:tcPr>
            <w:tcW w:w="0" w:type="auto"/>
            <w:tcBorders>
              <w:top w:val="nil"/>
              <w:left w:val="nil"/>
              <w:bottom w:val="single" w:sz="8" w:space="0" w:color="auto"/>
              <w:right w:val="nil"/>
            </w:tcBorders>
            <w:shd w:val="clear" w:color="auto" w:fill="auto"/>
            <w:noWrap/>
            <w:vAlign w:val="center"/>
            <w:hideMark/>
          </w:tcPr>
          <w:p w14:paraId="124E6C80" w14:textId="77777777" w:rsidR="00D52B78" w:rsidRPr="0038535E" w:rsidRDefault="00D52B78" w:rsidP="00C46AA4">
            <w:pPr>
              <w:pStyle w:val="ExhibitText"/>
              <w:jc w:val="right"/>
              <w:rPr>
                <w:lang w:val="en-GB" w:eastAsia="zh-CN"/>
              </w:rPr>
            </w:pPr>
            <w:r w:rsidRPr="0038535E">
              <w:rPr>
                <w:lang w:val="en-GB" w:eastAsia="zh-CN"/>
              </w:rPr>
              <w:t>7.6%</w:t>
            </w:r>
          </w:p>
        </w:tc>
        <w:tc>
          <w:tcPr>
            <w:tcW w:w="0" w:type="auto"/>
            <w:tcBorders>
              <w:top w:val="nil"/>
              <w:left w:val="nil"/>
              <w:bottom w:val="single" w:sz="8" w:space="0" w:color="auto"/>
              <w:right w:val="single" w:sz="8" w:space="0" w:color="auto"/>
            </w:tcBorders>
            <w:shd w:val="clear" w:color="auto" w:fill="auto"/>
            <w:noWrap/>
            <w:vAlign w:val="center"/>
            <w:hideMark/>
          </w:tcPr>
          <w:p w14:paraId="65A51E20" w14:textId="77777777" w:rsidR="00D52B78" w:rsidRPr="0038535E" w:rsidRDefault="00D52B78" w:rsidP="00C46AA4">
            <w:pPr>
              <w:pStyle w:val="ExhibitText"/>
              <w:jc w:val="right"/>
              <w:rPr>
                <w:lang w:val="en-GB" w:eastAsia="zh-CN"/>
              </w:rPr>
            </w:pPr>
            <w:r w:rsidRPr="0038535E">
              <w:rPr>
                <w:lang w:val="en-GB" w:eastAsia="zh-CN"/>
              </w:rPr>
              <w:t>236.8%</w:t>
            </w:r>
          </w:p>
        </w:tc>
        <w:tc>
          <w:tcPr>
            <w:tcW w:w="0" w:type="auto"/>
            <w:tcBorders>
              <w:top w:val="nil"/>
              <w:left w:val="nil"/>
              <w:bottom w:val="nil"/>
              <w:right w:val="nil"/>
            </w:tcBorders>
            <w:shd w:val="clear" w:color="auto" w:fill="auto"/>
            <w:noWrap/>
            <w:vAlign w:val="center"/>
            <w:hideMark/>
          </w:tcPr>
          <w:p w14:paraId="0A81913D" w14:textId="77777777" w:rsidR="00D52B78" w:rsidRPr="0038535E" w:rsidRDefault="00D52B78" w:rsidP="0090653C">
            <w:pPr>
              <w:pStyle w:val="ExhibitText"/>
              <w:rPr>
                <w:lang w:val="en-GB" w:eastAsia="zh-CN"/>
              </w:rPr>
            </w:pPr>
          </w:p>
        </w:tc>
        <w:tc>
          <w:tcPr>
            <w:tcW w:w="2262" w:type="dxa"/>
            <w:tcBorders>
              <w:top w:val="nil"/>
              <w:left w:val="single" w:sz="8" w:space="0" w:color="auto"/>
              <w:bottom w:val="single" w:sz="8" w:space="0" w:color="auto"/>
              <w:right w:val="single" w:sz="8" w:space="0" w:color="auto"/>
            </w:tcBorders>
            <w:shd w:val="clear" w:color="auto" w:fill="auto"/>
            <w:noWrap/>
            <w:vAlign w:val="center"/>
            <w:hideMark/>
          </w:tcPr>
          <w:p w14:paraId="27AD7BF2" w14:textId="77777777" w:rsidR="00D52B78" w:rsidRPr="0038535E" w:rsidRDefault="00D52B78" w:rsidP="00C46AA4">
            <w:pPr>
              <w:pStyle w:val="ExhibitText"/>
              <w:jc w:val="right"/>
              <w:rPr>
                <w:lang w:val="en-GB" w:eastAsia="zh-CN"/>
              </w:rPr>
            </w:pPr>
            <w:r w:rsidRPr="0038535E">
              <w:rPr>
                <w:lang w:val="en-GB" w:eastAsia="zh-CN"/>
              </w:rPr>
              <w:t>242.9%</w:t>
            </w:r>
          </w:p>
        </w:tc>
      </w:tr>
    </w:tbl>
    <w:p w14:paraId="44B30C8A" w14:textId="77777777" w:rsidR="00D52B78" w:rsidRPr="0038535E" w:rsidRDefault="00D52B78" w:rsidP="00EA1F2E">
      <w:pPr>
        <w:pStyle w:val="BodyTextMain"/>
        <w:rPr>
          <w:rFonts w:eastAsia="SimSun"/>
          <w:lang w:val="en-GB"/>
        </w:rPr>
      </w:pPr>
    </w:p>
    <w:p w14:paraId="23F4D344" w14:textId="77777777" w:rsidR="00D52B78" w:rsidRPr="0038535E" w:rsidRDefault="00D52B78" w:rsidP="00D42E2B">
      <w:pPr>
        <w:pStyle w:val="Footnote"/>
        <w:rPr>
          <w:rFonts w:eastAsia="SimSun"/>
          <w:lang w:val="en-GB" w:eastAsia="zh-CN"/>
        </w:rPr>
      </w:pPr>
      <w:r w:rsidRPr="0038535E">
        <w:rPr>
          <w:rFonts w:eastAsia="SimSun"/>
          <w:lang w:val="en-GB" w:eastAsia="zh-CN"/>
        </w:rPr>
        <w:t xml:space="preserve">Source: WH Group IPO Prospectus, </w:t>
      </w:r>
      <w:r w:rsidR="004E327F" w:rsidRPr="0038535E">
        <w:rPr>
          <w:rFonts w:eastAsia="SimSun"/>
          <w:lang w:val="en-GB" w:eastAsia="zh-CN"/>
        </w:rPr>
        <w:t>accessed</w:t>
      </w:r>
      <w:r w:rsidRPr="0038535E">
        <w:rPr>
          <w:rFonts w:eastAsia="SimSun"/>
          <w:lang w:val="en-GB" w:eastAsia="zh-CN"/>
        </w:rPr>
        <w:t xml:space="preserve"> March 3, 2015</w:t>
      </w:r>
      <w:r w:rsidR="004E327F" w:rsidRPr="0038535E">
        <w:rPr>
          <w:rFonts w:eastAsia="SimSun"/>
          <w:lang w:val="en-GB" w:eastAsia="zh-CN"/>
        </w:rPr>
        <w:t>.</w:t>
      </w:r>
    </w:p>
    <w:p w14:paraId="025995F9" w14:textId="77777777" w:rsidR="0090653C" w:rsidRPr="0038535E" w:rsidRDefault="0090653C" w:rsidP="00EA1F2E">
      <w:pPr>
        <w:pStyle w:val="BodyTextMain"/>
        <w:rPr>
          <w:rFonts w:eastAsia="SimSun"/>
          <w:lang w:val="en-GB"/>
        </w:rPr>
      </w:pPr>
    </w:p>
    <w:p w14:paraId="41DB22C3" w14:textId="77777777" w:rsidR="0090653C" w:rsidRPr="0038535E" w:rsidRDefault="0090653C" w:rsidP="00EA1F2E">
      <w:pPr>
        <w:pStyle w:val="BodyTextMain"/>
        <w:rPr>
          <w:rFonts w:eastAsia="SimSun"/>
          <w:lang w:val="en-GB"/>
        </w:rPr>
      </w:pPr>
    </w:p>
    <w:p w14:paraId="0ED15A41" w14:textId="338D8E21" w:rsidR="00D52B78" w:rsidRPr="0038535E" w:rsidRDefault="00D52B78" w:rsidP="0090653C">
      <w:pPr>
        <w:pStyle w:val="ExhibitHeading"/>
        <w:rPr>
          <w:rFonts w:eastAsia="SimSun"/>
          <w:lang w:val="en-GB" w:eastAsia="zh-CN"/>
        </w:rPr>
      </w:pPr>
      <w:r w:rsidRPr="0038535E">
        <w:rPr>
          <w:rFonts w:eastAsia="SimSun"/>
          <w:lang w:val="en-GB" w:eastAsia="zh-CN"/>
        </w:rPr>
        <w:t>Exhibit 4: BORROWINGS (AS OF MARCH 31, 2014)</w:t>
      </w:r>
    </w:p>
    <w:p w14:paraId="108017B4" w14:textId="77777777" w:rsidR="00D52B78" w:rsidRPr="0038535E" w:rsidRDefault="00D52B78" w:rsidP="00EA1F2E">
      <w:pPr>
        <w:pStyle w:val="BodyTextMain"/>
        <w:rPr>
          <w:rFonts w:eastAsia="SimSun"/>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1443"/>
      </w:tblGrid>
      <w:tr w:rsidR="00D52B78" w:rsidRPr="0038535E" w14:paraId="4EBD443A" w14:textId="77777777" w:rsidTr="00C46AA4">
        <w:trPr>
          <w:trHeight w:val="20"/>
          <w:jc w:val="center"/>
        </w:trPr>
        <w:tc>
          <w:tcPr>
            <w:tcW w:w="0" w:type="auto"/>
          </w:tcPr>
          <w:p w14:paraId="1D1A0EB0" w14:textId="77777777" w:rsidR="00D52B78" w:rsidRPr="0038535E" w:rsidRDefault="00D52B78" w:rsidP="0090653C">
            <w:pPr>
              <w:pStyle w:val="ExhibitText"/>
              <w:rPr>
                <w:rFonts w:eastAsia="SimSun"/>
                <w:lang w:val="en-GB"/>
              </w:rPr>
            </w:pPr>
          </w:p>
        </w:tc>
        <w:tc>
          <w:tcPr>
            <w:tcW w:w="1443" w:type="dxa"/>
          </w:tcPr>
          <w:p w14:paraId="0BB2358E" w14:textId="005C8618" w:rsidR="00D52B78" w:rsidRPr="0038535E" w:rsidRDefault="00D52B78" w:rsidP="0090653C">
            <w:pPr>
              <w:pStyle w:val="ExhibitText"/>
              <w:rPr>
                <w:rFonts w:eastAsia="SimSun"/>
                <w:lang w:val="en-GB"/>
              </w:rPr>
            </w:pPr>
          </w:p>
        </w:tc>
      </w:tr>
      <w:tr w:rsidR="00D52B78" w:rsidRPr="0038535E" w14:paraId="5F7A0E03" w14:textId="77777777" w:rsidTr="00C46AA4">
        <w:trPr>
          <w:trHeight w:val="20"/>
          <w:jc w:val="center"/>
        </w:trPr>
        <w:tc>
          <w:tcPr>
            <w:tcW w:w="0" w:type="auto"/>
            <w:tcBorders>
              <w:bottom w:val="single" w:sz="4" w:space="0" w:color="auto"/>
            </w:tcBorders>
          </w:tcPr>
          <w:p w14:paraId="4DEF5563" w14:textId="77777777" w:rsidR="00D52B78" w:rsidRPr="0038535E" w:rsidRDefault="00D52B78" w:rsidP="0090653C">
            <w:pPr>
              <w:pStyle w:val="ExhibitText"/>
              <w:rPr>
                <w:rFonts w:eastAsia="SimSun"/>
                <w:b/>
                <w:lang w:val="en-GB"/>
              </w:rPr>
            </w:pPr>
            <w:r w:rsidRPr="0038535E">
              <w:rPr>
                <w:rFonts w:eastAsia="SimSun"/>
                <w:b/>
                <w:lang w:val="en-GB"/>
              </w:rPr>
              <w:t>Borrowings</w:t>
            </w:r>
          </w:p>
        </w:tc>
        <w:tc>
          <w:tcPr>
            <w:tcW w:w="1443" w:type="dxa"/>
            <w:tcBorders>
              <w:bottom w:val="single" w:sz="4" w:space="0" w:color="auto"/>
            </w:tcBorders>
          </w:tcPr>
          <w:p w14:paraId="71AB9B84" w14:textId="3F5AC497" w:rsidR="00D52B78" w:rsidRPr="0038535E" w:rsidRDefault="00D52B78" w:rsidP="0090653C">
            <w:pPr>
              <w:pStyle w:val="ExhibitText"/>
              <w:rPr>
                <w:rFonts w:eastAsia="SimSun"/>
                <w:b/>
                <w:lang w:val="en-GB"/>
              </w:rPr>
            </w:pPr>
            <w:r w:rsidRPr="0038535E">
              <w:rPr>
                <w:rFonts w:eastAsia="SimSun"/>
                <w:b/>
                <w:lang w:val="en-GB"/>
              </w:rPr>
              <w:t>Amount outstanding (U</w:t>
            </w:r>
            <w:r w:rsidR="00C46AA4">
              <w:rPr>
                <w:rFonts w:eastAsia="SimSun"/>
                <w:b/>
                <w:lang w:val="en-GB"/>
              </w:rPr>
              <w:t>S</w:t>
            </w:r>
            <w:r w:rsidRPr="0038535E">
              <w:rPr>
                <w:rFonts w:eastAsia="SimSun"/>
                <w:b/>
                <w:lang w:val="en-GB"/>
              </w:rPr>
              <w:t>$ million)</w:t>
            </w:r>
          </w:p>
        </w:tc>
      </w:tr>
      <w:tr w:rsidR="00D52B78" w:rsidRPr="0038535E" w14:paraId="67872088" w14:textId="77777777" w:rsidTr="00C46AA4">
        <w:trPr>
          <w:trHeight w:val="20"/>
          <w:jc w:val="center"/>
        </w:trPr>
        <w:tc>
          <w:tcPr>
            <w:tcW w:w="0" w:type="auto"/>
            <w:tcBorders>
              <w:top w:val="single" w:sz="4" w:space="0" w:color="auto"/>
            </w:tcBorders>
          </w:tcPr>
          <w:p w14:paraId="68787B0E" w14:textId="77777777" w:rsidR="00D52B78" w:rsidRPr="0038535E" w:rsidRDefault="00D52B78" w:rsidP="0090653C">
            <w:pPr>
              <w:pStyle w:val="ExhibitText"/>
              <w:rPr>
                <w:rFonts w:eastAsia="SimSun"/>
                <w:lang w:val="en-GB"/>
              </w:rPr>
            </w:pPr>
            <w:r w:rsidRPr="0038535E">
              <w:rPr>
                <w:rFonts w:eastAsia="SimSun"/>
                <w:lang w:val="en-GB"/>
              </w:rPr>
              <w:t>6.625% senior unsecured notes, due August 2022</w:t>
            </w:r>
          </w:p>
        </w:tc>
        <w:tc>
          <w:tcPr>
            <w:tcW w:w="1443" w:type="dxa"/>
            <w:tcBorders>
              <w:top w:val="single" w:sz="4" w:space="0" w:color="auto"/>
            </w:tcBorders>
            <w:vAlign w:val="center"/>
          </w:tcPr>
          <w:p w14:paraId="7115AC7D" w14:textId="77777777" w:rsidR="00D52B78" w:rsidRPr="0038535E" w:rsidRDefault="00D52B78" w:rsidP="00C46AA4">
            <w:pPr>
              <w:pStyle w:val="ExhibitText"/>
              <w:jc w:val="right"/>
              <w:rPr>
                <w:rFonts w:eastAsia="SimSun"/>
                <w:lang w:val="en-GB"/>
              </w:rPr>
            </w:pPr>
            <w:r w:rsidRPr="0038535E">
              <w:rPr>
                <w:rFonts w:eastAsia="SimSun"/>
                <w:lang w:val="en-GB"/>
              </w:rPr>
              <w:t>1,021</w:t>
            </w:r>
          </w:p>
        </w:tc>
      </w:tr>
      <w:tr w:rsidR="00D52B78" w:rsidRPr="0038535E" w14:paraId="2820E51B" w14:textId="77777777" w:rsidTr="00C46AA4">
        <w:trPr>
          <w:trHeight w:val="20"/>
          <w:jc w:val="center"/>
        </w:trPr>
        <w:tc>
          <w:tcPr>
            <w:tcW w:w="0" w:type="auto"/>
          </w:tcPr>
          <w:p w14:paraId="45F7FB9D" w14:textId="77777777" w:rsidR="00D52B78" w:rsidRPr="0038535E" w:rsidRDefault="00D52B78" w:rsidP="0090653C">
            <w:pPr>
              <w:pStyle w:val="ExhibitText"/>
              <w:rPr>
                <w:rFonts w:eastAsia="SimSun"/>
                <w:lang w:val="en-GB"/>
              </w:rPr>
            </w:pPr>
            <w:r w:rsidRPr="0038535E">
              <w:rPr>
                <w:rFonts w:eastAsia="SimSun"/>
                <w:lang w:val="en-GB"/>
              </w:rPr>
              <w:t>7.75% senior unsecured notes, due July 2017</w:t>
            </w:r>
          </w:p>
        </w:tc>
        <w:tc>
          <w:tcPr>
            <w:tcW w:w="1443" w:type="dxa"/>
            <w:vAlign w:val="center"/>
          </w:tcPr>
          <w:p w14:paraId="557C99B0" w14:textId="77777777" w:rsidR="00D52B78" w:rsidRPr="0038535E" w:rsidRDefault="00D52B78" w:rsidP="00C46AA4">
            <w:pPr>
              <w:pStyle w:val="ExhibitText"/>
              <w:jc w:val="right"/>
              <w:rPr>
                <w:rFonts w:eastAsia="SimSun"/>
                <w:lang w:val="en-GB"/>
              </w:rPr>
            </w:pPr>
            <w:r w:rsidRPr="0038535E">
              <w:rPr>
                <w:rFonts w:eastAsia="SimSun"/>
                <w:lang w:val="en-GB"/>
              </w:rPr>
              <w:t>528</w:t>
            </w:r>
          </w:p>
        </w:tc>
      </w:tr>
      <w:tr w:rsidR="00D52B78" w:rsidRPr="0038535E" w14:paraId="593719E9" w14:textId="77777777" w:rsidTr="00C46AA4">
        <w:trPr>
          <w:trHeight w:val="20"/>
          <w:jc w:val="center"/>
        </w:trPr>
        <w:tc>
          <w:tcPr>
            <w:tcW w:w="0" w:type="auto"/>
          </w:tcPr>
          <w:p w14:paraId="1102136E" w14:textId="77777777" w:rsidR="00D52B78" w:rsidRPr="0038535E" w:rsidRDefault="00D52B78" w:rsidP="0090653C">
            <w:pPr>
              <w:pStyle w:val="ExhibitText"/>
              <w:rPr>
                <w:rFonts w:eastAsia="SimSun"/>
                <w:lang w:val="en-GB"/>
              </w:rPr>
            </w:pPr>
            <w:r w:rsidRPr="0038535E">
              <w:rPr>
                <w:rFonts w:eastAsia="SimSun"/>
                <w:lang w:val="en-GB"/>
              </w:rPr>
              <w:t>5.25% senior unsecured notes, due August 2018</w:t>
            </w:r>
          </w:p>
        </w:tc>
        <w:tc>
          <w:tcPr>
            <w:tcW w:w="1443" w:type="dxa"/>
            <w:vAlign w:val="center"/>
          </w:tcPr>
          <w:p w14:paraId="17B0158A" w14:textId="77777777" w:rsidR="00D52B78" w:rsidRPr="0038535E" w:rsidRDefault="00D52B78" w:rsidP="00C46AA4">
            <w:pPr>
              <w:pStyle w:val="ExhibitText"/>
              <w:jc w:val="right"/>
              <w:rPr>
                <w:rFonts w:eastAsia="SimSun"/>
                <w:lang w:val="en-GB"/>
              </w:rPr>
            </w:pPr>
            <w:r w:rsidRPr="0038535E">
              <w:rPr>
                <w:rFonts w:eastAsia="SimSun"/>
                <w:lang w:val="en-GB"/>
              </w:rPr>
              <w:t>490</w:t>
            </w:r>
          </w:p>
        </w:tc>
      </w:tr>
      <w:tr w:rsidR="00D52B78" w:rsidRPr="0038535E" w14:paraId="069397B6" w14:textId="77777777" w:rsidTr="00C46AA4">
        <w:trPr>
          <w:trHeight w:val="20"/>
          <w:jc w:val="center"/>
        </w:trPr>
        <w:tc>
          <w:tcPr>
            <w:tcW w:w="0" w:type="auto"/>
            <w:tcBorders>
              <w:bottom w:val="single" w:sz="4" w:space="0" w:color="auto"/>
            </w:tcBorders>
          </w:tcPr>
          <w:p w14:paraId="31E9E420" w14:textId="77777777" w:rsidR="00D52B78" w:rsidRPr="0038535E" w:rsidRDefault="00D52B78" w:rsidP="0090653C">
            <w:pPr>
              <w:pStyle w:val="ExhibitText"/>
              <w:rPr>
                <w:rFonts w:eastAsia="SimSun"/>
                <w:lang w:val="en-GB"/>
              </w:rPr>
            </w:pPr>
            <w:r w:rsidRPr="0038535E">
              <w:rPr>
                <w:rFonts w:eastAsia="SimSun"/>
                <w:lang w:val="en-GB"/>
              </w:rPr>
              <w:t>5.875% senior unsecured notes, due August 2021</w:t>
            </w:r>
          </w:p>
        </w:tc>
        <w:tc>
          <w:tcPr>
            <w:tcW w:w="1443" w:type="dxa"/>
            <w:tcBorders>
              <w:bottom w:val="single" w:sz="4" w:space="0" w:color="auto"/>
            </w:tcBorders>
            <w:vAlign w:val="center"/>
          </w:tcPr>
          <w:p w14:paraId="74E1695A" w14:textId="77777777" w:rsidR="00D52B78" w:rsidRPr="0038535E" w:rsidRDefault="00D52B78" w:rsidP="00C46AA4">
            <w:pPr>
              <w:pStyle w:val="ExhibitText"/>
              <w:jc w:val="right"/>
              <w:rPr>
                <w:rFonts w:eastAsia="SimSun"/>
                <w:lang w:val="en-GB"/>
              </w:rPr>
            </w:pPr>
            <w:r w:rsidRPr="0038535E">
              <w:rPr>
                <w:rFonts w:eastAsia="SimSun"/>
                <w:lang w:val="en-GB"/>
              </w:rPr>
              <w:t>391</w:t>
            </w:r>
          </w:p>
        </w:tc>
      </w:tr>
      <w:tr w:rsidR="00D52B78" w:rsidRPr="0038535E" w14:paraId="33D8E368" w14:textId="77777777" w:rsidTr="00C46AA4">
        <w:trPr>
          <w:trHeight w:val="20"/>
          <w:jc w:val="center"/>
        </w:trPr>
        <w:tc>
          <w:tcPr>
            <w:tcW w:w="0" w:type="auto"/>
            <w:tcBorders>
              <w:top w:val="single" w:sz="4" w:space="0" w:color="auto"/>
            </w:tcBorders>
          </w:tcPr>
          <w:p w14:paraId="672FD7E3" w14:textId="77777777" w:rsidR="00D52B78" w:rsidRPr="0038535E" w:rsidRDefault="00D52B78" w:rsidP="0090653C">
            <w:pPr>
              <w:pStyle w:val="ExhibitText"/>
              <w:rPr>
                <w:rFonts w:eastAsia="SimSun"/>
                <w:lang w:val="en-GB"/>
              </w:rPr>
            </w:pPr>
          </w:p>
        </w:tc>
        <w:tc>
          <w:tcPr>
            <w:tcW w:w="1443" w:type="dxa"/>
            <w:tcBorders>
              <w:top w:val="single" w:sz="4" w:space="0" w:color="auto"/>
              <w:bottom w:val="single" w:sz="4" w:space="0" w:color="auto"/>
            </w:tcBorders>
            <w:vAlign w:val="center"/>
          </w:tcPr>
          <w:p w14:paraId="317A1734" w14:textId="77777777" w:rsidR="00D52B78" w:rsidRPr="0038535E" w:rsidRDefault="00D52B78" w:rsidP="00C46AA4">
            <w:pPr>
              <w:pStyle w:val="ExhibitText"/>
              <w:jc w:val="right"/>
              <w:rPr>
                <w:rFonts w:eastAsia="SimSun"/>
                <w:lang w:val="en-GB"/>
              </w:rPr>
            </w:pPr>
            <w:r w:rsidRPr="0038535E">
              <w:rPr>
                <w:rFonts w:eastAsia="SimSun"/>
                <w:lang w:val="en-GB"/>
              </w:rPr>
              <w:t>2,430</w:t>
            </w:r>
          </w:p>
        </w:tc>
      </w:tr>
    </w:tbl>
    <w:p w14:paraId="2298EB7E" w14:textId="77777777" w:rsidR="00EA1F2E" w:rsidRPr="0038535E" w:rsidRDefault="00EA1F2E" w:rsidP="00EA1F2E">
      <w:pPr>
        <w:pStyle w:val="BodyTextMain"/>
        <w:rPr>
          <w:rFonts w:eastAsia="SimSun"/>
          <w:lang w:val="en-GB"/>
        </w:rPr>
      </w:pPr>
    </w:p>
    <w:p w14:paraId="5F8F0B07" w14:textId="459BA116" w:rsidR="00EA1F2E" w:rsidRPr="0038535E" w:rsidRDefault="00EA1F2E" w:rsidP="00EA1F2E">
      <w:pPr>
        <w:pStyle w:val="Footnote"/>
        <w:rPr>
          <w:rFonts w:eastAsia="SimSun"/>
          <w:lang w:val="en-GB" w:eastAsia="zh-CN"/>
        </w:rPr>
      </w:pPr>
      <w:r w:rsidRPr="0038535E">
        <w:rPr>
          <w:rFonts w:eastAsia="SimSun"/>
          <w:lang w:val="en-GB" w:eastAsia="zh-CN"/>
        </w:rPr>
        <w:t>Source:</w:t>
      </w:r>
      <w:r w:rsidR="00712C3E" w:rsidRPr="0038535E">
        <w:rPr>
          <w:rFonts w:eastAsia="SimSun"/>
          <w:lang w:val="en-GB" w:eastAsia="zh-CN"/>
        </w:rPr>
        <w:t xml:space="preserve"> </w:t>
      </w:r>
      <w:r w:rsidR="00FD2EF1">
        <w:rPr>
          <w:rFonts w:eastAsia="SimSun"/>
          <w:lang w:val="en-GB" w:eastAsia="zh-CN"/>
        </w:rPr>
        <w:t>WH Group IPO Prospectus,</w:t>
      </w:r>
      <w:r w:rsidR="0038535E" w:rsidRPr="0038535E">
        <w:rPr>
          <w:rFonts w:eastAsia="SimSun"/>
          <w:lang w:val="en-GB" w:eastAsia="zh-CN"/>
        </w:rPr>
        <w:t xml:space="preserve"> 325, accessed October 1, 2015.</w:t>
      </w:r>
    </w:p>
    <w:p w14:paraId="0DA6E59C" w14:textId="77777777" w:rsidR="00EA1F2E" w:rsidRPr="0038535E" w:rsidRDefault="00EA1F2E" w:rsidP="00EA1F2E">
      <w:pPr>
        <w:pStyle w:val="BodyTextMain"/>
        <w:rPr>
          <w:rFonts w:eastAsia="SimSun"/>
          <w:lang w:val="en-GB"/>
        </w:rPr>
      </w:pPr>
    </w:p>
    <w:p w14:paraId="56C351E2" w14:textId="77777777" w:rsidR="00EA1F2E" w:rsidRPr="0038535E" w:rsidRDefault="00EA1F2E" w:rsidP="00EA1F2E">
      <w:pPr>
        <w:pStyle w:val="BodyTextMain"/>
        <w:rPr>
          <w:rFonts w:eastAsia="SimSun"/>
          <w:lang w:val="en-GB"/>
        </w:rPr>
      </w:pPr>
    </w:p>
    <w:p w14:paraId="1E293E7E" w14:textId="77777777" w:rsidR="00EA1F2E" w:rsidRPr="0038535E" w:rsidRDefault="00EA1F2E">
      <w:pPr>
        <w:spacing w:after="200" w:line="276" w:lineRule="auto"/>
        <w:rPr>
          <w:rFonts w:ascii="Arial" w:eastAsia="SimSun" w:hAnsi="Arial" w:cs="Arial"/>
          <w:b/>
          <w:caps/>
          <w:lang w:val="en-GB" w:eastAsia="zh-CN"/>
        </w:rPr>
      </w:pPr>
      <w:r w:rsidRPr="0038535E">
        <w:rPr>
          <w:rFonts w:eastAsia="SimSun"/>
          <w:lang w:val="en-GB" w:eastAsia="zh-CN"/>
        </w:rPr>
        <w:br w:type="page"/>
      </w:r>
    </w:p>
    <w:p w14:paraId="2F4F3720" w14:textId="77777777" w:rsidR="00D52B78" w:rsidRPr="0038535E" w:rsidRDefault="00D52B78" w:rsidP="00421465">
      <w:pPr>
        <w:pStyle w:val="ExhibitHeading"/>
        <w:rPr>
          <w:rFonts w:eastAsia="SimSun"/>
          <w:i/>
          <w:sz w:val="17"/>
          <w:szCs w:val="17"/>
          <w:lang w:val="en-GB" w:eastAsia="zh-CN"/>
        </w:rPr>
      </w:pPr>
      <w:r w:rsidRPr="0038535E">
        <w:rPr>
          <w:rFonts w:eastAsia="SimSun"/>
          <w:lang w:val="en-GB" w:eastAsia="zh-CN"/>
        </w:rPr>
        <w:lastRenderedPageBreak/>
        <w:t>EXHIBIT 5: COMPARABLES DATA AS</w:t>
      </w:r>
      <w:r w:rsidR="00EA1F2E" w:rsidRPr="0038535E">
        <w:rPr>
          <w:rFonts w:eastAsia="SimSun"/>
          <w:lang w:val="en-GB" w:eastAsia="zh-CN"/>
        </w:rPr>
        <w:t xml:space="preserve"> OF APRIL 1, 2014, PRIOR TO IPO (IN HK$)</w:t>
      </w:r>
    </w:p>
    <w:p w14:paraId="0D0287D1" w14:textId="77777777" w:rsidR="00D52B78" w:rsidRPr="0038535E" w:rsidRDefault="00D52B78" w:rsidP="00EA1F2E">
      <w:pPr>
        <w:pStyle w:val="BodyTextMain"/>
        <w:rPr>
          <w:rFonts w:eastAsia="SimSun"/>
          <w:lang w:val="en-GB"/>
        </w:rPr>
      </w:pPr>
    </w:p>
    <w:tbl>
      <w:tblPr>
        <w:tblW w:w="9488" w:type="dxa"/>
        <w:jc w:val="center"/>
        <w:tblLayout w:type="fixed"/>
        <w:tblLook w:val="04A0" w:firstRow="1" w:lastRow="0" w:firstColumn="1" w:lastColumn="0" w:noHBand="0" w:noVBand="1"/>
      </w:tblPr>
      <w:tblGrid>
        <w:gridCol w:w="1408"/>
        <w:gridCol w:w="1195"/>
        <w:gridCol w:w="810"/>
        <w:gridCol w:w="900"/>
        <w:gridCol w:w="810"/>
        <w:gridCol w:w="1104"/>
        <w:gridCol w:w="993"/>
        <w:gridCol w:w="708"/>
        <w:gridCol w:w="709"/>
        <w:gridCol w:w="851"/>
      </w:tblGrid>
      <w:tr w:rsidR="00EA1F2E" w:rsidRPr="0038535E" w14:paraId="0CBBA82C" w14:textId="77777777" w:rsidTr="001C198D">
        <w:trPr>
          <w:trHeight w:val="20"/>
          <w:jc w:val="center"/>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211174" w14:textId="77777777" w:rsidR="00D52B78" w:rsidRPr="0038535E" w:rsidRDefault="00D52B78" w:rsidP="00421465">
            <w:pPr>
              <w:pStyle w:val="ExhibitText"/>
              <w:jc w:val="left"/>
              <w:rPr>
                <w:b/>
                <w:sz w:val="18"/>
                <w:szCs w:val="18"/>
                <w:lang w:val="en-GB" w:eastAsia="zh-CN"/>
              </w:rPr>
            </w:pPr>
            <w:r w:rsidRPr="0038535E">
              <w:rPr>
                <w:b/>
                <w:sz w:val="18"/>
                <w:szCs w:val="18"/>
                <w:lang w:val="en-GB" w:eastAsia="zh-CN"/>
              </w:rPr>
              <w:t>Name</w:t>
            </w:r>
          </w:p>
        </w:tc>
        <w:tc>
          <w:tcPr>
            <w:tcW w:w="1195" w:type="dxa"/>
            <w:tcBorders>
              <w:top w:val="single" w:sz="8" w:space="0" w:color="auto"/>
              <w:left w:val="nil"/>
              <w:bottom w:val="single" w:sz="8" w:space="0" w:color="auto"/>
              <w:right w:val="single" w:sz="4" w:space="0" w:color="auto"/>
            </w:tcBorders>
            <w:shd w:val="clear" w:color="auto" w:fill="auto"/>
            <w:noWrap/>
            <w:vAlign w:val="center"/>
            <w:hideMark/>
          </w:tcPr>
          <w:p w14:paraId="50A74F47"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Ticker &amp; Exchange</w:t>
            </w:r>
          </w:p>
        </w:tc>
        <w:tc>
          <w:tcPr>
            <w:tcW w:w="810" w:type="dxa"/>
            <w:tcBorders>
              <w:top w:val="single" w:sz="8" w:space="0" w:color="auto"/>
              <w:left w:val="nil"/>
              <w:bottom w:val="single" w:sz="8" w:space="0" w:color="auto"/>
              <w:right w:val="single" w:sz="4" w:space="0" w:color="auto"/>
            </w:tcBorders>
            <w:shd w:val="clear" w:color="auto" w:fill="auto"/>
            <w:noWrap/>
            <w:vAlign w:val="center"/>
            <w:hideMark/>
          </w:tcPr>
          <w:p w14:paraId="3D994337"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Share Price</w:t>
            </w:r>
          </w:p>
        </w:tc>
        <w:tc>
          <w:tcPr>
            <w:tcW w:w="900" w:type="dxa"/>
            <w:tcBorders>
              <w:top w:val="single" w:sz="8" w:space="0" w:color="auto"/>
              <w:left w:val="nil"/>
              <w:bottom w:val="single" w:sz="8" w:space="0" w:color="auto"/>
              <w:right w:val="single" w:sz="4" w:space="0" w:color="auto"/>
            </w:tcBorders>
            <w:shd w:val="clear" w:color="auto" w:fill="auto"/>
            <w:noWrap/>
            <w:vAlign w:val="center"/>
            <w:hideMark/>
          </w:tcPr>
          <w:p w14:paraId="3BB46874"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Mkt Cap (HKD)</w:t>
            </w:r>
          </w:p>
        </w:tc>
        <w:tc>
          <w:tcPr>
            <w:tcW w:w="810" w:type="dxa"/>
            <w:tcBorders>
              <w:top w:val="single" w:sz="8" w:space="0" w:color="auto"/>
              <w:left w:val="nil"/>
              <w:bottom w:val="single" w:sz="8" w:space="0" w:color="auto"/>
              <w:right w:val="single" w:sz="4" w:space="0" w:color="auto"/>
            </w:tcBorders>
            <w:shd w:val="clear" w:color="auto" w:fill="auto"/>
            <w:noWrap/>
            <w:vAlign w:val="center"/>
            <w:hideMark/>
          </w:tcPr>
          <w:p w14:paraId="1317EAF5"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Tot Assets</w:t>
            </w:r>
          </w:p>
        </w:tc>
        <w:tc>
          <w:tcPr>
            <w:tcW w:w="1104" w:type="dxa"/>
            <w:tcBorders>
              <w:top w:val="single" w:sz="8" w:space="0" w:color="auto"/>
              <w:left w:val="nil"/>
              <w:bottom w:val="single" w:sz="8" w:space="0" w:color="auto"/>
              <w:right w:val="single" w:sz="4" w:space="0" w:color="auto"/>
            </w:tcBorders>
            <w:shd w:val="clear" w:color="auto" w:fill="auto"/>
            <w:noWrap/>
            <w:vAlign w:val="center"/>
            <w:hideMark/>
          </w:tcPr>
          <w:p w14:paraId="179D710E"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Revenue (TTM)</w:t>
            </w:r>
          </w:p>
        </w:tc>
        <w:tc>
          <w:tcPr>
            <w:tcW w:w="993" w:type="dxa"/>
            <w:tcBorders>
              <w:top w:val="single" w:sz="8" w:space="0" w:color="auto"/>
              <w:left w:val="nil"/>
              <w:bottom w:val="single" w:sz="8" w:space="0" w:color="auto"/>
              <w:right w:val="single" w:sz="4" w:space="0" w:color="auto"/>
            </w:tcBorders>
            <w:shd w:val="clear" w:color="auto" w:fill="auto"/>
            <w:noWrap/>
            <w:vAlign w:val="center"/>
            <w:hideMark/>
          </w:tcPr>
          <w:p w14:paraId="0E06D478"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Net Income (TTM)</w:t>
            </w:r>
          </w:p>
        </w:tc>
        <w:tc>
          <w:tcPr>
            <w:tcW w:w="708" w:type="dxa"/>
            <w:tcBorders>
              <w:top w:val="single" w:sz="8" w:space="0" w:color="auto"/>
              <w:left w:val="nil"/>
              <w:bottom w:val="single" w:sz="8" w:space="0" w:color="auto"/>
              <w:right w:val="single" w:sz="4" w:space="0" w:color="auto"/>
            </w:tcBorders>
            <w:shd w:val="clear" w:color="auto" w:fill="auto"/>
            <w:noWrap/>
            <w:vAlign w:val="center"/>
            <w:hideMark/>
          </w:tcPr>
          <w:p w14:paraId="3711C3C8"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EPS (TTM)</w:t>
            </w:r>
          </w:p>
        </w:tc>
        <w:tc>
          <w:tcPr>
            <w:tcW w:w="709" w:type="dxa"/>
            <w:tcBorders>
              <w:top w:val="single" w:sz="8" w:space="0" w:color="auto"/>
              <w:left w:val="nil"/>
              <w:bottom w:val="single" w:sz="8" w:space="0" w:color="auto"/>
              <w:right w:val="single" w:sz="4" w:space="0" w:color="auto"/>
            </w:tcBorders>
            <w:shd w:val="clear" w:color="auto" w:fill="auto"/>
            <w:noWrap/>
            <w:vAlign w:val="center"/>
            <w:hideMark/>
          </w:tcPr>
          <w:p w14:paraId="3F908E5F"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P/E</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27B2ADA0"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ROE</w:t>
            </w:r>
          </w:p>
        </w:tc>
      </w:tr>
      <w:tr w:rsidR="00EA1F2E" w:rsidRPr="0038535E" w14:paraId="7FFB63BE" w14:textId="77777777" w:rsidTr="001C198D">
        <w:trPr>
          <w:trHeight w:val="20"/>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162F59AF" w14:textId="77777777" w:rsidR="00D52B78" w:rsidRPr="0038535E" w:rsidRDefault="00D52B78" w:rsidP="00421465">
            <w:pPr>
              <w:pStyle w:val="ExhibitText"/>
              <w:jc w:val="left"/>
              <w:rPr>
                <w:b/>
                <w:sz w:val="18"/>
                <w:szCs w:val="18"/>
                <w:lang w:val="en-GB" w:eastAsia="zh-CN"/>
              </w:rPr>
            </w:pPr>
            <w:r w:rsidRPr="0038535E">
              <w:rPr>
                <w:b/>
                <w:sz w:val="18"/>
                <w:szCs w:val="18"/>
                <w:lang w:val="en-GB" w:eastAsia="zh-CN"/>
              </w:rPr>
              <w:t>Average</w:t>
            </w:r>
          </w:p>
        </w:tc>
        <w:tc>
          <w:tcPr>
            <w:tcW w:w="1195" w:type="dxa"/>
            <w:tcBorders>
              <w:top w:val="nil"/>
              <w:left w:val="nil"/>
              <w:bottom w:val="single" w:sz="4" w:space="0" w:color="auto"/>
              <w:right w:val="single" w:sz="4" w:space="0" w:color="auto"/>
            </w:tcBorders>
            <w:shd w:val="clear" w:color="auto" w:fill="auto"/>
            <w:noWrap/>
            <w:vAlign w:val="center"/>
            <w:hideMark/>
          </w:tcPr>
          <w:p w14:paraId="31903CCE" w14:textId="77777777" w:rsidR="00D52B78" w:rsidRPr="0038535E" w:rsidRDefault="00D52B78" w:rsidP="00EA1F2E">
            <w:pPr>
              <w:pStyle w:val="ExhibitText"/>
              <w:jc w:val="right"/>
              <w:rPr>
                <w:sz w:val="18"/>
                <w:szCs w:val="18"/>
                <w:lang w:val="en-GB" w:eastAsia="zh-CN"/>
              </w:rPr>
            </w:pPr>
          </w:p>
        </w:tc>
        <w:tc>
          <w:tcPr>
            <w:tcW w:w="810" w:type="dxa"/>
            <w:tcBorders>
              <w:top w:val="nil"/>
              <w:left w:val="nil"/>
              <w:bottom w:val="single" w:sz="4" w:space="0" w:color="auto"/>
              <w:right w:val="single" w:sz="4" w:space="0" w:color="auto"/>
            </w:tcBorders>
            <w:shd w:val="clear" w:color="auto" w:fill="auto"/>
            <w:vAlign w:val="center"/>
            <w:hideMark/>
          </w:tcPr>
          <w:p w14:paraId="05798774"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36.66</w:t>
            </w:r>
          </w:p>
        </w:tc>
        <w:tc>
          <w:tcPr>
            <w:tcW w:w="900" w:type="dxa"/>
            <w:tcBorders>
              <w:top w:val="nil"/>
              <w:left w:val="nil"/>
              <w:bottom w:val="single" w:sz="4" w:space="0" w:color="auto"/>
              <w:right w:val="single" w:sz="4" w:space="0" w:color="auto"/>
            </w:tcBorders>
            <w:shd w:val="clear" w:color="auto" w:fill="auto"/>
            <w:noWrap/>
            <w:vAlign w:val="center"/>
            <w:hideMark/>
          </w:tcPr>
          <w:p w14:paraId="224E0DB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66.53B</w:t>
            </w:r>
          </w:p>
        </w:tc>
        <w:tc>
          <w:tcPr>
            <w:tcW w:w="810" w:type="dxa"/>
            <w:tcBorders>
              <w:top w:val="nil"/>
              <w:left w:val="nil"/>
              <w:bottom w:val="single" w:sz="4" w:space="0" w:color="auto"/>
              <w:right w:val="single" w:sz="4" w:space="0" w:color="auto"/>
            </w:tcBorders>
            <w:shd w:val="clear" w:color="auto" w:fill="auto"/>
            <w:noWrap/>
            <w:vAlign w:val="center"/>
            <w:hideMark/>
          </w:tcPr>
          <w:p w14:paraId="2771BFAA"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51.22B</w:t>
            </w:r>
          </w:p>
        </w:tc>
        <w:tc>
          <w:tcPr>
            <w:tcW w:w="1104" w:type="dxa"/>
            <w:tcBorders>
              <w:top w:val="nil"/>
              <w:left w:val="nil"/>
              <w:bottom w:val="single" w:sz="4" w:space="0" w:color="auto"/>
              <w:right w:val="single" w:sz="4" w:space="0" w:color="auto"/>
            </w:tcBorders>
            <w:shd w:val="clear" w:color="auto" w:fill="auto"/>
            <w:noWrap/>
            <w:vAlign w:val="center"/>
            <w:hideMark/>
          </w:tcPr>
          <w:p w14:paraId="51D2927B"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66.79B</w:t>
            </w:r>
          </w:p>
        </w:tc>
        <w:tc>
          <w:tcPr>
            <w:tcW w:w="993" w:type="dxa"/>
            <w:tcBorders>
              <w:top w:val="nil"/>
              <w:left w:val="nil"/>
              <w:bottom w:val="single" w:sz="4" w:space="0" w:color="auto"/>
              <w:right w:val="single" w:sz="4" w:space="0" w:color="auto"/>
            </w:tcBorders>
            <w:shd w:val="clear" w:color="auto" w:fill="auto"/>
            <w:noWrap/>
            <w:vAlign w:val="center"/>
            <w:hideMark/>
          </w:tcPr>
          <w:p w14:paraId="164A5B98"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2.75B</w:t>
            </w:r>
          </w:p>
        </w:tc>
        <w:tc>
          <w:tcPr>
            <w:tcW w:w="708" w:type="dxa"/>
            <w:tcBorders>
              <w:top w:val="nil"/>
              <w:left w:val="nil"/>
              <w:bottom w:val="single" w:sz="4" w:space="0" w:color="auto"/>
              <w:right w:val="single" w:sz="4" w:space="0" w:color="auto"/>
            </w:tcBorders>
            <w:shd w:val="clear" w:color="auto" w:fill="auto"/>
            <w:noWrap/>
            <w:vAlign w:val="center"/>
            <w:hideMark/>
          </w:tcPr>
          <w:p w14:paraId="3DA880B4"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1.94</w:t>
            </w:r>
          </w:p>
        </w:tc>
        <w:tc>
          <w:tcPr>
            <w:tcW w:w="709" w:type="dxa"/>
            <w:tcBorders>
              <w:top w:val="nil"/>
              <w:left w:val="nil"/>
              <w:bottom w:val="single" w:sz="4" w:space="0" w:color="auto"/>
              <w:right w:val="single" w:sz="4" w:space="0" w:color="auto"/>
            </w:tcBorders>
            <w:shd w:val="clear" w:color="auto" w:fill="auto"/>
            <w:noWrap/>
            <w:vAlign w:val="center"/>
            <w:hideMark/>
          </w:tcPr>
          <w:p w14:paraId="045E52DC"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26.89</w:t>
            </w:r>
          </w:p>
        </w:tc>
        <w:tc>
          <w:tcPr>
            <w:tcW w:w="851" w:type="dxa"/>
            <w:tcBorders>
              <w:top w:val="nil"/>
              <w:left w:val="nil"/>
              <w:bottom w:val="single" w:sz="4" w:space="0" w:color="auto"/>
              <w:right w:val="single" w:sz="8" w:space="0" w:color="auto"/>
            </w:tcBorders>
            <w:shd w:val="clear" w:color="auto" w:fill="auto"/>
            <w:noWrap/>
            <w:vAlign w:val="center"/>
            <w:hideMark/>
          </w:tcPr>
          <w:p w14:paraId="319D70C1"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11.72%</w:t>
            </w:r>
          </w:p>
        </w:tc>
      </w:tr>
      <w:tr w:rsidR="00EA1F2E" w:rsidRPr="0038535E" w14:paraId="310B4F3D" w14:textId="77777777" w:rsidTr="001C198D">
        <w:trPr>
          <w:trHeight w:val="188"/>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6A2E62BD" w14:textId="2E52F51A" w:rsidR="00D52B78" w:rsidRPr="0038535E" w:rsidRDefault="00EA1F2E" w:rsidP="00421465">
            <w:pPr>
              <w:pStyle w:val="ExhibitText"/>
              <w:jc w:val="left"/>
              <w:rPr>
                <w:b/>
                <w:sz w:val="18"/>
                <w:szCs w:val="18"/>
                <w:lang w:val="en-GB" w:eastAsia="zh-CN"/>
              </w:rPr>
            </w:pPr>
            <w:r w:rsidRPr="0038535E">
              <w:rPr>
                <w:b/>
                <w:sz w:val="18"/>
                <w:szCs w:val="18"/>
                <w:lang w:val="en-GB" w:eastAsia="zh-CN"/>
              </w:rPr>
              <w:t>Wan Want China Holdings</w:t>
            </w:r>
          </w:p>
        </w:tc>
        <w:tc>
          <w:tcPr>
            <w:tcW w:w="1195" w:type="dxa"/>
            <w:tcBorders>
              <w:top w:val="nil"/>
              <w:left w:val="nil"/>
              <w:bottom w:val="single" w:sz="4" w:space="0" w:color="auto"/>
              <w:right w:val="single" w:sz="4" w:space="0" w:color="auto"/>
            </w:tcBorders>
            <w:shd w:val="clear" w:color="auto" w:fill="auto"/>
            <w:noWrap/>
            <w:vAlign w:val="center"/>
            <w:hideMark/>
          </w:tcPr>
          <w:p w14:paraId="108ECA19"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151 HK</w:t>
            </w:r>
          </w:p>
        </w:tc>
        <w:tc>
          <w:tcPr>
            <w:tcW w:w="810" w:type="dxa"/>
            <w:tcBorders>
              <w:top w:val="nil"/>
              <w:left w:val="nil"/>
              <w:bottom w:val="single" w:sz="4" w:space="0" w:color="auto"/>
              <w:right w:val="single" w:sz="4" w:space="0" w:color="auto"/>
            </w:tcBorders>
            <w:shd w:val="clear" w:color="auto" w:fill="auto"/>
            <w:vAlign w:val="center"/>
            <w:hideMark/>
          </w:tcPr>
          <w:p w14:paraId="50EBE7F7"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11.90</w:t>
            </w:r>
          </w:p>
        </w:tc>
        <w:tc>
          <w:tcPr>
            <w:tcW w:w="900" w:type="dxa"/>
            <w:tcBorders>
              <w:top w:val="nil"/>
              <w:left w:val="nil"/>
              <w:bottom w:val="single" w:sz="4" w:space="0" w:color="auto"/>
              <w:right w:val="single" w:sz="4" w:space="0" w:color="auto"/>
            </w:tcBorders>
            <w:shd w:val="clear" w:color="auto" w:fill="auto"/>
            <w:noWrap/>
            <w:vAlign w:val="center"/>
            <w:hideMark/>
          </w:tcPr>
          <w:p w14:paraId="052EC221"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157.23B</w:t>
            </w:r>
          </w:p>
        </w:tc>
        <w:tc>
          <w:tcPr>
            <w:tcW w:w="810" w:type="dxa"/>
            <w:tcBorders>
              <w:top w:val="nil"/>
              <w:left w:val="nil"/>
              <w:bottom w:val="single" w:sz="4" w:space="0" w:color="auto"/>
              <w:right w:val="single" w:sz="4" w:space="0" w:color="auto"/>
            </w:tcBorders>
            <w:shd w:val="clear" w:color="auto" w:fill="auto"/>
            <w:noWrap/>
            <w:vAlign w:val="center"/>
            <w:hideMark/>
          </w:tcPr>
          <w:p w14:paraId="6DDA25D5"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w:t>
            </w:r>
          </w:p>
        </w:tc>
        <w:tc>
          <w:tcPr>
            <w:tcW w:w="1104" w:type="dxa"/>
            <w:tcBorders>
              <w:top w:val="nil"/>
              <w:left w:val="nil"/>
              <w:bottom w:val="single" w:sz="4" w:space="0" w:color="auto"/>
              <w:right w:val="single" w:sz="4" w:space="0" w:color="auto"/>
            </w:tcBorders>
            <w:shd w:val="clear" w:color="auto" w:fill="auto"/>
            <w:noWrap/>
            <w:vAlign w:val="center"/>
            <w:hideMark/>
          </w:tcPr>
          <w:p w14:paraId="64EA3EE8"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27.81B</w:t>
            </w:r>
          </w:p>
        </w:tc>
        <w:tc>
          <w:tcPr>
            <w:tcW w:w="993" w:type="dxa"/>
            <w:tcBorders>
              <w:top w:val="nil"/>
              <w:left w:val="nil"/>
              <w:bottom w:val="single" w:sz="4" w:space="0" w:color="auto"/>
              <w:right w:val="single" w:sz="4" w:space="0" w:color="auto"/>
            </w:tcBorders>
            <w:shd w:val="clear" w:color="auto" w:fill="auto"/>
            <w:noWrap/>
            <w:vAlign w:val="center"/>
            <w:hideMark/>
          </w:tcPr>
          <w:p w14:paraId="097C4518"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4.89B</w:t>
            </w:r>
          </w:p>
        </w:tc>
        <w:tc>
          <w:tcPr>
            <w:tcW w:w="708" w:type="dxa"/>
            <w:tcBorders>
              <w:top w:val="nil"/>
              <w:left w:val="nil"/>
              <w:bottom w:val="single" w:sz="4" w:space="0" w:color="auto"/>
              <w:right w:val="single" w:sz="4" w:space="0" w:color="auto"/>
            </w:tcBorders>
            <w:shd w:val="clear" w:color="auto" w:fill="auto"/>
            <w:noWrap/>
            <w:vAlign w:val="center"/>
            <w:hideMark/>
          </w:tcPr>
          <w:p w14:paraId="7F735207"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0.37</w:t>
            </w:r>
          </w:p>
        </w:tc>
        <w:tc>
          <w:tcPr>
            <w:tcW w:w="709" w:type="dxa"/>
            <w:tcBorders>
              <w:top w:val="nil"/>
              <w:left w:val="nil"/>
              <w:bottom w:val="single" w:sz="4" w:space="0" w:color="auto"/>
              <w:right w:val="single" w:sz="4" w:space="0" w:color="auto"/>
            </w:tcBorders>
            <w:shd w:val="clear" w:color="auto" w:fill="auto"/>
            <w:noWrap/>
            <w:vAlign w:val="center"/>
            <w:hideMark/>
          </w:tcPr>
          <w:p w14:paraId="061ECC1C"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29.50</w:t>
            </w:r>
          </w:p>
        </w:tc>
        <w:tc>
          <w:tcPr>
            <w:tcW w:w="851" w:type="dxa"/>
            <w:tcBorders>
              <w:top w:val="nil"/>
              <w:left w:val="nil"/>
              <w:bottom w:val="single" w:sz="4" w:space="0" w:color="auto"/>
              <w:right w:val="single" w:sz="8" w:space="0" w:color="auto"/>
            </w:tcBorders>
            <w:shd w:val="clear" w:color="auto" w:fill="auto"/>
            <w:noWrap/>
            <w:vAlign w:val="center"/>
            <w:hideMark/>
          </w:tcPr>
          <w:p w14:paraId="6689017F"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w:t>
            </w:r>
          </w:p>
        </w:tc>
      </w:tr>
      <w:tr w:rsidR="00EA1F2E" w:rsidRPr="0038535E" w14:paraId="6D3DE44A" w14:textId="77777777" w:rsidTr="001C198D">
        <w:trPr>
          <w:trHeight w:val="20"/>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19EB926E" w14:textId="77777777" w:rsidR="00D52B78" w:rsidRPr="0038535E" w:rsidRDefault="00EA1F2E" w:rsidP="00421465">
            <w:pPr>
              <w:pStyle w:val="ExhibitText"/>
              <w:jc w:val="left"/>
              <w:rPr>
                <w:b/>
                <w:sz w:val="18"/>
                <w:szCs w:val="18"/>
                <w:lang w:val="en-GB" w:eastAsia="zh-CN"/>
              </w:rPr>
            </w:pPr>
            <w:r w:rsidRPr="0038535E">
              <w:rPr>
                <w:b/>
                <w:sz w:val="18"/>
                <w:szCs w:val="18"/>
                <w:lang w:val="en-GB" w:eastAsia="zh-CN"/>
              </w:rPr>
              <w:t>Tingyi (Cayman Island) Holdings</w:t>
            </w:r>
          </w:p>
        </w:tc>
        <w:tc>
          <w:tcPr>
            <w:tcW w:w="1195" w:type="dxa"/>
            <w:tcBorders>
              <w:top w:val="nil"/>
              <w:left w:val="nil"/>
              <w:bottom w:val="single" w:sz="4" w:space="0" w:color="auto"/>
              <w:right w:val="single" w:sz="4" w:space="0" w:color="auto"/>
            </w:tcBorders>
            <w:shd w:val="clear" w:color="auto" w:fill="auto"/>
            <w:noWrap/>
            <w:vAlign w:val="center"/>
            <w:hideMark/>
          </w:tcPr>
          <w:p w14:paraId="7D5D536F"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322 HK</w:t>
            </w:r>
          </w:p>
        </w:tc>
        <w:tc>
          <w:tcPr>
            <w:tcW w:w="810" w:type="dxa"/>
            <w:tcBorders>
              <w:top w:val="nil"/>
              <w:left w:val="nil"/>
              <w:bottom w:val="single" w:sz="4" w:space="0" w:color="auto"/>
              <w:right w:val="single" w:sz="4" w:space="0" w:color="auto"/>
            </w:tcBorders>
            <w:shd w:val="clear" w:color="auto" w:fill="auto"/>
            <w:vAlign w:val="center"/>
            <w:hideMark/>
          </w:tcPr>
          <w:p w14:paraId="0056C27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22.50</w:t>
            </w:r>
          </w:p>
        </w:tc>
        <w:tc>
          <w:tcPr>
            <w:tcW w:w="900" w:type="dxa"/>
            <w:tcBorders>
              <w:top w:val="nil"/>
              <w:left w:val="nil"/>
              <w:bottom w:val="single" w:sz="4" w:space="0" w:color="auto"/>
              <w:right w:val="single" w:sz="4" w:space="0" w:color="auto"/>
            </w:tcBorders>
            <w:shd w:val="clear" w:color="auto" w:fill="auto"/>
            <w:noWrap/>
            <w:vAlign w:val="center"/>
            <w:hideMark/>
          </w:tcPr>
          <w:p w14:paraId="1B6FDDF3"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125.92B</w:t>
            </w:r>
          </w:p>
        </w:tc>
        <w:tc>
          <w:tcPr>
            <w:tcW w:w="810" w:type="dxa"/>
            <w:tcBorders>
              <w:top w:val="nil"/>
              <w:left w:val="nil"/>
              <w:bottom w:val="single" w:sz="4" w:space="0" w:color="auto"/>
              <w:right w:val="single" w:sz="4" w:space="0" w:color="auto"/>
            </w:tcBorders>
            <w:shd w:val="clear" w:color="auto" w:fill="auto"/>
            <w:noWrap/>
            <w:vAlign w:val="center"/>
            <w:hideMark/>
          </w:tcPr>
          <w:p w14:paraId="2DA27105"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65.32B</w:t>
            </w:r>
          </w:p>
        </w:tc>
        <w:tc>
          <w:tcPr>
            <w:tcW w:w="1104" w:type="dxa"/>
            <w:tcBorders>
              <w:top w:val="nil"/>
              <w:left w:val="nil"/>
              <w:bottom w:val="single" w:sz="4" w:space="0" w:color="auto"/>
              <w:right w:val="single" w:sz="4" w:space="0" w:color="auto"/>
            </w:tcBorders>
            <w:shd w:val="clear" w:color="auto" w:fill="auto"/>
            <w:noWrap/>
            <w:vAlign w:val="center"/>
            <w:hideMark/>
          </w:tcPr>
          <w:p w14:paraId="4BD6A874"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81.80B</w:t>
            </w:r>
          </w:p>
        </w:tc>
        <w:tc>
          <w:tcPr>
            <w:tcW w:w="993" w:type="dxa"/>
            <w:tcBorders>
              <w:top w:val="nil"/>
              <w:left w:val="nil"/>
              <w:bottom w:val="single" w:sz="4" w:space="0" w:color="auto"/>
              <w:right w:val="single" w:sz="4" w:space="0" w:color="auto"/>
            </w:tcBorders>
            <w:shd w:val="clear" w:color="auto" w:fill="auto"/>
            <w:noWrap/>
            <w:vAlign w:val="center"/>
            <w:hideMark/>
          </w:tcPr>
          <w:p w14:paraId="0509499A"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3.10B</w:t>
            </w:r>
          </w:p>
        </w:tc>
        <w:tc>
          <w:tcPr>
            <w:tcW w:w="708" w:type="dxa"/>
            <w:tcBorders>
              <w:top w:val="nil"/>
              <w:left w:val="nil"/>
              <w:bottom w:val="single" w:sz="4" w:space="0" w:color="auto"/>
              <w:right w:val="single" w:sz="4" w:space="0" w:color="auto"/>
            </w:tcBorders>
            <w:shd w:val="clear" w:color="auto" w:fill="auto"/>
            <w:noWrap/>
            <w:vAlign w:val="center"/>
            <w:hideMark/>
          </w:tcPr>
          <w:p w14:paraId="50595C28"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0.55</w:t>
            </w:r>
          </w:p>
        </w:tc>
        <w:tc>
          <w:tcPr>
            <w:tcW w:w="709" w:type="dxa"/>
            <w:tcBorders>
              <w:top w:val="nil"/>
              <w:left w:val="nil"/>
              <w:bottom w:val="single" w:sz="4" w:space="0" w:color="auto"/>
              <w:right w:val="single" w:sz="4" w:space="0" w:color="auto"/>
            </w:tcBorders>
            <w:shd w:val="clear" w:color="auto" w:fill="auto"/>
            <w:noWrap/>
            <w:vAlign w:val="center"/>
            <w:hideMark/>
          </w:tcPr>
          <w:p w14:paraId="0F3141C0"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37.62</w:t>
            </w:r>
          </w:p>
        </w:tc>
        <w:tc>
          <w:tcPr>
            <w:tcW w:w="851" w:type="dxa"/>
            <w:tcBorders>
              <w:top w:val="nil"/>
              <w:left w:val="nil"/>
              <w:bottom w:val="single" w:sz="4" w:space="0" w:color="auto"/>
              <w:right w:val="single" w:sz="8" w:space="0" w:color="auto"/>
            </w:tcBorders>
            <w:shd w:val="clear" w:color="auto" w:fill="auto"/>
            <w:noWrap/>
            <w:vAlign w:val="center"/>
            <w:hideMark/>
          </w:tcPr>
          <w:p w14:paraId="6FB426B5"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15.06%</w:t>
            </w:r>
          </w:p>
        </w:tc>
      </w:tr>
      <w:tr w:rsidR="00EA1F2E" w:rsidRPr="0038535E" w14:paraId="548B411E" w14:textId="77777777" w:rsidTr="001C198D">
        <w:trPr>
          <w:trHeight w:val="20"/>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7A6BD281" w14:textId="77777777" w:rsidR="00D52B78" w:rsidRPr="0038535E" w:rsidRDefault="00EA1F2E" w:rsidP="00421465">
            <w:pPr>
              <w:pStyle w:val="ExhibitText"/>
              <w:jc w:val="left"/>
              <w:rPr>
                <w:b/>
                <w:sz w:val="18"/>
                <w:szCs w:val="18"/>
                <w:lang w:val="en-GB" w:eastAsia="zh-CN"/>
              </w:rPr>
            </w:pPr>
            <w:r w:rsidRPr="0038535E">
              <w:rPr>
                <w:b/>
                <w:sz w:val="18"/>
                <w:szCs w:val="18"/>
                <w:lang w:val="en-GB" w:eastAsia="zh-CN"/>
              </w:rPr>
              <w:t xml:space="preserve">Henan </w:t>
            </w:r>
            <w:proofErr w:type="spellStart"/>
            <w:r w:rsidRPr="0038535E">
              <w:rPr>
                <w:b/>
                <w:sz w:val="18"/>
                <w:szCs w:val="18"/>
                <w:lang w:val="en-GB" w:eastAsia="zh-CN"/>
              </w:rPr>
              <w:t>Shuanghui</w:t>
            </w:r>
            <w:proofErr w:type="spellEnd"/>
            <w:r w:rsidRPr="0038535E">
              <w:rPr>
                <w:b/>
                <w:sz w:val="18"/>
                <w:szCs w:val="18"/>
                <w:lang w:val="en-GB" w:eastAsia="zh-CN"/>
              </w:rPr>
              <w:t xml:space="preserve"> Investment &amp; Development Co</w:t>
            </w:r>
          </w:p>
        </w:tc>
        <w:tc>
          <w:tcPr>
            <w:tcW w:w="1195" w:type="dxa"/>
            <w:tcBorders>
              <w:top w:val="nil"/>
              <w:left w:val="nil"/>
              <w:bottom w:val="single" w:sz="4" w:space="0" w:color="auto"/>
              <w:right w:val="single" w:sz="4" w:space="0" w:color="auto"/>
            </w:tcBorders>
            <w:shd w:val="clear" w:color="auto" w:fill="auto"/>
            <w:noWrap/>
            <w:vAlign w:val="center"/>
            <w:hideMark/>
          </w:tcPr>
          <w:p w14:paraId="1577A729" w14:textId="6DB7A50C" w:rsidR="00D52B78" w:rsidRPr="0038535E" w:rsidRDefault="001C198D" w:rsidP="00EA1F2E">
            <w:pPr>
              <w:pStyle w:val="ExhibitText"/>
              <w:jc w:val="right"/>
              <w:rPr>
                <w:sz w:val="18"/>
                <w:szCs w:val="18"/>
                <w:lang w:val="en-GB" w:eastAsia="zh-CN"/>
              </w:rPr>
            </w:pPr>
            <w:r>
              <w:rPr>
                <w:sz w:val="18"/>
                <w:szCs w:val="18"/>
                <w:lang w:val="en-GB" w:eastAsia="zh-CN"/>
              </w:rPr>
              <w:t xml:space="preserve">000895 </w:t>
            </w:r>
            <w:r w:rsidR="00D52B78" w:rsidRPr="0038535E">
              <w:rPr>
                <w:sz w:val="18"/>
                <w:szCs w:val="18"/>
                <w:lang w:val="en-GB" w:eastAsia="zh-CN"/>
              </w:rPr>
              <w:t>CH</w:t>
            </w:r>
          </w:p>
        </w:tc>
        <w:tc>
          <w:tcPr>
            <w:tcW w:w="810" w:type="dxa"/>
            <w:tcBorders>
              <w:top w:val="nil"/>
              <w:left w:val="nil"/>
              <w:bottom w:val="single" w:sz="4" w:space="0" w:color="auto"/>
              <w:right w:val="single" w:sz="4" w:space="0" w:color="auto"/>
            </w:tcBorders>
            <w:shd w:val="clear" w:color="auto" w:fill="auto"/>
            <w:vAlign w:val="center"/>
            <w:hideMark/>
          </w:tcPr>
          <w:p w14:paraId="2A5492F5"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49.32</w:t>
            </w:r>
          </w:p>
        </w:tc>
        <w:tc>
          <w:tcPr>
            <w:tcW w:w="900" w:type="dxa"/>
            <w:tcBorders>
              <w:top w:val="nil"/>
              <w:left w:val="nil"/>
              <w:bottom w:val="single" w:sz="4" w:space="0" w:color="auto"/>
              <w:right w:val="single" w:sz="4" w:space="0" w:color="auto"/>
            </w:tcBorders>
            <w:shd w:val="clear" w:color="auto" w:fill="auto"/>
            <w:noWrap/>
            <w:vAlign w:val="center"/>
            <w:hideMark/>
          </w:tcPr>
          <w:p w14:paraId="09968A4A"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108.52B</w:t>
            </w:r>
          </w:p>
        </w:tc>
        <w:tc>
          <w:tcPr>
            <w:tcW w:w="810" w:type="dxa"/>
            <w:tcBorders>
              <w:top w:val="nil"/>
              <w:left w:val="nil"/>
              <w:bottom w:val="single" w:sz="4" w:space="0" w:color="auto"/>
              <w:right w:val="single" w:sz="4" w:space="0" w:color="auto"/>
            </w:tcBorders>
            <w:shd w:val="clear" w:color="auto" w:fill="auto"/>
            <w:noWrap/>
            <w:vAlign w:val="center"/>
            <w:hideMark/>
          </w:tcPr>
          <w:p w14:paraId="6F43DEB8"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25.30B</w:t>
            </w:r>
          </w:p>
        </w:tc>
        <w:tc>
          <w:tcPr>
            <w:tcW w:w="1104" w:type="dxa"/>
            <w:tcBorders>
              <w:top w:val="nil"/>
              <w:left w:val="nil"/>
              <w:bottom w:val="single" w:sz="4" w:space="0" w:color="auto"/>
              <w:right w:val="single" w:sz="4" w:space="0" w:color="auto"/>
            </w:tcBorders>
            <w:shd w:val="clear" w:color="auto" w:fill="auto"/>
            <w:noWrap/>
            <w:vAlign w:val="center"/>
            <w:hideMark/>
          </w:tcPr>
          <w:p w14:paraId="19C42EA2"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52.04B</w:t>
            </w:r>
          </w:p>
        </w:tc>
        <w:tc>
          <w:tcPr>
            <w:tcW w:w="993" w:type="dxa"/>
            <w:tcBorders>
              <w:top w:val="nil"/>
              <w:left w:val="nil"/>
              <w:bottom w:val="single" w:sz="4" w:space="0" w:color="auto"/>
              <w:right w:val="single" w:sz="4" w:space="0" w:color="auto"/>
            </w:tcBorders>
            <w:shd w:val="clear" w:color="auto" w:fill="auto"/>
            <w:noWrap/>
            <w:vAlign w:val="center"/>
            <w:hideMark/>
          </w:tcPr>
          <w:p w14:paraId="163DC503"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5.47B</w:t>
            </w:r>
          </w:p>
        </w:tc>
        <w:tc>
          <w:tcPr>
            <w:tcW w:w="708" w:type="dxa"/>
            <w:tcBorders>
              <w:top w:val="nil"/>
              <w:left w:val="nil"/>
              <w:bottom w:val="single" w:sz="4" w:space="0" w:color="auto"/>
              <w:right w:val="single" w:sz="4" w:space="0" w:color="auto"/>
            </w:tcBorders>
            <w:shd w:val="clear" w:color="auto" w:fill="auto"/>
            <w:noWrap/>
            <w:vAlign w:val="center"/>
            <w:hideMark/>
          </w:tcPr>
          <w:p w14:paraId="5ABBB47E"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2.48</w:t>
            </w:r>
          </w:p>
        </w:tc>
        <w:tc>
          <w:tcPr>
            <w:tcW w:w="709" w:type="dxa"/>
            <w:tcBorders>
              <w:top w:val="nil"/>
              <w:left w:val="nil"/>
              <w:bottom w:val="single" w:sz="4" w:space="0" w:color="auto"/>
              <w:right w:val="single" w:sz="4" w:space="0" w:color="auto"/>
            </w:tcBorders>
            <w:shd w:val="clear" w:color="auto" w:fill="auto"/>
            <w:noWrap/>
            <w:vAlign w:val="center"/>
            <w:hideMark/>
          </w:tcPr>
          <w:p w14:paraId="6E082CA6"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20.79</w:t>
            </w:r>
          </w:p>
        </w:tc>
        <w:tc>
          <w:tcPr>
            <w:tcW w:w="851" w:type="dxa"/>
            <w:tcBorders>
              <w:top w:val="nil"/>
              <w:left w:val="nil"/>
              <w:bottom w:val="single" w:sz="4" w:space="0" w:color="auto"/>
              <w:right w:val="single" w:sz="8" w:space="0" w:color="auto"/>
            </w:tcBorders>
            <w:shd w:val="clear" w:color="auto" w:fill="auto"/>
            <w:noWrap/>
            <w:vAlign w:val="center"/>
            <w:hideMark/>
          </w:tcPr>
          <w:p w14:paraId="4AA5C534"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29.58%</w:t>
            </w:r>
          </w:p>
        </w:tc>
      </w:tr>
      <w:tr w:rsidR="00EA1F2E" w:rsidRPr="0038535E" w14:paraId="732BF666" w14:textId="77777777" w:rsidTr="001C198D">
        <w:trPr>
          <w:trHeight w:val="20"/>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7D4E04F2" w14:textId="77777777" w:rsidR="00D52B78" w:rsidRPr="0038535E" w:rsidRDefault="00EA1F2E" w:rsidP="00421465">
            <w:pPr>
              <w:pStyle w:val="ExhibitText"/>
              <w:jc w:val="left"/>
              <w:rPr>
                <w:b/>
                <w:sz w:val="18"/>
                <w:szCs w:val="18"/>
                <w:lang w:val="en-GB" w:eastAsia="zh-CN"/>
              </w:rPr>
            </w:pPr>
            <w:proofErr w:type="spellStart"/>
            <w:r w:rsidRPr="0038535E">
              <w:rPr>
                <w:b/>
                <w:sz w:val="18"/>
                <w:szCs w:val="18"/>
                <w:lang w:val="en-GB" w:eastAsia="zh-CN"/>
              </w:rPr>
              <w:t>Uni</w:t>
            </w:r>
            <w:proofErr w:type="spellEnd"/>
            <w:r w:rsidRPr="0038535E">
              <w:rPr>
                <w:b/>
                <w:sz w:val="18"/>
                <w:szCs w:val="18"/>
                <w:lang w:val="en-GB" w:eastAsia="zh-CN"/>
              </w:rPr>
              <w:t>-President Enterprise</w:t>
            </w:r>
          </w:p>
        </w:tc>
        <w:tc>
          <w:tcPr>
            <w:tcW w:w="1195" w:type="dxa"/>
            <w:tcBorders>
              <w:top w:val="nil"/>
              <w:left w:val="nil"/>
              <w:bottom w:val="single" w:sz="4" w:space="0" w:color="auto"/>
              <w:right w:val="single" w:sz="4" w:space="0" w:color="auto"/>
            </w:tcBorders>
            <w:shd w:val="clear" w:color="auto" w:fill="auto"/>
            <w:noWrap/>
            <w:vAlign w:val="center"/>
            <w:hideMark/>
          </w:tcPr>
          <w:p w14:paraId="3520AB14"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1216 TT</w:t>
            </w:r>
          </w:p>
        </w:tc>
        <w:tc>
          <w:tcPr>
            <w:tcW w:w="810" w:type="dxa"/>
            <w:tcBorders>
              <w:top w:val="nil"/>
              <w:left w:val="nil"/>
              <w:bottom w:val="single" w:sz="4" w:space="0" w:color="auto"/>
              <w:right w:val="single" w:sz="4" w:space="0" w:color="auto"/>
            </w:tcBorders>
            <w:shd w:val="clear" w:color="auto" w:fill="auto"/>
            <w:vAlign w:val="center"/>
            <w:hideMark/>
          </w:tcPr>
          <w:p w14:paraId="414FFF26"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12.51</w:t>
            </w:r>
          </w:p>
        </w:tc>
        <w:tc>
          <w:tcPr>
            <w:tcW w:w="900" w:type="dxa"/>
            <w:tcBorders>
              <w:top w:val="nil"/>
              <w:left w:val="nil"/>
              <w:bottom w:val="single" w:sz="4" w:space="0" w:color="auto"/>
              <w:right w:val="single" w:sz="4" w:space="0" w:color="auto"/>
            </w:tcBorders>
            <w:shd w:val="clear" w:color="auto" w:fill="auto"/>
            <w:noWrap/>
            <w:vAlign w:val="center"/>
            <w:hideMark/>
          </w:tcPr>
          <w:p w14:paraId="34FC2953"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68.34B</w:t>
            </w:r>
          </w:p>
        </w:tc>
        <w:tc>
          <w:tcPr>
            <w:tcW w:w="810" w:type="dxa"/>
            <w:tcBorders>
              <w:top w:val="nil"/>
              <w:left w:val="nil"/>
              <w:bottom w:val="single" w:sz="4" w:space="0" w:color="auto"/>
              <w:right w:val="single" w:sz="4" w:space="0" w:color="auto"/>
            </w:tcBorders>
            <w:shd w:val="clear" w:color="auto" w:fill="auto"/>
            <w:noWrap/>
            <w:vAlign w:val="center"/>
            <w:hideMark/>
          </w:tcPr>
          <w:p w14:paraId="48CA2ACC"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96.27B</w:t>
            </w:r>
          </w:p>
        </w:tc>
        <w:tc>
          <w:tcPr>
            <w:tcW w:w="1104" w:type="dxa"/>
            <w:tcBorders>
              <w:top w:val="nil"/>
              <w:left w:val="nil"/>
              <w:bottom w:val="single" w:sz="4" w:space="0" w:color="auto"/>
              <w:right w:val="single" w:sz="4" w:space="0" w:color="auto"/>
            </w:tcBorders>
            <w:shd w:val="clear" w:color="auto" w:fill="auto"/>
            <w:noWrap/>
            <w:vAlign w:val="center"/>
            <w:hideMark/>
          </w:tcPr>
          <w:p w14:paraId="0ED89F31"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110.80B</w:t>
            </w:r>
          </w:p>
        </w:tc>
        <w:tc>
          <w:tcPr>
            <w:tcW w:w="993" w:type="dxa"/>
            <w:tcBorders>
              <w:top w:val="nil"/>
              <w:left w:val="nil"/>
              <w:bottom w:val="single" w:sz="4" w:space="0" w:color="auto"/>
              <w:right w:val="single" w:sz="4" w:space="0" w:color="auto"/>
            </w:tcBorders>
            <w:shd w:val="clear" w:color="auto" w:fill="auto"/>
            <w:noWrap/>
            <w:vAlign w:val="center"/>
            <w:hideMark/>
          </w:tcPr>
          <w:p w14:paraId="275FCE6E"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2.81B</w:t>
            </w:r>
          </w:p>
        </w:tc>
        <w:tc>
          <w:tcPr>
            <w:tcW w:w="708" w:type="dxa"/>
            <w:tcBorders>
              <w:top w:val="nil"/>
              <w:left w:val="nil"/>
              <w:bottom w:val="single" w:sz="4" w:space="0" w:color="auto"/>
              <w:right w:val="single" w:sz="4" w:space="0" w:color="auto"/>
            </w:tcBorders>
            <w:shd w:val="clear" w:color="auto" w:fill="auto"/>
            <w:noWrap/>
            <w:vAlign w:val="center"/>
            <w:hideMark/>
          </w:tcPr>
          <w:p w14:paraId="217F0B35"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0.52</w:t>
            </w:r>
          </w:p>
        </w:tc>
        <w:tc>
          <w:tcPr>
            <w:tcW w:w="709" w:type="dxa"/>
            <w:tcBorders>
              <w:top w:val="nil"/>
              <w:left w:val="nil"/>
              <w:bottom w:val="single" w:sz="4" w:space="0" w:color="auto"/>
              <w:right w:val="single" w:sz="4" w:space="0" w:color="auto"/>
            </w:tcBorders>
            <w:shd w:val="clear" w:color="auto" w:fill="auto"/>
            <w:noWrap/>
            <w:vAlign w:val="center"/>
            <w:hideMark/>
          </w:tcPr>
          <w:p w14:paraId="21DDC167"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20.05</w:t>
            </w:r>
          </w:p>
        </w:tc>
        <w:tc>
          <w:tcPr>
            <w:tcW w:w="851" w:type="dxa"/>
            <w:tcBorders>
              <w:top w:val="nil"/>
              <w:left w:val="nil"/>
              <w:bottom w:val="single" w:sz="4" w:space="0" w:color="auto"/>
              <w:right w:val="single" w:sz="8" w:space="0" w:color="auto"/>
            </w:tcBorders>
            <w:shd w:val="clear" w:color="auto" w:fill="auto"/>
            <w:noWrap/>
            <w:vAlign w:val="center"/>
            <w:hideMark/>
          </w:tcPr>
          <w:p w14:paraId="53515B64"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15.49%</w:t>
            </w:r>
          </w:p>
        </w:tc>
      </w:tr>
      <w:tr w:rsidR="00EA1F2E" w:rsidRPr="0038535E" w14:paraId="11F0F16D" w14:textId="77777777" w:rsidTr="001C198D">
        <w:trPr>
          <w:trHeight w:val="20"/>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7898968B" w14:textId="77777777" w:rsidR="00D52B78" w:rsidRPr="0038535E" w:rsidRDefault="00EA1F2E" w:rsidP="00421465">
            <w:pPr>
              <w:pStyle w:val="ExhibitText"/>
              <w:jc w:val="left"/>
              <w:rPr>
                <w:b/>
                <w:sz w:val="18"/>
                <w:szCs w:val="18"/>
                <w:lang w:val="en-GB" w:eastAsia="zh-CN"/>
              </w:rPr>
            </w:pPr>
            <w:r w:rsidRPr="0038535E">
              <w:rPr>
                <w:b/>
                <w:sz w:val="18"/>
                <w:szCs w:val="18"/>
                <w:lang w:val="en-GB" w:eastAsia="zh-CN"/>
              </w:rPr>
              <w:t>Charoen Pokphand Food</w:t>
            </w:r>
          </w:p>
        </w:tc>
        <w:tc>
          <w:tcPr>
            <w:tcW w:w="1195" w:type="dxa"/>
            <w:tcBorders>
              <w:top w:val="nil"/>
              <w:left w:val="nil"/>
              <w:bottom w:val="single" w:sz="4" w:space="0" w:color="auto"/>
              <w:right w:val="single" w:sz="4" w:space="0" w:color="auto"/>
            </w:tcBorders>
            <w:shd w:val="clear" w:color="auto" w:fill="auto"/>
            <w:noWrap/>
            <w:vAlign w:val="center"/>
            <w:hideMark/>
          </w:tcPr>
          <w:p w14:paraId="10D45D7E"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CPF TB</w:t>
            </w:r>
          </w:p>
        </w:tc>
        <w:tc>
          <w:tcPr>
            <w:tcW w:w="810" w:type="dxa"/>
            <w:tcBorders>
              <w:top w:val="nil"/>
              <w:left w:val="nil"/>
              <w:bottom w:val="single" w:sz="4" w:space="0" w:color="auto"/>
              <w:right w:val="single" w:sz="4" w:space="0" w:color="auto"/>
            </w:tcBorders>
            <w:shd w:val="clear" w:color="auto" w:fill="auto"/>
            <w:vAlign w:val="center"/>
            <w:hideMark/>
          </w:tcPr>
          <w:p w14:paraId="3E135C27"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6.71</w:t>
            </w:r>
          </w:p>
        </w:tc>
        <w:tc>
          <w:tcPr>
            <w:tcW w:w="900" w:type="dxa"/>
            <w:tcBorders>
              <w:top w:val="nil"/>
              <w:left w:val="nil"/>
              <w:bottom w:val="single" w:sz="4" w:space="0" w:color="auto"/>
              <w:right w:val="single" w:sz="4" w:space="0" w:color="auto"/>
            </w:tcBorders>
            <w:shd w:val="clear" w:color="auto" w:fill="auto"/>
            <w:noWrap/>
            <w:vAlign w:val="center"/>
            <w:hideMark/>
          </w:tcPr>
          <w:p w14:paraId="07C3128C"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51.99B</w:t>
            </w:r>
          </w:p>
        </w:tc>
        <w:tc>
          <w:tcPr>
            <w:tcW w:w="810" w:type="dxa"/>
            <w:tcBorders>
              <w:top w:val="nil"/>
              <w:left w:val="nil"/>
              <w:bottom w:val="single" w:sz="4" w:space="0" w:color="auto"/>
              <w:right w:val="single" w:sz="4" w:space="0" w:color="auto"/>
            </w:tcBorders>
            <w:shd w:val="clear" w:color="auto" w:fill="auto"/>
            <w:noWrap/>
            <w:vAlign w:val="center"/>
            <w:hideMark/>
          </w:tcPr>
          <w:p w14:paraId="61AB382F"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86.52B</w:t>
            </w:r>
          </w:p>
        </w:tc>
        <w:tc>
          <w:tcPr>
            <w:tcW w:w="1104" w:type="dxa"/>
            <w:tcBorders>
              <w:top w:val="nil"/>
              <w:left w:val="nil"/>
              <w:bottom w:val="single" w:sz="4" w:space="0" w:color="auto"/>
              <w:right w:val="single" w:sz="4" w:space="0" w:color="auto"/>
            </w:tcBorders>
            <w:shd w:val="clear" w:color="auto" w:fill="auto"/>
            <w:noWrap/>
            <w:vAlign w:val="center"/>
            <w:hideMark/>
          </w:tcPr>
          <w:p w14:paraId="00974D2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96.76B</w:t>
            </w:r>
          </w:p>
        </w:tc>
        <w:tc>
          <w:tcPr>
            <w:tcW w:w="993" w:type="dxa"/>
            <w:tcBorders>
              <w:top w:val="nil"/>
              <w:left w:val="nil"/>
              <w:bottom w:val="single" w:sz="4" w:space="0" w:color="auto"/>
              <w:right w:val="single" w:sz="4" w:space="0" w:color="auto"/>
            </w:tcBorders>
            <w:shd w:val="clear" w:color="auto" w:fill="auto"/>
            <w:noWrap/>
            <w:vAlign w:val="center"/>
            <w:hideMark/>
          </w:tcPr>
          <w:p w14:paraId="4778729E"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1.41B</w:t>
            </w:r>
          </w:p>
        </w:tc>
        <w:tc>
          <w:tcPr>
            <w:tcW w:w="708" w:type="dxa"/>
            <w:tcBorders>
              <w:top w:val="nil"/>
              <w:left w:val="nil"/>
              <w:bottom w:val="single" w:sz="4" w:space="0" w:color="auto"/>
              <w:right w:val="single" w:sz="4" w:space="0" w:color="auto"/>
            </w:tcBorders>
            <w:shd w:val="clear" w:color="auto" w:fill="auto"/>
            <w:noWrap/>
            <w:vAlign w:val="center"/>
            <w:hideMark/>
          </w:tcPr>
          <w:p w14:paraId="72D1E4DF"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0.19</w:t>
            </w:r>
          </w:p>
        </w:tc>
        <w:tc>
          <w:tcPr>
            <w:tcW w:w="709" w:type="dxa"/>
            <w:tcBorders>
              <w:top w:val="nil"/>
              <w:left w:val="nil"/>
              <w:bottom w:val="single" w:sz="4" w:space="0" w:color="auto"/>
              <w:right w:val="single" w:sz="4" w:space="0" w:color="auto"/>
            </w:tcBorders>
            <w:shd w:val="clear" w:color="auto" w:fill="auto"/>
            <w:noWrap/>
            <w:vAlign w:val="center"/>
            <w:hideMark/>
          </w:tcPr>
          <w:p w14:paraId="794643A2"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25.45</w:t>
            </w:r>
          </w:p>
        </w:tc>
        <w:tc>
          <w:tcPr>
            <w:tcW w:w="851" w:type="dxa"/>
            <w:tcBorders>
              <w:top w:val="nil"/>
              <w:left w:val="nil"/>
              <w:bottom w:val="single" w:sz="4" w:space="0" w:color="auto"/>
              <w:right w:val="single" w:sz="8" w:space="0" w:color="auto"/>
            </w:tcBorders>
            <w:shd w:val="clear" w:color="auto" w:fill="auto"/>
            <w:noWrap/>
            <w:vAlign w:val="center"/>
            <w:hideMark/>
          </w:tcPr>
          <w:p w14:paraId="179D8B2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6.59%</w:t>
            </w:r>
          </w:p>
        </w:tc>
      </w:tr>
      <w:tr w:rsidR="00EA1F2E" w:rsidRPr="0038535E" w14:paraId="5C637CE7" w14:textId="77777777" w:rsidTr="001C198D">
        <w:trPr>
          <w:trHeight w:val="20"/>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636A9F4A" w14:textId="77777777" w:rsidR="00D52B78" w:rsidRPr="0038535E" w:rsidRDefault="00EA1F2E" w:rsidP="00421465">
            <w:pPr>
              <w:pStyle w:val="ExhibitText"/>
              <w:jc w:val="left"/>
              <w:rPr>
                <w:b/>
                <w:sz w:val="18"/>
                <w:szCs w:val="18"/>
                <w:lang w:val="en-GB" w:eastAsia="zh-CN"/>
              </w:rPr>
            </w:pPr>
            <w:r w:rsidRPr="0038535E">
              <w:rPr>
                <w:b/>
                <w:sz w:val="18"/>
                <w:szCs w:val="18"/>
                <w:lang w:val="en-GB" w:eastAsia="zh-CN"/>
              </w:rPr>
              <w:t xml:space="preserve">Indofood </w:t>
            </w:r>
            <w:proofErr w:type="spellStart"/>
            <w:r w:rsidRPr="0038535E">
              <w:rPr>
                <w:b/>
                <w:sz w:val="18"/>
                <w:szCs w:val="18"/>
                <w:lang w:val="en-GB" w:eastAsia="zh-CN"/>
              </w:rPr>
              <w:t>Sukses</w:t>
            </w:r>
            <w:proofErr w:type="spellEnd"/>
            <w:r w:rsidRPr="0038535E">
              <w:rPr>
                <w:b/>
                <w:sz w:val="18"/>
                <w:szCs w:val="18"/>
                <w:lang w:val="en-GB" w:eastAsia="zh-CN"/>
              </w:rPr>
              <w:t xml:space="preserve"> </w:t>
            </w:r>
            <w:proofErr w:type="spellStart"/>
            <w:r w:rsidRPr="0038535E">
              <w:rPr>
                <w:b/>
                <w:sz w:val="18"/>
                <w:szCs w:val="18"/>
                <w:lang w:val="en-GB" w:eastAsia="zh-CN"/>
              </w:rPr>
              <w:t>Makm</w:t>
            </w:r>
            <w:proofErr w:type="spellEnd"/>
          </w:p>
        </w:tc>
        <w:tc>
          <w:tcPr>
            <w:tcW w:w="1195" w:type="dxa"/>
            <w:tcBorders>
              <w:top w:val="nil"/>
              <w:left w:val="nil"/>
              <w:bottom w:val="single" w:sz="4" w:space="0" w:color="auto"/>
              <w:right w:val="single" w:sz="4" w:space="0" w:color="auto"/>
            </w:tcBorders>
            <w:shd w:val="clear" w:color="auto" w:fill="auto"/>
            <w:noWrap/>
            <w:vAlign w:val="center"/>
            <w:hideMark/>
          </w:tcPr>
          <w:p w14:paraId="0C6DB8AC"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INDF IJ</w:t>
            </w:r>
          </w:p>
        </w:tc>
        <w:tc>
          <w:tcPr>
            <w:tcW w:w="810" w:type="dxa"/>
            <w:tcBorders>
              <w:top w:val="nil"/>
              <w:left w:val="nil"/>
              <w:bottom w:val="single" w:sz="4" w:space="0" w:color="auto"/>
              <w:right w:val="single" w:sz="4" w:space="0" w:color="auto"/>
            </w:tcBorders>
            <w:shd w:val="clear" w:color="auto" w:fill="auto"/>
            <w:vAlign w:val="center"/>
            <w:hideMark/>
          </w:tcPr>
          <w:p w14:paraId="68524957"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5.09</w:t>
            </w:r>
          </w:p>
        </w:tc>
        <w:tc>
          <w:tcPr>
            <w:tcW w:w="900" w:type="dxa"/>
            <w:tcBorders>
              <w:top w:val="nil"/>
              <w:left w:val="nil"/>
              <w:bottom w:val="single" w:sz="4" w:space="0" w:color="auto"/>
              <w:right w:val="single" w:sz="4" w:space="0" w:color="auto"/>
            </w:tcBorders>
            <w:shd w:val="clear" w:color="auto" w:fill="auto"/>
            <w:noWrap/>
            <w:vAlign w:val="center"/>
            <w:hideMark/>
          </w:tcPr>
          <w:p w14:paraId="37D48AEA"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44.70B</w:t>
            </w:r>
          </w:p>
        </w:tc>
        <w:tc>
          <w:tcPr>
            <w:tcW w:w="810" w:type="dxa"/>
            <w:tcBorders>
              <w:top w:val="nil"/>
              <w:left w:val="nil"/>
              <w:bottom w:val="single" w:sz="4" w:space="0" w:color="auto"/>
              <w:right w:val="single" w:sz="4" w:space="0" w:color="auto"/>
            </w:tcBorders>
            <w:shd w:val="clear" w:color="auto" w:fill="auto"/>
            <w:noWrap/>
            <w:vAlign w:val="center"/>
            <w:hideMark/>
          </w:tcPr>
          <w:p w14:paraId="6FE1F398"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49.75B</w:t>
            </w:r>
          </w:p>
        </w:tc>
        <w:tc>
          <w:tcPr>
            <w:tcW w:w="1104" w:type="dxa"/>
            <w:tcBorders>
              <w:top w:val="nil"/>
              <w:left w:val="nil"/>
              <w:bottom w:val="single" w:sz="4" w:space="0" w:color="auto"/>
              <w:right w:val="single" w:sz="4" w:space="0" w:color="auto"/>
            </w:tcBorders>
            <w:shd w:val="clear" w:color="auto" w:fill="auto"/>
            <w:noWrap/>
            <w:vAlign w:val="center"/>
            <w:hideMark/>
          </w:tcPr>
          <w:p w14:paraId="4A4AFE16"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42.30B</w:t>
            </w:r>
          </w:p>
        </w:tc>
        <w:tc>
          <w:tcPr>
            <w:tcW w:w="993" w:type="dxa"/>
            <w:tcBorders>
              <w:top w:val="nil"/>
              <w:left w:val="nil"/>
              <w:bottom w:val="single" w:sz="4" w:space="0" w:color="auto"/>
              <w:right w:val="single" w:sz="4" w:space="0" w:color="auto"/>
            </w:tcBorders>
            <w:shd w:val="clear" w:color="auto" w:fill="auto"/>
            <w:noWrap/>
            <w:vAlign w:val="center"/>
            <w:hideMark/>
          </w:tcPr>
          <w:p w14:paraId="3A02732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2.09B</w:t>
            </w:r>
          </w:p>
        </w:tc>
        <w:tc>
          <w:tcPr>
            <w:tcW w:w="708" w:type="dxa"/>
            <w:tcBorders>
              <w:top w:val="nil"/>
              <w:left w:val="nil"/>
              <w:bottom w:val="single" w:sz="4" w:space="0" w:color="auto"/>
              <w:right w:val="single" w:sz="4" w:space="0" w:color="auto"/>
            </w:tcBorders>
            <w:shd w:val="clear" w:color="auto" w:fill="auto"/>
            <w:noWrap/>
            <w:vAlign w:val="center"/>
            <w:hideMark/>
          </w:tcPr>
          <w:p w14:paraId="0B094F61"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0.24</w:t>
            </w:r>
          </w:p>
        </w:tc>
        <w:tc>
          <w:tcPr>
            <w:tcW w:w="709" w:type="dxa"/>
            <w:tcBorders>
              <w:top w:val="nil"/>
              <w:left w:val="nil"/>
              <w:bottom w:val="single" w:sz="4" w:space="0" w:color="auto"/>
              <w:right w:val="single" w:sz="4" w:space="0" w:color="auto"/>
            </w:tcBorders>
            <w:shd w:val="clear" w:color="auto" w:fill="auto"/>
            <w:noWrap/>
            <w:vAlign w:val="center"/>
            <w:hideMark/>
          </w:tcPr>
          <w:p w14:paraId="7F370165"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20.70</w:t>
            </w:r>
          </w:p>
        </w:tc>
        <w:tc>
          <w:tcPr>
            <w:tcW w:w="851" w:type="dxa"/>
            <w:tcBorders>
              <w:top w:val="nil"/>
              <w:left w:val="nil"/>
              <w:bottom w:val="single" w:sz="4" w:space="0" w:color="auto"/>
              <w:right w:val="single" w:sz="8" w:space="0" w:color="auto"/>
            </w:tcBorders>
            <w:shd w:val="clear" w:color="auto" w:fill="auto"/>
            <w:noWrap/>
            <w:vAlign w:val="center"/>
            <w:hideMark/>
          </w:tcPr>
          <w:p w14:paraId="7C3D72A1"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11.16%</w:t>
            </w:r>
          </w:p>
        </w:tc>
      </w:tr>
      <w:tr w:rsidR="00EA1F2E" w:rsidRPr="0038535E" w14:paraId="6EC977F0" w14:textId="77777777" w:rsidTr="001C198D">
        <w:trPr>
          <w:trHeight w:val="20"/>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6FBB91D7" w14:textId="77777777" w:rsidR="00D52B78" w:rsidRPr="0038535E" w:rsidRDefault="00EA1F2E" w:rsidP="00421465">
            <w:pPr>
              <w:pStyle w:val="ExhibitText"/>
              <w:jc w:val="left"/>
              <w:rPr>
                <w:b/>
                <w:sz w:val="18"/>
                <w:szCs w:val="18"/>
                <w:lang w:val="en-GB" w:eastAsia="zh-CN"/>
              </w:rPr>
            </w:pPr>
            <w:proofErr w:type="spellStart"/>
            <w:r w:rsidRPr="0038535E">
              <w:rPr>
                <w:b/>
                <w:sz w:val="18"/>
                <w:szCs w:val="18"/>
                <w:lang w:val="en-GB" w:eastAsia="zh-CN"/>
              </w:rPr>
              <w:t>Nh</w:t>
            </w:r>
            <w:proofErr w:type="spellEnd"/>
            <w:r w:rsidRPr="0038535E">
              <w:rPr>
                <w:b/>
                <w:sz w:val="18"/>
                <w:szCs w:val="18"/>
                <w:lang w:val="en-GB" w:eastAsia="zh-CN"/>
              </w:rPr>
              <w:t xml:space="preserve"> Foods Ltd</w:t>
            </w:r>
          </w:p>
        </w:tc>
        <w:tc>
          <w:tcPr>
            <w:tcW w:w="1195" w:type="dxa"/>
            <w:tcBorders>
              <w:top w:val="nil"/>
              <w:left w:val="nil"/>
              <w:bottom w:val="single" w:sz="4" w:space="0" w:color="auto"/>
              <w:right w:val="single" w:sz="4" w:space="0" w:color="auto"/>
            </w:tcBorders>
            <w:shd w:val="clear" w:color="auto" w:fill="auto"/>
            <w:noWrap/>
            <w:vAlign w:val="center"/>
            <w:hideMark/>
          </w:tcPr>
          <w:p w14:paraId="09D6E2D7"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2282 JP</w:t>
            </w:r>
          </w:p>
        </w:tc>
        <w:tc>
          <w:tcPr>
            <w:tcW w:w="810" w:type="dxa"/>
            <w:tcBorders>
              <w:top w:val="nil"/>
              <w:left w:val="nil"/>
              <w:bottom w:val="single" w:sz="4" w:space="0" w:color="auto"/>
              <w:right w:val="single" w:sz="4" w:space="0" w:color="auto"/>
            </w:tcBorders>
            <w:shd w:val="clear" w:color="auto" w:fill="auto"/>
            <w:vAlign w:val="center"/>
            <w:hideMark/>
          </w:tcPr>
          <w:p w14:paraId="13C8FDCB"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113.17</w:t>
            </w:r>
          </w:p>
        </w:tc>
        <w:tc>
          <w:tcPr>
            <w:tcW w:w="900" w:type="dxa"/>
            <w:tcBorders>
              <w:top w:val="nil"/>
              <w:left w:val="nil"/>
              <w:bottom w:val="single" w:sz="4" w:space="0" w:color="auto"/>
              <w:right w:val="single" w:sz="4" w:space="0" w:color="auto"/>
            </w:tcBorders>
            <w:shd w:val="clear" w:color="auto" w:fill="auto"/>
            <w:noWrap/>
            <w:vAlign w:val="center"/>
            <w:hideMark/>
          </w:tcPr>
          <w:p w14:paraId="20BD0441"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25.85B</w:t>
            </w:r>
          </w:p>
        </w:tc>
        <w:tc>
          <w:tcPr>
            <w:tcW w:w="810" w:type="dxa"/>
            <w:tcBorders>
              <w:top w:val="nil"/>
              <w:left w:val="nil"/>
              <w:bottom w:val="single" w:sz="4" w:space="0" w:color="auto"/>
              <w:right w:val="single" w:sz="4" w:space="0" w:color="auto"/>
            </w:tcBorders>
            <w:shd w:val="clear" w:color="auto" w:fill="auto"/>
            <w:noWrap/>
            <w:vAlign w:val="center"/>
            <w:hideMark/>
          </w:tcPr>
          <w:p w14:paraId="0E58EB3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47.20B</w:t>
            </w:r>
          </w:p>
        </w:tc>
        <w:tc>
          <w:tcPr>
            <w:tcW w:w="1104" w:type="dxa"/>
            <w:tcBorders>
              <w:top w:val="nil"/>
              <w:left w:val="nil"/>
              <w:bottom w:val="single" w:sz="4" w:space="0" w:color="auto"/>
              <w:right w:val="single" w:sz="4" w:space="0" w:color="auto"/>
            </w:tcBorders>
            <w:shd w:val="clear" w:color="auto" w:fill="auto"/>
            <w:noWrap/>
            <w:vAlign w:val="center"/>
            <w:hideMark/>
          </w:tcPr>
          <w:p w14:paraId="04452A6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86.92B</w:t>
            </w:r>
          </w:p>
        </w:tc>
        <w:tc>
          <w:tcPr>
            <w:tcW w:w="993" w:type="dxa"/>
            <w:tcBorders>
              <w:top w:val="nil"/>
              <w:left w:val="nil"/>
              <w:bottom w:val="single" w:sz="4" w:space="0" w:color="auto"/>
              <w:right w:val="single" w:sz="4" w:space="0" w:color="auto"/>
            </w:tcBorders>
            <w:shd w:val="clear" w:color="auto" w:fill="auto"/>
            <w:noWrap/>
            <w:vAlign w:val="center"/>
            <w:hideMark/>
          </w:tcPr>
          <w:p w14:paraId="6C7951F7"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1.89B</w:t>
            </w:r>
          </w:p>
        </w:tc>
        <w:tc>
          <w:tcPr>
            <w:tcW w:w="708" w:type="dxa"/>
            <w:tcBorders>
              <w:top w:val="nil"/>
              <w:left w:val="nil"/>
              <w:bottom w:val="single" w:sz="4" w:space="0" w:color="auto"/>
              <w:right w:val="single" w:sz="4" w:space="0" w:color="auto"/>
            </w:tcBorders>
            <w:shd w:val="clear" w:color="auto" w:fill="auto"/>
            <w:noWrap/>
            <w:vAlign w:val="center"/>
            <w:hideMark/>
          </w:tcPr>
          <w:p w14:paraId="054A5DAE"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9.45</w:t>
            </w:r>
          </w:p>
        </w:tc>
        <w:tc>
          <w:tcPr>
            <w:tcW w:w="709" w:type="dxa"/>
            <w:tcBorders>
              <w:top w:val="nil"/>
              <w:left w:val="nil"/>
              <w:bottom w:val="single" w:sz="4" w:space="0" w:color="auto"/>
              <w:right w:val="single" w:sz="4" w:space="0" w:color="auto"/>
            </w:tcBorders>
            <w:shd w:val="clear" w:color="auto" w:fill="auto"/>
            <w:noWrap/>
            <w:vAlign w:val="center"/>
            <w:hideMark/>
          </w:tcPr>
          <w:p w14:paraId="10F893E3"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12.36</w:t>
            </w:r>
          </w:p>
        </w:tc>
        <w:tc>
          <w:tcPr>
            <w:tcW w:w="851" w:type="dxa"/>
            <w:tcBorders>
              <w:top w:val="nil"/>
              <w:left w:val="nil"/>
              <w:bottom w:val="single" w:sz="4" w:space="0" w:color="auto"/>
              <w:right w:val="single" w:sz="8" w:space="0" w:color="auto"/>
            </w:tcBorders>
            <w:shd w:val="clear" w:color="auto" w:fill="auto"/>
            <w:noWrap/>
            <w:vAlign w:val="center"/>
            <w:hideMark/>
          </w:tcPr>
          <w:p w14:paraId="2B4E1D5E"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7.98%</w:t>
            </w:r>
          </w:p>
        </w:tc>
      </w:tr>
      <w:tr w:rsidR="00EA1F2E" w:rsidRPr="0038535E" w14:paraId="3F6EB49F" w14:textId="77777777" w:rsidTr="001C198D">
        <w:trPr>
          <w:trHeight w:val="20"/>
          <w:jc w:val="center"/>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420B1565" w14:textId="77777777" w:rsidR="00D52B78" w:rsidRPr="0038535E" w:rsidRDefault="00EA1F2E" w:rsidP="00421465">
            <w:pPr>
              <w:pStyle w:val="ExhibitText"/>
              <w:jc w:val="left"/>
              <w:rPr>
                <w:b/>
                <w:sz w:val="18"/>
                <w:szCs w:val="18"/>
                <w:lang w:val="en-GB" w:eastAsia="zh-CN"/>
              </w:rPr>
            </w:pPr>
            <w:r w:rsidRPr="0038535E">
              <w:rPr>
                <w:b/>
                <w:sz w:val="18"/>
                <w:szCs w:val="18"/>
                <w:lang w:val="en-GB" w:eastAsia="zh-CN"/>
              </w:rPr>
              <w:t xml:space="preserve">Itoham Foods </w:t>
            </w:r>
            <w:proofErr w:type="spellStart"/>
            <w:r w:rsidRPr="0038535E">
              <w:rPr>
                <w:b/>
                <w:sz w:val="18"/>
                <w:szCs w:val="18"/>
                <w:lang w:val="en-GB" w:eastAsia="zh-CN"/>
              </w:rPr>
              <w:t>Inc</w:t>
            </w:r>
            <w:proofErr w:type="spellEnd"/>
          </w:p>
        </w:tc>
        <w:tc>
          <w:tcPr>
            <w:tcW w:w="1195" w:type="dxa"/>
            <w:tcBorders>
              <w:top w:val="nil"/>
              <w:left w:val="nil"/>
              <w:bottom w:val="single" w:sz="4" w:space="0" w:color="auto"/>
              <w:right w:val="single" w:sz="4" w:space="0" w:color="auto"/>
            </w:tcBorders>
            <w:shd w:val="clear" w:color="auto" w:fill="auto"/>
            <w:noWrap/>
            <w:vAlign w:val="center"/>
            <w:hideMark/>
          </w:tcPr>
          <w:p w14:paraId="3E408A0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2284 JP</w:t>
            </w:r>
          </w:p>
        </w:tc>
        <w:tc>
          <w:tcPr>
            <w:tcW w:w="810" w:type="dxa"/>
            <w:tcBorders>
              <w:top w:val="nil"/>
              <w:left w:val="nil"/>
              <w:bottom w:val="single" w:sz="4" w:space="0" w:color="auto"/>
              <w:right w:val="single" w:sz="4" w:space="0" w:color="auto"/>
            </w:tcBorders>
            <w:shd w:val="clear" w:color="auto" w:fill="auto"/>
            <w:vAlign w:val="center"/>
            <w:hideMark/>
          </w:tcPr>
          <w:p w14:paraId="4CFCDDB4"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34.90</w:t>
            </w:r>
          </w:p>
        </w:tc>
        <w:tc>
          <w:tcPr>
            <w:tcW w:w="900" w:type="dxa"/>
            <w:tcBorders>
              <w:top w:val="nil"/>
              <w:left w:val="nil"/>
              <w:bottom w:val="single" w:sz="4" w:space="0" w:color="auto"/>
              <w:right w:val="single" w:sz="4" w:space="0" w:color="auto"/>
            </w:tcBorders>
            <w:shd w:val="clear" w:color="auto" w:fill="auto"/>
            <w:noWrap/>
            <w:vAlign w:val="center"/>
            <w:hideMark/>
          </w:tcPr>
          <w:p w14:paraId="1BD21916"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8.64B</w:t>
            </w:r>
          </w:p>
        </w:tc>
        <w:tc>
          <w:tcPr>
            <w:tcW w:w="810" w:type="dxa"/>
            <w:tcBorders>
              <w:top w:val="nil"/>
              <w:left w:val="nil"/>
              <w:bottom w:val="single" w:sz="4" w:space="0" w:color="auto"/>
              <w:right w:val="single" w:sz="4" w:space="0" w:color="auto"/>
            </w:tcBorders>
            <w:shd w:val="clear" w:color="auto" w:fill="auto"/>
            <w:noWrap/>
            <w:vAlign w:val="center"/>
            <w:hideMark/>
          </w:tcPr>
          <w:p w14:paraId="66191A89"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15.27B</w:t>
            </w:r>
          </w:p>
        </w:tc>
        <w:tc>
          <w:tcPr>
            <w:tcW w:w="1104" w:type="dxa"/>
            <w:tcBorders>
              <w:top w:val="nil"/>
              <w:left w:val="nil"/>
              <w:bottom w:val="single" w:sz="4" w:space="0" w:color="auto"/>
              <w:right w:val="single" w:sz="4" w:space="0" w:color="auto"/>
            </w:tcBorders>
            <w:shd w:val="clear" w:color="auto" w:fill="auto"/>
            <w:noWrap/>
            <w:vAlign w:val="center"/>
            <w:hideMark/>
          </w:tcPr>
          <w:p w14:paraId="6C1BE6CA"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35.90B</w:t>
            </w:r>
          </w:p>
        </w:tc>
        <w:tc>
          <w:tcPr>
            <w:tcW w:w="993" w:type="dxa"/>
            <w:tcBorders>
              <w:top w:val="nil"/>
              <w:left w:val="nil"/>
              <w:bottom w:val="single" w:sz="4" w:space="0" w:color="auto"/>
              <w:right w:val="single" w:sz="4" w:space="0" w:color="auto"/>
            </w:tcBorders>
            <w:shd w:val="clear" w:color="auto" w:fill="auto"/>
            <w:noWrap/>
            <w:vAlign w:val="center"/>
            <w:hideMark/>
          </w:tcPr>
          <w:p w14:paraId="0571B83D"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375.19M</w:t>
            </w:r>
          </w:p>
        </w:tc>
        <w:tc>
          <w:tcPr>
            <w:tcW w:w="708" w:type="dxa"/>
            <w:tcBorders>
              <w:top w:val="nil"/>
              <w:left w:val="nil"/>
              <w:bottom w:val="single" w:sz="4" w:space="0" w:color="auto"/>
              <w:right w:val="single" w:sz="4" w:space="0" w:color="auto"/>
            </w:tcBorders>
            <w:shd w:val="clear" w:color="auto" w:fill="auto"/>
            <w:noWrap/>
            <w:vAlign w:val="center"/>
            <w:hideMark/>
          </w:tcPr>
          <w:p w14:paraId="76B5C284"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1.75</w:t>
            </w:r>
          </w:p>
        </w:tc>
        <w:tc>
          <w:tcPr>
            <w:tcW w:w="709" w:type="dxa"/>
            <w:tcBorders>
              <w:top w:val="nil"/>
              <w:left w:val="nil"/>
              <w:bottom w:val="single" w:sz="4" w:space="0" w:color="auto"/>
              <w:right w:val="single" w:sz="4" w:space="0" w:color="auto"/>
            </w:tcBorders>
            <w:shd w:val="clear" w:color="auto" w:fill="auto"/>
            <w:noWrap/>
            <w:vAlign w:val="center"/>
            <w:hideMark/>
          </w:tcPr>
          <w:p w14:paraId="35F4314C"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20.77</w:t>
            </w:r>
          </w:p>
        </w:tc>
        <w:tc>
          <w:tcPr>
            <w:tcW w:w="851" w:type="dxa"/>
            <w:tcBorders>
              <w:top w:val="nil"/>
              <w:left w:val="nil"/>
              <w:bottom w:val="single" w:sz="4" w:space="0" w:color="auto"/>
              <w:right w:val="single" w:sz="8" w:space="0" w:color="auto"/>
            </w:tcBorders>
            <w:shd w:val="clear" w:color="auto" w:fill="auto"/>
            <w:noWrap/>
            <w:vAlign w:val="center"/>
            <w:hideMark/>
          </w:tcPr>
          <w:p w14:paraId="74140773"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4.08%</w:t>
            </w:r>
          </w:p>
        </w:tc>
      </w:tr>
      <w:tr w:rsidR="00EA1F2E" w:rsidRPr="0038535E" w14:paraId="41B3260F" w14:textId="77777777" w:rsidTr="001C198D">
        <w:trPr>
          <w:trHeight w:val="20"/>
          <w:jc w:val="center"/>
        </w:trPr>
        <w:tc>
          <w:tcPr>
            <w:tcW w:w="1408" w:type="dxa"/>
            <w:tcBorders>
              <w:top w:val="nil"/>
              <w:left w:val="single" w:sz="8" w:space="0" w:color="auto"/>
              <w:bottom w:val="single" w:sz="8" w:space="0" w:color="auto"/>
              <w:right w:val="single" w:sz="8" w:space="0" w:color="auto"/>
            </w:tcBorders>
            <w:shd w:val="clear" w:color="auto" w:fill="auto"/>
            <w:noWrap/>
            <w:vAlign w:val="center"/>
            <w:hideMark/>
          </w:tcPr>
          <w:p w14:paraId="15141CB1" w14:textId="77777777" w:rsidR="00D52B78" w:rsidRPr="0038535E" w:rsidRDefault="00EA1F2E" w:rsidP="00421465">
            <w:pPr>
              <w:pStyle w:val="ExhibitText"/>
              <w:jc w:val="left"/>
              <w:rPr>
                <w:b/>
                <w:sz w:val="18"/>
                <w:szCs w:val="18"/>
                <w:lang w:val="en-GB" w:eastAsia="zh-CN"/>
              </w:rPr>
            </w:pPr>
            <w:proofErr w:type="spellStart"/>
            <w:r w:rsidRPr="0038535E">
              <w:rPr>
                <w:b/>
                <w:sz w:val="18"/>
                <w:szCs w:val="18"/>
                <w:lang w:val="en-GB" w:eastAsia="zh-CN"/>
              </w:rPr>
              <w:t>Campofrio</w:t>
            </w:r>
            <w:proofErr w:type="spellEnd"/>
            <w:r w:rsidRPr="0038535E">
              <w:rPr>
                <w:b/>
                <w:sz w:val="18"/>
                <w:szCs w:val="18"/>
                <w:lang w:val="en-GB" w:eastAsia="zh-CN"/>
              </w:rPr>
              <w:t xml:space="preserve"> Food Group</w:t>
            </w:r>
          </w:p>
        </w:tc>
        <w:tc>
          <w:tcPr>
            <w:tcW w:w="1195" w:type="dxa"/>
            <w:tcBorders>
              <w:top w:val="nil"/>
              <w:left w:val="nil"/>
              <w:bottom w:val="single" w:sz="8" w:space="0" w:color="auto"/>
              <w:right w:val="single" w:sz="4" w:space="0" w:color="auto"/>
            </w:tcBorders>
            <w:shd w:val="clear" w:color="auto" w:fill="auto"/>
            <w:noWrap/>
            <w:vAlign w:val="center"/>
            <w:hideMark/>
          </w:tcPr>
          <w:p w14:paraId="3F9D7F7A"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CFG SM</w:t>
            </w:r>
          </w:p>
        </w:tc>
        <w:tc>
          <w:tcPr>
            <w:tcW w:w="810" w:type="dxa"/>
            <w:tcBorders>
              <w:top w:val="nil"/>
              <w:left w:val="nil"/>
              <w:bottom w:val="single" w:sz="8" w:space="0" w:color="auto"/>
              <w:right w:val="single" w:sz="4" w:space="0" w:color="auto"/>
            </w:tcBorders>
            <w:shd w:val="clear" w:color="auto" w:fill="auto"/>
            <w:vAlign w:val="center"/>
            <w:hideMark/>
          </w:tcPr>
          <w:p w14:paraId="1830489C"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73.85</w:t>
            </w:r>
          </w:p>
        </w:tc>
        <w:tc>
          <w:tcPr>
            <w:tcW w:w="900" w:type="dxa"/>
            <w:tcBorders>
              <w:top w:val="nil"/>
              <w:left w:val="nil"/>
              <w:bottom w:val="single" w:sz="8" w:space="0" w:color="auto"/>
              <w:right w:val="single" w:sz="4" w:space="0" w:color="auto"/>
            </w:tcBorders>
            <w:shd w:val="clear" w:color="auto" w:fill="auto"/>
            <w:noWrap/>
            <w:vAlign w:val="center"/>
            <w:hideMark/>
          </w:tcPr>
          <w:p w14:paraId="0F5E419F"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7.55B</w:t>
            </w:r>
          </w:p>
        </w:tc>
        <w:tc>
          <w:tcPr>
            <w:tcW w:w="810" w:type="dxa"/>
            <w:tcBorders>
              <w:top w:val="nil"/>
              <w:left w:val="nil"/>
              <w:bottom w:val="single" w:sz="8" w:space="0" w:color="auto"/>
              <w:right w:val="single" w:sz="4" w:space="0" w:color="auto"/>
            </w:tcBorders>
            <w:shd w:val="clear" w:color="auto" w:fill="auto"/>
            <w:noWrap/>
            <w:vAlign w:val="center"/>
            <w:hideMark/>
          </w:tcPr>
          <w:p w14:paraId="2E08260A"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24.09B</w:t>
            </w:r>
          </w:p>
        </w:tc>
        <w:tc>
          <w:tcPr>
            <w:tcW w:w="1104" w:type="dxa"/>
            <w:tcBorders>
              <w:top w:val="nil"/>
              <w:left w:val="nil"/>
              <w:bottom w:val="single" w:sz="8" w:space="0" w:color="auto"/>
              <w:right w:val="single" w:sz="4" w:space="0" w:color="auto"/>
            </w:tcBorders>
            <w:shd w:val="clear" w:color="auto" w:fill="auto"/>
            <w:noWrap/>
            <w:vAlign w:val="center"/>
            <w:hideMark/>
          </w:tcPr>
          <w:p w14:paraId="09A806BB"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w:t>
            </w:r>
          </w:p>
        </w:tc>
        <w:tc>
          <w:tcPr>
            <w:tcW w:w="993" w:type="dxa"/>
            <w:tcBorders>
              <w:top w:val="nil"/>
              <w:left w:val="nil"/>
              <w:bottom w:val="single" w:sz="8" w:space="0" w:color="auto"/>
              <w:right w:val="single" w:sz="4" w:space="0" w:color="auto"/>
            </w:tcBorders>
            <w:shd w:val="clear" w:color="auto" w:fill="auto"/>
            <w:noWrap/>
            <w:vAlign w:val="center"/>
            <w:hideMark/>
          </w:tcPr>
          <w:p w14:paraId="0E16F726"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w:t>
            </w:r>
          </w:p>
        </w:tc>
        <w:tc>
          <w:tcPr>
            <w:tcW w:w="708" w:type="dxa"/>
            <w:tcBorders>
              <w:top w:val="nil"/>
              <w:left w:val="nil"/>
              <w:bottom w:val="single" w:sz="8" w:space="0" w:color="auto"/>
              <w:right w:val="single" w:sz="4" w:space="0" w:color="auto"/>
            </w:tcBorders>
            <w:shd w:val="clear" w:color="auto" w:fill="auto"/>
            <w:noWrap/>
            <w:vAlign w:val="center"/>
            <w:hideMark/>
          </w:tcPr>
          <w:p w14:paraId="22141DA9"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w:t>
            </w:r>
          </w:p>
        </w:tc>
        <w:tc>
          <w:tcPr>
            <w:tcW w:w="709" w:type="dxa"/>
            <w:tcBorders>
              <w:top w:val="nil"/>
              <w:left w:val="nil"/>
              <w:bottom w:val="single" w:sz="8" w:space="0" w:color="auto"/>
              <w:right w:val="single" w:sz="4" w:space="0" w:color="auto"/>
            </w:tcBorders>
            <w:shd w:val="clear" w:color="auto" w:fill="auto"/>
            <w:noWrap/>
            <w:vAlign w:val="center"/>
            <w:hideMark/>
          </w:tcPr>
          <w:p w14:paraId="78C2A05A"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54.77</w:t>
            </w:r>
          </w:p>
        </w:tc>
        <w:tc>
          <w:tcPr>
            <w:tcW w:w="851" w:type="dxa"/>
            <w:tcBorders>
              <w:top w:val="nil"/>
              <w:left w:val="nil"/>
              <w:bottom w:val="single" w:sz="8" w:space="0" w:color="auto"/>
              <w:right w:val="single" w:sz="8" w:space="0" w:color="auto"/>
            </w:tcBorders>
            <w:shd w:val="clear" w:color="auto" w:fill="auto"/>
            <w:noWrap/>
            <w:vAlign w:val="center"/>
            <w:hideMark/>
          </w:tcPr>
          <w:p w14:paraId="5D8E933B" w14:textId="77777777" w:rsidR="00D52B78" w:rsidRPr="0038535E" w:rsidRDefault="00D52B78" w:rsidP="00EA1F2E">
            <w:pPr>
              <w:pStyle w:val="ExhibitText"/>
              <w:jc w:val="right"/>
              <w:rPr>
                <w:sz w:val="18"/>
                <w:szCs w:val="18"/>
                <w:lang w:val="en-GB" w:eastAsia="zh-CN"/>
              </w:rPr>
            </w:pPr>
            <w:r w:rsidRPr="0038535E">
              <w:rPr>
                <w:sz w:val="18"/>
                <w:szCs w:val="18"/>
                <w:lang w:val="en-GB" w:eastAsia="zh-CN"/>
              </w:rPr>
              <w:t>0.0379</w:t>
            </w:r>
          </w:p>
        </w:tc>
      </w:tr>
    </w:tbl>
    <w:p w14:paraId="10C7EF4F" w14:textId="77777777" w:rsidR="00D52B78" w:rsidRPr="0038535E" w:rsidRDefault="00D52B78" w:rsidP="00E30A86">
      <w:pPr>
        <w:pStyle w:val="BodyTextMain"/>
        <w:rPr>
          <w:rFonts w:eastAsia="SimSun"/>
          <w:lang w:val="en-GB"/>
        </w:rPr>
      </w:pPr>
    </w:p>
    <w:p w14:paraId="613465B7" w14:textId="3F91BA97" w:rsidR="00D52B78" w:rsidRPr="0038535E" w:rsidRDefault="00D52B78" w:rsidP="00421465">
      <w:pPr>
        <w:pStyle w:val="Footnote"/>
        <w:rPr>
          <w:rFonts w:eastAsia="SimSun"/>
          <w:lang w:val="en-GB" w:eastAsia="zh-CN"/>
        </w:rPr>
      </w:pPr>
      <w:r w:rsidRPr="0038535E">
        <w:rPr>
          <w:rFonts w:eastAsia="SimSun"/>
          <w:lang w:val="en-GB" w:eastAsia="zh-CN"/>
        </w:rPr>
        <w:t xml:space="preserve">Source: </w:t>
      </w:r>
      <w:r w:rsidR="00C2334C">
        <w:rPr>
          <w:rFonts w:eastAsia="SimSun"/>
          <w:lang w:val="en-GB" w:eastAsia="zh-CN"/>
        </w:rPr>
        <w:t xml:space="preserve">Created </w:t>
      </w:r>
      <w:r w:rsidRPr="0038535E">
        <w:rPr>
          <w:rFonts w:eastAsia="SimSun"/>
          <w:lang w:val="en-GB" w:eastAsia="zh-CN"/>
        </w:rPr>
        <w:t xml:space="preserve">by </w:t>
      </w:r>
      <w:r w:rsidR="00657A72">
        <w:rPr>
          <w:rFonts w:eastAsia="SimSun"/>
          <w:lang w:val="en-GB" w:eastAsia="zh-CN"/>
        </w:rPr>
        <w:t xml:space="preserve">the </w:t>
      </w:r>
      <w:r w:rsidRPr="0038535E">
        <w:rPr>
          <w:rFonts w:eastAsia="SimSun"/>
          <w:lang w:val="en-GB" w:eastAsia="zh-CN"/>
        </w:rPr>
        <w:t xml:space="preserve">author based on </w:t>
      </w:r>
      <w:r w:rsidR="00C2334C" w:rsidRPr="00C2334C">
        <w:rPr>
          <w:rFonts w:eastAsia="SimSun"/>
          <w:lang w:val="en-GB" w:eastAsia="zh-CN"/>
        </w:rPr>
        <w:t>Bloomberg L.P., “</w:t>
      </w:r>
      <w:r w:rsidR="00C2334C">
        <w:rPr>
          <w:rFonts w:eastAsia="SimSun"/>
          <w:lang w:val="en-GB" w:eastAsia="zh-CN"/>
        </w:rPr>
        <w:t xml:space="preserve">Accounting and Capital Market Data for WH Group’s </w:t>
      </w:r>
      <w:proofErr w:type="spellStart"/>
      <w:r w:rsidR="00C2334C">
        <w:rPr>
          <w:rFonts w:eastAsia="SimSun"/>
          <w:lang w:val="en-GB" w:eastAsia="zh-CN"/>
        </w:rPr>
        <w:t>Comparables</w:t>
      </w:r>
      <w:proofErr w:type="spellEnd"/>
      <w:r w:rsidR="00BA5B72">
        <w:rPr>
          <w:rFonts w:eastAsia="SimSun"/>
          <w:lang w:val="en-GB" w:eastAsia="zh-CN"/>
        </w:rPr>
        <w:t xml:space="preserve"> as of April, 1,</w:t>
      </w:r>
      <w:r w:rsidR="00C2334C">
        <w:rPr>
          <w:rFonts w:eastAsia="SimSun"/>
          <w:lang w:val="en-GB" w:eastAsia="zh-CN"/>
        </w:rPr>
        <w:t xml:space="preserve"> </w:t>
      </w:r>
      <w:r w:rsidR="00C2334C" w:rsidRPr="00C2334C">
        <w:rPr>
          <w:rFonts w:eastAsia="SimSun"/>
          <w:lang w:val="en-GB" w:eastAsia="zh-CN"/>
        </w:rPr>
        <w:t>201</w:t>
      </w:r>
      <w:r w:rsidR="00C2334C">
        <w:rPr>
          <w:rFonts w:eastAsia="SimSun"/>
          <w:lang w:val="en-GB" w:eastAsia="zh-CN"/>
        </w:rPr>
        <w:t>4</w:t>
      </w:r>
      <w:r w:rsidR="00C2334C" w:rsidRPr="00C2334C">
        <w:rPr>
          <w:rFonts w:eastAsia="SimSun"/>
          <w:lang w:val="en-GB" w:eastAsia="zh-CN"/>
        </w:rPr>
        <w:t xml:space="preserve">,” Bloomberg Database, accessed </w:t>
      </w:r>
      <w:r w:rsidR="00C2334C" w:rsidRPr="0038535E">
        <w:rPr>
          <w:rFonts w:eastAsia="SimSun"/>
          <w:lang w:val="en-GB" w:eastAsia="zh-CN"/>
        </w:rPr>
        <w:t>February 27, 2015</w:t>
      </w:r>
      <w:r w:rsidR="00C2334C" w:rsidRPr="00C2334C">
        <w:rPr>
          <w:rFonts w:eastAsia="SimSun"/>
          <w:lang w:val="en-GB" w:eastAsia="zh-CN"/>
        </w:rPr>
        <w:t>.</w:t>
      </w:r>
    </w:p>
    <w:p w14:paraId="322F0A47" w14:textId="77777777" w:rsidR="00D52B78" w:rsidRPr="0038535E" w:rsidRDefault="00D52B78" w:rsidP="00E30A86">
      <w:pPr>
        <w:pStyle w:val="BodyTextMain"/>
        <w:rPr>
          <w:rFonts w:eastAsia="SimSun"/>
          <w:lang w:val="en-GB"/>
        </w:rPr>
      </w:pPr>
    </w:p>
    <w:p w14:paraId="51AA15BE" w14:textId="77777777" w:rsidR="00E30A86" w:rsidRPr="0038535E" w:rsidRDefault="00E30A86" w:rsidP="00E30A86">
      <w:pPr>
        <w:pStyle w:val="BodyTextMain"/>
        <w:rPr>
          <w:rFonts w:eastAsia="SimSun"/>
          <w:lang w:val="en-GB"/>
        </w:rPr>
      </w:pPr>
    </w:p>
    <w:p w14:paraId="0510EC99" w14:textId="77777777" w:rsidR="00E30A86" w:rsidRPr="0038535E" w:rsidRDefault="00E30A86">
      <w:pPr>
        <w:spacing w:after="200" w:line="276" w:lineRule="auto"/>
        <w:rPr>
          <w:rFonts w:ascii="Arial" w:eastAsia="SimSun" w:hAnsi="Arial" w:cs="Arial"/>
          <w:b/>
          <w:caps/>
          <w:lang w:val="en-GB" w:eastAsia="zh-CN"/>
        </w:rPr>
      </w:pPr>
      <w:r w:rsidRPr="0038535E">
        <w:rPr>
          <w:rFonts w:eastAsia="SimSun"/>
          <w:lang w:val="en-GB" w:eastAsia="zh-CN"/>
        </w:rPr>
        <w:br w:type="page"/>
      </w:r>
    </w:p>
    <w:p w14:paraId="75516380" w14:textId="77777777" w:rsidR="00D52B78" w:rsidRPr="0038535E" w:rsidRDefault="00D52B78" w:rsidP="00421465">
      <w:pPr>
        <w:pStyle w:val="ExhibitHeading"/>
        <w:rPr>
          <w:rFonts w:eastAsia="SimSun"/>
          <w:lang w:val="en-GB" w:eastAsia="zh-CN"/>
        </w:rPr>
      </w:pPr>
      <w:r w:rsidRPr="0038535E">
        <w:rPr>
          <w:rFonts w:eastAsia="SimSun"/>
          <w:lang w:val="en-GB" w:eastAsia="zh-CN"/>
        </w:rPr>
        <w:lastRenderedPageBreak/>
        <w:t>EXHIBIT 6: COMPARABLES DATA AS OF AUGUST 1, 2014</w:t>
      </w:r>
      <w:r w:rsidR="00E30A86" w:rsidRPr="0038535E">
        <w:rPr>
          <w:rFonts w:eastAsia="SimSun"/>
          <w:lang w:val="en-GB" w:eastAsia="zh-CN"/>
        </w:rPr>
        <w:t xml:space="preserve"> (IN HK$)</w:t>
      </w:r>
    </w:p>
    <w:p w14:paraId="4E630F00" w14:textId="77777777" w:rsidR="00D52B78" w:rsidRPr="0038535E" w:rsidRDefault="00D52B78" w:rsidP="00E30A86">
      <w:pPr>
        <w:pStyle w:val="BodyTextMain"/>
        <w:rPr>
          <w:rFonts w:eastAsia="SimSun"/>
          <w:lang w:val="en-GB"/>
        </w:rPr>
      </w:pPr>
    </w:p>
    <w:tbl>
      <w:tblPr>
        <w:tblW w:w="9497" w:type="dxa"/>
        <w:jc w:val="center"/>
        <w:tblLayout w:type="fixed"/>
        <w:tblLook w:val="04A0" w:firstRow="1" w:lastRow="0" w:firstColumn="1" w:lastColumn="0" w:noHBand="0" w:noVBand="1"/>
      </w:tblPr>
      <w:tblGrid>
        <w:gridCol w:w="1391"/>
        <w:gridCol w:w="1080"/>
        <w:gridCol w:w="810"/>
        <w:gridCol w:w="900"/>
        <w:gridCol w:w="810"/>
        <w:gridCol w:w="1104"/>
        <w:gridCol w:w="993"/>
        <w:gridCol w:w="708"/>
        <w:gridCol w:w="851"/>
        <w:gridCol w:w="850"/>
      </w:tblGrid>
      <w:tr w:rsidR="00421465" w:rsidRPr="0038535E" w14:paraId="022C431C" w14:textId="77777777" w:rsidTr="00C46AA4">
        <w:trPr>
          <w:trHeight w:val="315"/>
          <w:jc w:val="center"/>
        </w:trPr>
        <w:tc>
          <w:tcPr>
            <w:tcW w:w="13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43433F" w14:textId="77777777" w:rsidR="00D52B78" w:rsidRPr="0038535E" w:rsidRDefault="00D52B78" w:rsidP="00421465">
            <w:pPr>
              <w:pStyle w:val="ExhibitText"/>
              <w:rPr>
                <w:b/>
                <w:sz w:val="18"/>
                <w:szCs w:val="18"/>
                <w:lang w:val="en-GB" w:eastAsia="zh-CN"/>
              </w:rPr>
            </w:pPr>
            <w:r w:rsidRPr="0038535E">
              <w:rPr>
                <w:b/>
                <w:sz w:val="18"/>
                <w:szCs w:val="18"/>
                <w:lang w:val="en-GB" w:eastAsia="zh-CN"/>
              </w:rPr>
              <w:t>Name</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14:paraId="3477B655"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Ticker &amp; Exchange</w:t>
            </w:r>
          </w:p>
        </w:tc>
        <w:tc>
          <w:tcPr>
            <w:tcW w:w="810" w:type="dxa"/>
            <w:tcBorders>
              <w:top w:val="single" w:sz="8" w:space="0" w:color="auto"/>
              <w:left w:val="nil"/>
              <w:bottom w:val="single" w:sz="8" w:space="0" w:color="auto"/>
              <w:right w:val="single" w:sz="4" w:space="0" w:color="auto"/>
            </w:tcBorders>
            <w:shd w:val="clear" w:color="auto" w:fill="auto"/>
            <w:noWrap/>
            <w:vAlign w:val="center"/>
            <w:hideMark/>
          </w:tcPr>
          <w:p w14:paraId="6F9AAAAD"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Share Price</w:t>
            </w:r>
          </w:p>
        </w:tc>
        <w:tc>
          <w:tcPr>
            <w:tcW w:w="900" w:type="dxa"/>
            <w:tcBorders>
              <w:top w:val="single" w:sz="8" w:space="0" w:color="auto"/>
              <w:left w:val="nil"/>
              <w:bottom w:val="single" w:sz="8" w:space="0" w:color="auto"/>
              <w:right w:val="single" w:sz="4" w:space="0" w:color="auto"/>
            </w:tcBorders>
            <w:shd w:val="clear" w:color="auto" w:fill="auto"/>
            <w:noWrap/>
            <w:vAlign w:val="center"/>
            <w:hideMark/>
          </w:tcPr>
          <w:p w14:paraId="1B9299D9"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Mkt Cap</w:t>
            </w:r>
          </w:p>
        </w:tc>
        <w:tc>
          <w:tcPr>
            <w:tcW w:w="810" w:type="dxa"/>
            <w:tcBorders>
              <w:top w:val="single" w:sz="8" w:space="0" w:color="auto"/>
              <w:left w:val="nil"/>
              <w:bottom w:val="single" w:sz="8" w:space="0" w:color="auto"/>
              <w:right w:val="single" w:sz="4" w:space="0" w:color="auto"/>
            </w:tcBorders>
            <w:shd w:val="clear" w:color="auto" w:fill="auto"/>
            <w:noWrap/>
            <w:vAlign w:val="center"/>
            <w:hideMark/>
          </w:tcPr>
          <w:p w14:paraId="6224DBFE"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Tot Assets</w:t>
            </w:r>
          </w:p>
        </w:tc>
        <w:tc>
          <w:tcPr>
            <w:tcW w:w="1104" w:type="dxa"/>
            <w:tcBorders>
              <w:top w:val="single" w:sz="8" w:space="0" w:color="auto"/>
              <w:left w:val="nil"/>
              <w:bottom w:val="single" w:sz="8" w:space="0" w:color="auto"/>
              <w:right w:val="single" w:sz="4" w:space="0" w:color="auto"/>
            </w:tcBorders>
            <w:shd w:val="clear" w:color="auto" w:fill="auto"/>
            <w:noWrap/>
            <w:vAlign w:val="center"/>
            <w:hideMark/>
          </w:tcPr>
          <w:p w14:paraId="3B188806"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Revenue (TTM)</w:t>
            </w:r>
          </w:p>
        </w:tc>
        <w:tc>
          <w:tcPr>
            <w:tcW w:w="993" w:type="dxa"/>
            <w:tcBorders>
              <w:top w:val="single" w:sz="8" w:space="0" w:color="auto"/>
              <w:left w:val="nil"/>
              <w:bottom w:val="single" w:sz="8" w:space="0" w:color="auto"/>
              <w:right w:val="single" w:sz="4" w:space="0" w:color="auto"/>
            </w:tcBorders>
            <w:shd w:val="clear" w:color="auto" w:fill="auto"/>
            <w:noWrap/>
            <w:vAlign w:val="center"/>
            <w:hideMark/>
          </w:tcPr>
          <w:p w14:paraId="37272579"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Net Income (TTM)</w:t>
            </w:r>
          </w:p>
        </w:tc>
        <w:tc>
          <w:tcPr>
            <w:tcW w:w="708" w:type="dxa"/>
            <w:tcBorders>
              <w:top w:val="single" w:sz="8" w:space="0" w:color="auto"/>
              <w:left w:val="nil"/>
              <w:bottom w:val="single" w:sz="8" w:space="0" w:color="auto"/>
              <w:right w:val="single" w:sz="4" w:space="0" w:color="auto"/>
            </w:tcBorders>
            <w:shd w:val="clear" w:color="auto" w:fill="auto"/>
            <w:noWrap/>
            <w:vAlign w:val="center"/>
            <w:hideMark/>
          </w:tcPr>
          <w:p w14:paraId="73D55DE2"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EPS (TTM)</w:t>
            </w:r>
          </w:p>
        </w:tc>
        <w:tc>
          <w:tcPr>
            <w:tcW w:w="851" w:type="dxa"/>
            <w:tcBorders>
              <w:top w:val="single" w:sz="8" w:space="0" w:color="auto"/>
              <w:left w:val="nil"/>
              <w:bottom w:val="single" w:sz="8" w:space="0" w:color="auto"/>
              <w:right w:val="single" w:sz="4" w:space="0" w:color="auto"/>
            </w:tcBorders>
            <w:shd w:val="clear" w:color="auto" w:fill="auto"/>
            <w:noWrap/>
            <w:vAlign w:val="center"/>
            <w:hideMark/>
          </w:tcPr>
          <w:p w14:paraId="5B7F9984"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P/E</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493144E1" w14:textId="77777777" w:rsidR="00D52B78" w:rsidRPr="0038535E" w:rsidRDefault="00D52B78" w:rsidP="00421465">
            <w:pPr>
              <w:pStyle w:val="ExhibitText"/>
              <w:jc w:val="center"/>
              <w:rPr>
                <w:b/>
                <w:sz w:val="18"/>
                <w:szCs w:val="18"/>
                <w:lang w:val="en-GB" w:eastAsia="zh-CN"/>
              </w:rPr>
            </w:pPr>
            <w:r w:rsidRPr="0038535E">
              <w:rPr>
                <w:b/>
                <w:sz w:val="18"/>
                <w:szCs w:val="18"/>
                <w:lang w:val="en-GB" w:eastAsia="zh-CN"/>
              </w:rPr>
              <w:t>ROE</w:t>
            </w:r>
          </w:p>
        </w:tc>
      </w:tr>
      <w:tr w:rsidR="00421465" w:rsidRPr="0038535E" w14:paraId="615B2FC8"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771734B4" w14:textId="77777777" w:rsidR="00D52B78" w:rsidRPr="0038535E" w:rsidRDefault="00D52B78" w:rsidP="00421465">
            <w:pPr>
              <w:pStyle w:val="ExhibitText"/>
              <w:jc w:val="left"/>
              <w:rPr>
                <w:b/>
                <w:sz w:val="18"/>
                <w:szCs w:val="18"/>
                <w:lang w:val="en-GB" w:eastAsia="zh-CN"/>
              </w:rPr>
            </w:pPr>
            <w:r w:rsidRPr="0038535E">
              <w:rPr>
                <w:b/>
                <w:sz w:val="18"/>
                <w:szCs w:val="18"/>
                <w:lang w:val="en-GB" w:eastAsia="zh-CN"/>
              </w:rPr>
              <w:t>Average</w:t>
            </w:r>
          </w:p>
        </w:tc>
        <w:tc>
          <w:tcPr>
            <w:tcW w:w="1080" w:type="dxa"/>
            <w:tcBorders>
              <w:top w:val="nil"/>
              <w:left w:val="nil"/>
              <w:bottom w:val="single" w:sz="4" w:space="0" w:color="auto"/>
              <w:right w:val="single" w:sz="4" w:space="0" w:color="auto"/>
            </w:tcBorders>
            <w:shd w:val="clear" w:color="auto" w:fill="auto"/>
            <w:noWrap/>
            <w:vAlign w:val="center"/>
            <w:hideMark/>
          </w:tcPr>
          <w:p w14:paraId="504DCBB0" w14:textId="77777777" w:rsidR="00D52B78" w:rsidRPr="0038535E" w:rsidRDefault="00D52B78" w:rsidP="00E30A86">
            <w:pPr>
              <w:pStyle w:val="ExhibitText"/>
              <w:jc w:val="right"/>
              <w:rPr>
                <w:sz w:val="18"/>
                <w:szCs w:val="18"/>
                <w:lang w:val="en-GB" w:eastAsia="zh-CN"/>
              </w:rPr>
            </w:pPr>
          </w:p>
        </w:tc>
        <w:tc>
          <w:tcPr>
            <w:tcW w:w="810" w:type="dxa"/>
            <w:tcBorders>
              <w:top w:val="nil"/>
              <w:left w:val="nil"/>
              <w:bottom w:val="single" w:sz="4" w:space="0" w:color="auto"/>
              <w:right w:val="single" w:sz="4" w:space="0" w:color="auto"/>
            </w:tcBorders>
            <w:shd w:val="clear" w:color="auto" w:fill="auto"/>
            <w:vAlign w:val="center"/>
            <w:hideMark/>
          </w:tcPr>
          <w:p w14:paraId="538BF7E0"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42.37</w:t>
            </w:r>
          </w:p>
        </w:tc>
        <w:tc>
          <w:tcPr>
            <w:tcW w:w="900" w:type="dxa"/>
            <w:tcBorders>
              <w:top w:val="nil"/>
              <w:left w:val="nil"/>
              <w:bottom w:val="single" w:sz="4" w:space="0" w:color="auto"/>
              <w:right w:val="single" w:sz="4" w:space="0" w:color="auto"/>
            </w:tcBorders>
            <w:shd w:val="clear" w:color="auto" w:fill="auto"/>
            <w:noWrap/>
            <w:vAlign w:val="center"/>
            <w:hideMark/>
          </w:tcPr>
          <w:p w14:paraId="3BB13D84"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64.83B</w:t>
            </w:r>
          </w:p>
        </w:tc>
        <w:tc>
          <w:tcPr>
            <w:tcW w:w="810" w:type="dxa"/>
            <w:tcBorders>
              <w:top w:val="nil"/>
              <w:left w:val="nil"/>
              <w:bottom w:val="single" w:sz="4" w:space="0" w:color="auto"/>
              <w:right w:val="single" w:sz="4" w:space="0" w:color="auto"/>
            </w:tcBorders>
            <w:shd w:val="clear" w:color="auto" w:fill="auto"/>
            <w:noWrap/>
            <w:vAlign w:val="center"/>
            <w:hideMark/>
          </w:tcPr>
          <w:p w14:paraId="1991D56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57.70B</w:t>
            </w:r>
          </w:p>
        </w:tc>
        <w:tc>
          <w:tcPr>
            <w:tcW w:w="1104" w:type="dxa"/>
            <w:tcBorders>
              <w:top w:val="nil"/>
              <w:left w:val="nil"/>
              <w:bottom w:val="single" w:sz="4" w:space="0" w:color="auto"/>
              <w:right w:val="single" w:sz="4" w:space="0" w:color="auto"/>
            </w:tcBorders>
            <w:shd w:val="clear" w:color="auto" w:fill="auto"/>
            <w:noWrap/>
            <w:vAlign w:val="center"/>
            <w:hideMark/>
          </w:tcPr>
          <w:p w14:paraId="0AB5CD0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68.03B</w:t>
            </w:r>
          </w:p>
        </w:tc>
        <w:tc>
          <w:tcPr>
            <w:tcW w:w="993" w:type="dxa"/>
            <w:tcBorders>
              <w:top w:val="nil"/>
              <w:left w:val="nil"/>
              <w:bottom w:val="single" w:sz="4" w:space="0" w:color="auto"/>
              <w:right w:val="single" w:sz="4" w:space="0" w:color="auto"/>
            </w:tcBorders>
            <w:shd w:val="clear" w:color="auto" w:fill="auto"/>
            <w:noWrap/>
            <w:vAlign w:val="center"/>
            <w:hideMark/>
          </w:tcPr>
          <w:p w14:paraId="7B8861BB"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2.81B</w:t>
            </w:r>
          </w:p>
        </w:tc>
        <w:tc>
          <w:tcPr>
            <w:tcW w:w="708" w:type="dxa"/>
            <w:tcBorders>
              <w:top w:val="nil"/>
              <w:left w:val="nil"/>
              <w:bottom w:val="single" w:sz="4" w:space="0" w:color="auto"/>
              <w:right w:val="single" w:sz="4" w:space="0" w:color="auto"/>
            </w:tcBorders>
            <w:shd w:val="clear" w:color="auto" w:fill="auto"/>
            <w:noWrap/>
            <w:vAlign w:val="center"/>
            <w:hideMark/>
          </w:tcPr>
          <w:p w14:paraId="3A1A465C"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2.07</w:t>
            </w:r>
          </w:p>
        </w:tc>
        <w:tc>
          <w:tcPr>
            <w:tcW w:w="851" w:type="dxa"/>
            <w:tcBorders>
              <w:top w:val="nil"/>
              <w:left w:val="nil"/>
              <w:bottom w:val="single" w:sz="4" w:space="0" w:color="auto"/>
              <w:right w:val="single" w:sz="4" w:space="0" w:color="auto"/>
            </w:tcBorders>
            <w:shd w:val="clear" w:color="auto" w:fill="auto"/>
            <w:noWrap/>
            <w:vAlign w:val="center"/>
            <w:hideMark/>
          </w:tcPr>
          <w:p w14:paraId="1D0A01FA"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31.55</w:t>
            </w:r>
          </w:p>
        </w:tc>
        <w:tc>
          <w:tcPr>
            <w:tcW w:w="850" w:type="dxa"/>
            <w:tcBorders>
              <w:top w:val="nil"/>
              <w:left w:val="nil"/>
              <w:bottom w:val="single" w:sz="4" w:space="0" w:color="auto"/>
              <w:right w:val="single" w:sz="8" w:space="0" w:color="auto"/>
            </w:tcBorders>
            <w:shd w:val="clear" w:color="auto" w:fill="auto"/>
            <w:noWrap/>
            <w:vAlign w:val="center"/>
            <w:hideMark/>
          </w:tcPr>
          <w:p w14:paraId="23FAA365"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14.08%</w:t>
            </w:r>
          </w:p>
        </w:tc>
      </w:tr>
      <w:tr w:rsidR="00421465" w:rsidRPr="0038535E" w14:paraId="50C01E71"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0245008C" w14:textId="54B00C05" w:rsidR="00D52B78" w:rsidRPr="0038535E" w:rsidRDefault="00E30A86" w:rsidP="00421465">
            <w:pPr>
              <w:pStyle w:val="ExhibitText"/>
              <w:jc w:val="left"/>
              <w:rPr>
                <w:b/>
                <w:sz w:val="18"/>
                <w:szCs w:val="18"/>
                <w:lang w:val="en-GB" w:eastAsia="zh-CN"/>
              </w:rPr>
            </w:pPr>
            <w:r w:rsidRPr="0038535E">
              <w:rPr>
                <w:b/>
                <w:sz w:val="18"/>
                <w:szCs w:val="18"/>
                <w:lang w:val="en-GB" w:eastAsia="zh-CN"/>
              </w:rPr>
              <w:t>Wan Want China Holdings</w:t>
            </w:r>
          </w:p>
        </w:tc>
        <w:tc>
          <w:tcPr>
            <w:tcW w:w="1080" w:type="dxa"/>
            <w:tcBorders>
              <w:top w:val="nil"/>
              <w:left w:val="nil"/>
              <w:bottom w:val="single" w:sz="4" w:space="0" w:color="auto"/>
              <w:right w:val="single" w:sz="4" w:space="0" w:color="auto"/>
            </w:tcBorders>
            <w:shd w:val="clear" w:color="auto" w:fill="auto"/>
            <w:noWrap/>
            <w:vAlign w:val="center"/>
            <w:hideMark/>
          </w:tcPr>
          <w:p w14:paraId="2C32BC20"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151 HK</w:t>
            </w:r>
          </w:p>
        </w:tc>
        <w:tc>
          <w:tcPr>
            <w:tcW w:w="810" w:type="dxa"/>
            <w:tcBorders>
              <w:top w:val="nil"/>
              <w:left w:val="nil"/>
              <w:bottom w:val="single" w:sz="4" w:space="0" w:color="auto"/>
              <w:right w:val="single" w:sz="4" w:space="0" w:color="auto"/>
            </w:tcBorders>
            <w:shd w:val="clear" w:color="auto" w:fill="auto"/>
            <w:vAlign w:val="center"/>
            <w:hideMark/>
          </w:tcPr>
          <w:p w14:paraId="3167D31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10.62</w:t>
            </w:r>
          </w:p>
        </w:tc>
        <w:tc>
          <w:tcPr>
            <w:tcW w:w="900" w:type="dxa"/>
            <w:tcBorders>
              <w:top w:val="nil"/>
              <w:left w:val="nil"/>
              <w:bottom w:val="single" w:sz="4" w:space="0" w:color="auto"/>
              <w:right w:val="single" w:sz="4" w:space="0" w:color="auto"/>
            </w:tcBorders>
            <w:shd w:val="clear" w:color="auto" w:fill="auto"/>
            <w:noWrap/>
            <w:vAlign w:val="center"/>
            <w:hideMark/>
          </w:tcPr>
          <w:p w14:paraId="771B1F47"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140.14B</w:t>
            </w:r>
          </w:p>
        </w:tc>
        <w:tc>
          <w:tcPr>
            <w:tcW w:w="810" w:type="dxa"/>
            <w:tcBorders>
              <w:top w:val="nil"/>
              <w:left w:val="nil"/>
              <w:bottom w:val="single" w:sz="4" w:space="0" w:color="auto"/>
              <w:right w:val="single" w:sz="4" w:space="0" w:color="auto"/>
            </w:tcBorders>
            <w:shd w:val="clear" w:color="auto" w:fill="auto"/>
            <w:noWrap/>
            <w:vAlign w:val="center"/>
            <w:hideMark/>
          </w:tcPr>
          <w:p w14:paraId="668BF0E2"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w:t>
            </w:r>
          </w:p>
        </w:tc>
        <w:tc>
          <w:tcPr>
            <w:tcW w:w="1104" w:type="dxa"/>
            <w:tcBorders>
              <w:top w:val="nil"/>
              <w:left w:val="nil"/>
              <w:bottom w:val="single" w:sz="4" w:space="0" w:color="auto"/>
              <w:right w:val="single" w:sz="4" w:space="0" w:color="auto"/>
            </w:tcBorders>
            <w:shd w:val="clear" w:color="auto" w:fill="auto"/>
            <w:noWrap/>
            <w:vAlign w:val="center"/>
            <w:hideMark/>
          </w:tcPr>
          <w:p w14:paraId="21A50551"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27.81B</w:t>
            </w:r>
          </w:p>
        </w:tc>
        <w:tc>
          <w:tcPr>
            <w:tcW w:w="993" w:type="dxa"/>
            <w:tcBorders>
              <w:top w:val="nil"/>
              <w:left w:val="nil"/>
              <w:bottom w:val="single" w:sz="4" w:space="0" w:color="auto"/>
              <w:right w:val="single" w:sz="4" w:space="0" w:color="auto"/>
            </w:tcBorders>
            <w:shd w:val="clear" w:color="auto" w:fill="auto"/>
            <w:noWrap/>
            <w:vAlign w:val="center"/>
            <w:hideMark/>
          </w:tcPr>
          <w:p w14:paraId="52C9A787"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4.89B</w:t>
            </w:r>
          </w:p>
        </w:tc>
        <w:tc>
          <w:tcPr>
            <w:tcW w:w="708" w:type="dxa"/>
            <w:tcBorders>
              <w:top w:val="nil"/>
              <w:left w:val="nil"/>
              <w:bottom w:val="single" w:sz="4" w:space="0" w:color="auto"/>
              <w:right w:val="single" w:sz="4" w:space="0" w:color="auto"/>
            </w:tcBorders>
            <w:shd w:val="clear" w:color="auto" w:fill="auto"/>
            <w:noWrap/>
            <w:vAlign w:val="center"/>
            <w:hideMark/>
          </w:tcPr>
          <w:p w14:paraId="1D2CBB3D"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0.37</w:t>
            </w:r>
          </w:p>
        </w:tc>
        <w:tc>
          <w:tcPr>
            <w:tcW w:w="851" w:type="dxa"/>
            <w:tcBorders>
              <w:top w:val="nil"/>
              <w:left w:val="nil"/>
              <w:bottom w:val="single" w:sz="4" w:space="0" w:color="auto"/>
              <w:right w:val="single" w:sz="4" w:space="0" w:color="auto"/>
            </w:tcBorders>
            <w:shd w:val="clear" w:color="auto" w:fill="auto"/>
            <w:noWrap/>
            <w:vAlign w:val="center"/>
            <w:hideMark/>
          </w:tcPr>
          <w:p w14:paraId="5817DACA"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25.95</w:t>
            </w:r>
          </w:p>
        </w:tc>
        <w:tc>
          <w:tcPr>
            <w:tcW w:w="850" w:type="dxa"/>
            <w:tcBorders>
              <w:top w:val="nil"/>
              <w:left w:val="nil"/>
              <w:bottom w:val="single" w:sz="4" w:space="0" w:color="auto"/>
              <w:right w:val="single" w:sz="8" w:space="0" w:color="auto"/>
            </w:tcBorders>
            <w:shd w:val="clear" w:color="auto" w:fill="auto"/>
            <w:noWrap/>
            <w:vAlign w:val="center"/>
            <w:hideMark/>
          </w:tcPr>
          <w:p w14:paraId="26316A1A"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w:t>
            </w:r>
          </w:p>
        </w:tc>
      </w:tr>
      <w:tr w:rsidR="00421465" w:rsidRPr="0038535E" w14:paraId="3A9E4749"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755CBB53" w14:textId="77777777" w:rsidR="00D52B78" w:rsidRPr="0038535E" w:rsidRDefault="00E30A86" w:rsidP="00421465">
            <w:pPr>
              <w:pStyle w:val="ExhibitText"/>
              <w:jc w:val="left"/>
              <w:rPr>
                <w:b/>
                <w:sz w:val="18"/>
                <w:szCs w:val="18"/>
                <w:lang w:val="en-GB" w:eastAsia="zh-CN"/>
              </w:rPr>
            </w:pPr>
            <w:r w:rsidRPr="0038535E">
              <w:rPr>
                <w:b/>
                <w:sz w:val="18"/>
                <w:szCs w:val="18"/>
                <w:lang w:val="en-GB" w:eastAsia="zh-CN"/>
              </w:rPr>
              <w:t>Tingyi (Cayman Island) Holdings</w:t>
            </w:r>
          </w:p>
        </w:tc>
        <w:tc>
          <w:tcPr>
            <w:tcW w:w="1080" w:type="dxa"/>
            <w:tcBorders>
              <w:top w:val="nil"/>
              <w:left w:val="nil"/>
              <w:bottom w:val="single" w:sz="4" w:space="0" w:color="auto"/>
              <w:right w:val="single" w:sz="4" w:space="0" w:color="auto"/>
            </w:tcBorders>
            <w:shd w:val="clear" w:color="auto" w:fill="auto"/>
            <w:noWrap/>
            <w:vAlign w:val="center"/>
            <w:hideMark/>
          </w:tcPr>
          <w:p w14:paraId="018B5D09"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322 HK</w:t>
            </w:r>
          </w:p>
        </w:tc>
        <w:tc>
          <w:tcPr>
            <w:tcW w:w="810" w:type="dxa"/>
            <w:tcBorders>
              <w:top w:val="nil"/>
              <w:left w:val="nil"/>
              <w:bottom w:val="single" w:sz="4" w:space="0" w:color="auto"/>
              <w:right w:val="single" w:sz="4" w:space="0" w:color="auto"/>
            </w:tcBorders>
            <w:shd w:val="clear" w:color="auto" w:fill="auto"/>
            <w:vAlign w:val="center"/>
            <w:hideMark/>
          </w:tcPr>
          <w:p w14:paraId="5A7CDBBD"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21.75</w:t>
            </w:r>
          </w:p>
        </w:tc>
        <w:tc>
          <w:tcPr>
            <w:tcW w:w="900" w:type="dxa"/>
            <w:tcBorders>
              <w:top w:val="nil"/>
              <w:left w:val="nil"/>
              <w:bottom w:val="single" w:sz="4" w:space="0" w:color="auto"/>
              <w:right w:val="single" w:sz="4" w:space="0" w:color="auto"/>
            </w:tcBorders>
            <w:shd w:val="clear" w:color="auto" w:fill="auto"/>
            <w:noWrap/>
            <w:vAlign w:val="center"/>
            <w:hideMark/>
          </w:tcPr>
          <w:p w14:paraId="0306C7B8"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121.79B</w:t>
            </w:r>
          </w:p>
        </w:tc>
        <w:tc>
          <w:tcPr>
            <w:tcW w:w="810" w:type="dxa"/>
            <w:tcBorders>
              <w:top w:val="nil"/>
              <w:left w:val="nil"/>
              <w:bottom w:val="single" w:sz="4" w:space="0" w:color="auto"/>
              <w:right w:val="single" w:sz="4" w:space="0" w:color="auto"/>
            </w:tcBorders>
            <w:shd w:val="clear" w:color="auto" w:fill="auto"/>
            <w:noWrap/>
            <w:vAlign w:val="center"/>
            <w:hideMark/>
          </w:tcPr>
          <w:p w14:paraId="3628858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69.78B</w:t>
            </w:r>
          </w:p>
        </w:tc>
        <w:tc>
          <w:tcPr>
            <w:tcW w:w="1104" w:type="dxa"/>
            <w:tcBorders>
              <w:top w:val="nil"/>
              <w:left w:val="nil"/>
              <w:bottom w:val="single" w:sz="4" w:space="0" w:color="auto"/>
              <w:right w:val="single" w:sz="4" w:space="0" w:color="auto"/>
            </w:tcBorders>
            <w:shd w:val="clear" w:color="auto" w:fill="auto"/>
            <w:noWrap/>
            <w:vAlign w:val="center"/>
            <w:hideMark/>
          </w:tcPr>
          <w:p w14:paraId="4B987CC4"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84.87B</w:t>
            </w:r>
          </w:p>
        </w:tc>
        <w:tc>
          <w:tcPr>
            <w:tcW w:w="993" w:type="dxa"/>
            <w:tcBorders>
              <w:top w:val="nil"/>
              <w:left w:val="nil"/>
              <w:bottom w:val="single" w:sz="4" w:space="0" w:color="auto"/>
              <w:right w:val="single" w:sz="4" w:space="0" w:color="auto"/>
            </w:tcBorders>
            <w:shd w:val="clear" w:color="auto" w:fill="auto"/>
            <w:noWrap/>
            <w:vAlign w:val="center"/>
            <w:hideMark/>
          </w:tcPr>
          <w:p w14:paraId="33F7566D"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3.17B</w:t>
            </w:r>
          </w:p>
        </w:tc>
        <w:tc>
          <w:tcPr>
            <w:tcW w:w="708" w:type="dxa"/>
            <w:tcBorders>
              <w:top w:val="nil"/>
              <w:left w:val="nil"/>
              <w:bottom w:val="single" w:sz="4" w:space="0" w:color="auto"/>
              <w:right w:val="single" w:sz="4" w:space="0" w:color="auto"/>
            </w:tcBorders>
            <w:shd w:val="clear" w:color="auto" w:fill="auto"/>
            <w:noWrap/>
            <w:vAlign w:val="center"/>
            <w:hideMark/>
          </w:tcPr>
          <w:p w14:paraId="32BB6AAA"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0.57</w:t>
            </w:r>
          </w:p>
        </w:tc>
        <w:tc>
          <w:tcPr>
            <w:tcW w:w="851" w:type="dxa"/>
            <w:tcBorders>
              <w:top w:val="nil"/>
              <w:left w:val="nil"/>
              <w:bottom w:val="single" w:sz="4" w:space="0" w:color="auto"/>
              <w:right w:val="single" w:sz="4" w:space="0" w:color="auto"/>
            </w:tcBorders>
            <w:shd w:val="clear" w:color="auto" w:fill="auto"/>
            <w:noWrap/>
            <w:vAlign w:val="center"/>
            <w:hideMark/>
          </w:tcPr>
          <w:p w14:paraId="5AF7D825"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35.43</w:t>
            </w:r>
          </w:p>
        </w:tc>
        <w:tc>
          <w:tcPr>
            <w:tcW w:w="850" w:type="dxa"/>
            <w:tcBorders>
              <w:top w:val="nil"/>
              <w:left w:val="nil"/>
              <w:bottom w:val="single" w:sz="4" w:space="0" w:color="auto"/>
              <w:right w:val="single" w:sz="8" w:space="0" w:color="auto"/>
            </w:tcBorders>
            <w:shd w:val="clear" w:color="auto" w:fill="auto"/>
            <w:noWrap/>
            <w:vAlign w:val="center"/>
            <w:hideMark/>
          </w:tcPr>
          <w:p w14:paraId="712BDBDB"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15.45%</w:t>
            </w:r>
          </w:p>
        </w:tc>
      </w:tr>
      <w:tr w:rsidR="00421465" w:rsidRPr="0038535E" w14:paraId="1E0571D2"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6521968E" w14:textId="77777777" w:rsidR="00D52B78" w:rsidRPr="0038535E" w:rsidRDefault="00E30A86" w:rsidP="00421465">
            <w:pPr>
              <w:pStyle w:val="ExhibitText"/>
              <w:jc w:val="left"/>
              <w:rPr>
                <w:b/>
                <w:sz w:val="18"/>
                <w:szCs w:val="18"/>
                <w:lang w:val="en-GB" w:eastAsia="zh-CN"/>
              </w:rPr>
            </w:pPr>
            <w:r w:rsidRPr="0038535E">
              <w:rPr>
                <w:b/>
                <w:sz w:val="18"/>
                <w:szCs w:val="18"/>
                <w:lang w:val="en-GB" w:eastAsia="zh-CN"/>
              </w:rPr>
              <w:t xml:space="preserve">Henan </w:t>
            </w:r>
            <w:proofErr w:type="spellStart"/>
            <w:r w:rsidRPr="0038535E">
              <w:rPr>
                <w:b/>
                <w:sz w:val="18"/>
                <w:szCs w:val="18"/>
                <w:lang w:val="en-GB" w:eastAsia="zh-CN"/>
              </w:rPr>
              <w:t>Shuanghui</w:t>
            </w:r>
            <w:proofErr w:type="spellEnd"/>
            <w:r w:rsidRPr="0038535E">
              <w:rPr>
                <w:b/>
                <w:sz w:val="18"/>
                <w:szCs w:val="18"/>
                <w:lang w:val="en-GB" w:eastAsia="zh-CN"/>
              </w:rPr>
              <w:t xml:space="preserve"> Investment &amp; Development Co</w:t>
            </w:r>
          </w:p>
        </w:tc>
        <w:tc>
          <w:tcPr>
            <w:tcW w:w="1080" w:type="dxa"/>
            <w:tcBorders>
              <w:top w:val="nil"/>
              <w:left w:val="nil"/>
              <w:bottom w:val="single" w:sz="4" w:space="0" w:color="auto"/>
              <w:right w:val="single" w:sz="4" w:space="0" w:color="auto"/>
            </w:tcBorders>
            <w:shd w:val="clear" w:color="auto" w:fill="auto"/>
            <w:noWrap/>
            <w:vAlign w:val="center"/>
            <w:hideMark/>
          </w:tcPr>
          <w:p w14:paraId="5499BA06" w14:textId="77777777" w:rsidR="00D52B78" w:rsidRPr="00C46AA4" w:rsidRDefault="00D52B78" w:rsidP="00E30A86">
            <w:pPr>
              <w:pStyle w:val="ExhibitText"/>
              <w:jc w:val="right"/>
              <w:rPr>
                <w:spacing w:val="-6"/>
                <w:kern w:val="18"/>
                <w:sz w:val="18"/>
                <w:szCs w:val="18"/>
                <w:lang w:val="en-GB" w:eastAsia="zh-CN"/>
              </w:rPr>
            </w:pPr>
            <w:r w:rsidRPr="00C46AA4">
              <w:rPr>
                <w:spacing w:val="-6"/>
                <w:kern w:val="18"/>
                <w:sz w:val="18"/>
                <w:szCs w:val="18"/>
                <w:lang w:val="en-GB" w:eastAsia="zh-CN"/>
              </w:rPr>
              <w:t>000895 CH</w:t>
            </w:r>
          </w:p>
        </w:tc>
        <w:tc>
          <w:tcPr>
            <w:tcW w:w="810" w:type="dxa"/>
            <w:tcBorders>
              <w:top w:val="nil"/>
              <w:left w:val="nil"/>
              <w:bottom w:val="single" w:sz="4" w:space="0" w:color="auto"/>
              <w:right w:val="single" w:sz="4" w:space="0" w:color="auto"/>
            </w:tcBorders>
            <w:shd w:val="clear" w:color="auto" w:fill="auto"/>
            <w:vAlign w:val="center"/>
            <w:hideMark/>
          </w:tcPr>
          <w:p w14:paraId="28825C5C"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47.10</w:t>
            </w:r>
          </w:p>
        </w:tc>
        <w:tc>
          <w:tcPr>
            <w:tcW w:w="900" w:type="dxa"/>
            <w:tcBorders>
              <w:top w:val="nil"/>
              <w:left w:val="nil"/>
              <w:bottom w:val="single" w:sz="4" w:space="0" w:color="auto"/>
              <w:right w:val="single" w:sz="4" w:space="0" w:color="auto"/>
            </w:tcBorders>
            <w:shd w:val="clear" w:color="auto" w:fill="auto"/>
            <w:noWrap/>
            <w:vAlign w:val="center"/>
            <w:hideMark/>
          </w:tcPr>
          <w:p w14:paraId="2C1E09A5"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103.65B</w:t>
            </w:r>
          </w:p>
        </w:tc>
        <w:tc>
          <w:tcPr>
            <w:tcW w:w="810" w:type="dxa"/>
            <w:tcBorders>
              <w:top w:val="nil"/>
              <w:left w:val="nil"/>
              <w:bottom w:val="single" w:sz="4" w:space="0" w:color="auto"/>
              <w:right w:val="single" w:sz="4" w:space="0" w:color="auto"/>
            </w:tcBorders>
            <w:shd w:val="clear" w:color="auto" w:fill="auto"/>
            <w:noWrap/>
            <w:vAlign w:val="center"/>
            <w:hideMark/>
          </w:tcPr>
          <w:p w14:paraId="1764B8B7"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25.20B</w:t>
            </w:r>
          </w:p>
        </w:tc>
        <w:tc>
          <w:tcPr>
            <w:tcW w:w="1104" w:type="dxa"/>
            <w:tcBorders>
              <w:top w:val="nil"/>
              <w:left w:val="nil"/>
              <w:bottom w:val="single" w:sz="4" w:space="0" w:color="auto"/>
              <w:right w:val="single" w:sz="4" w:space="0" w:color="auto"/>
            </w:tcBorders>
            <w:shd w:val="clear" w:color="auto" w:fill="auto"/>
            <w:noWrap/>
            <w:vAlign w:val="center"/>
            <w:hideMark/>
          </w:tcPr>
          <w:p w14:paraId="0E0EF9A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56.51B</w:t>
            </w:r>
          </w:p>
        </w:tc>
        <w:tc>
          <w:tcPr>
            <w:tcW w:w="993" w:type="dxa"/>
            <w:tcBorders>
              <w:top w:val="nil"/>
              <w:left w:val="nil"/>
              <w:bottom w:val="single" w:sz="4" w:space="0" w:color="auto"/>
              <w:right w:val="single" w:sz="4" w:space="0" w:color="auto"/>
            </w:tcBorders>
            <w:shd w:val="clear" w:color="auto" w:fill="auto"/>
            <w:noWrap/>
            <w:vAlign w:val="center"/>
            <w:hideMark/>
          </w:tcPr>
          <w:p w14:paraId="6F8D60B3"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4.87B</w:t>
            </w:r>
          </w:p>
        </w:tc>
        <w:tc>
          <w:tcPr>
            <w:tcW w:w="708" w:type="dxa"/>
            <w:tcBorders>
              <w:top w:val="nil"/>
              <w:left w:val="nil"/>
              <w:bottom w:val="single" w:sz="4" w:space="0" w:color="auto"/>
              <w:right w:val="single" w:sz="4" w:space="0" w:color="auto"/>
            </w:tcBorders>
            <w:shd w:val="clear" w:color="auto" w:fill="auto"/>
            <w:noWrap/>
            <w:vAlign w:val="center"/>
            <w:hideMark/>
          </w:tcPr>
          <w:p w14:paraId="1DC3A0BA"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2.21</w:t>
            </w:r>
          </w:p>
        </w:tc>
        <w:tc>
          <w:tcPr>
            <w:tcW w:w="851" w:type="dxa"/>
            <w:tcBorders>
              <w:top w:val="nil"/>
              <w:left w:val="nil"/>
              <w:bottom w:val="single" w:sz="4" w:space="0" w:color="auto"/>
              <w:right w:val="single" w:sz="4" w:space="0" w:color="auto"/>
            </w:tcBorders>
            <w:shd w:val="clear" w:color="auto" w:fill="auto"/>
            <w:noWrap/>
            <w:vAlign w:val="center"/>
            <w:hideMark/>
          </w:tcPr>
          <w:p w14:paraId="74F9B00C"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18.93</w:t>
            </w:r>
          </w:p>
        </w:tc>
        <w:tc>
          <w:tcPr>
            <w:tcW w:w="850" w:type="dxa"/>
            <w:tcBorders>
              <w:top w:val="nil"/>
              <w:left w:val="nil"/>
              <w:bottom w:val="single" w:sz="4" w:space="0" w:color="auto"/>
              <w:right w:val="single" w:sz="8" w:space="0" w:color="auto"/>
            </w:tcBorders>
            <w:shd w:val="clear" w:color="auto" w:fill="auto"/>
            <w:noWrap/>
            <w:vAlign w:val="center"/>
            <w:hideMark/>
          </w:tcPr>
          <w:p w14:paraId="29E3AA35"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33.63%</w:t>
            </w:r>
          </w:p>
        </w:tc>
      </w:tr>
      <w:tr w:rsidR="00421465" w:rsidRPr="0038535E" w14:paraId="01A9A07E"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51EC5277" w14:textId="77777777" w:rsidR="00D52B78" w:rsidRPr="0038535E" w:rsidRDefault="00E30A86" w:rsidP="00421465">
            <w:pPr>
              <w:pStyle w:val="ExhibitText"/>
              <w:jc w:val="left"/>
              <w:rPr>
                <w:b/>
                <w:sz w:val="18"/>
                <w:szCs w:val="18"/>
                <w:lang w:val="en-GB" w:eastAsia="zh-CN"/>
              </w:rPr>
            </w:pPr>
            <w:proofErr w:type="spellStart"/>
            <w:r w:rsidRPr="0038535E">
              <w:rPr>
                <w:b/>
                <w:sz w:val="18"/>
                <w:szCs w:val="18"/>
                <w:lang w:val="en-GB" w:eastAsia="zh-CN"/>
              </w:rPr>
              <w:t>Uni</w:t>
            </w:r>
            <w:proofErr w:type="spellEnd"/>
            <w:r w:rsidRPr="0038535E">
              <w:rPr>
                <w:b/>
                <w:sz w:val="18"/>
                <w:szCs w:val="18"/>
                <w:lang w:val="en-GB" w:eastAsia="zh-CN"/>
              </w:rPr>
              <w:t>-President Enterprise</w:t>
            </w:r>
          </w:p>
        </w:tc>
        <w:tc>
          <w:tcPr>
            <w:tcW w:w="1080" w:type="dxa"/>
            <w:tcBorders>
              <w:top w:val="nil"/>
              <w:left w:val="nil"/>
              <w:bottom w:val="single" w:sz="4" w:space="0" w:color="auto"/>
              <w:right w:val="single" w:sz="4" w:space="0" w:color="auto"/>
            </w:tcBorders>
            <w:shd w:val="clear" w:color="auto" w:fill="auto"/>
            <w:noWrap/>
            <w:vAlign w:val="center"/>
            <w:hideMark/>
          </w:tcPr>
          <w:p w14:paraId="72247C83"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1216 TT</w:t>
            </w:r>
          </w:p>
        </w:tc>
        <w:tc>
          <w:tcPr>
            <w:tcW w:w="810" w:type="dxa"/>
            <w:tcBorders>
              <w:top w:val="nil"/>
              <w:left w:val="nil"/>
              <w:bottom w:val="single" w:sz="4" w:space="0" w:color="auto"/>
              <w:right w:val="single" w:sz="4" w:space="0" w:color="auto"/>
            </w:tcBorders>
            <w:shd w:val="clear" w:color="auto" w:fill="auto"/>
            <w:vAlign w:val="center"/>
            <w:hideMark/>
          </w:tcPr>
          <w:p w14:paraId="7CC9B342"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13.95</w:t>
            </w:r>
          </w:p>
        </w:tc>
        <w:tc>
          <w:tcPr>
            <w:tcW w:w="900" w:type="dxa"/>
            <w:tcBorders>
              <w:top w:val="nil"/>
              <w:left w:val="nil"/>
              <w:bottom w:val="single" w:sz="4" w:space="0" w:color="auto"/>
              <w:right w:val="single" w:sz="4" w:space="0" w:color="auto"/>
            </w:tcBorders>
            <w:shd w:val="clear" w:color="auto" w:fill="auto"/>
            <w:noWrap/>
            <w:vAlign w:val="center"/>
            <w:hideMark/>
          </w:tcPr>
          <w:p w14:paraId="60EEECFA"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76.22B</w:t>
            </w:r>
          </w:p>
        </w:tc>
        <w:tc>
          <w:tcPr>
            <w:tcW w:w="810" w:type="dxa"/>
            <w:tcBorders>
              <w:top w:val="nil"/>
              <w:left w:val="nil"/>
              <w:bottom w:val="single" w:sz="4" w:space="0" w:color="auto"/>
              <w:right w:val="single" w:sz="4" w:space="0" w:color="auto"/>
            </w:tcBorders>
            <w:shd w:val="clear" w:color="auto" w:fill="auto"/>
            <w:noWrap/>
            <w:vAlign w:val="center"/>
            <w:hideMark/>
          </w:tcPr>
          <w:p w14:paraId="4906125B"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97.13B</w:t>
            </w:r>
          </w:p>
        </w:tc>
        <w:tc>
          <w:tcPr>
            <w:tcW w:w="1104" w:type="dxa"/>
            <w:tcBorders>
              <w:top w:val="nil"/>
              <w:left w:val="nil"/>
              <w:bottom w:val="single" w:sz="4" w:space="0" w:color="auto"/>
              <w:right w:val="single" w:sz="4" w:space="0" w:color="auto"/>
            </w:tcBorders>
            <w:shd w:val="clear" w:color="auto" w:fill="auto"/>
            <w:noWrap/>
            <w:vAlign w:val="center"/>
            <w:hideMark/>
          </w:tcPr>
          <w:p w14:paraId="08FAF73E"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110.51B</w:t>
            </w:r>
          </w:p>
        </w:tc>
        <w:tc>
          <w:tcPr>
            <w:tcW w:w="993" w:type="dxa"/>
            <w:tcBorders>
              <w:top w:val="nil"/>
              <w:left w:val="nil"/>
              <w:bottom w:val="single" w:sz="4" w:space="0" w:color="auto"/>
              <w:right w:val="single" w:sz="4" w:space="0" w:color="auto"/>
            </w:tcBorders>
            <w:shd w:val="clear" w:color="auto" w:fill="auto"/>
            <w:noWrap/>
            <w:vAlign w:val="center"/>
            <w:hideMark/>
          </w:tcPr>
          <w:p w14:paraId="1EEBB242"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3.33B</w:t>
            </w:r>
          </w:p>
        </w:tc>
        <w:tc>
          <w:tcPr>
            <w:tcW w:w="708" w:type="dxa"/>
            <w:tcBorders>
              <w:top w:val="nil"/>
              <w:left w:val="nil"/>
              <w:bottom w:val="single" w:sz="4" w:space="0" w:color="auto"/>
              <w:right w:val="single" w:sz="4" w:space="0" w:color="auto"/>
            </w:tcBorders>
            <w:shd w:val="clear" w:color="auto" w:fill="auto"/>
            <w:noWrap/>
            <w:vAlign w:val="center"/>
            <w:hideMark/>
          </w:tcPr>
          <w:p w14:paraId="5322524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0.61</w:t>
            </w:r>
          </w:p>
        </w:tc>
        <w:tc>
          <w:tcPr>
            <w:tcW w:w="851" w:type="dxa"/>
            <w:tcBorders>
              <w:top w:val="nil"/>
              <w:left w:val="nil"/>
              <w:bottom w:val="single" w:sz="4" w:space="0" w:color="auto"/>
              <w:right w:val="single" w:sz="4" w:space="0" w:color="auto"/>
            </w:tcBorders>
            <w:shd w:val="clear" w:color="auto" w:fill="auto"/>
            <w:noWrap/>
            <w:vAlign w:val="center"/>
            <w:hideMark/>
          </w:tcPr>
          <w:p w14:paraId="66BC93B6"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21.81</w:t>
            </w:r>
          </w:p>
        </w:tc>
        <w:tc>
          <w:tcPr>
            <w:tcW w:w="850" w:type="dxa"/>
            <w:tcBorders>
              <w:top w:val="nil"/>
              <w:left w:val="nil"/>
              <w:bottom w:val="single" w:sz="4" w:space="0" w:color="auto"/>
              <w:right w:val="single" w:sz="8" w:space="0" w:color="auto"/>
            </w:tcBorders>
            <w:shd w:val="clear" w:color="auto" w:fill="auto"/>
            <w:noWrap/>
            <w:vAlign w:val="center"/>
            <w:hideMark/>
          </w:tcPr>
          <w:p w14:paraId="6B7BA659"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15.20%</w:t>
            </w:r>
          </w:p>
        </w:tc>
      </w:tr>
      <w:tr w:rsidR="00421465" w:rsidRPr="0038535E" w14:paraId="572B3F18"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637EB480" w14:textId="77777777" w:rsidR="00D52B78" w:rsidRPr="0038535E" w:rsidRDefault="00E30A86" w:rsidP="00421465">
            <w:pPr>
              <w:pStyle w:val="ExhibitText"/>
              <w:jc w:val="left"/>
              <w:rPr>
                <w:b/>
                <w:sz w:val="18"/>
                <w:szCs w:val="18"/>
                <w:lang w:val="en-GB" w:eastAsia="zh-CN"/>
              </w:rPr>
            </w:pPr>
            <w:r w:rsidRPr="0038535E">
              <w:rPr>
                <w:b/>
                <w:sz w:val="18"/>
                <w:szCs w:val="18"/>
                <w:lang w:val="en-GB" w:eastAsia="zh-CN"/>
              </w:rPr>
              <w:t>Charoen Pokphand Food</w:t>
            </w:r>
          </w:p>
        </w:tc>
        <w:tc>
          <w:tcPr>
            <w:tcW w:w="1080" w:type="dxa"/>
            <w:tcBorders>
              <w:top w:val="nil"/>
              <w:left w:val="nil"/>
              <w:bottom w:val="single" w:sz="4" w:space="0" w:color="auto"/>
              <w:right w:val="single" w:sz="4" w:space="0" w:color="auto"/>
            </w:tcBorders>
            <w:shd w:val="clear" w:color="auto" w:fill="auto"/>
            <w:noWrap/>
            <w:vAlign w:val="center"/>
            <w:hideMark/>
          </w:tcPr>
          <w:p w14:paraId="0EDF6B38"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CPF TB</w:t>
            </w:r>
          </w:p>
        </w:tc>
        <w:tc>
          <w:tcPr>
            <w:tcW w:w="810" w:type="dxa"/>
            <w:tcBorders>
              <w:top w:val="nil"/>
              <w:left w:val="nil"/>
              <w:bottom w:val="single" w:sz="4" w:space="0" w:color="auto"/>
              <w:right w:val="single" w:sz="4" w:space="0" w:color="auto"/>
            </w:tcBorders>
            <w:shd w:val="clear" w:color="auto" w:fill="auto"/>
            <w:vAlign w:val="center"/>
            <w:hideMark/>
          </w:tcPr>
          <w:p w14:paraId="2C2104A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6.51</w:t>
            </w:r>
          </w:p>
        </w:tc>
        <w:tc>
          <w:tcPr>
            <w:tcW w:w="900" w:type="dxa"/>
            <w:tcBorders>
              <w:top w:val="nil"/>
              <w:left w:val="nil"/>
              <w:bottom w:val="single" w:sz="4" w:space="0" w:color="auto"/>
              <w:right w:val="single" w:sz="4" w:space="0" w:color="auto"/>
            </w:tcBorders>
            <w:shd w:val="clear" w:color="auto" w:fill="auto"/>
            <w:noWrap/>
            <w:vAlign w:val="center"/>
            <w:hideMark/>
          </w:tcPr>
          <w:p w14:paraId="09BD700A"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50.37B</w:t>
            </w:r>
          </w:p>
        </w:tc>
        <w:tc>
          <w:tcPr>
            <w:tcW w:w="810" w:type="dxa"/>
            <w:tcBorders>
              <w:top w:val="nil"/>
              <w:left w:val="nil"/>
              <w:bottom w:val="single" w:sz="4" w:space="0" w:color="auto"/>
              <w:right w:val="single" w:sz="4" w:space="0" w:color="auto"/>
            </w:tcBorders>
            <w:shd w:val="clear" w:color="auto" w:fill="auto"/>
            <w:noWrap/>
            <w:vAlign w:val="center"/>
            <w:hideMark/>
          </w:tcPr>
          <w:p w14:paraId="437FE788"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90.72B</w:t>
            </w:r>
          </w:p>
        </w:tc>
        <w:tc>
          <w:tcPr>
            <w:tcW w:w="1104" w:type="dxa"/>
            <w:tcBorders>
              <w:top w:val="nil"/>
              <w:left w:val="nil"/>
              <w:bottom w:val="single" w:sz="4" w:space="0" w:color="auto"/>
              <w:right w:val="single" w:sz="4" w:space="0" w:color="auto"/>
            </w:tcBorders>
            <w:shd w:val="clear" w:color="auto" w:fill="auto"/>
            <w:noWrap/>
            <w:vAlign w:val="center"/>
            <w:hideMark/>
          </w:tcPr>
          <w:p w14:paraId="1CE21337"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98.21B</w:t>
            </w:r>
          </w:p>
        </w:tc>
        <w:tc>
          <w:tcPr>
            <w:tcW w:w="993" w:type="dxa"/>
            <w:tcBorders>
              <w:top w:val="nil"/>
              <w:left w:val="nil"/>
              <w:bottom w:val="single" w:sz="4" w:space="0" w:color="auto"/>
              <w:right w:val="single" w:sz="4" w:space="0" w:color="auto"/>
            </w:tcBorders>
            <w:shd w:val="clear" w:color="auto" w:fill="auto"/>
            <w:noWrap/>
            <w:vAlign w:val="center"/>
            <w:hideMark/>
          </w:tcPr>
          <w:p w14:paraId="2807F169"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1.77B</w:t>
            </w:r>
          </w:p>
        </w:tc>
        <w:tc>
          <w:tcPr>
            <w:tcW w:w="708" w:type="dxa"/>
            <w:tcBorders>
              <w:top w:val="nil"/>
              <w:left w:val="nil"/>
              <w:bottom w:val="single" w:sz="4" w:space="0" w:color="auto"/>
              <w:right w:val="single" w:sz="4" w:space="0" w:color="auto"/>
            </w:tcBorders>
            <w:shd w:val="clear" w:color="auto" w:fill="auto"/>
            <w:noWrap/>
            <w:vAlign w:val="center"/>
            <w:hideMark/>
          </w:tcPr>
          <w:p w14:paraId="53C5071C"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0.24</w:t>
            </w:r>
          </w:p>
        </w:tc>
        <w:tc>
          <w:tcPr>
            <w:tcW w:w="851" w:type="dxa"/>
            <w:tcBorders>
              <w:top w:val="nil"/>
              <w:left w:val="nil"/>
              <w:bottom w:val="single" w:sz="4" w:space="0" w:color="auto"/>
              <w:right w:val="single" w:sz="4" w:space="0" w:color="auto"/>
            </w:tcBorders>
            <w:shd w:val="clear" w:color="auto" w:fill="auto"/>
            <w:noWrap/>
            <w:vAlign w:val="center"/>
            <w:hideMark/>
          </w:tcPr>
          <w:p w14:paraId="48AE9F54"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19.85</w:t>
            </w:r>
          </w:p>
        </w:tc>
        <w:tc>
          <w:tcPr>
            <w:tcW w:w="850" w:type="dxa"/>
            <w:tcBorders>
              <w:top w:val="nil"/>
              <w:left w:val="nil"/>
              <w:bottom w:val="single" w:sz="4" w:space="0" w:color="auto"/>
              <w:right w:val="single" w:sz="8" w:space="0" w:color="auto"/>
            </w:tcBorders>
            <w:shd w:val="clear" w:color="auto" w:fill="auto"/>
            <w:noWrap/>
            <w:vAlign w:val="center"/>
            <w:hideMark/>
          </w:tcPr>
          <w:p w14:paraId="6E233167"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7.58%</w:t>
            </w:r>
          </w:p>
        </w:tc>
      </w:tr>
      <w:tr w:rsidR="00421465" w:rsidRPr="0038535E" w14:paraId="138E2ECE"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31204D2B" w14:textId="77777777" w:rsidR="00D52B78" w:rsidRPr="0038535E" w:rsidRDefault="00E30A86" w:rsidP="00421465">
            <w:pPr>
              <w:pStyle w:val="ExhibitText"/>
              <w:jc w:val="left"/>
              <w:rPr>
                <w:b/>
                <w:sz w:val="18"/>
                <w:szCs w:val="18"/>
                <w:lang w:val="en-GB" w:eastAsia="zh-CN"/>
              </w:rPr>
            </w:pPr>
            <w:r w:rsidRPr="0038535E">
              <w:rPr>
                <w:b/>
                <w:sz w:val="18"/>
                <w:szCs w:val="18"/>
                <w:lang w:val="en-GB" w:eastAsia="zh-CN"/>
              </w:rPr>
              <w:t xml:space="preserve">Indofood </w:t>
            </w:r>
            <w:proofErr w:type="spellStart"/>
            <w:r w:rsidRPr="0038535E">
              <w:rPr>
                <w:b/>
                <w:sz w:val="18"/>
                <w:szCs w:val="18"/>
                <w:lang w:val="en-GB" w:eastAsia="zh-CN"/>
              </w:rPr>
              <w:t>Sukses</w:t>
            </w:r>
            <w:proofErr w:type="spellEnd"/>
            <w:r w:rsidRPr="0038535E">
              <w:rPr>
                <w:b/>
                <w:sz w:val="18"/>
                <w:szCs w:val="18"/>
                <w:lang w:val="en-GB" w:eastAsia="zh-CN"/>
              </w:rPr>
              <w:t xml:space="preserve"> </w:t>
            </w:r>
            <w:proofErr w:type="spellStart"/>
            <w:r w:rsidRPr="0038535E">
              <w:rPr>
                <w:b/>
                <w:sz w:val="18"/>
                <w:szCs w:val="18"/>
                <w:lang w:val="en-GB" w:eastAsia="zh-CN"/>
              </w:rPr>
              <w:t>Makm</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3F3D2F1B"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INDF IJ</w:t>
            </w:r>
          </w:p>
        </w:tc>
        <w:tc>
          <w:tcPr>
            <w:tcW w:w="810" w:type="dxa"/>
            <w:tcBorders>
              <w:top w:val="nil"/>
              <w:left w:val="nil"/>
              <w:bottom w:val="single" w:sz="4" w:space="0" w:color="auto"/>
              <w:right w:val="single" w:sz="4" w:space="0" w:color="auto"/>
            </w:tcBorders>
            <w:shd w:val="clear" w:color="auto" w:fill="auto"/>
            <w:vAlign w:val="center"/>
            <w:hideMark/>
          </w:tcPr>
          <w:p w14:paraId="2944F966"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4.74</w:t>
            </w:r>
          </w:p>
        </w:tc>
        <w:tc>
          <w:tcPr>
            <w:tcW w:w="900" w:type="dxa"/>
            <w:tcBorders>
              <w:top w:val="nil"/>
              <w:left w:val="nil"/>
              <w:bottom w:val="single" w:sz="4" w:space="0" w:color="auto"/>
              <w:right w:val="single" w:sz="4" w:space="0" w:color="auto"/>
            </w:tcBorders>
            <w:shd w:val="clear" w:color="auto" w:fill="auto"/>
            <w:noWrap/>
            <w:vAlign w:val="center"/>
            <w:hideMark/>
          </w:tcPr>
          <w:p w14:paraId="562088A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40.71B</w:t>
            </w:r>
          </w:p>
        </w:tc>
        <w:tc>
          <w:tcPr>
            <w:tcW w:w="810" w:type="dxa"/>
            <w:tcBorders>
              <w:top w:val="nil"/>
              <w:left w:val="nil"/>
              <w:bottom w:val="single" w:sz="4" w:space="0" w:color="auto"/>
              <w:right w:val="single" w:sz="4" w:space="0" w:color="auto"/>
            </w:tcBorders>
            <w:shd w:val="clear" w:color="auto" w:fill="auto"/>
            <w:noWrap/>
            <w:vAlign w:val="center"/>
            <w:hideMark/>
          </w:tcPr>
          <w:p w14:paraId="3928781E"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55.36B</w:t>
            </w:r>
          </w:p>
        </w:tc>
        <w:tc>
          <w:tcPr>
            <w:tcW w:w="1104" w:type="dxa"/>
            <w:tcBorders>
              <w:top w:val="nil"/>
              <w:left w:val="nil"/>
              <w:bottom w:val="single" w:sz="4" w:space="0" w:color="auto"/>
              <w:right w:val="single" w:sz="4" w:space="0" w:color="auto"/>
            </w:tcBorders>
            <w:shd w:val="clear" w:color="auto" w:fill="auto"/>
            <w:noWrap/>
            <w:vAlign w:val="center"/>
            <w:hideMark/>
          </w:tcPr>
          <w:p w14:paraId="6094E8DE"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43.03B</w:t>
            </w:r>
          </w:p>
        </w:tc>
        <w:tc>
          <w:tcPr>
            <w:tcW w:w="993" w:type="dxa"/>
            <w:tcBorders>
              <w:top w:val="nil"/>
              <w:left w:val="nil"/>
              <w:bottom w:val="single" w:sz="4" w:space="0" w:color="auto"/>
              <w:right w:val="single" w:sz="4" w:space="0" w:color="auto"/>
            </w:tcBorders>
            <w:shd w:val="clear" w:color="auto" w:fill="auto"/>
            <w:noWrap/>
            <w:vAlign w:val="center"/>
            <w:hideMark/>
          </w:tcPr>
          <w:p w14:paraId="4BB681E9"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1.91B</w:t>
            </w:r>
          </w:p>
        </w:tc>
        <w:tc>
          <w:tcPr>
            <w:tcW w:w="708" w:type="dxa"/>
            <w:tcBorders>
              <w:top w:val="nil"/>
              <w:left w:val="nil"/>
              <w:bottom w:val="single" w:sz="4" w:space="0" w:color="auto"/>
              <w:right w:val="single" w:sz="4" w:space="0" w:color="auto"/>
            </w:tcBorders>
            <w:shd w:val="clear" w:color="auto" w:fill="auto"/>
            <w:noWrap/>
            <w:vAlign w:val="center"/>
            <w:hideMark/>
          </w:tcPr>
          <w:p w14:paraId="33A2ABC0"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0.22</w:t>
            </w:r>
          </w:p>
        </w:tc>
        <w:tc>
          <w:tcPr>
            <w:tcW w:w="851" w:type="dxa"/>
            <w:tcBorders>
              <w:top w:val="nil"/>
              <w:left w:val="nil"/>
              <w:bottom w:val="single" w:sz="4" w:space="0" w:color="auto"/>
              <w:right w:val="single" w:sz="4" w:space="0" w:color="auto"/>
            </w:tcBorders>
            <w:shd w:val="clear" w:color="auto" w:fill="auto"/>
            <w:noWrap/>
            <w:vAlign w:val="center"/>
            <w:hideMark/>
          </w:tcPr>
          <w:p w14:paraId="02A3B201"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20.10</w:t>
            </w:r>
          </w:p>
        </w:tc>
        <w:tc>
          <w:tcPr>
            <w:tcW w:w="850" w:type="dxa"/>
            <w:tcBorders>
              <w:top w:val="nil"/>
              <w:left w:val="nil"/>
              <w:bottom w:val="single" w:sz="4" w:space="0" w:color="auto"/>
              <w:right w:val="single" w:sz="8" w:space="0" w:color="auto"/>
            </w:tcBorders>
            <w:shd w:val="clear" w:color="auto" w:fill="auto"/>
            <w:noWrap/>
            <w:vAlign w:val="center"/>
            <w:hideMark/>
          </w:tcPr>
          <w:p w14:paraId="5CF08E41"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13.63%</w:t>
            </w:r>
          </w:p>
        </w:tc>
      </w:tr>
      <w:tr w:rsidR="00421465" w:rsidRPr="0038535E" w14:paraId="249B590E"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50A6617D" w14:textId="77777777" w:rsidR="00D52B78" w:rsidRPr="0038535E" w:rsidRDefault="00E30A86" w:rsidP="00421465">
            <w:pPr>
              <w:pStyle w:val="ExhibitText"/>
              <w:jc w:val="left"/>
              <w:rPr>
                <w:b/>
                <w:sz w:val="18"/>
                <w:szCs w:val="18"/>
                <w:lang w:val="en-GB" w:eastAsia="zh-CN"/>
              </w:rPr>
            </w:pPr>
            <w:proofErr w:type="spellStart"/>
            <w:r w:rsidRPr="0038535E">
              <w:rPr>
                <w:b/>
                <w:sz w:val="18"/>
                <w:szCs w:val="18"/>
                <w:lang w:val="en-GB" w:eastAsia="zh-CN"/>
              </w:rPr>
              <w:t>Nh</w:t>
            </w:r>
            <w:proofErr w:type="spellEnd"/>
            <w:r w:rsidRPr="0038535E">
              <w:rPr>
                <w:b/>
                <w:sz w:val="18"/>
                <w:szCs w:val="18"/>
                <w:lang w:val="en-GB" w:eastAsia="zh-CN"/>
              </w:rPr>
              <w:t xml:space="preserve"> Foods Ltd</w:t>
            </w:r>
          </w:p>
        </w:tc>
        <w:tc>
          <w:tcPr>
            <w:tcW w:w="1080" w:type="dxa"/>
            <w:tcBorders>
              <w:top w:val="nil"/>
              <w:left w:val="nil"/>
              <w:bottom w:val="single" w:sz="4" w:space="0" w:color="auto"/>
              <w:right w:val="single" w:sz="4" w:space="0" w:color="auto"/>
            </w:tcBorders>
            <w:shd w:val="clear" w:color="auto" w:fill="auto"/>
            <w:noWrap/>
            <w:vAlign w:val="center"/>
            <w:hideMark/>
          </w:tcPr>
          <w:p w14:paraId="19F6CB49"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2282 JP</w:t>
            </w:r>
          </w:p>
        </w:tc>
        <w:tc>
          <w:tcPr>
            <w:tcW w:w="810" w:type="dxa"/>
            <w:tcBorders>
              <w:top w:val="nil"/>
              <w:left w:val="nil"/>
              <w:bottom w:val="single" w:sz="4" w:space="0" w:color="auto"/>
              <w:right w:val="single" w:sz="4" w:space="0" w:color="auto"/>
            </w:tcBorders>
            <w:shd w:val="clear" w:color="auto" w:fill="auto"/>
            <w:vAlign w:val="center"/>
            <w:hideMark/>
          </w:tcPr>
          <w:p w14:paraId="2BE15EF3"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171.04</w:t>
            </w:r>
          </w:p>
        </w:tc>
        <w:tc>
          <w:tcPr>
            <w:tcW w:w="900" w:type="dxa"/>
            <w:tcBorders>
              <w:top w:val="nil"/>
              <w:left w:val="nil"/>
              <w:bottom w:val="single" w:sz="4" w:space="0" w:color="auto"/>
              <w:right w:val="single" w:sz="4" w:space="0" w:color="auto"/>
            </w:tcBorders>
            <w:shd w:val="clear" w:color="auto" w:fill="auto"/>
            <w:noWrap/>
            <w:vAlign w:val="center"/>
            <w:hideMark/>
          </w:tcPr>
          <w:p w14:paraId="0004694C"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34.89B</w:t>
            </w:r>
          </w:p>
        </w:tc>
        <w:tc>
          <w:tcPr>
            <w:tcW w:w="810" w:type="dxa"/>
            <w:tcBorders>
              <w:top w:val="nil"/>
              <w:left w:val="nil"/>
              <w:bottom w:val="single" w:sz="4" w:space="0" w:color="auto"/>
              <w:right w:val="single" w:sz="4" w:space="0" w:color="auto"/>
            </w:tcBorders>
            <w:shd w:val="clear" w:color="auto" w:fill="auto"/>
            <w:noWrap/>
            <w:vAlign w:val="center"/>
            <w:hideMark/>
          </w:tcPr>
          <w:p w14:paraId="444833FE"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50.04B</w:t>
            </w:r>
          </w:p>
        </w:tc>
        <w:tc>
          <w:tcPr>
            <w:tcW w:w="1104" w:type="dxa"/>
            <w:tcBorders>
              <w:top w:val="nil"/>
              <w:left w:val="nil"/>
              <w:bottom w:val="single" w:sz="4" w:space="0" w:color="auto"/>
              <w:right w:val="single" w:sz="4" w:space="0" w:color="auto"/>
            </w:tcBorders>
            <w:shd w:val="clear" w:color="auto" w:fill="auto"/>
            <w:noWrap/>
            <w:vAlign w:val="center"/>
            <w:hideMark/>
          </w:tcPr>
          <w:p w14:paraId="20FF77A3"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87.57B</w:t>
            </w:r>
          </w:p>
        </w:tc>
        <w:tc>
          <w:tcPr>
            <w:tcW w:w="993" w:type="dxa"/>
            <w:tcBorders>
              <w:top w:val="nil"/>
              <w:left w:val="nil"/>
              <w:bottom w:val="single" w:sz="4" w:space="0" w:color="auto"/>
              <w:right w:val="single" w:sz="4" w:space="0" w:color="auto"/>
            </w:tcBorders>
            <w:shd w:val="clear" w:color="auto" w:fill="auto"/>
            <w:noWrap/>
            <w:vAlign w:val="center"/>
            <w:hideMark/>
          </w:tcPr>
          <w:p w14:paraId="039D59D2"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2.14B</w:t>
            </w:r>
          </w:p>
        </w:tc>
        <w:tc>
          <w:tcPr>
            <w:tcW w:w="708" w:type="dxa"/>
            <w:tcBorders>
              <w:top w:val="nil"/>
              <w:left w:val="nil"/>
              <w:bottom w:val="single" w:sz="4" w:space="0" w:color="auto"/>
              <w:right w:val="single" w:sz="4" w:space="0" w:color="auto"/>
            </w:tcBorders>
            <w:shd w:val="clear" w:color="auto" w:fill="auto"/>
            <w:noWrap/>
            <w:vAlign w:val="center"/>
            <w:hideMark/>
          </w:tcPr>
          <w:p w14:paraId="468B8A35"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10.64</w:t>
            </w:r>
          </w:p>
        </w:tc>
        <w:tc>
          <w:tcPr>
            <w:tcW w:w="851" w:type="dxa"/>
            <w:tcBorders>
              <w:top w:val="nil"/>
              <w:left w:val="nil"/>
              <w:bottom w:val="single" w:sz="4" w:space="0" w:color="auto"/>
              <w:right w:val="single" w:sz="4" w:space="0" w:color="auto"/>
            </w:tcBorders>
            <w:shd w:val="clear" w:color="auto" w:fill="auto"/>
            <w:noWrap/>
            <w:vAlign w:val="center"/>
            <w:hideMark/>
          </w:tcPr>
          <w:p w14:paraId="7241E094"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16.32</w:t>
            </w:r>
          </w:p>
        </w:tc>
        <w:tc>
          <w:tcPr>
            <w:tcW w:w="850" w:type="dxa"/>
            <w:tcBorders>
              <w:top w:val="nil"/>
              <w:left w:val="nil"/>
              <w:bottom w:val="single" w:sz="4" w:space="0" w:color="auto"/>
              <w:right w:val="single" w:sz="8" w:space="0" w:color="auto"/>
            </w:tcBorders>
            <w:shd w:val="clear" w:color="auto" w:fill="auto"/>
            <w:noWrap/>
            <w:vAlign w:val="center"/>
            <w:hideMark/>
          </w:tcPr>
          <w:p w14:paraId="645178FC"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9.08%</w:t>
            </w:r>
          </w:p>
        </w:tc>
      </w:tr>
      <w:tr w:rsidR="00421465" w:rsidRPr="0038535E" w14:paraId="3BC67967" w14:textId="77777777" w:rsidTr="00C46AA4">
        <w:trPr>
          <w:trHeight w:val="300"/>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76B42B13" w14:textId="77777777" w:rsidR="00D52B78" w:rsidRPr="0038535E" w:rsidRDefault="00E30A86" w:rsidP="00421465">
            <w:pPr>
              <w:pStyle w:val="ExhibitText"/>
              <w:jc w:val="left"/>
              <w:rPr>
                <w:b/>
                <w:sz w:val="18"/>
                <w:szCs w:val="18"/>
                <w:lang w:val="en-GB" w:eastAsia="zh-CN"/>
              </w:rPr>
            </w:pPr>
            <w:r w:rsidRPr="0038535E">
              <w:rPr>
                <w:b/>
                <w:sz w:val="18"/>
                <w:szCs w:val="18"/>
                <w:lang w:val="en-GB" w:eastAsia="zh-CN"/>
              </w:rPr>
              <w:t xml:space="preserve">Itoham Foods </w:t>
            </w:r>
            <w:proofErr w:type="spellStart"/>
            <w:r w:rsidRPr="0038535E">
              <w:rPr>
                <w:b/>
                <w:sz w:val="18"/>
                <w:szCs w:val="18"/>
                <w:lang w:val="en-GB" w:eastAsia="zh-CN"/>
              </w:rPr>
              <w:t>Inc</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8E5728F"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2284 JP</w:t>
            </w:r>
          </w:p>
        </w:tc>
        <w:tc>
          <w:tcPr>
            <w:tcW w:w="810" w:type="dxa"/>
            <w:tcBorders>
              <w:top w:val="nil"/>
              <w:left w:val="nil"/>
              <w:bottom w:val="single" w:sz="4" w:space="0" w:color="auto"/>
              <w:right w:val="single" w:sz="4" w:space="0" w:color="auto"/>
            </w:tcBorders>
            <w:shd w:val="clear" w:color="auto" w:fill="auto"/>
            <w:vAlign w:val="center"/>
            <w:hideMark/>
          </w:tcPr>
          <w:p w14:paraId="1568BF21"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33.81</w:t>
            </w:r>
          </w:p>
        </w:tc>
        <w:tc>
          <w:tcPr>
            <w:tcW w:w="900" w:type="dxa"/>
            <w:tcBorders>
              <w:top w:val="nil"/>
              <w:left w:val="nil"/>
              <w:bottom w:val="single" w:sz="4" w:space="0" w:color="auto"/>
              <w:right w:val="single" w:sz="4" w:space="0" w:color="auto"/>
            </w:tcBorders>
            <w:shd w:val="clear" w:color="auto" w:fill="auto"/>
            <w:noWrap/>
            <w:vAlign w:val="center"/>
            <w:hideMark/>
          </w:tcPr>
          <w:p w14:paraId="6E790D1B"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8.37B</w:t>
            </w:r>
          </w:p>
        </w:tc>
        <w:tc>
          <w:tcPr>
            <w:tcW w:w="810" w:type="dxa"/>
            <w:tcBorders>
              <w:top w:val="nil"/>
              <w:left w:val="nil"/>
              <w:bottom w:val="single" w:sz="4" w:space="0" w:color="auto"/>
              <w:right w:val="single" w:sz="4" w:space="0" w:color="auto"/>
            </w:tcBorders>
            <w:shd w:val="clear" w:color="auto" w:fill="auto"/>
            <w:noWrap/>
            <w:vAlign w:val="center"/>
            <w:hideMark/>
          </w:tcPr>
          <w:p w14:paraId="34F8C6E3"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15.67B</w:t>
            </w:r>
          </w:p>
        </w:tc>
        <w:tc>
          <w:tcPr>
            <w:tcW w:w="1104" w:type="dxa"/>
            <w:tcBorders>
              <w:top w:val="nil"/>
              <w:left w:val="nil"/>
              <w:bottom w:val="single" w:sz="4" w:space="0" w:color="auto"/>
              <w:right w:val="single" w:sz="4" w:space="0" w:color="auto"/>
            </w:tcBorders>
            <w:shd w:val="clear" w:color="auto" w:fill="auto"/>
            <w:noWrap/>
            <w:vAlign w:val="center"/>
            <w:hideMark/>
          </w:tcPr>
          <w:p w14:paraId="46F2B287"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35.72B</w:t>
            </w:r>
          </w:p>
        </w:tc>
        <w:tc>
          <w:tcPr>
            <w:tcW w:w="993" w:type="dxa"/>
            <w:tcBorders>
              <w:top w:val="nil"/>
              <w:left w:val="nil"/>
              <w:bottom w:val="single" w:sz="4" w:space="0" w:color="auto"/>
              <w:right w:val="single" w:sz="4" w:space="0" w:color="auto"/>
            </w:tcBorders>
            <w:shd w:val="clear" w:color="auto" w:fill="auto"/>
            <w:noWrap/>
            <w:vAlign w:val="center"/>
            <w:hideMark/>
          </w:tcPr>
          <w:p w14:paraId="67B7CA7E"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358.15M</w:t>
            </w:r>
          </w:p>
        </w:tc>
        <w:tc>
          <w:tcPr>
            <w:tcW w:w="708" w:type="dxa"/>
            <w:tcBorders>
              <w:top w:val="nil"/>
              <w:left w:val="nil"/>
              <w:bottom w:val="single" w:sz="4" w:space="0" w:color="auto"/>
              <w:right w:val="single" w:sz="4" w:space="0" w:color="auto"/>
            </w:tcBorders>
            <w:shd w:val="clear" w:color="auto" w:fill="auto"/>
            <w:noWrap/>
            <w:vAlign w:val="center"/>
            <w:hideMark/>
          </w:tcPr>
          <w:p w14:paraId="10E041BB"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1.67</w:t>
            </w:r>
          </w:p>
        </w:tc>
        <w:tc>
          <w:tcPr>
            <w:tcW w:w="851" w:type="dxa"/>
            <w:tcBorders>
              <w:top w:val="nil"/>
              <w:left w:val="nil"/>
              <w:bottom w:val="single" w:sz="4" w:space="0" w:color="auto"/>
              <w:right w:val="single" w:sz="4" w:space="0" w:color="auto"/>
            </w:tcBorders>
            <w:shd w:val="clear" w:color="auto" w:fill="auto"/>
            <w:noWrap/>
            <w:vAlign w:val="center"/>
            <w:hideMark/>
          </w:tcPr>
          <w:p w14:paraId="06466360"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20.83</w:t>
            </w:r>
          </w:p>
        </w:tc>
        <w:tc>
          <w:tcPr>
            <w:tcW w:w="850" w:type="dxa"/>
            <w:tcBorders>
              <w:top w:val="nil"/>
              <w:left w:val="nil"/>
              <w:bottom w:val="single" w:sz="4" w:space="0" w:color="auto"/>
              <w:right w:val="single" w:sz="8" w:space="0" w:color="auto"/>
            </w:tcBorders>
            <w:shd w:val="clear" w:color="auto" w:fill="auto"/>
            <w:noWrap/>
            <w:vAlign w:val="center"/>
            <w:hideMark/>
          </w:tcPr>
          <w:p w14:paraId="555F1571"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3.99%</w:t>
            </w:r>
          </w:p>
        </w:tc>
      </w:tr>
      <w:tr w:rsidR="00421465" w:rsidRPr="0038535E" w14:paraId="09629E2F" w14:textId="77777777" w:rsidTr="00C46AA4">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82C26BB" w14:textId="77777777" w:rsidR="00D52B78" w:rsidRPr="0038535E" w:rsidRDefault="00E30A86" w:rsidP="00421465">
            <w:pPr>
              <w:pStyle w:val="ExhibitText"/>
              <w:jc w:val="left"/>
              <w:rPr>
                <w:b/>
                <w:sz w:val="18"/>
                <w:szCs w:val="18"/>
                <w:lang w:val="en-GB" w:eastAsia="zh-CN"/>
              </w:rPr>
            </w:pPr>
            <w:proofErr w:type="spellStart"/>
            <w:r w:rsidRPr="0038535E">
              <w:rPr>
                <w:b/>
                <w:sz w:val="18"/>
                <w:szCs w:val="18"/>
                <w:lang w:val="en-GB" w:eastAsia="zh-CN"/>
              </w:rPr>
              <w:t>Campofrio</w:t>
            </w:r>
            <w:proofErr w:type="spellEnd"/>
            <w:r w:rsidRPr="0038535E">
              <w:rPr>
                <w:b/>
                <w:sz w:val="18"/>
                <w:szCs w:val="18"/>
                <w:lang w:val="en-GB" w:eastAsia="zh-CN"/>
              </w:rPr>
              <w:t xml:space="preserve"> Food Group</w:t>
            </w:r>
          </w:p>
        </w:tc>
        <w:tc>
          <w:tcPr>
            <w:tcW w:w="1080" w:type="dxa"/>
            <w:tcBorders>
              <w:top w:val="nil"/>
              <w:left w:val="nil"/>
              <w:bottom w:val="single" w:sz="8" w:space="0" w:color="auto"/>
              <w:right w:val="single" w:sz="4" w:space="0" w:color="auto"/>
            </w:tcBorders>
            <w:shd w:val="clear" w:color="auto" w:fill="auto"/>
            <w:noWrap/>
            <w:vAlign w:val="center"/>
            <w:hideMark/>
          </w:tcPr>
          <w:p w14:paraId="60D6A441"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CFG SM</w:t>
            </w:r>
          </w:p>
        </w:tc>
        <w:tc>
          <w:tcPr>
            <w:tcW w:w="810" w:type="dxa"/>
            <w:tcBorders>
              <w:top w:val="nil"/>
              <w:left w:val="nil"/>
              <w:bottom w:val="single" w:sz="8" w:space="0" w:color="auto"/>
              <w:right w:val="single" w:sz="4" w:space="0" w:color="auto"/>
            </w:tcBorders>
            <w:shd w:val="clear" w:color="auto" w:fill="auto"/>
            <w:vAlign w:val="center"/>
            <w:hideMark/>
          </w:tcPr>
          <w:p w14:paraId="25684707"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71.82</w:t>
            </w:r>
          </w:p>
        </w:tc>
        <w:tc>
          <w:tcPr>
            <w:tcW w:w="900" w:type="dxa"/>
            <w:tcBorders>
              <w:top w:val="nil"/>
              <w:left w:val="nil"/>
              <w:bottom w:val="single" w:sz="8" w:space="0" w:color="auto"/>
              <w:right w:val="single" w:sz="4" w:space="0" w:color="auto"/>
            </w:tcBorders>
            <w:shd w:val="clear" w:color="auto" w:fill="auto"/>
            <w:noWrap/>
            <w:vAlign w:val="center"/>
            <w:hideMark/>
          </w:tcPr>
          <w:p w14:paraId="2C79A339"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7.34B</w:t>
            </w:r>
          </w:p>
        </w:tc>
        <w:tc>
          <w:tcPr>
            <w:tcW w:w="810" w:type="dxa"/>
            <w:tcBorders>
              <w:top w:val="nil"/>
              <w:left w:val="nil"/>
              <w:bottom w:val="single" w:sz="8" w:space="0" w:color="auto"/>
              <w:right w:val="single" w:sz="4" w:space="0" w:color="auto"/>
            </w:tcBorders>
            <w:shd w:val="clear" w:color="auto" w:fill="auto"/>
            <w:noWrap/>
            <w:vAlign w:val="center"/>
            <w:hideMark/>
          </w:tcPr>
          <w:p w14:paraId="517786B7"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w:t>
            </w:r>
          </w:p>
        </w:tc>
        <w:tc>
          <w:tcPr>
            <w:tcW w:w="1104" w:type="dxa"/>
            <w:tcBorders>
              <w:top w:val="nil"/>
              <w:left w:val="nil"/>
              <w:bottom w:val="single" w:sz="8" w:space="0" w:color="auto"/>
              <w:right w:val="single" w:sz="4" w:space="0" w:color="auto"/>
            </w:tcBorders>
            <w:shd w:val="clear" w:color="auto" w:fill="auto"/>
            <w:noWrap/>
            <w:vAlign w:val="center"/>
            <w:hideMark/>
          </w:tcPr>
          <w:p w14:paraId="7177FF7B"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w:t>
            </w:r>
          </w:p>
        </w:tc>
        <w:tc>
          <w:tcPr>
            <w:tcW w:w="993" w:type="dxa"/>
            <w:tcBorders>
              <w:top w:val="nil"/>
              <w:left w:val="nil"/>
              <w:bottom w:val="single" w:sz="8" w:space="0" w:color="auto"/>
              <w:right w:val="single" w:sz="4" w:space="0" w:color="auto"/>
            </w:tcBorders>
            <w:shd w:val="clear" w:color="auto" w:fill="auto"/>
            <w:noWrap/>
            <w:vAlign w:val="center"/>
            <w:hideMark/>
          </w:tcPr>
          <w:p w14:paraId="23910C32"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w:t>
            </w:r>
          </w:p>
        </w:tc>
        <w:tc>
          <w:tcPr>
            <w:tcW w:w="708" w:type="dxa"/>
            <w:tcBorders>
              <w:top w:val="nil"/>
              <w:left w:val="nil"/>
              <w:bottom w:val="single" w:sz="8" w:space="0" w:color="auto"/>
              <w:right w:val="single" w:sz="4" w:space="0" w:color="auto"/>
            </w:tcBorders>
            <w:shd w:val="clear" w:color="auto" w:fill="auto"/>
            <w:noWrap/>
            <w:vAlign w:val="center"/>
            <w:hideMark/>
          </w:tcPr>
          <w:p w14:paraId="0E8D8D0B"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w:t>
            </w:r>
          </w:p>
        </w:tc>
        <w:tc>
          <w:tcPr>
            <w:tcW w:w="851" w:type="dxa"/>
            <w:tcBorders>
              <w:top w:val="nil"/>
              <w:left w:val="nil"/>
              <w:bottom w:val="single" w:sz="8" w:space="0" w:color="auto"/>
              <w:right w:val="single" w:sz="4" w:space="0" w:color="auto"/>
            </w:tcBorders>
            <w:shd w:val="clear" w:color="auto" w:fill="auto"/>
            <w:noWrap/>
            <w:vAlign w:val="center"/>
            <w:hideMark/>
          </w:tcPr>
          <w:p w14:paraId="67689F48"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104.76</w:t>
            </w:r>
          </w:p>
        </w:tc>
        <w:tc>
          <w:tcPr>
            <w:tcW w:w="850" w:type="dxa"/>
            <w:tcBorders>
              <w:top w:val="nil"/>
              <w:left w:val="nil"/>
              <w:bottom w:val="single" w:sz="8" w:space="0" w:color="auto"/>
              <w:right w:val="single" w:sz="8" w:space="0" w:color="auto"/>
            </w:tcBorders>
            <w:shd w:val="clear" w:color="auto" w:fill="auto"/>
            <w:noWrap/>
            <w:vAlign w:val="center"/>
            <w:hideMark/>
          </w:tcPr>
          <w:p w14:paraId="33B38784" w14:textId="77777777" w:rsidR="00D52B78" w:rsidRPr="0038535E" w:rsidRDefault="00D52B78" w:rsidP="00E30A86">
            <w:pPr>
              <w:pStyle w:val="ExhibitText"/>
              <w:jc w:val="right"/>
              <w:rPr>
                <w:sz w:val="18"/>
                <w:szCs w:val="18"/>
                <w:lang w:val="en-GB" w:eastAsia="zh-CN"/>
              </w:rPr>
            </w:pPr>
            <w:r w:rsidRPr="0038535E">
              <w:rPr>
                <w:sz w:val="18"/>
                <w:szCs w:val="18"/>
                <w:lang w:val="en-GB" w:eastAsia="zh-CN"/>
              </w:rPr>
              <w:t>--</w:t>
            </w:r>
          </w:p>
        </w:tc>
      </w:tr>
    </w:tbl>
    <w:p w14:paraId="275B32A3" w14:textId="77777777" w:rsidR="00D52B78" w:rsidRPr="0038535E" w:rsidRDefault="00D52B78" w:rsidP="00E30A86">
      <w:pPr>
        <w:pStyle w:val="BodyTextMain"/>
        <w:rPr>
          <w:rFonts w:eastAsia="SimSun"/>
          <w:lang w:val="en-GB" w:eastAsia="zh-CN"/>
        </w:rPr>
      </w:pPr>
    </w:p>
    <w:p w14:paraId="70B26E94" w14:textId="00C9FB81" w:rsidR="00D52B78" w:rsidRPr="0038535E" w:rsidRDefault="00BA5B72" w:rsidP="00D42E2B">
      <w:pPr>
        <w:pStyle w:val="Footnote"/>
        <w:rPr>
          <w:rFonts w:eastAsia="SimSun"/>
          <w:lang w:val="en-GB" w:eastAsia="zh-CN"/>
        </w:rPr>
      </w:pPr>
      <w:r w:rsidRPr="00BA5B72">
        <w:rPr>
          <w:rFonts w:eastAsia="SimSun"/>
          <w:lang w:val="en-GB" w:eastAsia="zh-CN"/>
        </w:rPr>
        <w:t xml:space="preserve">Source: Created by the author based on Bloomberg L.P., “Accounting and Capital Market Data for WH Group’s </w:t>
      </w:r>
      <w:proofErr w:type="spellStart"/>
      <w:r w:rsidRPr="00BA5B72">
        <w:rPr>
          <w:rFonts w:eastAsia="SimSun"/>
          <w:lang w:val="en-GB" w:eastAsia="zh-CN"/>
        </w:rPr>
        <w:t>Comparables</w:t>
      </w:r>
      <w:proofErr w:type="spellEnd"/>
      <w:r w:rsidRPr="00BA5B72">
        <w:rPr>
          <w:rFonts w:eastAsia="SimSun"/>
          <w:lang w:val="en-GB" w:eastAsia="zh-CN"/>
        </w:rPr>
        <w:t xml:space="preserve"> as of </w:t>
      </w:r>
      <w:r>
        <w:rPr>
          <w:rFonts w:eastAsia="SimSun"/>
          <w:lang w:val="en-GB" w:eastAsia="zh-CN"/>
        </w:rPr>
        <w:t>August</w:t>
      </w:r>
      <w:r w:rsidRPr="00BA5B72">
        <w:rPr>
          <w:rFonts w:eastAsia="SimSun"/>
          <w:lang w:val="en-GB" w:eastAsia="zh-CN"/>
        </w:rPr>
        <w:t>, 1, 2014,” Bloomberg Database, accessed February 27, 2015</w:t>
      </w:r>
      <w:r w:rsidR="0020037C">
        <w:rPr>
          <w:rFonts w:eastAsia="SimSun"/>
          <w:lang w:val="en-GB" w:eastAsia="zh-CN"/>
        </w:rPr>
        <w:t>.</w:t>
      </w:r>
    </w:p>
    <w:p w14:paraId="08491C07" w14:textId="77777777" w:rsidR="00E30A86" w:rsidRPr="0038535E" w:rsidRDefault="00E30A86" w:rsidP="00E30A86">
      <w:pPr>
        <w:pStyle w:val="BodyTextMain"/>
        <w:rPr>
          <w:rFonts w:eastAsia="SimSun"/>
          <w:lang w:val="en-GB" w:eastAsia="zh-CN"/>
        </w:rPr>
      </w:pPr>
    </w:p>
    <w:p w14:paraId="77C5008C" w14:textId="77777777" w:rsidR="00E30A86" w:rsidRPr="0038535E" w:rsidRDefault="00E30A86" w:rsidP="00E30A86">
      <w:pPr>
        <w:pStyle w:val="BodyTextMain"/>
        <w:rPr>
          <w:rFonts w:eastAsia="SimSun"/>
          <w:lang w:val="en-GB" w:eastAsia="zh-CN"/>
        </w:rPr>
      </w:pPr>
    </w:p>
    <w:p w14:paraId="429D5E21" w14:textId="77777777" w:rsidR="00BF441F" w:rsidRDefault="00BF441F">
      <w:pPr>
        <w:spacing w:after="200" w:line="276" w:lineRule="auto"/>
        <w:rPr>
          <w:rFonts w:ascii="Arial" w:eastAsia="SimSun" w:hAnsi="Arial" w:cs="Arial"/>
          <w:b/>
          <w:caps/>
          <w:lang w:val="en-GB" w:eastAsia="zh-CN"/>
        </w:rPr>
      </w:pPr>
      <w:r>
        <w:rPr>
          <w:rFonts w:eastAsia="SimSun"/>
          <w:lang w:val="en-GB" w:eastAsia="zh-CN"/>
        </w:rPr>
        <w:br w:type="page"/>
      </w:r>
    </w:p>
    <w:p w14:paraId="5BB2EA0D" w14:textId="18F23FF2" w:rsidR="00D52B78" w:rsidRDefault="00D52B78" w:rsidP="00421465">
      <w:pPr>
        <w:pStyle w:val="ExhibitHeading"/>
        <w:rPr>
          <w:rFonts w:eastAsia="SimSun"/>
          <w:lang w:val="en-GB" w:eastAsia="zh-CN"/>
        </w:rPr>
      </w:pPr>
      <w:r w:rsidRPr="0038535E">
        <w:rPr>
          <w:rFonts w:eastAsia="SimSun"/>
          <w:lang w:val="en-GB" w:eastAsia="zh-CN"/>
        </w:rPr>
        <w:lastRenderedPageBreak/>
        <w:t>Exhibit 7: HOG PRICES IN CHINA AND THE U</w:t>
      </w:r>
      <w:r w:rsidR="00816558">
        <w:rPr>
          <w:rFonts w:eastAsia="SimSun"/>
          <w:lang w:val="en-GB" w:eastAsia="zh-CN"/>
        </w:rPr>
        <w:t>NITED STATES</w:t>
      </w:r>
    </w:p>
    <w:p w14:paraId="27122056" w14:textId="77777777" w:rsidR="001C198D" w:rsidRDefault="001C198D" w:rsidP="00421465">
      <w:pPr>
        <w:pStyle w:val="ExhibitHeading"/>
        <w:rPr>
          <w:rFonts w:eastAsia="SimSun"/>
          <w:lang w:val="en-GB" w:eastAsia="zh-CN"/>
        </w:rPr>
      </w:pPr>
    </w:p>
    <w:p w14:paraId="5AD67473" w14:textId="6C18F51E" w:rsidR="00124B02" w:rsidRDefault="00124B02" w:rsidP="00BF441F">
      <w:pPr>
        <w:pStyle w:val="ExhibitHeading"/>
        <w:rPr>
          <w:rFonts w:eastAsia="SimSun"/>
          <w:lang w:val="en-GB" w:eastAsia="zh-CN"/>
        </w:rPr>
      </w:pPr>
      <w:r>
        <w:rPr>
          <w:rFonts w:eastAsia="SimSun"/>
          <w:caps w:val="0"/>
          <w:lang w:val="en-GB" w:eastAsia="zh-CN"/>
        </w:rPr>
        <w:t>Monthly Average Live</w:t>
      </w:r>
      <w:r w:rsidR="00140AC3">
        <w:rPr>
          <w:rFonts w:eastAsia="SimSun"/>
          <w:caps w:val="0"/>
          <w:lang w:val="en-GB" w:eastAsia="zh-CN"/>
        </w:rPr>
        <w:t xml:space="preserve"> Hog Prices in China (CNY per </w:t>
      </w:r>
      <w:r w:rsidR="00B8219A">
        <w:rPr>
          <w:rFonts w:eastAsia="SimSun"/>
          <w:caps w:val="0"/>
          <w:lang w:val="en-GB" w:eastAsia="zh-CN"/>
        </w:rPr>
        <w:t>kg</w:t>
      </w:r>
      <w:r>
        <w:rPr>
          <w:rFonts w:eastAsia="SimSun"/>
          <w:caps w:val="0"/>
          <w:lang w:val="en-GB" w:eastAsia="zh-CN"/>
        </w:rPr>
        <w:t>)</w:t>
      </w:r>
    </w:p>
    <w:p w14:paraId="5E889B9F" w14:textId="77777777" w:rsidR="00124B02" w:rsidRDefault="00124B02" w:rsidP="00BF441F">
      <w:pPr>
        <w:pStyle w:val="ExhibitHeading"/>
        <w:rPr>
          <w:rFonts w:eastAsia="SimSun"/>
          <w:lang w:val="en-GB" w:eastAsia="zh-CN"/>
        </w:rPr>
      </w:pPr>
    </w:p>
    <w:p w14:paraId="1223D081" w14:textId="1A87EFE1" w:rsidR="00124B02" w:rsidRDefault="00124B02" w:rsidP="00BF441F">
      <w:pPr>
        <w:pStyle w:val="ExhibitHeading"/>
        <w:rPr>
          <w:rFonts w:eastAsia="SimSun"/>
          <w:lang w:val="en-GB" w:eastAsia="zh-CN"/>
        </w:rPr>
      </w:pPr>
      <w:r w:rsidRPr="00124B02">
        <w:rPr>
          <w:rFonts w:eastAsia="SimSun"/>
          <w:noProof/>
          <w:lang w:val="en-GB" w:eastAsia="en-GB"/>
        </w:rPr>
        <w:drawing>
          <wp:inline distT="0" distB="0" distL="0" distR="0" wp14:anchorId="17B6ED36" wp14:editId="01C9171A">
            <wp:extent cx="4674235" cy="1390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1390015"/>
                    </a:xfrm>
                    <a:prstGeom prst="rect">
                      <a:avLst/>
                    </a:prstGeom>
                    <a:noFill/>
                    <a:ln>
                      <a:noFill/>
                    </a:ln>
                  </pic:spPr>
                </pic:pic>
              </a:graphicData>
            </a:graphic>
          </wp:inline>
        </w:drawing>
      </w:r>
    </w:p>
    <w:p w14:paraId="7C427DD5" w14:textId="60D17F3E" w:rsidR="00BF441F" w:rsidRDefault="00BF441F" w:rsidP="00BF441F">
      <w:pPr>
        <w:pStyle w:val="BodyTextMain"/>
        <w:rPr>
          <w:rFonts w:eastAsia="SimSun"/>
          <w:lang w:val="en-GB" w:eastAsia="zh-CN"/>
        </w:rPr>
      </w:pPr>
    </w:p>
    <w:p w14:paraId="36E9173D" w14:textId="7CC42214" w:rsidR="00124B02" w:rsidRDefault="00124B02" w:rsidP="00124B02">
      <w:pPr>
        <w:pStyle w:val="ExhibitHeading"/>
        <w:rPr>
          <w:rFonts w:eastAsia="SimSun"/>
          <w:lang w:val="en-GB" w:eastAsia="zh-CN"/>
        </w:rPr>
      </w:pPr>
      <w:r>
        <w:rPr>
          <w:rFonts w:eastAsia="SimSun"/>
          <w:caps w:val="0"/>
          <w:lang w:val="en-GB" w:eastAsia="zh-CN"/>
        </w:rPr>
        <w:t>Monthly Average Live</w:t>
      </w:r>
      <w:r w:rsidR="001C198D">
        <w:rPr>
          <w:rFonts w:eastAsia="SimSun"/>
          <w:caps w:val="0"/>
          <w:lang w:val="en-GB" w:eastAsia="zh-CN"/>
        </w:rPr>
        <w:t xml:space="preserve"> Hog Prices in U.S. (USD per cwt</w:t>
      </w:r>
      <w:r w:rsidR="00B8219A">
        <w:rPr>
          <w:rFonts w:eastAsia="SimSun"/>
          <w:caps w:val="0"/>
          <w:lang w:val="en-GB" w:eastAsia="zh-CN"/>
        </w:rPr>
        <w:t>*</w:t>
      </w:r>
      <w:r>
        <w:rPr>
          <w:rFonts w:eastAsia="SimSun"/>
          <w:caps w:val="0"/>
          <w:lang w:val="en-GB" w:eastAsia="zh-CN"/>
        </w:rPr>
        <w:t>)</w:t>
      </w:r>
    </w:p>
    <w:p w14:paraId="600B488F" w14:textId="292A346F" w:rsidR="00124B02" w:rsidRDefault="00124B02" w:rsidP="00BF441F">
      <w:pPr>
        <w:pStyle w:val="BodyTextMain"/>
        <w:rPr>
          <w:rFonts w:eastAsia="SimSun"/>
          <w:lang w:val="en-GB" w:eastAsia="zh-CN"/>
        </w:rPr>
      </w:pPr>
    </w:p>
    <w:p w14:paraId="532A5FB6" w14:textId="1BBC3FA6" w:rsidR="00124B02" w:rsidRPr="0038535E" w:rsidRDefault="00124B02" w:rsidP="00124B02">
      <w:pPr>
        <w:pStyle w:val="BodyTextMain"/>
        <w:jc w:val="center"/>
        <w:rPr>
          <w:rFonts w:eastAsia="SimSun"/>
          <w:lang w:val="en-GB" w:eastAsia="zh-CN"/>
        </w:rPr>
      </w:pPr>
      <w:r w:rsidRPr="00124B02">
        <w:rPr>
          <w:rFonts w:eastAsia="SimSun"/>
          <w:noProof/>
          <w:lang w:val="en-GB" w:eastAsia="en-GB"/>
        </w:rPr>
        <w:drawing>
          <wp:inline distT="0" distB="0" distL="0" distR="0" wp14:anchorId="3EAE9084" wp14:editId="258934D3">
            <wp:extent cx="4601210" cy="136080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1210" cy="1360805"/>
                    </a:xfrm>
                    <a:prstGeom prst="rect">
                      <a:avLst/>
                    </a:prstGeom>
                    <a:noFill/>
                    <a:ln>
                      <a:noFill/>
                    </a:ln>
                  </pic:spPr>
                </pic:pic>
              </a:graphicData>
            </a:graphic>
          </wp:inline>
        </w:drawing>
      </w:r>
    </w:p>
    <w:p w14:paraId="1BEA8DB2" w14:textId="77777777" w:rsidR="00FD2EF1" w:rsidRDefault="00FD2EF1" w:rsidP="00C46AA4">
      <w:pPr>
        <w:pStyle w:val="Footnote"/>
        <w:rPr>
          <w:rFonts w:eastAsia="SimSun"/>
        </w:rPr>
      </w:pPr>
    </w:p>
    <w:p w14:paraId="3AA0D365" w14:textId="0CBF2491" w:rsidR="00B8219A" w:rsidRPr="00C46AA4" w:rsidRDefault="00C46AA4" w:rsidP="00C46AA4">
      <w:pPr>
        <w:pStyle w:val="Footnote"/>
        <w:rPr>
          <w:rFonts w:eastAsia="SimSun"/>
        </w:rPr>
      </w:pPr>
      <w:r w:rsidRPr="00C46AA4">
        <w:rPr>
          <w:rFonts w:eastAsia="SimSun"/>
        </w:rPr>
        <w:t xml:space="preserve">Note: </w:t>
      </w:r>
      <w:r w:rsidR="00B8219A" w:rsidRPr="00C46AA4">
        <w:rPr>
          <w:rFonts w:eastAsia="SimSun"/>
        </w:rPr>
        <w:t>*c</w:t>
      </w:r>
      <w:r w:rsidR="006B115D" w:rsidRPr="00C46AA4">
        <w:rPr>
          <w:rFonts w:eastAsia="SimSun"/>
        </w:rPr>
        <w:t>wt (hundredweight) is equal to 100 pounds</w:t>
      </w:r>
    </w:p>
    <w:p w14:paraId="1DE24D8A" w14:textId="723FAE9B" w:rsidR="00BF441F" w:rsidRPr="00C46AA4" w:rsidRDefault="00BF441F" w:rsidP="00C46AA4">
      <w:pPr>
        <w:pStyle w:val="Footnote"/>
        <w:rPr>
          <w:rFonts w:eastAsia="SimSun"/>
        </w:rPr>
      </w:pPr>
      <w:r w:rsidRPr="00C46AA4">
        <w:rPr>
          <w:rFonts w:eastAsia="SimSun"/>
        </w:rPr>
        <w:t>Source: WH Group IPO Prospectus, accessed May 4, 2015.</w:t>
      </w:r>
    </w:p>
    <w:p w14:paraId="51369741" w14:textId="5B4DAD7D" w:rsidR="00E30A86" w:rsidRPr="0038535E" w:rsidRDefault="00E30A86">
      <w:pPr>
        <w:spacing w:after="200" w:line="276" w:lineRule="auto"/>
        <w:rPr>
          <w:rFonts w:eastAsia="SimSun"/>
          <w:sz w:val="22"/>
          <w:szCs w:val="22"/>
          <w:lang w:val="en-GB" w:eastAsia="zh-CN"/>
        </w:rPr>
      </w:pPr>
    </w:p>
    <w:p w14:paraId="31740EEA" w14:textId="77777777" w:rsidR="00D52B78" w:rsidRPr="0038535E" w:rsidRDefault="00D52B78" w:rsidP="00E30A86">
      <w:pPr>
        <w:pStyle w:val="BodyTextMain"/>
        <w:rPr>
          <w:rFonts w:eastAsia="SimSun"/>
          <w:lang w:val="en-GB" w:eastAsia="zh-CN"/>
        </w:rPr>
      </w:pPr>
    </w:p>
    <w:p w14:paraId="4C6CEB31" w14:textId="77777777" w:rsidR="00421465" w:rsidRPr="0038535E" w:rsidRDefault="00421465" w:rsidP="00E30A86">
      <w:pPr>
        <w:pStyle w:val="BodyTextMain"/>
        <w:rPr>
          <w:rFonts w:eastAsia="SimSun"/>
          <w:lang w:val="en-GB" w:eastAsia="zh-CN"/>
        </w:rPr>
      </w:pPr>
    </w:p>
    <w:p w14:paraId="3BBAAA37" w14:textId="77777777" w:rsidR="00BF441F" w:rsidRDefault="00BF441F">
      <w:pPr>
        <w:spacing w:after="200" w:line="276" w:lineRule="auto"/>
        <w:rPr>
          <w:rFonts w:ascii="Arial" w:hAnsi="Arial" w:cs="Arial"/>
          <w:b/>
          <w:caps/>
          <w:lang w:val="en-GB"/>
        </w:rPr>
      </w:pPr>
      <w:r>
        <w:rPr>
          <w:lang w:val="en-GB"/>
        </w:rPr>
        <w:br w:type="page"/>
      </w:r>
    </w:p>
    <w:p w14:paraId="014BD334" w14:textId="77777777" w:rsidR="00140AC3" w:rsidRDefault="00140AC3" w:rsidP="00B01342">
      <w:pPr>
        <w:pStyle w:val="ExhibitHeading"/>
        <w:rPr>
          <w:rFonts w:eastAsia="SimSun"/>
          <w:lang w:val="en-GB" w:eastAsia="zh-CN"/>
        </w:rPr>
        <w:sectPr w:rsidR="00140AC3" w:rsidSect="00460392">
          <w:headerReference w:type="default" r:id="rId14"/>
          <w:endnotePr>
            <w:numFmt w:val="decimal"/>
          </w:endnotePr>
          <w:pgSz w:w="12240" w:h="15840"/>
          <w:pgMar w:top="1080" w:right="1440" w:bottom="1440" w:left="1440" w:header="1080" w:footer="720" w:gutter="0"/>
          <w:cols w:space="720"/>
          <w:titlePg/>
          <w:docGrid w:linePitch="360"/>
        </w:sectPr>
      </w:pPr>
      <w:bookmarkStart w:id="0" w:name="_GoBack"/>
      <w:bookmarkEnd w:id="0"/>
    </w:p>
    <w:p w14:paraId="4DE69D37" w14:textId="422CFDE8" w:rsidR="00D52B78" w:rsidRPr="001C198D" w:rsidRDefault="001C198D" w:rsidP="001C198D">
      <w:pPr>
        <w:pStyle w:val="ExhibitHeading"/>
        <w:rPr>
          <w:rFonts w:eastAsia="SimSun"/>
        </w:rPr>
      </w:pPr>
      <w:r>
        <w:rPr>
          <w:rFonts w:eastAsia="SimSun"/>
        </w:rPr>
        <w:lastRenderedPageBreak/>
        <w:t>EXHIBIT 8</w:t>
      </w:r>
      <w:r w:rsidR="00D52B78" w:rsidRPr="001C198D">
        <w:rPr>
          <w:rFonts w:eastAsia="SimSun"/>
        </w:rPr>
        <w:t xml:space="preserve">: HANG SENG INDEX IN THE PERIOD JANUARY 1, 2013 </w:t>
      </w:r>
      <w:r w:rsidR="00816558" w:rsidRPr="001C198D">
        <w:rPr>
          <w:rFonts w:eastAsia="SimSun"/>
        </w:rPr>
        <w:t>to</w:t>
      </w:r>
      <w:r w:rsidR="00D52B78" w:rsidRPr="001C198D">
        <w:rPr>
          <w:rFonts w:eastAsia="SimSun"/>
        </w:rPr>
        <w:t xml:space="preserve"> JUNE 30, 2014</w:t>
      </w:r>
    </w:p>
    <w:p w14:paraId="232A2B3D" w14:textId="0636A6AA" w:rsidR="00D52B78" w:rsidRDefault="00D52B78" w:rsidP="00E30A86">
      <w:pPr>
        <w:pStyle w:val="BodyTextMain"/>
        <w:rPr>
          <w:rFonts w:eastAsia="SimSun"/>
          <w:lang w:val="en-GB" w:eastAsia="zh-CN"/>
        </w:rPr>
      </w:pPr>
    </w:p>
    <w:p w14:paraId="35CDC2B4" w14:textId="096457D1" w:rsidR="00DC237A" w:rsidRDefault="00DC237A" w:rsidP="001C198D">
      <w:pPr>
        <w:pStyle w:val="Footnote"/>
        <w:jc w:val="center"/>
        <w:rPr>
          <w:rFonts w:eastAsia="SimSun"/>
          <w:lang w:val="en-GB" w:eastAsia="zh-CN"/>
        </w:rPr>
      </w:pPr>
      <w:r>
        <w:rPr>
          <w:rFonts w:eastAsia="SimSun"/>
          <w:noProof/>
          <w:lang w:val="en-GB" w:eastAsia="en-GB"/>
        </w:rPr>
        <w:drawing>
          <wp:inline distT="0" distB="0" distL="0" distR="0" wp14:anchorId="30AE03A1" wp14:editId="6755CA37">
            <wp:extent cx="8131451" cy="4148919"/>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8205779" cy="4186843"/>
                    </a:xfrm>
                    <a:prstGeom prst="rect">
                      <a:avLst/>
                    </a:prstGeom>
                    <a:noFill/>
                  </pic:spPr>
                </pic:pic>
              </a:graphicData>
            </a:graphic>
          </wp:inline>
        </w:drawing>
      </w:r>
    </w:p>
    <w:p w14:paraId="03C5403E" w14:textId="77777777" w:rsidR="00DC237A" w:rsidRDefault="00DC237A" w:rsidP="00B01342">
      <w:pPr>
        <w:pStyle w:val="Footnote"/>
        <w:rPr>
          <w:rFonts w:eastAsia="SimSun"/>
          <w:lang w:val="en-GB" w:eastAsia="zh-CN"/>
        </w:rPr>
      </w:pPr>
    </w:p>
    <w:p w14:paraId="02864C56" w14:textId="259756B6" w:rsidR="0087302D" w:rsidRDefault="0087302D" w:rsidP="00B01342">
      <w:pPr>
        <w:pStyle w:val="Footnote"/>
        <w:rPr>
          <w:rFonts w:eastAsia="SimSun"/>
          <w:lang w:val="en-GB" w:eastAsia="zh-CN"/>
        </w:rPr>
      </w:pPr>
    </w:p>
    <w:p w14:paraId="5ED19D3D" w14:textId="1D482DB5" w:rsidR="0087302D" w:rsidRPr="0038535E" w:rsidRDefault="0087302D" w:rsidP="00B01342">
      <w:pPr>
        <w:pStyle w:val="Footnote"/>
        <w:rPr>
          <w:rFonts w:eastAsia="SimSun"/>
          <w:lang w:val="en-GB" w:eastAsia="zh-CN"/>
        </w:rPr>
      </w:pPr>
      <w:r w:rsidRPr="0038535E">
        <w:rPr>
          <w:rFonts w:eastAsia="SimSun"/>
          <w:lang w:val="en-GB" w:eastAsia="zh-CN"/>
        </w:rPr>
        <w:t xml:space="preserve">Source: </w:t>
      </w:r>
      <w:r w:rsidRPr="0087302D">
        <w:rPr>
          <w:rFonts w:eastAsia="SimSun"/>
          <w:lang w:val="en-GB" w:eastAsia="zh-CN"/>
        </w:rPr>
        <w:t xml:space="preserve">Yahoo! Southeast Asia </w:t>
      </w:r>
      <w:proofErr w:type="spellStart"/>
      <w:r w:rsidRPr="0087302D">
        <w:rPr>
          <w:rFonts w:eastAsia="SimSun"/>
          <w:lang w:val="en-GB" w:eastAsia="zh-CN"/>
        </w:rPr>
        <w:t>Pte.</w:t>
      </w:r>
      <w:proofErr w:type="spellEnd"/>
      <w:r w:rsidRPr="0087302D">
        <w:rPr>
          <w:rFonts w:eastAsia="SimSun"/>
          <w:lang w:val="en-GB" w:eastAsia="zh-CN"/>
        </w:rPr>
        <w:t xml:space="preserve"> Ltd., “Standard Chartered PLC (SCBFF),” https://sg.finance.yahoo.com/q/hp?s=SCBFF, accessed </w:t>
      </w:r>
      <w:r w:rsidR="001233CE">
        <w:rPr>
          <w:rFonts w:eastAsia="SimSun"/>
          <w:lang w:val="en-GB" w:eastAsia="zh-CN"/>
        </w:rPr>
        <w:t>February 27</w:t>
      </w:r>
      <w:r w:rsidRPr="0087302D">
        <w:rPr>
          <w:rFonts w:eastAsia="SimSun"/>
          <w:lang w:val="en-GB" w:eastAsia="zh-CN"/>
        </w:rPr>
        <w:t>, 2015.</w:t>
      </w:r>
    </w:p>
    <w:p w14:paraId="15828870" w14:textId="77777777" w:rsidR="004E327F" w:rsidRDefault="004E327F">
      <w:pPr>
        <w:spacing w:after="200" w:line="276" w:lineRule="auto"/>
        <w:rPr>
          <w:i/>
          <w:sz w:val="22"/>
          <w:szCs w:val="22"/>
          <w:lang w:val="en-GB"/>
        </w:rPr>
      </w:pPr>
      <w:r w:rsidRPr="0038535E">
        <w:rPr>
          <w:i/>
          <w:sz w:val="22"/>
          <w:szCs w:val="22"/>
          <w:lang w:val="en-GB"/>
        </w:rPr>
        <w:br w:type="page"/>
      </w:r>
    </w:p>
    <w:p w14:paraId="0B43DE81" w14:textId="77777777" w:rsidR="001C198D" w:rsidRDefault="001C198D" w:rsidP="00140AC3">
      <w:pPr>
        <w:pStyle w:val="ExhibitHeading"/>
        <w:rPr>
          <w:lang w:val="en-GB"/>
        </w:rPr>
        <w:sectPr w:rsidR="001C198D" w:rsidSect="00140AC3">
          <w:headerReference w:type="default" r:id="rId16"/>
          <w:endnotePr>
            <w:numFmt w:val="decimal"/>
          </w:endnotePr>
          <w:pgSz w:w="15840" w:h="12240" w:orient="landscape"/>
          <w:pgMar w:top="1440" w:right="1440" w:bottom="1440" w:left="1440" w:header="1080" w:footer="720" w:gutter="0"/>
          <w:cols w:space="720"/>
          <w:docGrid w:linePitch="360"/>
        </w:sectPr>
      </w:pPr>
    </w:p>
    <w:p w14:paraId="35EFAFB8" w14:textId="783458E9" w:rsidR="00140AC3" w:rsidRPr="0038535E" w:rsidRDefault="00140AC3" w:rsidP="001C198D">
      <w:pPr>
        <w:pStyle w:val="ExhibitHeading"/>
        <w:jc w:val="both"/>
        <w:rPr>
          <w:lang w:val="en-GB"/>
        </w:rPr>
      </w:pPr>
      <w:r>
        <w:rPr>
          <w:lang w:val="en-GB"/>
        </w:rPr>
        <w:lastRenderedPageBreak/>
        <w:t>EXHIBIT 9</w:t>
      </w:r>
      <w:r w:rsidRPr="0038535E">
        <w:rPr>
          <w:lang w:val="en-GB"/>
        </w:rPr>
        <w:t>: IMPLIED EQUITY RISK PREMIUMS</w:t>
      </w:r>
    </w:p>
    <w:p w14:paraId="473503F4" w14:textId="77777777" w:rsidR="00140AC3" w:rsidRPr="0038535E" w:rsidRDefault="00140AC3" w:rsidP="00140AC3">
      <w:pPr>
        <w:pStyle w:val="BodyTextMain"/>
        <w:rPr>
          <w:lang w:val="en-GB"/>
        </w:rPr>
      </w:pPr>
    </w:p>
    <w:tbl>
      <w:tblPr>
        <w:tblStyle w:val="TableGrid"/>
        <w:tblW w:w="0" w:type="auto"/>
        <w:jc w:val="center"/>
        <w:tblLook w:val="04A0" w:firstRow="1" w:lastRow="0" w:firstColumn="1" w:lastColumn="0" w:noHBand="0" w:noVBand="1"/>
      </w:tblPr>
      <w:tblGrid>
        <w:gridCol w:w="1640"/>
        <w:gridCol w:w="2217"/>
        <w:gridCol w:w="1772"/>
      </w:tblGrid>
      <w:tr w:rsidR="00140AC3" w:rsidRPr="0038535E" w14:paraId="44A8699A" w14:textId="77777777" w:rsidTr="00140AC3">
        <w:trPr>
          <w:trHeight w:val="20"/>
          <w:jc w:val="center"/>
        </w:trPr>
        <w:tc>
          <w:tcPr>
            <w:tcW w:w="0" w:type="auto"/>
          </w:tcPr>
          <w:p w14:paraId="57E586E0" w14:textId="77777777" w:rsidR="00140AC3" w:rsidRPr="0038535E" w:rsidRDefault="00140AC3" w:rsidP="00140AC3">
            <w:pPr>
              <w:pStyle w:val="ExhibitText"/>
              <w:tabs>
                <w:tab w:val="left" w:pos="1052"/>
              </w:tabs>
              <w:rPr>
                <w:b/>
                <w:lang w:val="en-GB"/>
              </w:rPr>
            </w:pPr>
            <w:r w:rsidRPr="0038535E">
              <w:rPr>
                <w:b/>
                <w:lang w:val="en-GB"/>
              </w:rPr>
              <w:t>Region</w:t>
            </w:r>
            <w:r w:rsidRPr="0038535E">
              <w:rPr>
                <w:b/>
                <w:lang w:val="en-GB"/>
              </w:rPr>
              <w:tab/>
            </w:r>
          </w:p>
        </w:tc>
        <w:tc>
          <w:tcPr>
            <w:tcW w:w="0" w:type="auto"/>
          </w:tcPr>
          <w:p w14:paraId="1B74140C" w14:textId="77777777" w:rsidR="00140AC3" w:rsidRPr="0038535E" w:rsidRDefault="00140AC3" w:rsidP="00140AC3">
            <w:pPr>
              <w:pStyle w:val="ExhibitText"/>
              <w:rPr>
                <w:b/>
                <w:lang w:val="en-GB"/>
              </w:rPr>
            </w:pPr>
            <w:r w:rsidRPr="0038535E">
              <w:rPr>
                <w:b/>
                <w:lang w:val="en-GB"/>
              </w:rPr>
              <w:t>Equity Risk Premium</w:t>
            </w:r>
          </w:p>
        </w:tc>
        <w:tc>
          <w:tcPr>
            <w:tcW w:w="0" w:type="auto"/>
          </w:tcPr>
          <w:p w14:paraId="4F31CD93" w14:textId="77777777" w:rsidR="00140AC3" w:rsidRPr="0038535E" w:rsidRDefault="00140AC3" w:rsidP="00140AC3">
            <w:pPr>
              <w:pStyle w:val="ExhibitText"/>
              <w:rPr>
                <w:b/>
                <w:lang w:val="en-GB"/>
              </w:rPr>
            </w:pPr>
            <w:r w:rsidRPr="0038535E">
              <w:rPr>
                <w:b/>
                <w:lang w:val="en-GB"/>
              </w:rPr>
              <w:t>Currency Rating</w:t>
            </w:r>
          </w:p>
        </w:tc>
      </w:tr>
      <w:tr w:rsidR="00140AC3" w:rsidRPr="0038535E" w14:paraId="6FA163F5" w14:textId="77777777" w:rsidTr="00140AC3">
        <w:trPr>
          <w:trHeight w:val="20"/>
          <w:jc w:val="center"/>
        </w:trPr>
        <w:tc>
          <w:tcPr>
            <w:tcW w:w="0" w:type="auto"/>
          </w:tcPr>
          <w:p w14:paraId="0BE813B0" w14:textId="77777777" w:rsidR="00140AC3" w:rsidRPr="0038535E" w:rsidRDefault="00140AC3" w:rsidP="00140AC3">
            <w:pPr>
              <w:pStyle w:val="ExhibitText"/>
              <w:rPr>
                <w:lang w:val="en-GB"/>
              </w:rPr>
            </w:pPr>
            <w:r w:rsidRPr="0038535E">
              <w:rPr>
                <w:lang w:val="en-GB"/>
              </w:rPr>
              <w:t>China</w:t>
            </w:r>
          </w:p>
        </w:tc>
        <w:tc>
          <w:tcPr>
            <w:tcW w:w="0" w:type="auto"/>
          </w:tcPr>
          <w:p w14:paraId="6147F923" w14:textId="77777777" w:rsidR="00140AC3" w:rsidRPr="0038535E" w:rsidRDefault="00140AC3" w:rsidP="00140AC3">
            <w:pPr>
              <w:pStyle w:val="ExhibitText"/>
              <w:jc w:val="right"/>
              <w:rPr>
                <w:lang w:val="en-GB"/>
              </w:rPr>
            </w:pPr>
            <w:r w:rsidRPr="0038535E">
              <w:rPr>
                <w:lang w:val="en-GB"/>
              </w:rPr>
              <w:t>5.90%</w:t>
            </w:r>
          </w:p>
        </w:tc>
        <w:tc>
          <w:tcPr>
            <w:tcW w:w="0" w:type="auto"/>
          </w:tcPr>
          <w:p w14:paraId="212DA861" w14:textId="77777777" w:rsidR="00140AC3" w:rsidRPr="0038535E" w:rsidRDefault="00140AC3" w:rsidP="00140AC3">
            <w:pPr>
              <w:pStyle w:val="ExhibitText"/>
              <w:jc w:val="right"/>
              <w:rPr>
                <w:lang w:val="en-GB"/>
              </w:rPr>
            </w:pPr>
            <w:r w:rsidRPr="0038535E">
              <w:rPr>
                <w:lang w:val="en-GB"/>
              </w:rPr>
              <w:t>Aa3</w:t>
            </w:r>
          </w:p>
        </w:tc>
      </w:tr>
      <w:tr w:rsidR="00140AC3" w:rsidRPr="0038535E" w14:paraId="7A4843DC" w14:textId="77777777" w:rsidTr="00140AC3">
        <w:trPr>
          <w:trHeight w:val="20"/>
          <w:jc w:val="center"/>
        </w:trPr>
        <w:tc>
          <w:tcPr>
            <w:tcW w:w="0" w:type="auto"/>
          </w:tcPr>
          <w:p w14:paraId="1D849C3A" w14:textId="77777777" w:rsidR="00140AC3" w:rsidRPr="0038535E" w:rsidRDefault="00140AC3" w:rsidP="00140AC3">
            <w:pPr>
              <w:pStyle w:val="ExhibitText"/>
              <w:rPr>
                <w:lang w:val="en-GB"/>
              </w:rPr>
            </w:pPr>
            <w:r w:rsidRPr="0038535E">
              <w:rPr>
                <w:lang w:val="en-GB"/>
              </w:rPr>
              <w:t>Singapore</w:t>
            </w:r>
          </w:p>
        </w:tc>
        <w:tc>
          <w:tcPr>
            <w:tcW w:w="0" w:type="auto"/>
          </w:tcPr>
          <w:p w14:paraId="036A180B" w14:textId="77777777" w:rsidR="00140AC3" w:rsidRPr="0038535E" w:rsidRDefault="00140AC3" w:rsidP="00140AC3">
            <w:pPr>
              <w:pStyle w:val="ExhibitText"/>
              <w:jc w:val="right"/>
              <w:rPr>
                <w:lang w:val="en-GB"/>
              </w:rPr>
            </w:pPr>
            <w:r w:rsidRPr="0038535E">
              <w:rPr>
                <w:lang w:val="en-GB"/>
              </w:rPr>
              <w:t>5.00%</w:t>
            </w:r>
          </w:p>
        </w:tc>
        <w:tc>
          <w:tcPr>
            <w:tcW w:w="0" w:type="auto"/>
          </w:tcPr>
          <w:p w14:paraId="18290F9A" w14:textId="77777777" w:rsidR="00140AC3" w:rsidRPr="0038535E" w:rsidRDefault="00140AC3" w:rsidP="00140AC3">
            <w:pPr>
              <w:pStyle w:val="ExhibitText"/>
              <w:jc w:val="right"/>
              <w:rPr>
                <w:lang w:val="en-GB"/>
              </w:rPr>
            </w:pPr>
            <w:proofErr w:type="spellStart"/>
            <w:r w:rsidRPr="0038535E">
              <w:rPr>
                <w:lang w:val="en-GB"/>
              </w:rPr>
              <w:t>Aaa</w:t>
            </w:r>
            <w:proofErr w:type="spellEnd"/>
          </w:p>
        </w:tc>
      </w:tr>
      <w:tr w:rsidR="00140AC3" w:rsidRPr="0038535E" w14:paraId="6B77755C" w14:textId="77777777" w:rsidTr="00140AC3">
        <w:trPr>
          <w:trHeight w:val="20"/>
          <w:jc w:val="center"/>
        </w:trPr>
        <w:tc>
          <w:tcPr>
            <w:tcW w:w="0" w:type="auto"/>
          </w:tcPr>
          <w:p w14:paraId="4160429D" w14:textId="77777777" w:rsidR="00140AC3" w:rsidRPr="0038535E" w:rsidRDefault="00140AC3" w:rsidP="00140AC3">
            <w:pPr>
              <w:pStyle w:val="ExhibitText"/>
              <w:rPr>
                <w:lang w:val="en-GB"/>
              </w:rPr>
            </w:pPr>
            <w:r w:rsidRPr="0038535E">
              <w:rPr>
                <w:lang w:val="en-GB"/>
              </w:rPr>
              <w:t>United States</w:t>
            </w:r>
          </w:p>
        </w:tc>
        <w:tc>
          <w:tcPr>
            <w:tcW w:w="0" w:type="auto"/>
          </w:tcPr>
          <w:p w14:paraId="24E845E5" w14:textId="77777777" w:rsidR="00140AC3" w:rsidRPr="0038535E" w:rsidRDefault="00140AC3" w:rsidP="00140AC3">
            <w:pPr>
              <w:pStyle w:val="ExhibitText"/>
              <w:jc w:val="right"/>
              <w:rPr>
                <w:lang w:val="en-GB"/>
              </w:rPr>
            </w:pPr>
            <w:r w:rsidRPr="0038535E">
              <w:rPr>
                <w:lang w:val="en-GB"/>
              </w:rPr>
              <w:t>5.00%</w:t>
            </w:r>
          </w:p>
        </w:tc>
        <w:tc>
          <w:tcPr>
            <w:tcW w:w="0" w:type="auto"/>
          </w:tcPr>
          <w:p w14:paraId="7DCE3941" w14:textId="77777777" w:rsidR="00140AC3" w:rsidRPr="0038535E" w:rsidRDefault="00140AC3" w:rsidP="00140AC3">
            <w:pPr>
              <w:pStyle w:val="ExhibitText"/>
              <w:jc w:val="right"/>
              <w:rPr>
                <w:lang w:val="en-GB"/>
              </w:rPr>
            </w:pPr>
            <w:proofErr w:type="spellStart"/>
            <w:r w:rsidRPr="0038535E">
              <w:rPr>
                <w:lang w:val="en-GB"/>
              </w:rPr>
              <w:t>Aaa</w:t>
            </w:r>
            <w:proofErr w:type="spellEnd"/>
          </w:p>
        </w:tc>
      </w:tr>
      <w:tr w:rsidR="00140AC3" w:rsidRPr="0038535E" w14:paraId="199A76F8" w14:textId="77777777" w:rsidTr="00140AC3">
        <w:trPr>
          <w:trHeight w:val="20"/>
          <w:jc w:val="center"/>
        </w:trPr>
        <w:tc>
          <w:tcPr>
            <w:tcW w:w="0" w:type="auto"/>
          </w:tcPr>
          <w:p w14:paraId="60DE4946" w14:textId="77777777" w:rsidR="00140AC3" w:rsidRPr="0038535E" w:rsidRDefault="00140AC3" w:rsidP="00140AC3">
            <w:pPr>
              <w:pStyle w:val="ExhibitText"/>
              <w:rPr>
                <w:lang w:val="en-GB"/>
              </w:rPr>
            </w:pPr>
            <w:r w:rsidRPr="0038535E">
              <w:rPr>
                <w:lang w:val="en-GB"/>
              </w:rPr>
              <w:t>United Kingdom</w:t>
            </w:r>
          </w:p>
        </w:tc>
        <w:tc>
          <w:tcPr>
            <w:tcW w:w="0" w:type="auto"/>
          </w:tcPr>
          <w:p w14:paraId="4AADF033" w14:textId="77777777" w:rsidR="00140AC3" w:rsidRPr="0038535E" w:rsidRDefault="00140AC3" w:rsidP="00140AC3">
            <w:pPr>
              <w:pStyle w:val="ExhibitText"/>
              <w:jc w:val="right"/>
              <w:rPr>
                <w:lang w:val="en-GB"/>
              </w:rPr>
            </w:pPr>
            <w:r w:rsidRPr="0038535E">
              <w:rPr>
                <w:lang w:val="en-GB"/>
              </w:rPr>
              <w:t>5.60%</w:t>
            </w:r>
          </w:p>
        </w:tc>
        <w:tc>
          <w:tcPr>
            <w:tcW w:w="0" w:type="auto"/>
          </w:tcPr>
          <w:p w14:paraId="0DE4B257" w14:textId="77777777" w:rsidR="00140AC3" w:rsidRPr="0038535E" w:rsidRDefault="00140AC3" w:rsidP="00140AC3">
            <w:pPr>
              <w:pStyle w:val="ExhibitText"/>
              <w:jc w:val="right"/>
              <w:rPr>
                <w:lang w:val="en-GB"/>
              </w:rPr>
            </w:pPr>
            <w:r w:rsidRPr="0038535E">
              <w:rPr>
                <w:lang w:val="en-GB"/>
              </w:rPr>
              <w:t>Aa1</w:t>
            </w:r>
          </w:p>
        </w:tc>
      </w:tr>
    </w:tbl>
    <w:p w14:paraId="55D2C6E2" w14:textId="77777777" w:rsidR="00140AC3" w:rsidRPr="0038535E" w:rsidRDefault="00140AC3" w:rsidP="00140AC3">
      <w:pPr>
        <w:rPr>
          <w:sz w:val="22"/>
          <w:szCs w:val="22"/>
          <w:lang w:val="en-GB"/>
        </w:rPr>
      </w:pPr>
    </w:p>
    <w:p w14:paraId="1224AE30" w14:textId="77777777" w:rsidR="00140AC3" w:rsidRPr="0038535E" w:rsidRDefault="00140AC3" w:rsidP="00140AC3">
      <w:pPr>
        <w:pStyle w:val="Footnote"/>
        <w:rPr>
          <w:lang w:val="en-GB"/>
        </w:rPr>
      </w:pPr>
      <w:r w:rsidRPr="0038535E">
        <w:rPr>
          <w:lang w:val="en-GB"/>
        </w:rPr>
        <w:t xml:space="preserve">Source: </w:t>
      </w:r>
      <w:r>
        <w:rPr>
          <w:lang w:val="en-GB"/>
        </w:rPr>
        <w:t xml:space="preserve">Professor </w:t>
      </w:r>
      <w:proofErr w:type="spellStart"/>
      <w:r w:rsidRPr="0038535E">
        <w:rPr>
          <w:lang w:val="en-GB"/>
        </w:rPr>
        <w:t>Aswath</w:t>
      </w:r>
      <w:proofErr w:type="spellEnd"/>
      <w:r w:rsidRPr="0038535E">
        <w:rPr>
          <w:lang w:val="en-GB"/>
        </w:rPr>
        <w:t xml:space="preserve"> </w:t>
      </w:r>
      <w:proofErr w:type="spellStart"/>
      <w:r w:rsidRPr="0038535E">
        <w:rPr>
          <w:lang w:val="en-GB"/>
        </w:rPr>
        <w:t>Damodaran’s</w:t>
      </w:r>
      <w:proofErr w:type="spellEnd"/>
      <w:r w:rsidRPr="0038535E">
        <w:rPr>
          <w:lang w:val="en-GB"/>
        </w:rPr>
        <w:t xml:space="preserve"> web page, </w:t>
      </w:r>
      <w:r w:rsidRPr="00D42E2B">
        <w:rPr>
          <w:lang w:val="en-GB"/>
        </w:rPr>
        <w:t>http://pages.stern.nyu.edu/~adamodar/</w:t>
      </w:r>
      <w:r>
        <w:rPr>
          <w:lang w:val="en-GB"/>
        </w:rPr>
        <w:t xml:space="preserve">, </w:t>
      </w:r>
      <w:r w:rsidRPr="0038535E">
        <w:rPr>
          <w:lang w:val="en-GB"/>
        </w:rPr>
        <w:t>accessed January 15, 2015.</w:t>
      </w:r>
    </w:p>
    <w:p w14:paraId="243B1200" w14:textId="77777777" w:rsidR="00140AC3" w:rsidRPr="0038535E" w:rsidRDefault="00140AC3" w:rsidP="00140AC3">
      <w:pPr>
        <w:pStyle w:val="BodyTextMain"/>
        <w:rPr>
          <w:lang w:val="en-GB"/>
        </w:rPr>
      </w:pPr>
    </w:p>
    <w:p w14:paraId="092E4413" w14:textId="77777777" w:rsidR="00140AC3" w:rsidRPr="0038535E" w:rsidRDefault="00140AC3" w:rsidP="00140AC3">
      <w:pPr>
        <w:pStyle w:val="BodyTextMain"/>
        <w:rPr>
          <w:lang w:val="en-GB"/>
        </w:rPr>
      </w:pPr>
    </w:p>
    <w:p w14:paraId="56C04A0A" w14:textId="37FB98AE" w:rsidR="00140AC3" w:rsidRDefault="00140AC3" w:rsidP="001C198D">
      <w:pPr>
        <w:pStyle w:val="ExhibitHeading"/>
        <w:rPr>
          <w:lang w:val="en-GB"/>
        </w:rPr>
      </w:pPr>
      <w:r>
        <w:rPr>
          <w:lang w:val="en-GB"/>
        </w:rPr>
        <w:t>EXHIBIT 10</w:t>
      </w:r>
      <w:r w:rsidRPr="0038535E">
        <w:rPr>
          <w:lang w:val="en-GB"/>
        </w:rPr>
        <w:t>: GLOBAL GOVERNMENT BONDS</w:t>
      </w:r>
    </w:p>
    <w:p w14:paraId="4A1D152A" w14:textId="77777777" w:rsidR="00E26C42" w:rsidRPr="0038535E" w:rsidRDefault="00E26C42" w:rsidP="001C198D">
      <w:pPr>
        <w:pStyle w:val="ExhibitHeading"/>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417"/>
        <w:gridCol w:w="994"/>
        <w:gridCol w:w="1061"/>
        <w:gridCol w:w="895"/>
      </w:tblGrid>
      <w:tr w:rsidR="00140AC3" w:rsidRPr="0038535E" w14:paraId="3D5A3C3B" w14:textId="77777777" w:rsidTr="00140AC3">
        <w:trPr>
          <w:trHeight w:val="20"/>
          <w:jc w:val="center"/>
        </w:trPr>
        <w:tc>
          <w:tcPr>
            <w:tcW w:w="0" w:type="auto"/>
            <w:shd w:val="clear" w:color="auto" w:fill="auto"/>
            <w:noWrap/>
            <w:vAlign w:val="bottom"/>
            <w:hideMark/>
          </w:tcPr>
          <w:p w14:paraId="29E550D4" w14:textId="77777777" w:rsidR="00140AC3" w:rsidRPr="0038535E" w:rsidRDefault="00140AC3" w:rsidP="00140AC3">
            <w:pPr>
              <w:pStyle w:val="ExhibitText"/>
              <w:rPr>
                <w:b/>
                <w:lang w:val="en-GB"/>
              </w:rPr>
            </w:pPr>
            <w:r w:rsidRPr="0038535E">
              <w:rPr>
                <w:b/>
                <w:lang w:val="en-GB"/>
              </w:rPr>
              <w:t>Coupon (%)</w:t>
            </w:r>
          </w:p>
        </w:tc>
        <w:tc>
          <w:tcPr>
            <w:tcW w:w="0" w:type="auto"/>
            <w:shd w:val="clear" w:color="auto" w:fill="auto"/>
            <w:noWrap/>
            <w:vAlign w:val="bottom"/>
            <w:hideMark/>
          </w:tcPr>
          <w:p w14:paraId="5D5A9DC5" w14:textId="77777777" w:rsidR="00140AC3" w:rsidRPr="0038535E" w:rsidRDefault="00140AC3" w:rsidP="00140AC3">
            <w:pPr>
              <w:pStyle w:val="ExhibitText"/>
              <w:rPr>
                <w:b/>
                <w:lang w:val="en-GB"/>
              </w:rPr>
            </w:pPr>
            <w:r w:rsidRPr="0038535E">
              <w:rPr>
                <w:b/>
                <w:lang w:val="en-GB"/>
              </w:rPr>
              <w:t>Country</w:t>
            </w:r>
          </w:p>
        </w:tc>
        <w:tc>
          <w:tcPr>
            <w:tcW w:w="0" w:type="auto"/>
            <w:shd w:val="clear" w:color="auto" w:fill="auto"/>
            <w:noWrap/>
            <w:vAlign w:val="bottom"/>
            <w:hideMark/>
          </w:tcPr>
          <w:p w14:paraId="786376B7" w14:textId="77777777" w:rsidR="00140AC3" w:rsidRPr="0038535E" w:rsidRDefault="00140AC3" w:rsidP="00140AC3">
            <w:pPr>
              <w:pStyle w:val="ExhibitText"/>
              <w:rPr>
                <w:b/>
                <w:lang w:val="en-GB"/>
              </w:rPr>
            </w:pPr>
            <w:r w:rsidRPr="0038535E">
              <w:rPr>
                <w:b/>
                <w:lang w:val="en-GB"/>
              </w:rPr>
              <w:t>Maturity</w:t>
            </w:r>
          </w:p>
        </w:tc>
        <w:tc>
          <w:tcPr>
            <w:tcW w:w="0" w:type="auto"/>
            <w:shd w:val="clear" w:color="auto" w:fill="auto"/>
            <w:noWrap/>
            <w:vAlign w:val="bottom"/>
            <w:hideMark/>
          </w:tcPr>
          <w:p w14:paraId="1ACE36C1" w14:textId="77777777" w:rsidR="00140AC3" w:rsidRPr="0038535E" w:rsidRDefault="00140AC3" w:rsidP="00140AC3">
            <w:pPr>
              <w:pStyle w:val="ExhibitText"/>
              <w:rPr>
                <w:b/>
                <w:lang w:val="en-GB"/>
              </w:rPr>
            </w:pPr>
            <w:r w:rsidRPr="0038535E">
              <w:rPr>
                <w:b/>
                <w:lang w:val="en-GB"/>
              </w:rPr>
              <w:t>Yield (%)</w:t>
            </w:r>
          </w:p>
        </w:tc>
        <w:tc>
          <w:tcPr>
            <w:tcW w:w="0" w:type="auto"/>
            <w:shd w:val="clear" w:color="auto" w:fill="auto"/>
            <w:noWrap/>
            <w:vAlign w:val="bottom"/>
            <w:hideMark/>
          </w:tcPr>
          <w:p w14:paraId="74174FB8" w14:textId="77777777" w:rsidR="00140AC3" w:rsidRPr="0038535E" w:rsidRDefault="00140AC3" w:rsidP="00140AC3">
            <w:pPr>
              <w:pStyle w:val="ExhibitText"/>
              <w:rPr>
                <w:b/>
                <w:lang w:val="en-GB"/>
              </w:rPr>
            </w:pPr>
            <w:r w:rsidRPr="0038535E">
              <w:rPr>
                <w:b/>
                <w:lang w:val="en-GB"/>
              </w:rPr>
              <w:t>Spread</w:t>
            </w:r>
          </w:p>
        </w:tc>
      </w:tr>
      <w:tr w:rsidR="00140AC3" w:rsidRPr="0038535E" w14:paraId="7B2B4B2E" w14:textId="77777777" w:rsidTr="00140AC3">
        <w:trPr>
          <w:trHeight w:val="20"/>
          <w:jc w:val="center"/>
        </w:trPr>
        <w:tc>
          <w:tcPr>
            <w:tcW w:w="0" w:type="auto"/>
            <w:shd w:val="clear" w:color="auto" w:fill="auto"/>
            <w:noWrap/>
            <w:vAlign w:val="bottom"/>
            <w:hideMark/>
          </w:tcPr>
          <w:p w14:paraId="49C57CF9" w14:textId="77777777" w:rsidR="00140AC3" w:rsidRPr="0038535E" w:rsidRDefault="00140AC3" w:rsidP="00140AC3">
            <w:pPr>
              <w:pStyle w:val="ExhibitText"/>
              <w:rPr>
                <w:lang w:val="en-GB"/>
              </w:rPr>
            </w:pPr>
            <w:r w:rsidRPr="0038535E">
              <w:rPr>
                <w:lang w:val="en-GB"/>
              </w:rPr>
              <w:t>4.08</w:t>
            </w:r>
          </w:p>
        </w:tc>
        <w:tc>
          <w:tcPr>
            <w:tcW w:w="0" w:type="auto"/>
            <w:shd w:val="clear" w:color="auto" w:fill="auto"/>
            <w:noWrap/>
            <w:vAlign w:val="bottom"/>
            <w:hideMark/>
          </w:tcPr>
          <w:p w14:paraId="3858389F" w14:textId="77777777" w:rsidR="00140AC3" w:rsidRPr="0038535E" w:rsidRDefault="00140AC3" w:rsidP="00140AC3">
            <w:pPr>
              <w:pStyle w:val="ExhibitText"/>
              <w:rPr>
                <w:lang w:val="en-GB"/>
              </w:rPr>
            </w:pPr>
            <w:r w:rsidRPr="0038535E">
              <w:rPr>
                <w:lang w:val="en-GB"/>
              </w:rPr>
              <w:t>China</w:t>
            </w:r>
          </w:p>
        </w:tc>
        <w:tc>
          <w:tcPr>
            <w:tcW w:w="0" w:type="auto"/>
            <w:shd w:val="clear" w:color="auto" w:fill="auto"/>
            <w:noWrap/>
            <w:vAlign w:val="bottom"/>
            <w:hideMark/>
          </w:tcPr>
          <w:p w14:paraId="2B80EF46" w14:textId="77777777" w:rsidR="00140AC3" w:rsidRPr="0038535E" w:rsidRDefault="00140AC3" w:rsidP="00140AC3">
            <w:pPr>
              <w:pStyle w:val="ExhibitText"/>
              <w:rPr>
                <w:lang w:val="en-GB"/>
              </w:rPr>
            </w:pPr>
            <w:r w:rsidRPr="0038535E">
              <w:rPr>
                <w:lang w:val="en-GB"/>
              </w:rPr>
              <w:t>10-Year</w:t>
            </w:r>
          </w:p>
        </w:tc>
        <w:tc>
          <w:tcPr>
            <w:tcW w:w="0" w:type="auto"/>
            <w:shd w:val="clear" w:color="auto" w:fill="auto"/>
            <w:noWrap/>
            <w:vAlign w:val="bottom"/>
            <w:hideMark/>
          </w:tcPr>
          <w:p w14:paraId="0C681D29" w14:textId="77777777" w:rsidR="00140AC3" w:rsidRPr="0038535E" w:rsidRDefault="00140AC3" w:rsidP="00140AC3">
            <w:pPr>
              <w:pStyle w:val="ExhibitText"/>
              <w:rPr>
                <w:lang w:val="en-GB"/>
              </w:rPr>
            </w:pPr>
            <w:r w:rsidRPr="0038535E">
              <w:rPr>
                <w:lang w:val="en-GB"/>
              </w:rPr>
              <w:t>4.57</w:t>
            </w:r>
          </w:p>
        </w:tc>
        <w:tc>
          <w:tcPr>
            <w:tcW w:w="0" w:type="auto"/>
            <w:shd w:val="clear" w:color="auto" w:fill="auto"/>
            <w:noWrap/>
            <w:vAlign w:val="bottom"/>
            <w:hideMark/>
          </w:tcPr>
          <w:p w14:paraId="11336160" w14:textId="77777777" w:rsidR="00140AC3" w:rsidRPr="0038535E" w:rsidRDefault="00140AC3" w:rsidP="00140AC3">
            <w:pPr>
              <w:pStyle w:val="ExhibitText"/>
              <w:rPr>
                <w:lang w:val="en-GB"/>
              </w:rPr>
            </w:pPr>
            <w:r w:rsidRPr="0038535E">
              <w:rPr>
                <w:lang w:val="en-GB"/>
              </w:rPr>
              <w:t>182</w:t>
            </w:r>
          </w:p>
        </w:tc>
      </w:tr>
      <w:tr w:rsidR="00140AC3" w:rsidRPr="0038535E" w14:paraId="0B545292" w14:textId="77777777" w:rsidTr="00140AC3">
        <w:trPr>
          <w:trHeight w:val="20"/>
          <w:jc w:val="center"/>
        </w:trPr>
        <w:tc>
          <w:tcPr>
            <w:tcW w:w="0" w:type="auto"/>
            <w:shd w:val="clear" w:color="auto" w:fill="auto"/>
            <w:noWrap/>
            <w:vAlign w:val="bottom"/>
            <w:hideMark/>
          </w:tcPr>
          <w:p w14:paraId="46F02377" w14:textId="77777777" w:rsidR="00140AC3" w:rsidRPr="0038535E" w:rsidRDefault="00140AC3" w:rsidP="00140AC3">
            <w:pPr>
              <w:pStyle w:val="ExhibitText"/>
              <w:rPr>
                <w:lang w:val="en-GB"/>
              </w:rPr>
            </w:pPr>
            <w:r w:rsidRPr="0038535E">
              <w:rPr>
                <w:lang w:val="en-GB"/>
              </w:rPr>
              <w:t>1.94</w:t>
            </w:r>
          </w:p>
        </w:tc>
        <w:tc>
          <w:tcPr>
            <w:tcW w:w="0" w:type="auto"/>
            <w:shd w:val="clear" w:color="auto" w:fill="auto"/>
            <w:noWrap/>
            <w:vAlign w:val="bottom"/>
            <w:hideMark/>
          </w:tcPr>
          <w:p w14:paraId="058D5A89" w14:textId="77777777" w:rsidR="00140AC3" w:rsidRPr="0038535E" w:rsidRDefault="00140AC3" w:rsidP="00140AC3">
            <w:pPr>
              <w:pStyle w:val="ExhibitText"/>
              <w:rPr>
                <w:lang w:val="en-GB"/>
              </w:rPr>
            </w:pPr>
            <w:r w:rsidRPr="0038535E">
              <w:rPr>
                <w:lang w:val="en-GB"/>
              </w:rPr>
              <w:t>Hong Kong</w:t>
            </w:r>
          </w:p>
        </w:tc>
        <w:tc>
          <w:tcPr>
            <w:tcW w:w="0" w:type="auto"/>
            <w:shd w:val="clear" w:color="auto" w:fill="auto"/>
            <w:noWrap/>
            <w:vAlign w:val="bottom"/>
            <w:hideMark/>
          </w:tcPr>
          <w:p w14:paraId="1AD6E621" w14:textId="77777777" w:rsidR="00140AC3" w:rsidRPr="0038535E" w:rsidRDefault="00140AC3" w:rsidP="00140AC3">
            <w:pPr>
              <w:pStyle w:val="ExhibitText"/>
              <w:rPr>
                <w:lang w:val="en-GB"/>
              </w:rPr>
            </w:pPr>
            <w:r w:rsidRPr="0038535E">
              <w:rPr>
                <w:lang w:val="en-GB"/>
              </w:rPr>
              <w:t>10-Year</w:t>
            </w:r>
          </w:p>
        </w:tc>
        <w:tc>
          <w:tcPr>
            <w:tcW w:w="0" w:type="auto"/>
            <w:shd w:val="clear" w:color="auto" w:fill="auto"/>
            <w:noWrap/>
            <w:vAlign w:val="bottom"/>
            <w:hideMark/>
          </w:tcPr>
          <w:p w14:paraId="414747D8" w14:textId="77777777" w:rsidR="00140AC3" w:rsidRPr="0038535E" w:rsidRDefault="00140AC3" w:rsidP="00140AC3">
            <w:pPr>
              <w:pStyle w:val="ExhibitText"/>
              <w:rPr>
                <w:lang w:val="en-GB"/>
              </w:rPr>
            </w:pPr>
            <w:r w:rsidRPr="0038535E">
              <w:rPr>
                <w:lang w:val="en-GB"/>
              </w:rPr>
              <w:t>2.279</w:t>
            </w:r>
          </w:p>
        </w:tc>
        <w:tc>
          <w:tcPr>
            <w:tcW w:w="0" w:type="auto"/>
            <w:shd w:val="clear" w:color="auto" w:fill="auto"/>
            <w:noWrap/>
            <w:vAlign w:val="bottom"/>
            <w:hideMark/>
          </w:tcPr>
          <w:p w14:paraId="669C0AB9" w14:textId="77777777" w:rsidR="00140AC3" w:rsidRPr="0038535E" w:rsidRDefault="00140AC3" w:rsidP="00140AC3">
            <w:pPr>
              <w:pStyle w:val="ExhibitText"/>
              <w:rPr>
                <w:lang w:val="en-GB"/>
              </w:rPr>
            </w:pPr>
            <w:r>
              <w:rPr>
                <w:lang w:val="en-GB"/>
              </w:rPr>
              <w:t>–</w:t>
            </w:r>
            <w:r w:rsidRPr="0038535E">
              <w:rPr>
                <w:lang w:val="en-GB"/>
              </w:rPr>
              <w:t>47.1</w:t>
            </w:r>
          </w:p>
        </w:tc>
      </w:tr>
      <w:tr w:rsidR="00140AC3" w:rsidRPr="0038535E" w14:paraId="1BDE870F" w14:textId="77777777" w:rsidTr="00140AC3">
        <w:trPr>
          <w:trHeight w:val="20"/>
          <w:jc w:val="center"/>
        </w:trPr>
        <w:tc>
          <w:tcPr>
            <w:tcW w:w="0" w:type="auto"/>
            <w:shd w:val="clear" w:color="auto" w:fill="auto"/>
            <w:noWrap/>
            <w:vAlign w:val="bottom"/>
            <w:hideMark/>
          </w:tcPr>
          <w:p w14:paraId="3CF06C14" w14:textId="77777777" w:rsidR="00140AC3" w:rsidRPr="0038535E" w:rsidRDefault="00140AC3" w:rsidP="00140AC3">
            <w:pPr>
              <w:pStyle w:val="ExhibitText"/>
              <w:rPr>
                <w:lang w:val="en-GB"/>
              </w:rPr>
            </w:pPr>
            <w:r w:rsidRPr="0038535E">
              <w:rPr>
                <w:lang w:val="en-GB"/>
              </w:rPr>
              <w:t>2.75</w:t>
            </w:r>
          </w:p>
        </w:tc>
        <w:tc>
          <w:tcPr>
            <w:tcW w:w="0" w:type="auto"/>
            <w:shd w:val="clear" w:color="auto" w:fill="auto"/>
            <w:noWrap/>
            <w:vAlign w:val="bottom"/>
            <w:hideMark/>
          </w:tcPr>
          <w:p w14:paraId="6E6F0837" w14:textId="77777777" w:rsidR="00140AC3" w:rsidRPr="0038535E" w:rsidRDefault="00140AC3" w:rsidP="00140AC3">
            <w:pPr>
              <w:pStyle w:val="ExhibitText"/>
              <w:rPr>
                <w:lang w:val="en-GB"/>
              </w:rPr>
            </w:pPr>
            <w:r w:rsidRPr="0038535E">
              <w:rPr>
                <w:lang w:val="en-GB"/>
              </w:rPr>
              <w:t>United States</w:t>
            </w:r>
          </w:p>
        </w:tc>
        <w:tc>
          <w:tcPr>
            <w:tcW w:w="0" w:type="auto"/>
            <w:shd w:val="clear" w:color="auto" w:fill="auto"/>
            <w:noWrap/>
            <w:vAlign w:val="bottom"/>
            <w:hideMark/>
          </w:tcPr>
          <w:p w14:paraId="349B14BA" w14:textId="77777777" w:rsidR="00140AC3" w:rsidRPr="0038535E" w:rsidRDefault="00140AC3" w:rsidP="00140AC3">
            <w:pPr>
              <w:pStyle w:val="ExhibitText"/>
              <w:rPr>
                <w:lang w:val="en-GB"/>
              </w:rPr>
            </w:pPr>
            <w:r w:rsidRPr="0038535E">
              <w:rPr>
                <w:lang w:val="en-GB"/>
              </w:rPr>
              <w:t>10-Year</w:t>
            </w:r>
          </w:p>
        </w:tc>
        <w:tc>
          <w:tcPr>
            <w:tcW w:w="0" w:type="auto"/>
            <w:shd w:val="clear" w:color="auto" w:fill="auto"/>
            <w:noWrap/>
            <w:vAlign w:val="bottom"/>
            <w:hideMark/>
          </w:tcPr>
          <w:p w14:paraId="3C76E908" w14:textId="77777777" w:rsidR="00140AC3" w:rsidRPr="0038535E" w:rsidRDefault="00140AC3" w:rsidP="00140AC3">
            <w:pPr>
              <w:pStyle w:val="ExhibitText"/>
              <w:rPr>
                <w:lang w:val="en-GB"/>
              </w:rPr>
            </w:pPr>
            <w:r w:rsidRPr="0038535E">
              <w:rPr>
                <w:lang w:val="en-GB"/>
              </w:rPr>
              <w:t>2.75</w:t>
            </w:r>
          </w:p>
        </w:tc>
        <w:tc>
          <w:tcPr>
            <w:tcW w:w="0" w:type="auto"/>
            <w:shd w:val="clear" w:color="auto" w:fill="auto"/>
            <w:noWrap/>
            <w:vAlign w:val="bottom"/>
            <w:hideMark/>
          </w:tcPr>
          <w:p w14:paraId="38D699FE" w14:textId="77777777" w:rsidR="00140AC3" w:rsidRPr="0038535E" w:rsidRDefault="00140AC3" w:rsidP="00140AC3">
            <w:pPr>
              <w:pStyle w:val="ExhibitText"/>
              <w:rPr>
                <w:lang w:val="en-GB"/>
              </w:rPr>
            </w:pPr>
            <w:r w:rsidRPr="0038535E">
              <w:rPr>
                <w:lang w:val="en-GB"/>
              </w:rPr>
              <w:t>---</w:t>
            </w:r>
          </w:p>
        </w:tc>
      </w:tr>
    </w:tbl>
    <w:p w14:paraId="42EFFF80" w14:textId="77777777" w:rsidR="00140AC3" w:rsidRPr="0038535E" w:rsidRDefault="00140AC3" w:rsidP="00140AC3">
      <w:pPr>
        <w:pStyle w:val="BodyTextMain"/>
        <w:rPr>
          <w:lang w:val="en-GB"/>
        </w:rPr>
      </w:pPr>
    </w:p>
    <w:p w14:paraId="0C299C0F" w14:textId="77777777" w:rsidR="00140AC3" w:rsidRDefault="00140AC3" w:rsidP="00140AC3">
      <w:pPr>
        <w:pStyle w:val="Footnote"/>
        <w:rPr>
          <w:lang w:val="en-GB"/>
        </w:rPr>
      </w:pPr>
    </w:p>
    <w:p w14:paraId="335494A9" w14:textId="77777777" w:rsidR="00140AC3" w:rsidRPr="00FD2EF1" w:rsidRDefault="00140AC3" w:rsidP="00140AC3">
      <w:pPr>
        <w:pStyle w:val="Footnote"/>
        <w:rPr>
          <w:spacing w:val="-2"/>
          <w:kern w:val="17"/>
          <w:lang w:val="en-GB"/>
        </w:rPr>
      </w:pPr>
      <w:r w:rsidRPr="00FD2EF1">
        <w:rPr>
          <w:spacing w:val="-2"/>
          <w:kern w:val="17"/>
          <w:lang w:val="en-GB"/>
        </w:rPr>
        <w:t>Source: Bloomberg L.P., “Government Bonds’ Yields as of August, 1, 2014,” Bloomberg Database, accessed February 27, 2015.</w:t>
      </w:r>
    </w:p>
    <w:p w14:paraId="4ED7ED7D" w14:textId="77777777" w:rsidR="00140AC3" w:rsidRPr="0038535E" w:rsidRDefault="00140AC3" w:rsidP="00140AC3">
      <w:pPr>
        <w:spacing w:after="200" w:line="276" w:lineRule="auto"/>
        <w:rPr>
          <w:rFonts w:ascii="Arial" w:eastAsia="SimSun" w:hAnsi="Arial" w:cs="Arial"/>
          <w:b/>
          <w:caps/>
          <w:lang w:val="en-GB" w:eastAsia="zh-CN"/>
        </w:rPr>
      </w:pPr>
      <w:r w:rsidRPr="0038535E">
        <w:rPr>
          <w:rFonts w:eastAsia="SimSun"/>
          <w:lang w:val="en-GB" w:eastAsia="zh-CN"/>
        </w:rPr>
        <w:br w:type="page"/>
      </w:r>
    </w:p>
    <w:p w14:paraId="4BB8FA6B" w14:textId="77777777" w:rsidR="00D52B78" w:rsidRPr="0038535E" w:rsidRDefault="004E327F" w:rsidP="004E327F">
      <w:pPr>
        <w:pStyle w:val="ExhibitHeading"/>
        <w:jc w:val="left"/>
        <w:rPr>
          <w:lang w:val="en-GB"/>
        </w:rPr>
      </w:pPr>
      <w:r w:rsidRPr="0038535E">
        <w:rPr>
          <w:lang w:val="en-GB"/>
        </w:rPr>
        <w:lastRenderedPageBreak/>
        <w:t>endnotes</w:t>
      </w:r>
    </w:p>
    <w:sectPr w:rsidR="00D52B78" w:rsidRPr="0038535E" w:rsidSect="001C198D">
      <w:headerReference w:type="default" r:id="rId17"/>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A9A07" w14:textId="77777777" w:rsidR="00C46AA4" w:rsidRDefault="00C46AA4" w:rsidP="00D75295">
      <w:r>
        <w:separator/>
      </w:r>
    </w:p>
  </w:endnote>
  <w:endnote w:type="continuationSeparator" w:id="0">
    <w:p w14:paraId="3EA38406" w14:textId="77777777" w:rsidR="00C46AA4" w:rsidRDefault="00C46AA4" w:rsidP="00D75295">
      <w:r>
        <w:continuationSeparator/>
      </w:r>
    </w:p>
  </w:endnote>
  <w:endnote w:id="1">
    <w:p w14:paraId="589A6AEF" w14:textId="77777777" w:rsidR="00C46AA4" w:rsidRPr="002D248E" w:rsidRDefault="00C46AA4" w:rsidP="00D42E2B">
      <w:pPr>
        <w:pStyle w:val="Footnote"/>
      </w:pPr>
      <w:r w:rsidRPr="002D248E">
        <w:rPr>
          <w:rStyle w:val="EndnoteReference"/>
        </w:rPr>
        <w:endnoteRef/>
      </w:r>
      <w:r w:rsidRPr="002D248E">
        <w:t xml:space="preserve"> This case has been written </w:t>
      </w:r>
      <w:proofErr w:type="gramStart"/>
      <w:r w:rsidRPr="002D248E">
        <w:t>on the basis of</w:t>
      </w:r>
      <w:proofErr w:type="gramEnd"/>
      <w:r w:rsidRPr="002D248E">
        <w:t xml:space="preserve"> published sources only. Consequently, the interpretation and perspectives presented in this case are not necessarily those of WH Group or any of its employees.</w:t>
      </w:r>
    </w:p>
  </w:endnote>
  <w:endnote w:id="2">
    <w:p w14:paraId="3705447E" w14:textId="7CC2C328" w:rsidR="00C46AA4" w:rsidRPr="002D248E" w:rsidRDefault="00C46AA4" w:rsidP="00D42E2B">
      <w:pPr>
        <w:pStyle w:val="Footnote"/>
      </w:pPr>
      <w:r w:rsidRPr="002D248E">
        <w:rPr>
          <w:rStyle w:val="EndnoteReference"/>
        </w:rPr>
        <w:endnoteRef/>
      </w:r>
      <w:r w:rsidRPr="002D248E">
        <w:t xml:space="preserve"> </w:t>
      </w:r>
      <w:r w:rsidRPr="00D42E2B">
        <w:t>The Economist “Pigs Will Fly,” June 1, 2013, accessed February 27, 2015</w:t>
      </w:r>
      <w:r>
        <w:t xml:space="preserve">, </w:t>
      </w:r>
      <w:r w:rsidRPr="00D42E2B">
        <w:t>www.economist.com/news/business/21578687-chinese-buyer-americas-biggest-pork-producer-pigs-will-fly.</w:t>
      </w:r>
    </w:p>
  </w:endnote>
  <w:endnote w:id="3">
    <w:p w14:paraId="60215E4D" w14:textId="56C5DFD9" w:rsidR="00C46AA4" w:rsidRPr="002D248E" w:rsidRDefault="00C46AA4" w:rsidP="00D42E2B">
      <w:pPr>
        <w:pStyle w:val="Footnote"/>
      </w:pPr>
      <w:r w:rsidRPr="002D248E">
        <w:rPr>
          <w:rStyle w:val="EndnoteReference"/>
        </w:rPr>
        <w:endnoteRef/>
      </w:r>
      <w:r w:rsidRPr="002D248E">
        <w:t xml:space="preserve"> D. Tian, “WH Group Hits Out Against </w:t>
      </w:r>
      <w:r>
        <w:t>‘</w:t>
      </w:r>
      <w:r w:rsidRPr="002D248E">
        <w:t>Defamatory</w:t>
      </w:r>
      <w:r>
        <w:t>’</w:t>
      </w:r>
      <w:r w:rsidRPr="002D248E">
        <w:t xml:space="preserve"> Accusations,” </w:t>
      </w:r>
      <w:proofErr w:type="spellStart"/>
      <w:r w:rsidRPr="002D248E">
        <w:t>Caixin</w:t>
      </w:r>
      <w:proofErr w:type="spellEnd"/>
      <w:r w:rsidRPr="002D248E">
        <w:t xml:space="preserve"> Online, July 16, 2014, accessed May 26, 2015</w:t>
      </w:r>
      <w:r>
        <w:t xml:space="preserve">, </w:t>
      </w:r>
      <w:r w:rsidRPr="002D248E">
        <w:t>http://english.caixin.com/2014-07-16/100705034.html.</w:t>
      </w:r>
    </w:p>
  </w:endnote>
  <w:endnote w:id="4">
    <w:p w14:paraId="7B2BA994" w14:textId="77777777" w:rsidR="00C46AA4" w:rsidRPr="002D248E" w:rsidRDefault="00C46AA4" w:rsidP="00D42E2B">
      <w:pPr>
        <w:pStyle w:val="Footnote"/>
      </w:pPr>
      <w:r w:rsidRPr="002D248E">
        <w:rPr>
          <w:rStyle w:val="EndnoteReference"/>
        </w:rPr>
        <w:endnoteRef/>
      </w:r>
      <w:r w:rsidRPr="002D248E">
        <w:t xml:space="preserve"> Ibid.</w:t>
      </w:r>
    </w:p>
  </w:endnote>
  <w:endnote w:id="5">
    <w:p w14:paraId="55158B66" w14:textId="00296DAA" w:rsidR="00C46AA4" w:rsidRPr="00E417DF" w:rsidRDefault="00C46AA4" w:rsidP="00D42E2B">
      <w:pPr>
        <w:pStyle w:val="Footnote"/>
        <w:rPr>
          <w:spacing w:val="-4"/>
          <w:kern w:val="17"/>
        </w:rPr>
      </w:pPr>
      <w:r w:rsidRPr="00E417DF">
        <w:rPr>
          <w:rStyle w:val="EndnoteReference"/>
          <w:spacing w:val="-4"/>
          <w:kern w:val="17"/>
        </w:rPr>
        <w:endnoteRef/>
      </w:r>
      <w:r w:rsidRPr="00E417DF">
        <w:rPr>
          <w:spacing w:val="-4"/>
          <w:kern w:val="17"/>
        </w:rPr>
        <w:t xml:space="preserve"> </w:t>
      </w:r>
      <w:proofErr w:type="spellStart"/>
      <w:r w:rsidRPr="00E417DF">
        <w:rPr>
          <w:spacing w:val="-4"/>
          <w:kern w:val="17"/>
        </w:rPr>
        <w:t>Shruti</w:t>
      </w:r>
      <w:proofErr w:type="spellEnd"/>
      <w:r w:rsidRPr="00E417DF">
        <w:rPr>
          <w:spacing w:val="-4"/>
          <w:kern w:val="17"/>
        </w:rPr>
        <w:t xml:space="preserve"> Date Singh and Brooke Sutherland, “Smithfield Traders Wager </w:t>
      </w:r>
      <w:proofErr w:type="spellStart"/>
      <w:r w:rsidRPr="00E417DF">
        <w:rPr>
          <w:spacing w:val="-4"/>
          <w:kern w:val="17"/>
        </w:rPr>
        <w:t>Shuanghui’s</w:t>
      </w:r>
      <w:proofErr w:type="spellEnd"/>
      <w:r w:rsidRPr="00E417DF">
        <w:rPr>
          <w:spacing w:val="-4"/>
          <w:kern w:val="17"/>
        </w:rPr>
        <w:t xml:space="preserve"> Deal Wins: Real M&amp;A,” ‎Bloomberg, June‎ ‎1‎, ‎2013‎, accessed July 21, 2015, www.bloomberg.com/news/articles/2013-05-31/smithfield-traders-wager-shuanghui-s-deal-wins.</w:t>
      </w:r>
    </w:p>
  </w:endnote>
  <w:endnote w:id="6">
    <w:p w14:paraId="3691B2FA" w14:textId="5060C077" w:rsidR="00C46AA4" w:rsidRPr="00D42E2B" w:rsidRDefault="00C46AA4" w:rsidP="00D42E2B">
      <w:pPr>
        <w:pStyle w:val="Footnote"/>
      </w:pPr>
      <w:r w:rsidRPr="00D42E2B">
        <w:rPr>
          <w:rStyle w:val="EndnoteReference"/>
        </w:rPr>
        <w:endnoteRef/>
      </w:r>
      <w:r w:rsidRPr="00D42E2B">
        <w:t xml:space="preserve"> Nicola Davison, “Rivers of Blood: The Dead Pigs Rotting in China</w:t>
      </w:r>
      <w:r>
        <w:t>’</w:t>
      </w:r>
      <w:r w:rsidRPr="00D42E2B">
        <w:t>s Water Supply,” The Guardian, March 29, 2013,</w:t>
      </w:r>
      <w:r>
        <w:t xml:space="preserve"> </w:t>
      </w:r>
      <w:r w:rsidRPr="00D42E2B">
        <w:t>accessed January 11, 2016</w:t>
      </w:r>
      <w:r>
        <w:t>,</w:t>
      </w:r>
      <w:r w:rsidRPr="00D42E2B">
        <w:t xml:space="preserve"> </w:t>
      </w:r>
      <w:hyperlink r:id="rId1" w:history="1">
        <w:r w:rsidRPr="00D42E2B">
          <w:rPr>
            <w:rStyle w:val="Hyperlink"/>
            <w:color w:val="auto"/>
            <w:u w:val="none"/>
          </w:rPr>
          <w:t>www.theguardian.com/world/2013/mar/29/dead-pigs-china-water-supply</w:t>
        </w:r>
      </w:hyperlink>
      <w:r w:rsidRPr="00D42E2B">
        <w:t>.</w:t>
      </w:r>
    </w:p>
  </w:endnote>
  <w:endnote w:id="7">
    <w:p w14:paraId="53BC6DC9" w14:textId="015CC868" w:rsidR="00C46AA4" w:rsidRPr="002D248E" w:rsidRDefault="00C46AA4" w:rsidP="00D42E2B">
      <w:pPr>
        <w:pStyle w:val="Footnote"/>
      </w:pPr>
      <w:r w:rsidRPr="00D42E2B">
        <w:rPr>
          <w:rStyle w:val="EndnoteReference"/>
        </w:rPr>
        <w:endnoteRef/>
      </w:r>
      <w:r w:rsidRPr="00D42E2B">
        <w:t xml:space="preserve"> “</w:t>
      </w:r>
      <w:proofErr w:type="spellStart"/>
      <w:r w:rsidRPr="00D42E2B">
        <w:t>Shuanghui</w:t>
      </w:r>
      <w:proofErr w:type="spellEnd"/>
      <w:r w:rsidRPr="00D42E2B">
        <w:t xml:space="preserve"> Apologizes over Additive Scandal,” China Daily</w:t>
      </w:r>
      <w:r>
        <w:t xml:space="preserve">, March 17, 2011, </w:t>
      </w:r>
      <w:r w:rsidRPr="00D42E2B">
        <w:t>accessed February 19, 2015</w:t>
      </w:r>
      <w:r>
        <w:t xml:space="preserve">, </w:t>
      </w:r>
      <w:r w:rsidRPr="00D42E2B">
        <w:t>www.chinadaily.com.cn/business/2011-03/17/content_12185197.htm</w:t>
      </w:r>
      <w:r>
        <w:t>.</w:t>
      </w:r>
    </w:p>
  </w:endnote>
  <w:endnote w:id="8">
    <w:p w14:paraId="3BA75391" w14:textId="09AC9059" w:rsidR="00C46AA4" w:rsidRPr="00D42E2B" w:rsidRDefault="00C46AA4" w:rsidP="00D42E2B">
      <w:pPr>
        <w:pStyle w:val="Footnote"/>
      </w:pPr>
      <w:r w:rsidRPr="00D42E2B">
        <w:rPr>
          <w:rStyle w:val="EndnoteReference"/>
        </w:rPr>
        <w:endnoteRef/>
      </w:r>
      <w:r w:rsidRPr="00D42E2B">
        <w:t xml:space="preserve"> ¥ = CNY = Chinese yuan; All figures are in CNY unless otherwise stated; CN¥1 = US$0.15 on January 11, 2016.</w:t>
      </w:r>
    </w:p>
  </w:endnote>
  <w:endnote w:id="9">
    <w:p w14:paraId="7ECC98AC" w14:textId="77777777" w:rsidR="00C46AA4" w:rsidRPr="002D248E" w:rsidRDefault="00C46AA4" w:rsidP="00D42E2B">
      <w:pPr>
        <w:pStyle w:val="Footnote"/>
        <w:rPr>
          <w:i/>
        </w:rPr>
      </w:pPr>
      <w:r w:rsidRPr="00D42E2B">
        <w:rPr>
          <w:vertAlign w:val="superscript"/>
        </w:rPr>
        <w:endnoteRef/>
      </w:r>
      <w:r w:rsidRPr="002D248E">
        <w:rPr>
          <w:i/>
        </w:rPr>
        <w:t xml:space="preserve"> </w:t>
      </w:r>
      <w:proofErr w:type="spellStart"/>
      <w:r w:rsidRPr="00140AC3">
        <w:t>Shuanghui</w:t>
      </w:r>
      <w:proofErr w:type="spellEnd"/>
      <w:r w:rsidRPr="00140AC3">
        <w:t xml:space="preserve"> Group, www.shuanghui.net, accessed February 19, 2015.</w:t>
      </w:r>
    </w:p>
  </w:endnote>
  <w:endnote w:id="10">
    <w:p w14:paraId="0A0A0AD4" w14:textId="6B06ED46" w:rsidR="00C46AA4" w:rsidRPr="00D42E2B" w:rsidRDefault="00C46AA4" w:rsidP="00D42E2B">
      <w:pPr>
        <w:pStyle w:val="Footnote"/>
      </w:pPr>
      <w:r w:rsidRPr="00140AC3">
        <w:rPr>
          <w:rStyle w:val="EndnoteReference"/>
        </w:rPr>
        <w:endnoteRef/>
      </w:r>
      <w:r w:rsidRPr="00D42E2B">
        <w:t xml:space="preserve"> Shen Hu and Li Qing, “Off the Chopping Block, Onward for </w:t>
      </w:r>
      <w:proofErr w:type="spellStart"/>
      <w:r w:rsidRPr="00D42E2B">
        <w:t>Shuanghui</w:t>
      </w:r>
      <w:proofErr w:type="spellEnd"/>
      <w:r w:rsidRPr="00D42E2B">
        <w:t xml:space="preserve">,” </w:t>
      </w:r>
      <w:proofErr w:type="spellStart"/>
      <w:r w:rsidRPr="00D42E2B">
        <w:t>Caixin</w:t>
      </w:r>
      <w:proofErr w:type="spellEnd"/>
      <w:r w:rsidRPr="00D42E2B">
        <w:t xml:space="preserve"> Online, December 09, 2010</w:t>
      </w:r>
      <w:r>
        <w:t xml:space="preserve">, </w:t>
      </w:r>
      <w:r w:rsidRPr="00D42E2B">
        <w:t>accessed January 3, 2016</w:t>
      </w:r>
      <w:r>
        <w:t>,</w:t>
      </w:r>
      <w:r w:rsidRPr="00D42E2B">
        <w:t xml:space="preserve"> </w:t>
      </w:r>
      <w:r w:rsidRPr="00D42E2B">
        <w:rPr>
          <w:rStyle w:val="Hyperlink"/>
          <w:color w:val="auto"/>
          <w:u w:val="none"/>
        </w:rPr>
        <w:t>http://english.caixin.com/2010-12-09/100205937.html?p3</w:t>
      </w:r>
      <w:r>
        <w:t>.</w:t>
      </w:r>
    </w:p>
  </w:endnote>
  <w:endnote w:id="11">
    <w:p w14:paraId="3B0AA65E" w14:textId="4E7405E9" w:rsidR="00C46AA4" w:rsidRPr="00D42E2B" w:rsidRDefault="00C46AA4" w:rsidP="00D42E2B">
      <w:pPr>
        <w:pStyle w:val="Footnote"/>
      </w:pPr>
      <w:r w:rsidRPr="00D42E2B">
        <w:rPr>
          <w:rStyle w:val="EndnoteReference"/>
        </w:rPr>
        <w:endnoteRef/>
      </w:r>
      <w:r w:rsidRPr="00D42E2B">
        <w:t xml:space="preserve"> </w:t>
      </w:r>
      <w:r>
        <w:t>“</w:t>
      </w:r>
      <w:r w:rsidRPr="00D42E2B">
        <w:t>Smithfield Food,</w:t>
      </w:r>
      <w:r>
        <w:t>”</w:t>
      </w:r>
      <w:r w:rsidRPr="00D42E2B">
        <w:t xml:space="preserve"> accessed March 4, 2015</w:t>
      </w:r>
      <w:r>
        <w:t xml:space="preserve">, </w:t>
      </w:r>
      <w:r w:rsidRPr="00D42E2B">
        <w:t>http://smithfiel</w:t>
      </w:r>
      <w:r>
        <w:t>dfoods.com/our-company/history/</w:t>
      </w:r>
      <w:r w:rsidRPr="00D42E2B">
        <w:t>.</w:t>
      </w:r>
    </w:p>
  </w:endnote>
  <w:endnote w:id="12">
    <w:p w14:paraId="229D2C28" w14:textId="310294A6" w:rsidR="00C46AA4" w:rsidRPr="00D42E2B" w:rsidRDefault="00C46AA4" w:rsidP="00D42E2B">
      <w:pPr>
        <w:pStyle w:val="Footnote"/>
      </w:pPr>
      <w:r w:rsidRPr="00D42E2B">
        <w:rPr>
          <w:rStyle w:val="EndnoteReference"/>
        </w:rPr>
        <w:endnoteRef/>
      </w:r>
      <w:r w:rsidRPr="00D42E2B">
        <w:t xml:space="preserve"> </w:t>
      </w:r>
      <w:proofErr w:type="spellStart"/>
      <w:r w:rsidRPr="00D42E2B">
        <w:t>Shruti</w:t>
      </w:r>
      <w:proofErr w:type="spellEnd"/>
      <w:r w:rsidRPr="00D42E2B">
        <w:t xml:space="preserve"> Date Singh, “</w:t>
      </w:r>
      <w:proofErr w:type="spellStart"/>
      <w:r w:rsidRPr="00D42E2B">
        <w:t>Shuanghui</w:t>
      </w:r>
      <w:proofErr w:type="spellEnd"/>
      <w:r w:rsidRPr="00D42E2B">
        <w:t xml:space="preserve"> Agrees to Acquire</w:t>
      </w:r>
      <w:r>
        <w:t xml:space="preserve"> Smithfield Foods for $4.72b,”</w:t>
      </w:r>
      <w:r w:rsidRPr="00D42E2B">
        <w:t xml:space="preserve"> ‎Bloomberg, May‎ ‎30‎, ‎2013‎, accessed January 3, 2017</w:t>
      </w:r>
      <w:r>
        <w:t xml:space="preserve">, </w:t>
      </w:r>
      <w:r w:rsidRPr="00D42E2B">
        <w:rPr>
          <w:rStyle w:val="Hyperlink"/>
          <w:color w:val="auto"/>
          <w:u w:val="none"/>
        </w:rPr>
        <w:t>www.bloomberg.com/news/articles/2013-05-29/shuanghui-group-said-to-near-agreement-to-buy-smithfield-foods</w:t>
      </w:r>
      <w:r w:rsidRPr="00D42E2B">
        <w:t>.</w:t>
      </w:r>
    </w:p>
  </w:endnote>
  <w:endnote w:id="13">
    <w:p w14:paraId="02B3C35E" w14:textId="14F6837A" w:rsidR="00C46AA4" w:rsidRPr="00D42E2B" w:rsidRDefault="00C46AA4" w:rsidP="00D42E2B">
      <w:pPr>
        <w:pStyle w:val="Footnote"/>
      </w:pPr>
      <w:r w:rsidRPr="00D42E2B">
        <w:rPr>
          <w:rStyle w:val="EndnoteReference"/>
        </w:rPr>
        <w:endnoteRef/>
      </w:r>
      <w:r w:rsidRPr="00D42E2B">
        <w:t xml:space="preserve"> Nathan Halverson, “How China Purchased a Prime Cut of America’s Pork Industry”, Reveal: The Center for Investigative Reporting, January 24, 2015, accessed July 21, 2015</w:t>
      </w:r>
      <w:r>
        <w:t xml:space="preserve">, </w:t>
      </w:r>
      <w:r w:rsidRPr="00D42E2B">
        <w:t>www.revealnews.org/article/how-china-purchased-a-prime</w:t>
      </w:r>
      <w:r>
        <w:t>-cut-of-americas-pork-industry/</w:t>
      </w:r>
      <w:r w:rsidRPr="00D42E2B">
        <w:t>.</w:t>
      </w:r>
    </w:p>
  </w:endnote>
  <w:endnote w:id="14">
    <w:p w14:paraId="455A8F8A" w14:textId="367EDFC7" w:rsidR="00C46AA4" w:rsidRPr="00D42E2B" w:rsidRDefault="00C46AA4" w:rsidP="00D42E2B">
      <w:pPr>
        <w:pStyle w:val="Footnote"/>
      </w:pPr>
      <w:r w:rsidRPr="00D42E2B">
        <w:rPr>
          <w:rStyle w:val="EndnoteReference"/>
        </w:rPr>
        <w:endnoteRef/>
      </w:r>
      <w:r w:rsidRPr="00D42E2B">
        <w:t xml:space="preserve"> Chen </w:t>
      </w:r>
      <w:proofErr w:type="spellStart"/>
      <w:r w:rsidRPr="00D42E2B">
        <w:t>Zhi</w:t>
      </w:r>
      <w:proofErr w:type="spellEnd"/>
      <w:r w:rsidRPr="00D42E2B">
        <w:t>, “</w:t>
      </w:r>
      <w:proofErr w:type="spellStart"/>
      <w:r w:rsidRPr="00D42E2B">
        <w:t>Shuanghui</w:t>
      </w:r>
      <w:proofErr w:type="spellEnd"/>
      <w:r w:rsidRPr="00D42E2B">
        <w:t xml:space="preserve">, Smithfield Complete Merger Deal,” Xinhua News, September 27, 2013, accessed February 19. </w:t>
      </w:r>
      <w:proofErr w:type="gramStart"/>
      <w:r w:rsidRPr="00D42E2B">
        <w:t>2015</w:t>
      </w:r>
      <w:proofErr w:type="gramEnd"/>
      <w:r>
        <w:t xml:space="preserve">, </w:t>
      </w:r>
      <w:r w:rsidRPr="00D42E2B">
        <w:t>http://news.xinhuanet.com/english/business/201</w:t>
      </w:r>
      <w:r>
        <w:t>3-09/27/c_132755541.htm.</w:t>
      </w:r>
    </w:p>
  </w:endnote>
  <w:endnote w:id="15">
    <w:p w14:paraId="3E418949" w14:textId="03C991B1" w:rsidR="00C46AA4" w:rsidRPr="00D42E2B" w:rsidRDefault="00C46AA4" w:rsidP="00D42E2B">
      <w:pPr>
        <w:pStyle w:val="Footnote"/>
      </w:pPr>
      <w:r w:rsidRPr="00D42E2B">
        <w:rPr>
          <w:rStyle w:val="EndnoteReference"/>
        </w:rPr>
        <w:endnoteRef/>
      </w:r>
      <w:r>
        <w:t xml:space="preserve"> </w:t>
      </w:r>
      <w:r w:rsidRPr="00D42E2B">
        <w:t xml:space="preserve">“Smithfield Foods, </w:t>
      </w:r>
      <w:proofErr w:type="spellStart"/>
      <w:r w:rsidRPr="00D42E2B">
        <w:t>Inc</w:t>
      </w:r>
      <w:proofErr w:type="spellEnd"/>
      <w:r w:rsidRPr="00D42E2B">
        <w:t xml:space="preserve">: Does The </w:t>
      </w:r>
      <w:proofErr w:type="spellStart"/>
      <w:r w:rsidRPr="00D42E2B">
        <w:t>Shuanghui</w:t>
      </w:r>
      <w:proofErr w:type="spellEnd"/>
      <w:r w:rsidRPr="00D42E2B">
        <w:t xml:space="preserve"> Deal Undervalue SFD’s Earnings Potential</w:t>
      </w:r>
      <w:proofErr w:type="gramStart"/>
      <w:r w:rsidRPr="00D42E2B">
        <w:t>?,</w:t>
      </w:r>
      <w:proofErr w:type="gramEnd"/>
      <w:r w:rsidRPr="00D42E2B">
        <w:t xml:space="preserve">” </w:t>
      </w:r>
      <w:proofErr w:type="spellStart"/>
      <w:r w:rsidRPr="00D42E2B">
        <w:t>iStockAnalyst</w:t>
      </w:r>
      <w:proofErr w:type="spellEnd"/>
      <w:r w:rsidRPr="00D42E2B">
        <w:t>, May 30, 2013, accessed February 19, 2015</w:t>
      </w:r>
      <w:r>
        <w:t xml:space="preserve">, </w:t>
      </w:r>
      <w:r w:rsidRPr="00D42E2B">
        <w:t>www.istockanalyst.com/finance/story/6443797/smithfield-foods-inc-does-the-shuanghui-deal-under</w:t>
      </w:r>
      <w:r>
        <w:t>values-sfd-s-earnings-potential</w:t>
      </w:r>
      <w:r w:rsidRPr="00D42E2B">
        <w:t>.</w:t>
      </w:r>
    </w:p>
  </w:endnote>
  <w:endnote w:id="16">
    <w:p w14:paraId="733C926E" w14:textId="38DB13F6" w:rsidR="00C46AA4" w:rsidRPr="00D42E2B" w:rsidRDefault="00C46AA4" w:rsidP="00D42E2B">
      <w:pPr>
        <w:pStyle w:val="Footnote"/>
      </w:pPr>
      <w:r w:rsidRPr="00D42E2B">
        <w:rPr>
          <w:rStyle w:val="EndnoteReference"/>
        </w:rPr>
        <w:endnoteRef/>
      </w:r>
      <w:r w:rsidRPr="00D42E2B">
        <w:t xml:space="preserve"> Dave </w:t>
      </w:r>
      <w:proofErr w:type="spellStart"/>
      <w:r w:rsidRPr="00D42E2B">
        <w:t>Fussaro</w:t>
      </w:r>
      <w:proofErr w:type="spellEnd"/>
      <w:r w:rsidRPr="00D42E2B">
        <w:t>, “</w:t>
      </w:r>
      <w:proofErr w:type="spellStart"/>
      <w:r w:rsidRPr="00D42E2B">
        <w:t>Shuanghui</w:t>
      </w:r>
      <w:proofErr w:type="spellEnd"/>
      <w:r w:rsidRPr="00D42E2B">
        <w:t xml:space="preserve"> Completes Smithfield Acquisition</w:t>
      </w:r>
      <w:r>
        <w:t>,</w:t>
      </w:r>
      <w:r w:rsidRPr="00D42E2B">
        <w:t>” October 8, 2013, FoodProcessing.com, accessed January 6, 2017</w:t>
      </w:r>
      <w:r>
        <w:t xml:space="preserve">, </w:t>
      </w:r>
      <w:r w:rsidRPr="00D42E2B">
        <w:rPr>
          <w:rStyle w:val="Hyperlink"/>
          <w:color w:val="auto"/>
          <w:u w:val="none"/>
        </w:rPr>
        <w:t>www.foodpro cessing.com/industrynews/2013/shuanghui-completes-smithfield-acquisition/</w:t>
      </w:r>
      <w:r w:rsidRPr="00D42E2B">
        <w:t>.</w:t>
      </w:r>
    </w:p>
  </w:endnote>
  <w:endnote w:id="17">
    <w:p w14:paraId="75CA68CA" w14:textId="7F31AAF3" w:rsidR="00C46AA4" w:rsidRPr="00D42E2B" w:rsidRDefault="00C46AA4" w:rsidP="00D42E2B">
      <w:pPr>
        <w:pStyle w:val="Footnote"/>
      </w:pPr>
      <w:r w:rsidRPr="002328B9">
        <w:rPr>
          <w:rStyle w:val="EndnoteReference"/>
        </w:rPr>
        <w:endnoteRef/>
      </w:r>
      <w:r>
        <w:t xml:space="preserve"> </w:t>
      </w:r>
      <w:r w:rsidRPr="00D42E2B">
        <w:t>Ch</w:t>
      </w:r>
      <w:r>
        <w:t xml:space="preserve">en </w:t>
      </w:r>
      <w:proofErr w:type="spellStart"/>
      <w:r>
        <w:t>Zhi</w:t>
      </w:r>
      <w:proofErr w:type="spellEnd"/>
      <w:r>
        <w:t>, “</w:t>
      </w:r>
      <w:proofErr w:type="spellStart"/>
      <w:r>
        <w:t>Shuanghui</w:t>
      </w:r>
      <w:proofErr w:type="spellEnd"/>
      <w:r>
        <w:t>, Smithfield Complete Merger Deal,”</w:t>
      </w:r>
      <w:r w:rsidRPr="00D42E2B">
        <w:t xml:space="preserve"> September 27, 2013, accessed January 6, 2017</w:t>
      </w:r>
      <w:r>
        <w:t xml:space="preserve">, </w:t>
      </w:r>
      <w:hyperlink r:id="rId2" w:history="1">
        <w:r w:rsidRPr="00D42E2B">
          <w:rPr>
            <w:rStyle w:val="Hyperlink"/>
            <w:color w:val="auto"/>
            <w:u w:val="none"/>
          </w:rPr>
          <w:t>http://news.xinhuanet.com/english/business/2013-09/27/c_132755541.htm</w:t>
        </w:r>
      </w:hyperlink>
      <w:r w:rsidRPr="00D42E2B">
        <w:t>.</w:t>
      </w:r>
    </w:p>
  </w:endnote>
  <w:endnote w:id="18">
    <w:p w14:paraId="666BA0A7" w14:textId="1CBD0714" w:rsidR="00C46AA4" w:rsidRPr="002328B9" w:rsidRDefault="00C46AA4" w:rsidP="002328B9">
      <w:pPr>
        <w:pStyle w:val="Footnote"/>
      </w:pPr>
      <w:r w:rsidRPr="002328B9">
        <w:rPr>
          <w:rStyle w:val="EndnoteReference"/>
        </w:rPr>
        <w:endnoteRef/>
      </w:r>
      <w:r w:rsidRPr="002328B9">
        <w:t xml:space="preserve"> “Pigs Will Fly,” op. cit.</w:t>
      </w:r>
    </w:p>
  </w:endnote>
  <w:endnote w:id="19">
    <w:p w14:paraId="49FF24C6" w14:textId="777D1DF1" w:rsidR="00C46AA4" w:rsidRPr="002328B9" w:rsidRDefault="00C46AA4" w:rsidP="002328B9">
      <w:pPr>
        <w:pStyle w:val="Footnote"/>
      </w:pPr>
      <w:r w:rsidRPr="002328B9">
        <w:rPr>
          <w:rStyle w:val="EndnoteReference"/>
        </w:rPr>
        <w:endnoteRef/>
      </w:r>
      <w:r w:rsidRPr="002328B9">
        <w:t xml:space="preserve"> S.</w:t>
      </w:r>
      <w:r w:rsidR="00E417DF">
        <w:t xml:space="preserve"> </w:t>
      </w:r>
      <w:r w:rsidRPr="002328B9">
        <w:t>D. Singh, “</w:t>
      </w:r>
      <w:proofErr w:type="spellStart"/>
      <w:r w:rsidRPr="002328B9">
        <w:t>Shuanghui</w:t>
      </w:r>
      <w:proofErr w:type="spellEnd"/>
      <w:r w:rsidRPr="002328B9">
        <w:t xml:space="preserve"> Agrees to Acquire Smithfield Foods for $4.72b,” Bloomberg, May 30, 2013, accessed March 2, 2015</w:t>
      </w:r>
      <w:r>
        <w:t xml:space="preserve">, </w:t>
      </w:r>
      <w:r w:rsidRPr="002328B9">
        <w:t>www.bloomberg.com/ news/articles/2013-05-29/shuanghui-group-said-to-near-ag</w:t>
      </w:r>
      <w:r>
        <w:t>reement-to-buy-smithfield-foods</w:t>
      </w:r>
      <w:r w:rsidRPr="002328B9">
        <w:t>.</w:t>
      </w:r>
    </w:p>
  </w:endnote>
  <w:endnote w:id="20">
    <w:p w14:paraId="5C328E4E" w14:textId="77777777" w:rsidR="00C46AA4" w:rsidRPr="00140AC3" w:rsidRDefault="00C46AA4" w:rsidP="002328B9">
      <w:pPr>
        <w:pStyle w:val="Footnote"/>
        <w:rPr>
          <w:lang w:val="it-IT"/>
        </w:rPr>
      </w:pPr>
      <w:r w:rsidRPr="002328B9">
        <w:rPr>
          <w:rStyle w:val="EndnoteReference"/>
        </w:rPr>
        <w:endnoteRef/>
      </w:r>
      <w:r w:rsidRPr="00140AC3">
        <w:rPr>
          <w:lang w:val="it-IT"/>
        </w:rPr>
        <w:t xml:space="preserve"> </w:t>
      </w:r>
      <w:r w:rsidRPr="00140AC3">
        <w:rPr>
          <w:lang w:val="it-IT"/>
        </w:rPr>
        <w:t>D. Mattioli, D. Cimilluca, D. Kesmodel, op. cit.</w:t>
      </w:r>
    </w:p>
  </w:endnote>
  <w:endnote w:id="21">
    <w:p w14:paraId="0BCE76CF" w14:textId="54A00877" w:rsidR="00C46AA4" w:rsidRPr="002328B9" w:rsidRDefault="00C46AA4" w:rsidP="002328B9">
      <w:pPr>
        <w:pStyle w:val="Footnote"/>
      </w:pPr>
      <w:r w:rsidRPr="002328B9">
        <w:rPr>
          <w:rStyle w:val="EndnoteReference"/>
        </w:rPr>
        <w:endnoteRef/>
      </w:r>
      <w:r w:rsidRPr="002328B9">
        <w:t xml:space="preserve"> Nathan Halverson, </w:t>
      </w:r>
      <w:r>
        <w:t>“</w:t>
      </w:r>
      <w:r w:rsidRPr="002328B9">
        <w:t xml:space="preserve">How China </w:t>
      </w:r>
      <w:r>
        <w:t>P</w:t>
      </w:r>
      <w:r w:rsidRPr="002328B9">
        <w:t xml:space="preserve">urchased a </w:t>
      </w:r>
      <w:r>
        <w:t>P</w:t>
      </w:r>
      <w:r w:rsidRPr="002328B9">
        <w:t xml:space="preserve">rime </w:t>
      </w:r>
      <w:r>
        <w:t>C</w:t>
      </w:r>
      <w:r w:rsidRPr="002328B9">
        <w:t xml:space="preserve">ut of America’s </w:t>
      </w:r>
      <w:r>
        <w:t>P</w:t>
      </w:r>
      <w:r w:rsidRPr="002328B9">
        <w:t xml:space="preserve">ork </w:t>
      </w:r>
      <w:r>
        <w:t>I</w:t>
      </w:r>
      <w:r w:rsidRPr="002328B9">
        <w:t>ndustry,</w:t>
      </w:r>
      <w:r>
        <w:t>”</w:t>
      </w:r>
      <w:r w:rsidRPr="002328B9">
        <w:t xml:space="preserve"> </w:t>
      </w:r>
      <w:proofErr w:type="gramStart"/>
      <w:r w:rsidRPr="002328B9">
        <w:t>Reveal:</w:t>
      </w:r>
      <w:proofErr w:type="gramEnd"/>
      <w:r w:rsidRPr="002328B9">
        <w:t xml:space="preserve"> The Center for Investigative Reporting, January 24, 2015, accessed January 11, 2016</w:t>
      </w:r>
      <w:r>
        <w:t xml:space="preserve">, </w:t>
      </w:r>
      <w:r w:rsidRPr="002328B9">
        <w:t>www.revealnews.org/article/how-china-purchased-a-prim</w:t>
      </w:r>
      <w:r>
        <w:t>e-cut-of-americas-pork-industry</w:t>
      </w:r>
      <w:r w:rsidRPr="002328B9">
        <w:t xml:space="preserve">. </w:t>
      </w:r>
    </w:p>
  </w:endnote>
  <w:endnote w:id="22">
    <w:p w14:paraId="1A8A2007" w14:textId="77777777" w:rsidR="00C46AA4" w:rsidRPr="002328B9" w:rsidRDefault="00C46AA4" w:rsidP="002328B9">
      <w:pPr>
        <w:pStyle w:val="Footnote"/>
      </w:pPr>
      <w:r w:rsidRPr="002328B9">
        <w:rPr>
          <w:rStyle w:val="EndnoteReference"/>
        </w:rPr>
        <w:endnoteRef/>
      </w:r>
      <w:r w:rsidRPr="002328B9">
        <w:t xml:space="preserve"> Ibid.</w:t>
      </w:r>
    </w:p>
  </w:endnote>
  <w:endnote w:id="23">
    <w:p w14:paraId="3FFB7047" w14:textId="33EC541F" w:rsidR="00C46AA4" w:rsidRPr="002328B9" w:rsidRDefault="00C46AA4" w:rsidP="002328B9">
      <w:pPr>
        <w:pStyle w:val="Footnote"/>
      </w:pPr>
      <w:r w:rsidRPr="002328B9">
        <w:rPr>
          <w:rStyle w:val="EndnoteReference"/>
        </w:rPr>
        <w:endnoteRef/>
      </w:r>
      <w:r w:rsidRPr="002328B9">
        <w:t xml:space="preserve"> </w:t>
      </w:r>
      <w:proofErr w:type="spellStart"/>
      <w:r w:rsidRPr="002328B9">
        <w:t>Lianting</w:t>
      </w:r>
      <w:proofErr w:type="spellEnd"/>
      <w:r w:rsidRPr="002328B9">
        <w:t xml:space="preserve"> </w:t>
      </w:r>
      <w:proofErr w:type="spellStart"/>
      <w:r w:rsidRPr="002328B9">
        <w:t>Tu</w:t>
      </w:r>
      <w:proofErr w:type="spellEnd"/>
      <w:r w:rsidRPr="002328B9">
        <w:t>, “</w:t>
      </w:r>
      <w:proofErr w:type="spellStart"/>
      <w:r w:rsidRPr="002328B9">
        <w:t>Shuanghui’s</w:t>
      </w:r>
      <w:proofErr w:type="spellEnd"/>
      <w:r w:rsidRPr="002328B9">
        <w:t xml:space="preserve"> USD 4bn Acquisition Loan Attracts USD 750m to Date from 20 Banks; First Settlement Date Set for 25 November,” </w:t>
      </w:r>
      <w:proofErr w:type="spellStart"/>
      <w:r w:rsidRPr="002328B9">
        <w:t>Debtwire</w:t>
      </w:r>
      <w:proofErr w:type="spellEnd"/>
      <w:r w:rsidRPr="002328B9">
        <w:t>, November 11, 2013.</w:t>
      </w:r>
    </w:p>
  </w:endnote>
  <w:endnote w:id="24">
    <w:p w14:paraId="2C0F356D" w14:textId="77777777" w:rsidR="00C46AA4" w:rsidRPr="002328B9" w:rsidRDefault="00C46AA4" w:rsidP="002328B9">
      <w:pPr>
        <w:pStyle w:val="Footnote"/>
      </w:pPr>
      <w:r w:rsidRPr="002328B9">
        <w:rPr>
          <w:rStyle w:val="EndnoteReference"/>
        </w:rPr>
        <w:endnoteRef/>
      </w:r>
      <w:r w:rsidRPr="002328B9">
        <w:t xml:space="preserve"> Ibid.</w:t>
      </w:r>
    </w:p>
  </w:endnote>
  <w:endnote w:id="25">
    <w:p w14:paraId="24E8FFB3" w14:textId="1AC54D41" w:rsidR="00C46AA4" w:rsidRPr="002328B9" w:rsidRDefault="00C46AA4" w:rsidP="002328B9">
      <w:pPr>
        <w:pStyle w:val="Footnote"/>
      </w:pPr>
      <w:r w:rsidRPr="002328B9">
        <w:rPr>
          <w:rStyle w:val="EndnoteReference"/>
        </w:rPr>
        <w:endnoteRef/>
      </w:r>
      <w:r w:rsidRPr="002328B9">
        <w:t xml:space="preserve"> </w:t>
      </w:r>
      <w:proofErr w:type="spellStart"/>
      <w:r w:rsidRPr="002328B9">
        <w:t>Lianting</w:t>
      </w:r>
      <w:proofErr w:type="spellEnd"/>
      <w:r w:rsidRPr="002328B9">
        <w:t xml:space="preserve"> </w:t>
      </w:r>
      <w:proofErr w:type="spellStart"/>
      <w:r w:rsidRPr="002328B9">
        <w:t>Tu</w:t>
      </w:r>
      <w:proofErr w:type="spellEnd"/>
      <w:r w:rsidRPr="002328B9">
        <w:t>, “</w:t>
      </w:r>
      <w:proofErr w:type="spellStart"/>
      <w:r w:rsidRPr="002328B9">
        <w:t>Shuanghui</w:t>
      </w:r>
      <w:proofErr w:type="spellEnd"/>
      <w:r w:rsidRPr="002328B9">
        <w:t xml:space="preserve"> Concludes Roadshows in Hong Kong and Taipei for USD 4bn Acquisition Loan; Invitees Generally Keen But Wary of Repayment Risks,” </w:t>
      </w:r>
      <w:proofErr w:type="spellStart"/>
      <w:r w:rsidRPr="002328B9">
        <w:t>Debtwire</w:t>
      </w:r>
      <w:proofErr w:type="spellEnd"/>
      <w:r w:rsidRPr="002328B9">
        <w:t>, September 18, 2013.</w:t>
      </w:r>
    </w:p>
  </w:endnote>
  <w:endnote w:id="26">
    <w:p w14:paraId="19A644DB" w14:textId="01962103" w:rsidR="00C46AA4" w:rsidRPr="002328B9" w:rsidRDefault="00C46AA4" w:rsidP="002328B9">
      <w:pPr>
        <w:pStyle w:val="Footnote"/>
      </w:pPr>
      <w:r w:rsidRPr="002328B9">
        <w:rPr>
          <w:rStyle w:val="EndnoteReference"/>
        </w:rPr>
        <w:endnoteRef/>
      </w:r>
      <w:r w:rsidRPr="002328B9">
        <w:t xml:space="preserve"> E.</w:t>
      </w:r>
      <w:r w:rsidR="00E417DF">
        <w:t xml:space="preserve"> </w:t>
      </w:r>
      <w:r w:rsidRPr="002328B9">
        <w:t>D. Melendez, “Smithfield-</w:t>
      </w:r>
      <w:proofErr w:type="spellStart"/>
      <w:r w:rsidRPr="002328B9">
        <w:t>Shuanghui</w:t>
      </w:r>
      <w:proofErr w:type="spellEnd"/>
      <w:r w:rsidRPr="002328B9">
        <w:t xml:space="preserve"> Merger Faces Opposition from Food Safety Advocates,” Huffington Post, May 30, 2013, accessed February 19, 2015</w:t>
      </w:r>
      <w:r>
        <w:t xml:space="preserve">, </w:t>
      </w:r>
      <w:r w:rsidRPr="002328B9">
        <w:t>www.huffingtonpost.com/2013/05/29/smithfield-shuanghui-merger_n_3355326.html</w:t>
      </w:r>
      <w:proofErr w:type="gramStart"/>
      <w:r>
        <w:t>.</w:t>
      </w:r>
      <w:r w:rsidRPr="002328B9">
        <w:t>.</w:t>
      </w:r>
      <w:proofErr w:type="gramEnd"/>
    </w:p>
  </w:endnote>
  <w:endnote w:id="27">
    <w:p w14:paraId="1AAC3C55" w14:textId="5F23B227" w:rsidR="00C46AA4" w:rsidRPr="00C46AA4" w:rsidRDefault="00C46AA4" w:rsidP="002328B9">
      <w:pPr>
        <w:pStyle w:val="Footnote"/>
        <w:rPr>
          <w:spacing w:val="-2"/>
          <w:kern w:val="17"/>
        </w:rPr>
      </w:pPr>
      <w:r w:rsidRPr="00C46AA4">
        <w:rPr>
          <w:rStyle w:val="EndnoteReference"/>
          <w:spacing w:val="-2"/>
          <w:kern w:val="17"/>
        </w:rPr>
        <w:endnoteRef/>
      </w:r>
      <w:r w:rsidRPr="00C46AA4">
        <w:rPr>
          <w:spacing w:val="-2"/>
          <w:kern w:val="17"/>
        </w:rPr>
        <w:t xml:space="preserve"> China Press “Can </w:t>
      </w:r>
      <w:proofErr w:type="spellStart"/>
      <w:r w:rsidRPr="00C46AA4">
        <w:rPr>
          <w:spacing w:val="-2"/>
          <w:kern w:val="17"/>
        </w:rPr>
        <w:t>Shuanghui</w:t>
      </w:r>
      <w:proofErr w:type="spellEnd"/>
      <w:r w:rsidRPr="00C46AA4">
        <w:rPr>
          <w:spacing w:val="-2"/>
          <w:kern w:val="17"/>
        </w:rPr>
        <w:t>-Smithfield Deal Bring Safe Pork Products to Chinese Consumers</w:t>
      </w:r>
      <w:proofErr w:type="gramStart"/>
      <w:r w:rsidRPr="00C46AA4">
        <w:rPr>
          <w:spacing w:val="-2"/>
          <w:kern w:val="17"/>
        </w:rPr>
        <w:t>?,</w:t>
      </w:r>
      <w:proofErr w:type="gramEnd"/>
      <w:r w:rsidRPr="00C46AA4">
        <w:rPr>
          <w:spacing w:val="-2"/>
          <w:kern w:val="17"/>
        </w:rPr>
        <w:t xml:space="preserve">” October 9, 2013, accessed July 21, 2015, www.sino-us.com/292/Can-Shuanghui-Smithfield-deal-bring-safe-pork-products-to-Chinese-consumers-.html. </w:t>
      </w:r>
    </w:p>
  </w:endnote>
  <w:endnote w:id="28">
    <w:p w14:paraId="3449F70D" w14:textId="77777777" w:rsidR="00C46AA4" w:rsidRPr="002328B9" w:rsidRDefault="00C46AA4" w:rsidP="002328B9">
      <w:pPr>
        <w:pStyle w:val="Footnote"/>
      </w:pPr>
      <w:r w:rsidRPr="002328B9">
        <w:rPr>
          <w:rStyle w:val="EndnoteReference"/>
        </w:rPr>
        <w:endnoteRef/>
      </w:r>
      <w:r w:rsidRPr="002328B9">
        <w:t xml:space="preserve"> </w:t>
      </w:r>
      <w:r w:rsidRPr="002328B9">
        <w:rPr>
          <w:rFonts w:eastAsia="SimSun"/>
        </w:rPr>
        <w:t>WH Group IPO Prospectus, accessed March 3, 2015.</w:t>
      </w:r>
    </w:p>
  </w:endnote>
  <w:endnote w:id="29">
    <w:p w14:paraId="5C935A40" w14:textId="70FD356B" w:rsidR="00C46AA4" w:rsidRPr="002328B9" w:rsidRDefault="00C46AA4" w:rsidP="002328B9">
      <w:pPr>
        <w:pStyle w:val="Footnote"/>
      </w:pPr>
      <w:r w:rsidRPr="002328B9">
        <w:rPr>
          <w:rStyle w:val="EndnoteReference"/>
        </w:rPr>
        <w:endnoteRef/>
      </w:r>
      <w:r w:rsidRPr="002328B9">
        <w:t xml:space="preserve"> </w:t>
      </w:r>
      <w:r>
        <w:rPr>
          <w:rFonts w:eastAsia="SimSun"/>
        </w:rPr>
        <w:t>Ibid.</w:t>
      </w:r>
    </w:p>
  </w:endnote>
  <w:endnote w:id="30">
    <w:p w14:paraId="1BFA2D22" w14:textId="4F957C56" w:rsidR="00C46AA4" w:rsidRPr="002328B9" w:rsidRDefault="00C46AA4" w:rsidP="002328B9">
      <w:pPr>
        <w:pStyle w:val="Footnote"/>
      </w:pPr>
      <w:r w:rsidRPr="002328B9">
        <w:rPr>
          <w:rStyle w:val="EndnoteReference"/>
        </w:rPr>
        <w:endnoteRef/>
      </w:r>
      <w:r w:rsidRPr="002328B9">
        <w:t xml:space="preserve"> “</w:t>
      </w:r>
      <w:proofErr w:type="spellStart"/>
      <w:r w:rsidRPr="002328B9">
        <w:t>Shuanghui</w:t>
      </w:r>
      <w:proofErr w:type="spellEnd"/>
      <w:r w:rsidRPr="002328B9">
        <w:t xml:space="preserve"> International Changes Name to WH Group,” Business Wire, January 21, 2014, accessed February 19, 2015</w:t>
      </w:r>
      <w:r>
        <w:t xml:space="preserve">, </w:t>
      </w:r>
      <w:r w:rsidRPr="002328B9">
        <w:t>www.businesswire.com/news/home/20140121005322/en/Sh</w:t>
      </w:r>
      <w:r>
        <w:t>uanghui-International-WH-Group.</w:t>
      </w:r>
    </w:p>
  </w:endnote>
  <w:endnote w:id="31">
    <w:p w14:paraId="6BF01C1A" w14:textId="77777777" w:rsidR="00C46AA4" w:rsidRPr="002328B9" w:rsidRDefault="00C46AA4" w:rsidP="002328B9">
      <w:pPr>
        <w:pStyle w:val="Footnote"/>
      </w:pPr>
      <w:r w:rsidRPr="002328B9">
        <w:rPr>
          <w:rStyle w:val="EndnoteReference"/>
        </w:rPr>
        <w:endnoteRef/>
      </w:r>
      <w:r w:rsidRPr="002328B9">
        <w:t xml:space="preserve"> Material in this section </w:t>
      </w:r>
      <w:proofErr w:type="gramStart"/>
      <w:r w:rsidRPr="002328B9">
        <w:t>is based</w:t>
      </w:r>
      <w:proofErr w:type="gramEnd"/>
      <w:r w:rsidRPr="002328B9">
        <w:t xml:space="preserve"> on </w:t>
      </w:r>
      <w:r w:rsidRPr="002328B9">
        <w:rPr>
          <w:rFonts w:eastAsia="SimSun"/>
        </w:rPr>
        <w:t>WH Group IPO Prospectus, accessed May 4, 2015.</w:t>
      </w:r>
    </w:p>
  </w:endnote>
  <w:endnote w:id="32">
    <w:p w14:paraId="5D423CC3" w14:textId="5AAA8985" w:rsidR="00C46AA4" w:rsidRPr="002328B9" w:rsidRDefault="00C46AA4" w:rsidP="002328B9">
      <w:pPr>
        <w:pStyle w:val="Footnote"/>
      </w:pPr>
      <w:r w:rsidRPr="002328B9">
        <w:rPr>
          <w:rStyle w:val="EndnoteReference"/>
        </w:rPr>
        <w:endnoteRef/>
      </w:r>
      <w:r w:rsidRPr="002328B9">
        <w:t xml:space="preserve"> </w:t>
      </w:r>
      <w:r>
        <w:t xml:space="preserve">Ibid. </w:t>
      </w:r>
    </w:p>
  </w:endnote>
  <w:endnote w:id="33">
    <w:p w14:paraId="3AA10EC5" w14:textId="5B41ACB9" w:rsidR="00C46AA4" w:rsidRPr="002D248E" w:rsidRDefault="00C46AA4" w:rsidP="002328B9">
      <w:pPr>
        <w:pStyle w:val="Footnote"/>
      </w:pPr>
      <w:r w:rsidRPr="002328B9">
        <w:rPr>
          <w:rStyle w:val="EndnoteReference"/>
        </w:rPr>
        <w:endnoteRef/>
      </w:r>
      <w:r w:rsidRPr="002328B9">
        <w:t xml:space="preserve"> </w:t>
      </w:r>
      <w:r>
        <w:t xml:space="preserve">Ibid. </w:t>
      </w:r>
    </w:p>
  </w:endnote>
  <w:endnote w:id="34">
    <w:p w14:paraId="56BB20B0" w14:textId="777665AB" w:rsidR="00C46AA4" w:rsidRPr="002328B9" w:rsidRDefault="00C46AA4" w:rsidP="002328B9">
      <w:pPr>
        <w:pStyle w:val="Footnote"/>
        <w:rPr>
          <w:spacing w:val="-2"/>
          <w:kern w:val="17"/>
        </w:rPr>
      </w:pPr>
      <w:r w:rsidRPr="002328B9">
        <w:rPr>
          <w:rStyle w:val="EndnoteReference"/>
          <w:spacing w:val="-2"/>
          <w:kern w:val="17"/>
        </w:rPr>
        <w:endnoteRef/>
      </w:r>
      <w:r w:rsidRPr="002328B9">
        <w:rPr>
          <w:spacing w:val="-2"/>
          <w:kern w:val="17"/>
        </w:rPr>
        <w:t xml:space="preserve"> Ned Levin, “WH Group’s IPO Prospectus: How the Sausage Gets Made,” Wall Street Journal Blog, April 15, 2014</w:t>
      </w:r>
      <w:r>
        <w:rPr>
          <w:spacing w:val="-2"/>
          <w:kern w:val="17"/>
        </w:rPr>
        <w:t>,</w:t>
      </w:r>
      <w:r w:rsidRPr="002328B9">
        <w:rPr>
          <w:spacing w:val="-2"/>
          <w:kern w:val="17"/>
        </w:rPr>
        <w:t xml:space="preserve"> accessed December 29, 2015, </w:t>
      </w:r>
      <w:hyperlink r:id="rId3" w:history="1">
        <w:r w:rsidRPr="002328B9">
          <w:rPr>
            <w:rStyle w:val="Hyperlink"/>
            <w:color w:val="auto"/>
            <w:spacing w:val="-2"/>
            <w:kern w:val="17"/>
            <w:u w:val="none"/>
          </w:rPr>
          <w:t>http://blogs.wsj.com/moneybeat/2014/04/15/wh-groups-ipo-prospectus-how-the-sausage-gets-made/</w:t>
        </w:r>
      </w:hyperlink>
      <w:r w:rsidRPr="002328B9">
        <w:rPr>
          <w:spacing w:val="-2"/>
          <w:kern w:val="17"/>
        </w:rPr>
        <w:t>.</w:t>
      </w:r>
    </w:p>
  </w:endnote>
  <w:endnote w:id="35">
    <w:p w14:paraId="4F9D7AFC" w14:textId="6F753DE5" w:rsidR="00C46AA4" w:rsidRPr="002328B9" w:rsidRDefault="00C46AA4" w:rsidP="002328B9">
      <w:pPr>
        <w:pStyle w:val="Footnote"/>
      </w:pPr>
      <w:r w:rsidRPr="002328B9">
        <w:rPr>
          <w:rStyle w:val="EndnoteReference"/>
        </w:rPr>
        <w:endnoteRef/>
      </w:r>
      <w:r>
        <w:t xml:space="preserve"> HK$1 = US$0.13 on </w:t>
      </w:r>
      <w:r w:rsidRPr="002328B9">
        <w:t>January 11, 2016</w:t>
      </w:r>
      <w:r>
        <w:t>.</w:t>
      </w:r>
    </w:p>
  </w:endnote>
  <w:endnote w:id="36">
    <w:p w14:paraId="1FEF9A82" w14:textId="142759B8" w:rsidR="00C46AA4" w:rsidRPr="002328B9" w:rsidRDefault="00C46AA4" w:rsidP="002328B9">
      <w:pPr>
        <w:pStyle w:val="Footnote"/>
      </w:pPr>
      <w:r w:rsidRPr="002328B9">
        <w:rPr>
          <w:rStyle w:val="EndnoteReference"/>
        </w:rPr>
        <w:endnoteRef/>
      </w:r>
      <w:r w:rsidRPr="002328B9">
        <w:t xml:space="preserve"> Suzie Waite, “WH Group Shrinks IPO,” </w:t>
      </w:r>
      <w:proofErr w:type="spellStart"/>
      <w:r w:rsidRPr="002328B9">
        <w:t>FinanceAsia</w:t>
      </w:r>
      <w:proofErr w:type="spellEnd"/>
      <w:r w:rsidRPr="002328B9">
        <w:t>, April 22, 2014, accessed December 29, 2015</w:t>
      </w:r>
      <w:r>
        <w:t xml:space="preserve">, </w:t>
      </w:r>
      <w:hyperlink r:id="rId4" w:history="1">
        <w:r w:rsidRPr="002328B9">
          <w:rPr>
            <w:rStyle w:val="Hyperlink"/>
            <w:color w:val="auto"/>
            <w:u w:val="none"/>
          </w:rPr>
          <w:t>www.financeasia.com/News/383480,wh-group-shrinks-ipo.aspx</w:t>
        </w:r>
      </w:hyperlink>
      <w:r w:rsidRPr="002328B9">
        <w:t>, accessed on December 29, 2015.</w:t>
      </w:r>
    </w:p>
  </w:endnote>
  <w:endnote w:id="37">
    <w:p w14:paraId="442C8D68" w14:textId="44A9A06A" w:rsidR="00C46AA4" w:rsidRPr="002328B9" w:rsidRDefault="00C46AA4" w:rsidP="002328B9">
      <w:pPr>
        <w:pStyle w:val="Footnote"/>
      </w:pPr>
      <w:r w:rsidRPr="002328B9">
        <w:rPr>
          <w:rStyle w:val="EndnoteReference"/>
        </w:rPr>
        <w:endnoteRef/>
      </w:r>
      <w:r>
        <w:t xml:space="preserve"> </w:t>
      </w:r>
      <w:proofErr w:type="spellStart"/>
      <w:r>
        <w:t>Una</w:t>
      </w:r>
      <w:proofErr w:type="spellEnd"/>
      <w:r>
        <w:t xml:space="preserve"> </w:t>
      </w:r>
      <w:proofErr w:type="spellStart"/>
      <w:r>
        <w:t>Galani</w:t>
      </w:r>
      <w:proofErr w:type="spellEnd"/>
      <w:r>
        <w:t>, “The Whole Hog,”</w:t>
      </w:r>
      <w:r w:rsidRPr="002328B9">
        <w:t xml:space="preserve"> </w:t>
      </w:r>
      <w:proofErr w:type="spellStart"/>
      <w:r w:rsidRPr="002328B9">
        <w:t>breakingviews</w:t>
      </w:r>
      <w:proofErr w:type="spellEnd"/>
      <w:r w:rsidRPr="002328B9">
        <w:t>, April 15, 2014, accessed December 29, 2015</w:t>
      </w:r>
      <w:r>
        <w:t xml:space="preserve">, </w:t>
      </w:r>
      <w:r w:rsidRPr="002328B9">
        <w:t>www.breakingviews.com/wh-group%E2%80%99s-quick-pork-flip-serves-u</w:t>
      </w:r>
      <w:r>
        <w:t>p-meaty-return/21141367.article</w:t>
      </w:r>
      <w:r w:rsidRPr="002328B9">
        <w:t>.</w:t>
      </w:r>
    </w:p>
  </w:endnote>
  <w:endnote w:id="38">
    <w:p w14:paraId="1F92BA31" w14:textId="338A38A4" w:rsidR="00C46AA4" w:rsidRPr="002328B9" w:rsidRDefault="00C46AA4" w:rsidP="002328B9">
      <w:pPr>
        <w:pStyle w:val="Footnote"/>
      </w:pPr>
      <w:r w:rsidRPr="002328B9">
        <w:rPr>
          <w:rStyle w:val="EndnoteReference"/>
        </w:rPr>
        <w:endnoteRef/>
      </w:r>
      <w:r w:rsidRPr="002328B9">
        <w:t xml:space="preserve"> Fox Hu and Jonathan Browning, “WH Group Pulls $1.9 Billion IPO as Bottom Price Said Snubbed,” Bloomberg, ‎April‎ ‎30‎, ‎2014‎, accessed July 21, 2015</w:t>
      </w:r>
      <w:r>
        <w:t xml:space="preserve">, </w:t>
      </w:r>
      <w:r w:rsidRPr="002328B9">
        <w:t>https://www.bloomberg.com/news/articles/2014-04-29/wh-group-said-to-cancel-1-9-billion-hong-kong-initial-offer-1-</w:t>
      </w:r>
      <w:r>
        <w:t>.</w:t>
      </w:r>
    </w:p>
  </w:endnote>
  <w:endnote w:id="39">
    <w:p w14:paraId="5AFDAAFD" w14:textId="3A7BE1AB" w:rsidR="00C46AA4" w:rsidRPr="002328B9" w:rsidRDefault="00C46AA4" w:rsidP="002328B9">
      <w:pPr>
        <w:pStyle w:val="Footnote"/>
      </w:pPr>
      <w:r w:rsidRPr="002328B9">
        <w:rPr>
          <w:rStyle w:val="EndnoteReference"/>
        </w:rPr>
        <w:endnoteRef/>
      </w:r>
      <w:r w:rsidRPr="002328B9">
        <w:t xml:space="preserve"> Prudence Ho, “WH Group Failed to Heed Signals </w:t>
      </w:r>
      <w:proofErr w:type="gramStart"/>
      <w:r w:rsidRPr="002328B9">
        <w:t>Before</w:t>
      </w:r>
      <w:proofErr w:type="gramEnd"/>
      <w:r w:rsidRPr="002328B9">
        <w:t xml:space="preserve"> Scrapping IPO,” </w:t>
      </w:r>
      <w:r w:rsidRPr="00E417DF">
        <w:rPr>
          <w:i/>
        </w:rPr>
        <w:t>Wall Street Journal</w:t>
      </w:r>
      <w:r w:rsidRPr="002328B9">
        <w:t>, April 29, 2014</w:t>
      </w:r>
      <w:r>
        <w:t>,</w:t>
      </w:r>
      <w:r w:rsidRPr="002328B9">
        <w:t xml:space="preserve"> accessed March 3, 2015</w:t>
      </w:r>
      <w:r>
        <w:t xml:space="preserve">, </w:t>
      </w:r>
      <w:r w:rsidRPr="002328B9">
        <w:t>www.wsj.com/articles/SB1000142405</w:t>
      </w:r>
      <w:r>
        <w:t>2702304163604579531293474780858</w:t>
      </w:r>
      <w:r w:rsidRPr="002328B9">
        <w:t>.</w:t>
      </w:r>
    </w:p>
  </w:endnote>
  <w:endnote w:id="40">
    <w:p w14:paraId="509586CC" w14:textId="3D8D2AD2" w:rsidR="00C46AA4" w:rsidRPr="002328B9" w:rsidRDefault="00C46AA4" w:rsidP="002328B9">
      <w:pPr>
        <w:pStyle w:val="Footnote"/>
      </w:pPr>
      <w:r w:rsidRPr="002328B9">
        <w:rPr>
          <w:rStyle w:val="EndnoteReference"/>
        </w:rPr>
        <w:endnoteRef/>
      </w:r>
      <w:r w:rsidRPr="002328B9">
        <w:t xml:space="preserve"> Suzie Waite, “WH Group IPO is Now More of a Piglet,” </w:t>
      </w:r>
      <w:proofErr w:type="spellStart"/>
      <w:r w:rsidRPr="002328B9">
        <w:t>FinanceAsia</w:t>
      </w:r>
      <w:proofErr w:type="spellEnd"/>
      <w:r w:rsidRPr="002328B9">
        <w:t>, July 22, 2014</w:t>
      </w:r>
      <w:r>
        <w:t>,</w:t>
      </w:r>
      <w:r w:rsidRPr="002328B9">
        <w:t xml:space="preserve"> accessed March 3, 2015</w:t>
      </w:r>
      <w:r>
        <w:t xml:space="preserve">, </w:t>
      </w:r>
      <w:r w:rsidRPr="002328B9">
        <w:t>www.financeasia.com/News/388858,wh-group-i</w:t>
      </w:r>
      <w:r>
        <w:t>po-is-now-more-of-a-piglet.aspx</w:t>
      </w:r>
      <w:r w:rsidRPr="002328B9">
        <w:t>.</w:t>
      </w:r>
    </w:p>
  </w:endnote>
  <w:endnote w:id="41">
    <w:p w14:paraId="11131B19" w14:textId="6BB0A1FD" w:rsidR="00C46AA4" w:rsidRPr="00E417DF" w:rsidRDefault="00C46AA4" w:rsidP="002328B9">
      <w:pPr>
        <w:pStyle w:val="Footnote"/>
        <w:rPr>
          <w:spacing w:val="-6"/>
          <w:kern w:val="17"/>
        </w:rPr>
      </w:pPr>
      <w:r w:rsidRPr="00E417DF">
        <w:rPr>
          <w:rStyle w:val="EndnoteReference"/>
          <w:spacing w:val="-6"/>
          <w:kern w:val="17"/>
        </w:rPr>
        <w:endnoteRef/>
      </w:r>
      <w:r w:rsidRPr="00E417DF">
        <w:rPr>
          <w:spacing w:val="-6"/>
          <w:kern w:val="17"/>
        </w:rPr>
        <w:t xml:space="preserve"> Elizabeth Campbell and </w:t>
      </w:r>
      <w:proofErr w:type="spellStart"/>
      <w:r w:rsidRPr="00E417DF">
        <w:rPr>
          <w:spacing w:val="-6"/>
          <w:kern w:val="17"/>
        </w:rPr>
        <w:t>Liyan</w:t>
      </w:r>
      <w:proofErr w:type="spellEnd"/>
      <w:r w:rsidRPr="00E417DF">
        <w:rPr>
          <w:spacing w:val="-6"/>
          <w:kern w:val="17"/>
        </w:rPr>
        <w:t xml:space="preserve"> Chen, “Virus Killing 5 Million Pigs Spurs Hog-Price Rally: Commodities,” Bloomberg, February 7, 2014, accessed March 4, 2015, www.bloomberg.com/news/articles/2014-02-06/virus-killing-5-million-pigs-spurs-hog-price-rally-commodities.</w:t>
      </w:r>
    </w:p>
  </w:endnote>
  <w:endnote w:id="42">
    <w:p w14:paraId="583E1E4A" w14:textId="1B56BDA2" w:rsidR="00C46AA4" w:rsidRPr="002328B9" w:rsidRDefault="00C46AA4" w:rsidP="002328B9">
      <w:pPr>
        <w:pStyle w:val="Footnote"/>
      </w:pPr>
      <w:r w:rsidRPr="002328B9">
        <w:rPr>
          <w:rStyle w:val="EndnoteReference"/>
        </w:rPr>
        <w:endnoteRef/>
      </w:r>
      <w:r w:rsidRPr="002328B9">
        <w:t xml:space="preserve"> </w:t>
      </w:r>
      <w:proofErr w:type="spellStart"/>
      <w:r w:rsidRPr="002328B9">
        <w:t>Jerin</w:t>
      </w:r>
      <w:proofErr w:type="spellEnd"/>
      <w:r w:rsidRPr="002328B9">
        <w:t xml:space="preserve"> Mathew, “China’s WH Group Awards $600m to Two Top Executives as Part of Hong Kong IPO</w:t>
      </w:r>
      <w:r>
        <w:t>,</w:t>
      </w:r>
      <w:r w:rsidRPr="002328B9">
        <w:t>” International Business Times, April 15, 2014, accessed December 29, 2015, www.ibtimes.co.uk/chinas-wh-group-awards-600m-two-top-executives-part-hong-kong-ipo-1444816.</w:t>
      </w:r>
    </w:p>
  </w:endnote>
  <w:endnote w:id="43">
    <w:p w14:paraId="54501D93" w14:textId="657D53B0" w:rsidR="00C46AA4" w:rsidRPr="002328B9" w:rsidRDefault="00C46AA4" w:rsidP="002328B9">
      <w:pPr>
        <w:pStyle w:val="Footnote"/>
      </w:pPr>
      <w:r w:rsidRPr="002328B9">
        <w:rPr>
          <w:rStyle w:val="EndnoteReference"/>
        </w:rPr>
        <w:endnoteRef/>
      </w:r>
      <w:r w:rsidRPr="002328B9">
        <w:t xml:space="preserve"> “Two Chinese </w:t>
      </w:r>
      <w:r>
        <w:t>E</w:t>
      </w:r>
      <w:r w:rsidRPr="002328B9">
        <w:t xml:space="preserve">xecutives </w:t>
      </w:r>
      <w:r>
        <w:t>Awarded $600m for US Pork Deal,”</w:t>
      </w:r>
      <w:r w:rsidRPr="002328B9">
        <w:t xml:space="preserve"> The Guardian, April 14, 2014, </w:t>
      </w:r>
      <w:r>
        <w:t xml:space="preserve">accessed </w:t>
      </w:r>
      <w:r w:rsidRPr="002328B9">
        <w:t>December 29, 2015</w:t>
      </w:r>
      <w:r>
        <w:t xml:space="preserve">, </w:t>
      </w:r>
      <w:hyperlink r:id="rId5" w:history="1">
        <w:r w:rsidRPr="002328B9">
          <w:rPr>
            <w:rStyle w:val="Hyperlink"/>
            <w:color w:val="auto"/>
            <w:u w:val="none"/>
          </w:rPr>
          <w:t>www.theguardian.com/business/2014/apr/14/chinese-executives-600m-smithfield-foods</w:t>
        </w:r>
      </w:hyperlink>
      <w:r w:rsidRPr="002328B9">
        <w:t>.</w:t>
      </w:r>
    </w:p>
  </w:endnote>
  <w:endnote w:id="44">
    <w:p w14:paraId="5555DB14" w14:textId="14007409" w:rsidR="00C46AA4" w:rsidRPr="002328B9" w:rsidRDefault="00C46AA4" w:rsidP="002328B9">
      <w:pPr>
        <w:pStyle w:val="Footnote"/>
      </w:pPr>
      <w:r w:rsidRPr="003966FE">
        <w:rPr>
          <w:rStyle w:val="EndnoteReference"/>
        </w:rPr>
        <w:endnoteRef/>
      </w:r>
      <w:r w:rsidRPr="002328B9">
        <w:t xml:space="preserve"> Ray Chan, George Chen</w:t>
      </w:r>
      <w:r>
        <w:t>,</w:t>
      </w:r>
      <w:r w:rsidRPr="002328B9">
        <w:t xml:space="preserve"> and Nick Edwards, “29 Investment Banks, One Failed US$6 billion IPO: Who is to </w:t>
      </w:r>
      <w:r>
        <w:t>B</w:t>
      </w:r>
      <w:r w:rsidRPr="002328B9">
        <w:t>lame</w:t>
      </w:r>
      <w:proofErr w:type="gramStart"/>
      <w:r w:rsidRPr="002328B9">
        <w:t>?,</w:t>
      </w:r>
      <w:proofErr w:type="gramEnd"/>
      <w:r w:rsidRPr="002328B9">
        <w:t>” South China Morning Post, May 1, 2014, accessed March 3, 2015</w:t>
      </w:r>
      <w:r>
        <w:t xml:space="preserve">, </w:t>
      </w:r>
      <w:r w:rsidRPr="002328B9">
        <w:t>www.scmp.com/business/money/markets-investing/article/1501216/banks-take-heat-</w:t>
      </w:r>
      <w:r>
        <w:t>over-wh-groups-failed-flotation</w:t>
      </w:r>
      <w:r w:rsidRPr="002328B9">
        <w:t>.</w:t>
      </w:r>
    </w:p>
  </w:endnote>
  <w:endnote w:id="45">
    <w:p w14:paraId="75DB02A2" w14:textId="1DBCC206" w:rsidR="00C46AA4" w:rsidRPr="003966FE" w:rsidRDefault="00C46AA4" w:rsidP="003966FE">
      <w:pPr>
        <w:pStyle w:val="Footnote"/>
      </w:pPr>
      <w:r w:rsidRPr="003966FE">
        <w:rPr>
          <w:rStyle w:val="EndnoteReference"/>
        </w:rPr>
        <w:endnoteRef/>
      </w:r>
      <w:r w:rsidRPr="003966FE">
        <w:t xml:space="preserve"> </w:t>
      </w:r>
      <w:r w:rsidRPr="003966FE">
        <w:rPr>
          <w:spacing w:val="-4"/>
          <w:kern w:val="17"/>
        </w:rPr>
        <w:t xml:space="preserve">Jeremy Grant and Paul J Davies, “Li </w:t>
      </w:r>
      <w:proofErr w:type="spellStart"/>
      <w:r w:rsidRPr="003966FE">
        <w:rPr>
          <w:spacing w:val="-4"/>
          <w:kern w:val="17"/>
        </w:rPr>
        <w:t>Ka-shing</w:t>
      </w:r>
      <w:proofErr w:type="spellEnd"/>
      <w:r w:rsidRPr="003966FE">
        <w:rPr>
          <w:spacing w:val="-4"/>
          <w:kern w:val="17"/>
        </w:rPr>
        <w:t xml:space="preserve"> scraps Watsons IPO as </w:t>
      </w:r>
      <w:proofErr w:type="spellStart"/>
      <w:r w:rsidRPr="003966FE">
        <w:rPr>
          <w:spacing w:val="-4"/>
          <w:kern w:val="17"/>
        </w:rPr>
        <w:t>Temasek</w:t>
      </w:r>
      <w:proofErr w:type="spellEnd"/>
      <w:r w:rsidRPr="003966FE">
        <w:rPr>
          <w:spacing w:val="-4"/>
          <w:kern w:val="17"/>
        </w:rPr>
        <w:t xml:space="preserve"> </w:t>
      </w:r>
      <w:r>
        <w:rPr>
          <w:spacing w:val="-4"/>
          <w:kern w:val="17"/>
        </w:rPr>
        <w:t>B</w:t>
      </w:r>
      <w:r w:rsidRPr="003966FE">
        <w:rPr>
          <w:spacing w:val="-4"/>
          <w:kern w:val="17"/>
        </w:rPr>
        <w:t xml:space="preserve">uys $6bn </w:t>
      </w:r>
      <w:r>
        <w:rPr>
          <w:spacing w:val="-4"/>
          <w:kern w:val="17"/>
        </w:rPr>
        <w:t>S</w:t>
      </w:r>
      <w:r w:rsidRPr="003966FE">
        <w:rPr>
          <w:spacing w:val="-4"/>
          <w:kern w:val="17"/>
        </w:rPr>
        <w:t xml:space="preserve">take,” Financial Times, March 21, 2014, accessed December 29, 2015, </w:t>
      </w:r>
      <w:hyperlink r:id="rId6" w:anchor="axzz3vbef3lnC" w:history="1">
        <w:r w:rsidRPr="003966FE">
          <w:rPr>
            <w:rStyle w:val="Hyperlink"/>
            <w:color w:val="auto"/>
            <w:spacing w:val="-4"/>
            <w:kern w:val="17"/>
            <w:u w:val="none"/>
          </w:rPr>
          <w:t>www.ft.com/intl/cms/s/0/4fd04134-b0bb-11e3-9f6f-00144feab7de.html#axzz3vbef3lnC</w:t>
        </w:r>
      </w:hyperlink>
      <w:r w:rsidRPr="003966FE">
        <w:rPr>
          <w:spacing w:val="-4"/>
          <w:kern w:val="17"/>
        </w:rPr>
        <w:t>.</w:t>
      </w:r>
    </w:p>
  </w:endnote>
  <w:endnote w:id="46">
    <w:p w14:paraId="13CFD216" w14:textId="6D6C1BBF" w:rsidR="00C46AA4" w:rsidRPr="003966FE" w:rsidRDefault="00C46AA4" w:rsidP="003966FE">
      <w:pPr>
        <w:pStyle w:val="Footnote"/>
      </w:pPr>
      <w:r w:rsidRPr="003966FE">
        <w:rPr>
          <w:rStyle w:val="EndnoteReference"/>
        </w:rPr>
        <w:endnoteRef/>
      </w:r>
      <w:r w:rsidRPr="003966FE">
        <w:t xml:space="preserve"> Susan Li</w:t>
      </w:r>
      <w:r>
        <w:t xml:space="preserve"> and</w:t>
      </w:r>
      <w:r w:rsidRPr="003966FE">
        <w:t xml:space="preserve"> </w:t>
      </w:r>
      <w:proofErr w:type="spellStart"/>
      <w:r w:rsidRPr="003966FE">
        <w:t>Ansuya</w:t>
      </w:r>
      <w:proofErr w:type="spellEnd"/>
      <w:r w:rsidRPr="003966FE">
        <w:t xml:space="preserve"> </w:t>
      </w:r>
      <w:proofErr w:type="spellStart"/>
      <w:r w:rsidRPr="003966FE">
        <w:t>Harjani</w:t>
      </w:r>
      <w:proofErr w:type="spellEnd"/>
      <w:r w:rsidRPr="003966FE">
        <w:t>, “Weibo Chairman: We Priced Our IPO Too Low,” CNBC, April 21, 2</w:t>
      </w:r>
      <w:r>
        <w:t xml:space="preserve">014, </w:t>
      </w:r>
      <w:r w:rsidRPr="003966FE">
        <w:t>accessed March 3, 2015</w:t>
      </w:r>
      <w:r>
        <w:t>, www.cnbc.com/id/101600268#</w:t>
      </w:r>
      <w:r w:rsidRPr="003966FE">
        <w:t>.</w:t>
      </w:r>
    </w:p>
  </w:endnote>
  <w:endnote w:id="47">
    <w:p w14:paraId="26BB44AD" w14:textId="4D2E3AE4" w:rsidR="00C46AA4" w:rsidRPr="003966FE" w:rsidRDefault="00C46AA4" w:rsidP="003966FE">
      <w:pPr>
        <w:pStyle w:val="Footnote"/>
      </w:pPr>
      <w:r w:rsidRPr="003966FE">
        <w:rPr>
          <w:rStyle w:val="EndnoteReference"/>
        </w:rPr>
        <w:endnoteRef/>
      </w:r>
      <w:r w:rsidRPr="003966FE">
        <w:t xml:space="preserve"> For more details on A</w:t>
      </w:r>
      <w:r w:rsidR="00E417DF">
        <w:t xml:space="preserve">libaba’s IPO, see Emir Hrnjic, </w:t>
      </w:r>
      <w:r w:rsidRPr="003966FE">
        <w:t xml:space="preserve">Alibaba’s IPO </w:t>
      </w:r>
      <w:r w:rsidR="00E417DF">
        <w:t>Dilemma: Hong Kong or New York</w:t>
      </w:r>
      <w:r w:rsidRPr="003966FE">
        <w:t xml:space="preserve"> </w:t>
      </w:r>
      <w:r w:rsidR="00E417DF">
        <w:t xml:space="preserve">(London, ON: </w:t>
      </w:r>
      <w:r w:rsidRPr="003966FE">
        <w:t xml:space="preserve">Ivey Publishing, </w:t>
      </w:r>
      <w:r w:rsidR="00E417DF">
        <w:t xml:space="preserve">2014). Available from Ivey Publishing, product no. </w:t>
      </w:r>
      <w:r w:rsidRPr="003966FE">
        <w:t>9B14N035.</w:t>
      </w:r>
    </w:p>
  </w:endnote>
  <w:endnote w:id="48">
    <w:p w14:paraId="79465A8A" w14:textId="677157BC" w:rsidR="00C46AA4" w:rsidRPr="000145A4" w:rsidRDefault="00C46AA4" w:rsidP="000145A4">
      <w:pPr>
        <w:pStyle w:val="Footnote"/>
      </w:pPr>
      <w:r w:rsidRPr="00140AC3">
        <w:rPr>
          <w:rStyle w:val="EndnoteReference"/>
        </w:rPr>
        <w:endnoteRef/>
      </w:r>
      <w:r w:rsidRPr="000145A4">
        <w:t xml:space="preserve"> Suzy Waite, “Less is More, </w:t>
      </w:r>
      <w:r>
        <w:t>S</w:t>
      </w:r>
      <w:r w:rsidRPr="000145A4">
        <w:t xml:space="preserve">ays WH Group CEO,” </w:t>
      </w:r>
      <w:proofErr w:type="spellStart"/>
      <w:r w:rsidRPr="000145A4">
        <w:t>FinanceAsia</w:t>
      </w:r>
      <w:proofErr w:type="spellEnd"/>
      <w:r w:rsidRPr="000145A4">
        <w:t>, August 13, 2014, accessed February 20, 2015</w:t>
      </w:r>
      <w:r>
        <w:t xml:space="preserve">, </w:t>
      </w:r>
      <w:r w:rsidRPr="000145A4">
        <w:t>www.financeasia.com/News/389329,less-is-more-says-wh-group</w:t>
      </w:r>
      <w:r>
        <w:t>-ceo.aspx.</w:t>
      </w:r>
    </w:p>
  </w:endnote>
  <w:endnote w:id="49">
    <w:p w14:paraId="1B0C5B18" w14:textId="77777777" w:rsidR="00C46AA4" w:rsidRPr="00140AC3" w:rsidRDefault="00C46AA4" w:rsidP="000145A4">
      <w:pPr>
        <w:pStyle w:val="Footnote"/>
        <w:rPr>
          <w:lang w:val="it-IT"/>
        </w:rPr>
      </w:pPr>
      <w:r w:rsidRPr="000145A4">
        <w:rPr>
          <w:rStyle w:val="EndnoteReference"/>
        </w:rPr>
        <w:endnoteRef/>
      </w:r>
      <w:r w:rsidRPr="00140AC3">
        <w:rPr>
          <w:lang w:val="it-IT"/>
        </w:rPr>
        <w:t xml:space="preserve"> </w:t>
      </w:r>
      <w:r w:rsidRPr="00140AC3">
        <w:rPr>
          <w:lang w:val="it-IT"/>
        </w:rPr>
        <w:t>Elzio Baretto, Ryan Woo, op. cit.</w:t>
      </w:r>
    </w:p>
  </w:endnote>
  <w:endnote w:id="50">
    <w:p w14:paraId="4C8FBCFA" w14:textId="3F16AB5E" w:rsidR="00C46AA4" w:rsidRPr="000145A4" w:rsidRDefault="00C46AA4" w:rsidP="000145A4">
      <w:pPr>
        <w:pStyle w:val="Footnote"/>
      </w:pPr>
      <w:r w:rsidRPr="000145A4">
        <w:rPr>
          <w:rStyle w:val="EndnoteReference"/>
        </w:rPr>
        <w:endnoteRef/>
      </w:r>
      <w:r w:rsidRPr="000145A4">
        <w:t xml:space="preserve"> Michael </w:t>
      </w:r>
      <w:proofErr w:type="spellStart"/>
      <w:r w:rsidRPr="000145A4">
        <w:t>Barris</w:t>
      </w:r>
      <w:proofErr w:type="spellEnd"/>
      <w:r w:rsidRPr="000145A4">
        <w:t xml:space="preserve">, “WH’s </w:t>
      </w:r>
      <w:r>
        <w:t>C</w:t>
      </w:r>
      <w:r w:rsidRPr="000145A4">
        <w:t xml:space="preserve">anceled IPO </w:t>
      </w:r>
      <w:r>
        <w:t>S</w:t>
      </w:r>
      <w:r w:rsidRPr="000145A4">
        <w:t>how</w:t>
      </w:r>
      <w:r>
        <w:t>s Dangers of Misjudging Demand,”</w:t>
      </w:r>
      <w:r w:rsidRPr="000145A4">
        <w:t xml:space="preserve"> China Daily, May 14, 2014, </w:t>
      </w:r>
      <w:r>
        <w:t xml:space="preserve">accessed </w:t>
      </w:r>
      <w:r w:rsidRPr="000145A4">
        <w:t>December 29, 2015</w:t>
      </w:r>
      <w:r>
        <w:t xml:space="preserve">, </w:t>
      </w:r>
      <w:hyperlink r:id="rId7" w:history="1">
        <w:r w:rsidRPr="000145A4">
          <w:rPr>
            <w:rStyle w:val="Hyperlink"/>
            <w:color w:val="auto"/>
            <w:u w:val="none"/>
          </w:rPr>
          <w:t>www.chinadaily.com.cn/world/2014-05/14/content_17548578.htm</w:t>
        </w:r>
      </w:hyperlink>
      <w:r w:rsidRPr="000145A4">
        <w:t>.</w:t>
      </w:r>
    </w:p>
  </w:endnote>
  <w:endnote w:id="51">
    <w:p w14:paraId="21ADA9B2" w14:textId="1D98F6A5" w:rsidR="00C46AA4" w:rsidRPr="000145A4" w:rsidRDefault="00C46AA4" w:rsidP="000145A4">
      <w:pPr>
        <w:pStyle w:val="Footnote"/>
      </w:pPr>
      <w:r w:rsidRPr="000145A4">
        <w:rPr>
          <w:rStyle w:val="EndnoteReference"/>
        </w:rPr>
        <w:endnoteRef/>
      </w:r>
      <w:r w:rsidRPr="000145A4">
        <w:t xml:space="preserve"> </w:t>
      </w:r>
      <w:r>
        <w:t xml:space="preserve">Ibid. </w:t>
      </w:r>
    </w:p>
  </w:endnote>
  <w:endnote w:id="52">
    <w:p w14:paraId="2942FB49" w14:textId="6F83912D" w:rsidR="00C46AA4" w:rsidRPr="000145A4" w:rsidRDefault="00C46AA4" w:rsidP="000145A4">
      <w:pPr>
        <w:pStyle w:val="Footnote"/>
      </w:pPr>
      <w:r w:rsidRPr="000145A4">
        <w:rPr>
          <w:rStyle w:val="EndnoteReference"/>
        </w:rPr>
        <w:endnoteRef/>
      </w:r>
      <w:r w:rsidRPr="000145A4">
        <w:t xml:space="preserve"> Smithfield Foods, </w:t>
      </w:r>
      <w:proofErr w:type="spellStart"/>
      <w:r w:rsidRPr="000145A4">
        <w:t>Inc</w:t>
      </w:r>
      <w:proofErr w:type="spellEnd"/>
      <w:r w:rsidRPr="000145A4">
        <w:t xml:space="preserve">, “Smithfield Foods Reports Record First Quarter Results,” </w:t>
      </w:r>
      <w:proofErr w:type="spellStart"/>
      <w:r w:rsidRPr="000145A4">
        <w:t>GlobeNewswire</w:t>
      </w:r>
      <w:proofErr w:type="spellEnd"/>
      <w:r w:rsidRPr="000145A4">
        <w:t>, May 14, 2014</w:t>
      </w:r>
      <w:r>
        <w:t>,</w:t>
      </w:r>
      <w:r w:rsidRPr="000145A4">
        <w:t xml:space="preserve"> accessed March 3, 2015</w:t>
      </w:r>
      <w:r>
        <w:t xml:space="preserve">, </w:t>
      </w:r>
      <w:r w:rsidRPr="000145A4">
        <w:t>http://globenewswire.com/news-release/2014/05/14/636230/10081641/en/Smithfield-Foods-Reports-Record-First-Quarter-Results.html.</w:t>
      </w:r>
    </w:p>
  </w:endnote>
  <w:endnote w:id="53">
    <w:p w14:paraId="09AED8B2" w14:textId="77777777" w:rsidR="00C46AA4" w:rsidRPr="000145A4" w:rsidRDefault="00C46AA4" w:rsidP="000145A4">
      <w:pPr>
        <w:pStyle w:val="Footnote"/>
      </w:pPr>
      <w:r w:rsidRPr="000145A4">
        <w:rPr>
          <w:rStyle w:val="EndnoteReference"/>
        </w:rPr>
        <w:endnoteRef/>
      </w:r>
      <w:r w:rsidRPr="000145A4">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E719A" w14:textId="77777777" w:rsidR="00C46AA4" w:rsidRDefault="00C46AA4" w:rsidP="00D75295">
      <w:r>
        <w:separator/>
      </w:r>
    </w:p>
  </w:footnote>
  <w:footnote w:type="continuationSeparator" w:id="0">
    <w:p w14:paraId="148FDF9B" w14:textId="77777777" w:rsidR="00C46AA4" w:rsidRDefault="00C46AA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083C9" w14:textId="6AB35517" w:rsidR="00C46AA4" w:rsidRDefault="00C46AA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2EF1">
      <w:rPr>
        <w:rFonts w:ascii="Arial" w:hAnsi="Arial"/>
        <w:b/>
        <w:noProof/>
      </w:rPr>
      <w:t>12</w:t>
    </w:r>
    <w:r>
      <w:rPr>
        <w:rFonts w:ascii="Arial" w:hAnsi="Arial"/>
        <w:b/>
      </w:rPr>
      <w:fldChar w:fldCharType="end"/>
    </w:r>
    <w:r>
      <w:rPr>
        <w:rFonts w:ascii="Arial" w:hAnsi="Arial"/>
        <w:b/>
      </w:rPr>
      <w:tab/>
      <w:t>9B17N00</w:t>
    </w:r>
    <w:r w:rsidR="00FD2EF1">
      <w:rPr>
        <w:rFonts w:ascii="Arial" w:hAnsi="Arial"/>
        <w:b/>
      </w:rPr>
      <w:t>2</w:t>
    </w:r>
  </w:p>
  <w:p w14:paraId="490CA417" w14:textId="77777777" w:rsidR="00C46AA4" w:rsidRPr="00C92CC4" w:rsidRDefault="00C46AA4">
    <w:pPr>
      <w:pStyle w:val="Header"/>
      <w:rPr>
        <w:sz w:val="18"/>
        <w:szCs w:val="18"/>
      </w:rPr>
    </w:pPr>
  </w:p>
  <w:p w14:paraId="04FFD9AE" w14:textId="77777777" w:rsidR="00C46AA4" w:rsidRPr="00C92CC4" w:rsidRDefault="00C46AA4">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7F91D" w14:textId="33C37D5E" w:rsidR="00C46AA4" w:rsidRDefault="00C46AA4" w:rsidP="00140AC3">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2EF1">
      <w:rPr>
        <w:rFonts w:ascii="Arial" w:hAnsi="Arial"/>
        <w:b/>
        <w:noProof/>
      </w:rPr>
      <w:t>13</w:t>
    </w:r>
    <w:r>
      <w:rPr>
        <w:rFonts w:ascii="Arial" w:hAnsi="Arial"/>
        <w:b/>
      </w:rPr>
      <w:fldChar w:fldCharType="end"/>
    </w:r>
    <w:r>
      <w:rPr>
        <w:rFonts w:ascii="Arial" w:hAnsi="Arial"/>
        <w:b/>
      </w:rPr>
      <w:tab/>
      <w:t>9B17N</w:t>
    </w:r>
    <w:r w:rsidR="00E417DF">
      <w:rPr>
        <w:rFonts w:ascii="Arial" w:hAnsi="Arial"/>
        <w:b/>
      </w:rPr>
      <w:t>00</w:t>
    </w:r>
    <w:r w:rsidR="00FD2EF1">
      <w:rPr>
        <w:rFonts w:ascii="Arial" w:hAnsi="Arial"/>
        <w:b/>
      </w:rPr>
      <w:t>2</w:t>
    </w:r>
  </w:p>
  <w:p w14:paraId="22EC9BEA" w14:textId="77777777" w:rsidR="00C46AA4" w:rsidRPr="00C92CC4" w:rsidRDefault="00C46AA4" w:rsidP="00140AC3">
    <w:pPr>
      <w:pStyle w:val="Header"/>
      <w:tabs>
        <w:tab w:val="clear" w:pos="4680"/>
        <w:tab w:val="clear" w:pos="9360"/>
        <w:tab w:val="right" w:pos="12960"/>
      </w:tabs>
      <w:rPr>
        <w:sz w:val="18"/>
        <w:szCs w:val="18"/>
      </w:rPr>
    </w:pPr>
  </w:p>
  <w:p w14:paraId="6A261355" w14:textId="77777777" w:rsidR="00C46AA4" w:rsidRPr="00C92CC4" w:rsidRDefault="00C46AA4" w:rsidP="00140AC3">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F3C83" w14:textId="55FAC659" w:rsidR="00C46AA4" w:rsidRDefault="00C46AA4" w:rsidP="001C198D">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2EF1">
      <w:rPr>
        <w:rFonts w:ascii="Arial" w:hAnsi="Arial"/>
        <w:b/>
        <w:noProof/>
      </w:rPr>
      <w:t>16</w:t>
    </w:r>
    <w:r>
      <w:rPr>
        <w:rFonts w:ascii="Arial" w:hAnsi="Arial"/>
        <w:b/>
      </w:rPr>
      <w:fldChar w:fldCharType="end"/>
    </w:r>
    <w:r>
      <w:rPr>
        <w:rFonts w:ascii="Arial" w:hAnsi="Arial"/>
        <w:b/>
      </w:rPr>
      <w:tab/>
      <w:t>9B17N00</w:t>
    </w:r>
    <w:r w:rsidR="00FD2EF1">
      <w:rPr>
        <w:rFonts w:ascii="Arial" w:hAnsi="Arial"/>
        <w:b/>
      </w:rPr>
      <w:t>2</w:t>
    </w:r>
  </w:p>
  <w:p w14:paraId="66914DCC" w14:textId="77777777" w:rsidR="00C46AA4" w:rsidRPr="00C92CC4" w:rsidRDefault="00C46AA4" w:rsidP="001C198D">
    <w:pPr>
      <w:pStyle w:val="Header"/>
      <w:tabs>
        <w:tab w:val="clear" w:pos="4680"/>
      </w:tabs>
      <w:rPr>
        <w:sz w:val="18"/>
        <w:szCs w:val="18"/>
      </w:rPr>
    </w:pPr>
  </w:p>
  <w:p w14:paraId="6F626DA3" w14:textId="77777777" w:rsidR="00C46AA4" w:rsidRPr="00C92CC4" w:rsidRDefault="00C46AA4" w:rsidP="001C198D">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265509"/>
    <w:multiLevelType w:val="hybridMultilevel"/>
    <w:tmpl w:val="D4D8F2E2"/>
    <w:lvl w:ilvl="0" w:tplc="5566B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2780FAE"/>
    <w:multiLevelType w:val="hybridMultilevel"/>
    <w:tmpl w:val="88EC45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F2BE2"/>
    <w:multiLevelType w:val="hybridMultilevel"/>
    <w:tmpl w:val="88EC45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66CC6127"/>
    <w:multiLevelType w:val="hybridMultilevel"/>
    <w:tmpl w:val="D0921B50"/>
    <w:lvl w:ilvl="0" w:tplc="BB844D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12"/>
  </w:num>
  <w:num w:numId="14">
    <w:abstractNumId w:val="22"/>
  </w:num>
  <w:num w:numId="15">
    <w:abstractNumId w:val="23"/>
  </w:num>
  <w:num w:numId="16">
    <w:abstractNumId w:val="24"/>
  </w:num>
  <w:num w:numId="17">
    <w:abstractNumId w:val="17"/>
  </w:num>
  <w:num w:numId="18">
    <w:abstractNumId w:val="25"/>
  </w:num>
  <w:num w:numId="19">
    <w:abstractNumId w:val="11"/>
  </w:num>
  <w:num w:numId="20">
    <w:abstractNumId w:val="10"/>
  </w:num>
  <w:num w:numId="21">
    <w:abstractNumId w:val="27"/>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9"/>
  </w:num>
  <w:num w:numId="28">
    <w:abstractNumId w:val="13"/>
  </w:num>
  <w:num w:numId="29">
    <w:abstractNumId w:val="16"/>
  </w:num>
  <w:num w:numId="30">
    <w:abstractNumId w:val="1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5A4"/>
    <w:rsid w:val="000216CE"/>
    <w:rsid w:val="00025DC7"/>
    <w:rsid w:val="00026486"/>
    <w:rsid w:val="00034E2D"/>
    <w:rsid w:val="00044ECC"/>
    <w:rsid w:val="000531D3"/>
    <w:rsid w:val="0005646B"/>
    <w:rsid w:val="0008102D"/>
    <w:rsid w:val="00094C0E"/>
    <w:rsid w:val="000B696D"/>
    <w:rsid w:val="000F0C22"/>
    <w:rsid w:val="000F6B09"/>
    <w:rsid w:val="000F6FDC"/>
    <w:rsid w:val="00103CC9"/>
    <w:rsid w:val="00104567"/>
    <w:rsid w:val="00112DCC"/>
    <w:rsid w:val="001233CE"/>
    <w:rsid w:val="00124B02"/>
    <w:rsid w:val="0012732D"/>
    <w:rsid w:val="00140AC3"/>
    <w:rsid w:val="00151831"/>
    <w:rsid w:val="00154FC9"/>
    <w:rsid w:val="001679E2"/>
    <w:rsid w:val="001767DE"/>
    <w:rsid w:val="0018099C"/>
    <w:rsid w:val="0019241A"/>
    <w:rsid w:val="001A5335"/>
    <w:rsid w:val="001A752D"/>
    <w:rsid w:val="001B2036"/>
    <w:rsid w:val="001B5FD7"/>
    <w:rsid w:val="001C198D"/>
    <w:rsid w:val="001D201A"/>
    <w:rsid w:val="001E6FB8"/>
    <w:rsid w:val="001F43BC"/>
    <w:rsid w:val="0020037C"/>
    <w:rsid w:val="00203AA1"/>
    <w:rsid w:val="00213E98"/>
    <w:rsid w:val="002328B9"/>
    <w:rsid w:val="0023361F"/>
    <w:rsid w:val="002341E4"/>
    <w:rsid w:val="0026715B"/>
    <w:rsid w:val="00280D94"/>
    <w:rsid w:val="002A0740"/>
    <w:rsid w:val="002D248E"/>
    <w:rsid w:val="002E3BBB"/>
    <w:rsid w:val="002F460C"/>
    <w:rsid w:val="002F48D6"/>
    <w:rsid w:val="00302631"/>
    <w:rsid w:val="00307775"/>
    <w:rsid w:val="0030784F"/>
    <w:rsid w:val="003118D3"/>
    <w:rsid w:val="0031516D"/>
    <w:rsid w:val="00317665"/>
    <w:rsid w:val="00354899"/>
    <w:rsid w:val="00355FD6"/>
    <w:rsid w:val="00361C8E"/>
    <w:rsid w:val="00364A5C"/>
    <w:rsid w:val="00373FB1"/>
    <w:rsid w:val="0038535E"/>
    <w:rsid w:val="00387507"/>
    <w:rsid w:val="003937BD"/>
    <w:rsid w:val="003966FE"/>
    <w:rsid w:val="003B30D8"/>
    <w:rsid w:val="003B7EF2"/>
    <w:rsid w:val="003C3FA4"/>
    <w:rsid w:val="003C4C0E"/>
    <w:rsid w:val="003F2B0C"/>
    <w:rsid w:val="003F4D68"/>
    <w:rsid w:val="003F6A95"/>
    <w:rsid w:val="00404928"/>
    <w:rsid w:val="00421465"/>
    <w:rsid w:val="004221E4"/>
    <w:rsid w:val="00440A28"/>
    <w:rsid w:val="00450913"/>
    <w:rsid w:val="00454BAF"/>
    <w:rsid w:val="0045643E"/>
    <w:rsid w:val="00460392"/>
    <w:rsid w:val="004607A6"/>
    <w:rsid w:val="00471088"/>
    <w:rsid w:val="00483AF9"/>
    <w:rsid w:val="004A2ED0"/>
    <w:rsid w:val="004A440F"/>
    <w:rsid w:val="004B1CCB"/>
    <w:rsid w:val="004C29D6"/>
    <w:rsid w:val="004D09CA"/>
    <w:rsid w:val="004D0EEB"/>
    <w:rsid w:val="004D3DA2"/>
    <w:rsid w:val="004D73A5"/>
    <w:rsid w:val="004E327F"/>
    <w:rsid w:val="004E74C4"/>
    <w:rsid w:val="00513137"/>
    <w:rsid w:val="00532CF5"/>
    <w:rsid w:val="005528CB"/>
    <w:rsid w:val="00552DCA"/>
    <w:rsid w:val="00566771"/>
    <w:rsid w:val="00581E2E"/>
    <w:rsid w:val="00584F15"/>
    <w:rsid w:val="005D1D97"/>
    <w:rsid w:val="005D47BB"/>
    <w:rsid w:val="005D61FE"/>
    <w:rsid w:val="005E5AEF"/>
    <w:rsid w:val="006163F7"/>
    <w:rsid w:val="0061740D"/>
    <w:rsid w:val="00617EDA"/>
    <w:rsid w:val="00650F57"/>
    <w:rsid w:val="00652606"/>
    <w:rsid w:val="00657A72"/>
    <w:rsid w:val="00682754"/>
    <w:rsid w:val="006A58A9"/>
    <w:rsid w:val="006A606D"/>
    <w:rsid w:val="006B115D"/>
    <w:rsid w:val="006B4C1A"/>
    <w:rsid w:val="006C0371"/>
    <w:rsid w:val="006C08B6"/>
    <w:rsid w:val="006C0B1A"/>
    <w:rsid w:val="006C4384"/>
    <w:rsid w:val="006C6065"/>
    <w:rsid w:val="006C7F9F"/>
    <w:rsid w:val="006D3F29"/>
    <w:rsid w:val="006E2F6D"/>
    <w:rsid w:val="006E58F6"/>
    <w:rsid w:val="006E77E1"/>
    <w:rsid w:val="006F131D"/>
    <w:rsid w:val="006F2151"/>
    <w:rsid w:val="00712C3E"/>
    <w:rsid w:val="0071592E"/>
    <w:rsid w:val="00752BCD"/>
    <w:rsid w:val="00766DA1"/>
    <w:rsid w:val="007866A6"/>
    <w:rsid w:val="007875CC"/>
    <w:rsid w:val="00793616"/>
    <w:rsid w:val="007A130D"/>
    <w:rsid w:val="007B4191"/>
    <w:rsid w:val="007D0096"/>
    <w:rsid w:val="007D4102"/>
    <w:rsid w:val="007E5921"/>
    <w:rsid w:val="007E7F36"/>
    <w:rsid w:val="007F2F33"/>
    <w:rsid w:val="00816558"/>
    <w:rsid w:val="00821FFC"/>
    <w:rsid w:val="00823C3E"/>
    <w:rsid w:val="008271CA"/>
    <w:rsid w:val="00836516"/>
    <w:rsid w:val="00840F38"/>
    <w:rsid w:val="00840FBB"/>
    <w:rsid w:val="008467D5"/>
    <w:rsid w:val="00854644"/>
    <w:rsid w:val="00856D9F"/>
    <w:rsid w:val="00861781"/>
    <w:rsid w:val="00866F6D"/>
    <w:rsid w:val="00871B94"/>
    <w:rsid w:val="0087302D"/>
    <w:rsid w:val="00894795"/>
    <w:rsid w:val="008A3E78"/>
    <w:rsid w:val="008A4BBC"/>
    <w:rsid w:val="008A4DC4"/>
    <w:rsid w:val="008A4EF3"/>
    <w:rsid w:val="008E122B"/>
    <w:rsid w:val="008E612A"/>
    <w:rsid w:val="0090653C"/>
    <w:rsid w:val="009067A4"/>
    <w:rsid w:val="0090722E"/>
    <w:rsid w:val="009340DB"/>
    <w:rsid w:val="009359E8"/>
    <w:rsid w:val="00945AA0"/>
    <w:rsid w:val="00972498"/>
    <w:rsid w:val="00974CC6"/>
    <w:rsid w:val="00976AD4"/>
    <w:rsid w:val="009A312F"/>
    <w:rsid w:val="009A4CB6"/>
    <w:rsid w:val="009A5121"/>
    <w:rsid w:val="009A5348"/>
    <w:rsid w:val="009A67BB"/>
    <w:rsid w:val="009A73AD"/>
    <w:rsid w:val="009C76D5"/>
    <w:rsid w:val="009F7AA4"/>
    <w:rsid w:val="00A032FC"/>
    <w:rsid w:val="00A559DB"/>
    <w:rsid w:val="00A573E2"/>
    <w:rsid w:val="00A74C08"/>
    <w:rsid w:val="00A9389E"/>
    <w:rsid w:val="00A9409E"/>
    <w:rsid w:val="00AB3DB7"/>
    <w:rsid w:val="00AC695F"/>
    <w:rsid w:val="00AF16F9"/>
    <w:rsid w:val="00AF35FC"/>
    <w:rsid w:val="00B01342"/>
    <w:rsid w:val="00B03639"/>
    <w:rsid w:val="00B0652A"/>
    <w:rsid w:val="00B11847"/>
    <w:rsid w:val="00B24E6F"/>
    <w:rsid w:val="00B31AFF"/>
    <w:rsid w:val="00B3757D"/>
    <w:rsid w:val="00B40937"/>
    <w:rsid w:val="00B423EF"/>
    <w:rsid w:val="00B453DE"/>
    <w:rsid w:val="00B4742F"/>
    <w:rsid w:val="00B71ABB"/>
    <w:rsid w:val="00B74B6C"/>
    <w:rsid w:val="00B8219A"/>
    <w:rsid w:val="00B83C2D"/>
    <w:rsid w:val="00B901F9"/>
    <w:rsid w:val="00BA5B72"/>
    <w:rsid w:val="00BB4EDE"/>
    <w:rsid w:val="00BB50E9"/>
    <w:rsid w:val="00BC0088"/>
    <w:rsid w:val="00BC4536"/>
    <w:rsid w:val="00BD6EFB"/>
    <w:rsid w:val="00BD79E5"/>
    <w:rsid w:val="00BE4BB1"/>
    <w:rsid w:val="00BF441F"/>
    <w:rsid w:val="00C13A62"/>
    <w:rsid w:val="00C15BE2"/>
    <w:rsid w:val="00C22219"/>
    <w:rsid w:val="00C227CA"/>
    <w:rsid w:val="00C2334C"/>
    <w:rsid w:val="00C3447F"/>
    <w:rsid w:val="00C46AA4"/>
    <w:rsid w:val="00C72F0A"/>
    <w:rsid w:val="00C81491"/>
    <w:rsid w:val="00C81676"/>
    <w:rsid w:val="00C84440"/>
    <w:rsid w:val="00C86022"/>
    <w:rsid w:val="00C8783B"/>
    <w:rsid w:val="00C92CC4"/>
    <w:rsid w:val="00CA0AFB"/>
    <w:rsid w:val="00CA2CE1"/>
    <w:rsid w:val="00CA3976"/>
    <w:rsid w:val="00CA757B"/>
    <w:rsid w:val="00CB651B"/>
    <w:rsid w:val="00CC1787"/>
    <w:rsid w:val="00CC182C"/>
    <w:rsid w:val="00CD0824"/>
    <w:rsid w:val="00CD2908"/>
    <w:rsid w:val="00CD4893"/>
    <w:rsid w:val="00CE1E41"/>
    <w:rsid w:val="00CE5BC6"/>
    <w:rsid w:val="00CF76AE"/>
    <w:rsid w:val="00D03A82"/>
    <w:rsid w:val="00D10DEC"/>
    <w:rsid w:val="00D15344"/>
    <w:rsid w:val="00D22147"/>
    <w:rsid w:val="00D31BEC"/>
    <w:rsid w:val="00D42E2B"/>
    <w:rsid w:val="00D520A0"/>
    <w:rsid w:val="00D52B78"/>
    <w:rsid w:val="00D621AE"/>
    <w:rsid w:val="00D63150"/>
    <w:rsid w:val="00D64A32"/>
    <w:rsid w:val="00D64EFC"/>
    <w:rsid w:val="00D75295"/>
    <w:rsid w:val="00D76CE9"/>
    <w:rsid w:val="00D82421"/>
    <w:rsid w:val="00D84EE2"/>
    <w:rsid w:val="00D97F12"/>
    <w:rsid w:val="00DB42E7"/>
    <w:rsid w:val="00DC237A"/>
    <w:rsid w:val="00DC6152"/>
    <w:rsid w:val="00DF1C51"/>
    <w:rsid w:val="00DF32C2"/>
    <w:rsid w:val="00E07B07"/>
    <w:rsid w:val="00E26C42"/>
    <w:rsid w:val="00E30A86"/>
    <w:rsid w:val="00E417DF"/>
    <w:rsid w:val="00E471A7"/>
    <w:rsid w:val="00E55FF7"/>
    <w:rsid w:val="00E635CF"/>
    <w:rsid w:val="00E92E8D"/>
    <w:rsid w:val="00EA1F2E"/>
    <w:rsid w:val="00EB5410"/>
    <w:rsid w:val="00EB71F1"/>
    <w:rsid w:val="00EC6E0A"/>
    <w:rsid w:val="00EC7744"/>
    <w:rsid w:val="00ED3A03"/>
    <w:rsid w:val="00ED4E18"/>
    <w:rsid w:val="00EE1F37"/>
    <w:rsid w:val="00F0159C"/>
    <w:rsid w:val="00F105B7"/>
    <w:rsid w:val="00F17A21"/>
    <w:rsid w:val="00F34866"/>
    <w:rsid w:val="00F50E91"/>
    <w:rsid w:val="00F57D29"/>
    <w:rsid w:val="00F60CB1"/>
    <w:rsid w:val="00F769C4"/>
    <w:rsid w:val="00F918AF"/>
    <w:rsid w:val="00F92A99"/>
    <w:rsid w:val="00F96201"/>
    <w:rsid w:val="00FA22FA"/>
    <w:rsid w:val="00FC22E4"/>
    <w:rsid w:val="00FC30E9"/>
    <w:rsid w:val="00FD0B18"/>
    <w:rsid w:val="00FD0F82"/>
    <w:rsid w:val="00FD2EF1"/>
    <w:rsid w:val="00FD6665"/>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7FD189"/>
  <w15:docId w15:val="{0FB552F5-F844-4297-8583-7109BD2B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52B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2B7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52B78"/>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D52B78"/>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D42E2B"/>
    <w:pPr>
      <w:jc w:val="both"/>
    </w:pPr>
    <w:rPr>
      <w:rFonts w:ascii="Arial" w:hAnsi="Arial" w:cs="Arial"/>
      <w:sz w:val="17"/>
      <w:szCs w:val="17"/>
    </w:rPr>
  </w:style>
  <w:style w:type="character" w:customStyle="1" w:styleId="FootnoteChar">
    <w:name w:val="Footnote Char"/>
    <w:basedOn w:val="FootnoteTextChar"/>
    <w:link w:val="Footnote"/>
    <w:rsid w:val="00D42E2B"/>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D52B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B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B7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52B78"/>
    <w:rPr>
      <w:rFonts w:ascii="Times New Roman" w:eastAsia="Times New Roman" w:hAnsi="Times New Roman" w:cs="Times New Roman"/>
      <w:b/>
      <w:bCs/>
      <w:sz w:val="20"/>
      <w:szCs w:val="20"/>
    </w:rPr>
  </w:style>
  <w:style w:type="character" w:customStyle="1" w:styleId="sm">
    <w:name w:val="sm"/>
    <w:basedOn w:val="DefaultParagraphFont"/>
    <w:rsid w:val="00D52B78"/>
  </w:style>
  <w:style w:type="character" w:customStyle="1" w:styleId="x-panel-header-text">
    <w:name w:val="x-panel-header-text"/>
    <w:basedOn w:val="DefaultParagraphFont"/>
    <w:rsid w:val="00D52B78"/>
  </w:style>
  <w:style w:type="character" w:customStyle="1" w:styleId="x-window-header-text">
    <w:name w:val="x-window-header-text"/>
    <w:basedOn w:val="DefaultParagraphFont"/>
    <w:rsid w:val="00D52B78"/>
  </w:style>
  <w:style w:type="character" w:customStyle="1" w:styleId="gr13px">
    <w:name w:val="gr13px"/>
    <w:basedOn w:val="DefaultParagraphFont"/>
    <w:rsid w:val="00D52B78"/>
  </w:style>
  <w:style w:type="character" w:customStyle="1" w:styleId="wh12px">
    <w:name w:val="wh12px"/>
    <w:basedOn w:val="DefaultParagraphFont"/>
    <w:rsid w:val="00D52B78"/>
  </w:style>
  <w:style w:type="paragraph" w:styleId="Title">
    <w:name w:val="Title"/>
    <w:basedOn w:val="Normal"/>
    <w:next w:val="Normal"/>
    <w:link w:val="TitleChar"/>
    <w:uiPriority w:val="10"/>
    <w:qFormat/>
    <w:rsid w:val="00D52B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B78"/>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D52B78"/>
  </w:style>
  <w:style w:type="character" w:styleId="FollowedHyperlink">
    <w:name w:val="FollowedHyperlink"/>
    <w:basedOn w:val="DefaultParagraphFont"/>
    <w:uiPriority w:val="99"/>
    <w:semiHidden/>
    <w:unhideWhenUsed/>
    <w:rsid w:val="00D52B78"/>
    <w:rPr>
      <w:color w:val="800080" w:themeColor="followedHyperlink"/>
      <w:u w:val="single"/>
    </w:rPr>
  </w:style>
  <w:style w:type="paragraph" w:styleId="NoSpacing">
    <w:name w:val="No Spacing"/>
    <w:uiPriority w:val="1"/>
    <w:qFormat/>
    <w:rsid w:val="00D52B78"/>
    <w:pPr>
      <w:spacing w:after="0" w:line="240" w:lineRule="auto"/>
    </w:pPr>
    <w:rPr>
      <w:lang w:val="en-SG"/>
    </w:rPr>
  </w:style>
  <w:style w:type="character" w:customStyle="1" w:styleId="plainlinks">
    <w:name w:val="plainlinks"/>
    <w:basedOn w:val="DefaultParagraphFont"/>
    <w:rsid w:val="00D52B78"/>
  </w:style>
  <w:style w:type="character" w:customStyle="1" w:styleId="latitude">
    <w:name w:val="latitude"/>
    <w:basedOn w:val="DefaultParagraphFont"/>
    <w:rsid w:val="00D52B78"/>
  </w:style>
  <w:style w:type="character" w:customStyle="1" w:styleId="longitude">
    <w:name w:val="longitude"/>
    <w:basedOn w:val="DefaultParagraphFont"/>
    <w:rsid w:val="00D52B78"/>
  </w:style>
  <w:style w:type="character" w:customStyle="1" w:styleId="toctoggle">
    <w:name w:val="toctoggle"/>
    <w:basedOn w:val="DefaultParagraphFont"/>
    <w:rsid w:val="00D52B78"/>
  </w:style>
  <w:style w:type="character" w:customStyle="1" w:styleId="tocnumber">
    <w:name w:val="tocnumber"/>
    <w:basedOn w:val="DefaultParagraphFont"/>
    <w:rsid w:val="00D52B78"/>
  </w:style>
  <w:style w:type="character" w:customStyle="1" w:styleId="toctext">
    <w:name w:val="toctext"/>
    <w:basedOn w:val="DefaultParagraphFont"/>
    <w:rsid w:val="00D52B78"/>
  </w:style>
  <w:style w:type="character" w:customStyle="1" w:styleId="editsection">
    <w:name w:val="editsection"/>
    <w:basedOn w:val="DefaultParagraphFont"/>
    <w:rsid w:val="00D52B78"/>
  </w:style>
  <w:style w:type="character" w:customStyle="1" w:styleId="mw-headline">
    <w:name w:val="mw-headline"/>
    <w:basedOn w:val="DefaultParagraphFont"/>
    <w:rsid w:val="00D52B78"/>
  </w:style>
  <w:style w:type="character" w:customStyle="1" w:styleId="mbox-text-span">
    <w:name w:val="mbox-text-span"/>
    <w:basedOn w:val="DefaultParagraphFont"/>
    <w:rsid w:val="00D52B78"/>
  </w:style>
  <w:style w:type="character" w:customStyle="1" w:styleId="hide-when-compact">
    <w:name w:val="hide-when-compact"/>
    <w:basedOn w:val="DefaultParagraphFont"/>
    <w:rsid w:val="00D52B78"/>
  </w:style>
  <w:style w:type="character" w:customStyle="1" w:styleId="citation">
    <w:name w:val="citation"/>
    <w:basedOn w:val="DefaultParagraphFont"/>
    <w:rsid w:val="00D52B78"/>
  </w:style>
  <w:style w:type="character" w:customStyle="1" w:styleId="reference-accessdate">
    <w:name w:val="reference-accessdate"/>
    <w:basedOn w:val="DefaultParagraphFont"/>
    <w:rsid w:val="00D52B78"/>
  </w:style>
  <w:style w:type="character" w:customStyle="1" w:styleId="yshortcuts">
    <w:name w:val="yshortcuts"/>
    <w:basedOn w:val="DefaultParagraphFont"/>
    <w:rsid w:val="00D52B78"/>
  </w:style>
  <w:style w:type="character" w:customStyle="1" w:styleId="cnndatestamp">
    <w:name w:val="cnndatestamp"/>
    <w:basedOn w:val="DefaultParagraphFont"/>
    <w:rsid w:val="00D52B78"/>
  </w:style>
  <w:style w:type="character" w:customStyle="1" w:styleId="submitted">
    <w:name w:val="submitted"/>
    <w:basedOn w:val="DefaultParagraphFont"/>
    <w:rsid w:val="00D52B78"/>
  </w:style>
  <w:style w:type="character" w:customStyle="1" w:styleId="mandelbrotrefrag">
    <w:name w:val="mandelbrot_refrag"/>
    <w:basedOn w:val="DefaultParagraphFont"/>
    <w:rsid w:val="00D52B78"/>
  </w:style>
  <w:style w:type="character" w:customStyle="1" w:styleId="c-name">
    <w:name w:val="c-name"/>
    <w:basedOn w:val="DefaultParagraphFont"/>
    <w:rsid w:val="00D52B78"/>
  </w:style>
  <w:style w:type="character" w:customStyle="1" w:styleId="tickerwrap">
    <w:name w:val="ticker_wrap"/>
    <w:basedOn w:val="DefaultParagraphFont"/>
    <w:rsid w:val="00D52B78"/>
  </w:style>
  <w:style w:type="paragraph" w:customStyle="1" w:styleId="byline">
    <w:name w:val="byline"/>
    <w:basedOn w:val="Normal"/>
    <w:rsid w:val="00D52B78"/>
    <w:pPr>
      <w:spacing w:before="100" w:beforeAutospacing="1" w:after="100" w:afterAutospacing="1"/>
    </w:pPr>
    <w:rPr>
      <w:sz w:val="24"/>
      <w:szCs w:val="24"/>
    </w:rPr>
  </w:style>
  <w:style w:type="character" w:customStyle="1" w:styleId="timestamp">
    <w:name w:val="timestamp"/>
    <w:basedOn w:val="DefaultParagraphFont"/>
    <w:rsid w:val="00D52B78"/>
  </w:style>
  <w:style w:type="character" w:customStyle="1" w:styleId="author">
    <w:name w:val="author"/>
    <w:basedOn w:val="DefaultParagraphFont"/>
    <w:rsid w:val="00D52B78"/>
  </w:style>
  <w:style w:type="character" w:customStyle="1" w:styleId="Date1">
    <w:name w:val="Date1"/>
    <w:basedOn w:val="DefaultParagraphFont"/>
    <w:rsid w:val="00D52B78"/>
  </w:style>
  <w:style w:type="paragraph" w:customStyle="1" w:styleId="story-body-text">
    <w:name w:val="story-body-text"/>
    <w:basedOn w:val="Normal"/>
    <w:rsid w:val="00D52B78"/>
    <w:pPr>
      <w:spacing w:before="100" w:beforeAutospacing="1" w:after="100" w:afterAutospacing="1"/>
    </w:pPr>
    <w:rPr>
      <w:sz w:val="24"/>
      <w:szCs w:val="24"/>
    </w:rPr>
  </w:style>
  <w:style w:type="table" w:customStyle="1" w:styleId="TableGrid1">
    <w:name w:val="Table Grid1"/>
    <w:basedOn w:val="TableNormal"/>
    <w:next w:val="TableGrid"/>
    <w:uiPriority w:val="59"/>
    <w:rsid w:val="00D52B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52B78"/>
    <w:pPr>
      <w:spacing w:after="0" w:line="240" w:lineRule="auto"/>
    </w:pPr>
    <w:rPr>
      <w:rFonts w:eastAsiaTheme="minorEastAsia"/>
      <w:lang w:val="en-S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Light1">
    <w:name w:val="Grid Table Light1"/>
    <w:basedOn w:val="TableNormal"/>
    <w:uiPriority w:val="40"/>
    <w:rsid w:val="00D52B78"/>
    <w:pPr>
      <w:spacing w:after="0" w:line="240" w:lineRule="auto"/>
    </w:pPr>
    <w:rPr>
      <w:rFonts w:eastAsia="SimSun"/>
      <w:lang w:val="en-S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NoList2">
    <w:name w:val="No List2"/>
    <w:next w:val="NoList"/>
    <w:uiPriority w:val="99"/>
    <w:semiHidden/>
    <w:unhideWhenUsed/>
    <w:rsid w:val="00D5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4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blogs.wsj.com/moneybeat/2014/04/15/wh-groups-ipo-prospectus-how-the-sausage-gets-made/" TargetMode="External"/><Relationship Id="rId7" Type="http://schemas.openxmlformats.org/officeDocument/2006/relationships/hyperlink" Target="http://www.chinadaily.com.cn/world/2014-05/14/content_17548578.htm" TargetMode="External"/><Relationship Id="rId2" Type="http://schemas.openxmlformats.org/officeDocument/2006/relationships/hyperlink" Target="http://news.xinhuanet.com/english/business/2013-09/27/c_132755541.htm" TargetMode="External"/><Relationship Id="rId1" Type="http://schemas.openxmlformats.org/officeDocument/2006/relationships/hyperlink" Target="http://www.theguardian.com/world/2013/mar/29/dead-pigs-china-water-supply" TargetMode="External"/><Relationship Id="rId6" Type="http://schemas.openxmlformats.org/officeDocument/2006/relationships/hyperlink" Target="http://www.ft.com/intl/cms/s/0/4fd04134-b0bb-11e3-9f6f-00144feab7de.html" TargetMode="External"/><Relationship Id="rId5" Type="http://schemas.openxmlformats.org/officeDocument/2006/relationships/hyperlink" Target="http://www.theguardian.com/business/2014/apr/14/chinese-executives-600m-smithfield-foods" TargetMode="External"/><Relationship Id="rId4" Type="http://schemas.openxmlformats.org/officeDocument/2006/relationships/hyperlink" Target="http://www.financeasia.com/News/383480,wh-group-shrinks-ipo.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818CF-94C3-42DF-BE1B-6497E738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2017-01-23T02:54:00Z</cp:lastPrinted>
  <dcterms:created xsi:type="dcterms:W3CDTF">2017-01-23T18:09:00Z</dcterms:created>
  <dcterms:modified xsi:type="dcterms:W3CDTF">2017-02-21T17:53:00Z</dcterms:modified>
</cp:coreProperties>
</file>