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2C3A1A" w:rsidRPr="001715D3" w14:paraId="1E481B31" w14:textId="77777777" w:rsidTr="002C3A1A">
        <w:tc>
          <w:tcPr>
            <w:tcW w:w="4788" w:type="dxa"/>
          </w:tcPr>
          <w:p w14:paraId="528C168B" w14:textId="77777777" w:rsidR="002C3A1A" w:rsidRPr="001715D3" w:rsidRDefault="002C3A1A" w:rsidP="002C3A1A">
            <w:pPr>
              <w:tabs>
                <w:tab w:val="left" w:pos="-1440"/>
                <w:tab w:val="left" w:pos="-720"/>
                <w:tab w:val="left" w:pos="1"/>
              </w:tabs>
              <w:jc w:val="both"/>
              <w:rPr>
                <w:rFonts w:ascii="Arial" w:hAnsi="Arial"/>
                <w:b/>
                <w:sz w:val="24"/>
                <w:lang w:val="en-GB"/>
              </w:rPr>
            </w:pPr>
            <w:r w:rsidRPr="001715D3">
              <w:rPr>
                <w:rFonts w:ascii="Arial" w:hAnsi="Arial"/>
                <w:b/>
                <w:noProof/>
                <w:sz w:val="24"/>
                <w:lang w:val="en-GB" w:eastAsia="en-GB"/>
              </w:rPr>
              <w:drawing>
                <wp:inline distT="0" distB="0" distL="0" distR="0" wp14:anchorId="4F47D807" wp14:editId="12376B59">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349B8EC" w14:textId="77777777" w:rsidR="002C3A1A" w:rsidRPr="001715D3" w:rsidRDefault="002C3A1A" w:rsidP="002C3A1A">
            <w:pPr>
              <w:tabs>
                <w:tab w:val="left" w:pos="-1440"/>
                <w:tab w:val="left" w:pos="-720"/>
                <w:tab w:val="left" w:pos="1"/>
              </w:tabs>
              <w:jc w:val="both"/>
              <w:rPr>
                <w:rFonts w:ascii="Arial" w:hAnsi="Arial"/>
                <w:b/>
                <w:sz w:val="24"/>
                <w:lang w:val="en-GB"/>
              </w:rPr>
            </w:pPr>
            <w:r w:rsidRPr="001715D3">
              <w:rPr>
                <w:rFonts w:ascii="Arial" w:hAnsi="Arial"/>
                <w:b/>
                <w:noProof/>
                <w:sz w:val="24"/>
                <w:lang w:val="en-GB" w:eastAsia="en-GB"/>
              </w:rPr>
              <w:drawing>
                <wp:anchor distT="0" distB="0" distL="114300" distR="114300" simplePos="0" relativeHeight="251659264" behindDoc="1" locked="0" layoutInCell="1" allowOverlap="1" wp14:anchorId="731DF0E6" wp14:editId="5EAF90E7">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250AD8F" w14:textId="1432330D" w:rsidR="008C0DAB" w:rsidRPr="001715D3" w:rsidRDefault="008C0DAB" w:rsidP="002D1655">
      <w:pPr>
        <w:pBdr>
          <w:bottom w:val="single" w:sz="18" w:space="1" w:color="auto"/>
        </w:pBdr>
        <w:tabs>
          <w:tab w:val="left" w:pos="-1440"/>
          <w:tab w:val="left" w:pos="-720"/>
          <w:tab w:val="left" w:pos="1"/>
        </w:tabs>
        <w:jc w:val="both"/>
        <w:rPr>
          <w:rFonts w:ascii="Arial" w:hAnsi="Arial"/>
          <w:b/>
          <w:sz w:val="24"/>
          <w:lang w:val="en-GB"/>
        </w:rPr>
      </w:pPr>
    </w:p>
    <w:p w14:paraId="4C1F2369" w14:textId="1B5EE161" w:rsidR="00D75295" w:rsidRPr="001715D3" w:rsidRDefault="00F232B7" w:rsidP="00F105B7">
      <w:pPr>
        <w:pStyle w:val="ProductNumber"/>
        <w:rPr>
          <w:lang w:val="en-GB"/>
        </w:rPr>
      </w:pPr>
      <w:r>
        <w:rPr>
          <w:lang w:val="en-GB"/>
        </w:rPr>
        <w:t>9B17N007</w:t>
      </w:r>
    </w:p>
    <w:p w14:paraId="619E5287" w14:textId="77777777" w:rsidR="00D75295" w:rsidRPr="001715D3" w:rsidRDefault="00D75295" w:rsidP="00D75295">
      <w:pPr>
        <w:jc w:val="right"/>
        <w:rPr>
          <w:rFonts w:ascii="Arial" w:hAnsi="Arial"/>
          <w:b/>
          <w:sz w:val="28"/>
          <w:szCs w:val="28"/>
          <w:lang w:val="en-GB"/>
        </w:rPr>
      </w:pPr>
    </w:p>
    <w:p w14:paraId="11D0E7A7" w14:textId="77777777" w:rsidR="00013360" w:rsidRPr="001715D3" w:rsidRDefault="00013360" w:rsidP="00D75295">
      <w:pPr>
        <w:jc w:val="right"/>
        <w:rPr>
          <w:rFonts w:ascii="Arial" w:hAnsi="Arial"/>
          <w:b/>
          <w:sz w:val="28"/>
          <w:szCs w:val="28"/>
          <w:lang w:val="en-GB"/>
        </w:rPr>
      </w:pPr>
    </w:p>
    <w:p w14:paraId="222CCB87" w14:textId="675341FA" w:rsidR="002C3A1A" w:rsidRPr="001715D3" w:rsidRDefault="00B657B0" w:rsidP="007E0371">
      <w:pPr>
        <w:pStyle w:val="CaseTitle"/>
        <w:spacing w:after="0" w:line="240" w:lineRule="auto"/>
        <w:jc w:val="center"/>
        <w:outlineLvl w:val="0"/>
        <w:rPr>
          <w:color w:val="auto"/>
          <w:lang w:val="en-GB"/>
        </w:rPr>
      </w:pPr>
      <w:r w:rsidRPr="001715D3">
        <w:rPr>
          <w:color w:val="auto"/>
          <w:lang w:val="en-GB"/>
        </w:rPr>
        <w:t>Neptune Orient Lines</w:t>
      </w:r>
      <w:r w:rsidR="00FF7AA9" w:rsidRPr="001715D3">
        <w:rPr>
          <w:color w:val="auto"/>
          <w:lang w:val="en-GB"/>
        </w:rPr>
        <w:t>:</w:t>
      </w:r>
      <w:r w:rsidR="008C0337" w:rsidRPr="001715D3">
        <w:rPr>
          <w:color w:val="auto"/>
          <w:lang w:val="en-GB"/>
        </w:rPr>
        <w:t xml:space="preserve"> </w:t>
      </w:r>
      <w:r w:rsidR="00FF7AA9" w:rsidRPr="001715D3">
        <w:rPr>
          <w:color w:val="auto"/>
          <w:lang w:val="en-GB"/>
        </w:rPr>
        <w:t>Valuation and capital structure</w:t>
      </w:r>
      <w:r w:rsidR="002C3A1A" w:rsidRPr="001715D3">
        <w:rPr>
          <w:rStyle w:val="EndnoteReference"/>
          <w:color w:val="auto"/>
          <w:lang w:val="en-GB"/>
        </w:rPr>
        <w:endnoteReference w:id="2"/>
      </w:r>
    </w:p>
    <w:p w14:paraId="2B88CDBD" w14:textId="77777777" w:rsidR="002C3A1A" w:rsidRPr="001715D3" w:rsidRDefault="002C3A1A" w:rsidP="00013360">
      <w:pPr>
        <w:pStyle w:val="CaseTitle"/>
        <w:spacing w:after="0" w:line="240" w:lineRule="auto"/>
        <w:rPr>
          <w:color w:val="auto"/>
          <w:sz w:val="20"/>
          <w:szCs w:val="20"/>
          <w:lang w:val="en-GB"/>
        </w:rPr>
      </w:pPr>
    </w:p>
    <w:p w14:paraId="3A49A161" w14:textId="77777777" w:rsidR="002C3A1A" w:rsidRPr="001715D3" w:rsidRDefault="002C3A1A" w:rsidP="00013360">
      <w:pPr>
        <w:pStyle w:val="CaseTitle"/>
        <w:spacing w:after="0" w:line="240" w:lineRule="auto"/>
        <w:rPr>
          <w:color w:val="auto"/>
          <w:sz w:val="20"/>
          <w:szCs w:val="20"/>
          <w:lang w:val="en-GB"/>
        </w:rPr>
      </w:pPr>
    </w:p>
    <w:p w14:paraId="24BA3001" w14:textId="12F5992B" w:rsidR="002C3A1A" w:rsidRPr="001715D3" w:rsidRDefault="00F232B7" w:rsidP="00F232B7">
      <w:pPr>
        <w:pStyle w:val="CaseTitle"/>
        <w:tabs>
          <w:tab w:val="left" w:pos="8608"/>
        </w:tabs>
        <w:spacing w:after="0" w:line="240" w:lineRule="auto"/>
        <w:rPr>
          <w:color w:val="auto"/>
          <w:sz w:val="20"/>
          <w:szCs w:val="20"/>
          <w:lang w:val="en-GB"/>
        </w:rPr>
      </w:pPr>
      <w:r>
        <w:rPr>
          <w:color w:val="auto"/>
          <w:sz w:val="20"/>
          <w:szCs w:val="20"/>
          <w:lang w:val="en-GB"/>
        </w:rPr>
        <w:tab/>
      </w:r>
    </w:p>
    <w:p w14:paraId="3D86E940" w14:textId="552E71B9" w:rsidR="002C3A1A" w:rsidRPr="001715D3" w:rsidRDefault="002C3A1A" w:rsidP="00F606C2">
      <w:pPr>
        <w:pStyle w:val="StyleCopyrightStatementAfter0ptBottomSinglesolidline1"/>
        <w:rPr>
          <w:color w:val="auto"/>
          <w:lang w:val="en-GB"/>
        </w:rPr>
      </w:pPr>
      <w:r w:rsidRPr="001715D3">
        <w:rPr>
          <w:rFonts w:cs="Arial"/>
          <w:color w:val="auto"/>
          <w:lang w:val="en-GB"/>
        </w:rPr>
        <w:t xml:space="preserve">Ruth S. K. Tan, </w:t>
      </w:r>
      <w:proofErr w:type="spellStart"/>
      <w:r w:rsidRPr="001715D3">
        <w:rPr>
          <w:rFonts w:cs="Arial"/>
          <w:color w:val="auto"/>
          <w:lang w:val="en-GB"/>
        </w:rPr>
        <w:t>Zsuzsa</w:t>
      </w:r>
      <w:proofErr w:type="spellEnd"/>
      <w:r w:rsidRPr="001715D3">
        <w:rPr>
          <w:rFonts w:cs="Arial"/>
          <w:color w:val="auto"/>
          <w:lang w:val="en-GB"/>
        </w:rPr>
        <w:t xml:space="preserve"> R. </w:t>
      </w:r>
      <w:proofErr w:type="spellStart"/>
      <w:r w:rsidRPr="001715D3">
        <w:rPr>
          <w:rFonts w:cs="Arial"/>
          <w:color w:val="auto"/>
          <w:lang w:val="en-GB"/>
        </w:rPr>
        <w:t>Huszár</w:t>
      </w:r>
      <w:proofErr w:type="spellEnd"/>
      <w:r w:rsidR="00CC6083">
        <w:rPr>
          <w:rFonts w:cs="Arial"/>
          <w:color w:val="auto"/>
          <w:lang w:val="en-GB"/>
        </w:rPr>
        <w:t>,</w:t>
      </w:r>
      <w:r w:rsidRPr="001715D3">
        <w:rPr>
          <w:rFonts w:cs="Arial"/>
          <w:color w:val="auto"/>
          <w:lang w:val="en-GB"/>
        </w:rPr>
        <w:t xml:space="preserve"> and </w:t>
      </w:r>
      <w:proofErr w:type="spellStart"/>
      <w:r w:rsidRPr="001715D3">
        <w:rPr>
          <w:rFonts w:cs="Arial"/>
          <w:color w:val="auto"/>
          <w:lang w:val="en-GB"/>
        </w:rPr>
        <w:t>Weina</w:t>
      </w:r>
      <w:proofErr w:type="spellEnd"/>
      <w:r w:rsidRPr="001715D3">
        <w:rPr>
          <w:rFonts w:cs="Arial"/>
          <w:color w:val="auto"/>
          <w:lang w:val="en-GB"/>
        </w:rPr>
        <w:t xml:space="preserve"> Zhang </w:t>
      </w:r>
      <w:r w:rsidRPr="001715D3">
        <w:rPr>
          <w:color w:val="auto"/>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BAF1A22" w14:textId="77777777" w:rsidR="002C3A1A" w:rsidRPr="001715D3" w:rsidRDefault="002C3A1A" w:rsidP="00751E0B">
      <w:pPr>
        <w:pStyle w:val="StyleStyleCopyrightStatementAfter0ptBottomSinglesolid"/>
        <w:rPr>
          <w:color w:val="auto"/>
          <w:lang w:val="en-GB"/>
        </w:rPr>
      </w:pPr>
    </w:p>
    <w:p w14:paraId="009A1CDB" w14:textId="6776AB2C" w:rsidR="002C3A1A" w:rsidRPr="001715D3" w:rsidRDefault="002C3A1A" w:rsidP="002C3A1A">
      <w:pPr>
        <w:jc w:val="both"/>
        <w:rPr>
          <w:rFonts w:ascii="Arial" w:hAnsi="Arial" w:cs="Arial"/>
          <w:i/>
          <w:iCs/>
          <w:sz w:val="16"/>
          <w:szCs w:val="16"/>
          <w:lang w:val="en-GB"/>
        </w:rPr>
      </w:pPr>
      <w:r w:rsidRPr="001715D3">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1715D3">
          <w:rPr>
            <w:rFonts w:ascii="Arial" w:hAnsi="Arial" w:cs="Arial"/>
            <w:i/>
            <w:iCs/>
            <w:sz w:val="16"/>
            <w:szCs w:val="16"/>
            <w:lang w:val="en-GB"/>
          </w:rPr>
          <w:t>cases@ivey.ca</w:t>
        </w:r>
      </w:hyperlink>
      <w:r w:rsidRPr="001715D3">
        <w:rPr>
          <w:rFonts w:ascii="Arial" w:hAnsi="Arial" w:cs="Arial"/>
          <w:i/>
          <w:iCs/>
          <w:sz w:val="16"/>
          <w:szCs w:val="16"/>
          <w:lang w:val="en-GB"/>
        </w:rPr>
        <w:t xml:space="preserve">; </w:t>
      </w:r>
      <w:hyperlink r:id="rId11" w:history="1">
        <w:r w:rsidRPr="001715D3">
          <w:rPr>
            <w:rFonts w:ascii="Arial" w:hAnsi="Arial" w:cs="Arial"/>
            <w:i/>
            <w:iCs/>
            <w:sz w:val="16"/>
            <w:szCs w:val="16"/>
            <w:lang w:val="en-GB"/>
          </w:rPr>
          <w:t>www.iveycases.com</w:t>
        </w:r>
      </w:hyperlink>
      <w:r w:rsidRPr="001715D3">
        <w:rPr>
          <w:rFonts w:ascii="Arial" w:hAnsi="Arial" w:cs="Arial"/>
          <w:i/>
          <w:iCs/>
          <w:sz w:val="16"/>
          <w:szCs w:val="16"/>
          <w:lang w:val="en-GB"/>
        </w:rPr>
        <w:t>.</w:t>
      </w:r>
    </w:p>
    <w:p w14:paraId="3351B35C" w14:textId="77777777" w:rsidR="002C3A1A" w:rsidRPr="001715D3" w:rsidRDefault="002C3A1A" w:rsidP="002C3A1A">
      <w:pPr>
        <w:pStyle w:val="StyleCopyrightStatementAfter0ptBottomSinglesolidline1"/>
        <w:pBdr>
          <w:top w:val="none" w:sz="0" w:space="0" w:color="auto"/>
        </w:pBdr>
        <w:rPr>
          <w:color w:val="auto"/>
          <w:lang w:val="en-GB"/>
        </w:rPr>
      </w:pPr>
    </w:p>
    <w:p w14:paraId="078A7B0C" w14:textId="7CA097F6" w:rsidR="002C3A1A" w:rsidRPr="001715D3" w:rsidRDefault="002C3A1A" w:rsidP="002C3A1A">
      <w:pPr>
        <w:pStyle w:val="StyleStyleCopyrightStatementAfter0ptBottomSinglesolid"/>
        <w:rPr>
          <w:color w:val="auto"/>
          <w:lang w:val="en-GB"/>
        </w:rPr>
      </w:pPr>
      <w:r w:rsidRPr="001715D3">
        <w:rPr>
          <w:color w:val="auto"/>
          <w:lang w:val="en-GB"/>
        </w:rPr>
        <w:t>Copyright © 2017, National University of Singapore and Richard Ivey School of Busi</w:t>
      </w:r>
      <w:r w:rsidR="00F232B7">
        <w:rPr>
          <w:color w:val="auto"/>
          <w:lang w:val="en-GB"/>
        </w:rPr>
        <w:t>ness Foundation</w:t>
      </w:r>
      <w:r w:rsidR="00F232B7">
        <w:rPr>
          <w:color w:val="auto"/>
          <w:lang w:val="en-GB"/>
        </w:rPr>
        <w:tab/>
        <w:t>Version: 2017-03</w:t>
      </w:r>
      <w:r w:rsidRPr="001715D3">
        <w:rPr>
          <w:color w:val="auto"/>
          <w:lang w:val="en-GB"/>
        </w:rPr>
        <w:t>-</w:t>
      </w:r>
      <w:r w:rsidR="00CC6083">
        <w:rPr>
          <w:color w:val="auto"/>
          <w:lang w:val="en-GB"/>
        </w:rPr>
        <w:t>29</w:t>
      </w:r>
    </w:p>
    <w:p w14:paraId="669F3607" w14:textId="77777777" w:rsidR="002C3A1A" w:rsidRPr="001715D3" w:rsidRDefault="002C3A1A" w:rsidP="00751E0B">
      <w:pPr>
        <w:pStyle w:val="StyleCopyrightStatementAfter0ptBottomSinglesolidline1"/>
        <w:rPr>
          <w:rFonts w:ascii="Times New Roman" w:hAnsi="Times New Roman"/>
          <w:color w:val="auto"/>
          <w:sz w:val="20"/>
          <w:lang w:val="en-GB"/>
        </w:rPr>
      </w:pPr>
    </w:p>
    <w:p w14:paraId="00B49456" w14:textId="77777777" w:rsidR="002C3A1A" w:rsidRPr="001715D3" w:rsidRDefault="002C3A1A" w:rsidP="00751E0B">
      <w:pPr>
        <w:pStyle w:val="StyleCopyrightStatementAfter0ptBottomSinglesolidline1"/>
        <w:rPr>
          <w:rFonts w:ascii="Times New Roman" w:hAnsi="Times New Roman"/>
          <w:color w:val="auto"/>
          <w:sz w:val="20"/>
          <w:lang w:val="en-GB"/>
        </w:rPr>
      </w:pPr>
    </w:p>
    <w:p w14:paraId="2F1C1B5C" w14:textId="4A64CD15" w:rsidR="002C3A1A" w:rsidRPr="001715D3" w:rsidRDefault="002C3A1A" w:rsidP="00FF7AA9">
      <w:pPr>
        <w:jc w:val="both"/>
        <w:rPr>
          <w:sz w:val="22"/>
          <w:szCs w:val="22"/>
          <w:lang w:val="en-GB"/>
        </w:rPr>
      </w:pPr>
      <w:r w:rsidRPr="001715D3">
        <w:rPr>
          <w:sz w:val="22"/>
          <w:szCs w:val="22"/>
          <w:lang w:val="en-GB"/>
        </w:rPr>
        <w:t xml:space="preserve">On December 7, 2015, the CMA CGM Group (CMA CGM) offered </w:t>
      </w:r>
      <w:r w:rsidR="005B0F4A">
        <w:rPr>
          <w:sz w:val="22"/>
          <w:szCs w:val="22"/>
          <w:lang w:val="en-GB"/>
        </w:rPr>
        <w:t>SG$</w:t>
      </w:r>
      <w:r w:rsidRPr="001715D3">
        <w:rPr>
          <w:sz w:val="22"/>
          <w:szCs w:val="22"/>
          <w:lang w:val="en-GB"/>
        </w:rPr>
        <w:t>1.30</w:t>
      </w:r>
      <w:r w:rsidRPr="001715D3">
        <w:rPr>
          <w:rStyle w:val="EndnoteReference"/>
          <w:sz w:val="22"/>
          <w:szCs w:val="22"/>
          <w:lang w:val="en-GB"/>
        </w:rPr>
        <w:endnoteReference w:id="3"/>
      </w:r>
      <w:r w:rsidRPr="001715D3">
        <w:rPr>
          <w:sz w:val="22"/>
          <w:szCs w:val="22"/>
          <w:lang w:val="en-GB"/>
        </w:rPr>
        <w:t xml:space="preserve"> cash for each of the 2.6 billion shares in Neptune Orient Lines Limited (NOL), amounting to a total of $3.38 billion. This represented a 6 per cent premium above its last closing price</w:t>
      </w:r>
      <w:r w:rsidR="0026638A" w:rsidRPr="001715D3">
        <w:rPr>
          <w:sz w:val="22"/>
          <w:szCs w:val="22"/>
          <w:lang w:val="en-GB"/>
        </w:rPr>
        <w:t>,</w:t>
      </w:r>
      <w:r w:rsidRPr="001715D3">
        <w:rPr>
          <w:sz w:val="22"/>
          <w:szCs w:val="22"/>
          <w:lang w:val="en-GB"/>
        </w:rPr>
        <w:t xml:space="preserve"> or a 49 per cent premium above its closing price on July 16, 2015, the last trading day before NOL said it was considering strategic options.</w:t>
      </w:r>
      <w:r w:rsidRPr="001715D3">
        <w:rPr>
          <w:rStyle w:val="EndnoteReference"/>
          <w:sz w:val="22"/>
          <w:szCs w:val="22"/>
          <w:lang w:val="en-GB"/>
        </w:rPr>
        <w:endnoteReference w:id="4"/>
      </w:r>
      <w:r w:rsidRPr="001715D3">
        <w:rPr>
          <w:sz w:val="22"/>
          <w:szCs w:val="22"/>
          <w:lang w:val="en-GB"/>
        </w:rPr>
        <w:t xml:space="preserve"> </w:t>
      </w:r>
    </w:p>
    <w:p w14:paraId="491BCFD7" w14:textId="77777777" w:rsidR="002C3A1A" w:rsidRPr="001715D3" w:rsidRDefault="002C3A1A" w:rsidP="00FF7AA9">
      <w:pPr>
        <w:jc w:val="both"/>
        <w:rPr>
          <w:sz w:val="22"/>
          <w:szCs w:val="22"/>
          <w:lang w:val="en-GB"/>
        </w:rPr>
      </w:pPr>
    </w:p>
    <w:p w14:paraId="4641B41E" w14:textId="33F51A68" w:rsidR="002C3A1A" w:rsidRPr="001715D3" w:rsidRDefault="002C3A1A" w:rsidP="00FF7AA9">
      <w:pPr>
        <w:jc w:val="both"/>
        <w:rPr>
          <w:sz w:val="22"/>
          <w:szCs w:val="22"/>
          <w:lang w:val="en-GB"/>
        </w:rPr>
      </w:pPr>
      <w:r w:rsidRPr="001715D3">
        <w:rPr>
          <w:sz w:val="22"/>
          <w:szCs w:val="22"/>
          <w:lang w:val="en-GB"/>
        </w:rPr>
        <w:t xml:space="preserve">Singapore’s state investment firm, </w:t>
      </w:r>
      <w:proofErr w:type="spellStart"/>
      <w:r w:rsidRPr="001715D3">
        <w:rPr>
          <w:sz w:val="22"/>
          <w:szCs w:val="22"/>
          <w:lang w:val="en-GB"/>
        </w:rPr>
        <w:t>Temasek</w:t>
      </w:r>
      <w:proofErr w:type="spellEnd"/>
      <w:r w:rsidRPr="001715D3">
        <w:rPr>
          <w:sz w:val="22"/>
          <w:szCs w:val="22"/>
          <w:lang w:val="en-GB"/>
        </w:rPr>
        <w:t xml:space="preserve"> Holdings Private Limited (</w:t>
      </w:r>
      <w:proofErr w:type="spellStart"/>
      <w:r w:rsidRPr="001715D3">
        <w:rPr>
          <w:sz w:val="22"/>
          <w:szCs w:val="22"/>
          <w:lang w:val="en-GB"/>
        </w:rPr>
        <w:t>Temasek</w:t>
      </w:r>
      <w:proofErr w:type="spellEnd"/>
      <w:r w:rsidRPr="001715D3">
        <w:rPr>
          <w:sz w:val="22"/>
          <w:szCs w:val="22"/>
          <w:lang w:val="en-GB"/>
        </w:rPr>
        <w:t>), gave an irrevocable undertaking to sell its entire majority stake of 67 per cent in NOL at this price for a total of</w:t>
      </w:r>
      <w:r w:rsidR="00CC6083">
        <w:rPr>
          <w:sz w:val="22"/>
          <w:szCs w:val="22"/>
          <w:lang w:val="en-GB"/>
        </w:rPr>
        <w:t xml:space="preserve"> </w:t>
      </w:r>
      <w:r w:rsidR="005B0F4A">
        <w:rPr>
          <w:sz w:val="22"/>
          <w:szCs w:val="22"/>
          <w:lang w:val="en-GB"/>
        </w:rPr>
        <w:t>$</w:t>
      </w:r>
      <w:r w:rsidRPr="001715D3">
        <w:rPr>
          <w:sz w:val="22"/>
          <w:szCs w:val="22"/>
          <w:lang w:val="en-GB"/>
        </w:rPr>
        <w:t>2.3 billion.</w:t>
      </w:r>
      <w:r w:rsidR="0026638A" w:rsidRPr="001715D3">
        <w:rPr>
          <w:rStyle w:val="CommentReference"/>
          <w:lang w:val="en-GB"/>
        </w:rPr>
        <w:t xml:space="preserve"> </w:t>
      </w:r>
    </w:p>
    <w:p w14:paraId="7D1FB7E3" w14:textId="77777777" w:rsidR="002C3A1A" w:rsidRPr="001715D3" w:rsidRDefault="002C3A1A" w:rsidP="00FF7AA9">
      <w:pPr>
        <w:jc w:val="both"/>
        <w:rPr>
          <w:sz w:val="22"/>
          <w:szCs w:val="22"/>
          <w:lang w:val="en-GB"/>
        </w:rPr>
      </w:pPr>
    </w:p>
    <w:p w14:paraId="44DE739B" w14:textId="6068742A" w:rsidR="002C3A1A" w:rsidRPr="001715D3" w:rsidRDefault="002C3A1A" w:rsidP="00FF7AA9">
      <w:pPr>
        <w:jc w:val="both"/>
        <w:rPr>
          <w:sz w:val="22"/>
          <w:szCs w:val="22"/>
          <w:lang w:val="en-GB"/>
        </w:rPr>
      </w:pPr>
      <w:r w:rsidRPr="001715D3">
        <w:rPr>
          <w:sz w:val="22"/>
          <w:szCs w:val="22"/>
          <w:lang w:val="en-GB"/>
        </w:rPr>
        <w:t xml:space="preserve">CMA CGM sought to delist NOL and take it private. In order to delist, the company would need to acquire another 23 per cent to hit the acceptance threshold of 90 per cent. </w:t>
      </w:r>
    </w:p>
    <w:p w14:paraId="6A1A307A" w14:textId="77777777" w:rsidR="002C3A1A" w:rsidRPr="001715D3" w:rsidRDefault="002C3A1A" w:rsidP="00FF7AA9">
      <w:pPr>
        <w:jc w:val="both"/>
        <w:rPr>
          <w:sz w:val="22"/>
          <w:szCs w:val="22"/>
          <w:lang w:val="en-GB"/>
        </w:rPr>
      </w:pPr>
    </w:p>
    <w:p w14:paraId="1A2C7B74" w14:textId="534690D1" w:rsidR="002C3A1A" w:rsidRPr="001715D3" w:rsidRDefault="002C3A1A" w:rsidP="00FF7AA9">
      <w:pPr>
        <w:jc w:val="both"/>
        <w:rPr>
          <w:sz w:val="22"/>
          <w:szCs w:val="22"/>
          <w:lang w:val="en-GB"/>
        </w:rPr>
      </w:pPr>
      <w:r w:rsidRPr="001715D3">
        <w:rPr>
          <w:sz w:val="22"/>
          <w:szCs w:val="22"/>
          <w:lang w:val="en-GB"/>
        </w:rPr>
        <w:t xml:space="preserve">Should the remaining shareholders sell </w:t>
      </w:r>
      <w:r w:rsidR="00CC6083">
        <w:rPr>
          <w:sz w:val="22"/>
          <w:szCs w:val="22"/>
          <w:lang w:val="en-GB"/>
        </w:rPr>
        <w:t xml:space="preserve">their shares </w:t>
      </w:r>
      <w:r w:rsidRPr="001715D3">
        <w:rPr>
          <w:sz w:val="22"/>
          <w:szCs w:val="22"/>
          <w:lang w:val="en-GB"/>
        </w:rPr>
        <w:t xml:space="preserve">at the offer price of $1.30 per share, or hold out for a better price? Should bondholders of CMA CGA and NOL be concerned about the acquisition? </w:t>
      </w:r>
    </w:p>
    <w:p w14:paraId="77C477B4" w14:textId="77777777" w:rsidR="002C3A1A" w:rsidRPr="001715D3" w:rsidRDefault="002C3A1A" w:rsidP="008C0337">
      <w:pPr>
        <w:pStyle w:val="Casehead1"/>
        <w:rPr>
          <w:lang w:val="en-GB"/>
        </w:rPr>
      </w:pPr>
    </w:p>
    <w:p w14:paraId="473119C5" w14:textId="77777777" w:rsidR="002C3A1A" w:rsidRPr="001715D3" w:rsidRDefault="002C3A1A" w:rsidP="008C0337">
      <w:pPr>
        <w:pStyle w:val="Casehead1"/>
        <w:rPr>
          <w:lang w:val="en-GB"/>
        </w:rPr>
      </w:pPr>
    </w:p>
    <w:p w14:paraId="09B40334" w14:textId="1332EE68" w:rsidR="002C3A1A" w:rsidRPr="001715D3" w:rsidRDefault="002C3A1A" w:rsidP="007E0371">
      <w:pPr>
        <w:pStyle w:val="Casehead1"/>
        <w:outlineLvl w:val="0"/>
        <w:rPr>
          <w:lang w:val="en-GB"/>
        </w:rPr>
      </w:pPr>
      <w:r w:rsidRPr="001715D3">
        <w:rPr>
          <w:lang w:val="en-GB"/>
        </w:rPr>
        <w:t>NEPTUNE ORIENT LINES: BACKGROUND</w:t>
      </w:r>
    </w:p>
    <w:p w14:paraId="59EB98BD" w14:textId="77777777" w:rsidR="002C3A1A" w:rsidRPr="001715D3" w:rsidRDefault="002C3A1A" w:rsidP="0051309F">
      <w:pPr>
        <w:pStyle w:val="BodyTextMain"/>
        <w:rPr>
          <w:lang w:val="en-GB"/>
        </w:rPr>
      </w:pPr>
    </w:p>
    <w:p w14:paraId="3C0407D2" w14:textId="0CA0196E" w:rsidR="002C3A1A" w:rsidRPr="001715D3" w:rsidRDefault="002C3A1A" w:rsidP="00E7530A">
      <w:pPr>
        <w:jc w:val="both"/>
        <w:rPr>
          <w:sz w:val="22"/>
          <w:szCs w:val="22"/>
          <w:lang w:val="en-GB" w:eastAsia="en-IN"/>
        </w:rPr>
      </w:pPr>
      <w:r w:rsidRPr="001715D3">
        <w:rPr>
          <w:sz w:val="22"/>
          <w:szCs w:val="22"/>
          <w:lang w:val="en-GB" w:eastAsia="en-IN"/>
        </w:rPr>
        <w:t xml:space="preserve">NOL was started in 1968 as Singapore’s national shipping line to facilitate industrial development and support the economy. It was wholly owned by the government. Under the leadership of its managing director, Goh </w:t>
      </w:r>
      <w:proofErr w:type="spellStart"/>
      <w:r w:rsidRPr="001715D3">
        <w:rPr>
          <w:sz w:val="22"/>
          <w:szCs w:val="22"/>
          <w:lang w:val="en-GB" w:eastAsia="en-IN"/>
        </w:rPr>
        <w:t>Chok</w:t>
      </w:r>
      <w:proofErr w:type="spellEnd"/>
      <w:r w:rsidRPr="001715D3">
        <w:rPr>
          <w:sz w:val="22"/>
          <w:szCs w:val="22"/>
          <w:lang w:val="en-GB" w:eastAsia="en-IN"/>
        </w:rPr>
        <w:t xml:space="preserve"> Tong (who l</w:t>
      </w:r>
      <w:r w:rsidR="00AA4A49" w:rsidRPr="001715D3">
        <w:rPr>
          <w:sz w:val="22"/>
          <w:szCs w:val="22"/>
          <w:lang w:val="en-GB" w:eastAsia="en-IN"/>
        </w:rPr>
        <w:t>ater became Singapore’s second prime m</w:t>
      </w:r>
      <w:r w:rsidRPr="001715D3">
        <w:rPr>
          <w:sz w:val="22"/>
          <w:szCs w:val="22"/>
          <w:lang w:val="en-GB" w:eastAsia="en-IN"/>
        </w:rPr>
        <w:t>inister), NOL turned profitable in the mid-1970s. In 1981, its initial public offering on the Singapore Exchange successfully raised $155 million. The funds were used to grow the business globally, diversifying away from containerization into the bulk carrier market.</w:t>
      </w:r>
      <w:r w:rsidRPr="001715D3">
        <w:rPr>
          <w:rStyle w:val="EndnoteReference"/>
          <w:sz w:val="22"/>
          <w:szCs w:val="22"/>
          <w:lang w:val="en-GB" w:eastAsia="en-IN"/>
        </w:rPr>
        <w:endnoteReference w:id="5"/>
      </w:r>
      <w:r w:rsidRPr="001715D3">
        <w:rPr>
          <w:sz w:val="22"/>
          <w:szCs w:val="22"/>
          <w:lang w:val="en-GB" w:eastAsia="en-IN"/>
        </w:rPr>
        <w:t xml:space="preserve"> </w:t>
      </w:r>
    </w:p>
    <w:p w14:paraId="01ACC561" w14:textId="77777777" w:rsidR="002C3A1A" w:rsidRPr="001715D3" w:rsidRDefault="002C3A1A" w:rsidP="00E7530A">
      <w:pPr>
        <w:jc w:val="both"/>
        <w:rPr>
          <w:sz w:val="22"/>
          <w:szCs w:val="22"/>
          <w:lang w:val="en-GB" w:eastAsia="en-IN"/>
        </w:rPr>
      </w:pPr>
    </w:p>
    <w:p w14:paraId="5C1CD5A8" w14:textId="24A1ED30" w:rsidR="002C3A1A" w:rsidRPr="001715D3" w:rsidRDefault="002C3A1A" w:rsidP="00E7530A">
      <w:pPr>
        <w:jc w:val="both"/>
        <w:rPr>
          <w:sz w:val="22"/>
          <w:szCs w:val="22"/>
          <w:lang w:val="en-GB" w:eastAsia="en-IN"/>
        </w:rPr>
      </w:pPr>
      <w:r w:rsidRPr="001715D3">
        <w:rPr>
          <w:sz w:val="22"/>
          <w:szCs w:val="22"/>
          <w:lang w:val="en-GB" w:eastAsia="en-IN"/>
        </w:rPr>
        <w:t xml:space="preserve">In 1997, NOL acquired American President Lines </w:t>
      </w:r>
      <w:r w:rsidR="00AA4A49" w:rsidRPr="001715D3">
        <w:rPr>
          <w:sz w:val="22"/>
          <w:szCs w:val="22"/>
          <w:lang w:val="en-GB" w:eastAsia="en-IN"/>
        </w:rPr>
        <w:t xml:space="preserve">Ltd. </w:t>
      </w:r>
      <w:r w:rsidRPr="001715D3">
        <w:rPr>
          <w:sz w:val="22"/>
          <w:szCs w:val="22"/>
          <w:lang w:val="en-GB" w:eastAsia="en-IN"/>
        </w:rPr>
        <w:t xml:space="preserve">(APL) for US$825 million, and started operating under the APL brand. Through the acquisition, NOL gained access to major container trades, key logistical support, and terminals in the United States and Asia. </w:t>
      </w:r>
    </w:p>
    <w:p w14:paraId="593D6972" w14:textId="77777777" w:rsidR="002C3A1A" w:rsidRPr="001715D3" w:rsidRDefault="002C3A1A" w:rsidP="00E7530A">
      <w:pPr>
        <w:jc w:val="both"/>
        <w:rPr>
          <w:sz w:val="22"/>
          <w:szCs w:val="22"/>
          <w:lang w:val="en-GB" w:eastAsia="en-IN"/>
        </w:rPr>
      </w:pPr>
    </w:p>
    <w:p w14:paraId="07B32282" w14:textId="4960CB55" w:rsidR="002C3A1A" w:rsidRPr="001715D3" w:rsidRDefault="002C3A1A" w:rsidP="008C0337">
      <w:pPr>
        <w:jc w:val="both"/>
        <w:rPr>
          <w:sz w:val="22"/>
          <w:szCs w:val="22"/>
          <w:lang w:val="en-GB"/>
        </w:rPr>
      </w:pPr>
      <w:r w:rsidRPr="001715D3">
        <w:rPr>
          <w:sz w:val="22"/>
          <w:szCs w:val="22"/>
          <w:lang w:val="en-GB" w:eastAsia="en-IN"/>
        </w:rPr>
        <w:t xml:space="preserve">In July 2008, NOL attempted to acquire Germany’s </w:t>
      </w:r>
      <w:proofErr w:type="spellStart"/>
      <w:r w:rsidRPr="001715D3">
        <w:rPr>
          <w:sz w:val="22"/>
          <w:szCs w:val="22"/>
          <w:lang w:val="en-GB" w:eastAsia="en-IN"/>
        </w:rPr>
        <w:t>Hapag</w:t>
      </w:r>
      <w:proofErr w:type="spellEnd"/>
      <w:r w:rsidRPr="001715D3">
        <w:rPr>
          <w:sz w:val="22"/>
          <w:szCs w:val="22"/>
          <w:lang w:val="en-GB" w:eastAsia="en-IN"/>
        </w:rPr>
        <w:t xml:space="preserve">-Lloyd </w:t>
      </w:r>
      <w:r w:rsidR="00885A80" w:rsidRPr="001715D3">
        <w:rPr>
          <w:sz w:val="22"/>
          <w:szCs w:val="22"/>
          <w:lang w:val="en-GB" w:eastAsia="en-IN"/>
        </w:rPr>
        <w:t xml:space="preserve">AG </w:t>
      </w:r>
      <w:r w:rsidRPr="001715D3">
        <w:rPr>
          <w:sz w:val="22"/>
          <w:szCs w:val="22"/>
          <w:lang w:val="en-GB" w:eastAsia="en-IN"/>
        </w:rPr>
        <w:t>for US$7 billion, but eventually pulled out because of the onset of the global financial crisis.</w:t>
      </w:r>
      <w:r w:rsidRPr="001715D3">
        <w:rPr>
          <w:rStyle w:val="EndnoteReference"/>
          <w:sz w:val="22"/>
          <w:szCs w:val="22"/>
          <w:lang w:val="en-GB" w:eastAsia="en-IN"/>
        </w:rPr>
        <w:endnoteReference w:id="6"/>
      </w:r>
      <w:r w:rsidRPr="001715D3">
        <w:rPr>
          <w:sz w:val="22"/>
          <w:szCs w:val="22"/>
          <w:lang w:val="en-GB" w:eastAsia="en-IN"/>
        </w:rPr>
        <w:t xml:space="preserve"> The crisis was hard on NOL: in 2009, it </w:t>
      </w:r>
      <w:r w:rsidRPr="001715D3">
        <w:rPr>
          <w:sz w:val="22"/>
          <w:szCs w:val="22"/>
          <w:lang w:val="en-GB" w:eastAsia="en-IN"/>
        </w:rPr>
        <w:lastRenderedPageBreak/>
        <w:t>recorded a net loss of US$741 million. This decline was followed by an amazing turnaround of its fortunes in 2010, which saw a net profit for the company of US$461 million. However, the performance could not be sustained. NOL dipped into the red again, with losses of US$478 million in 2011,</w:t>
      </w:r>
      <w:r w:rsidRPr="001715D3">
        <w:rPr>
          <w:rStyle w:val="EndnoteReference"/>
          <w:sz w:val="22"/>
          <w:szCs w:val="22"/>
          <w:lang w:val="en-GB" w:eastAsia="en-IN"/>
        </w:rPr>
        <w:endnoteReference w:id="7"/>
      </w:r>
      <w:r w:rsidRPr="001715D3">
        <w:rPr>
          <w:sz w:val="22"/>
          <w:szCs w:val="22"/>
          <w:lang w:val="en-GB" w:eastAsia="en-IN"/>
        </w:rPr>
        <w:t xml:space="preserve"> US$419 million in 2012,</w:t>
      </w:r>
      <w:r w:rsidRPr="001715D3">
        <w:rPr>
          <w:rStyle w:val="EndnoteReference"/>
          <w:sz w:val="22"/>
          <w:szCs w:val="22"/>
          <w:lang w:val="en-GB" w:eastAsia="en-IN"/>
        </w:rPr>
        <w:endnoteReference w:id="8"/>
      </w:r>
      <w:r w:rsidRPr="001715D3">
        <w:rPr>
          <w:sz w:val="22"/>
          <w:szCs w:val="22"/>
          <w:lang w:val="en-GB" w:eastAsia="en-IN"/>
        </w:rPr>
        <w:t xml:space="preserve"> US$76 million in 2013,</w:t>
      </w:r>
      <w:r w:rsidRPr="001715D3">
        <w:rPr>
          <w:rStyle w:val="EndnoteReference"/>
          <w:sz w:val="22"/>
          <w:szCs w:val="22"/>
          <w:lang w:val="en-GB" w:eastAsia="en-IN"/>
        </w:rPr>
        <w:endnoteReference w:id="9"/>
      </w:r>
      <w:r w:rsidRPr="001715D3">
        <w:rPr>
          <w:sz w:val="22"/>
          <w:szCs w:val="22"/>
          <w:lang w:val="en-GB" w:eastAsia="en-IN"/>
        </w:rPr>
        <w:t xml:space="preserve"> and US$260 million in 2014</w:t>
      </w:r>
      <w:r w:rsidR="00885A80" w:rsidRPr="001715D3">
        <w:rPr>
          <w:sz w:val="22"/>
          <w:szCs w:val="22"/>
          <w:lang w:val="en-GB" w:eastAsia="en-IN"/>
        </w:rPr>
        <w:t>,</w:t>
      </w:r>
      <w:r w:rsidRPr="001715D3">
        <w:rPr>
          <w:rStyle w:val="EndnoteReference"/>
          <w:sz w:val="22"/>
          <w:szCs w:val="22"/>
          <w:lang w:val="en-GB" w:eastAsia="en-IN"/>
        </w:rPr>
        <w:endnoteReference w:id="10"/>
      </w:r>
      <w:r w:rsidRPr="001715D3">
        <w:rPr>
          <w:sz w:val="22"/>
          <w:szCs w:val="22"/>
          <w:lang w:val="en-GB" w:eastAsia="en-IN"/>
        </w:rPr>
        <w:t xml:space="preserve"> </w:t>
      </w:r>
      <w:r w:rsidR="00CC6083">
        <w:rPr>
          <w:sz w:val="22"/>
          <w:szCs w:val="22"/>
          <w:lang w:val="en-GB" w:eastAsia="en-IN"/>
        </w:rPr>
        <w:t>for</w:t>
      </w:r>
      <w:r w:rsidRPr="001715D3">
        <w:rPr>
          <w:sz w:val="22"/>
          <w:szCs w:val="22"/>
          <w:lang w:val="en-GB" w:eastAsia="en-IN"/>
        </w:rPr>
        <w:t xml:space="preserve"> a total loss of US$1.233 billion over this four-year period. In February 2015, NOL sold the profit-making APL for US$1.2 billion to concentrate on its container-shipping business,</w:t>
      </w:r>
      <w:r w:rsidRPr="001715D3">
        <w:rPr>
          <w:rStyle w:val="EndnoteReference"/>
          <w:sz w:val="22"/>
          <w:szCs w:val="22"/>
          <w:lang w:val="en-GB" w:eastAsia="en-IN"/>
        </w:rPr>
        <w:endnoteReference w:id="11"/>
      </w:r>
      <w:r w:rsidRPr="001715D3">
        <w:rPr>
          <w:sz w:val="22"/>
          <w:szCs w:val="22"/>
          <w:lang w:val="en-GB" w:eastAsia="en-IN"/>
        </w:rPr>
        <w:t xml:space="preserve"> which had grown to become the 12th largest in the world.</w:t>
      </w:r>
      <w:r w:rsidRPr="001715D3">
        <w:rPr>
          <w:sz w:val="22"/>
          <w:szCs w:val="22"/>
          <w:lang w:val="en-GB"/>
        </w:rPr>
        <w:t xml:space="preserve"> </w:t>
      </w:r>
    </w:p>
    <w:p w14:paraId="201772F4" w14:textId="77777777" w:rsidR="002C3A1A" w:rsidRPr="001715D3" w:rsidRDefault="002C3A1A" w:rsidP="008C0337">
      <w:pPr>
        <w:jc w:val="both"/>
        <w:rPr>
          <w:sz w:val="22"/>
          <w:szCs w:val="22"/>
          <w:lang w:val="en-GB"/>
        </w:rPr>
      </w:pPr>
    </w:p>
    <w:p w14:paraId="1AF4061E" w14:textId="3F036A4E" w:rsidR="002C3A1A" w:rsidRPr="00F232B7" w:rsidRDefault="002C3A1A" w:rsidP="00154302">
      <w:pPr>
        <w:jc w:val="both"/>
        <w:rPr>
          <w:spacing w:val="-2"/>
          <w:kern w:val="22"/>
          <w:sz w:val="22"/>
          <w:szCs w:val="22"/>
          <w:lang w:val="en-GB"/>
        </w:rPr>
      </w:pPr>
      <w:r w:rsidRPr="00F232B7">
        <w:rPr>
          <w:spacing w:val="-2"/>
          <w:kern w:val="22"/>
          <w:sz w:val="22"/>
          <w:szCs w:val="22"/>
          <w:lang w:val="en-GB"/>
        </w:rPr>
        <w:t>In November 2015, it was announced that French shipping giant CMA CGM was in exclusive discussions to buy Singapore icon NOL.</w:t>
      </w:r>
      <w:r w:rsidRPr="00F232B7">
        <w:rPr>
          <w:rStyle w:val="EndnoteReference"/>
          <w:spacing w:val="-2"/>
          <w:kern w:val="22"/>
          <w:sz w:val="22"/>
          <w:szCs w:val="22"/>
          <w:lang w:val="en-GB"/>
        </w:rPr>
        <w:endnoteReference w:id="12"/>
      </w:r>
      <w:r w:rsidRPr="00F232B7">
        <w:rPr>
          <w:spacing w:val="-2"/>
          <w:kern w:val="22"/>
          <w:sz w:val="22"/>
          <w:szCs w:val="22"/>
          <w:lang w:val="en-GB"/>
        </w:rPr>
        <w:t xml:space="preserve"> With its high debt levels and inability to return to profitability, NOL had been looking for a buyer for months.</w:t>
      </w:r>
      <w:r w:rsidRPr="00F232B7">
        <w:rPr>
          <w:rStyle w:val="EndnoteReference"/>
          <w:spacing w:val="-2"/>
          <w:kern w:val="22"/>
          <w:sz w:val="22"/>
          <w:szCs w:val="22"/>
          <w:lang w:val="en-GB"/>
        </w:rPr>
        <w:endnoteReference w:id="13"/>
      </w:r>
      <w:r w:rsidRPr="00F232B7">
        <w:rPr>
          <w:spacing w:val="-2"/>
          <w:kern w:val="22"/>
          <w:sz w:val="22"/>
          <w:szCs w:val="22"/>
          <w:lang w:val="en-GB"/>
        </w:rPr>
        <w:t xml:space="preserve"> CMA CGM was the world’s third-largest container-shipping firm, and was privately owned by the billionaire </w:t>
      </w:r>
      <w:proofErr w:type="spellStart"/>
      <w:r w:rsidRPr="00F232B7">
        <w:rPr>
          <w:spacing w:val="-2"/>
          <w:kern w:val="22"/>
          <w:sz w:val="22"/>
          <w:szCs w:val="22"/>
          <w:lang w:val="en-GB"/>
        </w:rPr>
        <w:t>Saadé</w:t>
      </w:r>
      <w:proofErr w:type="spellEnd"/>
      <w:r w:rsidRPr="00F232B7">
        <w:rPr>
          <w:spacing w:val="-2"/>
          <w:kern w:val="22"/>
          <w:sz w:val="22"/>
          <w:szCs w:val="22"/>
          <w:lang w:val="en-GB"/>
        </w:rPr>
        <w:t xml:space="preserve"> family. On the deadline to complete due diligence, December 7, 2015, CMA CGM offered</w:t>
      </w:r>
      <w:r w:rsidR="00CC6083">
        <w:rPr>
          <w:spacing w:val="-2"/>
          <w:kern w:val="22"/>
          <w:sz w:val="22"/>
          <w:szCs w:val="22"/>
          <w:lang w:val="en-GB"/>
        </w:rPr>
        <w:t xml:space="preserve"> </w:t>
      </w:r>
      <w:r w:rsidR="005B0F4A">
        <w:rPr>
          <w:spacing w:val="-2"/>
          <w:kern w:val="22"/>
          <w:sz w:val="22"/>
          <w:szCs w:val="22"/>
          <w:lang w:val="en-GB"/>
        </w:rPr>
        <w:t>$</w:t>
      </w:r>
      <w:r w:rsidRPr="00F232B7">
        <w:rPr>
          <w:spacing w:val="-2"/>
          <w:kern w:val="22"/>
          <w:sz w:val="22"/>
          <w:szCs w:val="22"/>
          <w:lang w:val="en-GB"/>
        </w:rPr>
        <w:t>1.30 cash for each of NOL shares.</w:t>
      </w:r>
      <w:r w:rsidRPr="00F232B7">
        <w:rPr>
          <w:rStyle w:val="EndnoteReference"/>
          <w:spacing w:val="-2"/>
          <w:kern w:val="22"/>
          <w:sz w:val="22"/>
          <w:szCs w:val="22"/>
          <w:lang w:val="en-GB"/>
        </w:rPr>
        <w:endnoteReference w:id="14"/>
      </w:r>
      <w:r w:rsidRPr="00F232B7">
        <w:rPr>
          <w:spacing w:val="-2"/>
          <w:kern w:val="22"/>
          <w:sz w:val="22"/>
          <w:szCs w:val="22"/>
          <w:lang w:val="en-GB"/>
        </w:rPr>
        <w:t xml:space="preserve"> The company intended to take NOL private</w:t>
      </w:r>
      <w:r w:rsidRPr="00F232B7">
        <w:rPr>
          <w:rStyle w:val="EndnoteReference"/>
          <w:spacing w:val="-2"/>
          <w:kern w:val="22"/>
          <w:sz w:val="22"/>
          <w:szCs w:val="22"/>
          <w:lang w:val="en-GB"/>
        </w:rPr>
        <w:endnoteReference w:id="15"/>
      </w:r>
      <w:r w:rsidRPr="00F232B7">
        <w:rPr>
          <w:spacing w:val="-2"/>
          <w:kern w:val="22"/>
          <w:sz w:val="22"/>
          <w:szCs w:val="22"/>
          <w:lang w:val="en-GB"/>
        </w:rPr>
        <w:t xml:space="preserve"> and also planned to sell assets worth</w:t>
      </w:r>
      <w:r w:rsidR="00CC6083">
        <w:rPr>
          <w:spacing w:val="-2"/>
          <w:kern w:val="22"/>
          <w:sz w:val="22"/>
          <w:szCs w:val="22"/>
          <w:lang w:val="en-GB"/>
        </w:rPr>
        <w:t xml:space="preserve"> </w:t>
      </w:r>
      <w:r w:rsidR="005B0F4A">
        <w:rPr>
          <w:spacing w:val="-2"/>
          <w:kern w:val="22"/>
          <w:sz w:val="22"/>
          <w:szCs w:val="22"/>
          <w:lang w:val="en-GB"/>
        </w:rPr>
        <w:t>$</w:t>
      </w:r>
      <w:r w:rsidRPr="00F232B7">
        <w:rPr>
          <w:spacing w:val="-2"/>
          <w:kern w:val="22"/>
          <w:sz w:val="22"/>
          <w:szCs w:val="22"/>
          <w:lang w:val="en-GB"/>
        </w:rPr>
        <w:t>1.4 billion from the merged entity to reduce debt.</w:t>
      </w:r>
      <w:r w:rsidRPr="00F232B7">
        <w:rPr>
          <w:rStyle w:val="EndnoteReference"/>
          <w:spacing w:val="-2"/>
          <w:kern w:val="22"/>
          <w:sz w:val="22"/>
          <w:szCs w:val="22"/>
          <w:lang w:val="en-GB"/>
        </w:rPr>
        <w:endnoteReference w:id="16"/>
      </w:r>
    </w:p>
    <w:p w14:paraId="647E30A9" w14:textId="77777777" w:rsidR="002C3A1A" w:rsidRPr="001715D3" w:rsidRDefault="002C3A1A" w:rsidP="00154302">
      <w:pPr>
        <w:jc w:val="both"/>
        <w:rPr>
          <w:sz w:val="22"/>
          <w:szCs w:val="22"/>
          <w:lang w:val="en-GB"/>
        </w:rPr>
      </w:pPr>
    </w:p>
    <w:p w14:paraId="171C97BA" w14:textId="344229AD" w:rsidR="002C3A1A" w:rsidRPr="001715D3" w:rsidRDefault="002C3A1A" w:rsidP="00154302">
      <w:pPr>
        <w:jc w:val="both"/>
        <w:rPr>
          <w:sz w:val="22"/>
          <w:szCs w:val="22"/>
          <w:lang w:val="en-GB"/>
        </w:rPr>
      </w:pPr>
      <w:proofErr w:type="spellStart"/>
      <w:r w:rsidRPr="001715D3">
        <w:rPr>
          <w:sz w:val="22"/>
          <w:szCs w:val="22"/>
          <w:lang w:val="en-GB"/>
        </w:rPr>
        <w:t>Temasek’s</w:t>
      </w:r>
      <w:proofErr w:type="spellEnd"/>
      <w:r w:rsidRPr="001715D3">
        <w:rPr>
          <w:sz w:val="22"/>
          <w:szCs w:val="22"/>
          <w:lang w:val="en-GB"/>
        </w:rPr>
        <w:t xml:space="preserve"> head of portfolio management said, </w:t>
      </w:r>
    </w:p>
    <w:p w14:paraId="5BDFDE14" w14:textId="77777777" w:rsidR="002C3A1A" w:rsidRPr="001715D3" w:rsidRDefault="002C3A1A" w:rsidP="00154302">
      <w:pPr>
        <w:jc w:val="both"/>
        <w:rPr>
          <w:sz w:val="22"/>
          <w:szCs w:val="22"/>
          <w:lang w:val="en-GB"/>
        </w:rPr>
      </w:pPr>
    </w:p>
    <w:p w14:paraId="689FB320" w14:textId="46AD8D6B" w:rsidR="002C3A1A" w:rsidRPr="001715D3" w:rsidRDefault="002C3A1A" w:rsidP="00620D48">
      <w:pPr>
        <w:ind w:left="720"/>
        <w:jc w:val="both"/>
        <w:rPr>
          <w:sz w:val="22"/>
          <w:szCs w:val="22"/>
          <w:lang w:val="en-GB"/>
        </w:rPr>
      </w:pPr>
      <w:r w:rsidRPr="001715D3">
        <w:rPr>
          <w:sz w:val="22"/>
          <w:szCs w:val="22"/>
          <w:lang w:val="en-GB"/>
        </w:rPr>
        <w:t xml:space="preserve">We are supportive of this transaction [because] it presents NOL with an opportunity to join a leading player with an extensive global presence and solid operational track record. We also note and welcome the commitment of CMA CGM to enhance Singapore’s position as a key maritime hub, and grow Singapore’s container throughput volumes. </w:t>
      </w:r>
    </w:p>
    <w:p w14:paraId="29EBF341" w14:textId="77777777" w:rsidR="002C3A1A" w:rsidRPr="001715D3" w:rsidRDefault="002C3A1A" w:rsidP="00154302">
      <w:pPr>
        <w:jc w:val="both"/>
        <w:rPr>
          <w:sz w:val="22"/>
          <w:szCs w:val="22"/>
          <w:lang w:val="en-GB"/>
        </w:rPr>
      </w:pPr>
    </w:p>
    <w:p w14:paraId="7872011A" w14:textId="4842BDC1" w:rsidR="002C3A1A" w:rsidRPr="001715D3" w:rsidRDefault="002C3A1A" w:rsidP="00154302">
      <w:pPr>
        <w:jc w:val="both"/>
        <w:rPr>
          <w:sz w:val="22"/>
          <w:szCs w:val="22"/>
          <w:lang w:val="en-GB"/>
        </w:rPr>
      </w:pPr>
      <w:r w:rsidRPr="001715D3">
        <w:rPr>
          <w:sz w:val="22"/>
          <w:szCs w:val="22"/>
          <w:lang w:val="en-GB"/>
        </w:rPr>
        <w:t>The offer was</w:t>
      </w:r>
      <w:r w:rsidR="00CC6083">
        <w:rPr>
          <w:sz w:val="22"/>
          <w:szCs w:val="22"/>
          <w:lang w:val="en-GB"/>
        </w:rPr>
        <w:t xml:space="preserve"> subject</w:t>
      </w:r>
      <w:r w:rsidRPr="001715D3">
        <w:rPr>
          <w:sz w:val="22"/>
          <w:szCs w:val="22"/>
          <w:lang w:val="en-GB"/>
        </w:rPr>
        <w:t xml:space="preserve"> to the approval of the American, European, and Chinese regulators.</w:t>
      </w:r>
      <w:r w:rsidRPr="001715D3">
        <w:rPr>
          <w:rStyle w:val="EndnoteReference"/>
          <w:sz w:val="22"/>
          <w:szCs w:val="22"/>
          <w:lang w:val="en-GB"/>
        </w:rPr>
        <w:endnoteReference w:id="17"/>
      </w:r>
      <w:r w:rsidRPr="001715D3">
        <w:rPr>
          <w:sz w:val="22"/>
          <w:szCs w:val="22"/>
          <w:lang w:val="en-GB"/>
        </w:rPr>
        <w:t xml:space="preserve"> </w:t>
      </w:r>
    </w:p>
    <w:p w14:paraId="3EA1C738" w14:textId="77777777" w:rsidR="002C3A1A" w:rsidRPr="001715D3" w:rsidRDefault="002C3A1A" w:rsidP="008C0337">
      <w:pPr>
        <w:jc w:val="both"/>
        <w:rPr>
          <w:sz w:val="22"/>
          <w:szCs w:val="22"/>
          <w:lang w:val="en-GB" w:eastAsia="en-IN"/>
        </w:rPr>
      </w:pPr>
    </w:p>
    <w:p w14:paraId="2AAB6A4E" w14:textId="77777777" w:rsidR="002C3A1A" w:rsidRPr="001715D3" w:rsidRDefault="002C3A1A" w:rsidP="008C0337">
      <w:pPr>
        <w:pStyle w:val="Casehead1"/>
        <w:rPr>
          <w:lang w:val="en-GB" w:eastAsia="en-IN"/>
        </w:rPr>
      </w:pPr>
    </w:p>
    <w:p w14:paraId="640ACE7A" w14:textId="77777777" w:rsidR="002C3A1A" w:rsidRPr="001715D3" w:rsidRDefault="002C3A1A" w:rsidP="007E0371">
      <w:pPr>
        <w:pStyle w:val="Casehead1"/>
        <w:outlineLvl w:val="0"/>
        <w:rPr>
          <w:lang w:val="en-GB"/>
        </w:rPr>
      </w:pPr>
      <w:r w:rsidRPr="001715D3">
        <w:rPr>
          <w:lang w:val="en-GB"/>
        </w:rPr>
        <w:t>why sell a national icon?</w:t>
      </w:r>
    </w:p>
    <w:p w14:paraId="0DA01589" w14:textId="77777777" w:rsidR="002C3A1A" w:rsidRPr="001715D3" w:rsidRDefault="002C3A1A" w:rsidP="00076EB3">
      <w:pPr>
        <w:keepNext/>
        <w:jc w:val="both"/>
        <w:rPr>
          <w:b/>
          <w:caps/>
          <w:sz w:val="22"/>
          <w:szCs w:val="22"/>
          <w:lang w:val="en-GB"/>
        </w:rPr>
      </w:pPr>
    </w:p>
    <w:p w14:paraId="5166DBDF" w14:textId="437683C8" w:rsidR="002C3A1A" w:rsidRPr="001715D3" w:rsidRDefault="002C3A1A" w:rsidP="00076EB3">
      <w:pPr>
        <w:jc w:val="both"/>
        <w:rPr>
          <w:sz w:val="22"/>
          <w:szCs w:val="22"/>
          <w:lang w:val="en-GB"/>
        </w:rPr>
      </w:pPr>
      <w:r w:rsidRPr="001715D3">
        <w:rPr>
          <w:sz w:val="22"/>
          <w:szCs w:val="22"/>
          <w:lang w:val="en-GB"/>
        </w:rPr>
        <w:t xml:space="preserve">According to the director of research at </w:t>
      </w:r>
      <w:proofErr w:type="spellStart"/>
      <w:r w:rsidR="00734BAE" w:rsidRPr="001715D3">
        <w:rPr>
          <w:sz w:val="22"/>
          <w:szCs w:val="22"/>
          <w:lang w:val="en-GB"/>
        </w:rPr>
        <w:t>Drewry</w:t>
      </w:r>
      <w:proofErr w:type="spellEnd"/>
      <w:r w:rsidR="00734BAE" w:rsidRPr="001715D3">
        <w:rPr>
          <w:sz w:val="22"/>
          <w:szCs w:val="22"/>
          <w:lang w:val="en-GB"/>
        </w:rPr>
        <w:t xml:space="preserve"> Shipping Consultants Limited</w:t>
      </w:r>
      <w:r w:rsidRPr="001715D3">
        <w:rPr>
          <w:sz w:val="22"/>
          <w:szCs w:val="22"/>
          <w:lang w:val="en-GB"/>
        </w:rPr>
        <w:t xml:space="preserve">, NOL was suffering from overcapacity in the container-shipping industry and </w:t>
      </w:r>
      <w:r w:rsidR="00CC6083">
        <w:rPr>
          <w:sz w:val="22"/>
          <w:szCs w:val="22"/>
          <w:lang w:val="en-GB"/>
        </w:rPr>
        <w:t xml:space="preserve">from </w:t>
      </w:r>
      <w:r w:rsidRPr="001715D3">
        <w:rPr>
          <w:sz w:val="22"/>
          <w:szCs w:val="22"/>
          <w:lang w:val="en-GB"/>
        </w:rPr>
        <w:t xml:space="preserve">falling freight rates: “The 2015 volume total is on course to be the lowest since 2009, while average freight rates are destined to be the lowest in at least a decade. It’s a toxic combination that the management has failed to arrest, and </w:t>
      </w:r>
      <w:proofErr w:type="spellStart"/>
      <w:r w:rsidRPr="001715D3">
        <w:rPr>
          <w:sz w:val="22"/>
          <w:szCs w:val="22"/>
          <w:lang w:val="en-GB"/>
        </w:rPr>
        <w:t>Temasek</w:t>
      </w:r>
      <w:proofErr w:type="spellEnd"/>
      <w:r w:rsidRPr="001715D3">
        <w:rPr>
          <w:sz w:val="22"/>
          <w:szCs w:val="22"/>
          <w:lang w:val="en-GB"/>
        </w:rPr>
        <w:t xml:space="preserve"> appears to have seen the writing on the wall that a turnaround is not imminent.”</w:t>
      </w:r>
      <w:r w:rsidRPr="001715D3">
        <w:rPr>
          <w:rStyle w:val="EndnoteReference"/>
          <w:sz w:val="22"/>
          <w:szCs w:val="22"/>
          <w:lang w:val="en-GB"/>
        </w:rPr>
        <w:endnoteReference w:id="18"/>
      </w:r>
    </w:p>
    <w:p w14:paraId="34B02FD1" w14:textId="77777777" w:rsidR="002C3A1A" w:rsidRPr="001715D3" w:rsidRDefault="002C3A1A" w:rsidP="00076EB3">
      <w:pPr>
        <w:jc w:val="both"/>
        <w:rPr>
          <w:sz w:val="22"/>
          <w:szCs w:val="22"/>
          <w:lang w:val="en-GB"/>
        </w:rPr>
      </w:pPr>
    </w:p>
    <w:p w14:paraId="13D2780A" w14:textId="26271EBD" w:rsidR="002C3A1A" w:rsidRPr="00F232B7" w:rsidRDefault="002C3A1A" w:rsidP="00BD2DED">
      <w:pPr>
        <w:jc w:val="both"/>
        <w:rPr>
          <w:spacing w:val="-2"/>
          <w:kern w:val="22"/>
          <w:sz w:val="22"/>
          <w:szCs w:val="22"/>
          <w:lang w:val="en-GB"/>
        </w:rPr>
      </w:pPr>
      <w:r w:rsidRPr="00F232B7">
        <w:rPr>
          <w:spacing w:val="-2"/>
          <w:kern w:val="22"/>
          <w:sz w:val="22"/>
          <w:szCs w:val="22"/>
          <w:lang w:val="en-GB"/>
        </w:rPr>
        <w:t>NOL’s deputy chief executive and chief financial officer in the 1990s felt that NOL might fetch a better price if it waited, “but there’s also the worry that if they don’t sell now, there may not be a suitor later</w:t>
      </w:r>
      <w:r w:rsidR="00734BAE" w:rsidRPr="00F232B7">
        <w:rPr>
          <w:spacing w:val="-2"/>
          <w:kern w:val="22"/>
          <w:sz w:val="22"/>
          <w:szCs w:val="22"/>
          <w:lang w:val="en-GB"/>
        </w:rPr>
        <w:t>.</w:t>
      </w:r>
      <w:r w:rsidRPr="00F232B7">
        <w:rPr>
          <w:spacing w:val="-2"/>
          <w:kern w:val="22"/>
          <w:sz w:val="22"/>
          <w:szCs w:val="22"/>
          <w:lang w:val="en-GB"/>
        </w:rPr>
        <w:t>” Although the offer price was 0.96 times NOL’s book value, O</w:t>
      </w:r>
      <w:r w:rsidR="00CC6083">
        <w:rPr>
          <w:spacing w:val="-2"/>
          <w:kern w:val="22"/>
          <w:sz w:val="22"/>
          <w:szCs w:val="22"/>
          <w:lang w:val="en-GB"/>
        </w:rPr>
        <w:t>cean Chinese Banking Corporation</w:t>
      </w:r>
      <w:r w:rsidRPr="00F232B7">
        <w:rPr>
          <w:spacing w:val="-2"/>
          <w:kern w:val="22"/>
          <w:sz w:val="22"/>
          <w:szCs w:val="22"/>
          <w:lang w:val="en-GB"/>
        </w:rPr>
        <w:t xml:space="preserve"> Investment Research analyst Eugene Chua agreed that it was fair, given the poor sentiment of the shipping industry. He was of the opinion that </w:t>
      </w:r>
      <w:proofErr w:type="spellStart"/>
      <w:r w:rsidRPr="00F232B7">
        <w:rPr>
          <w:spacing w:val="-2"/>
          <w:kern w:val="22"/>
          <w:sz w:val="22"/>
          <w:szCs w:val="22"/>
          <w:lang w:val="en-GB"/>
        </w:rPr>
        <w:t>Temasek</w:t>
      </w:r>
      <w:proofErr w:type="spellEnd"/>
      <w:r w:rsidRPr="00F232B7">
        <w:rPr>
          <w:spacing w:val="-2"/>
          <w:kern w:val="22"/>
          <w:sz w:val="22"/>
          <w:szCs w:val="22"/>
          <w:lang w:val="en-GB"/>
        </w:rPr>
        <w:t xml:space="preserve"> had accepted the offer “[in the hope] that the deal would bring greater economic benefit to Singapore.”</w:t>
      </w:r>
      <w:r w:rsidRPr="00F232B7">
        <w:rPr>
          <w:rStyle w:val="EndnoteReference"/>
          <w:spacing w:val="-2"/>
          <w:kern w:val="22"/>
          <w:sz w:val="22"/>
          <w:szCs w:val="22"/>
          <w:lang w:val="en-GB"/>
        </w:rPr>
        <w:endnoteReference w:id="19"/>
      </w:r>
    </w:p>
    <w:p w14:paraId="071C51E8" w14:textId="77777777" w:rsidR="002C3A1A" w:rsidRPr="001715D3" w:rsidRDefault="002C3A1A" w:rsidP="00226E1A">
      <w:pPr>
        <w:jc w:val="both"/>
        <w:rPr>
          <w:sz w:val="22"/>
          <w:szCs w:val="22"/>
          <w:lang w:val="en-GB"/>
        </w:rPr>
      </w:pPr>
    </w:p>
    <w:p w14:paraId="41DF0DC6" w14:textId="5D9CF6C1" w:rsidR="002C3A1A" w:rsidRPr="001715D3" w:rsidRDefault="002C3A1A" w:rsidP="00226E1A">
      <w:pPr>
        <w:jc w:val="both"/>
        <w:rPr>
          <w:sz w:val="22"/>
          <w:szCs w:val="22"/>
          <w:shd w:val="clear" w:color="auto" w:fill="FFFFFF"/>
          <w:lang w:val="en-GB"/>
        </w:rPr>
      </w:pPr>
      <w:r w:rsidRPr="001715D3">
        <w:rPr>
          <w:sz w:val="22"/>
          <w:szCs w:val="22"/>
          <w:lang w:val="en-GB"/>
        </w:rPr>
        <w:t xml:space="preserve">CMA CGM had pledged to “increase its commitment,” and </w:t>
      </w:r>
      <w:r w:rsidRPr="001715D3">
        <w:rPr>
          <w:sz w:val="22"/>
          <w:szCs w:val="22"/>
          <w:shd w:val="clear" w:color="auto" w:fill="FFFFFF"/>
          <w:lang w:val="en-GB"/>
        </w:rPr>
        <w:t>help reinforce Singapore’s position as a leading maritime hub;</w:t>
      </w:r>
      <w:r w:rsidRPr="001715D3">
        <w:rPr>
          <w:sz w:val="22"/>
          <w:szCs w:val="22"/>
          <w:lang w:val="en-GB"/>
        </w:rPr>
        <w:t xml:space="preserve"> the company intended to </w:t>
      </w:r>
      <w:r w:rsidRPr="001715D3">
        <w:rPr>
          <w:sz w:val="22"/>
          <w:szCs w:val="22"/>
          <w:shd w:val="clear" w:color="auto" w:fill="FFFFFF"/>
          <w:lang w:val="en-GB"/>
        </w:rPr>
        <w:t>establish its regional head office in Singapore, and sought to enhance Singapore’s position in Asia.</w:t>
      </w:r>
      <w:r w:rsidRPr="001715D3">
        <w:rPr>
          <w:rStyle w:val="EndnoteReference"/>
          <w:sz w:val="22"/>
          <w:szCs w:val="22"/>
          <w:shd w:val="clear" w:color="auto" w:fill="FFFFFF"/>
          <w:lang w:val="en-GB"/>
        </w:rPr>
        <w:endnoteReference w:id="20"/>
      </w:r>
      <w:r w:rsidRPr="001715D3">
        <w:rPr>
          <w:sz w:val="22"/>
          <w:szCs w:val="22"/>
          <w:shd w:val="clear" w:color="auto" w:fill="FFFFFF"/>
          <w:lang w:val="en-GB"/>
        </w:rPr>
        <w:t xml:space="preserve"> </w:t>
      </w:r>
      <w:r w:rsidRPr="001715D3">
        <w:rPr>
          <w:sz w:val="22"/>
          <w:szCs w:val="22"/>
          <w:lang w:val="en-GB"/>
        </w:rPr>
        <w:t xml:space="preserve">Vice-chairman </w:t>
      </w:r>
      <w:proofErr w:type="spellStart"/>
      <w:r w:rsidRPr="001715D3">
        <w:rPr>
          <w:sz w:val="22"/>
          <w:szCs w:val="22"/>
          <w:lang w:val="en-GB"/>
        </w:rPr>
        <w:t>Rudolphe</w:t>
      </w:r>
      <w:proofErr w:type="spellEnd"/>
      <w:r w:rsidRPr="001715D3">
        <w:rPr>
          <w:sz w:val="22"/>
          <w:szCs w:val="22"/>
          <w:lang w:val="en-GB"/>
        </w:rPr>
        <w:t xml:space="preserve"> </w:t>
      </w:r>
      <w:proofErr w:type="spellStart"/>
      <w:r w:rsidRPr="001715D3">
        <w:rPr>
          <w:sz w:val="22"/>
          <w:szCs w:val="22"/>
          <w:shd w:val="clear" w:color="auto" w:fill="FFFFFF"/>
          <w:lang w:val="en-GB"/>
        </w:rPr>
        <w:t>Saadé</w:t>
      </w:r>
      <w:proofErr w:type="spellEnd"/>
      <w:r w:rsidRPr="001715D3">
        <w:rPr>
          <w:sz w:val="22"/>
          <w:szCs w:val="22"/>
          <w:shd w:val="clear" w:color="auto" w:fill="FFFFFF"/>
          <w:lang w:val="en-GB"/>
        </w:rPr>
        <w:t xml:space="preserve"> (son of CMA CGM’s founder and chairman, Jacques </w:t>
      </w:r>
      <w:proofErr w:type="spellStart"/>
      <w:r w:rsidRPr="001715D3">
        <w:rPr>
          <w:sz w:val="22"/>
          <w:szCs w:val="22"/>
          <w:shd w:val="clear" w:color="auto" w:fill="FFFFFF"/>
          <w:lang w:val="en-GB"/>
        </w:rPr>
        <w:t>Saadé</w:t>
      </w:r>
      <w:proofErr w:type="spellEnd"/>
      <w:r w:rsidRPr="001715D3">
        <w:rPr>
          <w:sz w:val="22"/>
          <w:szCs w:val="22"/>
          <w:shd w:val="clear" w:color="auto" w:fill="FFFFFF"/>
          <w:lang w:val="en-GB"/>
        </w:rPr>
        <w:t xml:space="preserve">) said, </w:t>
      </w:r>
    </w:p>
    <w:p w14:paraId="621D5157" w14:textId="77777777" w:rsidR="002C3A1A" w:rsidRPr="001715D3" w:rsidRDefault="002C3A1A" w:rsidP="00226E1A">
      <w:pPr>
        <w:jc w:val="both"/>
        <w:rPr>
          <w:sz w:val="22"/>
          <w:szCs w:val="22"/>
          <w:shd w:val="clear" w:color="auto" w:fill="FFFFFF"/>
          <w:lang w:val="en-GB"/>
        </w:rPr>
      </w:pPr>
    </w:p>
    <w:p w14:paraId="6B24F9A0" w14:textId="77D0ED76" w:rsidR="002C3A1A" w:rsidRPr="001715D3" w:rsidRDefault="002C3A1A" w:rsidP="00620D48">
      <w:pPr>
        <w:ind w:left="720"/>
        <w:jc w:val="both"/>
        <w:rPr>
          <w:sz w:val="22"/>
          <w:szCs w:val="22"/>
          <w:shd w:val="clear" w:color="auto" w:fill="FFFFFF"/>
          <w:lang w:val="en-GB"/>
        </w:rPr>
      </w:pPr>
      <w:r w:rsidRPr="001715D3">
        <w:rPr>
          <w:sz w:val="22"/>
          <w:szCs w:val="22"/>
          <w:shd w:val="clear" w:color="auto" w:fill="FFFFFF"/>
          <w:lang w:val="en-GB"/>
        </w:rPr>
        <w:t>We recognize the strategic importance of Singapore as a key hub for the maritime industry and we are committed to reinforcing its regional leadership. At a time when the shipping industry is facing strong headwinds, scale is more critical than ever to capitalize on synergies and capture growth opportunities wherever they arise.</w:t>
      </w:r>
      <w:r w:rsidRPr="001715D3">
        <w:rPr>
          <w:rStyle w:val="EndnoteReference"/>
          <w:sz w:val="22"/>
          <w:szCs w:val="22"/>
          <w:shd w:val="clear" w:color="auto" w:fill="FFFFFF"/>
          <w:lang w:val="en-GB"/>
        </w:rPr>
        <w:endnoteReference w:id="21"/>
      </w:r>
      <w:r w:rsidRPr="001715D3">
        <w:rPr>
          <w:sz w:val="22"/>
          <w:szCs w:val="22"/>
          <w:shd w:val="clear" w:color="auto" w:fill="FFFFFF"/>
          <w:lang w:val="en-GB"/>
        </w:rPr>
        <w:t xml:space="preserve"> </w:t>
      </w:r>
    </w:p>
    <w:p w14:paraId="04894EF6" w14:textId="77777777" w:rsidR="002C3A1A" w:rsidRPr="001715D3" w:rsidRDefault="002C3A1A" w:rsidP="00226E1A">
      <w:pPr>
        <w:jc w:val="both"/>
        <w:rPr>
          <w:sz w:val="22"/>
          <w:szCs w:val="22"/>
          <w:shd w:val="clear" w:color="auto" w:fill="FFFFFF"/>
          <w:lang w:val="en-GB"/>
        </w:rPr>
      </w:pPr>
    </w:p>
    <w:p w14:paraId="22A6F322" w14:textId="00677E4A" w:rsidR="002C3A1A" w:rsidRPr="001715D3" w:rsidRDefault="002C3A1A" w:rsidP="002C3A1A">
      <w:pPr>
        <w:pStyle w:val="NormalWeb"/>
        <w:shd w:val="clear" w:color="auto" w:fill="FFFFFF"/>
        <w:spacing w:before="0" w:beforeAutospacing="0" w:after="0" w:afterAutospacing="0"/>
        <w:jc w:val="both"/>
        <w:rPr>
          <w:sz w:val="22"/>
          <w:szCs w:val="22"/>
          <w:lang w:val="en-GB"/>
        </w:rPr>
      </w:pPr>
      <w:r w:rsidRPr="001715D3">
        <w:rPr>
          <w:sz w:val="22"/>
          <w:szCs w:val="22"/>
          <w:shd w:val="clear" w:color="auto" w:fill="FFFFFF"/>
          <w:lang w:val="en-GB"/>
        </w:rPr>
        <w:lastRenderedPageBreak/>
        <w:t xml:space="preserve">NOL’s chief executive officer, Ng </w:t>
      </w:r>
      <w:proofErr w:type="spellStart"/>
      <w:r w:rsidRPr="001715D3">
        <w:rPr>
          <w:sz w:val="22"/>
          <w:szCs w:val="22"/>
          <w:shd w:val="clear" w:color="auto" w:fill="FFFFFF"/>
          <w:lang w:val="en-GB"/>
        </w:rPr>
        <w:t>Yat</w:t>
      </w:r>
      <w:proofErr w:type="spellEnd"/>
      <w:r w:rsidRPr="001715D3">
        <w:rPr>
          <w:sz w:val="22"/>
          <w:szCs w:val="22"/>
          <w:shd w:val="clear" w:color="auto" w:fill="FFFFFF"/>
          <w:lang w:val="en-GB"/>
        </w:rPr>
        <w:t xml:space="preserve"> Chung, said that the buyout would deliver “the scale that is required for NOL to succeed” and reaffirmed that </w:t>
      </w:r>
      <w:r w:rsidRPr="001715D3">
        <w:rPr>
          <w:sz w:val="22"/>
          <w:szCs w:val="22"/>
          <w:lang w:val="en-GB"/>
        </w:rPr>
        <w:t>“</w:t>
      </w:r>
      <w:r w:rsidR="00734BAE" w:rsidRPr="001715D3">
        <w:rPr>
          <w:sz w:val="22"/>
          <w:szCs w:val="22"/>
          <w:lang w:val="en-GB"/>
        </w:rPr>
        <w:t>t</w:t>
      </w:r>
      <w:r w:rsidRPr="001715D3">
        <w:rPr>
          <w:sz w:val="22"/>
          <w:szCs w:val="22"/>
          <w:lang w:val="en-GB"/>
        </w:rPr>
        <w:t>he change in ownership of NOL will not impair Singapore’s continuing journey to be a premier maritime hub.”</w:t>
      </w:r>
      <w:r w:rsidRPr="001715D3">
        <w:rPr>
          <w:rStyle w:val="EndnoteReference"/>
          <w:sz w:val="22"/>
          <w:szCs w:val="22"/>
          <w:lang w:val="en-GB"/>
        </w:rPr>
        <w:endnoteReference w:id="22"/>
      </w:r>
      <w:r w:rsidRPr="001715D3">
        <w:rPr>
          <w:sz w:val="22"/>
          <w:szCs w:val="22"/>
          <w:lang w:val="en-GB"/>
        </w:rPr>
        <w:t xml:space="preserve"> </w:t>
      </w:r>
    </w:p>
    <w:p w14:paraId="3364DC8B" w14:textId="77777777" w:rsidR="002C3A1A" w:rsidRPr="001715D3" w:rsidRDefault="002C3A1A" w:rsidP="00226E1A">
      <w:pPr>
        <w:pStyle w:val="NormalWeb"/>
        <w:shd w:val="clear" w:color="auto" w:fill="FFFFFF"/>
        <w:spacing w:before="0" w:beforeAutospacing="0" w:after="0" w:afterAutospacing="0"/>
        <w:rPr>
          <w:sz w:val="22"/>
          <w:szCs w:val="22"/>
          <w:lang w:val="en-GB"/>
        </w:rPr>
      </w:pPr>
    </w:p>
    <w:p w14:paraId="3F6D941E" w14:textId="77777777" w:rsidR="002C3A1A" w:rsidRPr="001715D3" w:rsidRDefault="002C3A1A" w:rsidP="00226E1A">
      <w:pPr>
        <w:pStyle w:val="NormalWeb"/>
        <w:shd w:val="clear" w:color="auto" w:fill="FFFFFF"/>
        <w:spacing w:before="0" w:beforeAutospacing="0" w:after="0" w:afterAutospacing="0"/>
        <w:rPr>
          <w:sz w:val="22"/>
          <w:szCs w:val="22"/>
          <w:lang w:val="en-GB"/>
        </w:rPr>
      </w:pPr>
    </w:p>
    <w:p w14:paraId="5B911A89" w14:textId="21D1CEB0" w:rsidR="002C3A1A" w:rsidRPr="001715D3" w:rsidRDefault="002C3A1A" w:rsidP="007E0371">
      <w:pPr>
        <w:pStyle w:val="Casehead1"/>
        <w:outlineLvl w:val="0"/>
        <w:rPr>
          <w:lang w:val="en-GB"/>
        </w:rPr>
      </w:pPr>
      <w:r w:rsidRPr="001715D3">
        <w:rPr>
          <w:lang w:val="en-GB"/>
        </w:rPr>
        <w:t>Motivation on the part of CMA CGM</w:t>
      </w:r>
      <w:r w:rsidRPr="001715D3">
        <w:rPr>
          <w:rStyle w:val="EndnoteReference"/>
          <w:lang w:val="en-GB"/>
        </w:rPr>
        <w:endnoteReference w:id="23"/>
      </w:r>
    </w:p>
    <w:p w14:paraId="40C270B9" w14:textId="18B55277" w:rsidR="002C3A1A" w:rsidRPr="001715D3" w:rsidRDefault="002C3A1A" w:rsidP="00D92389">
      <w:pPr>
        <w:keepNext/>
        <w:jc w:val="both"/>
        <w:rPr>
          <w:b/>
          <w:caps/>
          <w:sz w:val="22"/>
          <w:szCs w:val="22"/>
          <w:lang w:val="en-GB"/>
        </w:rPr>
      </w:pPr>
    </w:p>
    <w:p w14:paraId="5784856D" w14:textId="45D2F07B" w:rsidR="002C3A1A" w:rsidRPr="001715D3" w:rsidRDefault="002C3A1A" w:rsidP="00DF675E">
      <w:pPr>
        <w:jc w:val="both"/>
        <w:rPr>
          <w:sz w:val="22"/>
          <w:szCs w:val="22"/>
          <w:lang w:val="en-GB"/>
        </w:rPr>
      </w:pPr>
      <w:r w:rsidRPr="001715D3">
        <w:rPr>
          <w:sz w:val="22"/>
          <w:szCs w:val="22"/>
          <w:lang w:val="en-GB"/>
        </w:rPr>
        <w:t xml:space="preserve">Over the years, CMA CGM had acquired several national icons, namely the French state-backed </w:t>
      </w:r>
      <w:proofErr w:type="spellStart"/>
      <w:r w:rsidRPr="001715D3">
        <w:rPr>
          <w:sz w:val="22"/>
          <w:szCs w:val="22"/>
          <w:lang w:val="en-GB"/>
        </w:rPr>
        <w:t>Compagnie</w:t>
      </w:r>
      <w:proofErr w:type="spellEnd"/>
      <w:r w:rsidRPr="001715D3">
        <w:rPr>
          <w:sz w:val="22"/>
          <w:szCs w:val="22"/>
          <w:lang w:val="en-GB"/>
        </w:rPr>
        <w:t xml:space="preserve"> </w:t>
      </w:r>
      <w:proofErr w:type="spellStart"/>
      <w:r w:rsidRPr="001715D3">
        <w:rPr>
          <w:sz w:val="22"/>
          <w:szCs w:val="22"/>
          <w:lang w:val="en-GB"/>
        </w:rPr>
        <w:t>Generale</w:t>
      </w:r>
      <w:proofErr w:type="spellEnd"/>
      <w:r w:rsidRPr="001715D3">
        <w:rPr>
          <w:sz w:val="22"/>
          <w:szCs w:val="22"/>
          <w:lang w:val="en-GB"/>
        </w:rPr>
        <w:t xml:space="preserve"> Maritime (CGM) in 1996, the Australian National Line in 1998, French rival </w:t>
      </w:r>
      <w:proofErr w:type="spellStart"/>
      <w:r w:rsidRPr="001715D3">
        <w:rPr>
          <w:sz w:val="22"/>
          <w:szCs w:val="22"/>
          <w:lang w:val="en-GB"/>
        </w:rPr>
        <w:t>Delmas</w:t>
      </w:r>
      <w:proofErr w:type="spellEnd"/>
      <w:r w:rsidRPr="001715D3">
        <w:rPr>
          <w:sz w:val="22"/>
          <w:szCs w:val="22"/>
          <w:lang w:val="en-GB"/>
        </w:rPr>
        <w:t xml:space="preserve"> in 2005</w:t>
      </w:r>
      <w:r w:rsidR="00CC6083">
        <w:rPr>
          <w:sz w:val="22"/>
          <w:szCs w:val="22"/>
          <w:lang w:val="en-GB"/>
        </w:rPr>
        <w:t>,</w:t>
      </w:r>
      <w:r w:rsidRPr="001715D3">
        <w:rPr>
          <w:sz w:val="22"/>
          <w:szCs w:val="22"/>
          <w:lang w:val="en-GB"/>
        </w:rPr>
        <w:t xml:space="preserve"> and Taiwan’s Cheng Lie Navigation in 2007.</w:t>
      </w:r>
      <w:r w:rsidRPr="001715D3">
        <w:rPr>
          <w:rStyle w:val="EndnoteReference"/>
          <w:sz w:val="22"/>
          <w:szCs w:val="22"/>
          <w:lang w:val="en-GB"/>
        </w:rPr>
        <w:endnoteReference w:id="24"/>
      </w:r>
      <w:r w:rsidRPr="001715D3">
        <w:rPr>
          <w:sz w:val="22"/>
          <w:szCs w:val="22"/>
          <w:lang w:val="en-GB"/>
        </w:rPr>
        <w:t xml:space="preserve"> </w:t>
      </w:r>
    </w:p>
    <w:p w14:paraId="11FF9186" w14:textId="77777777" w:rsidR="002C3A1A" w:rsidRPr="001715D3" w:rsidRDefault="002C3A1A" w:rsidP="00DF675E">
      <w:pPr>
        <w:jc w:val="both"/>
        <w:rPr>
          <w:sz w:val="22"/>
          <w:szCs w:val="22"/>
          <w:lang w:val="en-GB"/>
        </w:rPr>
      </w:pPr>
    </w:p>
    <w:p w14:paraId="1D81C961" w14:textId="21281507" w:rsidR="002C3A1A" w:rsidRPr="001715D3" w:rsidRDefault="002C3A1A" w:rsidP="00DF675E">
      <w:pPr>
        <w:jc w:val="both"/>
        <w:rPr>
          <w:sz w:val="22"/>
          <w:szCs w:val="22"/>
          <w:lang w:val="en-GB"/>
        </w:rPr>
      </w:pPr>
      <w:r w:rsidRPr="001715D3">
        <w:rPr>
          <w:sz w:val="22"/>
          <w:szCs w:val="22"/>
          <w:lang w:val="en-GB"/>
        </w:rPr>
        <w:t>There was some pressure for CMA CGM to expand, given that the two state-owned Chinese shipping giants, China Ocean Shipping Group Co. and China Shipping Group Co., were in advanced talks to merge.</w:t>
      </w:r>
      <w:r w:rsidRPr="001715D3">
        <w:rPr>
          <w:rStyle w:val="EndnoteReference"/>
          <w:sz w:val="22"/>
          <w:szCs w:val="22"/>
          <w:lang w:val="en-GB"/>
        </w:rPr>
        <w:endnoteReference w:id="25"/>
      </w:r>
      <w:r w:rsidRPr="001715D3">
        <w:rPr>
          <w:sz w:val="22"/>
          <w:szCs w:val="22"/>
          <w:lang w:val="en-GB"/>
        </w:rPr>
        <w:t xml:space="preserve"> If successful, the merger would create the world’s fourth-largest container</w:t>
      </w:r>
      <w:r w:rsidR="00203D21">
        <w:rPr>
          <w:sz w:val="22"/>
          <w:szCs w:val="22"/>
          <w:lang w:val="en-GB"/>
        </w:rPr>
        <w:t>-</w:t>
      </w:r>
      <w:r w:rsidRPr="001715D3">
        <w:rPr>
          <w:sz w:val="22"/>
          <w:szCs w:val="22"/>
          <w:lang w:val="en-GB"/>
        </w:rPr>
        <w:t xml:space="preserve">shipping line, after </w:t>
      </w:r>
      <w:r w:rsidR="00734BAE" w:rsidRPr="001715D3">
        <w:rPr>
          <w:sz w:val="22"/>
          <w:szCs w:val="22"/>
          <w:lang w:val="en-GB"/>
        </w:rPr>
        <w:t xml:space="preserve">the </w:t>
      </w:r>
      <w:r w:rsidRPr="001715D3">
        <w:rPr>
          <w:sz w:val="22"/>
          <w:szCs w:val="22"/>
          <w:lang w:val="en-GB"/>
        </w:rPr>
        <w:t>Maersk Group, Mediterranean Shipping, and CMA CGM</w:t>
      </w:r>
      <w:r w:rsidR="00734BAE" w:rsidRPr="001715D3">
        <w:rPr>
          <w:sz w:val="22"/>
          <w:szCs w:val="22"/>
          <w:lang w:val="en-GB"/>
        </w:rPr>
        <w:t xml:space="preserve">, </w:t>
      </w:r>
      <w:r w:rsidRPr="001715D3">
        <w:rPr>
          <w:sz w:val="22"/>
          <w:szCs w:val="22"/>
          <w:lang w:val="en-GB"/>
        </w:rPr>
        <w:t>in that order.</w:t>
      </w:r>
    </w:p>
    <w:p w14:paraId="74EFDC3E" w14:textId="77777777" w:rsidR="002C3A1A" w:rsidRPr="001715D3" w:rsidRDefault="002C3A1A" w:rsidP="00DF675E">
      <w:pPr>
        <w:jc w:val="both"/>
        <w:rPr>
          <w:sz w:val="22"/>
          <w:szCs w:val="22"/>
          <w:lang w:val="en-GB"/>
        </w:rPr>
      </w:pPr>
    </w:p>
    <w:p w14:paraId="57107054" w14:textId="7FEA5C0A" w:rsidR="002C3A1A" w:rsidRPr="001715D3" w:rsidRDefault="002C3A1A" w:rsidP="00DF675E">
      <w:pPr>
        <w:jc w:val="both"/>
        <w:rPr>
          <w:sz w:val="22"/>
          <w:szCs w:val="22"/>
          <w:lang w:val="en-GB"/>
        </w:rPr>
      </w:pPr>
      <w:proofErr w:type="spellStart"/>
      <w:r w:rsidRPr="001715D3">
        <w:rPr>
          <w:sz w:val="22"/>
          <w:szCs w:val="22"/>
          <w:lang w:val="en-GB"/>
        </w:rPr>
        <w:t>Saadé</w:t>
      </w:r>
      <w:proofErr w:type="spellEnd"/>
      <w:r w:rsidRPr="001715D3">
        <w:rPr>
          <w:sz w:val="22"/>
          <w:szCs w:val="22"/>
          <w:lang w:val="en-GB"/>
        </w:rPr>
        <w:t xml:space="preserve"> revealed, “We were the first ones to initiate discussions with NOL and </w:t>
      </w:r>
      <w:proofErr w:type="spellStart"/>
      <w:r w:rsidRPr="001715D3">
        <w:rPr>
          <w:sz w:val="22"/>
          <w:szCs w:val="22"/>
          <w:lang w:val="en-GB"/>
        </w:rPr>
        <w:t>Temasek</w:t>
      </w:r>
      <w:proofErr w:type="spellEnd"/>
      <w:r w:rsidRPr="001715D3">
        <w:rPr>
          <w:sz w:val="22"/>
          <w:szCs w:val="22"/>
          <w:lang w:val="en-GB"/>
        </w:rPr>
        <w:t xml:space="preserve">, and it made sense to them; that is why we carried on with the discussions.” As of </w:t>
      </w:r>
      <w:r w:rsidR="00CC6083">
        <w:rPr>
          <w:sz w:val="22"/>
          <w:szCs w:val="22"/>
          <w:lang w:val="en-GB"/>
        </w:rPr>
        <w:t>the end of 2015</w:t>
      </w:r>
      <w:r w:rsidRPr="001715D3">
        <w:rPr>
          <w:sz w:val="22"/>
          <w:szCs w:val="22"/>
          <w:lang w:val="en-GB"/>
        </w:rPr>
        <w:t xml:space="preserve">, most of CMA CGM’s ships called at Malaysia’s Port </w:t>
      </w:r>
      <w:proofErr w:type="spellStart"/>
      <w:r w:rsidRPr="001715D3">
        <w:rPr>
          <w:sz w:val="22"/>
          <w:szCs w:val="22"/>
          <w:lang w:val="en-GB"/>
        </w:rPr>
        <w:t>Klang</w:t>
      </w:r>
      <w:proofErr w:type="spellEnd"/>
      <w:r w:rsidRPr="001715D3">
        <w:rPr>
          <w:sz w:val="22"/>
          <w:szCs w:val="22"/>
          <w:lang w:val="en-GB"/>
        </w:rPr>
        <w:t xml:space="preserve">, but </w:t>
      </w:r>
      <w:proofErr w:type="spellStart"/>
      <w:r w:rsidRPr="001715D3">
        <w:rPr>
          <w:sz w:val="22"/>
          <w:szCs w:val="22"/>
          <w:lang w:val="en-GB"/>
        </w:rPr>
        <w:t>Saadé</w:t>
      </w:r>
      <w:proofErr w:type="spellEnd"/>
      <w:r w:rsidRPr="001715D3">
        <w:rPr>
          <w:sz w:val="22"/>
          <w:szCs w:val="22"/>
          <w:lang w:val="en-GB"/>
        </w:rPr>
        <w:t xml:space="preserve"> explained that there were “enough volumes to operate in the two terminals.” He added that it was chronic overcapacity that had pushed freight rates down, and disagreed that shipping was a dying industry: </w:t>
      </w:r>
    </w:p>
    <w:p w14:paraId="4CB1E523" w14:textId="77777777" w:rsidR="002C3A1A" w:rsidRPr="001715D3" w:rsidRDefault="002C3A1A" w:rsidP="00DF675E">
      <w:pPr>
        <w:jc w:val="both"/>
        <w:rPr>
          <w:sz w:val="22"/>
          <w:szCs w:val="22"/>
          <w:lang w:val="en-GB"/>
        </w:rPr>
      </w:pPr>
    </w:p>
    <w:p w14:paraId="147E7CE0" w14:textId="0902FC0F" w:rsidR="002C3A1A" w:rsidRPr="001715D3" w:rsidRDefault="002C3A1A" w:rsidP="00620D48">
      <w:pPr>
        <w:ind w:left="720"/>
        <w:jc w:val="both"/>
        <w:rPr>
          <w:sz w:val="22"/>
          <w:szCs w:val="22"/>
          <w:lang w:val="en-GB"/>
        </w:rPr>
      </w:pPr>
      <w:r w:rsidRPr="001715D3">
        <w:rPr>
          <w:sz w:val="22"/>
          <w:szCs w:val="22"/>
          <w:lang w:val="en-GB"/>
        </w:rPr>
        <w:t>People have said many things about shipping for many years, but if shipping was not there, we would not have TV sets and all kinds of other goods at competitive prices. Because today, the only competitive and environmentally friendly mode of transport is shipping. Maybe one day it will be different, but at least for the years to come, I don’t believe so.</w:t>
      </w:r>
    </w:p>
    <w:p w14:paraId="538963E2" w14:textId="77777777" w:rsidR="002C3A1A" w:rsidRPr="001715D3" w:rsidRDefault="002C3A1A" w:rsidP="00DF675E">
      <w:pPr>
        <w:jc w:val="both"/>
        <w:rPr>
          <w:sz w:val="22"/>
          <w:szCs w:val="22"/>
          <w:lang w:val="en-GB"/>
        </w:rPr>
      </w:pPr>
    </w:p>
    <w:p w14:paraId="606BB35C" w14:textId="7A686F44" w:rsidR="002C3A1A" w:rsidRPr="001715D3" w:rsidRDefault="002C3A1A" w:rsidP="007C7FCE">
      <w:pPr>
        <w:jc w:val="both"/>
        <w:rPr>
          <w:sz w:val="22"/>
          <w:szCs w:val="22"/>
          <w:lang w:val="en-GB"/>
        </w:rPr>
      </w:pPr>
      <w:r w:rsidRPr="001715D3">
        <w:rPr>
          <w:sz w:val="22"/>
          <w:szCs w:val="22"/>
          <w:lang w:val="en-GB"/>
        </w:rPr>
        <w:t xml:space="preserve">Without directly stating how CMA CGM planned to chart NOL’s fortunes, </w:t>
      </w:r>
      <w:proofErr w:type="spellStart"/>
      <w:r w:rsidRPr="001715D3">
        <w:rPr>
          <w:sz w:val="22"/>
          <w:szCs w:val="22"/>
          <w:lang w:val="en-GB"/>
        </w:rPr>
        <w:t>Saadé</w:t>
      </w:r>
      <w:proofErr w:type="spellEnd"/>
      <w:r w:rsidRPr="001715D3">
        <w:rPr>
          <w:sz w:val="22"/>
          <w:szCs w:val="22"/>
          <w:lang w:val="en-GB"/>
        </w:rPr>
        <w:t xml:space="preserve"> concluded, “I will not comment on the way it is being managed now but I would say we firmly believe we have the expertise to allow NOL to develop a much stronger and better business.” </w:t>
      </w:r>
    </w:p>
    <w:p w14:paraId="1ECCB667" w14:textId="77777777" w:rsidR="002C3A1A" w:rsidRPr="001715D3" w:rsidRDefault="002C3A1A" w:rsidP="00DF675E">
      <w:pPr>
        <w:jc w:val="both"/>
        <w:rPr>
          <w:sz w:val="22"/>
          <w:szCs w:val="22"/>
          <w:lang w:val="en-GB"/>
        </w:rPr>
      </w:pPr>
    </w:p>
    <w:p w14:paraId="69D811A5" w14:textId="77777777" w:rsidR="002C3A1A" w:rsidRPr="001715D3" w:rsidRDefault="002C3A1A" w:rsidP="00DF675E">
      <w:pPr>
        <w:jc w:val="both"/>
        <w:rPr>
          <w:sz w:val="22"/>
          <w:szCs w:val="22"/>
          <w:lang w:val="en-GB"/>
        </w:rPr>
      </w:pPr>
    </w:p>
    <w:p w14:paraId="2E7E4910" w14:textId="77777777" w:rsidR="002C3A1A" w:rsidRPr="001715D3" w:rsidRDefault="002C3A1A" w:rsidP="007E0371">
      <w:pPr>
        <w:pStyle w:val="Casehead1"/>
        <w:outlineLvl w:val="0"/>
        <w:rPr>
          <w:lang w:val="en-GB"/>
        </w:rPr>
      </w:pPr>
      <w:r w:rsidRPr="001715D3">
        <w:rPr>
          <w:lang w:val="en-GB"/>
        </w:rPr>
        <w:t>Valuation</w:t>
      </w:r>
    </w:p>
    <w:p w14:paraId="3DC5B4C4" w14:textId="77777777" w:rsidR="002C3A1A" w:rsidRPr="001715D3" w:rsidRDefault="002C3A1A" w:rsidP="00B964C8">
      <w:pPr>
        <w:pStyle w:val="BodyTextMain"/>
        <w:rPr>
          <w:sz w:val="18"/>
          <w:lang w:val="en-GB"/>
        </w:rPr>
      </w:pPr>
    </w:p>
    <w:p w14:paraId="64B4A7C1" w14:textId="30FF6E0F" w:rsidR="002C3A1A" w:rsidRPr="00CC6083" w:rsidRDefault="002C3A1A" w:rsidP="00561003">
      <w:pPr>
        <w:jc w:val="both"/>
        <w:rPr>
          <w:spacing w:val="-2"/>
          <w:kern w:val="22"/>
          <w:sz w:val="22"/>
          <w:szCs w:val="22"/>
          <w:lang w:val="en-GB"/>
        </w:rPr>
      </w:pPr>
      <w:r w:rsidRPr="00CC6083">
        <w:rPr>
          <w:spacing w:val="-2"/>
          <w:kern w:val="22"/>
          <w:sz w:val="22"/>
          <w:szCs w:val="22"/>
          <w:lang w:val="en-GB"/>
        </w:rPr>
        <w:t>At its highest, NOL’s share price traded at</w:t>
      </w:r>
      <w:r w:rsidR="00CC6083">
        <w:rPr>
          <w:spacing w:val="-2"/>
          <w:kern w:val="22"/>
          <w:sz w:val="22"/>
          <w:szCs w:val="22"/>
          <w:lang w:val="en-GB"/>
        </w:rPr>
        <w:t xml:space="preserve"> </w:t>
      </w:r>
      <w:r w:rsidR="005B0F4A" w:rsidRPr="00CC6083">
        <w:rPr>
          <w:spacing w:val="-2"/>
          <w:kern w:val="22"/>
          <w:sz w:val="22"/>
          <w:szCs w:val="22"/>
          <w:lang w:val="en-GB"/>
        </w:rPr>
        <w:t>$</w:t>
      </w:r>
      <w:r w:rsidRPr="00CC6083">
        <w:rPr>
          <w:spacing w:val="-2"/>
          <w:kern w:val="22"/>
          <w:sz w:val="22"/>
          <w:szCs w:val="22"/>
          <w:lang w:val="en-GB"/>
        </w:rPr>
        <w:t>5.839 on July 16, 2007. At</w:t>
      </w:r>
      <w:r w:rsidR="00CC6083" w:rsidRPr="00CC6083">
        <w:rPr>
          <w:spacing w:val="-2"/>
          <w:kern w:val="22"/>
          <w:sz w:val="22"/>
          <w:szCs w:val="22"/>
          <w:lang w:val="en-GB"/>
        </w:rPr>
        <w:t xml:space="preserve"> </w:t>
      </w:r>
      <w:r w:rsidR="005B0F4A" w:rsidRPr="00CC6083">
        <w:rPr>
          <w:spacing w:val="-2"/>
          <w:kern w:val="22"/>
          <w:sz w:val="22"/>
          <w:szCs w:val="22"/>
          <w:lang w:val="en-GB"/>
        </w:rPr>
        <w:t>$</w:t>
      </w:r>
      <w:r w:rsidRPr="00CC6083">
        <w:rPr>
          <w:spacing w:val="-2"/>
          <w:kern w:val="22"/>
          <w:sz w:val="22"/>
          <w:szCs w:val="22"/>
          <w:lang w:val="en-GB"/>
        </w:rPr>
        <w:t xml:space="preserve">1.30 a share, </w:t>
      </w:r>
      <w:proofErr w:type="spellStart"/>
      <w:r w:rsidRPr="00CC6083">
        <w:rPr>
          <w:spacing w:val="-2"/>
          <w:kern w:val="22"/>
          <w:sz w:val="22"/>
          <w:szCs w:val="22"/>
          <w:lang w:val="en-GB"/>
        </w:rPr>
        <w:t>Temasek</w:t>
      </w:r>
      <w:proofErr w:type="spellEnd"/>
      <w:r w:rsidRPr="00CC6083">
        <w:rPr>
          <w:spacing w:val="-2"/>
          <w:kern w:val="22"/>
          <w:sz w:val="22"/>
          <w:szCs w:val="22"/>
          <w:lang w:val="en-GB"/>
        </w:rPr>
        <w:t xml:space="preserve"> would take a big hit. In 2004, it had launched a cash offer for </w:t>
      </w:r>
      <w:r w:rsidR="0029163B" w:rsidRPr="00CC6083">
        <w:rPr>
          <w:spacing w:val="-2"/>
          <w:kern w:val="22"/>
          <w:sz w:val="22"/>
          <w:szCs w:val="22"/>
          <w:lang w:val="en-GB"/>
        </w:rPr>
        <w:t xml:space="preserve">the </w:t>
      </w:r>
      <w:r w:rsidRPr="00CC6083">
        <w:rPr>
          <w:spacing w:val="-2"/>
          <w:kern w:val="22"/>
          <w:sz w:val="22"/>
          <w:szCs w:val="22"/>
          <w:lang w:val="en-GB"/>
        </w:rPr>
        <w:t>70 per cent of NOL that it did not own at</w:t>
      </w:r>
      <w:r w:rsidR="00CC6083" w:rsidRPr="00CC6083">
        <w:rPr>
          <w:spacing w:val="-2"/>
          <w:kern w:val="22"/>
          <w:sz w:val="22"/>
          <w:szCs w:val="22"/>
          <w:lang w:val="en-GB"/>
        </w:rPr>
        <w:t xml:space="preserve"> </w:t>
      </w:r>
      <w:r w:rsidR="005B0F4A" w:rsidRPr="00CC6083">
        <w:rPr>
          <w:spacing w:val="-2"/>
          <w:kern w:val="22"/>
          <w:sz w:val="22"/>
          <w:szCs w:val="22"/>
          <w:lang w:val="en-GB"/>
        </w:rPr>
        <w:t>$</w:t>
      </w:r>
      <w:r w:rsidRPr="00CC6083">
        <w:rPr>
          <w:spacing w:val="-2"/>
          <w:kern w:val="22"/>
          <w:sz w:val="22"/>
          <w:szCs w:val="22"/>
          <w:lang w:val="en-GB"/>
        </w:rPr>
        <w:t xml:space="preserve">2.80 a share. </w:t>
      </w:r>
    </w:p>
    <w:p w14:paraId="01948E2E" w14:textId="77777777" w:rsidR="002C3A1A" w:rsidRPr="001715D3" w:rsidRDefault="002C3A1A" w:rsidP="00561003">
      <w:pPr>
        <w:jc w:val="both"/>
        <w:rPr>
          <w:sz w:val="22"/>
          <w:szCs w:val="22"/>
          <w:lang w:val="en-GB"/>
        </w:rPr>
      </w:pPr>
    </w:p>
    <w:p w14:paraId="3B1F1FE0" w14:textId="160A3936" w:rsidR="002C3A1A" w:rsidRPr="001715D3" w:rsidRDefault="002C3A1A" w:rsidP="00561003">
      <w:pPr>
        <w:jc w:val="both"/>
        <w:rPr>
          <w:sz w:val="22"/>
          <w:szCs w:val="22"/>
          <w:lang w:val="en-GB"/>
        </w:rPr>
      </w:pPr>
      <w:r w:rsidRPr="001715D3">
        <w:rPr>
          <w:sz w:val="22"/>
          <w:szCs w:val="22"/>
          <w:lang w:val="en-GB"/>
        </w:rPr>
        <w:t xml:space="preserve">Many had commented that CMA CGM’s offer was reasonable given the present slump—but was that really so? What would be a reasonable valuation for each of NOL’s shares based on the company’s past financial performance (see Exhibits 1 and 2) and other relevant market information?   </w:t>
      </w:r>
    </w:p>
    <w:p w14:paraId="3416B1D0" w14:textId="77777777" w:rsidR="002C3A1A" w:rsidRPr="001715D3" w:rsidRDefault="002C3A1A" w:rsidP="00561003">
      <w:pPr>
        <w:jc w:val="both"/>
        <w:rPr>
          <w:sz w:val="22"/>
          <w:szCs w:val="22"/>
          <w:lang w:val="en-GB"/>
        </w:rPr>
      </w:pPr>
    </w:p>
    <w:p w14:paraId="33E4D375" w14:textId="2C722EEA" w:rsidR="002C3A1A" w:rsidRPr="00CC6083" w:rsidRDefault="002C3A1A" w:rsidP="008C0337">
      <w:pPr>
        <w:jc w:val="both"/>
        <w:rPr>
          <w:spacing w:val="-2"/>
          <w:kern w:val="22"/>
          <w:sz w:val="22"/>
          <w:szCs w:val="22"/>
          <w:lang w:val="en-GB"/>
        </w:rPr>
      </w:pPr>
      <w:r w:rsidRPr="00CC6083">
        <w:rPr>
          <w:spacing w:val="-2"/>
          <w:kern w:val="22"/>
          <w:sz w:val="22"/>
          <w:szCs w:val="22"/>
          <w:lang w:val="en-GB"/>
        </w:rPr>
        <w:t xml:space="preserve">For a discounted cash flow analysis, some growth projections would be necessary before a reasonable terminal growth rate could be applied in perpetuity (see Exhibit 3). For a dividend discount model valuation, it would be reasonable to assume that dividends would continue to grow for some years before applying a terminal growth rate (see Exhibit 4). For a relative valuation analysis using peer comparison, data had been collected but a suitable peer group </w:t>
      </w:r>
      <w:r w:rsidR="00CC6083" w:rsidRPr="00CC6083">
        <w:rPr>
          <w:spacing w:val="-2"/>
          <w:kern w:val="22"/>
          <w:sz w:val="22"/>
          <w:szCs w:val="22"/>
          <w:lang w:val="en-GB"/>
        </w:rPr>
        <w:t>had not been</w:t>
      </w:r>
      <w:r w:rsidRPr="00CC6083">
        <w:rPr>
          <w:spacing w:val="-2"/>
          <w:kern w:val="22"/>
          <w:sz w:val="22"/>
          <w:szCs w:val="22"/>
          <w:lang w:val="en-GB"/>
        </w:rPr>
        <w:t xml:space="preserve"> be identified (see Exhibit 5). The past stock price performances of NOL and its potential peers had been traced and charted for easy comparison (see Exhibit 6). </w:t>
      </w:r>
    </w:p>
    <w:p w14:paraId="1B270A35" w14:textId="77777777" w:rsidR="002C3A1A" w:rsidRPr="001715D3" w:rsidRDefault="002C3A1A" w:rsidP="008C0337">
      <w:pPr>
        <w:jc w:val="both"/>
        <w:rPr>
          <w:sz w:val="22"/>
          <w:szCs w:val="22"/>
          <w:lang w:val="en-GB"/>
        </w:rPr>
      </w:pPr>
    </w:p>
    <w:p w14:paraId="33B5C082" w14:textId="77777777" w:rsidR="0029163B" w:rsidRPr="001715D3" w:rsidRDefault="0029163B" w:rsidP="008C0337">
      <w:pPr>
        <w:jc w:val="both"/>
        <w:rPr>
          <w:sz w:val="22"/>
          <w:szCs w:val="22"/>
          <w:lang w:val="en-GB"/>
        </w:rPr>
      </w:pPr>
    </w:p>
    <w:p w14:paraId="7D9D7823" w14:textId="7ADC2A6D" w:rsidR="002C3A1A" w:rsidRPr="001715D3" w:rsidRDefault="002C3A1A" w:rsidP="00F232B7">
      <w:pPr>
        <w:pStyle w:val="Casehead1"/>
        <w:keepNext/>
        <w:keepLines/>
        <w:outlineLvl w:val="0"/>
        <w:rPr>
          <w:lang w:val="en-GB"/>
        </w:rPr>
      </w:pPr>
      <w:r w:rsidRPr="001715D3">
        <w:rPr>
          <w:lang w:val="en-GB"/>
        </w:rPr>
        <w:lastRenderedPageBreak/>
        <w:t>effect on the bonds</w:t>
      </w:r>
    </w:p>
    <w:p w14:paraId="1D16E348" w14:textId="77777777" w:rsidR="002C3A1A" w:rsidRPr="001715D3" w:rsidRDefault="002C3A1A" w:rsidP="00F232B7">
      <w:pPr>
        <w:pStyle w:val="BodyTextMain"/>
        <w:keepNext/>
        <w:keepLines/>
        <w:rPr>
          <w:sz w:val="18"/>
          <w:lang w:val="en-GB"/>
        </w:rPr>
      </w:pPr>
    </w:p>
    <w:p w14:paraId="72E9486A" w14:textId="7202D186" w:rsidR="002C3A1A" w:rsidRPr="00CC6083" w:rsidRDefault="002C3A1A" w:rsidP="00F232B7">
      <w:pPr>
        <w:keepNext/>
        <w:keepLines/>
        <w:jc w:val="both"/>
        <w:rPr>
          <w:spacing w:val="-2"/>
          <w:kern w:val="22"/>
          <w:sz w:val="22"/>
          <w:szCs w:val="22"/>
          <w:lang w:val="en-GB"/>
        </w:rPr>
      </w:pPr>
      <w:r w:rsidRPr="00CC6083">
        <w:rPr>
          <w:spacing w:val="-2"/>
          <w:kern w:val="22"/>
          <w:sz w:val="22"/>
          <w:szCs w:val="22"/>
          <w:lang w:val="en-GB"/>
        </w:rPr>
        <w:t>Some of NOL’s bonds had clauses that would be “triggered by the planned sale, allowing for potential early repayment or compensation.”</w:t>
      </w:r>
      <w:r w:rsidRPr="00CC6083">
        <w:rPr>
          <w:rStyle w:val="EndnoteReference"/>
          <w:spacing w:val="-2"/>
          <w:kern w:val="22"/>
          <w:sz w:val="22"/>
          <w:szCs w:val="22"/>
          <w:lang w:val="en-GB"/>
        </w:rPr>
        <w:endnoteReference w:id="26"/>
      </w:r>
      <w:r w:rsidRPr="00CC6083">
        <w:rPr>
          <w:spacing w:val="-2"/>
          <w:kern w:val="22"/>
          <w:sz w:val="22"/>
          <w:szCs w:val="22"/>
          <w:lang w:val="en-GB"/>
        </w:rPr>
        <w:t xml:space="preserve"> Such clauses were often inserted in bonds that received implicit parental support of triple A-rated (triple A-rated entities were unlikely to default) majority stakeholders like </w:t>
      </w:r>
      <w:proofErr w:type="spellStart"/>
      <w:r w:rsidRPr="00CC6083">
        <w:rPr>
          <w:spacing w:val="-2"/>
          <w:kern w:val="22"/>
          <w:sz w:val="22"/>
          <w:szCs w:val="22"/>
          <w:lang w:val="en-GB"/>
        </w:rPr>
        <w:t>Temasek</w:t>
      </w:r>
      <w:proofErr w:type="spellEnd"/>
      <w:r w:rsidRPr="00CC6083">
        <w:rPr>
          <w:spacing w:val="-2"/>
          <w:kern w:val="22"/>
          <w:sz w:val="22"/>
          <w:szCs w:val="22"/>
          <w:lang w:val="en-GB"/>
        </w:rPr>
        <w:t xml:space="preserve">. </w:t>
      </w:r>
    </w:p>
    <w:p w14:paraId="68FC9FDD" w14:textId="77777777" w:rsidR="002C3A1A" w:rsidRPr="001715D3" w:rsidRDefault="002C3A1A" w:rsidP="006425C8">
      <w:pPr>
        <w:jc w:val="both"/>
        <w:rPr>
          <w:sz w:val="22"/>
          <w:szCs w:val="22"/>
          <w:lang w:val="en-GB"/>
        </w:rPr>
      </w:pPr>
    </w:p>
    <w:p w14:paraId="1FA1D54B" w14:textId="67932224" w:rsidR="002C3A1A" w:rsidRPr="001715D3" w:rsidRDefault="002C3A1A" w:rsidP="006425C8">
      <w:pPr>
        <w:jc w:val="both"/>
        <w:rPr>
          <w:sz w:val="22"/>
          <w:szCs w:val="22"/>
          <w:lang w:val="en-GB"/>
        </w:rPr>
      </w:pPr>
      <w:r w:rsidRPr="001715D3">
        <w:rPr>
          <w:sz w:val="22"/>
          <w:szCs w:val="22"/>
          <w:lang w:val="en-GB"/>
        </w:rPr>
        <w:t>The head of fixed income for Asia at Coutts Royal Bank of Scotland commented that “</w:t>
      </w:r>
      <w:r w:rsidR="0029163B" w:rsidRPr="001715D3">
        <w:rPr>
          <w:sz w:val="22"/>
          <w:szCs w:val="22"/>
          <w:lang w:val="en-GB"/>
        </w:rPr>
        <w:t>t</w:t>
      </w:r>
      <w:r w:rsidRPr="001715D3">
        <w:rPr>
          <w:sz w:val="22"/>
          <w:szCs w:val="22"/>
          <w:lang w:val="en-GB"/>
        </w:rPr>
        <w:t>he confidence placed in government-owned companies was somewhat over-extended. Investors who are looking to invest in these companies should look closer at the covenants of each issue, ensuring they are well protected on the downside should government support be removed.”</w:t>
      </w:r>
      <w:r w:rsidRPr="001715D3">
        <w:rPr>
          <w:rStyle w:val="EndnoteReference"/>
          <w:sz w:val="22"/>
          <w:szCs w:val="22"/>
          <w:lang w:val="en-GB"/>
        </w:rPr>
        <w:endnoteReference w:id="27"/>
      </w:r>
    </w:p>
    <w:p w14:paraId="198FA567" w14:textId="77777777" w:rsidR="008B1C9B" w:rsidRPr="001715D3" w:rsidRDefault="008B1C9B" w:rsidP="006425C8">
      <w:pPr>
        <w:jc w:val="both"/>
        <w:rPr>
          <w:sz w:val="22"/>
          <w:szCs w:val="22"/>
          <w:lang w:val="en-GB"/>
        </w:rPr>
      </w:pPr>
    </w:p>
    <w:p w14:paraId="55DA396E" w14:textId="29ACB523" w:rsidR="00743028" w:rsidRPr="001715D3" w:rsidRDefault="00DF4028" w:rsidP="006425C8">
      <w:pPr>
        <w:jc w:val="both"/>
        <w:rPr>
          <w:sz w:val="22"/>
          <w:szCs w:val="22"/>
          <w:lang w:val="en-GB"/>
        </w:rPr>
      </w:pPr>
      <w:r w:rsidRPr="001715D3">
        <w:rPr>
          <w:sz w:val="22"/>
          <w:szCs w:val="22"/>
          <w:lang w:val="en-GB"/>
        </w:rPr>
        <w:t xml:space="preserve">Of the </w:t>
      </w:r>
      <w:r w:rsidR="003A65A6" w:rsidRPr="001715D3">
        <w:rPr>
          <w:sz w:val="22"/>
          <w:szCs w:val="22"/>
          <w:lang w:val="en-GB"/>
        </w:rPr>
        <w:t xml:space="preserve">four outstanding </w:t>
      </w:r>
      <w:r w:rsidRPr="001715D3">
        <w:rPr>
          <w:sz w:val="22"/>
          <w:szCs w:val="22"/>
          <w:lang w:val="en-GB"/>
        </w:rPr>
        <w:t xml:space="preserve">NOL </w:t>
      </w:r>
      <w:r w:rsidR="003A65A6" w:rsidRPr="001715D3">
        <w:rPr>
          <w:sz w:val="22"/>
          <w:szCs w:val="22"/>
          <w:lang w:val="en-GB"/>
        </w:rPr>
        <w:t>bonds</w:t>
      </w:r>
      <w:r w:rsidRPr="001715D3">
        <w:rPr>
          <w:sz w:val="22"/>
          <w:szCs w:val="22"/>
          <w:lang w:val="en-GB"/>
        </w:rPr>
        <w:t xml:space="preserve">, two </w:t>
      </w:r>
      <w:r w:rsidR="002B683D" w:rsidRPr="001715D3">
        <w:rPr>
          <w:sz w:val="22"/>
          <w:szCs w:val="22"/>
          <w:lang w:val="en-GB"/>
        </w:rPr>
        <w:t xml:space="preserve">contained </w:t>
      </w:r>
      <w:r w:rsidR="003A65A6" w:rsidRPr="001715D3">
        <w:rPr>
          <w:sz w:val="22"/>
          <w:szCs w:val="22"/>
          <w:lang w:val="en-GB"/>
        </w:rPr>
        <w:t xml:space="preserve">trigger </w:t>
      </w:r>
      <w:r w:rsidR="002B683D" w:rsidRPr="001715D3">
        <w:rPr>
          <w:sz w:val="22"/>
          <w:szCs w:val="22"/>
          <w:lang w:val="en-GB"/>
        </w:rPr>
        <w:t>clauses</w:t>
      </w:r>
      <w:r w:rsidRPr="001715D3">
        <w:rPr>
          <w:sz w:val="22"/>
          <w:szCs w:val="22"/>
          <w:lang w:val="en-GB"/>
        </w:rPr>
        <w:t xml:space="preserve"> (the 2017 and 2019 bonds)</w:t>
      </w:r>
      <w:r w:rsidR="003A65A6" w:rsidRPr="001715D3">
        <w:rPr>
          <w:sz w:val="22"/>
          <w:szCs w:val="22"/>
          <w:lang w:val="en-GB"/>
        </w:rPr>
        <w:t xml:space="preserve">, while </w:t>
      </w:r>
      <w:r w:rsidR="00EE7E95" w:rsidRPr="001715D3">
        <w:rPr>
          <w:sz w:val="22"/>
          <w:szCs w:val="22"/>
          <w:lang w:val="en-GB"/>
        </w:rPr>
        <w:t xml:space="preserve">the other </w:t>
      </w:r>
      <w:r w:rsidRPr="001715D3">
        <w:rPr>
          <w:sz w:val="22"/>
          <w:szCs w:val="22"/>
          <w:lang w:val="en-GB"/>
        </w:rPr>
        <w:t xml:space="preserve">two </w:t>
      </w:r>
      <w:r w:rsidR="00135533" w:rsidRPr="001715D3">
        <w:rPr>
          <w:sz w:val="22"/>
          <w:szCs w:val="22"/>
          <w:lang w:val="en-GB"/>
        </w:rPr>
        <w:t xml:space="preserve">(the 2020 and 2021 bonds) </w:t>
      </w:r>
      <w:r w:rsidRPr="001715D3">
        <w:rPr>
          <w:sz w:val="22"/>
          <w:szCs w:val="22"/>
          <w:lang w:val="en-GB"/>
        </w:rPr>
        <w:t>did not</w:t>
      </w:r>
      <w:r w:rsidR="00135533" w:rsidRPr="001715D3">
        <w:rPr>
          <w:sz w:val="22"/>
          <w:szCs w:val="22"/>
          <w:lang w:val="en-GB"/>
        </w:rPr>
        <w:t>.</w:t>
      </w:r>
      <w:r w:rsidRPr="001715D3">
        <w:rPr>
          <w:sz w:val="22"/>
          <w:szCs w:val="22"/>
          <w:lang w:val="en-GB"/>
        </w:rPr>
        <w:t xml:space="preserve"> The p</w:t>
      </w:r>
      <w:r w:rsidR="001D2C54" w:rsidRPr="001715D3">
        <w:rPr>
          <w:sz w:val="22"/>
          <w:szCs w:val="22"/>
          <w:lang w:val="en-GB"/>
        </w:rPr>
        <w:t xml:space="preserve">rices of all four bonds had </w:t>
      </w:r>
      <w:r w:rsidR="00743028" w:rsidRPr="001715D3">
        <w:rPr>
          <w:sz w:val="22"/>
          <w:szCs w:val="22"/>
          <w:lang w:val="en-GB"/>
        </w:rPr>
        <w:t>suffered</w:t>
      </w:r>
      <w:r w:rsidR="001D2C54" w:rsidRPr="001715D3">
        <w:rPr>
          <w:sz w:val="22"/>
          <w:szCs w:val="22"/>
          <w:lang w:val="en-GB"/>
        </w:rPr>
        <w:t xml:space="preserve"> as events unfolded </w:t>
      </w:r>
      <w:r w:rsidRPr="001715D3">
        <w:rPr>
          <w:sz w:val="22"/>
          <w:szCs w:val="22"/>
          <w:lang w:val="en-GB"/>
        </w:rPr>
        <w:t xml:space="preserve">but not all to the same </w:t>
      </w:r>
      <w:r w:rsidR="008755B6" w:rsidRPr="001715D3">
        <w:rPr>
          <w:sz w:val="22"/>
          <w:szCs w:val="22"/>
          <w:lang w:val="en-GB"/>
        </w:rPr>
        <w:t>extent</w:t>
      </w:r>
      <w:r w:rsidR="002A4031" w:rsidRPr="001715D3">
        <w:rPr>
          <w:sz w:val="22"/>
          <w:szCs w:val="22"/>
          <w:lang w:val="en-GB"/>
        </w:rPr>
        <w:t xml:space="preserve"> (see Exhibits 7 and 8)</w:t>
      </w:r>
      <w:r w:rsidRPr="001715D3">
        <w:rPr>
          <w:sz w:val="22"/>
          <w:szCs w:val="22"/>
          <w:lang w:val="en-GB"/>
        </w:rPr>
        <w:t>.</w:t>
      </w:r>
      <w:r w:rsidR="008C0337" w:rsidRPr="001715D3">
        <w:rPr>
          <w:sz w:val="22"/>
          <w:szCs w:val="22"/>
          <w:lang w:val="en-GB"/>
        </w:rPr>
        <w:t xml:space="preserve"> </w:t>
      </w:r>
      <w:r w:rsidR="002A4031" w:rsidRPr="001715D3">
        <w:rPr>
          <w:sz w:val="22"/>
          <w:szCs w:val="22"/>
          <w:lang w:val="en-GB"/>
        </w:rPr>
        <w:t xml:space="preserve">In addition, </w:t>
      </w:r>
      <w:r w:rsidR="008A52AF" w:rsidRPr="001715D3">
        <w:rPr>
          <w:sz w:val="22"/>
          <w:szCs w:val="22"/>
          <w:lang w:val="en-GB"/>
        </w:rPr>
        <w:t>CMA CGM’s offer</w:t>
      </w:r>
      <w:r w:rsidRPr="001715D3">
        <w:rPr>
          <w:sz w:val="22"/>
          <w:szCs w:val="22"/>
          <w:lang w:val="en-GB"/>
        </w:rPr>
        <w:t xml:space="preserve"> </w:t>
      </w:r>
      <w:r w:rsidR="00AC6616" w:rsidRPr="001715D3">
        <w:rPr>
          <w:sz w:val="22"/>
          <w:szCs w:val="22"/>
          <w:lang w:val="en-GB"/>
        </w:rPr>
        <w:t xml:space="preserve">also </w:t>
      </w:r>
      <w:r w:rsidR="008A52AF" w:rsidRPr="001715D3">
        <w:rPr>
          <w:sz w:val="22"/>
          <w:szCs w:val="22"/>
          <w:lang w:val="en-GB"/>
        </w:rPr>
        <w:t>had a</w:t>
      </w:r>
      <w:r w:rsidRPr="001715D3">
        <w:rPr>
          <w:sz w:val="22"/>
          <w:szCs w:val="22"/>
          <w:lang w:val="en-GB"/>
        </w:rPr>
        <w:t>n</w:t>
      </w:r>
      <w:r w:rsidR="008A52AF" w:rsidRPr="001715D3">
        <w:rPr>
          <w:sz w:val="22"/>
          <w:szCs w:val="22"/>
          <w:lang w:val="en-GB"/>
        </w:rPr>
        <w:t xml:space="preserve"> impact on </w:t>
      </w:r>
      <w:r w:rsidRPr="001715D3">
        <w:rPr>
          <w:sz w:val="22"/>
          <w:szCs w:val="22"/>
          <w:lang w:val="en-GB"/>
        </w:rPr>
        <w:t>its own bond</w:t>
      </w:r>
      <w:r w:rsidR="00743028" w:rsidRPr="001715D3">
        <w:rPr>
          <w:sz w:val="22"/>
          <w:szCs w:val="22"/>
          <w:lang w:val="en-GB"/>
        </w:rPr>
        <w:t xml:space="preserve"> (see Exhibits 7 and 8)</w:t>
      </w:r>
      <w:r w:rsidRPr="001715D3">
        <w:rPr>
          <w:sz w:val="22"/>
          <w:szCs w:val="22"/>
          <w:lang w:val="en-GB"/>
        </w:rPr>
        <w:t xml:space="preserve">. </w:t>
      </w:r>
    </w:p>
    <w:p w14:paraId="5B9C58EB" w14:textId="77777777" w:rsidR="00A73797" w:rsidRPr="001715D3" w:rsidRDefault="00A73797" w:rsidP="006425C8">
      <w:pPr>
        <w:jc w:val="both"/>
        <w:rPr>
          <w:sz w:val="22"/>
          <w:szCs w:val="22"/>
          <w:lang w:val="en-GB"/>
        </w:rPr>
      </w:pPr>
    </w:p>
    <w:p w14:paraId="68317F91" w14:textId="77777777" w:rsidR="00A73797" w:rsidRPr="001715D3" w:rsidRDefault="00A73797" w:rsidP="006425C8">
      <w:pPr>
        <w:jc w:val="both"/>
        <w:rPr>
          <w:sz w:val="22"/>
          <w:szCs w:val="22"/>
          <w:lang w:val="en-GB"/>
        </w:rPr>
      </w:pPr>
    </w:p>
    <w:p w14:paraId="52A212B7" w14:textId="73F8760D" w:rsidR="00A73797" w:rsidRPr="001715D3" w:rsidRDefault="003B76BD" w:rsidP="002C3A1A">
      <w:pPr>
        <w:pStyle w:val="Casehead1"/>
        <w:rPr>
          <w:lang w:val="en-GB"/>
        </w:rPr>
      </w:pPr>
      <w:r w:rsidRPr="001715D3">
        <w:rPr>
          <w:lang w:val="en-GB"/>
        </w:rPr>
        <w:t>ISSUES</w:t>
      </w:r>
      <w:r w:rsidR="006F1E29" w:rsidRPr="001715D3">
        <w:rPr>
          <w:lang w:val="en-GB"/>
        </w:rPr>
        <w:t xml:space="preserve"> FACING INVESTORS</w:t>
      </w:r>
    </w:p>
    <w:p w14:paraId="74E82BD9" w14:textId="77777777" w:rsidR="006F1E29" w:rsidRPr="001715D3" w:rsidRDefault="006F1E29" w:rsidP="006425C8">
      <w:pPr>
        <w:jc w:val="both"/>
        <w:rPr>
          <w:sz w:val="22"/>
          <w:szCs w:val="22"/>
          <w:lang w:val="en-GB"/>
        </w:rPr>
      </w:pPr>
    </w:p>
    <w:p w14:paraId="180C21CA" w14:textId="693DFA54" w:rsidR="00A73797" w:rsidRPr="00CC6083" w:rsidRDefault="00A73797" w:rsidP="00CC6083">
      <w:pPr>
        <w:jc w:val="both"/>
        <w:rPr>
          <w:spacing w:val="-2"/>
          <w:kern w:val="22"/>
          <w:sz w:val="22"/>
          <w:lang w:val="en-GB"/>
        </w:rPr>
      </w:pPr>
      <w:r w:rsidRPr="00CC6083">
        <w:rPr>
          <w:spacing w:val="-2"/>
          <w:kern w:val="22"/>
          <w:sz w:val="22"/>
          <w:lang w:val="en-GB"/>
        </w:rPr>
        <w:t>In light of NOL’s past financial performance, should NOL’s shareholders accept CMA CGM’s offer of</w:t>
      </w:r>
      <w:r w:rsidR="00CC6083" w:rsidRPr="00CC6083">
        <w:rPr>
          <w:spacing w:val="-2"/>
          <w:kern w:val="22"/>
          <w:sz w:val="22"/>
          <w:lang w:val="en-GB"/>
        </w:rPr>
        <w:t xml:space="preserve"> </w:t>
      </w:r>
      <w:r w:rsidR="005B0F4A" w:rsidRPr="00CC6083">
        <w:rPr>
          <w:spacing w:val="-2"/>
          <w:kern w:val="22"/>
          <w:sz w:val="22"/>
          <w:lang w:val="en-GB"/>
        </w:rPr>
        <w:t>$</w:t>
      </w:r>
      <w:r w:rsidRPr="00CC6083">
        <w:rPr>
          <w:spacing w:val="-2"/>
          <w:kern w:val="22"/>
          <w:sz w:val="22"/>
          <w:lang w:val="en-GB"/>
        </w:rPr>
        <w:t>1.30 per share? Given the i</w:t>
      </w:r>
      <w:r w:rsidR="001A71AD" w:rsidRPr="00CC6083">
        <w:rPr>
          <w:spacing w:val="-2"/>
          <w:kern w:val="22"/>
          <w:sz w:val="22"/>
          <w:lang w:val="en-GB"/>
        </w:rPr>
        <w:t xml:space="preserve">mpact that the offer had </w:t>
      </w:r>
      <w:r w:rsidRPr="00CC6083">
        <w:rPr>
          <w:spacing w:val="-2"/>
          <w:kern w:val="22"/>
          <w:sz w:val="22"/>
          <w:lang w:val="en-GB"/>
        </w:rPr>
        <w:t xml:space="preserve">on the </w:t>
      </w:r>
      <w:r w:rsidR="001A71AD" w:rsidRPr="00CC6083">
        <w:rPr>
          <w:spacing w:val="-2"/>
          <w:kern w:val="22"/>
          <w:sz w:val="22"/>
          <w:lang w:val="en-GB"/>
        </w:rPr>
        <w:t xml:space="preserve">value of the </w:t>
      </w:r>
      <w:r w:rsidRPr="00CC6083">
        <w:rPr>
          <w:spacing w:val="-2"/>
          <w:kern w:val="22"/>
          <w:sz w:val="22"/>
          <w:lang w:val="en-GB"/>
        </w:rPr>
        <w:t xml:space="preserve">bonds, what should the bondholders of NOL and CMA CGM do? </w:t>
      </w:r>
    </w:p>
    <w:p w14:paraId="2C7DB660" w14:textId="7017ED24" w:rsidR="002C3A1A" w:rsidRPr="001715D3" w:rsidRDefault="002C3A1A" w:rsidP="002C3A1A">
      <w:pPr>
        <w:rPr>
          <w:sz w:val="22"/>
          <w:lang w:val="en-GB"/>
        </w:rPr>
      </w:pPr>
    </w:p>
    <w:p w14:paraId="60F172D1" w14:textId="6DF77126" w:rsidR="002C3A1A" w:rsidRPr="001715D3" w:rsidRDefault="002C3A1A" w:rsidP="002C3A1A">
      <w:pPr>
        <w:rPr>
          <w:sz w:val="22"/>
          <w:lang w:val="en-GB"/>
        </w:rPr>
      </w:pPr>
    </w:p>
    <w:p w14:paraId="48BCAA7A" w14:textId="6843BD3B" w:rsidR="002C3A1A" w:rsidRPr="001715D3" w:rsidRDefault="002C3A1A">
      <w:pPr>
        <w:spacing w:after="200" w:line="276" w:lineRule="auto"/>
        <w:rPr>
          <w:sz w:val="22"/>
          <w:lang w:val="en-GB"/>
        </w:rPr>
      </w:pPr>
      <w:r w:rsidRPr="001715D3">
        <w:rPr>
          <w:sz w:val="22"/>
          <w:lang w:val="en-GB"/>
        </w:rPr>
        <w:br w:type="page"/>
      </w:r>
    </w:p>
    <w:p w14:paraId="2C66B4DC" w14:textId="6547E117" w:rsidR="009C3C38" w:rsidRPr="001715D3" w:rsidRDefault="009C3C38" w:rsidP="007E0371">
      <w:pPr>
        <w:pStyle w:val="ExhibitHeading"/>
        <w:tabs>
          <w:tab w:val="center" w:pos="4680"/>
          <w:tab w:val="left" w:pos="8627"/>
        </w:tabs>
        <w:outlineLvl w:val="0"/>
        <w:rPr>
          <w:lang w:val="en-GB"/>
        </w:rPr>
      </w:pPr>
      <w:r w:rsidRPr="001715D3">
        <w:rPr>
          <w:lang w:val="en-GB"/>
        </w:rPr>
        <w:lastRenderedPageBreak/>
        <w:t xml:space="preserve">Exhibit 1: </w:t>
      </w:r>
      <w:r w:rsidR="00BC6B8B" w:rsidRPr="001715D3">
        <w:rPr>
          <w:lang w:val="en-GB"/>
        </w:rPr>
        <w:t xml:space="preserve">NEPTUNE ORIEnt lines: </w:t>
      </w:r>
      <w:r w:rsidRPr="001715D3">
        <w:rPr>
          <w:lang w:val="en-GB"/>
        </w:rPr>
        <w:t>INCOME STATEMENTs, 2011–201</w:t>
      </w:r>
      <w:r w:rsidR="00B64662" w:rsidRPr="001715D3">
        <w:rPr>
          <w:lang w:val="en-GB"/>
        </w:rPr>
        <w:t>5</w:t>
      </w:r>
      <w:r w:rsidR="00F64957" w:rsidRPr="001715D3">
        <w:rPr>
          <w:lang w:val="en-GB"/>
        </w:rPr>
        <w:t xml:space="preserve"> (in US</w:t>
      </w:r>
      <w:r w:rsidR="00592940" w:rsidRPr="001715D3">
        <w:rPr>
          <w:lang w:val="en-GB"/>
        </w:rPr>
        <w:t>$</w:t>
      </w:r>
      <w:r w:rsidR="00DC21AA" w:rsidRPr="001715D3">
        <w:rPr>
          <w:lang w:val="en-GB"/>
        </w:rPr>
        <w:t xml:space="preserve"> </w:t>
      </w:r>
      <w:r w:rsidR="00F64957" w:rsidRPr="001715D3">
        <w:rPr>
          <w:lang w:val="en-GB"/>
        </w:rPr>
        <w:t>’000)</w:t>
      </w:r>
    </w:p>
    <w:p w14:paraId="41FABB6B" w14:textId="77777777" w:rsidR="001F0729" w:rsidRPr="001715D3" w:rsidRDefault="001F0729" w:rsidP="009C3C38">
      <w:pPr>
        <w:pStyle w:val="Footnote"/>
        <w:jc w:val="left"/>
        <w:rPr>
          <w:lang w:val="en-GB"/>
        </w:rPr>
      </w:pPr>
    </w:p>
    <w:tbl>
      <w:tblPr>
        <w:tblW w:w="9248" w:type="dxa"/>
        <w:tblInd w:w="108" w:type="dxa"/>
        <w:tblLayout w:type="fixed"/>
        <w:tblLook w:val="04A0" w:firstRow="1" w:lastRow="0" w:firstColumn="1" w:lastColumn="0" w:noHBand="0" w:noVBand="1"/>
      </w:tblPr>
      <w:tblGrid>
        <w:gridCol w:w="1168"/>
        <w:gridCol w:w="2835"/>
        <w:gridCol w:w="992"/>
        <w:gridCol w:w="993"/>
        <w:gridCol w:w="1017"/>
        <w:gridCol w:w="1109"/>
        <w:gridCol w:w="1134"/>
      </w:tblGrid>
      <w:tr w:rsidR="002C3A1A" w:rsidRPr="001715D3" w14:paraId="641B7315" w14:textId="77777777" w:rsidTr="00A24F2F">
        <w:trPr>
          <w:trHeight w:val="37"/>
        </w:trPr>
        <w:tc>
          <w:tcPr>
            <w:tcW w:w="1168" w:type="dxa"/>
            <w:tcBorders>
              <w:top w:val="single" w:sz="4" w:space="0" w:color="auto"/>
              <w:left w:val="nil"/>
              <w:bottom w:val="nil"/>
              <w:right w:val="nil"/>
            </w:tcBorders>
            <w:shd w:val="clear" w:color="auto" w:fill="auto"/>
            <w:noWrap/>
            <w:vAlign w:val="bottom"/>
            <w:hideMark/>
          </w:tcPr>
          <w:p w14:paraId="4AF4D981" w14:textId="77777777" w:rsidR="004E3285" w:rsidRPr="001715D3" w:rsidRDefault="004E3285" w:rsidP="004E3285">
            <w:pPr>
              <w:rPr>
                <w:rFonts w:ascii="Arial" w:hAnsi="Arial" w:cs="Arial"/>
                <w:b/>
                <w:sz w:val="16"/>
                <w:szCs w:val="18"/>
                <w:lang w:val="en-GB" w:eastAsia="en-SG"/>
              </w:rPr>
            </w:pPr>
          </w:p>
        </w:tc>
        <w:tc>
          <w:tcPr>
            <w:tcW w:w="2835" w:type="dxa"/>
            <w:tcBorders>
              <w:top w:val="single" w:sz="4" w:space="0" w:color="auto"/>
              <w:left w:val="nil"/>
              <w:bottom w:val="nil"/>
              <w:right w:val="nil"/>
            </w:tcBorders>
            <w:shd w:val="clear" w:color="auto" w:fill="auto"/>
            <w:noWrap/>
            <w:vAlign w:val="bottom"/>
            <w:hideMark/>
          </w:tcPr>
          <w:p w14:paraId="2E48F757" w14:textId="77777777" w:rsidR="004E3285" w:rsidRPr="001715D3" w:rsidRDefault="004E3285" w:rsidP="004E3285">
            <w:pPr>
              <w:rPr>
                <w:rFonts w:ascii="Arial" w:hAnsi="Arial" w:cs="Arial"/>
                <w:b/>
                <w:sz w:val="16"/>
                <w:szCs w:val="18"/>
                <w:lang w:val="en-GB" w:eastAsia="en-SG"/>
              </w:rPr>
            </w:pPr>
          </w:p>
        </w:tc>
        <w:tc>
          <w:tcPr>
            <w:tcW w:w="992" w:type="dxa"/>
            <w:tcBorders>
              <w:top w:val="single" w:sz="4" w:space="0" w:color="auto"/>
              <w:left w:val="nil"/>
              <w:bottom w:val="nil"/>
              <w:right w:val="nil"/>
            </w:tcBorders>
            <w:shd w:val="clear" w:color="auto" w:fill="auto"/>
            <w:vAlign w:val="center"/>
          </w:tcPr>
          <w:p w14:paraId="4B02F807" w14:textId="0BF04491" w:rsidR="004E3285" w:rsidRPr="00F232B7" w:rsidRDefault="004E3285" w:rsidP="00CC6083">
            <w:pPr>
              <w:jc w:val="center"/>
              <w:rPr>
                <w:rFonts w:ascii="Arial" w:hAnsi="Arial" w:cs="Arial"/>
                <w:b/>
                <w:sz w:val="16"/>
                <w:szCs w:val="18"/>
                <w:lang w:val="en-GB" w:eastAsia="en-SG"/>
              </w:rPr>
            </w:pPr>
            <w:r w:rsidRPr="00F232B7">
              <w:rPr>
                <w:rFonts w:ascii="Arial" w:hAnsi="Arial" w:cs="Arial"/>
                <w:b/>
                <w:sz w:val="16"/>
                <w:szCs w:val="18"/>
                <w:lang w:val="en-GB" w:eastAsia="en-SG"/>
              </w:rPr>
              <w:t>2015</w:t>
            </w:r>
          </w:p>
        </w:tc>
        <w:tc>
          <w:tcPr>
            <w:tcW w:w="993" w:type="dxa"/>
            <w:tcBorders>
              <w:top w:val="single" w:sz="4" w:space="0" w:color="auto"/>
              <w:left w:val="nil"/>
              <w:bottom w:val="nil"/>
              <w:right w:val="nil"/>
            </w:tcBorders>
            <w:shd w:val="clear" w:color="auto" w:fill="auto"/>
            <w:noWrap/>
            <w:vAlign w:val="center"/>
            <w:hideMark/>
          </w:tcPr>
          <w:p w14:paraId="40459767" w14:textId="1DD68D99" w:rsidR="004E3285" w:rsidRPr="001715D3" w:rsidRDefault="004E3285" w:rsidP="00CC6083">
            <w:pPr>
              <w:jc w:val="center"/>
              <w:rPr>
                <w:rFonts w:ascii="Arial" w:hAnsi="Arial" w:cs="Arial"/>
                <w:b/>
                <w:sz w:val="16"/>
                <w:szCs w:val="18"/>
                <w:lang w:val="en-GB" w:eastAsia="en-SG"/>
              </w:rPr>
            </w:pPr>
            <w:r w:rsidRPr="001715D3">
              <w:rPr>
                <w:rFonts w:ascii="Arial" w:hAnsi="Arial" w:cs="Arial"/>
                <w:b/>
                <w:sz w:val="16"/>
                <w:szCs w:val="18"/>
                <w:lang w:val="en-GB" w:eastAsia="en-SG"/>
              </w:rPr>
              <w:t>2014</w:t>
            </w:r>
          </w:p>
        </w:tc>
        <w:tc>
          <w:tcPr>
            <w:tcW w:w="1017" w:type="dxa"/>
            <w:tcBorders>
              <w:top w:val="single" w:sz="4" w:space="0" w:color="auto"/>
              <w:left w:val="nil"/>
              <w:bottom w:val="nil"/>
              <w:right w:val="nil"/>
            </w:tcBorders>
            <w:shd w:val="clear" w:color="auto" w:fill="auto"/>
            <w:noWrap/>
            <w:vAlign w:val="center"/>
            <w:hideMark/>
          </w:tcPr>
          <w:p w14:paraId="48CE193E" w14:textId="77777777" w:rsidR="004E3285" w:rsidRPr="001715D3" w:rsidRDefault="004E3285" w:rsidP="00CC6083">
            <w:pPr>
              <w:jc w:val="center"/>
              <w:rPr>
                <w:rFonts w:ascii="Arial" w:hAnsi="Arial" w:cs="Arial"/>
                <w:b/>
                <w:sz w:val="16"/>
                <w:szCs w:val="18"/>
                <w:lang w:val="en-GB" w:eastAsia="en-SG"/>
              </w:rPr>
            </w:pPr>
            <w:r w:rsidRPr="001715D3">
              <w:rPr>
                <w:rFonts w:ascii="Arial" w:hAnsi="Arial" w:cs="Arial"/>
                <w:b/>
                <w:sz w:val="16"/>
                <w:szCs w:val="18"/>
                <w:lang w:val="en-GB" w:eastAsia="en-SG"/>
              </w:rPr>
              <w:t>2013</w:t>
            </w:r>
          </w:p>
        </w:tc>
        <w:tc>
          <w:tcPr>
            <w:tcW w:w="1109" w:type="dxa"/>
            <w:tcBorders>
              <w:top w:val="single" w:sz="4" w:space="0" w:color="auto"/>
              <w:left w:val="nil"/>
              <w:bottom w:val="nil"/>
              <w:right w:val="nil"/>
            </w:tcBorders>
            <w:shd w:val="clear" w:color="auto" w:fill="auto"/>
            <w:noWrap/>
            <w:vAlign w:val="center"/>
            <w:hideMark/>
          </w:tcPr>
          <w:p w14:paraId="25AB3CA9" w14:textId="77777777" w:rsidR="004E3285" w:rsidRPr="001715D3" w:rsidRDefault="004E3285" w:rsidP="00CC6083">
            <w:pPr>
              <w:jc w:val="center"/>
              <w:rPr>
                <w:rFonts w:ascii="Arial" w:hAnsi="Arial" w:cs="Arial"/>
                <w:b/>
                <w:sz w:val="16"/>
                <w:szCs w:val="18"/>
                <w:lang w:val="en-GB" w:eastAsia="en-SG"/>
              </w:rPr>
            </w:pPr>
            <w:r w:rsidRPr="001715D3">
              <w:rPr>
                <w:rFonts w:ascii="Arial" w:hAnsi="Arial" w:cs="Arial"/>
                <w:b/>
                <w:sz w:val="16"/>
                <w:szCs w:val="18"/>
                <w:lang w:val="en-GB" w:eastAsia="en-SG"/>
              </w:rPr>
              <w:t>2012</w:t>
            </w:r>
          </w:p>
        </w:tc>
        <w:tc>
          <w:tcPr>
            <w:tcW w:w="1134" w:type="dxa"/>
            <w:tcBorders>
              <w:top w:val="single" w:sz="4" w:space="0" w:color="auto"/>
              <w:left w:val="nil"/>
              <w:bottom w:val="nil"/>
              <w:right w:val="nil"/>
            </w:tcBorders>
            <w:shd w:val="clear" w:color="auto" w:fill="auto"/>
            <w:noWrap/>
            <w:vAlign w:val="center"/>
            <w:hideMark/>
          </w:tcPr>
          <w:p w14:paraId="3542F0C5" w14:textId="77777777" w:rsidR="004E3285" w:rsidRPr="001715D3" w:rsidRDefault="004E3285" w:rsidP="00CC6083">
            <w:pPr>
              <w:jc w:val="center"/>
              <w:rPr>
                <w:rFonts w:ascii="Arial" w:hAnsi="Arial" w:cs="Arial"/>
                <w:b/>
                <w:sz w:val="16"/>
                <w:szCs w:val="18"/>
                <w:lang w:val="en-GB" w:eastAsia="en-SG"/>
              </w:rPr>
            </w:pPr>
            <w:r w:rsidRPr="001715D3">
              <w:rPr>
                <w:rFonts w:ascii="Arial" w:hAnsi="Arial" w:cs="Arial"/>
                <w:b/>
                <w:sz w:val="16"/>
                <w:szCs w:val="18"/>
                <w:lang w:val="en-GB" w:eastAsia="en-SG"/>
              </w:rPr>
              <w:t>2011</w:t>
            </w:r>
          </w:p>
        </w:tc>
      </w:tr>
      <w:tr w:rsidR="002C3A1A" w:rsidRPr="001715D3" w14:paraId="3CD04580" w14:textId="77777777" w:rsidTr="00A24F2F">
        <w:trPr>
          <w:trHeight w:val="76"/>
        </w:trPr>
        <w:tc>
          <w:tcPr>
            <w:tcW w:w="1168" w:type="dxa"/>
            <w:tcBorders>
              <w:top w:val="single" w:sz="4" w:space="0" w:color="auto"/>
              <w:left w:val="nil"/>
              <w:bottom w:val="nil"/>
              <w:right w:val="nil"/>
            </w:tcBorders>
            <w:shd w:val="clear" w:color="auto" w:fill="auto"/>
            <w:noWrap/>
            <w:vAlign w:val="center"/>
            <w:hideMark/>
          </w:tcPr>
          <w:p w14:paraId="2B9E13FE" w14:textId="4ED73190" w:rsidR="004E3285" w:rsidRPr="001715D3" w:rsidRDefault="00FC3C7A" w:rsidP="00A24F2F">
            <w:pPr>
              <w:rPr>
                <w:rFonts w:ascii="Arial" w:hAnsi="Arial" w:cs="Arial"/>
                <w:b/>
                <w:bCs/>
                <w:sz w:val="16"/>
                <w:szCs w:val="18"/>
                <w:lang w:val="en-GB" w:eastAsia="en-SG"/>
              </w:rPr>
            </w:pPr>
            <w:r w:rsidRPr="001715D3">
              <w:rPr>
                <w:rFonts w:ascii="Arial" w:hAnsi="Arial" w:cs="Arial"/>
                <w:b/>
                <w:bCs/>
                <w:sz w:val="16"/>
                <w:szCs w:val="18"/>
                <w:lang w:val="en-GB" w:eastAsia="en-SG"/>
              </w:rPr>
              <w:t xml:space="preserve">Total </w:t>
            </w:r>
            <w:r w:rsidR="004E3285" w:rsidRPr="001715D3">
              <w:rPr>
                <w:rFonts w:ascii="Arial" w:hAnsi="Arial" w:cs="Arial"/>
                <w:b/>
                <w:bCs/>
                <w:sz w:val="16"/>
                <w:szCs w:val="18"/>
                <w:lang w:val="en-GB" w:eastAsia="en-SG"/>
              </w:rPr>
              <w:t>Revenue</w:t>
            </w:r>
          </w:p>
        </w:tc>
        <w:tc>
          <w:tcPr>
            <w:tcW w:w="2835" w:type="dxa"/>
            <w:tcBorders>
              <w:top w:val="single" w:sz="4" w:space="0" w:color="auto"/>
              <w:left w:val="nil"/>
              <w:bottom w:val="nil"/>
              <w:right w:val="nil"/>
            </w:tcBorders>
            <w:shd w:val="clear" w:color="auto" w:fill="auto"/>
            <w:noWrap/>
            <w:vAlign w:val="center"/>
            <w:hideMark/>
          </w:tcPr>
          <w:p w14:paraId="6A71B490" w14:textId="38507DDA" w:rsidR="004E3285" w:rsidRPr="001715D3" w:rsidRDefault="004E3285" w:rsidP="00A24F2F">
            <w:pPr>
              <w:rPr>
                <w:rFonts w:ascii="Arial" w:hAnsi="Arial" w:cs="Arial"/>
                <w:b/>
                <w:bCs/>
                <w:sz w:val="16"/>
                <w:szCs w:val="18"/>
                <w:lang w:val="en-GB" w:eastAsia="en-SG"/>
              </w:rPr>
            </w:pPr>
          </w:p>
        </w:tc>
        <w:tc>
          <w:tcPr>
            <w:tcW w:w="992" w:type="dxa"/>
            <w:tcBorders>
              <w:top w:val="single" w:sz="4" w:space="0" w:color="auto"/>
              <w:left w:val="nil"/>
              <w:bottom w:val="nil"/>
              <w:right w:val="nil"/>
            </w:tcBorders>
            <w:shd w:val="clear" w:color="auto" w:fill="auto"/>
            <w:vAlign w:val="center"/>
          </w:tcPr>
          <w:p w14:paraId="1014E18C" w14:textId="7F8A9C2D" w:rsidR="004E3285" w:rsidRPr="001715D3" w:rsidRDefault="00F64957"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5,382,596</w:t>
            </w:r>
          </w:p>
        </w:tc>
        <w:tc>
          <w:tcPr>
            <w:tcW w:w="993" w:type="dxa"/>
            <w:tcBorders>
              <w:top w:val="single" w:sz="4" w:space="0" w:color="auto"/>
              <w:left w:val="nil"/>
              <w:bottom w:val="nil"/>
              <w:right w:val="nil"/>
            </w:tcBorders>
            <w:shd w:val="clear" w:color="auto" w:fill="auto"/>
            <w:noWrap/>
            <w:vAlign w:val="center"/>
            <w:hideMark/>
          </w:tcPr>
          <w:p w14:paraId="2728E87B" w14:textId="107380EF" w:rsidR="004E3285" w:rsidRPr="001715D3" w:rsidRDefault="004E3285"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7,025,575</w:t>
            </w:r>
          </w:p>
        </w:tc>
        <w:tc>
          <w:tcPr>
            <w:tcW w:w="1017" w:type="dxa"/>
            <w:tcBorders>
              <w:top w:val="single" w:sz="4" w:space="0" w:color="auto"/>
              <w:left w:val="nil"/>
              <w:bottom w:val="nil"/>
              <w:right w:val="nil"/>
            </w:tcBorders>
            <w:shd w:val="clear" w:color="auto" w:fill="auto"/>
            <w:noWrap/>
            <w:vAlign w:val="center"/>
            <w:hideMark/>
          </w:tcPr>
          <w:p w14:paraId="676B8D4C" w14:textId="77777777" w:rsidR="004E3285" w:rsidRPr="001715D3" w:rsidRDefault="004E3285"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8,831,193</w:t>
            </w:r>
          </w:p>
        </w:tc>
        <w:tc>
          <w:tcPr>
            <w:tcW w:w="1109" w:type="dxa"/>
            <w:tcBorders>
              <w:top w:val="single" w:sz="4" w:space="0" w:color="auto"/>
              <w:left w:val="nil"/>
              <w:bottom w:val="nil"/>
              <w:right w:val="nil"/>
            </w:tcBorders>
            <w:shd w:val="clear" w:color="auto" w:fill="auto"/>
            <w:noWrap/>
            <w:vAlign w:val="center"/>
            <w:hideMark/>
          </w:tcPr>
          <w:p w14:paraId="24189BEA" w14:textId="77777777" w:rsidR="004E3285" w:rsidRPr="001715D3" w:rsidRDefault="004E3285"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9,511,631</w:t>
            </w:r>
          </w:p>
        </w:tc>
        <w:tc>
          <w:tcPr>
            <w:tcW w:w="1134" w:type="dxa"/>
            <w:tcBorders>
              <w:top w:val="single" w:sz="4" w:space="0" w:color="auto"/>
              <w:left w:val="nil"/>
              <w:bottom w:val="nil"/>
              <w:right w:val="nil"/>
            </w:tcBorders>
            <w:shd w:val="clear" w:color="auto" w:fill="auto"/>
            <w:noWrap/>
            <w:vAlign w:val="center"/>
            <w:hideMark/>
          </w:tcPr>
          <w:p w14:paraId="5F222AC9" w14:textId="77777777" w:rsidR="004E3285" w:rsidRPr="001715D3" w:rsidRDefault="004E3285"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9,210,704</w:t>
            </w:r>
          </w:p>
        </w:tc>
      </w:tr>
      <w:tr w:rsidR="002C3A1A" w:rsidRPr="001715D3" w14:paraId="48D92E6F" w14:textId="77777777" w:rsidTr="00A24F2F">
        <w:trPr>
          <w:trHeight w:val="43"/>
        </w:trPr>
        <w:tc>
          <w:tcPr>
            <w:tcW w:w="4003" w:type="dxa"/>
            <w:gridSpan w:val="2"/>
            <w:tcBorders>
              <w:top w:val="nil"/>
              <w:left w:val="nil"/>
              <w:bottom w:val="nil"/>
              <w:right w:val="nil"/>
            </w:tcBorders>
            <w:shd w:val="clear" w:color="auto" w:fill="auto"/>
            <w:noWrap/>
            <w:vAlign w:val="center"/>
          </w:tcPr>
          <w:p w14:paraId="03BBD864" w14:textId="119322D3" w:rsidR="00FC3C7A" w:rsidRPr="001715D3" w:rsidRDefault="00FC3C7A" w:rsidP="00A24F2F">
            <w:pPr>
              <w:rPr>
                <w:rFonts w:ascii="Arial" w:hAnsi="Arial" w:cs="Arial"/>
                <w:sz w:val="16"/>
                <w:szCs w:val="18"/>
                <w:lang w:val="en-GB" w:eastAsia="en-SG"/>
              </w:rPr>
            </w:pPr>
            <w:r w:rsidRPr="001715D3">
              <w:rPr>
                <w:rFonts w:ascii="Arial" w:hAnsi="Arial" w:cs="Arial"/>
                <w:sz w:val="16"/>
                <w:szCs w:val="18"/>
                <w:lang w:val="en-GB" w:eastAsia="en-SG"/>
              </w:rPr>
              <w:t xml:space="preserve">         Revenue from </w:t>
            </w:r>
            <w:r w:rsidR="00445396" w:rsidRPr="001715D3">
              <w:rPr>
                <w:rFonts w:ascii="Arial" w:hAnsi="Arial" w:cs="Arial"/>
                <w:sz w:val="16"/>
                <w:szCs w:val="18"/>
                <w:lang w:val="en-GB" w:eastAsia="en-SG"/>
              </w:rPr>
              <w:t>l</w:t>
            </w:r>
            <w:r w:rsidRPr="001715D3">
              <w:rPr>
                <w:rFonts w:ascii="Arial" w:hAnsi="Arial" w:cs="Arial"/>
                <w:sz w:val="16"/>
                <w:szCs w:val="18"/>
                <w:lang w:val="en-GB" w:eastAsia="en-SG"/>
              </w:rPr>
              <w:t>ogistics segment sold</w:t>
            </w:r>
          </w:p>
        </w:tc>
        <w:tc>
          <w:tcPr>
            <w:tcW w:w="992" w:type="dxa"/>
            <w:tcBorders>
              <w:top w:val="nil"/>
              <w:left w:val="nil"/>
              <w:bottom w:val="nil"/>
              <w:right w:val="nil"/>
            </w:tcBorders>
            <w:vAlign w:val="center"/>
          </w:tcPr>
          <w:p w14:paraId="58691B37" w14:textId="7989BCAE" w:rsidR="00FC3C7A" w:rsidRPr="001715D3" w:rsidRDefault="00FC3C7A" w:rsidP="00A24F2F">
            <w:pPr>
              <w:jc w:val="right"/>
              <w:rPr>
                <w:rFonts w:ascii="Arial" w:hAnsi="Arial" w:cs="Arial"/>
                <w:sz w:val="16"/>
                <w:szCs w:val="18"/>
                <w:lang w:val="en-GB" w:eastAsia="en-SG"/>
              </w:rPr>
            </w:pPr>
            <w:r w:rsidRPr="001715D3">
              <w:rPr>
                <w:rFonts w:ascii="Arial" w:hAnsi="Arial" w:cs="Arial"/>
                <w:sz w:val="16"/>
                <w:szCs w:val="18"/>
                <w:lang w:val="en-GB" w:eastAsia="en-SG"/>
              </w:rPr>
              <w:t>722,781</w:t>
            </w:r>
          </w:p>
        </w:tc>
        <w:tc>
          <w:tcPr>
            <w:tcW w:w="993" w:type="dxa"/>
            <w:tcBorders>
              <w:top w:val="nil"/>
              <w:left w:val="nil"/>
              <w:bottom w:val="nil"/>
              <w:right w:val="nil"/>
            </w:tcBorders>
            <w:shd w:val="clear" w:color="auto" w:fill="auto"/>
            <w:noWrap/>
            <w:vAlign w:val="center"/>
          </w:tcPr>
          <w:p w14:paraId="5345F13C" w14:textId="2484891B" w:rsidR="00FC3C7A" w:rsidRPr="001715D3" w:rsidRDefault="00FC3C7A" w:rsidP="00A24F2F">
            <w:pPr>
              <w:jc w:val="right"/>
              <w:rPr>
                <w:rFonts w:ascii="Arial" w:hAnsi="Arial" w:cs="Arial"/>
                <w:sz w:val="16"/>
                <w:szCs w:val="18"/>
                <w:lang w:val="en-GB" w:eastAsia="en-SG"/>
              </w:rPr>
            </w:pPr>
            <w:r w:rsidRPr="001715D3">
              <w:rPr>
                <w:rFonts w:ascii="Arial" w:hAnsi="Arial" w:cs="Arial"/>
                <w:sz w:val="16"/>
                <w:szCs w:val="18"/>
                <w:lang w:val="en-GB" w:eastAsia="en-SG"/>
              </w:rPr>
              <w:t>624,333</w:t>
            </w:r>
          </w:p>
        </w:tc>
        <w:tc>
          <w:tcPr>
            <w:tcW w:w="1017" w:type="dxa"/>
            <w:tcBorders>
              <w:top w:val="nil"/>
              <w:left w:val="nil"/>
              <w:bottom w:val="nil"/>
              <w:right w:val="nil"/>
            </w:tcBorders>
            <w:shd w:val="clear" w:color="auto" w:fill="auto"/>
            <w:noWrap/>
            <w:vAlign w:val="center"/>
          </w:tcPr>
          <w:p w14:paraId="3D4465FC" w14:textId="77777777" w:rsidR="00FC3C7A" w:rsidRPr="001715D3" w:rsidRDefault="00FC3C7A"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04095090" w14:textId="77777777" w:rsidR="00FC3C7A" w:rsidRPr="001715D3" w:rsidRDefault="00FC3C7A"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746459E2" w14:textId="77777777" w:rsidR="00FC3C7A" w:rsidRPr="001715D3" w:rsidRDefault="00FC3C7A" w:rsidP="00A24F2F">
            <w:pPr>
              <w:jc w:val="right"/>
              <w:rPr>
                <w:rFonts w:ascii="Arial" w:hAnsi="Arial" w:cs="Arial"/>
                <w:sz w:val="16"/>
                <w:szCs w:val="18"/>
                <w:lang w:val="en-GB" w:eastAsia="en-SG"/>
              </w:rPr>
            </w:pPr>
          </w:p>
        </w:tc>
      </w:tr>
      <w:tr w:rsidR="002C3A1A" w:rsidRPr="001715D3" w14:paraId="4B58D1B1" w14:textId="77777777" w:rsidTr="00A24F2F">
        <w:trPr>
          <w:trHeight w:val="94"/>
        </w:trPr>
        <w:tc>
          <w:tcPr>
            <w:tcW w:w="4003" w:type="dxa"/>
            <w:gridSpan w:val="2"/>
            <w:tcBorders>
              <w:top w:val="nil"/>
              <w:left w:val="nil"/>
              <w:bottom w:val="nil"/>
              <w:right w:val="nil"/>
            </w:tcBorders>
            <w:shd w:val="clear" w:color="auto" w:fill="auto"/>
            <w:noWrap/>
            <w:vAlign w:val="center"/>
          </w:tcPr>
          <w:p w14:paraId="77DEC61C" w14:textId="5AFC6CCD" w:rsidR="00FC3C7A" w:rsidRPr="001715D3" w:rsidRDefault="00FC3C7A" w:rsidP="00A24F2F">
            <w:pPr>
              <w:rPr>
                <w:rFonts w:ascii="Arial" w:hAnsi="Arial" w:cs="Arial"/>
                <w:sz w:val="16"/>
                <w:szCs w:val="18"/>
                <w:lang w:val="en-GB" w:eastAsia="en-SG"/>
              </w:rPr>
            </w:pPr>
            <w:r w:rsidRPr="001715D3">
              <w:rPr>
                <w:rFonts w:ascii="Arial" w:hAnsi="Arial" w:cs="Arial"/>
                <w:sz w:val="16"/>
                <w:szCs w:val="18"/>
                <w:lang w:val="en-GB" w:eastAsia="en-SG"/>
              </w:rPr>
              <w:t xml:space="preserve">         Revenue from container shipping retained</w:t>
            </w:r>
          </w:p>
        </w:tc>
        <w:tc>
          <w:tcPr>
            <w:tcW w:w="992" w:type="dxa"/>
            <w:tcBorders>
              <w:top w:val="nil"/>
              <w:left w:val="nil"/>
              <w:bottom w:val="nil"/>
              <w:right w:val="nil"/>
            </w:tcBorders>
            <w:vAlign w:val="center"/>
          </w:tcPr>
          <w:p w14:paraId="38630999" w14:textId="34185513" w:rsidR="00FC3C7A" w:rsidRPr="001715D3" w:rsidRDefault="00FC3C7A" w:rsidP="00A24F2F">
            <w:pPr>
              <w:jc w:val="right"/>
              <w:rPr>
                <w:rFonts w:ascii="Arial" w:hAnsi="Arial" w:cs="Arial"/>
                <w:sz w:val="16"/>
                <w:szCs w:val="18"/>
                <w:lang w:val="en-GB" w:eastAsia="en-SG"/>
              </w:rPr>
            </w:pPr>
            <w:r w:rsidRPr="001715D3">
              <w:rPr>
                <w:rFonts w:ascii="Arial" w:hAnsi="Arial" w:cs="Arial"/>
                <w:sz w:val="16"/>
                <w:szCs w:val="18"/>
                <w:lang w:val="en-GB" w:eastAsia="en-SG"/>
              </w:rPr>
              <w:t>4,659,815</w:t>
            </w:r>
          </w:p>
        </w:tc>
        <w:tc>
          <w:tcPr>
            <w:tcW w:w="993" w:type="dxa"/>
            <w:tcBorders>
              <w:top w:val="nil"/>
              <w:left w:val="nil"/>
              <w:bottom w:val="nil"/>
              <w:right w:val="nil"/>
            </w:tcBorders>
            <w:shd w:val="clear" w:color="auto" w:fill="auto"/>
            <w:noWrap/>
            <w:vAlign w:val="center"/>
          </w:tcPr>
          <w:p w14:paraId="4A73FBF0" w14:textId="0B8C8410" w:rsidR="00FC3C7A" w:rsidRPr="001715D3" w:rsidRDefault="00FC3C7A" w:rsidP="00A24F2F">
            <w:pPr>
              <w:jc w:val="right"/>
              <w:rPr>
                <w:rFonts w:ascii="Arial" w:hAnsi="Arial" w:cs="Arial"/>
                <w:sz w:val="16"/>
                <w:szCs w:val="18"/>
                <w:lang w:val="en-GB" w:eastAsia="en-SG"/>
              </w:rPr>
            </w:pPr>
            <w:r w:rsidRPr="001715D3">
              <w:rPr>
                <w:rFonts w:ascii="Arial" w:hAnsi="Arial" w:cs="Arial"/>
                <w:sz w:val="16"/>
                <w:szCs w:val="18"/>
                <w:lang w:val="en-GB" w:eastAsia="en-SG"/>
              </w:rPr>
              <w:t>6,401,242</w:t>
            </w:r>
          </w:p>
        </w:tc>
        <w:tc>
          <w:tcPr>
            <w:tcW w:w="1017" w:type="dxa"/>
            <w:tcBorders>
              <w:top w:val="nil"/>
              <w:left w:val="nil"/>
              <w:bottom w:val="nil"/>
              <w:right w:val="nil"/>
            </w:tcBorders>
            <w:shd w:val="clear" w:color="auto" w:fill="auto"/>
            <w:noWrap/>
            <w:vAlign w:val="center"/>
          </w:tcPr>
          <w:p w14:paraId="5E94F95B" w14:textId="77777777" w:rsidR="00FC3C7A" w:rsidRPr="001715D3" w:rsidRDefault="00FC3C7A"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142F09BA" w14:textId="77777777" w:rsidR="00FC3C7A" w:rsidRPr="001715D3" w:rsidRDefault="00FC3C7A"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6B94ED19" w14:textId="77777777" w:rsidR="00FC3C7A" w:rsidRPr="001715D3" w:rsidRDefault="00FC3C7A" w:rsidP="00A24F2F">
            <w:pPr>
              <w:jc w:val="right"/>
              <w:rPr>
                <w:rFonts w:ascii="Arial" w:hAnsi="Arial" w:cs="Arial"/>
                <w:sz w:val="16"/>
                <w:szCs w:val="18"/>
                <w:lang w:val="en-GB" w:eastAsia="en-SG"/>
              </w:rPr>
            </w:pPr>
          </w:p>
        </w:tc>
      </w:tr>
      <w:tr w:rsidR="002C3A1A" w:rsidRPr="001715D3" w14:paraId="75CA1DA9" w14:textId="77777777" w:rsidTr="00A24F2F">
        <w:trPr>
          <w:trHeight w:val="43"/>
        </w:trPr>
        <w:tc>
          <w:tcPr>
            <w:tcW w:w="4003" w:type="dxa"/>
            <w:gridSpan w:val="2"/>
            <w:tcBorders>
              <w:top w:val="nil"/>
              <w:left w:val="nil"/>
              <w:bottom w:val="nil"/>
              <w:right w:val="nil"/>
            </w:tcBorders>
            <w:shd w:val="clear" w:color="auto" w:fill="auto"/>
            <w:noWrap/>
            <w:vAlign w:val="center"/>
            <w:hideMark/>
          </w:tcPr>
          <w:p w14:paraId="1D07093B" w14:textId="54ABA89B"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 xml:space="preserve">Cost of </w:t>
            </w:r>
            <w:r w:rsidR="00DC21AA" w:rsidRPr="001715D3">
              <w:rPr>
                <w:rFonts w:ascii="Arial" w:hAnsi="Arial" w:cs="Arial"/>
                <w:sz w:val="16"/>
                <w:szCs w:val="18"/>
                <w:lang w:val="en-GB" w:eastAsia="en-SG"/>
              </w:rPr>
              <w:t>s</w:t>
            </w:r>
            <w:r w:rsidRPr="001715D3">
              <w:rPr>
                <w:rFonts w:ascii="Arial" w:hAnsi="Arial" w:cs="Arial"/>
                <w:sz w:val="16"/>
                <w:szCs w:val="18"/>
                <w:lang w:val="en-GB" w:eastAsia="en-SG"/>
              </w:rPr>
              <w:t>ales</w:t>
            </w:r>
          </w:p>
        </w:tc>
        <w:tc>
          <w:tcPr>
            <w:tcW w:w="992" w:type="dxa"/>
            <w:tcBorders>
              <w:top w:val="nil"/>
              <w:left w:val="nil"/>
              <w:bottom w:val="nil"/>
              <w:right w:val="nil"/>
            </w:tcBorders>
            <w:vAlign w:val="center"/>
          </w:tcPr>
          <w:p w14:paraId="5E7DC17E" w14:textId="20E6D7D4" w:rsidR="004E3285"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5,029,914</w:t>
            </w:r>
          </w:p>
        </w:tc>
        <w:tc>
          <w:tcPr>
            <w:tcW w:w="993" w:type="dxa"/>
            <w:tcBorders>
              <w:top w:val="nil"/>
              <w:left w:val="nil"/>
              <w:bottom w:val="nil"/>
              <w:right w:val="nil"/>
            </w:tcBorders>
            <w:shd w:val="clear" w:color="auto" w:fill="auto"/>
            <w:noWrap/>
            <w:vAlign w:val="center"/>
            <w:hideMark/>
          </w:tcPr>
          <w:p w14:paraId="31F9EC15" w14:textId="52F2B44F"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6,723,377</w:t>
            </w:r>
          </w:p>
        </w:tc>
        <w:tc>
          <w:tcPr>
            <w:tcW w:w="1017" w:type="dxa"/>
            <w:tcBorders>
              <w:top w:val="nil"/>
              <w:left w:val="nil"/>
              <w:bottom w:val="nil"/>
              <w:right w:val="nil"/>
            </w:tcBorders>
            <w:shd w:val="clear" w:color="auto" w:fill="auto"/>
            <w:noWrap/>
            <w:vAlign w:val="center"/>
            <w:hideMark/>
          </w:tcPr>
          <w:p w14:paraId="5BE2BEB0" w14:textId="43FC21CD"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8,247,254</w:t>
            </w:r>
          </w:p>
        </w:tc>
        <w:tc>
          <w:tcPr>
            <w:tcW w:w="1109" w:type="dxa"/>
            <w:tcBorders>
              <w:top w:val="nil"/>
              <w:left w:val="nil"/>
              <w:bottom w:val="nil"/>
              <w:right w:val="nil"/>
            </w:tcBorders>
            <w:shd w:val="clear" w:color="auto" w:fill="auto"/>
            <w:noWrap/>
            <w:vAlign w:val="center"/>
            <w:hideMark/>
          </w:tcPr>
          <w:p w14:paraId="24BA56B5" w14:textId="3AA98CEA"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8,988,204</w:t>
            </w:r>
          </w:p>
        </w:tc>
        <w:tc>
          <w:tcPr>
            <w:tcW w:w="1134" w:type="dxa"/>
            <w:tcBorders>
              <w:top w:val="nil"/>
              <w:left w:val="nil"/>
              <w:bottom w:val="nil"/>
              <w:right w:val="nil"/>
            </w:tcBorders>
            <w:shd w:val="clear" w:color="auto" w:fill="auto"/>
            <w:noWrap/>
            <w:vAlign w:val="center"/>
            <w:hideMark/>
          </w:tcPr>
          <w:p w14:paraId="1B9D1F65" w14:textId="158FC5E0"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8,819,462</w:t>
            </w:r>
          </w:p>
        </w:tc>
      </w:tr>
      <w:tr w:rsidR="002C3A1A" w:rsidRPr="001715D3" w14:paraId="08DA308B" w14:textId="77777777" w:rsidTr="00A24F2F">
        <w:trPr>
          <w:trHeight w:val="43"/>
        </w:trPr>
        <w:tc>
          <w:tcPr>
            <w:tcW w:w="1168" w:type="dxa"/>
            <w:tcBorders>
              <w:top w:val="nil"/>
              <w:left w:val="nil"/>
              <w:bottom w:val="nil"/>
              <w:right w:val="nil"/>
            </w:tcBorders>
            <w:shd w:val="clear" w:color="auto" w:fill="auto"/>
            <w:noWrap/>
            <w:vAlign w:val="center"/>
            <w:hideMark/>
          </w:tcPr>
          <w:p w14:paraId="65E0D088"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Gross profit</w:t>
            </w:r>
          </w:p>
        </w:tc>
        <w:tc>
          <w:tcPr>
            <w:tcW w:w="2835" w:type="dxa"/>
            <w:tcBorders>
              <w:top w:val="nil"/>
              <w:left w:val="nil"/>
              <w:bottom w:val="nil"/>
              <w:right w:val="nil"/>
            </w:tcBorders>
            <w:shd w:val="clear" w:color="auto" w:fill="auto"/>
            <w:noWrap/>
            <w:vAlign w:val="center"/>
            <w:hideMark/>
          </w:tcPr>
          <w:p w14:paraId="7CACE039" w14:textId="77777777" w:rsidR="004E3285" w:rsidRPr="001715D3" w:rsidRDefault="004E3285" w:rsidP="00A24F2F">
            <w:pPr>
              <w:rPr>
                <w:rFonts w:ascii="Arial" w:hAnsi="Arial" w:cs="Arial"/>
                <w:sz w:val="16"/>
                <w:szCs w:val="18"/>
                <w:lang w:val="en-GB" w:eastAsia="en-SG"/>
              </w:rPr>
            </w:pPr>
          </w:p>
        </w:tc>
        <w:tc>
          <w:tcPr>
            <w:tcW w:w="992" w:type="dxa"/>
            <w:tcBorders>
              <w:top w:val="nil"/>
              <w:left w:val="nil"/>
              <w:bottom w:val="nil"/>
              <w:right w:val="nil"/>
            </w:tcBorders>
            <w:shd w:val="clear" w:color="auto" w:fill="auto"/>
            <w:vAlign w:val="center"/>
          </w:tcPr>
          <w:p w14:paraId="34309EFE" w14:textId="6FA5D9F6" w:rsidR="004E3285"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352,682</w:t>
            </w:r>
          </w:p>
        </w:tc>
        <w:tc>
          <w:tcPr>
            <w:tcW w:w="993" w:type="dxa"/>
            <w:tcBorders>
              <w:top w:val="nil"/>
              <w:left w:val="nil"/>
              <w:bottom w:val="nil"/>
              <w:right w:val="nil"/>
            </w:tcBorders>
            <w:shd w:val="clear" w:color="auto" w:fill="auto"/>
            <w:noWrap/>
            <w:vAlign w:val="center"/>
            <w:hideMark/>
          </w:tcPr>
          <w:p w14:paraId="0F22DD5A" w14:textId="4750A8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302,198</w:t>
            </w:r>
          </w:p>
        </w:tc>
        <w:tc>
          <w:tcPr>
            <w:tcW w:w="1017" w:type="dxa"/>
            <w:tcBorders>
              <w:top w:val="nil"/>
              <w:left w:val="nil"/>
              <w:bottom w:val="nil"/>
              <w:right w:val="nil"/>
            </w:tcBorders>
            <w:shd w:val="clear" w:color="auto" w:fill="auto"/>
            <w:noWrap/>
            <w:vAlign w:val="center"/>
            <w:hideMark/>
          </w:tcPr>
          <w:p w14:paraId="479275E0"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583,939</w:t>
            </w:r>
          </w:p>
        </w:tc>
        <w:tc>
          <w:tcPr>
            <w:tcW w:w="1109" w:type="dxa"/>
            <w:tcBorders>
              <w:top w:val="nil"/>
              <w:left w:val="nil"/>
              <w:bottom w:val="nil"/>
              <w:right w:val="nil"/>
            </w:tcBorders>
            <w:shd w:val="clear" w:color="auto" w:fill="auto"/>
            <w:noWrap/>
            <w:vAlign w:val="center"/>
            <w:hideMark/>
          </w:tcPr>
          <w:p w14:paraId="58C0E458"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523,427</w:t>
            </w:r>
          </w:p>
        </w:tc>
        <w:tc>
          <w:tcPr>
            <w:tcW w:w="1134" w:type="dxa"/>
            <w:tcBorders>
              <w:top w:val="nil"/>
              <w:left w:val="nil"/>
              <w:bottom w:val="nil"/>
              <w:right w:val="nil"/>
            </w:tcBorders>
            <w:shd w:val="clear" w:color="auto" w:fill="auto"/>
            <w:noWrap/>
            <w:vAlign w:val="center"/>
            <w:hideMark/>
          </w:tcPr>
          <w:p w14:paraId="7B04F93A"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391,242</w:t>
            </w:r>
          </w:p>
        </w:tc>
      </w:tr>
      <w:tr w:rsidR="002C3A1A" w:rsidRPr="001715D3" w14:paraId="50B27A3E" w14:textId="77777777" w:rsidTr="00A24F2F">
        <w:trPr>
          <w:trHeight w:val="43"/>
        </w:trPr>
        <w:tc>
          <w:tcPr>
            <w:tcW w:w="4003" w:type="dxa"/>
            <w:gridSpan w:val="2"/>
            <w:tcBorders>
              <w:top w:val="nil"/>
              <w:left w:val="nil"/>
              <w:bottom w:val="nil"/>
              <w:right w:val="nil"/>
            </w:tcBorders>
            <w:shd w:val="clear" w:color="auto" w:fill="auto"/>
            <w:noWrap/>
            <w:vAlign w:val="center"/>
            <w:hideMark/>
          </w:tcPr>
          <w:p w14:paraId="3584EB63"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Other gains net</w:t>
            </w:r>
          </w:p>
        </w:tc>
        <w:tc>
          <w:tcPr>
            <w:tcW w:w="992" w:type="dxa"/>
            <w:tcBorders>
              <w:top w:val="nil"/>
              <w:left w:val="nil"/>
              <w:bottom w:val="nil"/>
              <w:right w:val="nil"/>
            </w:tcBorders>
            <w:vAlign w:val="center"/>
          </w:tcPr>
          <w:p w14:paraId="47EE0A72" w14:textId="77777777" w:rsidR="004E3285" w:rsidRPr="001715D3" w:rsidRDefault="004E3285" w:rsidP="00A24F2F">
            <w:pPr>
              <w:jc w:val="right"/>
              <w:rPr>
                <w:rFonts w:ascii="Arial" w:hAnsi="Arial" w:cs="Arial"/>
                <w:sz w:val="16"/>
                <w:szCs w:val="18"/>
                <w:lang w:val="en-GB" w:eastAsia="en-SG"/>
              </w:rPr>
            </w:pPr>
          </w:p>
        </w:tc>
        <w:tc>
          <w:tcPr>
            <w:tcW w:w="993" w:type="dxa"/>
            <w:tcBorders>
              <w:top w:val="nil"/>
              <w:left w:val="nil"/>
              <w:bottom w:val="nil"/>
              <w:right w:val="nil"/>
            </w:tcBorders>
            <w:shd w:val="clear" w:color="auto" w:fill="auto"/>
            <w:noWrap/>
            <w:vAlign w:val="center"/>
            <w:hideMark/>
          </w:tcPr>
          <w:p w14:paraId="4746F2DB" w14:textId="4850342A" w:rsidR="004E3285" w:rsidRPr="001715D3" w:rsidRDefault="004E3285" w:rsidP="00A24F2F">
            <w:pPr>
              <w:jc w:val="right"/>
              <w:rPr>
                <w:rFonts w:ascii="Arial" w:hAnsi="Arial" w:cs="Arial"/>
                <w:sz w:val="16"/>
                <w:szCs w:val="18"/>
                <w:lang w:val="en-GB" w:eastAsia="en-SG"/>
              </w:rPr>
            </w:pPr>
          </w:p>
        </w:tc>
        <w:tc>
          <w:tcPr>
            <w:tcW w:w="1017" w:type="dxa"/>
            <w:tcBorders>
              <w:top w:val="nil"/>
              <w:left w:val="nil"/>
              <w:bottom w:val="nil"/>
              <w:right w:val="nil"/>
            </w:tcBorders>
            <w:shd w:val="clear" w:color="auto" w:fill="auto"/>
            <w:noWrap/>
            <w:vAlign w:val="center"/>
            <w:hideMark/>
          </w:tcPr>
          <w:p w14:paraId="07DF96C0" w14:textId="77777777" w:rsidR="004E3285" w:rsidRPr="001715D3" w:rsidRDefault="004E3285"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hideMark/>
          </w:tcPr>
          <w:p w14:paraId="27A6F967" w14:textId="77777777" w:rsidR="004E3285" w:rsidRPr="001715D3" w:rsidRDefault="004E3285"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hideMark/>
          </w:tcPr>
          <w:p w14:paraId="4BBA99FE" w14:textId="77777777" w:rsidR="004E3285" w:rsidRPr="001715D3" w:rsidRDefault="004E3285" w:rsidP="00A24F2F">
            <w:pPr>
              <w:jc w:val="right"/>
              <w:rPr>
                <w:rFonts w:ascii="Arial" w:hAnsi="Arial" w:cs="Arial"/>
                <w:sz w:val="16"/>
                <w:szCs w:val="18"/>
                <w:lang w:val="en-GB" w:eastAsia="en-SG"/>
              </w:rPr>
            </w:pPr>
          </w:p>
        </w:tc>
      </w:tr>
      <w:tr w:rsidR="002C3A1A" w:rsidRPr="001715D3" w14:paraId="3253A5C9" w14:textId="77777777" w:rsidTr="00A24F2F">
        <w:trPr>
          <w:trHeight w:val="43"/>
        </w:trPr>
        <w:tc>
          <w:tcPr>
            <w:tcW w:w="1168" w:type="dxa"/>
            <w:tcBorders>
              <w:top w:val="nil"/>
              <w:left w:val="nil"/>
              <w:bottom w:val="nil"/>
              <w:right w:val="nil"/>
            </w:tcBorders>
            <w:shd w:val="clear" w:color="auto" w:fill="auto"/>
            <w:noWrap/>
            <w:vAlign w:val="center"/>
            <w:hideMark/>
          </w:tcPr>
          <w:p w14:paraId="6A08759C" w14:textId="587025BD"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6194E0C0"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Miscellaneous</w:t>
            </w:r>
          </w:p>
        </w:tc>
        <w:tc>
          <w:tcPr>
            <w:tcW w:w="992" w:type="dxa"/>
            <w:tcBorders>
              <w:top w:val="nil"/>
              <w:left w:val="nil"/>
              <w:bottom w:val="nil"/>
              <w:right w:val="nil"/>
            </w:tcBorders>
            <w:shd w:val="clear" w:color="auto" w:fill="auto"/>
            <w:vAlign w:val="center"/>
          </w:tcPr>
          <w:p w14:paraId="140B988A" w14:textId="65325482" w:rsidR="004E3285"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31,376</w:t>
            </w:r>
          </w:p>
        </w:tc>
        <w:tc>
          <w:tcPr>
            <w:tcW w:w="993" w:type="dxa"/>
            <w:tcBorders>
              <w:top w:val="nil"/>
              <w:left w:val="nil"/>
              <w:bottom w:val="nil"/>
              <w:right w:val="nil"/>
            </w:tcBorders>
            <w:shd w:val="clear" w:color="auto" w:fill="auto"/>
            <w:noWrap/>
            <w:vAlign w:val="center"/>
            <w:hideMark/>
          </w:tcPr>
          <w:p w14:paraId="277F01FD" w14:textId="4D03F1CC"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12,970</w:t>
            </w:r>
          </w:p>
        </w:tc>
        <w:tc>
          <w:tcPr>
            <w:tcW w:w="1017" w:type="dxa"/>
            <w:tcBorders>
              <w:top w:val="nil"/>
              <w:left w:val="nil"/>
              <w:bottom w:val="nil"/>
              <w:right w:val="nil"/>
            </w:tcBorders>
            <w:shd w:val="clear" w:color="auto" w:fill="auto"/>
            <w:noWrap/>
            <w:vAlign w:val="center"/>
            <w:hideMark/>
          </w:tcPr>
          <w:p w14:paraId="4E7C1163"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224,414</w:t>
            </w:r>
          </w:p>
        </w:tc>
        <w:tc>
          <w:tcPr>
            <w:tcW w:w="1109" w:type="dxa"/>
            <w:tcBorders>
              <w:top w:val="nil"/>
              <w:left w:val="nil"/>
              <w:bottom w:val="nil"/>
              <w:right w:val="nil"/>
            </w:tcBorders>
            <w:shd w:val="clear" w:color="auto" w:fill="auto"/>
            <w:noWrap/>
            <w:vAlign w:val="center"/>
            <w:hideMark/>
          </w:tcPr>
          <w:p w14:paraId="08B3F1F0"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14,862</w:t>
            </w:r>
          </w:p>
        </w:tc>
        <w:tc>
          <w:tcPr>
            <w:tcW w:w="1134" w:type="dxa"/>
            <w:tcBorders>
              <w:top w:val="nil"/>
              <w:left w:val="nil"/>
              <w:bottom w:val="nil"/>
              <w:right w:val="nil"/>
            </w:tcBorders>
            <w:shd w:val="clear" w:color="auto" w:fill="auto"/>
            <w:noWrap/>
            <w:vAlign w:val="center"/>
            <w:hideMark/>
          </w:tcPr>
          <w:p w14:paraId="7A553809"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11,138</w:t>
            </w:r>
          </w:p>
        </w:tc>
      </w:tr>
      <w:tr w:rsidR="002C3A1A" w:rsidRPr="001715D3" w14:paraId="2999737C" w14:textId="77777777" w:rsidTr="00A24F2F">
        <w:trPr>
          <w:trHeight w:val="43"/>
        </w:trPr>
        <w:tc>
          <w:tcPr>
            <w:tcW w:w="1168" w:type="dxa"/>
            <w:tcBorders>
              <w:top w:val="nil"/>
              <w:left w:val="nil"/>
              <w:bottom w:val="nil"/>
              <w:right w:val="nil"/>
            </w:tcBorders>
            <w:shd w:val="clear" w:color="auto" w:fill="auto"/>
            <w:noWrap/>
            <w:vAlign w:val="center"/>
            <w:hideMark/>
          </w:tcPr>
          <w:p w14:paraId="4E0BD4E1" w14:textId="61649EEC"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36F292CE"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Finance and investment income</w:t>
            </w:r>
          </w:p>
        </w:tc>
        <w:tc>
          <w:tcPr>
            <w:tcW w:w="992" w:type="dxa"/>
            <w:tcBorders>
              <w:top w:val="nil"/>
              <w:left w:val="nil"/>
              <w:bottom w:val="nil"/>
              <w:right w:val="nil"/>
            </w:tcBorders>
            <w:shd w:val="clear" w:color="auto" w:fill="auto"/>
            <w:vAlign w:val="center"/>
          </w:tcPr>
          <w:p w14:paraId="1E41EFC1" w14:textId="0CA63F53" w:rsidR="004E3285"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6,653</w:t>
            </w:r>
          </w:p>
        </w:tc>
        <w:tc>
          <w:tcPr>
            <w:tcW w:w="993" w:type="dxa"/>
            <w:tcBorders>
              <w:top w:val="nil"/>
              <w:left w:val="nil"/>
              <w:bottom w:val="nil"/>
              <w:right w:val="nil"/>
            </w:tcBorders>
            <w:shd w:val="clear" w:color="auto" w:fill="auto"/>
            <w:noWrap/>
            <w:vAlign w:val="center"/>
            <w:hideMark/>
          </w:tcPr>
          <w:p w14:paraId="12F6C53A" w14:textId="5CE14A35"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5,183</w:t>
            </w:r>
          </w:p>
        </w:tc>
        <w:tc>
          <w:tcPr>
            <w:tcW w:w="1017" w:type="dxa"/>
            <w:tcBorders>
              <w:top w:val="nil"/>
              <w:left w:val="nil"/>
              <w:bottom w:val="nil"/>
              <w:right w:val="nil"/>
            </w:tcBorders>
            <w:shd w:val="clear" w:color="auto" w:fill="auto"/>
            <w:noWrap/>
            <w:vAlign w:val="center"/>
            <w:hideMark/>
          </w:tcPr>
          <w:p w14:paraId="1FF8F420"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5,448</w:t>
            </w:r>
          </w:p>
        </w:tc>
        <w:tc>
          <w:tcPr>
            <w:tcW w:w="1109" w:type="dxa"/>
            <w:tcBorders>
              <w:top w:val="nil"/>
              <w:left w:val="nil"/>
              <w:bottom w:val="nil"/>
              <w:right w:val="nil"/>
            </w:tcBorders>
            <w:shd w:val="clear" w:color="auto" w:fill="auto"/>
            <w:noWrap/>
            <w:vAlign w:val="center"/>
            <w:hideMark/>
          </w:tcPr>
          <w:p w14:paraId="2CBA2FFD"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5,263</w:t>
            </w:r>
          </w:p>
        </w:tc>
        <w:tc>
          <w:tcPr>
            <w:tcW w:w="1134" w:type="dxa"/>
            <w:tcBorders>
              <w:top w:val="nil"/>
              <w:left w:val="nil"/>
              <w:bottom w:val="nil"/>
              <w:right w:val="nil"/>
            </w:tcBorders>
            <w:shd w:val="clear" w:color="auto" w:fill="auto"/>
            <w:noWrap/>
            <w:vAlign w:val="center"/>
            <w:hideMark/>
          </w:tcPr>
          <w:p w14:paraId="7DCFD7DF"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6,805</w:t>
            </w:r>
          </w:p>
        </w:tc>
      </w:tr>
      <w:tr w:rsidR="002C3A1A" w:rsidRPr="001715D3" w14:paraId="3E63D156" w14:textId="77777777" w:rsidTr="0000700E">
        <w:trPr>
          <w:trHeight w:val="124"/>
        </w:trPr>
        <w:tc>
          <w:tcPr>
            <w:tcW w:w="1168" w:type="dxa"/>
            <w:tcBorders>
              <w:top w:val="nil"/>
              <w:left w:val="nil"/>
              <w:bottom w:val="nil"/>
              <w:right w:val="nil"/>
            </w:tcBorders>
            <w:shd w:val="clear" w:color="auto" w:fill="auto"/>
            <w:noWrap/>
            <w:vAlign w:val="center"/>
            <w:hideMark/>
          </w:tcPr>
          <w:p w14:paraId="7EF01E0E"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Expenses</w:t>
            </w:r>
          </w:p>
        </w:tc>
        <w:tc>
          <w:tcPr>
            <w:tcW w:w="2835" w:type="dxa"/>
            <w:tcBorders>
              <w:top w:val="nil"/>
              <w:left w:val="nil"/>
              <w:bottom w:val="nil"/>
              <w:right w:val="nil"/>
            </w:tcBorders>
            <w:shd w:val="clear" w:color="auto" w:fill="auto"/>
            <w:noWrap/>
            <w:vAlign w:val="center"/>
            <w:hideMark/>
          </w:tcPr>
          <w:p w14:paraId="5CBE0043" w14:textId="77777777" w:rsidR="004E3285" w:rsidRPr="001715D3" w:rsidRDefault="004E3285" w:rsidP="00A24F2F">
            <w:pPr>
              <w:rPr>
                <w:rFonts w:ascii="Arial" w:hAnsi="Arial" w:cs="Arial"/>
                <w:sz w:val="16"/>
                <w:szCs w:val="18"/>
                <w:lang w:val="en-GB" w:eastAsia="en-SG"/>
              </w:rPr>
            </w:pPr>
          </w:p>
        </w:tc>
        <w:tc>
          <w:tcPr>
            <w:tcW w:w="992" w:type="dxa"/>
            <w:tcBorders>
              <w:top w:val="nil"/>
              <w:left w:val="nil"/>
              <w:bottom w:val="nil"/>
              <w:right w:val="nil"/>
            </w:tcBorders>
            <w:shd w:val="clear" w:color="auto" w:fill="auto"/>
            <w:vAlign w:val="center"/>
          </w:tcPr>
          <w:p w14:paraId="66E8BE77" w14:textId="77777777" w:rsidR="004E3285" w:rsidRPr="001715D3" w:rsidRDefault="004E3285" w:rsidP="00A24F2F">
            <w:pPr>
              <w:jc w:val="right"/>
              <w:rPr>
                <w:rFonts w:ascii="Arial" w:hAnsi="Arial" w:cs="Arial"/>
                <w:sz w:val="16"/>
                <w:szCs w:val="18"/>
                <w:lang w:val="en-GB" w:eastAsia="en-SG"/>
              </w:rPr>
            </w:pPr>
          </w:p>
        </w:tc>
        <w:tc>
          <w:tcPr>
            <w:tcW w:w="993" w:type="dxa"/>
            <w:tcBorders>
              <w:top w:val="nil"/>
              <w:left w:val="nil"/>
              <w:bottom w:val="nil"/>
              <w:right w:val="nil"/>
            </w:tcBorders>
            <w:shd w:val="clear" w:color="auto" w:fill="auto"/>
            <w:noWrap/>
            <w:vAlign w:val="center"/>
            <w:hideMark/>
          </w:tcPr>
          <w:p w14:paraId="001CE9E1" w14:textId="62977177" w:rsidR="004E3285" w:rsidRPr="001715D3" w:rsidRDefault="004E3285" w:rsidP="00A24F2F">
            <w:pPr>
              <w:jc w:val="right"/>
              <w:rPr>
                <w:rFonts w:ascii="Arial" w:hAnsi="Arial" w:cs="Arial"/>
                <w:sz w:val="16"/>
                <w:szCs w:val="18"/>
                <w:lang w:val="en-GB" w:eastAsia="en-SG"/>
              </w:rPr>
            </w:pPr>
          </w:p>
        </w:tc>
        <w:tc>
          <w:tcPr>
            <w:tcW w:w="1017" w:type="dxa"/>
            <w:tcBorders>
              <w:top w:val="nil"/>
              <w:left w:val="nil"/>
              <w:bottom w:val="nil"/>
              <w:right w:val="nil"/>
            </w:tcBorders>
            <w:shd w:val="clear" w:color="auto" w:fill="auto"/>
            <w:noWrap/>
            <w:vAlign w:val="center"/>
            <w:hideMark/>
          </w:tcPr>
          <w:p w14:paraId="7045008D" w14:textId="77777777" w:rsidR="004E3285" w:rsidRPr="001715D3" w:rsidRDefault="004E3285"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hideMark/>
          </w:tcPr>
          <w:p w14:paraId="22331AAF" w14:textId="77777777" w:rsidR="004E3285" w:rsidRPr="001715D3" w:rsidRDefault="004E3285"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hideMark/>
          </w:tcPr>
          <w:p w14:paraId="1D937E5F" w14:textId="77777777" w:rsidR="004E3285" w:rsidRPr="001715D3" w:rsidRDefault="004E3285" w:rsidP="00A24F2F">
            <w:pPr>
              <w:jc w:val="right"/>
              <w:rPr>
                <w:rFonts w:ascii="Arial" w:hAnsi="Arial" w:cs="Arial"/>
                <w:sz w:val="16"/>
                <w:szCs w:val="18"/>
                <w:lang w:val="en-GB" w:eastAsia="en-SG"/>
              </w:rPr>
            </w:pPr>
          </w:p>
        </w:tc>
      </w:tr>
      <w:tr w:rsidR="002C3A1A" w:rsidRPr="001715D3" w14:paraId="4620BB18" w14:textId="77777777" w:rsidTr="0000700E">
        <w:trPr>
          <w:trHeight w:val="43"/>
        </w:trPr>
        <w:tc>
          <w:tcPr>
            <w:tcW w:w="1168" w:type="dxa"/>
            <w:tcBorders>
              <w:top w:val="nil"/>
              <w:left w:val="nil"/>
              <w:bottom w:val="nil"/>
              <w:right w:val="nil"/>
            </w:tcBorders>
            <w:shd w:val="clear" w:color="auto" w:fill="auto"/>
            <w:noWrap/>
            <w:vAlign w:val="center"/>
            <w:hideMark/>
          </w:tcPr>
          <w:p w14:paraId="1662AD62" w14:textId="6C31A6B6"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62A2339C"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Administrative IT</w:t>
            </w:r>
          </w:p>
        </w:tc>
        <w:tc>
          <w:tcPr>
            <w:tcW w:w="992" w:type="dxa"/>
            <w:tcBorders>
              <w:top w:val="nil"/>
              <w:left w:val="nil"/>
              <w:bottom w:val="nil"/>
              <w:right w:val="nil"/>
            </w:tcBorders>
            <w:shd w:val="clear" w:color="auto" w:fill="auto"/>
            <w:vAlign w:val="center"/>
          </w:tcPr>
          <w:p w14:paraId="69A4BD81" w14:textId="47D5924C"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80,100</w:t>
            </w:r>
          </w:p>
        </w:tc>
        <w:tc>
          <w:tcPr>
            <w:tcW w:w="993" w:type="dxa"/>
            <w:tcBorders>
              <w:top w:val="nil"/>
              <w:left w:val="nil"/>
              <w:bottom w:val="nil"/>
              <w:right w:val="nil"/>
            </w:tcBorders>
            <w:shd w:val="clear" w:color="auto" w:fill="auto"/>
            <w:noWrap/>
            <w:vAlign w:val="center"/>
            <w:hideMark/>
          </w:tcPr>
          <w:p w14:paraId="03A2CB8E" w14:textId="675A42F3"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78,390</w:t>
            </w:r>
          </w:p>
        </w:tc>
        <w:tc>
          <w:tcPr>
            <w:tcW w:w="1017" w:type="dxa"/>
            <w:tcBorders>
              <w:top w:val="nil"/>
              <w:left w:val="nil"/>
              <w:bottom w:val="nil"/>
              <w:right w:val="nil"/>
            </w:tcBorders>
            <w:shd w:val="clear" w:color="auto" w:fill="auto"/>
            <w:noWrap/>
            <w:vAlign w:val="center"/>
            <w:hideMark/>
          </w:tcPr>
          <w:p w14:paraId="1767BEEF" w14:textId="0CC76036"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153,795</w:t>
            </w:r>
          </w:p>
        </w:tc>
        <w:tc>
          <w:tcPr>
            <w:tcW w:w="1109" w:type="dxa"/>
            <w:tcBorders>
              <w:top w:val="nil"/>
              <w:left w:val="nil"/>
              <w:bottom w:val="nil"/>
              <w:right w:val="nil"/>
            </w:tcBorders>
            <w:shd w:val="clear" w:color="auto" w:fill="auto"/>
            <w:noWrap/>
            <w:vAlign w:val="center"/>
            <w:hideMark/>
          </w:tcPr>
          <w:p w14:paraId="0214A115" w14:textId="57C2BBBA"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693,956</w:t>
            </w:r>
          </w:p>
        </w:tc>
        <w:tc>
          <w:tcPr>
            <w:tcW w:w="1134" w:type="dxa"/>
            <w:tcBorders>
              <w:top w:val="nil"/>
              <w:left w:val="nil"/>
              <w:bottom w:val="nil"/>
              <w:right w:val="nil"/>
            </w:tcBorders>
            <w:shd w:val="clear" w:color="auto" w:fill="auto"/>
            <w:noWrap/>
            <w:vAlign w:val="center"/>
            <w:hideMark/>
          </w:tcPr>
          <w:p w14:paraId="6C745654" w14:textId="64A8ACAE"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716,214</w:t>
            </w:r>
          </w:p>
        </w:tc>
      </w:tr>
      <w:tr w:rsidR="002C3A1A" w:rsidRPr="001715D3" w14:paraId="707982F4" w14:textId="77777777" w:rsidTr="0000700E">
        <w:trPr>
          <w:trHeight w:val="45"/>
        </w:trPr>
        <w:tc>
          <w:tcPr>
            <w:tcW w:w="1168" w:type="dxa"/>
            <w:tcBorders>
              <w:top w:val="nil"/>
              <w:left w:val="nil"/>
              <w:bottom w:val="nil"/>
              <w:right w:val="nil"/>
            </w:tcBorders>
            <w:shd w:val="clear" w:color="auto" w:fill="auto"/>
            <w:noWrap/>
            <w:vAlign w:val="center"/>
            <w:hideMark/>
          </w:tcPr>
          <w:p w14:paraId="70B66BBF" w14:textId="35F56E72"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21506B09" w14:textId="76E65E11"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 xml:space="preserve">Administrative </w:t>
            </w:r>
            <w:r w:rsidR="00203D21" w:rsidRPr="001715D3">
              <w:rPr>
                <w:rFonts w:ascii="Arial" w:hAnsi="Arial" w:cs="Arial"/>
                <w:sz w:val="16"/>
                <w:szCs w:val="18"/>
                <w:lang w:val="en-GB" w:eastAsia="en-SG"/>
              </w:rPr>
              <w:t>non</w:t>
            </w:r>
            <w:r w:rsidR="00203D21">
              <w:rPr>
                <w:rFonts w:ascii="Arial" w:hAnsi="Arial" w:cs="Arial"/>
                <w:sz w:val="16"/>
                <w:szCs w:val="18"/>
                <w:lang w:val="en-GB" w:eastAsia="en-SG"/>
              </w:rPr>
              <w:t>-</w:t>
            </w:r>
            <w:r w:rsidRPr="001715D3">
              <w:rPr>
                <w:rFonts w:ascii="Arial" w:hAnsi="Arial" w:cs="Arial"/>
                <w:sz w:val="16"/>
                <w:szCs w:val="18"/>
                <w:lang w:val="en-GB" w:eastAsia="en-SG"/>
              </w:rPr>
              <w:t>IT</w:t>
            </w:r>
          </w:p>
        </w:tc>
        <w:tc>
          <w:tcPr>
            <w:tcW w:w="992" w:type="dxa"/>
            <w:tcBorders>
              <w:top w:val="nil"/>
              <w:left w:val="nil"/>
              <w:bottom w:val="nil"/>
              <w:right w:val="nil"/>
            </w:tcBorders>
            <w:shd w:val="clear" w:color="auto" w:fill="auto"/>
            <w:vAlign w:val="center"/>
          </w:tcPr>
          <w:p w14:paraId="575C0333" w14:textId="239AE016"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344,551</w:t>
            </w:r>
          </w:p>
        </w:tc>
        <w:tc>
          <w:tcPr>
            <w:tcW w:w="993" w:type="dxa"/>
            <w:tcBorders>
              <w:top w:val="nil"/>
              <w:left w:val="nil"/>
              <w:bottom w:val="nil"/>
              <w:right w:val="nil"/>
            </w:tcBorders>
            <w:shd w:val="clear" w:color="auto" w:fill="auto"/>
            <w:noWrap/>
            <w:vAlign w:val="center"/>
            <w:hideMark/>
          </w:tcPr>
          <w:p w14:paraId="2526FA6F" w14:textId="07936936"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397,556</w:t>
            </w:r>
          </w:p>
        </w:tc>
        <w:tc>
          <w:tcPr>
            <w:tcW w:w="1017" w:type="dxa"/>
            <w:tcBorders>
              <w:top w:val="nil"/>
              <w:left w:val="nil"/>
              <w:bottom w:val="nil"/>
              <w:right w:val="nil"/>
            </w:tcBorders>
            <w:shd w:val="clear" w:color="auto" w:fill="auto"/>
            <w:noWrap/>
            <w:vAlign w:val="center"/>
            <w:hideMark/>
          </w:tcPr>
          <w:p w14:paraId="636236B5" w14:textId="3D37FF74"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571,703</w:t>
            </w:r>
          </w:p>
        </w:tc>
        <w:tc>
          <w:tcPr>
            <w:tcW w:w="1109" w:type="dxa"/>
            <w:tcBorders>
              <w:top w:val="nil"/>
              <w:left w:val="nil"/>
              <w:bottom w:val="nil"/>
              <w:right w:val="nil"/>
            </w:tcBorders>
            <w:shd w:val="clear" w:color="auto" w:fill="auto"/>
            <w:noWrap/>
            <w:vAlign w:val="center"/>
            <w:hideMark/>
          </w:tcPr>
          <w:p w14:paraId="49D9BB69" w14:textId="77777777" w:rsidR="004E3285" w:rsidRPr="001715D3" w:rsidRDefault="004E3285"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hideMark/>
          </w:tcPr>
          <w:p w14:paraId="40F77613" w14:textId="77777777" w:rsidR="004E3285" w:rsidRPr="001715D3" w:rsidRDefault="004E3285" w:rsidP="00A24F2F">
            <w:pPr>
              <w:jc w:val="right"/>
              <w:rPr>
                <w:rFonts w:ascii="Arial" w:hAnsi="Arial" w:cs="Arial"/>
                <w:sz w:val="16"/>
                <w:szCs w:val="18"/>
                <w:lang w:val="en-GB" w:eastAsia="en-SG"/>
              </w:rPr>
            </w:pPr>
          </w:p>
        </w:tc>
      </w:tr>
      <w:tr w:rsidR="002C3A1A" w:rsidRPr="001715D3" w14:paraId="7AB7D9F9" w14:textId="77777777" w:rsidTr="0000700E">
        <w:trPr>
          <w:trHeight w:val="43"/>
        </w:trPr>
        <w:tc>
          <w:tcPr>
            <w:tcW w:w="1168" w:type="dxa"/>
            <w:tcBorders>
              <w:top w:val="nil"/>
              <w:left w:val="nil"/>
              <w:bottom w:val="nil"/>
              <w:right w:val="nil"/>
            </w:tcBorders>
            <w:shd w:val="clear" w:color="auto" w:fill="auto"/>
            <w:noWrap/>
            <w:vAlign w:val="center"/>
            <w:hideMark/>
          </w:tcPr>
          <w:p w14:paraId="00A1B27F" w14:textId="284FDFE1"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56495C52"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Restructuring cost</w:t>
            </w:r>
          </w:p>
        </w:tc>
        <w:tc>
          <w:tcPr>
            <w:tcW w:w="992" w:type="dxa"/>
            <w:tcBorders>
              <w:top w:val="nil"/>
              <w:left w:val="nil"/>
              <w:bottom w:val="nil"/>
              <w:right w:val="nil"/>
            </w:tcBorders>
            <w:shd w:val="clear" w:color="auto" w:fill="auto"/>
            <w:vAlign w:val="center"/>
          </w:tcPr>
          <w:p w14:paraId="4150EAD1" w14:textId="21BFBB8E" w:rsidR="004E3285" w:rsidRPr="001715D3" w:rsidRDefault="00455BF8" w:rsidP="00A24F2F">
            <w:pPr>
              <w:jc w:val="right"/>
              <w:rPr>
                <w:rFonts w:ascii="Arial" w:hAnsi="Arial" w:cs="Arial"/>
                <w:sz w:val="16"/>
                <w:szCs w:val="18"/>
                <w:lang w:val="en-GB" w:eastAsia="en-SG"/>
              </w:rPr>
            </w:pPr>
            <w:r w:rsidRPr="001715D3">
              <w:rPr>
                <w:rFonts w:ascii="Arial" w:hAnsi="Arial" w:cs="Arial"/>
                <w:sz w:val="16"/>
                <w:szCs w:val="18"/>
                <w:lang w:val="en-GB" w:eastAsia="en-SG"/>
              </w:rPr>
              <w:t>-</w:t>
            </w:r>
          </w:p>
        </w:tc>
        <w:tc>
          <w:tcPr>
            <w:tcW w:w="993" w:type="dxa"/>
            <w:tcBorders>
              <w:top w:val="nil"/>
              <w:left w:val="nil"/>
              <w:bottom w:val="nil"/>
              <w:right w:val="nil"/>
            </w:tcBorders>
            <w:shd w:val="clear" w:color="auto" w:fill="auto"/>
            <w:noWrap/>
            <w:vAlign w:val="center"/>
            <w:hideMark/>
          </w:tcPr>
          <w:p w14:paraId="576799BE" w14:textId="538AF05B" w:rsidR="004E3285" w:rsidRPr="001715D3" w:rsidRDefault="00455BF8" w:rsidP="00A24F2F">
            <w:pPr>
              <w:jc w:val="right"/>
              <w:rPr>
                <w:rFonts w:ascii="Arial" w:hAnsi="Arial" w:cs="Arial"/>
                <w:sz w:val="16"/>
                <w:szCs w:val="18"/>
                <w:lang w:val="en-GB" w:eastAsia="en-SG"/>
              </w:rPr>
            </w:pPr>
            <w:r w:rsidRPr="001715D3">
              <w:rPr>
                <w:rFonts w:ascii="Arial" w:hAnsi="Arial" w:cs="Arial"/>
                <w:sz w:val="16"/>
                <w:szCs w:val="18"/>
                <w:lang w:val="en-GB" w:eastAsia="en-SG"/>
              </w:rPr>
              <w:t>-</w:t>
            </w:r>
          </w:p>
        </w:tc>
        <w:tc>
          <w:tcPr>
            <w:tcW w:w="1017" w:type="dxa"/>
            <w:tcBorders>
              <w:top w:val="nil"/>
              <w:left w:val="nil"/>
              <w:bottom w:val="nil"/>
              <w:right w:val="nil"/>
            </w:tcBorders>
            <w:shd w:val="clear" w:color="auto" w:fill="auto"/>
            <w:noWrap/>
            <w:vAlign w:val="center"/>
            <w:hideMark/>
          </w:tcPr>
          <w:p w14:paraId="3C81FF2A" w14:textId="1B4C934E"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8,645</w:t>
            </w:r>
          </w:p>
        </w:tc>
        <w:tc>
          <w:tcPr>
            <w:tcW w:w="1109" w:type="dxa"/>
            <w:tcBorders>
              <w:top w:val="nil"/>
              <w:left w:val="nil"/>
              <w:bottom w:val="nil"/>
              <w:right w:val="nil"/>
            </w:tcBorders>
            <w:shd w:val="clear" w:color="auto" w:fill="auto"/>
            <w:noWrap/>
            <w:vAlign w:val="center"/>
            <w:hideMark/>
          </w:tcPr>
          <w:p w14:paraId="6226D2BC" w14:textId="63BBE5A2"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29,147</w:t>
            </w:r>
          </w:p>
        </w:tc>
        <w:tc>
          <w:tcPr>
            <w:tcW w:w="1134" w:type="dxa"/>
            <w:tcBorders>
              <w:top w:val="nil"/>
              <w:left w:val="nil"/>
              <w:bottom w:val="nil"/>
              <w:right w:val="nil"/>
            </w:tcBorders>
            <w:shd w:val="clear" w:color="auto" w:fill="auto"/>
            <w:noWrap/>
            <w:vAlign w:val="center"/>
            <w:hideMark/>
          </w:tcPr>
          <w:p w14:paraId="066F6665" w14:textId="1433AEA0" w:rsidR="004E3285" w:rsidRPr="001715D3" w:rsidRDefault="00455BF8" w:rsidP="00A24F2F">
            <w:pPr>
              <w:jc w:val="right"/>
              <w:rPr>
                <w:rFonts w:ascii="Arial" w:hAnsi="Arial" w:cs="Arial"/>
                <w:sz w:val="16"/>
                <w:szCs w:val="18"/>
                <w:lang w:val="en-GB" w:eastAsia="en-SG"/>
              </w:rPr>
            </w:pPr>
            <w:r w:rsidRPr="001715D3">
              <w:rPr>
                <w:rFonts w:ascii="Arial" w:hAnsi="Arial" w:cs="Arial"/>
                <w:sz w:val="16"/>
                <w:szCs w:val="18"/>
                <w:lang w:val="en-GB" w:eastAsia="en-SG"/>
              </w:rPr>
              <w:t>-</w:t>
            </w:r>
          </w:p>
        </w:tc>
      </w:tr>
      <w:tr w:rsidR="002C3A1A" w:rsidRPr="001715D3" w14:paraId="5D54F9C6" w14:textId="77777777" w:rsidTr="0000700E">
        <w:trPr>
          <w:trHeight w:val="43"/>
        </w:trPr>
        <w:tc>
          <w:tcPr>
            <w:tcW w:w="1168" w:type="dxa"/>
            <w:tcBorders>
              <w:top w:val="nil"/>
              <w:left w:val="nil"/>
              <w:bottom w:val="nil"/>
              <w:right w:val="nil"/>
            </w:tcBorders>
            <w:shd w:val="clear" w:color="auto" w:fill="auto"/>
            <w:noWrap/>
            <w:vAlign w:val="center"/>
            <w:hideMark/>
          </w:tcPr>
          <w:p w14:paraId="7A3228E1" w14:textId="3A6570F0"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715730A7"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Finance</w:t>
            </w:r>
          </w:p>
        </w:tc>
        <w:tc>
          <w:tcPr>
            <w:tcW w:w="992" w:type="dxa"/>
            <w:tcBorders>
              <w:top w:val="nil"/>
              <w:left w:val="nil"/>
              <w:bottom w:val="nil"/>
              <w:right w:val="nil"/>
            </w:tcBorders>
            <w:shd w:val="clear" w:color="auto" w:fill="auto"/>
            <w:vAlign w:val="center"/>
          </w:tcPr>
          <w:p w14:paraId="24490539" w14:textId="60AA6F0B"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125,503</w:t>
            </w:r>
          </w:p>
        </w:tc>
        <w:tc>
          <w:tcPr>
            <w:tcW w:w="993" w:type="dxa"/>
            <w:tcBorders>
              <w:top w:val="nil"/>
              <w:left w:val="nil"/>
              <w:bottom w:val="nil"/>
              <w:right w:val="nil"/>
            </w:tcBorders>
            <w:shd w:val="clear" w:color="auto" w:fill="auto"/>
            <w:noWrap/>
            <w:vAlign w:val="center"/>
            <w:hideMark/>
          </w:tcPr>
          <w:p w14:paraId="38F26CAE" w14:textId="0572DA42"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138,954</w:t>
            </w:r>
          </w:p>
        </w:tc>
        <w:tc>
          <w:tcPr>
            <w:tcW w:w="1017" w:type="dxa"/>
            <w:tcBorders>
              <w:top w:val="nil"/>
              <w:left w:val="nil"/>
              <w:bottom w:val="nil"/>
              <w:right w:val="nil"/>
            </w:tcBorders>
            <w:shd w:val="clear" w:color="auto" w:fill="auto"/>
            <w:noWrap/>
            <w:vAlign w:val="center"/>
            <w:hideMark/>
          </w:tcPr>
          <w:p w14:paraId="47402C59" w14:textId="222BC09D"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45,240</w:t>
            </w:r>
          </w:p>
        </w:tc>
        <w:tc>
          <w:tcPr>
            <w:tcW w:w="1109" w:type="dxa"/>
            <w:tcBorders>
              <w:top w:val="nil"/>
              <w:left w:val="nil"/>
              <w:bottom w:val="nil"/>
              <w:right w:val="nil"/>
            </w:tcBorders>
            <w:shd w:val="clear" w:color="auto" w:fill="auto"/>
            <w:noWrap/>
            <w:vAlign w:val="center"/>
            <w:hideMark/>
          </w:tcPr>
          <w:p w14:paraId="03F223B5" w14:textId="03890814"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75,272</w:t>
            </w:r>
          </w:p>
        </w:tc>
        <w:tc>
          <w:tcPr>
            <w:tcW w:w="1134" w:type="dxa"/>
            <w:tcBorders>
              <w:top w:val="nil"/>
              <w:left w:val="nil"/>
              <w:bottom w:val="nil"/>
              <w:right w:val="nil"/>
            </w:tcBorders>
            <w:shd w:val="clear" w:color="auto" w:fill="auto"/>
            <w:noWrap/>
            <w:vAlign w:val="center"/>
            <w:hideMark/>
          </w:tcPr>
          <w:p w14:paraId="7B509444" w14:textId="3B078DDB"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56,149</w:t>
            </w:r>
          </w:p>
        </w:tc>
      </w:tr>
      <w:tr w:rsidR="002C3A1A" w:rsidRPr="001715D3" w14:paraId="6476CFE7" w14:textId="77777777" w:rsidTr="0000700E">
        <w:trPr>
          <w:trHeight w:val="43"/>
        </w:trPr>
        <w:tc>
          <w:tcPr>
            <w:tcW w:w="1168" w:type="dxa"/>
            <w:tcBorders>
              <w:top w:val="nil"/>
              <w:left w:val="nil"/>
              <w:bottom w:val="nil"/>
              <w:right w:val="nil"/>
            </w:tcBorders>
            <w:shd w:val="clear" w:color="auto" w:fill="auto"/>
            <w:noWrap/>
            <w:vAlign w:val="center"/>
            <w:hideMark/>
          </w:tcPr>
          <w:p w14:paraId="1FFF118D" w14:textId="2BD9D2F1"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175101ED" w14:textId="4B7190B0"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Other operations</w:t>
            </w:r>
          </w:p>
        </w:tc>
        <w:tc>
          <w:tcPr>
            <w:tcW w:w="992" w:type="dxa"/>
            <w:tcBorders>
              <w:top w:val="nil"/>
              <w:left w:val="nil"/>
              <w:bottom w:val="nil"/>
              <w:right w:val="nil"/>
            </w:tcBorders>
            <w:shd w:val="clear" w:color="auto" w:fill="auto"/>
            <w:vAlign w:val="center"/>
          </w:tcPr>
          <w:p w14:paraId="3AB787BA" w14:textId="5E7E2CDC"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55,834</w:t>
            </w:r>
          </w:p>
        </w:tc>
        <w:tc>
          <w:tcPr>
            <w:tcW w:w="993" w:type="dxa"/>
            <w:tcBorders>
              <w:top w:val="nil"/>
              <w:left w:val="nil"/>
              <w:bottom w:val="nil"/>
              <w:right w:val="nil"/>
            </w:tcBorders>
            <w:shd w:val="clear" w:color="auto" w:fill="auto"/>
            <w:noWrap/>
            <w:vAlign w:val="center"/>
            <w:hideMark/>
          </w:tcPr>
          <w:p w14:paraId="19C3A150" w14:textId="298BCE70"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60,070</w:t>
            </w:r>
          </w:p>
        </w:tc>
        <w:tc>
          <w:tcPr>
            <w:tcW w:w="1017" w:type="dxa"/>
            <w:tcBorders>
              <w:top w:val="nil"/>
              <w:left w:val="nil"/>
              <w:bottom w:val="nil"/>
              <w:right w:val="nil"/>
            </w:tcBorders>
            <w:shd w:val="clear" w:color="auto" w:fill="auto"/>
            <w:noWrap/>
            <w:vAlign w:val="center"/>
            <w:hideMark/>
          </w:tcPr>
          <w:p w14:paraId="01104718" w14:textId="737B6258"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58,372</w:t>
            </w:r>
          </w:p>
        </w:tc>
        <w:tc>
          <w:tcPr>
            <w:tcW w:w="1109" w:type="dxa"/>
            <w:tcBorders>
              <w:top w:val="nil"/>
              <w:left w:val="nil"/>
              <w:bottom w:val="nil"/>
              <w:right w:val="nil"/>
            </w:tcBorders>
            <w:shd w:val="clear" w:color="auto" w:fill="auto"/>
            <w:noWrap/>
            <w:vAlign w:val="center"/>
            <w:hideMark/>
          </w:tcPr>
          <w:p w14:paraId="68840CB4" w14:textId="5F78CAFE"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115,349</w:t>
            </w:r>
          </w:p>
        </w:tc>
        <w:tc>
          <w:tcPr>
            <w:tcW w:w="1134" w:type="dxa"/>
            <w:tcBorders>
              <w:top w:val="nil"/>
              <w:left w:val="nil"/>
              <w:bottom w:val="nil"/>
              <w:right w:val="nil"/>
            </w:tcBorders>
            <w:shd w:val="clear" w:color="auto" w:fill="auto"/>
            <w:noWrap/>
            <w:vAlign w:val="center"/>
            <w:hideMark/>
          </w:tcPr>
          <w:p w14:paraId="2CE83CF2" w14:textId="38106A62"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75,211</w:t>
            </w:r>
          </w:p>
        </w:tc>
      </w:tr>
      <w:tr w:rsidR="002C3A1A" w:rsidRPr="001715D3" w14:paraId="77B0768B" w14:textId="77777777" w:rsidTr="0000700E">
        <w:trPr>
          <w:trHeight w:val="43"/>
        </w:trPr>
        <w:tc>
          <w:tcPr>
            <w:tcW w:w="4003" w:type="dxa"/>
            <w:gridSpan w:val="2"/>
            <w:tcBorders>
              <w:top w:val="nil"/>
              <w:left w:val="nil"/>
              <w:bottom w:val="nil"/>
              <w:right w:val="nil"/>
            </w:tcBorders>
            <w:shd w:val="clear" w:color="auto" w:fill="auto"/>
            <w:noWrap/>
            <w:vAlign w:val="center"/>
            <w:hideMark/>
          </w:tcPr>
          <w:p w14:paraId="3D12AF67"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Share of results of associated companies</w:t>
            </w:r>
          </w:p>
        </w:tc>
        <w:tc>
          <w:tcPr>
            <w:tcW w:w="992" w:type="dxa"/>
            <w:tcBorders>
              <w:top w:val="nil"/>
              <w:left w:val="nil"/>
              <w:bottom w:val="nil"/>
              <w:right w:val="nil"/>
            </w:tcBorders>
            <w:shd w:val="clear" w:color="auto" w:fill="auto"/>
            <w:vAlign w:val="center"/>
          </w:tcPr>
          <w:p w14:paraId="5804AC17" w14:textId="68CE11F5"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5,055</w:t>
            </w:r>
          </w:p>
        </w:tc>
        <w:tc>
          <w:tcPr>
            <w:tcW w:w="993" w:type="dxa"/>
            <w:tcBorders>
              <w:top w:val="nil"/>
              <w:left w:val="nil"/>
              <w:bottom w:val="nil"/>
              <w:right w:val="nil"/>
            </w:tcBorders>
            <w:shd w:val="clear" w:color="auto" w:fill="auto"/>
            <w:noWrap/>
            <w:vAlign w:val="center"/>
            <w:hideMark/>
          </w:tcPr>
          <w:p w14:paraId="10DFDE22" w14:textId="13B3AE43"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1,559</w:t>
            </w:r>
          </w:p>
        </w:tc>
        <w:tc>
          <w:tcPr>
            <w:tcW w:w="1017" w:type="dxa"/>
            <w:tcBorders>
              <w:top w:val="nil"/>
              <w:left w:val="nil"/>
              <w:bottom w:val="nil"/>
              <w:right w:val="nil"/>
            </w:tcBorders>
            <w:shd w:val="clear" w:color="auto" w:fill="auto"/>
            <w:noWrap/>
            <w:vAlign w:val="center"/>
            <w:hideMark/>
          </w:tcPr>
          <w:p w14:paraId="77597E6A"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7,572</w:t>
            </w:r>
          </w:p>
        </w:tc>
        <w:tc>
          <w:tcPr>
            <w:tcW w:w="1109" w:type="dxa"/>
            <w:tcBorders>
              <w:top w:val="nil"/>
              <w:left w:val="nil"/>
              <w:bottom w:val="nil"/>
              <w:right w:val="nil"/>
            </w:tcBorders>
            <w:shd w:val="clear" w:color="auto" w:fill="auto"/>
            <w:noWrap/>
            <w:vAlign w:val="center"/>
            <w:hideMark/>
          </w:tcPr>
          <w:p w14:paraId="3F538DF6"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9,035</w:t>
            </w:r>
          </w:p>
        </w:tc>
        <w:tc>
          <w:tcPr>
            <w:tcW w:w="1134" w:type="dxa"/>
            <w:tcBorders>
              <w:top w:val="nil"/>
              <w:left w:val="nil"/>
              <w:bottom w:val="nil"/>
              <w:right w:val="nil"/>
            </w:tcBorders>
            <w:shd w:val="clear" w:color="auto" w:fill="auto"/>
            <w:noWrap/>
            <w:vAlign w:val="center"/>
            <w:hideMark/>
          </w:tcPr>
          <w:p w14:paraId="0379EE1D"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8,437</w:t>
            </w:r>
          </w:p>
        </w:tc>
      </w:tr>
      <w:tr w:rsidR="002C3A1A" w:rsidRPr="001715D3" w14:paraId="2C7B2A47" w14:textId="77777777" w:rsidTr="0000700E">
        <w:trPr>
          <w:trHeight w:val="43"/>
        </w:trPr>
        <w:tc>
          <w:tcPr>
            <w:tcW w:w="4003" w:type="dxa"/>
            <w:gridSpan w:val="2"/>
            <w:tcBorders>
              <w:top w:val="nil"/>
              <w:left w:val="nil"/>
              <w:bottom w:val="nil"/>
              <w:right w:val="nil"/>
            </w:tcBorders>
            <w:shd w:val="clear" w:color="auto" w:fill="auto"/>
            <w:noWrap/>
            <w:vAlign w:val="center"/>
            <w:hideMark/>
          </w:tcPr>
          <w:p w14:paraId="47C0B28C"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Share of results of joint ventures</w:t>
            </w:r>
          </w:p>
        </w:tc>
        <w:tc>
          <w:tcPr>
            <w:tcW w:w="992" w:type="dxa"/>
            <w:tcBorders>
              <w:top w:val="nil"/>
              <w:left w:val="nil"/>
              <w:bottom w:val="nil"/>
              <w:right w:val="nil"/>
            </w:tcBorders>
            <w:shd w:val="clear" w:color="auto" w:fill="auto"/>
            <w:vAlign w:val="center"/>
          </w:tcPr>
          <w:p w14:paraId="3D98BBB7" w14:textId="1DBB1EDE" w:rsidR="004E3285"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2,632</w:t>
            </w:r>
          </w:p>
        </w:tc>
        <w:tc>
          <w:tcPr>
            <w:tcW w:w="993" w:type="dxa"/>
            <w:tcBorders>
              <w:top w:val="nil"/>
              <w:left w:val="nil"/>
              <w:bottom w:val="nil"/>
              <w:right w:val="nil"/>
            </w:tcBorders>
            <w:shd w:val="clear" w:color="auto" w:fill="auto"/>
            <w:noWrap/>
            <w:vAlign w:val="center"/>
            <w:hideMark/>
          </w:tcPr>
          <w:p w14:paraId="468E8F08" w14:textId="11D98F13"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1,798</w:t>
            </w:r>
          </w:p>
        </w:tc>
        <w:tc>
          <w:tcPr>
            <w:tcW w:w="1017" w:type="dxa"/>
            <w:tcBorders>
              <w:top w:val="nil"/>
              <w:left w:val="nil"/>
              <w:bottom w:val="nil"/>
              <w:right w:val="nil"/>
            </w:tcBorders>
            <w:shd w:val="clear" w:color="auto" w:fill="auto"/>
            <w:noWrap/>
            <w:vAlign w:val="center"/>
            <w:hideMark/>
          </w:tcPr>
          <w:p w14:paraId="66120E81"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545</w:t>
            </w:r>
          </w:p>
        </w:tc>
        <w:tc>
          <w:tcPr>
            <w:tcW w:w="1109" w:type="dxa"/>
            <w:tcBorders>
              <w:top w:val="nil"/>
              <w:left w:val="nil"/>
              <w:bottom w:val="nil"/>
              <w:right w:val="nil"/>
            </w:tcBorders>
            <w:shd w:val="clear" w:color="auto" w:fill="auto"/>
            <w:noWrap/>
            <w:vAlign w:val="center"/>
            <w:hideMark/>
          </w:tcPr>
          <w:p w14:paraId="5DC35A94"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364</w:t>
            </w:r>
          </w:p>
        </w:tc>
        <w:tc>
          <w:tcPr>
            <w:tcW w:w="1134" w:type="dxa"/>
            <w:tcBorders>
              <w:top w:val="nil"/>
              <w:left w:val="nil"/>
              <w:bottom w:val="nil"/>
              <w:right w:val="nil"/>
            </w:tcBorders>
            <w:shd w:val="clear" w:color="auto" w:fill="auto"/>
            <w:noWrap/>
            <w:vAlign w:val="center"/>
            <w:hideMark/>
          </w:tcPr>
          <w:p w14:paraId="2A76D94D" w14:textId="77777777" w:rsidR="004E3285" w:rsidRPr="001715D3" w:rsidRDefault="004E3285" w:rsidP="00A24F2F">
            <w:pPr>
              <w:jc w:val="right"/>
              <w:rPr>
                <w:rFonts w:ascii="Arial" w:hAnsi="Arial" w:cs="Arial"/>
                <w:sz w:val="16"/>
                <w:szCs w:val="18"/>
                <w:lang w:val="en-GB" w:eastAsia="en-SG"/>
              </w:rPr>
            </w:pPr>
            <w:r w:rsidRPr="001715D3">
              <w:rPr>
                <w:rFonts w:ascii="Arial" w:hAnsi="Arial" w:cs="Arial"/>
                <w:sz w:val="16"/>
                <w:szCs w:val="18"/>
                <w:lang w:val="en-GB" w:eastAsia="en-SG"/>
              </w:rPr>
              <w:t>1,017</w:t>
            </w:r>
          </w:p>
        </w:tc>
      </w:tr>
      <w:tr w:rsidR="002C3A1A" w:rsidRPr="001715D3" w14:paraId="205AF699" w14:textId="77777777" w:rsidTr="0000700E">
        <w:trPr>
          <w:trHeight w:val="74"/>
        </w:trPr>
        <w:tc>
          <w:tcPr>
            <w:tcW w:w="4003" w:type="dxa"/>
            <w:gridSpan w:val="2"/>
            <w:tcBorders>
              <w:top w:val="nil"/>
              <w:left w:val="nil"/>
              <w:bottom w:val="nil"/>
              <w:right w:val="nil"/>
            </w:tcBorders>
            <w:shd w:val="clear" w:color="auto" w:fill="auto"/>
            <w:noWrap/>
            <w:vAlign w:val="center"/>
            <w:hideMark/>
          </w:tcPr>
          <w:p w14:paraId="0C11AE54"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Loss before income tax</w:t>
            </w:r>
          </w:p>
        </w:tc>
        <w:tc>
          <w:tcPr>
            <w:tcW w:w="992" w:type="dxa"/>
            <w:tcBorders>
              <w:top w:val="nil"/>
              <w:left w:val="nil"/>
              <w:bottom w:val="nil"/>
              <w:right w:val="nil"/>
            </w:tcBorders>
            <w:shd w:val="clear" w:color="auto" w:fill="auto"/>
            <w:vAlign w:val="center"/>
          </w:tcPr>
          <w:p w14:paraId="184ECE7F" w14:textId="4493D479"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217,700</w:t>
            </w:r>
          </w:p>
        </w:tc>
        <w:tc>
          <w:tcPr>
            <w:tcW w:w="993" w:type="dxa"/>
            <w:tcBorders>
              <w:top w:val="nil"/>
              <w:left w:val="nil"/>
              <w:bottom w:val="nil"/>
              <w:right w:val="nil"/>
            </w:tcBorders>
            <w:shd w:val="clear" w:color="auto" w:fill="auto"/>
            <w:noWrap/>
            <w:vAlign w:val="center"/>
            <w:hideMark/>
          </w:tcPr>
          <w:p w14:paraId="1D597966" w14:textId="764AF215"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351,262</w:t>
            </w:r>
          </w:p>
        </w:tc>
        <w:tc>
          <w:tcPr>
            <w:tcW w:w="1017" w:type="dxa"/>
            <w:tcBorders>
              <w:top w:val="nil"/>
              <w:left w:val="nil"/>
              <w:bottom w:val="nil"/>
              <w:right w:val="nil"/>
            </w:tcBorders>
            <w:shd w:val="clear" w:color="auto" w:fill="auto"/>
            <w:noWrap/>
            <w:vAlign w:val="center"/>
            <w:hideMark/>
          </w:tcPr>
          <w:p w14:paraId="0C931054" w14:textId="3435FE73"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15,837</w:t>
            </w:r>
          </w:p>
        </w:tc>
        <w:tc>
          <w:tcPr>
            <w:tcW w:w="1109" w:type="dxa"/>
            <w:tcBorders>
              <w:top w:val="nil"/>
              <w:left w:val="nil"/>
              <w:bottom w:val="nil"/>
              <w:right w:val="nil"/>
            </w:tcBorders>
            <w:shd w:val="clear" w:color="auto" w:fill="auto"/>
            <w:noWrap/>
            <w:vAlign w:val="center"/>
            <w:hideMark/>
          </w:tcPr>
          <w:p w14:paraId="00E62AEE" w14:textId="166F4E22"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360,773</w:t>
            </w:r>
          </w:p>
        </w:tc>
        <w:tc>
          <w:tcPr>
            <w:tcW w:w="1134" w:type="dxa"/>
            <w:tcBorders>
              <w:top w:val="nil"/>
              <w:left w:val="nil"/>
              <w:bottom w:val="nil"/>
              <w:right w:val="nil"/>
            </w:tcBorders>
            <w:shd w:val="clear" w:color="auto" w:fill="auto"/>
            <w:noWrap/>
            <w:vAlign w:val="center"/>
            <w:hideMark/>
          </w:tcPr>
          <w:p w14:paraId="190999B8" w14:textId="47152559"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428,935</w:t>
            </w:r>
          </w:p>
        </w:tc>
      </w:tr>
      <w:tr w:rsidR="002C3A1A" w:rsidRPr="001715D3" w14:paraId="1CF791B8" w14:textId="77777777" w:rsidTr="0000700E">
        <w:trPr>
          <w:trHeight w:val="43"/>
        </w:trPr>
        <w:tc>
          <w:tcPr>
            <w:tcW w:w="4003" w:type="dxa"/>
            <w:gridSpan w:val="2"/>
            <w:tcBorders>
              <w:top w:val="nil"/>
              <w:left w:val="nil"/>
              <w:bottom w:val="nil"/>
              <w:right w:val="nil"/>
            </w:tcBorders>
            <w:shd w:val="clear" w:color="auto" w:fill="auto"/>
            <w:noWrap/>
            <w:vAlign w:val="center"/>
            <w:hideMark/>
          </w:tcPr>
          <w:p w14:paraId="5CB306E3" w14:textId="77777777" w:rsidR="004E3285" w:rsidRPr="001715D3" w:rsidRDefault="004E3285" w:rsidP="00A24F2F">
            <w:pPr>
              <w:rPr>
                <w:rFonts w:ascii="Arial" w:hAnsi="Arial" w:cs="Arial"/>
                <w:sz w:val="16"/>
                <w:szCs w:val="18"/>
                <w:lang w:val="en-GB" w:eastAsia="en-SG"/>
              </w:rPr>
            </w:pPr>
            <w:r w:rsidRPr="001715D3">
              <w:rPr>
                <w:rFonts w:ascii="Arial" w:hAnsi="Arial" w:cs="Arial"/>
                <w:sz w:val="16"/>
                <w:szCs w:val="18"/>
                <w:lang w:val="en-GB" w:eastAsia="en-SG"/>
              </w:rPr>
              <w:t>Income tax expense</w:t>
            </w:r>
          </w:p>
        </w:tc>
        <w:tc>
          <w:tcPr>
            <w:tcW w:w="992" w:type="dxa"/>
            <w:tcBorders>
              <w:top w:val="nil"/>
              <w:left w:val="nil"/>
              <w:bottom w:val="nil"/>
              <w:right w:val="nil"/>
            </w:tcBorders>
            <w:shd w:val="clear" w:color="auto" w:fill="auto"/>
            <w:vAlign w:val="center"/>
          </w:tcPr>
          <w:p w14:paraId="239C2C1A" w14:textId="1146AD9D"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1,170</w:t>
            </w:r>
          </w:p>
        </w:tc>
        <w:tc>
          <w:tcPr>
            <w:tcW w:w="993" w:type="dxa"/>
            <w:tcBorders>
              <w:top w:val="nil"/>
              <w:left w:val="nil"/>
              <w:bottom w:val="nil"/>
              <w:right w:val="nil"/>
            </w:tcBorders>
            <w:shd w:val="clear" w:color="auto" w:fill="auto"/>
            <w:noWrap/>
            <w:vAlign w:val="center"/>
            <w:hideMark/>
          </w:tcPr>
          <w:p w14:paraId="5B1C169B" w14:textId="5F7F1130"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20,502</w:t>
            </w:r>
          </w:p>
        </w:tc>
        <w:tc>
          <w:tcPr>
            <w:tcW w:w="1017" w:type="dxa"/>
            <w:tcBorders>
              <w:top w:val="nil"/>
              <w:left w:val="nil"/>
              <w:bottom w:val="nil"/>
              <w:right w:val="nil"/>
            </w:tcBorders>
            <w:shd w:val="clear" w:color="auto" w:fill="auto"/>
            <w:noWrap/>
            <w:vAlign w:val="center"/>
            <w:hideMark/>
          </w:tcPr>
          <w:p w14:paraId="5F9C1C43" w14:textId="28C33E46"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56,131</w:t>
            </w:r>
          </w:p>
        </w:tc>
        <w:tc>
          <w:tcPr>
            <w:tcW w:w="1109" w:type="dxa"/>
            <w:tcBorders>
              <w:top w:val="nil"/>
              <w:left w:val="nil"/>
              <w:bottom w:val="nil"/>
              <w:right w:val="nil"/>
            </w:tcBorders>
            <w:shd w:val="clear" w:color="auto" w:fill="auto"/>
            <w:noWrap/>
            <w:vAlign w:val="center"/>
            <w:hideMark/>
          </w:tcPr>
          <w:p w14:paraId="02F51C06" w14:textId="6538C31E"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52,908</w:t>
            </w:r>
          </w:p>
        </w:tc>
        <w:tc>
          <w:tcPr>
            <w:tcW w:w="1134" w:type="dxa"/>
            <w:tcBorders>
              <w:top w:val="nil"/>
              <w:left w:val="nil"/>
              <w:bottom w:val="nil"/>
              <w:right w:val="nil"/>
            </w:tcBorders>
            <w:shd w:val="clear" w:color="auto" w:fill="auto"/>
            <w:noWrap/>
            <w:vAlign w:val="center"/>
            <w:hideMark/>
          </w:tcPr>
          <w:p w14:paraId="1040B1F4" w14:textId="4DA23EDF" w:rsidR="004E3285"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E3285" w:rsidRPr="001715D3">
              <w:rPr>
                <w:rFonts w:ascii="Arial" w:hAnsi="Arial" w:cs="Arial"/>
                <w:sz w:val="16"/>
                <w:szCs w:val="18"/>
                <w:lang w:val="en-GB" w:eastAsia="en-SG"/>
              </w:rPr>
              <w:t>44,997</w:t>
            </w:r>
          </w:p>
        </w:tc>
      </w:tr>
      <w:tr w:rsidR="002C3A1A" w:rsidRPr="001715D3" w14:paraId="58FE3381" w14:textId="77777777" w:rsidTr="0000700E">
        <w:trPr>
          <w:trHeight w:val="43"/>
        </w:trPr>
        <w:tc>
          <w:tcPr>
            <w:tcW w:w="4003" w:type="dxa"/>
            <w:gridSpan w:val="2"/>
            <w:tcBorders>
              <w:top w:val="nil"/>
              <w:left w:val="nil"/>
              <w:bottom w:val="nil"/>
              <w:right w:val="nil"/>
            </w:tcBorders>
            <w:shd w:val="clear" w:color="auto" w:fill="auto"/>
            <w:noWrap/>
            <w:vAlign w:val="center"/>
          </w:tcPr>
          <w:p w14:paraId="7E458834" w14:textId="10A85FA9" w:rsidR="00660433" w:rsidRPr="001715D3" w:rsidRDefault="00660433" w:rsidP="00A24F2F">
            <w:pPr>
              <w:rPr>
                <w:rFonts w:ascii="Arial" w:hAnsi="Arial" w:cs="Arial"/>
                <w:b/>
                <w:bCs/>
                <w:sz w:val="16"/>
                <w:szCs w:val="18"/>
                <w:lang w:val="en-GB" w:eastAsia="en-SG"/>
              </w:rPr>
            </w:pPr>
            <w:r w:rsidRPr="001715D3">
              <w:rPr>
                <w:rFonts w:ascii="Arial" w:hAnsi="Arial" w:cs="Arial"/>
                <w:b/>
                <w:bCs/>
                <w:sz w:val="16"/>
                <w:szCs w:val="18"/>
                <w:lang w:val="en-GB" w:eastAsia="en-SG"/>
              </w:rPr>
              <w:t>Loss from continuing operations, net of tax</w:t>
            </w:r>
          </w:p>
        </w:tc>
        <w:tc>
          <w:tcPr>
            <w:tcW w:w="992" w:type="dxa"/>
            <w:tcBorders>
              <w:top w:val="nil"/>
              <w:left w:val="nil"/>
              <w:bottom w:val="nil"/>
              <w:right w:val="nil"/>
            </w:tcBorders>
            <w:shd w:val="clear" w:color="auto" w:fill="auto"/>
            <w:vAlign w:val="center"/>
          </w:tcPr>
          <w:p w14:paraId="4C87277B" w14:textId="6452DD35" w:rsidR="00660433" w:rsidRPr="001715D3" w:rsidRDefault="00DE1B74"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w:t>
            </w:r>
            <w:r w:rsidR="00F64957" w:rsidRPr="001715D3">
              <w:rPr>
                <w:rFonts w:ascii="Arial" w:hAnsi="Arial" w:cs="Arial"/>
                <w:b/>
                <w:bCs/>
                <w:sz w:val="16"/>
                <w:szCs w:val="18"/>
                <w:lang w:val="en-GB" w:eastAsia="en-SG"/>
              </w:rPr>
              <w:t>218,870</w:t>
            </w:r>
          </w:p>
        </w:tc>
        <w:tc>
          <w:tcPr>
            <w:tcW w:w="993" w:type="dxa"/>
            <w:tcBorders>
              <w:top w:val="nil"/>
              <w:left w:val="nil"/>
              <w:bottom w:val="nil"/>
              <w:right w:val="nil"/>
            </w:tcBorders>
            <w:shd w:val="clear" w:color="auto" w:fill="auto"/>
            <w:noWrap/>
            <w:vAlign w:val="center"/>
          </w:tcPr>
          <w:p w14:paraId="7802656F" w14:textId="59FD1F2E" w:rsidR="00660433" w:rsidRPr="001715D3" w:rsidRDefault="00DE1B74"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w:t>
            </w:r>
            <w:r w:rsidR="00660433" w:rsidRPr="001715D3">
              <w:rPr>
                <w:rFonts w:ascii="Arial" w:hAnsi="Arial" w:cs="Arial"/>
                <w:b/>
                <w:bCs/>
                <w:sz w:val="16"/>
                <w:szCs w:val="18"/>
                <w:lang w:val="en-GB" w:eastAsia="en-SG"/>
              </w:rPr>
              <w:t>3</w:t>
            </w:r>
            <w:r w:rsidR="00F64957" w:rsidRPr="001715D3">
              <w:rPr>
                <w:rFonts w:ascii="Arial" w:hAnsi="Arial" w:cs="Arial"/>
                <w:b/>
                <w:bCs/>
                <w:sz w:val="16"/>
                <w:szCs w:val="18"/>
                <w:lang w:val="en-GB" w:eastAsia="en-SG"/>
              </w:rPr>
              <w:t>7</w:t>
            </w:r>
            <w:r w:rsidR="00660433" w:rsidRPr="001715D3">
              <w:rPr>
                <w:rFonts w:ascii="Arial" w:hAnsi="Arial" w:cs="Arial"/>
                <w:b/>
                <w:bCs/>
                <w:sz w:val="16"/>
                <w:szCs w:val="18"/>
                <w:lang w:val="en-GB" w:eastAsia="en-SG"/>
              </w:rPr>
              <w:t>1,764</w:t>
            </w:r>
          </w:p>
        </w:tc>
        <w:tc>
          <w:tcPr>
            <w:tcW w:w="1017" w:type="dxa"/>
            <w:tcBorders>
              <w:top w:val="nil"/>
              <w:left w:val="nil"/>
              <w:bottom w:val="nil"/>
              <w:right w:val="nil"/>
            </w:tcBorders>
            <w:shd w:val="clear" w:color="auto" w:fill="auto"/>
            <w:noWrap/>
            <w:vAlign w:val="center"/>
          </w:tcPr>
          <w:p w14:paraId="0EFA45AB" w14:textId="77777777" w:rsidR="00660433" w:rsidRPr="001715D3" w:rsidRDefault="00660433" w:rsidP="00A24F2F">
            <w:pPr>
              <w:jc w:val="right"/>
              <w:rPr>
                <w:rFonts w:ascii="Arial" w:hAnsi="Arial" w:cs="Arial"/>
                <w:b/>
                <w:bCs/>
                <w:sz w:val="16"/>
                <w:szCs w:val="18"/>
                <w:lang w:val="en-GB" w:eastAsia="en-SG"/>
              </w:rPr>
            </w:pPr>
          </w:p>
        </w:tc>
        <w:tc>
          <w:tcPr>
            <w:tcW w:w="1109" w:type="dxa"/>
            <w:tcBorders>
              <w:top w:val="nil"/>
              <w:left w:val="nil"/>
              <w:bottom w:val="nil"/>
              <w:right w:val="nil"/>
            </w:tcBorders>
            <w:shd w:val="clear" w:color="auto" w:fill="auto"/>
            <w:noWrap/>
            <w:vAlign w:val="center"/>
          </w:tcPr>
          <w:p w14:paraId="324F6BCB" w14:textId="77777777" w:rsidR="00660433" w:rsidRPr="001715D3" w:rsidRDefault="00660433" w:rsidP="00A24F2F">
            <w:pPr>
              <w:jc w:val="right"/>
              <w:rPr>
                <w:rFonts w:ascii="Arial" w:hAnsi="Arial" w:cs="Arial"/>
                <w:b/>
                <w:bCs/>
                <w:sz w:val="16"/>
                <w:szCs w:val="18"/>
                <w:lang w:val="en-GB" w:eastAsia="en-SG"/>
              </w:rPr>
            </w:pPr>
          </w:p>
        </w:tc>
        <w:tc>
          <w:tcPr>
            <w:tcW w:w="1134" w:type="dxa"/>
            <w:tcBorders>
              <w:top w:val="nil"/>
              <w:left w:val="nil"/>
              <w:bottom w:val="nil"/>
              <w:right w:val="nil"/>
            </w:tcBorders>
            <w:shd w:val="clear" w:color="auto" w:fill="auto"/>
            <w:noWrap/>
            <w:vAlign w:val="center"/>
          </w:tcPr>
          <w:p w14:paraId="2BE706D7" w14:textId="77777777" w:rsidR="00660433" w:rsidRPr="001715D3" w:rsidRDefault="00660433" w:rsidP="00A24F2F">
            <w:pPr>
              <w:jc w:val="right"/>
              <w:rPr>
                <w:rFonts w:ascii="Arial" w:hAnsi="Arial" w:cs="Arial"/>
                <w:b/>
                <w:bCs/>
                <w:sz w:val="16"/>
                <w:szCs w:val="18"/>
                <w:lang w:val="en-GB" w:eastAsia="en-SG"/>
              </w:rPr>
            </w:pPr>
          </w:p>
        </w:tc>
      </w:tr>
      <w:tr w:rsidR="002C3A1A" w:rsidRPr="001715D3" w14:paraId="39DC2B92" w14:textId="77777777" w:rsidTr="0000700E">
        <w:trPr>
          <w:trHeight w:val="43"/>
        </w:trPr>
        <w:tc>
          <w:tcPr>
            <w:tcW w:w="4003" w:type="dxa"/>
            <w:gridSpan w:val="2"/>
            <w:tcBorders>
              <w:top w:val="nil"/>
              <w:left w:val="nil"/>
              <w:bottom w:val="nil"/>
              <w:right w:val="nil"/>
            </w:tcBorders>
            <w:shd w:val="clear" w:color="auto" w:fill="auto"/>
            <w:noWrap/>
            <w:vAlign w:val="center"/>
          </w:tcPr>
          <w:p w14:paraId="2B5CF919" w14:textId="63CA188E" w:rsidR="00660433" w:rsidRPr="001715D3" w:rsidRDefault="00660433" w:rsidP="00A24F2F">
            <w:pPr>
              <w:rPr>
                <w:rFonts w:ascii="Arial" w:hAnsi="Arial" w:cs="Arial"/>
                <w:b/>
                <w:bCs/>
                <w:sz w:val="16"/>
                <w:szCs w:val="18"/>
                <w:lang w:val="en-GB" w:eastAsia="en-SG"/>
              </w:rPr>
            </w:pPr>
            <w:r w:rsidRPr="001715D3">
              <w:rPr>
                <w:rFonts w:ascii="Arial" w:hAnsi="Arial" w:cs="Arial"/>
                <w:b/>
                <w:bCs/>
                <w:sz w:val="16"/>
                <w:szCs w:val="18"/>
                <w:lang w:val="en-GB" w:eastAsia="en-SG"/>
              </w:rPr>
              <w:t>Profit from discontinued operations, net of tax</w:t>
            </w:r>
          </w:p>
        </w:tc>
        <w:tc>
          <w:tcPr>
            <w:tcW w:w="992" w:type="dxa"/>
            <w:tcBorders>
              <w:top w:val="nil"/>
              <w:left w:val="nil"/>
              <w:bottom w:val="nil"/>
              <w:right w:val="nil"/>
            </w:tcBorders>
            <w:shd w:val="clear" w:color="auto" w:fill="auto"/>
            <w:vAlign w:val="center"/>
          </w:tcPr>
          <w:p w14:paraId="28CD090D" w14:textId="2D309232" w:rsidR="00660433" w:rsidRPr="001715D3" w:rsidRDefault="00F64957"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929,946</w:t>
            </w:r>
          </w:p>
        </w:tc>
        <w:tc>
          <w:tcPr>
            <w:tcW w:w="993" w:type="dxa"/>
            <w:tcBorders>
              <w:top w:val="nil"/>
              <w:left w:val="nil"/>
              <w:bottom w:val="nil"/>
              <w:right w:val="nil"/>
            </w:tcBorders>
            <w:shd w:val="clear" w:color="auto" w:fill="auto"/>
            <w:noWrap/>
            <w:vAlign w:val="center"/>
          </w:tcPr>
          <w:p w14:paraId="5CE110D0" w14:textId="5B1CF931" w:rsidR="00660433" w:rsidRPr="001715D3" w:rsidRDefault="00660433"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120,267</w:t>
            </w:r>
          </w:p>
        </w:tc>
        <w:tc>
          <w:tcPr>
            <w:tcW w:w="1017" w:type="dxa"/>
            <w:tcBorders>
              <w:top w:val="nil"/>
              <w:left w:val="nil"/>
              <w:bottom w:val="nil"/>
              <w:right w:val="nil"/>
            </w:tcBorders>
            <w:shd w:val="clear" w:color="auto" w:fill="auto"/>
            <w:noWrap/>
            <w:vAlign w:val="center"/>
          </w:tcPr>
          <w:p w14:paraId="414ED447" w14:textId="77777777" w:rsidR="00660433" w:rsidRPr="001715D3" w:rsidRDefault="00660433" w:rsidP="00A24F2F">
            <w:pPr>
              <w:jc w:val="right"/>
              <w:rPr>
                <w:rFonts w:ascii="Arial" w:hAnsi="Arial" w:cs="Arial"/>
                <w:b/>
                <w:bCs/>
                <w:sz w:val="16"/>
                <w:szCs w:val="18"/>
                <w:lang w:val="en-GB" w:eastAsia="en-SG"/>
              </w:rPr>
            </w:pPr>
          </w:p>
        </w:tc>
        <w:tc>
          <w:tcPr>
            <w:tcW w:w="1109" w:type="dxa"/>
            <w:tcBorders>
              <w:top w:val="nil"/>
              <w:left w:val="nil"/>
              <w:bottom w:val="nil"/>
              <w:right w:val="nil"/>
            </w:tcBorders>
            <w:shd w:val="clear" w:color="auto" w:fill="auto"/>
            <w:noWrap/>
            <w:vAlign w:val="center"/>
          </w:tcPr>
          <w:p w14:paraId="08328409" w14:textId="77777777" w:rsidR="00660433" w:rsidRPr="001715D3" w:rsidRDefault="00660433" w:rsidP="00A24F2F">
            <w:pPr>
              <w:jc w:val="right"/>
              <w:rPr>
                <w:rFonts w:ascii="Arial" w:hAnsi="Arial" w:cs="Arial"/>
                <w:b/>
                <w:bCs/>
                <w:sz w:val="16"/>
                <w:szCs w:val="18"/>
                <w:lang w:val="en-GB" w:eastAsia="en-SG"/>
              </w:rPr>
            </w:pPr>
          </w:p>
        </w:tc>
        <w:tc>
          <w:tcPr>
            <w:tcW w:w="1134" w:type="dxa"/>
            <w:tcBorders>
              <w:top w:val="nil"/>
              <w:left w:val="nil"/>
              <w:bottom w:val="nil"/>
              <w:right w:val="nil"/>
            </w:tcBorders>
            <w:shd w:val="clear" w:color="auto" w:fill="auto"/>
            <w:noWrap/>
            <w:vAlign w:val="center"/>
          </w:tcPr>
          <w:p w14:paraId="14FFF163" w14:textId="77777777" w:rsidR="00660433" w:rsidRPr="001715D3" w:rsidRDefault="00660433" w:rsidP="00A24F2F">
            <w:pPr>
              <w:jc w:val="right"/>
              <w:rPr>
                <w:rFonts w:ascii="Arial" w:hAnsi="Arial" w:cs="Arial"/>
                <w:b/>
                <w:bCs/>
                <w:sz w:val="16"/>
                <w:szCs w:val="18"/>
                <w:lang w:val="en-GB" w:eastAsia="en-SG"/>
              </w:rPr>
            </w:pPr>
          </w:p>
        </w:tc>
      </w:tr>
      <w:tr w:rsidR="002C3A1A" w:rsidRPr="001715D3" w14:paraId="1DC6D1B1" w14:textId="77777777" w:rsidTr="0000700E">
        <w:trPr>
          <w:trHeight w:val="43"/>
        </w:trPr>
        <w:tc>
          <w:tcPr>
            <w:tcW w:w="4003" w:type="dxa"/>
            <w:gridSpan w:val="2"/>
            <w:tcBorders>
              <w:top w:val="nil"/>
              <w:left w:val="nil"/>
              <w:bottom w:val="nil"/>
              <w:right w:val="nil"/>
            </w:tcBorders>
            <w:shd w:val="clear" w:color="auto" w:fill="auto"/>
            <w:noWrap/>
            <w:vAlign w:val="center"/>
            <w:hideMark/>
          </w:tcPr>
          <w:p w14:paraId="609E1389" w14:textId="77777777" w:rsidR="004E3285" w:rsidRPr="001715D3" w:rsidRDefault="004E3285" w:rsidP="00A24F2F">
            <w:pPr>
              <w:rPr>
                <w:rFonts w:ascii="Arial" w:hAnsi="Arial" w:cs="Arial"/>
                <w:b/>
                <w:bCs/>
                <w:sz w:val="16"/>
                <w:szCs w:val="18"/>
                <w:lang w:val="en-GB" w:eastAsia="en-SG"/>
              </w:rPr>
            </w:pPr>
            <w:r w:rsidRPr="001715D3">
              <w:rPr>
                <w:rFonts w:ascii="Arial" w:hAnsi="Arial" w:cs="Arial"/>
                <w:b/>
                <w:bCs/>
                <w:sz w:val="16"/>
                <w:szCs w:val="18"/>
                <w:lang w:val="en-GB" w:eastAsia="en-SG"/>
              </w:rPr>
              <w:t xml:space="preserve">Net loss for the financial year </w:t>
            </w:r>
          </w:p>
        </w:tc>
        <w:tc>
          <w:tcPr>
            <w:tcW w:w="992" w:type="dxa"/>
            <w:tcBorders>
              <w:top w:val="nil"/>
              <w:left w:val="nil"/>
              <w:bottom w:val="nil"/>
              <w:right w:val="nil"/>
            </w:tcBorders>
            <w:shd w:val="clear" w:color="auto" w:fill="auto"/>
            <w:vAlign w:val="center"/>
          </w:tcPr>
          <w:p w14:paraId="0103C3D2" w14:textId="763B9EFC" w:rsidR="004E3285" w:rsidRPr="001715D3" w:rsidRDefault="00F64957"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711,076</w:t>
            </w:r>
          </w:p>
        </w:tc>
        <w:tc>
          <w:tcPr>
            <w:tcW w:w="993" w:type="dxa"/>
            <w:tcBorders>
              <w:top w:val="nil"/>
              <w:left w:val="nil"/>
              <w:bottom w:val="nil"/>
              <w:right w:val="nil"/>
            </w:tcBorders>
            <w:shd w:val="clear" w:color="auto" w:fill="auto"/>
            <w:noWrap/>
            <w:vAlign w:val="center"/>
            <w:hideMark/>
          </w:tcPr>
          <w:p w14:paraId="2B606ADA" w14:textId="5EA21B40" w:rsidR="004E3285" w:rsidRPr="001715D3" w:rsidRDefault="00DE1B74"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w:t>
            </w:r>
            <w:r w:rsidR="00660433" w:rsidRPr="001715D3">
              <w:rPr>
                <w:rFonts w:ascii="Arial" w:hAnsi="Arial" w:cs="Arial"/>
                <w:b/>
                <w:bCs/>
                <w:sz w:val="16"/>
                <w:szCs w:val="18"/>
                <w:lang w:val="en-GB" w:eastAsia="en-SG"/>
              </w:rPr>
              <w:t>251,497</w:t>
            </w:r>
          </w:p>
        </w:tc>
        <w:tc>
          <w:tcPr>
            <w:tcW w:w="1017" w:type="dxa"/>
            <w:tcBorders>
              <w:top w:val="nil"/>
              <w:left w:val="nil"/>
              <w:bottom w:val="nil"/>
              <w:right w:val="nil"/>
            </w:tcBorders>
            <w:shd w:val="clear" w:color="auto" w:fill="auto"/>
            <w:noWrap/>
            <w:vAlign w:val="center"/>
            <w:hideMark/>
          </w:tcPr>
          <w:p w14:paraId="2CEFFF3E" w14:textId="0BFC438A" w:rsidR="004E3285" w:rsidRPr="001715D3" w:rsidRDefault="00DE1B74"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w:t>
            </w:r>
            <w:r w:rsidR="004E3285" w:rsidRPr="001715D3">
              <w:rPr>
                <w:rFonts w:ascii="Arial" w:hAnsi="Arial" w:cs="Arial"/>
                <w:b/>
                <w:bCs/>
                <w:sz w:val="16"/>
                <w:szCs w:val="18"/>
                <w:lang w:val="en-GB" w:eastAsia="en-SG"/>
              </w:rPr>
              <w:t>71,968</w:t>
            </w:r>
          </w:p>
        </w:tc>
        <w:tc>
          <w:tcPr>
            <w:tcW w:w="1109" w:type="dxa"/>
            <w:tcBorders>
              <w:top w:val="nil"/>
              <w:left w:val="nil"/>
              <w:bottom w:val="nil"/>
              <w:right w:val="nil"/>
            </w:tcBorders>
            <w:shd w:val="clear" w:color="auto" w:fill="auto"/>
            <w:noWrap/>
            <w:vAlign w:val="center"/>
            <w:hideMark/>
          </w:tcPr>
          <w:p w14:paraId="0E1FC365" w14:textId="67B7BE14" w:rsidR="004E3285" w:rsidRPr="001715D3" w:rsidRDefault="00DE1B74"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w:t>
            </w:r>
            <w:r w:rsidR="004E3285" w:rsidRPr="001715D3">
              <w:rPr>
                <w:rFonts w:ascii="Arial" w:hAnsi="Arial" w:cs="Arial"/>
                <w:b/>
                <w:bCs/>
                <w:sz w:val="16"/>
                <w:szCs w:val="18"/>
                <w:lang w:val="en-GB" w:eastAsia="en-SG"/>
              </w:rPr>
              <w:t>413,681</w:t>
            </w:r>
          </w:p>
        </w:tc>
        <w:tc>
          <w:tcPr>
            <w:tcW w:w="1134" w:type="dxa"/>
            <w:tcBorders>
              <w:top w:val="nil"/>
              <w:left w:val="nil"/>
              <w:bottom w:val="nil"/>
              <w:right w:val="nil"/>
            </w:tcBorders>
            <w:shd w:val="clear" w:color="auto" w:fill="auto"/>
            <w:noWrap/>
            <w:vAlign w:val="center"/>
            <w:hideMark/>
          </w:tcPr>
          <w:p w14:paraId="7397B34F" w14:textId="0F03E0E8" w:rsidR="004E3285" w:rsidRPr="001715D3" w:rsidRDefault="00DE1B74" w:rsidP="00A24F2F">
            <w:pPr>
              <w:jc w:val="right"/>
              <w:rPr>
                <w:rFonts w:ascii="Arial" w:hAnsi="Arial" w:cs="Arial"/>
                <w:b/>
                <w:bCs/>
                <w:sz w:val="16"/>
                <w:szCs w:val="18"/>
                <w:lang w:val="en-GB" w:eastAsia="en-SG"/>
              </w:rPr>
            </w:pPr>
            <w:r w:rsidRPr="001715D3">
              <w:rPr>
                <w:rFonts w:ascii="Arial" w:hAnsi="Arial" w:cs="Arial"/>
                <w:b/>
                <w:bCs/>
                <w:sz w:val="16"/>
                <w:szCs w:val="18"/>
                <w:lang w:val="en-GB" w:eastAsia="en-SG"/>
              </w:rPr>
              <w:t>−</w:t>
            </w:r>
            <w:r w:rsidR="004E3285" w:rsidRPr="001715D3">
              <w:rPr>
                <w:rFonts w:ascii="Arial" w:hAnsi="Arial" w:cs="Arial"/>
                <w:b/>
                <w:bCs/>
                <w:sz w:val="16"/>
                <w:szCs w:val="18"/>
                <w:lang w:val="en-GB" w:eastAsia="en-SG"/>
              </w:rPr>
              <w:t>473,932</w:t>
            </w:r>
          </w:p>
        </w:tc>
      </w:tr>
      <w:tr w:rsidR="002C3A1A" w:rsidRPr="001715D3" w14:paraId="2C06015C" w14:textId="77777777" w:rsidTr="0000700E">
        <w:trPr>
          <w:trHeight w:val="43"/>
        </w:trPr>
        <w:tc>
          <w:tcPr>
            <w:tcW w:w="1168" w:type="dxa"/>
            <w:tcBorders>
              <w:top w:val="nil"/>
              <w:left w:val="nil"/>
              <w:bottom w:val="nil"/>
              <w:right w:val="nil"/>
            </w:tcBorders>
            <w:shd w:val="clear" w:color="auto" w:fill="auto"/>
            <w:noWrap/>
            <w:vAlign w:val="center"/>
          </w:tcPr>
          <w:p w14:paraId="3FDA156D"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tcPr>
          <w:p w14:paraId="2C74C007" w14:textId="4A985493"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Equity holders of the company</w:t>
            </w:r>
          </w:p>
        </w:tc>
        <w:tc>
          <w:tcPr>
            <w:tcW w:w="992" w:type="dxa"/>
            <w:tcBorders>
              <w:top w:val="nil"/>
              <w:left w:val="nil"/>
              <w:bottom w:val="nil"/>
              <w:right w:val="nil"/>
            </w:tcBorders>
            <w:shd w:val="clear" w:color="auto" w:fill="auto"/>
            <w:vAlign w:val="center"/>
          </w:tcPr>
          <w:p w14:paraId="15F7A6AF" w14:textId="77777777" w:rsidR="009029F2" w:rsidRPr="001715D3" w:rsidRDefault="009029F2" w:rsidP="00A24F2F">
            <w:pPr>
              <w:jc w:val="right"/>
              <w:rPr>
                <w:rFonts w:ascii="Arial" w:hAnsi="Arial" w:cs="Arial"/>
                <w:sz w:val="16"/>
                <w:szCs w:val="18"/>
                <w:lang w:val="en-GB" w:eastAsia="en-SG"/>
              </w:rPr>
            </w:pPr>
          </w:p>
        </w:tc>
        <w:tc>
          <w:tcPr>
            <w:tcW w:w="993" w:type="dxa"/>
            <w:tcBorders>
              <w:top w:val="nil"/>
              <w:left w:val="nil"/>
              <w:bottom w:val="nil"/>
              <w:right w:val="nil"/>
            </w:tcBorders>
            <w:shd w:val="clear" w:color="auto" w:fill="auto"/>
            <w:noWrap/>
            <w:vAlign w:val="center"/>
          </w:tcPr>
          <w:p w14:paraId="58C24EC1" w14:textId="77777777" w:rsidR="009029F2" w:rsidRPr="001715D3" w:rsidRDefault="009029F2" w:rsidP="00A24F2F">
            <w:pPr>
              <w:jc w:val="right"/>
              <w:rPr>
                <w:rFonts w:ascii="Arial" w:hAnsi="Arial" w:cs="Arial"/>
                <w:sz w:val="16"/>
                <w:szCs w:val="18"/>
                <w:lang w:val="en-GB" w:eastAsia="en-SG"/>
              </w:rPr>
            </w:pPr>
          </w:p>
        </w:tc>
        <w:tc>
          <w:tcPr>
            <w:tcW w:w="1017" w:type="dxa"/>
            <w:tcBorders>
              <w:top w:val="nil"/>
              <w:left w:val="nil"/>
              <w:bottom w:val="nil"/>
              <w:right w:val="nil"/>
            </w:tcBorders>
            <w:shd w:val="clear" w:color="auto" w:fill="auto"/>
            <w:noWrap/>
            <w:vAlign w:val="center"/>
          </w:tcPr>
          <w:p w14:paraId="31543162" w14:textId="77777777" w:rsidR="009029F2" w:rsidRPr="001715D3" w:rsidRDefault="009029F2"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05F74C54" w14:textId="77777777" w:rsidR="009029F2" w:rsidRPr="001715D3" w:rsidRDefault="009029F2"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7B37F02E" w14:textId="77777777" w:rsidR="009029F2" w:rsidRPr="001715D3" w:rsidRDefault="009029F2" w:rsidP="00A24F2F">
            <w:pPr>
              <w:jc w:val="right"/>
              <w:rPr>
                <w:rFonts w:ascii="Arial" w:hAnsi="Arial" w:cs="Arial"/>
                <w:sz w:val="16"/>
                <w:szCs w:val="18"/>
                <w:lang w:val="en-GB" w:eastAsia="en-SG"/>
              </w:rPr>
            </w:pPr>
          </w:p>
        </w:tc>
      </w:tr>
      <w:tr w:rsidR="002C3A1A" w:rsidRPr="001715D3" w14:paraId="4AFF7C66" w14:textId="77777777" w:rsidTr="0000700E">
        <w:trPr>
          <w:trHeight w:val="43"/>
        </w:trPr>
        <w:tc>
          <w:tcPr>
            <w:tcW w:w="1168" w:type="dxa"/>
            <w:tcBorders>
              <w:top w:val="nil"/>
              <w:left w:val="nil"/>
              <w:bottom w:val="nil"/>
              <w:right w:val="nil"/>
            </w:tcBorders>
            <w:shd w:val="clear" w:color="auto" w:fill="auto"/>
            <w:noWrap/>
            <w:vAlign w:val="center"/>
          </w:tcPr>
          <w:p w14:paraId="69E60BCE"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tcPr>
          <w:p w14:paraId="395FC191" w14:textId="221A19D7"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From continuing operations</w:t>
            </w:r>
          </w:p>
        </w:tc>
        <w:tc>
          <w:tcPr>
            <w:tcW w:w="992" w:type="dxa"/>
            <w:tcBorders>
              <w:top w:val="nil"/>
              <w:left w:val="nil"/>
              <w:bottom w:val="nil"/>
              <w:right w:val="nil"/>
            </w:tcBorders>
            <w:shd w:val="clear" w:color="auto" w:fill="auto"/>
            <w:vAlign w:val="center"/>
          </w:tcPr>
          <w:p w14:paraId="2991A873" w14:textId="22D7DD61"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F64957" w:rsidRPr="001715D3">
              <w:rPr>
                <w:rFonts w:ascii="Arial" w:hAnsi="Arial" w:cs="Arial"/>
                <w:sz w:val="16"/>
                <w:szCs w:val="18"/>
                <w:lang w:val="en-GB" w:eastAsia="en-SG"/>
              </w:rPr>
              <w:t>220,439</w:t>
            </w:r>
          </w:p>
        </w:tc>
        <w:tc>
          <w:tcPr>
            <w:tcW w:w="993" w:type="dxa"/>
            <w:tcBorders>
              <w:top w:val="nil"/>
              <w:left w:val="nil"/>
              <w:bottom w:val="nil"/>
              <w:right w:val="nil"/>
            </w:tcBorders>
            <w:shd w:val="clear" w:color="auto" w:fill="auto"/>
            <w:noWrap/>
            <w:vAlign w:val="center"/>
          </w:tcPr>
          <w:p w14:paraId="53F81646" w14:textId="4E549573"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9029F2" w:rsidRPr="001715D3">
              <w:rPr>
                <w:rFonts w:ascii="Arial" w:hAnsi="Arial" w:cs="Arial"/>
                <w:sz w:val="16"/>
                <w:szCs w:val="18"/>
                <w:lang w:val="en-GB" w:eastAsia="en-SG"/>
              </w:rPr>
              <w:t>374,353</w:t>
            </w:r>
          </w:p>
        </w:tc>
        <w:tc>
          <w:tcPr>
            <w:tcW w:w="1017" w:type="dxa"/>
            <w:tcBorders>
              <w:top w:val="nil"/>
              <w:left w:val="nil"/>
              <w:bottom w:val="nil"/>
              <w:right w:val="nil"/>
            </w:tcBorders>
            <w:shd w:val="clear" w:color="auto" w:fill="auto"/>
            <w:noWrap/>
            <w:vAlign w:val="center"/>
          </w:tcPr>
          <w:p w14:paraId="6F7B54BE" w14:textId="77777777" w:rsidR="009029F2" w:rsidRPr="001715D3" w:rsidRDefault="009029F2"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696EEAA4" w14:textId="77777777" w:rsidR="009029F2" w:rsidRPr="001715D3" w:rsidRDefault="009029F2"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5F2C8BE3" w14:textId="77777777" w:rsidR="009029F2" w:rsidRPr="001715D3" w:rsidRDefault="009029F2" w:rsidP="00A24F2F">
            <w:pPr>
              <w:jc w:val="right"/>
              <w:rPr>
                <w:rFonts w:ascii="Arial" w:hAnsi="Arial" w:cs="Arial"/>
                <w:sz w:val="16"/>
                <w:szCs w:val="18"/>
                <w:lang w:val="en-GB" w:eastAsia="en-SG"/>
              </w:rPr>
            </w:pPr>
          </w:p>
        </w:tc>
      </w:tr>
      <w:tr w:rsidR="002C3A1A" w:rsidRPr="001715D3" w14:paraId="7E67777A" w14:textId="77777777" w:rsidTr="0000700E">
        <w:trPr>
          <w:trHeight w:val="43"/>
        </w:trPr>
        <w:tc>
          <w:tcPr>
            <w:tcW w:w="1168" w:type="dxa"/>
            <w:tcBorders>
              <w:top w:val="nil"/>
              <w:left w:val="nil"/>
              <w:bottom w:val="nil"/>
              <w:right w:val="nil"/>
            </w:tcBorders>
            <w:shd w:val="clear" w:color="auto" w:fill="auto"/>
            <w:noWrap/>
            <w:vAlign w:val="center"/>
          </w:tcPr>
          <w:p w14:paraId="3EDA2B46"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tcPr>
          <w:p w14:paraId="52BB021B" w14:textId="625F8D7C"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From discontinued operations</w:t>
            </w:r>
          </w:p>
        </w:tc>
        <w:tc>
          <w:tcPr>
            <w:tcW w:w="992" w:type="dxa"/>
            <w:tcBorders>
              <w:top w:val="nil"/>
              <w:left w:val="nil"/>
              <w:bottom w:val="nil"/>
              <w:right w:val="nil"/>
            </w:tcBorders>
            <w:shd w:val="clear" w:color="auto" w:fill="auto"/>
            <w:vAlign w:val="center"/>
          </w:tcPr>
          <w:p w14:paraId="6B4CB24D" w14:textId="6A1921F9" w:rsidR="009029F2"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927,642</w:t>
            </w:r>
          </w:p>
        </w:tc>
        <w:tc>
          <w:tcPr>
            <w:tcW w:w="993" w:type="dxa"/>
            <w:tcBorders>
              <w:top w:val="nil"/>
              <w:left w:val="nil"/>
              <w:bottom w:val="nil"/>
              <w:right w:val="nil"/>
            </w:tcBorders>
            <w:shd w:val="clear" w:color="auto" w:fill="auto"/>
            <w:noWrap/>
            <w:vAlign w:val="center"/>
          </w:tcPr>
          <w:p w14:paraId="786134C5" w14:textId="207BC28C" w:rsidR="009029F2" w:rsidRPr="001715D3" w:rsidRDefault="009029F2" w:rsidP="00A24F2F">
            <w:pPr>
              <w:jc w:val="right"/>
              <w:rPr>
                <w:rFonts w:ascii="Arial" w:hAnsi="Arial" w:cs="Arial"/>
                <w:sz w:val="16"/>
                <w:szCs w:val="18"/>
                <w:lang w:val="en-GB" w:eastAsia="en-SG"/>
              </w:rPr>
            </w:pPr>
            <w:r w:rsidRPr="001715D3">
              <w:rPr>
                <w:rFonts w:ascii="Arial" w:hAnsi="Arial" w:cs="Arial"/>
                <w:sz w:val="16"/>
                <w:szCs w:val="18"/>
                <w:lang w:val="en-GB" w:eastAsia="en-SG"/>
              </w:rPr>
              <w:t>114,512</w:t>
            </w:r>
          </w:p>
        </w:tc>
        <w:tc>
          <w:tcPr>
            <w:tcW w:w="1017" w:type="dxa"/>
            <w:tcBorders>
              <w:top w:val="nil"/>
              <w:left w:val="nil"/>
              <w:bottom w:val="nil"/>
              <w:right w:val="nil"/>
            </w:tcBorders>
            <w:shd w:val="clear" w:color="auto" w:fill="auto"/>
            <w:noWrap/>
            <w:vAlign w:val="center"/>
          </w:tcPr>
          <w:p w14:paraId="4432730F" w14:textId="77777777" w:rsidR="009029F2" w:rsidRPr="001715D3" w:rsidRDefault="009029F2"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5E74EC46" w14:textId="77777777" w:rsidR="009029F2" w:rsidRPr="001715D3" w:rsidRDefault="009029F2"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469933DD" w14:textId="77777777" w:rsidR="009029F2" w:rsidRPr="001715D3" w:rsidRDefault="009029F2" w:rsidP="00A24F2F">
            <w:pPr>
              <w:jc w:val="right"/>
              <w:rPr>
                <w:rFonts w:ascii="Arial" w:hAnsi="Arial" w:cs="Arial"/>
                <w:sz w:val="16"/>
                <w:szCs w:val="18"/>
                <w:lang w:val="en-GB" w:eastAsia="en-SG"/>
              </w:rPr>
            </w:pPr>
          </w:p>
        </w:tc>
      </w:tr>
      <w:tr w:rsidR="002C3A1A" w:rsidRPr="001715D3" w14:paraId="7EB5A31A" w14:textId="77777777" w:rsidTr="0000700E">
        <w:trPr>
          <w:trHeight w:val="43"/>
        </w:trPr>
        <w:tc>
          <w:tcPr>
            <w:tcW w:w="1168" w:type="dxa"/>
            <w:tcBorders>
              <w:top w:val="nil"/>
              <w:left w:val="nil"/>
              <w:bottom w:val="nil"/>
              <w:right w:val="nil"/>
            </w:tcBorders>
            <w:shd w:val="clear" w:color="auto" w:fill="auto"/>
            <w:noWrap/>
            <w:vAlign w:val="center"/>
            <w:hideMark/>
          </w:tcPr>
          <w:p w14:paraId="70A3A4D2" w14:textId="77777777" w:rsidR="004E3285" w:rsidRPr="001715D3" w:rsidRDefault="004E3285"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50F6EDB2" w14:textId="273F832E" w:rsidR="004E3285" w:rsidRPr="001715D3" w:rsidRDefault="004E3285" w:rsidP="00A24F2F">
            <w:pPr>
              <w:rPr>
                <w:rFonts w:ascii="Arial" w:hAnsi="Arial" w:cs="Arial"/>
                <w:sz w:val="16"/>
                <w:szCs w:val="18"/>
                <w:lang w:val="en-GB" w:eastAsia="en-SG"/>
              </w:rPr>
            </w:pPr>
          </w:p>
        </w:tc>
        <w:tc>
          <w:tcPr>
            <w:tcW w:w="992" w:type="dxa"/>
            <w:tcBorders>
              <w:top w:val="nil"/>
              <w:left w:val="nil"/>
              <w:bottom w:val="nil"/>
              <w:right w:val="nil"/>
            </w:tcBorders>
            <w:shd w:val="clear" w:color="auto" w:fill="auto"/>
            <w:vAlign w:val="center"/>
          </w:tcPr>
          <w:p w14:paraId="0A9FE3A2" w14:textId="6E4B3F3A" w:rsidR="004E3285" w:rsidRPr="001715D3" w:rsidRDefault="00F64957" w:rsidP="00A24F2F">
            <w:pPr>
              <w:jc w:val="right"/>
              <w:rPr>
                <w:rFonts w:ascii="Arial" w:hAnsi="Arial" w:cs="Arial"/>
                <w:b/>
                <w:sz w:val="16"/>
                <w:szCs w:val="18"/>
                <w:lang w:val="en-GB" w:eastAsia="en-SG"/>
              </w:rPr>
            </w:pPr>
            <w:r w:rsidRPr="001715D3">
              <w:rPr>
                <w:rFonts w:ascii="Arial" w:hAnsi="Arial" w:cs="Arial"/>
                <w:b/>
                <w:sz w:val="16"/>
                <w:szCs w:val="18"/>
                <w:lang w:val="en-GB" w:eastAsia="en-SG"/>
              </w:rPr>
              <w:t>707,203</w:t>
            </w:r>
          </w:p>
        </w:tc>
        <w:tc>
          <w:tcPr>
            <w:tcW w:w="993" w:type="dxa"/>
            <w:tcBorders>
              <w:top w:val="nil"/>
              <w:left w:val="nil"/>
              <w:bottom w:val="nil"/>
              <w:right w:val="nil"/>
            </w:tcBorders>
            <w:shd w:val="clear" w:color="auto" w:fill="auto"/>
            <w:noWrap/>
            <w:vAlign w:val="center"/>
            <w:hideMark/>
          </w:tcPr>
          <w:p w14:paraId="2C09A49A" w14:textId="1DF633FF" w:rsidR="004E3285" w:rsidRPr="001715D3" w:rsidRDefault="00DE1B74" w:rsidP="00A24F2F">
            <w:pPr>
              <w:jc w:val="right"/>
              <w:rPr>
                <w:rFonts w:ascii="Arial" w:hAnsi="Arial" w:cs="Arial"/>
                <w:b/>
                <w:sz w:val="16"/>
                <w:szCs w:val="18"/>
                <w:lang w:val="en-GB" w:eastAsia="en-SG"/>
              </w:rPr>
            </w:pPr>
            <w:r w:rsidRPr="001715D3">
              <w:rPr>
                <w:rFonts w:ascii="Arial" w:hAnsi="Arial" w:cs="Arial"/>
                <w:b/>
                <w:sz w:val="16"/>
                <w:szCs w:val="18"/>
                <w:lang w:val="en-GB" w:eastAsia="en-SG"/>
              </w:rPr>
              <w:t>−</w:t>
            </w:r>
            <w:r w:rsidR="004E3285" w:rsidRPr="001715D3">
              <w:rPr>
                <w:rFonts w:ascii="Arial" w:hAnsi="Arial" w:cs="Arial"/>
                <w:b/>
                <w:sz w:val="16"/>
                <w:szCs w:val="18"/>
                <w:lang w:val="en-GB" w:eastAsia="en-SG"/>
              </w:rPr>
              <w:t>259,841</w:t>
            </w:r>
          </w:p>
        </w:tc>
        <w:tc>
          <w:tcPr>
            <w:tcW w:w="1017" w:type="dxa"/>
            <w:tcBorders>
              <w:top w:val="nil"/>
              <w:left w:val="nil"/>
              <w:bottom w:val="nil"/>
              <w:right w:val="nil"/>
            </w:tcBorders>
            <w:shd w:val="clear" w:color="auto" w:fill="auto"/>
            <w:noWrap/>
            <w:vAlign w:val="center"/>
            <w:hideMark/>
          </w:tcPr>
          <w:p w14:paraId="08FC60BF" w14:textId="0935819A" w:rsidR="004E3285" w:rsidRPr="001715D3" w:rsidRDefault="00DE1B74" w:rsidP="00A24F2F">
            <w:pPr>
              <w:jc w:val="right"/>
              <w:rPr>
                <w:rFonts w:ascii="Arial" w:hAnsi="Arial" w:cs="Arial"/>
                <w:b/>
                <w:sz w:val="16"/>
                <w:szCs w:val="18"/>
                <w:lang w:val="en-GB" w:eastAsia="en-SG"/>
              </w:rPr>
            </w:pPr>
            <w:r w:rsidRPr="001715D3">
              <w:rPr>
                <w:rFonts w:ascii="Arial" w:hAnsi="Arial" w:cs="Arial"/>
                <w:b/>
                <w:sz w:val="16"/>
                <w:szCs w:val="18"/>
                <w:lang w:val="en-GB" w:eastAsia="en-SG"/>
              </w:rPr>
              <w:t>−</w:t>
            </w:r>
            <w:r w:rsidR="004E3285" w:rsidRPr="001715D3">
              <w:rPr>
                <w:rFonts w:ascii="Arial" w:hAnsi="Arial" w:cs="Arial"/>
                <w:b/>
                <w:sz w:val="16"/>
                <w:szCs w:val="18"/>
                <w:lang w:val="en-GB" w:eastAsia="en-SG"/>
              </w:rPr>
              <w:t>76,298</w:t>
            </w:r>
          </w:p>
        </w:tc>
        <w:tc>
          <w:tcPr>
            <w:tcW w:w="1109" w:type="dxa"/>
            <w:tcBorders>
              <w:top w:val="nil"/>
              <w:left w:val="nil"/>
              <w:bottom w:val="nil"/>
              <w:right w:val="nil"/>
            </w:tcBorders>
            <w:shd w:val="clear" w:color="auto" w:fill="auto"/>
            <w:noWrap/>
            <w:vAlign w:val="center"/>
            <w:hideMark/>
          </w:tcPr>
          <w:p w14:paraId="551826B9" w14:textId="64B99AC1" w:rsidR="004E3285" w:rsidRPr="001715D3" w:rsidRDefault="00DE1B74" w:rsidP="00A24F2F">
            <w:pPr>
              <w:jc w:val="right"/>
              <w:rPr>
                <w:rFonts w:ascii="Arial" w:hAnsi="Arial" w:cs="Arial"/>
                <w:b/>
                <w:sz w:val="16"/>
                <w:szCs w:val="18"/>
                <w:lang w:val="en-GB" w:eastAsia="en-SG"/>
              </w:rPr>
            </w:pPr>
            <w:r w:rsidRPr="001715D3">
              <w:rPr>
                <w:rFonts w:ascii="Arial" w:hAnsi="Arial" w:cs="Arial"/>
                <w:b/>
                <w:sz w:val="16"/>
                <w:szCs w:val="18"/>
                <w:lang w:val="en-GB" w:eastAsia="en-SG"/>
              </w:rPr>
              <w:t>−</w:t>
            </w:r>
            <w:r w:rsidR="004E3285" w:rsidRPr="001715D3">
              <w:rPr>
                <w:rFonts w:ascii="Arial" w:hAnsi="Arial" w:cs="Arial"/>
                <w:b/>
                <w:sz w:val="16"/>
                <w:szCs w:val="18"/>
                <w:lang w:val="en-GB" w:eastAsia="en-SG"/>
              </w:rPr>
              <w:t>419,445</w:t>
            </w:r>
          </w:p>
        </w:tc>
        <w:tc>
          <w:tcPr>
            <w:tcW w:w="1134" w:type="dxa"/>
            <w:tcBorders>
              <w:top w:val="nil"/>
              <w:left w:val="nil"/>
              <w:bottom w:val="nil"/>
              <w:right w:val="nil"/>
            </w:tcBorders>
            <w:shd w:val="clear" w:color="auto" w:fill="auto"/>
            <w:noWrap/>
            <w:vAlign w:val="center"/>
            <w:hideMark/>
          </w:tcPr>
          <w:p w14:paraId="1A926EE9" w14:textId="3F72C597" w:rsidR="004E3285" w:rsidRPr="001715D3" w:rsidRDefault="00DE1B74" w:rsidP="00A24F2F">
            <w:pPr>
              <w:jc w:val="right"/>
              <w:rPr>
                <w:rFonts w:ascii="Arial" w:hAnsi="Arial" w:cs="Arial"/>
                <w:b/>
                <w:sz w:val="16"/>
                <w:szCs w:val="18"/>
                <w:lang w:val="en-GB" w:eastAsia="en-SG"/>
              </w:rPr>
            </w:pPr>
            <w:r w:rsidRPr="001715D3">
              <w:rPr>
                <w:rFonts w:ascii="Arial" w:hAnsi="Arial" w:cs="Arial"/>
                <w:b/>
                <w:sz w:val="16"/>
                <w:szCs w:val="18"/>
                <w:lang w:val="en-GB" w:eastAsia="en-SG"/>
              </w:rPr>
              <w:t>−</w:t>
            </w:r>
            <w:r w:rsidR="004E3285" w:rsidRPr="001715D3">
              <w:rPr>
                <w:rFonts w:ascii="Arial" w:hAnsi="Arial" w:cs="Arial"/>
                <w:b/>
                <w:sz w:val="16"/>
                <w:szCs w:val="18"/>
                <w:lang w:val="en-GB" w:eastAsia="en-SG"/>
              </w:rPr>
              <w:t>478,188</w:t>
            </w:r>
          </w:p>
        </w:tc>
      </w:tr>
      <w:tr w:rsidR="002C3A1A" w:rsidRPr="001715D3" w14:paraId="35BDB289" w14:textId="77777777" w:rsidTr="0000700E">
        <w:trPr>
          <w:trHeight w:val="112"/>
        </w:trPr>
        <w:tc>
          <w:tcPr>
            <w:tcW w:w="1168" w:type="dxa"/>
            <w:tcBorders>
              <w:top w:val="nil"/>
              <w:left w:val="nil"/>
              <w:bottom w:val="nil"/>
              <w:right w:val="nil"/>
            </w:tcBorders>
            <w:shd w:val="clear" w:color="auto" w:fill="auto"/>
            <w:noWrap/>
            <w:vAlign w:val="center"/>
          </w:tcPr>
          <w:p w14:paraId="0D2C1682"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tcPr>
          <w:p w14:paraId="6F68371D" w14:textId="0680EFBF"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Non-controlling interest</w:t>
            </w:r>
          </w:p>
        </w:tc>
        <w:tc>
          <w:tcPr>
            <w:tcW w:w="992" w:type="dxa"/>
            <w:tcBorders>
              <w:top w:val="nil"/>
              <w:left w:val="nil"/>
              <w:bottom w:val="nil"/>
              <w:right w:val="nil"/>
            </w:tcBorders>
            <w:shd w:val="clear" w:color="auto" w:fill="auto"/>
            <w:vAlign w:val="center"/>
          </w:tcPr>
          <w:p w14:paraId="0C175517" w14:textId="77777777" w:rsidR="009029F2" w:rsidRPr="001715D3" w:rsidRDefault="009029F2" w:rsidP="00A24F2F">
            <w:pPr>
              <w:jc w:val="right"/>
              <w:rPr>
                <w:rFonts w:ascii="Arial" w:hAnsi="Arial" w:cs="Arial"/>
                <w:sz w:val="16"/>
                <w:szCs w:val="18"/>
                <w:lang w:val="en-GB" w:eastAsia="en-SG"/>
              </w:rPr>
            </w:pPr>
          </w:p>
        </w:tc>
        <w:tc>
          <w:tcPr>
            <w:tcW w:w="993" w:type="dxa"/>
            <w:tcBorders>
              <w:top w:val="nil"/>
              <w:left w:val="nil"/>
              <w:bottom w:val="nil"/>
              <w:right w:val="nil"/>
            </w:tcBorders>
            <w:shd w:val="clear" w:color="auto" w:fill="auto"/>
            <w:noWrap/>
            <w:vAlign w:val="center"/>
          </w:tcPr>
          <w:p w14:paraId="76280913" w14:textId="77777777" w:rsidR="009029F2" w:rsidRPr="001715D3" w:rsidRDefault="009029F2" w:rsidP="00A24F2F">
            <w:pPr>
              <w:jc w:val="right"/>
              <w:rPr>
                <w:rFonts w:ascii="Arial" w:hAnsi="Arial" w:cs="Arial"/>
                <w:sz w:val="16"/>
                <w:szCs w:val="18"/>
                <w:lang w:val="en-GB" w:eastAsia="en-SG"/>
              </w:rPr>
            </w:pPr>
          </w:p>
        </w:tc>
        <w:tc>
          <w:tcPr>
            <w:tcW w:w="1017" w:type="dxa"/>
            <w:tcBorders>
              <w:top w:val="nil"/>
              <w:left w:val="nil"/>
              <w:bottom w:val="nil"/>
              <w:right w:val="nil"/>
            </w:tcBorders>
            <w:shd w:val="clear" w:color="auto" w:fill="auto"/>
            <w:noWrap/>
            <w:vAlign w:val="center"/>
          </w:tcPr>
          <w:p w14:paraId="78F1272B" w14:textId="77777777" w:rsidR="009029F2" w:rsidRPr="001715D3" w:rsidRDefault="009029F2"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567893D5" w14:textId="77777777" w:rsidR="009029F2" w:rsidRPr="001715D3" w:rsidRDefault="009029F2"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6ACC2BEA" w14:textId="77777777" w:rsidR="009029F2" w:rsidRPr="001715D3" w:rsidRDefault="009029F2" w:rsidP="00A24F2F">
            <w:pPr>
              <w:jc w:val="right"/>
              <w:rPr>
                <w:rFonts w:ascii="Arial" w:hAnsi="Arial" w:cs="Arial"/>
                <w:sz w:val="16"/>
                <w:szCs w:val="18"/>
                <w:lang w:val="en-GB" w:eastAsia="en-SG"/>
              </w:rPr>
            </w:pPr>
          </w:p>
        </w:tc>
      </w:tr>
      <w:tr w:rsidR="002C3A1A" w:rsidRPr="001715D3" w14:paraId="4EB5C43B" w14:textId="77777777" w:rsidTr="0000700E">
        <w:trPr>
          <w:trHeight w:val="72"/>
        </w:trPr>
        <w:tc>
          <w:tcPr>
            <w:tcW w:w="1168" w:type="dxa"/>
            <w:tcBorders>
              <w:top w:val="nil"/>
              <w:left w:val="nil"/>
              <w:bottom w:val="nil"/>
              <w:right w:val="nil"/>
            </w:tcBorders>
            <w:shd w:val="clear" w:color="auto" w:fill="auto"/>
            <w:noWrap/>
            <w:vAlign w:val="center"/>
          </w:tcPr>
          <w:p w14:paraId="66954A36"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tcPr>
          <w:p w14:paraId="084CE5BE" w14:textId="5E6B576F"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From continuing operations</w:t>
            </w:r>
          </w:p>
        </w:tc>
        <w:tc>
          <w:tcPr>
            <w:tcW w:w="992" w:type="dxa"/>
            <w:tcBorders>
              <w:top w:val="nil"/>
              <w:left w:val="nil"/>
              <w:bottom w:val="nil"/>
              <w:right w:val="nil"/>
            </w:tcBorders>
            <w:shd w:val="clear" w:color="auto" w:fill="auto"/>
            <w:vAlign w:val="center"/>
          </w:tcPr>
          <w:p w14:paraId="091661A0" w14:textId="57C5928C" w:rsidR="009029F2"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1,569</w:t>
            </w:r>
          </w:p>
        </w:tc>
        <w:tc>
          <w:tcPr>
            <w:tcW w:w="993" w:type="dxa"/>
            <w:tcBorders>
              <w:top w:val="nil"/>
              <w:left w:val="nil"/>
              <w:bottom w:val="nil"/>
              <w:right w:val="nil"/>
            </w:tcBorders>
            <w:shd w:val="clear" w:color="auto" w:fill="auto"/>
            <w:noWrap/>
            <w:vAlign w:val="center"/>
          </w:tcPr>
          <w:p w14:paraId="3AABE20F" w14:textId="23DB1F16" w:rsidR="009029F2" w:rsidRPr="001715D3" w:rsidRDefault="009029F2" w:rsidP="00A24F2F">
            <w:pPr>
              <w:jc w:val="right"/>
              <w:rPr>
                <w:rFonts w:ascii="Arial" w:hAnsi="Arial" w:cs="Arial"/>
                <w:sz w:val="16"/>
                <w:szCs w:val="18"/>
                <w:lang w:val="en-GB" w:eastAsia="en-SG"/>
              </w:rPr>
            </w:pPr>
            <w:r w:rsidRPr="001715D3">
              <w:rPr>
                <w:rFonts w:ascii="Arial" w:hAnsi="Arial" w:cs="Arial"/>
                <w:sz w:val="16"/>
                <w:szCs w:val="18"/>
                <w:lang w:val="en-GB" w:eastAsia="en-SG"/>
              </w:rPr>
              <w:t>2,589</w:t>
            </w:r>
          </w:p>
        </w:tc>
        <w:tc>
          <w:tcPr>
            <w:tcW w:w="1017" w:type="dxa"/>
            <w:tcBorders>
              <w:top w:val="nil"/>
              <w:left w:val="nil"/>
              <w:bottom w:val="nil"/>
              <w:right w:val="nil"/>
            </w:tcBorders>
            <w:shd w:val="clear" w:color="auto" w:fill="auto"/>
            <w:noWrap/>
            <w:vAlign w:val="center"/>
          </w:tcPr>
          <w:p w14:paraId="6F0C365C" w14:textId="77777777" w:rsidR="009029F2" w:rsidRPr="001715D3" w:rsidRDefault="009029F2"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428E4A41" w14:textId="77777777" w:rsidR="009029F2" w:rsidRPr="001715D3" w:rsidRDefault="009029F2"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67C36991" w14:textId="77777777" w:rsidR="009029F2" w:rsidRPr="001715D3" w:rsidRDefault="009029F2" w:rsidP="00A24F2F">
            <w:pPr>
              <w:jc w:val="right"/>
              <w:rPr>
                <w:rFonts w:ascii="Arial" w:hAnsi="Arial" w:cs="Arial"/>
                <w:sz w:val="16"/>
                <w:szCs w:val="18"/>
                <w:lang w:val="en-GB" w:eastAsia="en-SG"/>
              </w:rPr>
            </w:pPr>
          </w:p>
        </w:tc>
      </w:tr>
      <w:tr w:rsidR="002C3A1A" w:rsidRPr="001715D3" w14:paraId="0FB584EC" w14:textId="77777777" w:rsidTr="0000700E">
        <w:trPr>
          <w:trHeight w:val="43"/>
        </w:trPr>
        <w:tc>
          <w:tcPr>
            <w:tcW w:w="1168" w:type="dxa"/>
            <w:tcBorders>
              <w:top w:val="nil"/>
              <w:left w:val="nil"/>
              <w:bottom w:val="nil"/>
              <w:right w:val="nil"/>
            </w:tcBorders>
            <w:shd w:val="clear" w:color="auto" w:fill="auto"/>
            <w:noWrap/>
            <w:vAlign w:val="center"/>
          </w:tcPr>
          <w:p w14:paraId="69F54AD5"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tcPr>
          <w:p w14:paraId="0244AF04" w14:textId="570632E3"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From discontinued operations</w:t>
            </w:r>
          </w:p>
        </w:tc>
        <w:tc>
          <w:tcPr>
            <w:tcW w:w="992" w:type="dxa"/>
            <w:tcBorders>
              <w:top w:val="nil"/>
              <w:left w:val="nil"/>
              <w:bottom w:val="nil"/>
              <w:right w:val="nil"/>
            </w:tcBorders>
            <w:shd w:val="clear" w:color="auto" w:fill="auto"/>
            <w:vAlign w:val="center"/>
          </w:tcPr>
          <w:p w14:paraId="1FFAD391" w14:textId="5193F613" w:rsidR="009029F2" w:rsidRPr="001715D3" w:rsidRDefault="00F64957" w:rsidP="00A24F2F">
            <w:pPr>
              <w:jc w:val="right"/>
              <w:rPr>
                <w:rFonts w:ascii="Arial" w:hAnsi="Arial" w:cs="Arial"/>
                <w:sz w:val="16"/>
                <w:szCs w:val="18"/>
                <w:lang w:val="en-GB" w:eastAsia="en-SG"/>
              </w:rPr>
            </w:pPr>
            <w:r w:rsidRPr="001715D3">
              <w:rPr>
                <w:rFonts w:ascii="Arial" w:hAnsi="Arial" w:cs="Arial"/>
                <w:sz w:val="16"/>
                <w:szCs w:val="18"/>
                <w:lang w:val="en-GB" w:eastAsia="en-SG"/>
              </w:rPr>
              <w:t>2,304</w:t>
            </w:r>
          </w:p>
        </w:tc>
        <w:tc>
          <w:tcPr>
            <w:tcW w:w="993" w:type="dxa"/>
            <w:tcBorders>
              <w:top w:val="nil"/>
              <w:left w:val="nil"/>
              <w:bottom w:val="nil"/>
              <w:right w:val="nil"/>
            </w:tcBorders>
            <w:shd w:val="clear" w:color="auto" w:fill="auto"/>
            <w:noWrap/>
            <w:vAlign w:val="center"/>
          </w:tcPr>
          <w:p w14:paraId="74933479" w14:textId="284442B2" w:rsidR="009029F2" w:rsidRPr="001715D3" w:rsidRDefault="009029F2" w:rsidP="00A24F2F">
            <w:pPr>
              <w:jc w:val="right"/>
              <w:rPr>
                <w:rFonts w:ascii="Arial" w:hAnsi="Arial" w:cs="Arial"/>
                <w:sz w:val="16"/>
                <w:szCs w:val="18"/>
                <w:lang w:val="en-GB" w:eastAsia="en-SG"/>
              </w:rPr>
            </w:pPr>
            <w:r w:rsidRPr="001715D3">
              <w:rPr>
                <w:rFonts w:ascii="Arial" w:hAnsi="Arial" w:cs="Arial"/>
                <w:sz w:val="16"/>
                <w:szCs w:val="18"/>
                <w:lang w:val="en-GB" w:eastAsia="en-SG"/>
              </w:rPr>
              <w:t>5,755</w:t>
            </w:r>
          </w:p>
        </w:tc>
        <w:tc>
          <w:tcPr>
            <w:tcW w:w="1017" w:type="dxa"/>
            <w:tcBorders>
              <w:top w:val="nil"/>
              <w:left w:val="nil"/>
              <w:bottom w:val="nil"/>
              <w:right w:val="nil"/>
            </w:tcBorders>
            <w:shd w:val="clear" w:color="auto" w:fill="auto"/>
            <w:noWrap/>
            <w:vAlign w:val="center"/>
          </w:tcPr>
          <w:p w14:paraId="4E50EBC9" w14:textId="77777777" w:rsidR="009029F2" w:rsidRPr="001715D3" w:rsidRDefault="009029F2"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tcPr>
          <w:p w14:paraId="1172522B" w14:textId="77777777" w:rsidR="009029F2" w:rsidRPr="001715D3" w:rsidRDefault="009029F2"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tcPr>
          <w:p w14:paraId="69C6EE6C" w14:textId="77777777" w:rsidR="009029F2" w:rsidRPr="001715D3" w:rsidRDefault="009029F2" w:rsidP="00A24F2F">
            <w:pPr>
              <w:jc w:val="right"/>
              <w:rPr>
                <w:rFonts w:ascii="Arial" w:hAnsi="Arial" w:cs="Arial"/>
                <w:sz w:val="16"/>
                <w:szCs w:val="18"/>
                <w:lang w:val="en-GB" w:eastAsia="en-SG"/>
              </w:rPr>
            </w:pPr>
          </w:p>
        </w:tc>
      </w:tr>
      <w:tr w:rsidR="002C3A1A" w:rsidRPr="001715D3" w14:paraId="03168363" w14:textId="77777777" w:rsidTr="0000700E">
        <w:trPr>
          <w:trHeight w:val="43"/>
        </w:trPr>
        <w:tc>
          <w:tcPr>
            <w:tcW w:w="1168" w:type="dxa"/>
            <w:tcBorders>
              <w:top w:val="nil"/>
              <w:left w:val="nil"/>
              <w:bottom w:val="nil"/>
              <w:right w:val="nil"/>
            </w:tcBorders>
            <w:shd w:val="clear" w:color="auto" w:fill="auto"/>
            <w:noWrap/>
            <w:vAlign w:val="center"/>
            <w:hideMark/>
          </w:tcPr>
          <w:p w14:paraId="193F2112"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25E47680" w14:textId="73B2579F" w:rsidR="009029F2" w:rsidRPr="001715D3" w:rsidRDefault="009029F2" w:rsidP="00A24F2F">
            <w:pPr>
              <w:rPr>
                <w:rFonts w:ascii="Arial" w:hAnsi="Arial" w:cs="Arial"/>
                <w:sz w:val="16"/>
                <w:szCs w:val="18"/>
                <w:lang w:val="en-GB" w:eastAsia="en-SG"/>
              </w:rPr>
            </w:pPr>
          </w:p>
        </w:tc>
        <w:tc>
          <w:tcPr>
            <w:tcW w:w="992" w:type="dxa"/>
            <w:tcBorders>
              <w:top w:val="nil"/>
              <w:left w:val="nil"/>
              <w:bottom w:val="nil"/>
              <w:right w:val="nil"/>
            </w:tcBorders>
            <w:shd w:val="clear" w:color="auto" w:fill="auto"/>
            <w:vAlign w:val="center"/>
          </w:tcPr>
          <w:p w14:paraId="34656DF2" w14:textId="1AB69C4E" w:rsidR="009029F2" w:rsidRPr="001715D3" w:rsidRDefault="00F64957" w:rsidP="00A24F2F">
            <w:pPr>
              <w:jc w:val="right"/>
              <w:rPr>
                <w:rFonts w:ascii="Arial" w:hAnsi="Arial" w:cs="Arial"/>
                <w:b/>
                <w:sz w:val="16"/>
                <w:szCs w:val="18"/>
                <w:lang w:val="en-GB" w:eastAsia="en-SG"/>
              </w:rPr>
            </w:pPr>
            <w:r w:rsidRPr="001715D3">
              <w:rPr>
                <w:rFonts w:ascii="Arial" w:hAnsi="Arial" w:cs="Arial"/>
                <w:b/>
                <w:sz w:val="16"/>
                <w:szCs w:val="18"/>
                <w:lang w:val="en-GB" w:eastAsia="en-SG"/>
              </w:rPr>
              <w:t>3,873</w:t>
            </w:r>
          </w:p>
        </w:tc>
        <w:tc>
          <w:tcPr>
            <w:tcW w:w="993" w:type="dxa"/>
            <w:tcBorders>
              <w:top w:val="nil"/>
              <w:left w:val="nil"/>
              <w:bottom w:val="nil"/>
              <w:right w:val="nil"/>
            </w:tcBorders>
            <w:shd w:val="clear" w:color="auto" w:fill="auto"/>
            <w:noWrap/>
            <w:vAlign w:val="center"/>
            <w:hideMark/>
          </w:tcPr>
          <w:p w14:paraId="48A2C080" w14:textId="32EC7586" w:rsidR="009029F2" w:rsidRPr="001715D3" w:rsidRDefault="009029F2" w:rsidP="00A24F2F">
            <w:pPr>
              <w:jc w:val="right"/>
              <w:rPr>
                <w:rFonts w:ascii="Arial" w:hAnsi="Arial" w:cs="Arial"/>
                <w:b/>
                <w:sz w:val="16"/>
                <w:szCs w:val="18"/>
                <w:lang w:val="en-GB" w:eastAsia="en-SG"/>
              </w:rPr>
            </w:pPr>
            <w:r w:rsidRPr="001715D3">
              <w:rPr>
                <w:rFonts w:ascii="Arial" w:hAnsi="Arial" w:cs="Arial"/>
                <w:b/>
                <w:sz w:val="16"/>
                <w:szCs w:val="18"/>
                <w:lang w:val="en-GB" w:eastAsia="en-SG"/>
              </w:rPr>
              <w:t>8,344</w:t>
            </w:r>
          </w:p>
        </w:tc>
        <w:tc>
          <w:tcPr>
            <w:tcW w:w="1017" w:type="dxa"/>
            <w:tcBorders>
              <w:top w:val="nil"/>
              <w:left w:val="nil"/>
              <w:bottom w:val="nil"/>
              <w:right w:val="nil"/>
            </w:tcBorders>
            <w:shd w:val="clear" w:color="auto" w:fill="auto"/>
            <w:noWrap/>
            <w:vAlign w:val="center"/>
            <w:hideMark/>
          </w:tcPr>
          <w:p w14:paraId="26BFCA97" w14:textId="77777777" w:rsidR="009029F2" w:rsidRPr="001715D3" w:rsidRDefault="009029F2" w:rsidP="00A24F2F">
            <w:pPr>
              <w:jc w:val="right"/>
              <w:rPr>
                <w:rFonts w:ascii="Arial" w:hAnsi="Arial" w:cs="Arial"/>
                <w:b/>
                <w:sz w:val="16"/>
                <w:szCs w:val="18"/>
                <w:lang w:val="en-GB" w:eastAsia="en-SG"/>
              </w:rPr>
            </w:pPr>
            <w:r w:rsidRPr="001715D3">
              <w:rPr>
                <w:rFonts w:ascii="Arial" w:hAnsi="Arial" w:cs="Arial"/>
                <w:b/>
                <w:sz w:val="16"/>
                <w:szCs w:val="18"/>
                <w:lang w:val="en-GB" w:eastAsia="en-SG"/>
              </w:rPr>
              <w:t>4,330</w:t>
            </w:r>
          </w:p>
        </w:tc>
        <w:tc>
          <w:tcPr>
            <w:tcW w:w="1109" w:type="dxa"/>
            <w:tcBorders>
              <w:top w:val="nil"/>
              <w:left w:val="nil"/>
              <w:bottom w:val="nil"/>
              <w:right w:val="nil"/>
            </w:tcBorders>
            <w:shd w:val="clear" w:color="auto" w:fill="auto"/>
            <w:noWrap/>
            <w:vAlign w:val="center"/>
            <w:hideMark/>
          </w:tcPr>
          <w:p w14:paraId="26CBBF66" w14:textId="77777777" w:rsidR="009029F2" w:rsidRPr="001715D3" w:rsidRDefault="009029F2" w:rsidP="00A24F2F">
            <w:pPr>
              <w:jc w:val="right"/>
              <w:rPr>
                <w:rFonts w:ascii="Arial" w:hAnsi="Arial" w:cs="Arial"/>
                <w:b/>
                <w:sz w:val="16"/>
                <w:szCs w:val="18"/>
                <w:lang w:val="en-GB" w:eastAsia="en-SG"/>
              </w:rPr>
            </w:pPr>
            <w:r w:rsidRPr="001715D3">
              <w:rPr>
                <w:rFonts w:ascii="Arial" w:hAnsi="Arial" w:cs="Arial"/>
                <w:b/>
                <w:sz w:val="16"/>
                <w:szCs w:val="18"/>
                <w:lang w:val="en-GB" w:eastAsia="en-SG"/>
              </w:rPr>
              <w:t>5,764</w:t>
            </w:r>
          </w:p>
        </w:tc>
        <w:tc>
          <w:tcPr>
            <w:tcW w:w="1134" w:type="dxa"/>
            <w:tcBorders>
              <w:top w:val="nil"/>
              <w:left w:val="nil"/>
              <w:bottom w:val="nil"/>
              <w:right w:val="nil"/>
            </w:tcBorders>
            <w:shd w:val="clear" w:color="auto" w:fill="auto"/>
            <w:noWrap/>
            <w:vAlign w:val="center"/>
            <w:hideMark/>
          </w:tcPr>
          <w:p w14:paraId="717A7CE6" w14:textId="77777777" w:rsidR="009029F2" w:rsidRPr="001715D3" w:rsidRDefault="009029F2" w:rsidP="00A24F2F">
            <w:pPr>
              <w:jc w:val="right"/>
              <w:rPr>
                <w:rFonts w:ascii="Arial" w:hAnsi="Arial" w:cs="Arial"/>
                <w:b/>
                <w:sz w:val="16"/>
                <w:szCs w:val="18"/>
                <w:lang w:val="en-GB" w:eastAsia="en-SG"/>
              </w:rPr>
            </w:pPr>
            <w:r w:rsidRPr="001715D3">
              <w:rPr>
                <w:rFonts w:ascii="Arial" w:hAnsi="Arial" w:cs="Arial"/>
                <w:b/>
                <w:sz w:val="16"/>
                <w:szCs w:val="18"/>
                <w:lang w:val="en-GB" w:eastAsia="en-SG"/>
              </w:rPr>
              <w:t>4,256</w:t>
            </w:r>
          </w:p>
        </w:tc>
      </w:tr>
      <w:tr w:rsidR="002C3A1A" w:rsidRPr="001715D3" w14:paraId="20B73967" w14:textId="77777777" w:rsidTr="0000700E">
        <w:trPr>
          <w:trHeight w:val="43"/>
        </w:trPr>
        <w:tc>
          <w:tcPr>
            <w:tcW w:w="1168" w:type="dxa"/>
            <w:tcBorders>
              <w:top w:val="nil"/>
              <w:left w:val="nil"/>
              <w:bottom w:val="nil"/>
              <w:right w:val="nil"/>
            </w:tcBorders>
            <w:shd w:val="clear" w:color="auto" w:fill="auto"/>
            <w:noWrap/>
            <w:vAlign w:val="center"/>
            <w:hideMark/>
          </w:tcPr>
          <w:p w14:paraId="5FAF4D7B" w14:textId="77777777"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 xml:space="preserve">Loss per share: </w:t>
            </w:r>
          </w:p>
        </w:tc>
        <w:tc>
          <w:tcPr>
            <w:tcW w:w="2835" w:type="dxa"/>
            <w:tcBorders>
              <w:top w:val="nil"/>
              <w:left w:val="nil"/>
              <w:bottom w:val="nil"/>
              <w:right w:val="nil"/>
            </w:tcBorders>
            <w:shd w:val="clear" w:color="auto" w:fill="auto"/>
            <w:noWrap/>
            <w:vAlign w:val="center"/>
          </w:tcPr>
          <w:p w14:paraId="633C608B" w14:textId="77777777" w:rsidR="009029F2" w:rsidRPr="001715D3" w:rsidRDefault="009029F2" w:rsidP="00A24F2F">
            <w:pPr>
              <w:rPr>
                <w:rFonts w:ascii="Arial" w:hAnsi="Arial" w:cs="Arial"/>
                <w:sz w:val="16"/>
                <w:szCs w:val="18"/>
                <w:lang w:val="en-GB" w:eastAsia="en-SG"/>
              </w:rPr>
            </w:pPr>
          </w:p>
        </w:tc>
        <w:tc>
          <w:tcPr>
            <w:tcW w:w="992" w:type="dxa"/>
            <w:tcBorders>
              <w:top w:val="nil"/>
              <w:left w:val="nil"/>
              <w:bottom w:val="nil"/>
              <w:right w:val="nil"/>
            </w:tcBorders>
            <w:vAlign w:val="center"/>
          </w:tcPr>
          <w:p w14:paraId="07C1F8BC" w14:textId="77777777" w:rsidR="009029F2" w:rsidRPr="001715D3" w:rsidRDefault="009029F2" w:rsidP="00A24F2F">
            <w:pPr>
              <w:jc w:val="right"/>
              <w:rPr>
                <w:rFonts w:ascii="Arial" w:hAnsi="Arial" w:cs="Arial"/>
                <w:sz w:val="16"/>
                <w:szCs w:val="18"/>
                <w:lang w:val="en-GB" w:eastAsia="en-SG"/>
              </w:rPr>
            </w:pPr>
          </w:p>
        </w:tc>
        <w:tc>
          <w:tcPr>
            <w:tcW w:w="993" w:type="dxa"/>
            <w:tcBorders>
              <w:top w:val="nil"/>
              <w:left w:val="nil"/>
              <w:bottom w:val="nil"/>
              <w:right w:val="nil"/>
            </w:tcBorders>
            <w:shd w:val="clear" w:color="auto" w:fill="auto"/>
            <w:noWrap/>
            <w:vAlign w:val="center"/>
          </w:tcPr>
          <w:p w14:paraId="1E508DD0" w14:textId="7E2C623F" w:rsidR="009029F2" w:rsidRPr="001715D3" w:rsidRDefault="009029F2" w:rsidP="00A24F2F">
            <w:pPr>
              <w:jc w:val="right"/>
              <w:rPr>
                <w:rFonts w:ascii="Arial" w:hAnsi="Arial" w:cs="Arial"/>
                <w:sz w:val="16"/>
                <w:szCs w:val="18"/>
                <w:lang w:val="en-GB" w:eastAsia="en-SG"/>
              </w:rPr>
            </w:pPr>
          </w:p>
        </w:tc>
        <w:tc>
          <w:tcPr>
            <w:tcW w:w="1017" w:type="dxa"/>
            <w:tcBorders>
              <w:top w:val="nil"/>
              <w:left w:val="nil"/>
              <w:bottom w:val="nil"/>
              <w:right w:val="nil"/>
            </w:tcBorders>
            <w:shd w:val="clear" w:color="auto" w:fill="auto"/>
            <w:noWrap/>
            <w:vAlign w:val="center"/>
            <w:hideMark/>
          </w:tcPr>
          <w:p w14:paraId="135D2BD3" w14:textId="77777777" w:rsidR="009029F2" w:rsidRPr="001715D3" w:rsidRDefault="009029F2" w:rsidP="00A24F2F">
            <w:pPr>
              <w:jc w:val="right"/>
              <w:rPr>
                <w:rFonts w:ascii="Arial" w:hAnsi="Arial" w:cs="Arial"/>
                <w:sz w:val="16"/>
                <w:szCs w:val="18"/>
                <w:lang w:val="en-GB" w:eastAsia="en-SG"/>
              </w:rPr>
            </w:pPr>
          </w:p>
        </w:tc>
        <w:tc>
          <w:tcPr>
            <w:tcW w:w="1109" w:type="dxa"/>
            <w:tcBorders>
              <w:top w:val="nil"/>
              <w:left w:val="nil"/>
              <w:bottom w:val="nil"/>
              <w:right w:val="nil"/>
            </w:tcBorders>
            <w:shd w:val="clear" w:color="auto" w:fill="auto"/>
            <w:noWrap/>
            <w:vAlign w:val="center"/>
            <w:hideMark/>
          </w:tcPr>
          <w:p w14:paraId="7866E729" w14:textId="77777777" w:rsidR="009029F2" w:rsidRPr="001715D3" w:rsidRDefault="009029F2" w:rsidP="00A24F2F">
            <w:pPr>
              <w:jc w:val="right"/>
              <w:rPr>
                <w:rFonts w:ascii="Arial" w:hAnsi="Arial" w:cs="Arial"/>
                <w:sz w:val="16"/>
                <w:szCs w:val="18"/>
                <w:lang w:val="en-GB" w:eastAsia="en-SG"/>
              </w:rPr>
            </w:pPr>
          </w:p>
        </w:tc>
        <w:tc>
          <w:tcPr>
            <w:tcW w:w="1134" w:type="dxa"/>
            <w:tcBorders>
              <w:top w:val="nil"/>
              <w:left w:val="nil"/>
              <w:bottom w:val="nil"/>
              <w:right w:val="nil"/>
            </w:tcBorders>
            <w:shd w:val="clear" w:color="auto" w:fill="auto"/>
            <w:noWrap/>
            <w:vAlign w:val="center"/>
            <w:hideMark/>
          </w:tcPr>
          <w:p w14:paraId="1EBF01DD" w14:textId="77777777" w:rsidR="009029F2" w:rsidRPr="001715D3" w:rsidRDefault="009029F2" w:rsidP="00A24F2F">
            <w:pPr>
              <w:jc w:val="right"/>
              <w:rPr>
                <w:rFonts w:ascii="Arial" w:hAnsi="Arial" w:cs="Arial"/>
                <w:sz w:val="16"/>
                <w:szCs w:val="18"/>
                <w:lang w:val="en-GB" w:eastAsia="en-SG"/>
              </w:rPr>
            </w:pPr>
          </w:p>
        </w:tc>
      </w:tr>
      <w:tr w:rsidR="002C3A1A" w:rsidRPr="001715D3" w14:paraId="4F971B7B" w14:textId="77777777" w:rsidTr="0000700E">
        <w:trPr>
          <w:trHeight w:val="43"/>
        </w:trPr>
        <w:tc>
          <w:tcPr>
            <w:tcW w:w="1168" w:type="dxa"/>
            <w:tcBorders>
              <w:top w:val="nil"/>
              <w:left w:val="nil"/>
              <w:right w:val="nil"/>
            </w:tcBorders>
            <w:shd w:val="clear" w:color="auto" w:fill="auto"/>
            <w:noWrap/>
            <w:vAlign w:val="center"/>
            <w:hideMark/>
          </w:tcPr>
          <w:p w14:paraId="3021EE26" w14:textId="77777777" w:rsidR="009029F2" w:rsidRPr="001715D3" w:rsidRDefault="009029F2" w:rsidP="00A24F2F">
            <w:pPr>
              <w:rPr>
                <w:rFonts w:ascii="Arial" w:hAnsi="Arial" w:cs="Arial"/>
                <w:sz w:val="16"/>
                <w:szCs w:val="18"/>
                <w:lang w:val="en-GB" w:eastAsia="en-SG"/>
              </w:rPr>
            </w:pPr>
          </w:p>
        </w:tc>
        <w:tc>
          <w:tcPr>
            <w:tcW w:w="2835" w:type="dxa"/>
            <w:tcBorders>
              <w:top w:val="nil"/>
              <w:left w:val="nil"/>
              <w:right w:val="nil"/>
            </w:tcBorders>
            <w:shd w:val="clear" w:color="auto" w:fill="auto"/>
            <w:noWrap/>
            <w:vAlign w:val="center"/>
            <w:hideMark/>
          </w:tcPr>
          <w:p w14:paraId="20B9F775" w14:textId="311305C7"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Basic</w:t>
            </w:r>
            <w:r w:rsidR="00DE1B74" w:rsidRPr="001715D3">
              <w:rPr>
                <w:rFonts w:ascii="Arial" w:hAnsi="Arial" w:cs="Arial"/>
                <w:sz w:val="16"/>
                <w:szCs w:val="18"/>
                <w:lang w:val="en-GB" w:eastAsia="en-SG"/>
              </w:rPr>
              <w:t>,</w:t>
            </w:r>
            <w:r w:rsidR="00F64957" w:rsidRPr="001715D3">
              <w:rPr>
                <w:rFonts w:ascii="Arial" w:hAnsi="Arial" w:cs="Arial"/>
                <w:sz w:val="16"/>
                <w:szCs w:val="18"/>
                <w:lang w:val="en-GB" w:eastAsia="en-SG"/>
              </w:rPr>
              <w:t xml:space="preserve"> from continuing operations</w:t>
            </w:r>
          </w:p>
        </w:tc>
        <w:tc>
          <w:tcPr>
            <w:tcW w:w="992" w:type="dxa"/>
            <w:tcBorders>
              <w:top w:val="nil"/>
              <w:left w:val="nil"/>
              <w:right w:val="nil"/>
            </w:tcBorders>
            <w:shd w:val="clear" w:color="auto" w:fill="auto"/>
            <w:vAlign w:val="center"/>
          </w:tcPr>
          <w:p w14:paraId="5F2AA576" w14:textId="41D1678E"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334B2" w:rsidRPr="001715D3">
              <w:rPr>
                <w:rFonts w:ascii="Arial" w:hAnsi="Arial" w:cs="Arial"/>
                <w:sz w:val="16"/>
                <w:szCs w:val="18"/>
                <w:lang w:val="en-GB" w:eastAsia="en-SG"/>
              </w:rPr>
              <w:t>8.50</w:t>
            </w:r>
          </w:p>
        </w:tc>
        <w:tc>
          <w:tcPr>
            <w:tcW w:w="993" w:type="dxa"/>
            <w:tcBorders>
              <w:top w:val="nil"/>
              <w:left w:val="nil"/>
              <w:right w:val="nil"/>
            </w:tcBorders>
            <w:shd w:val="clear" w:color="auto" w:fill="auto"/>
            <w:noWrap/>
            <w:vAlign w:val="center"/>
            <w:hideMark/>
          </w:tcPr>
          <w:p w14:paraId="1956FA34" w14:textId="197E7846"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9029F2" w:rsidRPr="001715D3">
              <w:rPr>
                <w:rFonts w:ascii="Arial" w:hAnsi="Arial" w:cs="Arial"/>
                <w:sz w:val="16"/>
                <w:szCs w:val="18"/>
                <w:lang w:val="en-GB" w:eastAsia="en-SG"/>
              </w:rPr>
              <w:t>1</w:t>
            </w:r>
            <w:r w:rsidR="00F64957" w:rsidRPr="001715D3">
              <w:rPr>
                <w:rFonts w:ascii="Arial" w:hAnsi="Arial" w:cs="Arial"/>
                <w:sz w:val="16"/>
                <w:szCs w:val="18"/>
                <w:lang w:val="en-GB" w:eastAsia="en-SG"/>
              </w:rPr>
              <w:t>4.47</w:t>
            </w:r>
          </w:p>
        </w:tc>
        <w:tc>
          <w:tcPr>
            <w:tcW w:w="1017" w:type="dxa"/>
            <w:tcBorders>
              <w:top w:val="nil"/>
              <w:left w:val="nil"/>
              <w:right w:val="nil"/>
            </w:tcBorders>
            <w:shd w:val="clear" w:color="auto" w:fill="auto"/>
            <w:noWrap/>
            <w:vAlign w:val="center"/>
            <w:hideMark/>
          </w:tcPr>
          <w:p w14:paraId="38C9674C" w14:textId="77777777" w:rsidR="009029F2" w:rsidRPr="001715D3" w:rsidRDefault="009029F2" w:rsidP="00A24F2F">
            <w:pPr>
              <w:jc w:val="right"/>
              <w:rPr>
                <w:rFonts w:ascii="Arial" w:hAnsi="Arial" w:cs="Arial"/>
                <w:sz w:val="16"/>
                <w:szCs w:val="18"/>
                <w:lang w:val="en-GB" w:eastAsia="en-SG"/>
              </w:rPr>
            </w:pPr>
            <w:r w:rsidRPr="001715D3">
              <w:rPr>
                <w:rFonts w:ascii="Arial" w:hAnsi="Arial" w:cs="Arial"/>
                <w:sz w:val="16"/>
                <w:szCs w:val="18"/>
                <w:lang w:val="en-GB" w:eastAsia="en-SG"/>
              </w:rPr>
              <w:t>2.95</w:t>
            </w:r>
          </w:p>
        </w:tc>
        <w:tc>
          <w:tcPr>
            <w:tcW w:w="1109" w:type="dxa"/>
            <w:tcBorders>
              <w:top w:val="nil"/>
              <w:left w:val="nil"/>
              <w:right w:val="nil"/>
            </w:tcBorders>
            <w:shd w:val="clear" w:color="auto" w:fill="auto"/>
            <w:noWrap/>
            <w:vAlign w:val="center"/>
            <w:hideMark/>
          </w:tcPr>
          <w:p w14:paraId="218C9040" w14:textId="23D8C60F"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9029F2" w:rsidRPr="001715D3">
              <w:rPr>
                <w:rFonts w:ascii="Arial" w:hAnsi="Arial" w:cs="Arial"/>
                <w:sz w:val="16"/>
                <w:szCs w:val="18"/>
                <w:lang w:val="en-GB" w:eastAsia="en-SG"/>
              </w:rPr>
              <w:t>16.25</w:t>
            </w:r>
          </w:p>
        </w:tc>
        <w:tc>
          <w:tcPr>
            <w:tcW w:w="1134" w:type="dxa"/>
            <w:tcBorders>
              <w:top w:val="nil"/>
              <w:left w:val="nil"/>
              <w:right w:val="nil"/>
            </w:tcBorders>
            <w:shd w:val="clear" w:color="auto" w:fill="auto"/>
            <w:noWrap/>
            <w:vAlign w:val="center"/>
            <w:hideMark/>
          </w:tcPr>
          <w:p w14:paraId="28869F39" w14:textId="4E3302DE"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9029F2" w:rsidRPr="001715D3">
              <w:rPr>
                <w:rFonts w:ascii="Arial" w:hAnsi="Arial" w:cs="Arial"/>
                <w:sz w:val="16"/>
                <w:szCs w:val="18"/>
                <w:lang w:val="en-GB" w:eastAsia="en-SG"/>
              </w:rPr>
              <w:t>18.54</w:t>
            </w:r>
          </w:p>
        </w:tc>
      </w:tr>
      <w:tr w:rsidR="002C3A1A" w:rsidRPr="001715D3" w14:paraId="4780025E" w14:textId="77777777" w:rsidTr="0000700E">
        <w:trPr>
          <w:trHeight w:val="102"/>
        </w:trPr>
        <w:tc>
          <w:tcPr>
            <w:tcW w:w="1168" w:type="dxa"/>
            <w:tcBorders>
              <w:top w:val="nil"/>
              <w:left w:val="nil"/>
              <w:right w:val="nil"/>
            </w:tcBorders>
            <w:shd w:val="clear" w:color="auto" w:fill="auto"/>
            <w:noWrap/>
            <w:vAlign w:val="center"/>
          </w:tcPr>
          <w:p w14:paraId="1E835630" w14:textId="77777777" w:rsidR="00F64957" w:rsidRPr="001715D3" w:rsidRDefault="00F64957" w:rsidP="00A24F2F">
            <w:pPr>
              <w:rPr>
                <w:rFonts w:ascii="Arial" w:hAnsi="Arial" w:cs="Arial"/>
                <w:sz w:val="16"/>
                <w:szCs w:val="18"/>
                <w:lang w:val="en-GB" w:eastAsia="en-SG"/>
              </w:rPr>
            </w:pPr>
          </w:p>
        </w:tc>
        <w:tc>
          <w:tcPr>
            <w:tcW w:w="2835" w:type="dxa"/>
            <w:tcBorders>
              <w:top w:val="nil"/>
              <w:left w:val="nil"/>
              <w:right w:val="nil"/>
            </w:tcBorders>
            <w:shd w:val="clear" w:color="auto" w:fill="auto"/>
            <w:noWrap/>
            <w:vAlign w:val="center"/>
          </w:tcPr>
          <w:p w14:paraId="2F8E3AD1" w14:textId="1601DB30" w:rsidR="00F64957" w:rsidRPr="001715D3" w:rsidRDefault="00F64957" w:rsidP="00A24F2F">
            <w:pPr>
              <w:rPr>
                <w:rFonts w:ascii="Arial" w:hAnsi="Arial" w:cs="Arial"/>
                <w:sz w:val="16"/>
                <w:szCs w:val="18"/>
                <w:lang w:val="en-GB" w:eastAsia="en-SG"/>
              </w:rPr>
            </w:pPr>
            <w:r w:rsidRPr="001715D3">
              <w:rPr>
                <w:rFonts w:ascii="Arial" w:hAnsi="Arial" w:cs="Arial"/>
                <w:sz w:val="16"/>
                <w:szCs w:val="18"/>
                <w:lang w:val="en-GB" w:eastAsia="en-SG"/>
              </w:rPr>
              <w:t>Basic</w:t>
            </w:r>
            <w:r w:rsidR="00DE1B74" w:rsidRPr="001715D3">
              <w:rPr>
                <w:rFonts w:ascii="Arial" w:hAnsi="Arial" w:cs="Arial"/>
                <w:sz w:val="16"/>
                <w:szCs w:val="18"/>
                <w:lang w:val="en-GB" w:eastAsia="en-SG"/>
              </w:rPr>
              <w:t>,</w:t>
            </w:r>
            <w:r w:rsidRPr="001715D3">
              <w:rPr>
                <w:rFonts w:ascii="Arial" w:hAnsi="Arial" w:cs="Arial"/>
                <w:sz w:val="16"/>
                <w:szCs w:val="18"/>
                <w:lang w:val="en-GB" w:eastAsia="en-SG"/>
              </w:rPr>
              <w:t xml:space="preserve"> from discontinued operations</w:t>
            </w:r>
          </w:p>
        </w:tc>
        <w:tc>
          <w:tcPr>
            <w:tcW w:w="992" w:type="dxa"/>
            <w:tcBorders>
              <w:top w:val="nil"/>
              <w:left w:val="nil"/>
              <w:right w:val="nil"/>
            </w:tcBorders>
            <w:shd w:val="clear" w:color="auto" w:fill="auto"/>
            <w:vAlign w:val="center"/>
          </w:tcPr>
          <w:p w14:paraId="7E73336C" w14:textId="219E9F47" w:rsidR="00F64957" w:rsidRPr="001715D3" w:rsidRDefault="004334B2" w:rsidP="00A24F2F">
            <w:pPr>
              <w:jc w:val="right"/>
              <w:rPr>
                <w:rFonts w:ascii="Arial" w:hAnsi="Arial" w:cs="Arial"/>
                <w:sz w:val="16"/>
                <w:szCs w:val="18"/>
                <w:lang w:val="en-GB" w:eastAsia="en-SG"/>
              </w:rPr>
            </w:pPr>
            <w:r w:rsidRPr="001715D3">
              <w:rPr>
                <w:rFonts w:ascii="Arial" w:hAnsi="Arial" w:cs="Arial"/>
                <w:sz w:val="16"/>
                <w:szCs w:val="18"/>
                <w:lang w:val="en-GB" w:eastAsia="en-SG"/>
              </w:rPr>
              <w:t>35.77</w:t>
            </w:r>
          </w:p>
        </w:tc>
        <w:tc>
          <w:tcPr>
            <w:tcW w:w="993" w:type="dxa"/>
            <w:tcBorders>
              <w:top w:val="nil"/>
              <w:left w:val="nil"/>
              <w:right w:val="nil"/>
            </w:tcBorders>
            <w:shd w:val="clear" w:color="auto" w:fill="auto"/>
            <w:noWrap/>
            <w:vAlign w:val="center"/>
          </w:tcPr>
          <w:p w14:paraId="2488ABB9" w14:textId="202AB641" w:rsidR="00F64957" w:rsidRPr="001715D3" w:rsidRDefault="004334B2" w:rsidP="00A24F2F">
            <w:pPr>
              <w:jc w:val="right"/>
              <w:rPr>
                <w:rFonts w:ascii="Arial" w:hAnsi="Arial" w:cs="Arial"/>
                <w:sz w:val="16"/>
                <w:szCs w:val="18"/>
                <w:lang w:val="en-GB" w:eastAsia="en-SG"/>
              </w:rPr>
            </w:pPr>
            <w:r w:rsidRPr="001715D3">
              <w:rPr>
                <w:rFonts w:ascii="Arial" w:hAnsi="Arial" w:cs="Arial"/>
                <w:sz w:val="16"/>
                <w:szCs w:val="18"/>
                <w:lang w:val="en-GB" w:eastAsia="en-SG"/>
              </w:rPr>
              <w:t>4.42</w:t>
            </w:r>
          </w:p>
        </w:tc>
        <w:tc>
          <w:tcPr>
            <w:tcW w:w="1017" w:type="dxa"/>
            <w:tcBorders>
              <w:top w:val="nil"/>
              <w:left w:val="nil"/>
              <w:right w:val="nil"/>
            </w:tcBorders>
            <w:shd w:val="clear" w:color="auto" w:fill="auto"/>
            <w:noWrap/>
            <w:vAlign w:val="center"/>
          </w:tcPr>
          <w:p w14:paraId="2A30AADB" w14:textId="77777777" w:rsidR="00F64957" w:rsidRPr="001715D3" w:rsidRDefault="00F64957" w:rsidP="00A24F2F">
            <w:pPr>
              <w:jc w:val="right"/>
              <w:rPr>
                <w:rFonts w:ascii="Arial" w:hAnsi="Arial" w:cs="Arial"/>
                <w:sz w:val="16"/>
                <w:szCs w:val="18"/>
                <w:lang w:val="en-GB" w:eastAsia="en-SG"/>
              </w:rPr>
            </w:pPr>
          </w:p>
        </w:tc>
        <w:tc>
          <w:tcPr>
            <w:tcW w:w="1109" w:type="dxa"/>
            <w:tcBorders>
              <w:top w:val="nil"/>
              <w:left w:val="nil"/>
              <w:right w:val="nil"/>
            </w:tcBorders>
            <w:shd w:val="clear" w:color="auto" w:fill="auto"/>
            <w:noWrap/>
            <w:vAlign w:val="center"/>
          </w:tcPr>
          <w:p w14:paraId="28175473" w14:textId="77777777" w:rsidR="00F64957" w:rsidRPr="001715D3" w:rsidRDefault="00F64957" w:rsidP="00A24F2F">
            <w:pPr>
              <w:jc w:val="right"/>
              <w:rPr>
                <w:rFonts w:ascii="Arial" w:hAnsi="Arial" w:cs="Arial"/>
                <w:sz w:val="16"/>
                <w:szCs w:val="18"/>
                <w:lang w:val="en-GB" w:eastAsia="en-SG"/>
              </w:rPr>
            </w:pPr>
          </w:p>
        </w:tc>
        <w:tc>
          <w:tcPr>
            <w:tcW w:w="1134" w:type="dxa"/>
            <w:tcBorders>
              <w:top w:val="nil"/>
              <w:left w:val="nil"/>
              <w:right w:val="nil"/>
            </w:tcBorders>
            <w:shd w:val="clear" w:color="auto" w:fill="auto"/>
            <w:noWrap/>
            <w:vAlign w:val="center"/>
          </w:tcPr>
          <w:p w14:paraId="220F7ECB" w14:textId="77777777" w:rsidR="00F64957" w:rsidRPr="001715D3" w:rsidRDefault="00F64957" w:rsidP="00A24F2F">
            <w:pPr>
              <w:jc w:val="right"/>
              <w:rPr>
                <w:rFonts w:ascii="Arial" w:hAnsi="Arial" w:cs="Arial"/>
                <w:sz w:val="16"/>
                <w:szCs w:val="18"/>
                <w:lang w:val="en-GB" w:eastAsia="en-SG"/>
              </w:rPr>
            </w:pPr>
          </w:p>
        </w:tc>
      </w:tr>
      <w:tr w:rsidR="002C3A1A" w:rsidRPr="001715D3" w14:paraId="03AEDF46" w14:textId="77777777" w:rsidTr="0000700E">
        <w:trPr>
          <w:trHeight w:val="62"/>
        </w:trPr>
        <w:tc>
          <w:tcPr>
            <w:tcW w:w="1168" w:type="dxa"/>
            <w:tcBorders>
              <w:top w:val="nil"/>
              <w:left w:val="nil"/>
              <w:bottom w:val="nil"/>
              <w:right w:val="nil"/>
            </w:tcBorders>
            <w:shd w:val="clear" w:color="auto" w:fill="auto"/>
            <w:noWrap/>
            <w:vAlign w:val="center"/>
            <w:hideMark/>
          </w:tcPr>
          <w:p w14:paraId="73062C5A" w14:textId="77777777" w:rsidR="009029F2" w:rsidRPr="001715D3" w:rsidRDefault="009029F2" w:rsidP="00A24F2F">
            <w:pPr>
              <w:rPr>
                <w:rFonts w:ascii="Arial" w:hAnsi="Arial" w:cs="Arial"/>
                <w:sz w:val="16"/>
                <w:szCs w:val="18"/>
                <w:lang w:val="en-GB" w:eastAsia="en-SG"/>
              </w:rPr>
            </w:pPr>
          </w:p>
        </w:tc>
        <w:tc>
          <w:tcPr>
            <w:tcW w:w="2835" w:type="dxa"/>
            <w:tcBorders>
              <w:top w:val="nil"/>
              <w:left w:val="nil"/>
              <w:bottom w:val="nil"/>
              <w:right w:val="nil"/>
            </w:tcBorders>
            <w:shd w:val="clear" w:color="auto" w:fill="auto"/>
            <w:noWrap/>
            <w:vAlign w:val="center"/>
            <w:hideMark/>
          </w:tcPr>
          <w:p w14:paraId="4EE05D66" w14:textId="6042806D" w:rsidR="009029F2" w:rsidRPr="001715D3" w:rsidRDefault="009029F2" w:rsidP="00A24F2F">
            <w:pPr>
              <w:rPr>
                <w:rFonts w:ascii="Arial" w:hAnsi="Arial" w:cs="Arial"/>
                <w:sz w:val="16"/>
                <w:szCs w:val="18"/>
                <w:lang w:val="en-GB" w:eastAsia="en-SG"/>
              </w:rPr>
            </w:pPr>
            <w:r w:rsidRPr="001715D3">
              <w:rPr>
                <w:rFonts w:ascii="Arial" w:hAnsi="Arial" w:cs="Arial"/>
                <w:sz w:val="16"/>
                <w:szCs w:val="18"/>
                <w:lang w:val="en-GB" w:eastAsia="en-SG"/>
              </w:rPr>
              <w:t>Diluted</w:t>
            </w:r>
            <w:r w:rsidR="00DE1B74" w:rsidRPr="001715D3">
              <w:rPr>
                <w:rFonts w:ascii="Arial" w:hAnsi="Arial" w:cs="Arial"/>
                <w:sz w:val="16"/>
                <w:szCs w:val="18"/>
                <w:lang w:val="en-GB" w:eastAsia="en-SG"/>
              </w:rPr>
              <w:t xml:space="preserve">, </w:t>
            </w:r>
            <w:r w:rsidR="00F64957" w:rsidRPr="001715D3">
              <w:rPr>
                <w:rFonts w:ascii="Arial" w:hAnsi="Arial" w:cs="Arial"/>
                <w:sz w:val="16"/>
                <w:szCs w:val="18"/>
                <w:lang w:val="en-GB" w:eastAsia="en-SG"/>
              </w:rPr>
              <w:t>from continuing operations</w:t>
            </w:r>
          </w:p>
        </w:tc>
        <w:tc>
          <w:tcPr>
            <w:tcW w:w="992" w:type="dxa"/>
            <w:tcBorders>
              <w:top w:val="nil"/>
              <w:left w:val="nil"/>
              <w:bottom w:val="nil"/>
              <w:right w:val="nil"/>
            </w:tcBorders>
            <w:shd w:val="clear" w:color="auto" w:fill="auto"/>
            <w:vAlign w:val="center"/>
          </w:tcPr>
          <w:p w14:paraId="4D40207A" w14:textId="7245B414"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334B2" w:rsidRPr="001715D3">
              <w:rPr>
                <w:rFonts w:ascii="Arial" w:hAnsi="Arial" w:cs="Arial"/>
                <w:sz w:val="16"/>
                <w:szCs w:val="18"/>
                <w:lang w:val="en-GB" w:eastAsia="en-SG"/>
              </w:rPr>
              <w:t>8.50</w:t>
            </w:r>
          </w:p>
        </w:tc>
        <w:tc>
          <w:tcPr>
            <w:tcW w:w="993" w:type="dxa"/>
            <w:tcBorders>
              <w:top w:val="nil"/>
              <w:left w:val="nil"/>
              <w:bottom w:val="nil"/>
              <w:right w:val="nil"/>
            </w:tcBorders>
            <w:shd w:val="clear" w:color="auto" w:fill="auto"/>
            <w:noWrap/>
            <w:vAlign w:val="center"/>
            <w:hideMark/>
          </w:tcPr>
          <w:p w14:paraId="106BF0B1" w14:textId="771A6557"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4334B2" w:rsidRPr="001715D3">
              <w:rPr>
                <w:rFonts w:ascii="Arial" w:hAnsi="Arial" w:cs="Arial"/>
                <w:sz w:val="16"/>
                <w:szCs w:val="18"/>
                <w:lang w:val="en-GB" w:eastAsia="en-SG"/>
              </w:rPr>
              <w:t>14.47</w:t>
            </w:r>
          </w:p>
        </w:tc>
        <w:tc>
          <w:tcPr>
            <w:tcW w:w="1017" w:type="dxa"/>
            <w:tcBorders>
              <w:top w:val="nil"/>
              <w:left w:val="nil"/>
              <w:bottom w:val="nil"/>
              <w:right w:val="nil"/>
            </w:tcBorders>
            <w:shd w:val="clear" w:color="auto" w:fill="auto"/>
            <w:noWrap/>
            <w:vAlign w:val="center"/>
            <w:hideMark/>
          </w:tcPr>
          <w:p w14:paraId="17FD7997" w14:textId="77777777" w:rsidR="009029F2" w:rsidRPr="001715D3" w:rsidRDefault="009029F2" w:rsidP="00A24F2F">
            <w:pPr>
              <w:jc w:val="right"/>
              <w:rPr>
                <w:rFonts w:ascii="Arial" w:hAnsi="Arial" w:cs="Arial"/>
                <w:sz w:val="16"/>
                <w:szCs w:val="18"/>
                <w:lang w:val="en-GB" w:eastAsia="en-SG"/>
              </w:rPr>
            </w:pPr>
            <w:r w:rsidRPr="001715D3">
              <w:rPr>
                <w:rFonts w:ascii="Arial" w:hAnsi="Arial" w:cs="Arial"/>
                <w:sz w:val="16"/>
                <w:szCs w:val="18"/>
                <w:lang w:val="en-GB" w:eastAsia="en-SG"/>
              </w:rPr>
              <w:t>2.95</w:t>
            </w:r>
          </w:p>
        </w:tc>
        <w:tc>
          <w:tcPr>
            <w:tcW w:w="1109" w:type="dxa"/>
            <w:tcBorders>
              <w:top w:val="nil"/>
              <w:left w:val="nil"/>
              <w:bottom w:val="nil"/>
              <w:right w:val="nil"/>
            </w:tcBorders>
            <w:shd w:val="clear" w:color="auto" w:fill="auto"/>
            <w:noWrap/>
            <w:vAlign w:val="center"/>
            <w:hideMark/>
          </w:tcPr>
          <w:p w14:paraId="722E4DAD" w14:textId="4AAEA108"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9029F2" w:rsidRPr="001715D3">
              <w:rPr>
                <w:rFonts w:ascii="Arial" w:hAnsi="Arial" w:cs="Arial"/>
                <w:sz w:val="16"/>
                <w:szCs w:val="18"/>
                <w:lang w:val="en-GB" w:eastAsia="en-SG"/>
              </w:rPr>
              <w:t>16.25</w:t>
            </w:r>
          </w:p>
        </w:tc>
        <w:tc>
          <w:tcPr>
            <w:tcW w:w="1134" w:type="dxa"/>
            <w:tcBorders>
              <w:top w:val="nil"/>
              <w:left w:val="nil"/>
              <w:bottom w:val="nil"/>
              <w:right w:val="nil"/>
            </w:tcBorders>
            <w:shd w:val="clear" w:color="auto" w:fill="auto"/>
            <w:noWrap/>
            <w:vAlign w:val="center"/>
            <w:hideMark/>
          </w:tcPr>
          <w:p w14:paraId="7566CC0C" w14:textId="28649570" w:rsidR="009029F2" w:rsidRPr="001715D3" w:rsidRDefault="00DE1B74" w:rsidP="00A24F2F">
            <w:pPr>
              <w:jc w:val="right"/>
              <w:rPr>
                <w:rFonts w:ascii="Arial" w:hAnsi="Arial" w:cs="Arial"/>
                <w:sz w:val="16"/>
                <w:szCs w:val="18"/>
                <w:lang w:val="en-GB" w:eastAsia="en-SG"/>
              </w:rPr>
            </w:pPr>
            <w:r w:rsidRPr="001715D3">
              <w:rPr>
                <w:rFonts w:ascii="Arial" w:hAnsi="Arial" w:cs="Arial"/>
                <w:sz w:val="16"/>
                <w:szCs w:val="18"/>
                <w:lang w:val="en-GB" w:eastAsia="en-SG"/>
              </w:rPr>
              <w:t>−</w:t>
            </w:r>
            <w:r w:rsidR="009029F2" w:rsidRPr="001715D3">
              <w:rPr>
                <w:rFonts w:ascii="Arial" w:hAnsi="Arial" w:cs="Arial"/>
                <w:sz w:val="16"/>
                <w:szCs w:val="18"/>
                <w:lang w:val="en-GB" w:eastAsia="en-SG"/>
              </w:rPr>
              <w:t>18.54</w:t>
            </w:r>
          </w:p>
        </w:tc>
      </w:tr>
      <w:tr w:rsidR="002C3A1A" w:rsidRPr="001715D3" w14:paraId="7AB9B840" w14:textId="77777777" w:rsidTr="0000700E">
        <w:trPr>
          <w:trHeight w:val="163"/>
        </w:trPr>
        <w:tc>
          <w:tcPr>
            <w:tcW w:w="1168" w:type="dxa"/>
            <w:tcBorders>
              <w:top w:val="nil"/>
              <w:left w:val="nil"/>
              <w:bottom w:val="single" w:sz="4" w:space="0" w:color="auto"/>
              <w:right w:val="nil"/>
            </w:tcBorders>
            <w:shd w:val="clear" w:color="auto" w:fill="auto"/>
            <w:noWrap/>
            <w:vAlign w:val="center"/>
          </w:tcPr>
          <w:p w14:paraId="28F247C0" w14:textId="77777777" w:rsidR="00F64957" w:rsidRPr="001715D3" w:rsidRDefault="00F64957" w:rsidP="00A24F2F">
            <w:pPr>
              <w:rPr>
                <w:rFonts w:ascii="Arial" w:hAnsi="Arial" w:cs="Arial"/>
                <w:sz w:val="16"/>
                <w:szCs w:val="18"/>
                <w:lang w:val="en-GB" w:eastAsia="en-SG"/>
              </w:rPr>
            </w:pPr>
          </w:p>
        </w:tc>
        <w:tc>
          <w:tcPr>
            <w:tcW w:w="2835" w:type="dxa"/>
            <w:tcBorders>
              <w:top w:val="nil"/>
              <w:left w:val="nil"/>
              <w:bottom w:val="single" w:sz="4" w:space="0" w:color="auto"/>
              <w:right w:val="nil"/>
            </w:tcBorders>
            <w:shd w:val="clear" w:color="auto" w:fill="auto"/>
            <w:noWrap/>
            <w:vAlign w:val="center"/>
          </w:tcPr>
          <w:p w14:paraId="71B75F32" w14:textId="35C5A1E2" w:rsidR="00F64957" w:rsidRPr="001715D3" w:rsidRDefault="00F64957" w:rsidP="00A24F2F">
            <w:pPr>
              <w:rPr>
                <w:rFonts w:ascii="Arial" w:hAnsi="Arial" w:cs="Arial"/>
                <w:sz w:val="16"/>
                <w:szCs w:val="18"/>
                <w:lang w:val="en-GB" w:eastAsia="en-SG"/>
              </w:rPr>
            </w:pPr>
            <w:r w:rsidRPr="001715D3">
              <w:rPr>
                <w:rFonts w:ascii="Arial" w:hAnsi="Arial" w:cs="Arial"/>
                <w:sz w:val="16"/>
                <w:szCs w:val="18"/>
                <w:lang w:val="en-GB" w:eastAsia="en-SG"/>
              </w:rPr>
              <w:t>Diluted</w:t>
            </w:r>
            <w:r w:rsidR="00DE1B74" w:rsidRPr="001715D3">
              <w:rPr>
                <w:rFonts w:ascii="Arial" w:hAnsi="Arial" w:cs="Arial"/>
                <w:sz w:val="16"/>
                <w:szCs w:val="18"/>
                <w:lang w:val="en-GB" w:eastAsia="en-SG"/>
              </w:rPr>
              <w:t xml:space="preserve">, </w:t>
            </w:r>
            <w:r w:rsidRPr="001715D3">
              <w:rPr>
                <w:rFonts w:ascii="Arial" w:hAnsi="Arial" w:cs="Arial"/>
                <w:sz w:val="16"/>
                <w:szCs w:val="18"/>
                <w:lang w:val="en-GB" w:eastAsia="en-SG"/>
              </w:rPr>
              <w:t>from discontinued operations</w:t>
            </w:r>
          </w:p>
        </w:tc>
        <w:tc>
          <w:tcPr>
            <w:tcW w:w="992" w:type="dxa"/>
            <w:tcBorders>
              <w:top w:val="nil"/>
              <w:left w:val="nil"/>
              <w:bottom w:val="single" w:sz="4" w:space="0" w:color="auto"/>
              <w:right w:val="nil"/>
            </w:tcBorders>
            <w:shd w:val="clear" w:color="auto" w:fill="auto"/>
            <w:vAlign w:val="center"/>
          </w:tcPr>
          <w:p w14:paraId="22CC0830" w14:textId="2A68AAD9" w:rsidR="00F64957" w:rsidRPr="001715D3" w:rsidRDefault="004334B2" w:rsidP="00A24F2F">
            <w:pPr>
              <w:jc w:val="right"/>
              <w:rPr>
                <w:rFonts w:ascii="Arial" w:hAnsi="Arial" w:cs="Arial"/>
                <w:sz w:val="16"/>
                <w:szCs w:val="18"/>
                <w:lang w:val="en-GB" w:eastAsia="en-SG"/>
              </w:rPr>
            </w:pPr>
            <w:r w:rsidRPr="001715D3">
              <w:rPr>
                <w:rFonts w:ascii="Arial" w:hAnsi="Arial" w:cs="Arial"/>
                <w:sz w:val="16"/>
                <w:szCs w:val="18"/>
                <w:lang w:val="en-GB" w:eastAsia="en-SG"/>
              </w:rPr>
              <w:t>35.77</w:t>
            </w:r>
          </w:p>
        </w:tc>
        <w:tc>
          <w:tcPr>
            <w:tcW w:w="993" w:type="dxa"/>
            <w:tcBorders>
              <w:top w:val="nil"/>
              <w:left w:val="nil"/>
              <w:bottom w:val="single" w:sz="4" w:space="0" w:color="auto"/>
              <w:right w:val="nil"/>
            </w:tcBorders>
            <w:shd w:val="clear" w:color="auto" w:fill="auto"/>
            <w:noWrap/>
            <w:vAlign w:val="center"/>
          </w:tcPr>
          <w:p w14:paraId="0862D935" w14:textId="4D06D2DB" w:rsidR="00F64957" w:rsidRPr="001715D3" w:rsidRDefault="004334B2" w:rsidP="00A24F2F">
            <w:pPr>
              <w:jc w:val="right"/>
              <w:rPr>
                <w:rFonts w:ascii="Arial" w:hAnsi="Arial" w:cs="Arial"/>
                <w:sz w:val="16"/>
                <w:szCs w:val="18"/>
                <w:lang w:val="en-GB" w:eastAsia="en-SG"/>
              </w:rPr>
            </w:pPr>
            <w:r w:rsidRPr="001715D3">
              <w:rPr>
                <w:rFonts w:ascii="Arial" w:hAnsi="Arial" w:cs="Arial"/>
                <w:sz w:val="16"/>
                <w:szCs w:val="18"/>
                <w:lang w:val="en-GB" w:eastAsia="en-SG"/>
              </w:rPr>
              <w:t>4.42</w:t>
            </w:r>
          </w:p>
        </w:tc>
        <w:tc>
          <w:tcPr>
            <w:tcW w:w="1017" w:type="dxa"/>
            <w:tcBorders>
              <w:top w:val="nil"/>
              <w:left w:val="nil"/>
              <w:bottom w:val="single" w:sz="4" w:space="0" w:color="auto"/>
              <w:right w:val="nil"/>
            </w:tcBorders>
            <w:shd w:val="clear" w:color="auto" w:fill="auto"/>
            <w:noWrap/>
            <w:vAlign w:val="center"/>
          </w:tcPr>
          <w:p w14:paraId="53336978" w14:textId="77777777" w:rsidR="00F64957" w:rsidRPr="001715D3" w:rsidRDefault="00F64957" w:rsidP="00A24F2F">
            <w:pPr>
              <w:jc w:val="right"/>
              <w:rPr>
                <w:rFonts w:ascii="Arial" w:hAnsi="Arial" w:cs="Arial"/>
                <w:sz w:val="16"/>
                <w:szCs w:val="18"/>
                <w:lang w:val="en-GB" w:eastAsia="en-SG"/>
              </w:rPr>
            </w:pPr>
          </w:p>
        </w:tc>
        <w:tc>
          <w:tcPr>
            <w:tcW w:w="1109" w:type="dxa"/>
            <w:tcBorders>
              <w:top w:val="nil"/>
              <w:left w:val="nil"/>
              <w:bottom w:val="single" w:sz="4" w:space="0" w:color="auto"/>
              <w:right w:val="nil"/>
            </w:tcBorders>
            <w:shd w:val="clear" w:color="auto" w:fill="auto"/>
            <w:noWrap/>
            <w:vAlign w:val="center"/>
          </w:tcPr>
          <w:p w14:paraId="766208AB" w14:textId="77777777" w:rsidR="00F64957" w:rsidRPr="001715D3" w:rsidRDefault="00F64957" w:rsidP="00A24F2F">
            <w:pPr>
              <w:jc w:val="right"/>
              <w:rPr>
                <w:rFonts w:ascii="Arial" w:hAnsi="Arial" w:cs="Arial"/>
                <w:sz w:val="16"/>
                <w:szCs w:val="18"/>
                <w:lang w:val="en-GB" w:eastAsia="en-SG"/>
              </w:rPr>
            </w:pPr>
          </w:p>
        </w:tc>
        <w:tc>
          <w:tcPr>
            <w:tcW w:w="1134" w:type="dxa"/>
            <w:tcBorders>
              <w:top w:val="nil"/>
              <w:left w:val="nil"/>
              <w:bottom w:val="single" w:sz="4" w:space="0" w:color="auto"/>
              <w:right w:val="nil"/>
            </w:tcBorders>
            <w:shd w:val="clear" w:color="auto" w:fill="auto"/>
            <w:noWrap/>
            <w:vAlign w:val="center"/>
          </w:tcPr>
          <w:p w14:paraId="29F36D6D" w14:textId="77777777" w:rsidR="00F64957" w:rsidRPr="001715D3" w:rsidRDefault="00F64957" w:rsidP="00A24F2F">
            <w:pPr>
              <w:jc w:val="right"/>
              <w:rPr>
                <w:rFonts w:ascii="Arial" w:hAnsi="Arial" w:cs="Arial"/>
                <w:sz w:val="16"/>
                <w:szCs w:val="18"/>
                <w:lang w:val="en-GB" w:eastAsia="en-SG"/>
              </w:rPr>
            </w:pPr>
          </w:p>
        </w:tc>
      </w:tr>
    </w:tbl>
    <w:p w14:paraId="1A1BCB75" w14:textId="77777777" w:rsidR="00CC6083" w:rsidRDefault="00CC6083" w:rsidP="004C04D5">
      <w:pPr>
        <w:pStyle w:val="Footnote"/>
        <w:rPr>
          <w:spacing w:val="-6"/>
          <w:kern w:val="17"/>
        </w:rPr>
      </w:pPr>
    </w:p>
    <w:p w14:paraId="188AAEE9" w14:textId="2BE4F2AF" w:rsidR="001F0729" w:rsidRPr="00A24F2F" w:rsidRDefault="009C3C38" w:rsidP="004C04D5">
      <w:pPr>
        <w:pStyle w:val="Footnote"/>
        <w:rPr>
          <w:spacing w:val="-2"/>
          <w:kern w:val="17"/>
          <w:lang w:val="en-GB"/>
        </w:rPr>
      </w:pPr>
      <w:r w:rsidRPr="00A24F2F">
        <w:rPr>
          <w:spacing w:val="-6"/>
          <w:kern w:val="17"/>
          <w:lang w:val="en-GB"/>
        </w:rPr>
        <w:t xml:space="preserve">Source: </w:t>
      </w:r>
      <w:r w:rsidR="00CC6847" w:rsidRPr="00A24F2F">
        <w:rPr>
          <w:spacing w:val="-6"/>
          <w:kern w:val="17"/>
          <w:lang w:val="en-GB"/>
        </w:rPr>
        <w:t xml:space="preserve">NOL’s past financial statements: </w:t>
      </w:r>
      <w:r w:rsidR="0029163B" w:rsidRPr="00A24F2F">
        <w:rPr>
          <w:spacing w:val="-6"/>
          <w:kern w:val="17"/>
          <w:lang w:val="en-GB"/>
        </w:rPr>
        <w:t xml:space="preserve">Neptune Orient Lines Limited, </w:t>
      </w:r>
      <w:r w:rsidR="0029163B" w:rsidRPr="00A24F2F">
        <w:rPr>
          <w:i/>
          <w:spacing w:val="-6"/>
          <w:kern w:val="17"/>
          <w:lang w:val="en-GB"/>
        </w:rPr>
        <w:t>Annual Report 2015</w:t>
      </w:r>
      <w:r w:rsidR="0029163B" w:rsidRPr="00A24F2F">
        <w:rPr>
          <w:spacing w:val="-6"/>
          <w:kern w:val="17"/>
          <w:lang w:val="en-GB"/>
        </w:rPr>
        <w:t xml:space="preserve">, </w:t>
      </w:r>
      <w:r w:rsidR="00DE1B74" w:rsidRPr="00A24F2F">
        <w:rPr>
          <w:spacing w:val="-6"/>
          <w:kern w:val="17"/>
          <w:lang w:val="en-GB"/>
        </w:rPr>
        <w:t>a</w:t>
      </w:r>
      <w:r w:rsidR="001F0729" w:rsidRPr="00A24F2F">
        <w:rPr>
          <w:spacing w:val="-6"/>
          <w:kern w:val="17"/>
          <w:lang w:val="en-GB"/>
        </w:rPr>
        <w:t xml:space="preserve">ccessed </w:t>
      </w:r>
      <w:r w:rsidR="006A2A40" w:rsidRPr="00A24F2F">
        <w:rPr>
          <w:spacing w:val="-6"/>
          <w:kern w:val="17"/>
          <w:lang w:val="en-GB"/>
        </w:rPr>
        <w:t>March 1, 2016</w:t>
      </w:r>
      <w:r w:rsidR="00DE1B74" w:rsidRPr="00A24F2F">
        <w:rPr>
          <w:spacing w:val="-6"/>
          <w:kern w:val="17"/>
          <w:lang w:val="en-GB"/>
        </w:rPr>
        <w:t xml:space="preserve">, </w:t>
      </w:r>
      <w:r w:rsidR="004C04D5" w:rsidRPr="00A24F2F">
        <w:rPr>
          <w:spacing w:val="-6"/>
          <w:kern w:val="17"/>
          <w:lang w:val="en-GB"/>
        </w:rPr>
        <w:t>https://www.nol.com.sg/wps/wcm/connect/a655b534-c9d4-490e-bff0-531c3dcf1217/Full+Annual+Report+2015.pdf?MOD=AJPERES</w:t>
      </w:r>
      <w:r w:rsidR="0029163B" w:rsidRPr="00A24F2F">
        <w:rPr>
          <w:spacing w:val="-6"/>
          <w:kern w:val="17"/>
          <w:lang w:val="en-GB"/>
        </w:rPr>
        <w:t>;</w:t>
      </w:r>
      <w:r w:rsidR="004C04D5" w:rsidRPr="00A24F2F">
        <w:rPr>
          <w:spacing w:val="-6"/>
          <w:kern w:val="17"/>
          <w:lang w:val="en-GB"/>
        </w:rPr>
        <w:t xml:space="preserve"> </w:t>
      </w:r>
      <w:r w:rsidR="0029163B" w:rsidRPr="00A24F2F">
        <w:rPr>
          <w:spacing w:val="-6"/>
          <w:kern w:val="17"/>
          <w:lang w:val="en-GB"/>
        </w:rPr>
        <w:t xml:space="preserve">Neptune Orient Lines Limited, “Investor Relations,” accessed February 28, 2017, </w:t>
      </w:r>
      <w:r w:rsidR="002C3A1A" w:rsidRPr="00A24F2F">
        <w:rPr>
          <w:spacing w:val="-6"/>
          <w:kern w:val="17"/>
          <w:lang w:val="en-GB"/>
        </w:rPr>
        <w:t>https://www.nol.com.sg/wps/portal/nol/investor</w:t>
      </w:r>
      <w:r w:rsidR="004C04D5" w:rsidRPr="00A24F2F">
        <w:rPr>
          <w:spacing w:val="-6"/>
          <w:kern w:val="17"/>
          <w:lang w:val="en-GB"/>
        </w:rPr>
        <w:t>relations/reportsandannouncements/annualreports</w:t>
      </w:r>
      <w:r w:rsidR="002C3A1A" w:rsidRPr="00A24F2F">
        <w:rPr>
          <w:spacing w:val="-2"/>
          <w:kern w:val="17"/>
          <w:lang w:val="en-GB"/>
        </w:rPr>
        <w:t>.</w:t>
      </w:r>
      <w:r w:rsidR="001F0729" w:rsidRPr="00A24F2F">
        <w:rPr>
          <w:spacing w:val="-2"/>
          <w:kern w:val="17"/>
          <w:lang w:val="en-GB"/>
        </w:rPr>
        <w:br w:type="page"/>
      </w:r>
    </w:p>
    <w:p w14:paraId="1B64E4FB" w14:textId="04D05A57" w:rsidR="001F0729" w:rsidRPr="001715D3" w:rsidRDefault="00BC6B8B" w:rsidP="007E0371">
      <w:pPr>
        <w:pStyle w:val="ExhibitHeading"/>
        <w:tabs>
          <w:tab w:val="center" w:pos="4680"/>
          <w:tab w:val="left" w:pos="8627"/>
        </w:tabs>
        <w:outlineLvl w:val="0"/>
        <w:rPr>
          <w:lang w:val="en-GB"/>
        </w:rPr>
      </w:pPr>
      <w:r w:rsidRPr="001715D3">
        <w:rPr>
          <w:caps w:val="0"/>
          <w:lang w:val="en-GB"/>
        </w:rPr>
        <w:lastRenderedPageBreak/>
        <w:t>EXHIBIT 2</w:t>
      </w:r>
      <w:r w:rsidR="009C3C38" w:rsidRPr="001715D3">
        <w:rPr>
          <w:caps w:val="0"/>
          <w:lang w:val="en-GB"/>
        </w:rPr>
        <w:t>:</w:t>
      </w:r>
      <w:r w:rsidR="009C3C38" w:rsidRPr="001715D3">
        <w:rPr>
          <w:b w:val="0"/>
          <w:caps w:val="0"/>
          <w:lang w:val="en-GB"/>
        </w:rPr>
        <w:t xml:space="preserve"> </w:t>
      </w:r>
      <w:r w:rsidRPr="001715D3">
        <w:rPr>
          <w:lang w:val="en-GB"/>
        </w:rPr>
        <w:t>NEPTUNE ORIEnt lines:</w:t>
      </w:r>
      <w:r w:rsidR="001F0729" w:rsidRPr="001715D3">
        <w:rPr>
          <w:lang w:val="en-GB"/>
        </w:rPr>
        <w:t xml:space="preserve"> BalaNCE SHEET</w:t>
      </w:r>
      <w:r w:rsidR="00154302" w:rsidRPr="001715D3">
        <w:rPr>
          <w:lang w:val="en-GB"/>
        </w:rPr>
        <w:t>s</w:t>
      </w:r>
      <w:r w:rsidR="001F0729" w:rsidRPr="001715D3">
        <w:rPr>
          <w:lang w:val="en-GB"/>
        </w:rPr>
        <w:t>, 2011–201</w:t>
      </w:r>
      <w:r w:rsidR="00B64662" w:rsidRPr="001715D3">
        <w:rPr>
          <w:lang w:val="en-GB"/>
        </w:rPr>
        <w:t>5</w:t>
      </w:r>
      <w:r w:rsidR="006A405A" w:rsidRPr="001715D3">
        <w:rPr>
          <w:lang w:val="en-GB"/>
        </w:rPr>
        <w:t xml:space="preserve"> (in US</w:t>
      </w:r>
      <w:r w:rsidR="00592940" w:rsidRPr="001715D3">
        <w:rPr>
          <w:lang w:val="en-GB"/>
        </w:rPr>
        <w:t>$</w:t>
      </w:r>
      <w:r w:rsidR="00DE1B74" w:rsidRPr="001715D3">
        <w:rPr>
          <w:lang w:val="en-GB"/>
        </w:rPr>
        <w:t xml:space="preserve"> </w:t>
      </w:r>
      <w:r w:rsidR="006A405A" w:rsidRPr="001715D3">
        <w:rPr>
          <w:lang w:val="en-GB"/>
        </w:rPr>
        <w:t>’000)</w:t>
      </w:r>
    </w:p>
    <w:p w14:paraId="08B13DD7" w14:textId="77777777" w:rsidR="001F0729" w:rsidRPr="001715D3" w:rsidRDefault="001F0729" w:rsidP="001F0729">
      <w:pPr>
        <w:pStyle w:val="ExhibitHeading"/>
        <w:tabs>
          <w:tab w:val="center" w:pos="4680"/>
          <w:tab w:val="left" w:pos="8627"/>
        </w:tabs>
        <w:jc w:val="left"/>
        <w:rPr>
          <w:lang w:val="en-GB"/>
        </w:rPr>
      </w:pPr>
    </w:p>
    <w:tbl>
      <w:tblPr>
        <w:tblW w:w="9252" w:type="dxa"/>
        <w:tblInd w:w="108" w:type="dxa"/>
        <w:tblLayout w:type="fixed"/>
        <w:tblLook w:val="04A0" w:firstRow="1" w:lastRow="0" w:firstColumn="1" w:lastColumn="0" w:noHBand="0" w:noVBand="1"/>
      </w:tblPr>
      <w:tblGrid>
        <w:gridCol w:w="1000"/>
        <w:gridCol w:w="3570"/>
        <w:gridCol w:w="936"/>
        <w:gridCol w:w="936"/>
        <w:gridCol w:w="937"/>
        <w:gridCol w:w="936"/>
        <w:gridCol w:w="937"/>
      </w:tblGrid>
      <w:tr w:rsidR="002C3A1A" w:rsidRPr="001715D3" w14:paraId="24E10C2D" w14:textId="77777777" w:rsidTr="00A24F2F">
        <w:trPr>
          <w:trHeight w:val="88"/>
        </w:trPr>
        <w:tc>
          <w:tcPr>
            <w:tcW w:w="1000" w:type="dxa"/>
            <w:tcBorders>
              <w:top w:val="single" w:sz="4" w:space="0" w:color="auto"/>
              <w:left w:val="nil"/>
              <w:bottom w:val="nil"/>
              <w:right w:val="nil"/>
            </w:tcBorders>
            <w:shd w:val="clear" w:color="auto" w:fill="auto"/>
            <w:noWrap/>
            <w:vAlign w:val="bottom"/>
            <w:hideMark/>
          </w:tcPr>
          <w:p w14:paraId="129E0D9E" w14:textId="77777777" w:rsidR="006A405A" w:rsidRPr="001715D3" w:rsidRDefault="006A405A" w:rsidP="001F0729">
            <w:pPr>
              <w:rPr>
                <w:rFonts w:ascii="Arial" w:hAnsi="Arial" w:cs="Arial"/>
                <w:sz w:val="19"/>
                <w:szCs w:val="19"/>
                <w:lang w:val="en-GB" w:eastAsia="en-SG"/>
              </w:rPr>
            </w:pPr>
          </w:p>
        </w:tc>
        <w:tc>
          <w:tcPr>
            <w:tcW w:w="3570" w:type="dxa"/>
            <w:tcBorders>
              <w:top w:val="single" w:sz="4" w:space="0" w:color="auto"/>
              <w:left w:val="nil"/>
              <w:bottom w:val="nil"/>
              <w:right w:val="nil"/>
            </w:tcBorders>
            <w:shd w:val="clear" w:color="auto" w:fill="auto"/>
            <w:noWrap/>
            <w:vAlign w:val="bottom"/>
            <w:hideMark/>
          </w:tcPr>
          <w:p w14:paraId="547D15D4" w14:textId="77777777" w:rsidR="006A405A" w:rsidRPr="001715D3" w:rsidRDefault="006A405A" w:rsidP="001F0729">
            <w:pPr>
              <w:rPr>
                <w:rFonts w:ascii="Arial" w:hAnsi="Arial" w:cs="Arial"/>
                <w:b/>
                <w:sz w:val="16"/>
                <w:szCs w:val="16"/>
                <w:lang w:val="en-GB" w:eastAsia="en-SG"/>
              </w:rPr>
            </w:pPr>
          </w:p>
        </w:tc>
        <w:tc>
          <w:tcPr>
            <w:tcW w:w="936" w:type="dxa"/>
            <w:tcBorders>
              <w:top w:val="single" w:sz="4" w:space="0" w:color="auto"/>
              <w:left w:val="nil"/>
              <w:bottom w:val="nil"/>
              <w:right w:val="nil"/>
            </w:tcBorders>
            <w:vAlign w:val="center"/>
          </w:tcPr>
          <w:p w14:paraId="2A612643" w14:textId="1136392D" w:rsidR="006A405A" w:rsidRPr="001715D3" w:rsidRDefault="006A405A" w:rsidP="00CC6083">
            <w:pPr>
              <w:jc w:val="center"/>
              <w:rPr>
                <w:rFonts w:ascii="Arial" w:hAnsi="Arial" w:cs="Arial"/>
                <w:b/>
                <w:sz w:val="16"/>
                <w:szCs w:val="16"/>
                <w:lang w:val="en-GB" w:eastAsia="en-SG"/>
              </w:rPr>
            </w:pPr>
            <w:r w:rsidRPr="001715D3">
              <w:rPr>
                <w:rFonts w:ascii="Arial" w:hAnsi="Arial" w:cs="Arial"/>
                <w:b/>
                <w:sz w:val="16"/>
                <w:szCs w:val="16"/>
                <w:lang w:val="en-GB" w:eastAsia="en-SG"/>
              </w:rPr>
              <w:t>2015</w:t>
            </w:r>
          </w:p>
        </w:tc>
        <w:tc>
          <w:tcPr>
            <w:tcW w:w="936" w:type="dxa"/>
            <w:tcBorders>
              <w:top w:val="single" w:sz="4" w:space="0" w:color="auto"/>
              <w:left w:val="nil"/>
              <w:bottom w:val="nil"/>
              <w:right w:val="nil"/>
            </w:tcBorders>
            <w:shd w:val="clear" w:color="auto" w:fill="auto"/>
            <w:noWrap/>
            <w:vAlign w:val="center"/>
            <w:hideMark/>
          </w:tcPr>
          <w:p w14:paraId="5DBB3F07" w14:textId="54D27F0E" w:rsidR="006A405A" w:rsidRPr="001715D3" w:rsidRDefault="006A405A" w:rsidP="00CC6083">
            <w:pPr>
              <w:jc w:val="center"/>
              <w:rPr>
                <w:rFonts w:ascii="Arial" w:hAnsi="Arial" w:cs="Arial"/>
                <w:b/>
                <w:sz w:val="16"/>
                <w:szCs w:val="16"/>
                <w:lang w:val="en-GB" w:eastAsia="en-SG"/>
              </w:rPr>
            </w:pPr>
            <w:r w:rsidRPr="001715D3">
              <w:rPr>
                <w:rFonts w:ascii="Arial" w:hAnsi="Arial" w:cs="Arial"/>
                <w:b/>
                <w:sz w:val="16"/>
                <w:szCs w:val="16"/>
                <w:lang w:val="en-GB" w:eastAsia="en-SG"/>
              </w:rPr>
              <w:t>2014</w:t>
            </w:r>
          </w:p>
        </w:tc>
        <w:tc>
          <w:tcPr>
            <w:tcW w:w="937" w:type="dxa"/>
            <w:tcBorders>
              <w:top w:val="single" w:sz="4" w:space="0" w:color="auto"/>
              <w:left w:val="nil"/>
              <w:bottom w:val="nil"/>
              <w:right w:val="nil"/>
            </w:tcBorders>
            <w:shd w:val="clear" w:color="auto" w:fill="auto"/>
            <w:noWrap/>
            <w:vAlign w:val="center"/>
            <w:hideMark/>
          </w:tcPr>
          <w:p w14:paraId="736DE7A6" w14:textId="77777777" w:rsidR="006A405A" w:rsidRPr="001715D3" w:rsidRDefault="006A405A" w:rsidP="00CC6083">
            <w:pPr>
              <w:jc w:val="center"/>
              <w:rPr>
                <w:rFonts w:ascii="Arial" w:hAnsi="Arial" w:cs="Arial"/>
                <w:b/>
                <w:sz w:val="16"/>
                <w:szCs w:val="16"/>
                <w:lang w:val="en-GB" w:eastAsia="en-SG"/>
              </w:rPr>
            </w:pPr>
            <w:r w:rsidRPr="001715D3">
              <w:rPr>
                <w:rFonts w:ascii="Arial" w:hAnsi="Arial" w:cs="Arial"/>
                <w:b/>
                <w:sz w:val="16"/>
                <w:szCs w:val="16"/>
                <w:lang w:val="en-GB" w:eastAsia="en-SG"/>
              </w:rPr>
              <w:t>2013</w:t>
            </w:r>
          </w:p>
        </w:tc>
        <w:tc>
          <w:tcPr>
            <w:tcW w:w="936" w:type="dxa"/>
            <w:tcBorders>
              <w:top w:val="single" w:sz="4" w:space="0" w:color="auto"/>
              <w:left w:val="nil"/>
              <w:bottom w:val="nil"/>
              <w:right w:val="nil"/>
            </w:tcBorders>
            <w:shd w:val="clear" w:color="auto" w:fill="auto"/>
            <w:noWrap/>
            <w:vAlign w:val="center"/>
            <w:hideMark/>
          </w:tcPr>
          <w:p w14:paraId="5A5CD206" w14:textId="77777777" w:rsidR="006A405A" w:rsidRPr="001715D3" w:rsidRDefault="006A405A" w:rsidP="00CC6083">
            <w:pPr>
              <w:jc w:val="center"/>
              <w:rPr>
                <w:rFonts w:ascii="Arial" w:hAnsi="Arial" w:cs="Arial"/>
                <w:b/>
                <w:sz w:val="16"/>
                <w:szCs w:val="16"/>
                <w:lang w:val="en-GB" w:eastAsia="en-SG"/>
              </w:rPr>
            </w:pPr>
            <w:r w:rsidRPr="001715D3">
              <w:rPr>
                <w:rFonts w:ascii="Arial" w:hAnsi="Arial" w:cs="Arial"/>
                <w:b/>
                <w:sz w:val="16"/>
                <w:szCs w:val="16"/>
                <w:lang w:val="en-GB" w:eastAsia="en-SG"/>
              </w:rPr>
              <w:t>2012</w:t>
            </w:r>
          </w:p>
        </w:tc>
        <w:tc>
          <w:tcPr>
            <w:tcW w:w="937" w:type="dxa"/>
            <w:tcBorders>
              <w:top w:val="single" w:sz="4" w:space="0" w:color="auto"/>
              <w:left w:val="nil"/>
              <w:bottom w:val="nil"/>
              <w:right w:val="nil"/>
            </w:tcBorders>
            <w:shd w:val="clear" w:color="auto" w:fill="auto"/>
            <w:noWrap/>
            <w:vAlign w:val="center"/>
            <w:hideMark/>
          </w:tcPr>
          <w:p w14:paraId="35F220CC" w14:textId="77777777" w:rsidR="006A405A" w:rsidRPr="001715D3" w:rsidRDefault="006A405A" w:rsidP="00CC6083">
            <w:pPr>
              <w:jc w:val="center"/>
              <w:rPr>
                <w:rFonts w:ascii="Arial" w:hAnsi="Arial" w:cs="Arial"/>
                <w:b/>
                <w:sz w:val="16"/>
                <w:szCs w:val="16"/>
                <w:lang w:val="en-GB" w:eastAsia="en-SG"/>
              </w:rPr>
            </w:pPr>
            <w:r w:rsidRPr="001715D3">
              <w:rPr>
                <w:rFonts w:ascii="Arial" w:hAnsi="Arial" w:cs="Arial"/>
                <w:b/>
                <w:sz w:val="16"/>
                <w:szCs w:val="16"/>
                <w:lang w:val="en-GB" w:eastAsia="en-SG"/>
              </w:rPr>
              <w:t>2011</w:t>
            </w:r>
          </w:p>
        </w:tc>
      </w:tr>
      <w:tr w:rsidR="002C3A1A" w:rsidRPr="001715D3" w14:paraId="4EAB7369" w14:textId="77777777" w:rsidTr="00A24F2F">
        <w:trPr>
          <w:trHeight w:val="64"/>
        </w:trPr>
        <w:tc>
          <w:tcPr>
            <w:tcW w:w="1000" w:type="dxa"/>
            <w:tcBorders>
              <w:top w:val="single" w:sz="4" w:space="0" w:color="auto"/>
              <w:left w:val="nil"/>
              <w:bottom w:val="nil"/>
              <w:right w:val="nil"/>
            </w:tcBorders>
            <w:shd w:val="clear" w:color="auto" w:fill="auto"/>
            <w:noWrap/>
            <w:vAlign w:val="center"/>
            <w:hideMark/>
          </w:tcPr>
          <w:p w14:paraId="5F3A01A4" w14:textId="77777777" w:rsidR="006A405A" w:rsidRPr="001715D3" w:rsidRDefault="006A405A" w:rsidP="00A24F2F">
            <w:pPr>
              <w:rPr>
                <w:rFonts w:ascii="Arial" w:hAnsi="Arial" w:cs="Arial"/>
                <w:b/>
                <w:sz w:val="19"/>
                <w:szCs w:val="19"/>
                <w:lang w:val="en-GB" w:eastAsia="en-SG"/>
              </w:rPr>
            </w:pPr>
            <w:r w:rsidRPr="001715D3">
              <w:rPr>
                <w:rFonts w:ascii="Arial" w:hAnsi="Arial" w:cs="Arial"/>
                <w:b/>
                <w:sz w:val="19"/>
                <w:szCs w:val="19"/>
                <w:lang w:val="en-GB" w:eastAsia="en-SG"/>
              </w:rPr>
              <w:t>ASSETS</w:t>
            </w:r>
          </w:p>
        </w:tc>
        <w:tc>
          <w:tcPr>
            <w:tcW w:w="3570" w:type="dxa"/>
            <w:tcBorders>
              <w:top w:val="single" w:sz="4" w:space="0" w:color="auto"/>
              <w:left w:val="nil"/>
              <w:bottom w:val="nil"/>
              <w:right w:val="nil"/>
            </w:tcBorders>
            <w:shd w:val="clear" w:color="auto" w:fill="auto"/>
            <w:noWrap/>
            <w:vAlign w:val="center"/>
            <w:hideMark/>
          </w:tcPr>
          <w:p w14:paraId="4F5DD7C1" w14:textId="77777777" w:rsidR="006A405A" w:rsidRPr="001715D3" w:rsidRDefault="006A405A" w:rsidP="00A24F2F">
            <w:pPr>
              <w:rPr>
                <w:rFonts w:ascii="Arial" w:hAnsi="Arial" w:cs="Arial"/>
                <w:sz w:val="16"/>
                <w:szCs w:val="16"/>
                <w:lang w:val="en-GB" w:eastAsia="en-SG"/>
              </w:rPr>
            </w:pPr>
          </w:p>
        </w:tc>
        <w:tc>
          <w:tcPr>
            <w:tcW w:w="936" w:type="dxa"/>
            <w:tcBorders>
              <w:top w:val="single" w:sz="4" w:space="0" w:color="auto"/>
              <w:left w:val="nil"/>
              <w:bottom w:val="nil"/>
              <w:right w:val="nil"/>
            </w:tcBorders>
          </w:tcPr>
          <w:p w14:paraId="2E07E91F" w14:textId="77777777" w:rsidR="006A405A" w:rsidRPr="001715D3" w:rsidRDefault="006A405A" w:rsidP="001F0729">
            <w:pPr>
              <w:rPr>
                <w:rFonts w:ascii="Arial" w:hAnsi="Arial" w:cs="Arial"/>
                <w:sz w:val="16"/>
                <w:szCs w:val="16"/>
                <w:lang w:val="en-GB" w:eastAsia="en-SG"/>
              </w:rPr>
            </w:pPr>
          </w:p>
        </w:tc>
        <w:tc>
          <w:tcPr>
            <w:tcW w:w="936" w:type="dxa"/>
            <w:tcBorders>
              <w:top w:val="single" w:sz="4" w:space="0" w:color="auto"/>
              <w:left w:val="nil"/>
              <w:bottom w:val="nil"/>
              <w:right w:val="nil"/>
            </w:tcBorders>
            <w:shd w:val="clear" w:color="auto" w:fill="auto"/>
            <w:noWrap/>
            <w:vAlign w:val="bottom"/>
            <w:hideMark/>
          </w:tcPr>
          <w:p w14:paraId="5E2AE585" w14:textId="6C059A93" w:rsidR="006A405A" w:rsidRPr="001715D3" w:rsidRDefault="006A405A" w:rsidP="001F0729">
            <w:pPr>
              <w:rPr>
                <w:rFonts w:ascii="Arial" w:hAnsi="Arial" w:cs="Arial"/>
                <w:sz w:val="16"/>
                <w:szCs w:val="16"/>
                <w:lang w:val="en-GB" w:eastAsia="en-SG"/>
              </w:rPr>
            </w:pPr>
          </w:p>
        </w:tc>
        <w:tc>
          <w:tcPr>
            <w:tcW w:w="937" w:type="dxa"/>
            <w:tcBorders>
              <w:top w:val="single" w:sz="4" w:space="0" w:color="auto"/>
              <w:left w:val="nil"/>
              <w:bottom w:val="nil"/>
              <w:right w:val="nil"/>
            </w:tcBorders>
            <w:shd w:val="clear" w:color="auto" w:fill="auto"/>
            <w:noWrap/>
            <w:vAlign w:val="bottom"/>
            <w:hideMark/>
          </w:tcPr>
          <w:p w14:paraId="2EB41A6D" w14:textId="77777777" w:rsidR="006A405A" w:rsidRPr="001715D3" w:rsidRDefault="006A405A" w:rsidP="001F0729">
            <w:pPr>
              <w:rPr>
                <w:rFonts w:ascii="Arial" w:hAnsi="Arial" w:cs="Arial"/>
                <w:sz w:val="16"/>
                <w:szCs w:val="16"/>
                <w:lang w:val="en-GB" w:eastAsia="en-SG"/>
              </w:rPr>
            </w:pPr>
          </w:p>
        </w:tc>
        <w:tc>
          <w:tcPr>
            <w:tcW w:w="936" w:type="dxa"/>
            <w:tcBorders>
              <w:top w:val="single" w:sz="4" w:space="0" w:color="auto"/>
              <w:left w:val="nil"/>
              <w:bottom w:val="nil"/>
              <w:right w:val="nil"/>
            </w:tcBorders>
            <w:shd w:val="clear" w:color="auto" w:fill="auto"/>
            <w:noWrap/>
            <w:vAlign w:val="bottom"/>
            <w:hideMark/>
          </w:tcPr>
          <w:p w14:paraId="4E668BC8" w14:textId="77777777" w:rsidR="006A405A" w:rsidRPr="001715D3" w:rsidRDefault="006A405A" w:rsidP="001F0729">
            <w:pPr>
              <w:rPr>
                <w:rFonts w:ascii="Arial" w:hAnsi="Arial" w:cs="Arial"/>
                <w:sz w:val="16"/>
                <w:szCs w:val="16"/>
                <w:lang w:val="en-GB" w:eastAsia="en-SG"/>
              </w:rPr>
            </w:pPr>
          </w:p>
        </w:tc>
        <w:tc>
          <w:tcPr>
            <w:tcW w:w="937" w:type="dxa"/>
            <w:tcBorders>
              <w:top w:val="single" w:sz="4" w:space="0" w:color="auto"/>
              <w:left w:val="nil"/>
              <w:bottom w:val="nil"/>
              <w:right w:val="nil"/>
            </w:tcBorders>
            <w:shd w:val="clear" w:color="auto" w:fill="auto"/>
            <w:noWrap/>
            <w:vAlign w:val="bottom"/>
            <w:hideMark/>
          </w:tcPr>
          <w:p w14:paraId="4F0D5CBC" w14:textId="77777777" w:rsidR="006A405A" w:rsidRPr="001715D3" w:rsidRDefault="006A405A" w:rsidP="001F0729">
            <w:pPr>
              <w:rPr>
                <w:rFonts w:ascii="Arial" w:hAnsi="Arial" w:cs="Arial"/>
                <w:sz w:val="16"/>
                <w:szCs w:val="16"/>
                <w:lang w:val="en-GB" w:eastAsia="en-SG"/>
              </w:rPr>
            </w:pPr>
          </w:p>
        </w:tc>
      </w:tr>
      <w:tr w:rsidR="002C3A1A" w:rsidRPr="001715D3" w14:paraId="03DD604B" w14:textId="77777777" w:rsidTr="00A24F2F">
        <w:trPr>
          <w:trHeight w:val="63"/>
        </w:trPr>
        <w:tc>
          <w:tcPr>
            <w:tcW w:w="4570" w:type="dxa"/>
            <w:gridSpan w:val="2"/>
            <w:tcBorders>
              <w:top w:val="nil"/>
              <w:left w:val="nil"/>
              <w:bottom w:val="nil"/>
              <w:right w:val="nil"/>
            </w:tcBorders>
            <w:shd w:val="clear" w:color="auto" w:fill="auto"/>
            <w:noWrap/>
            <w:vAlign w:val="center"/>
            <w:hideMark/>
          </w:tcPr>
          <w:p w14:paraId="22775831" w14:textId="77777777" w:rsidR="006A405A" w:rsidRPr="001715D3" w:rsidRDefault="006A405A" w:rsidP="00A24F2F">
            <w:pPr>
              <w:rPr>
                <w:rFonts w:ascii="Arial" w:hAnsi="Arial" w:cs="Arial"/>
                <w:b/>
                <w:bCs/>
                <w:sz w:val="16"/>
                <w:szCs w:val="16"/>
                <w:lang w:val="en-GB" w:eastAsia="en-SG"/>
              </w:rPr>
            </w:pPr>
            <w:r w:rsidRPr="001715D3">
              <w:rPr>
                <w:rFonts w:ascii="Arial" w:hAnsi="Arial" w:cs="Arial"/>
                <w:b/>
                <w:bCs/>
                <w:sz w:val="16"/>
                <w:szCs w:val="16"/>
                <w:lang w:val="en-GB" w:eastAsia="en-SG"/>
              </w:rPr>
              <w:t>CURRENT ASSETS</w:t>
            </w:r>
          </w:p>
        </w:tc>
        <w:tc>
          <w:tcPr>
            <w:tcW w:w="936" w:type="dxa"/>
            <w:tcBorders>
              <w:top w:val="nil"/>
              <w:left w:val="nil"/>
              <w:bottom w:val="nil"/>
              <w:right w:val="nil"/>
            </w:tcBorders>
          </w:tcPr>
          <w:p w14:paraId="5A83D67F" w14:textId="77777777" w:rsidR="006A405A" w:rsidRPr="001715D3" w:rsidRDefault="006A405A" w:rsidP="001F0729">
            <w:pPr>
              <w:rPr>
                <w:rFonts w:ascii="Arial" w:hAnsi="Arial" w:cs="Arial"/>
                <w:b/>
                <w:bCs/>
                <w:sz w:val="16"/>
                <w:szCs w:val="16"/>
                <w:lang w:val="en-GB" w:eastAsia="en-SG"/>
              </w:rPr>
            </w:pPr>
          </w:p>
        </w:tc>
        <w:tc>
          <w:tcPr>
            <w:tcW w:w="936" w:type="dxa"/>
            <w:tcBorders>
              <w:top w:val="nil"/>
              <w:left w:val="nil"/>
              <w:bottom w:val="nil"/>
              <w:right w:val="nil"/>
            </w:tcBorders>
            <w:shd w:val="clear" w:color="auto" w:fill="auto"/>
            <w:noWrap/>
            <w:vAlign w:val="bottom"/>
            <w:hideMark/>
          </w:tcPr>
          <w:p w14:paraId="577F097F" w14:textId="00871D83" w:rsidR="006A405A" w:rsidRPr="001715D3" w:rsidRDefault="006A405A" w:rsidP="001F0729">
            <w:pPr>
              <w:rPr>
                <w:rFonts w:ascii="Arial" w:hAnsi="Arial" w:cs="Arial"/>
                <w:b/>
                <w:bCs/>
                <w:sz w:val="16"/>
                <w:szCs w:val="16"/>
                <w:lang w:val="en-GB" w:eastAsia="en-SG"/>
              </w:rPr>
            </w:pPr>
          </w:p>
        </w:tc>
        <w:tc>
          <w:tcPr>
            <w:tcW w:w="937" w:type="dxa"/>
            <w:tcBorders>
              <w:top w:val="nil"/>
              <w:left w:val="nil"/>
              <w:bottom w:val="nil"/>
              <w:right w:val="nil"/>
            </w:tcBorders>
            <w:shd w:val="clear" w:color="auto" w:fill="auto"/>
            <w:noWrap/>
            <w:vAlign w:val="bottom"/>
            <w:hideMark/>
          </w:tcPr>
          <w:p w14:paraId="3F9C21BB" w14:textId="77777777" w:rsidR="006A405A" w:rsidRPr="001715D3" w:rsidRDefault="006A405A" w:rsidP="001F0729">
            <w:pPr>
              <w:rPr>
                <w:rFonts w:ascii="Arial" w:hAnsi="Arial" w:cs="Arial"/>
                <w:sz w:val="16"/>
                <w:szCs w:val="16"/>
                <w:lang w:val="en-GB" w:eastAsia="en-SG"/>
              </w:rPr>
            </w:pPr>
          </w:p>
        </w:tc>
        <w:tc>
          <w:tcPr>
            <w:tcW w:w="936" w:type="dxa"/>
            <w:tcBorders>
              <w:top w:val="nil"/>
              <w:left w:val="nil"/>
              <w:bottom w:val="nil"/>
              <w:right w:val="nil"/>
            </w:tcBorders>
            <w:shd w:val="clear" w:color="auto" w:fill="auto"/>
            <w:noWrap/>
            <w:vAlign w:val="bottom"/>
            <w:hideMark/>
          </w:tcPr>
          <w:p w14:paraId="63C6DF8B" w14:textId="77777777" w:rsidR="006A405A" w:rsidRPr="001715D3" w:rsidRDefault="006A405A" w:rsidP="001F0729">
            <w:pPr>
              <w:rPr>
                <w:rFonts w:ascii="Arial" w:hAnsi="Arial" w:cs="Arial"/>
                <w:sz w:val="16"/>
                <w:szCs w:val="16"/>
                <w:lang w:val="en-GB" w:eastAsia="en-SG"/>
              </w:rPr>
            </w:pPr>
          </w:p>
        </w:tc>
        <w:tc>
          <w:tcPr>
            <w:tcW w:w="937" w:type="dxa"/>
            <w:tcBorders>
              <w:top w:val="nil"/>
              <w:left w:val="nil"/>
              <w:bottom w:val="nil"/>
              <w:right w:val="nil"/>
            </w:tcBorders>
            <w:shd w:val="clear" w:color="auto" w:fill="auto"/>
            <w:noWrap/>
            <w:vAlign w:val="bottom"/>
            <w:hideMark/>
          </w:tcPr>
          <w:p w14:paraId="5F7AC4D1" w14:textId="77777777" w:rsidR="006A405A" w:rsidRPr="001715D3" w:rsidRDefault="006A405A" w:rsidP="001F0729">
            <w:pPr>
              <w:rPr>
                <w:rFonts w:ascii="Arial" w:hAnsi="Arial" w:cs="Arial"/>
                <w:sz w:val="16"/>
                <w:szCs w:val="16"/>
                <w:lang w:val="en-GB" w:eastAsia="en-SG"/>
              </w:rPr>
            </w:pPr>
          </w:p>
        </w:tc>
      </w:tr>
      <w:tr w:rsidR="00A24F2F" w:rsidRPr="001715D3" w14:paraId="4F143EF2" w14:textId="77777777" w:rsidTr="000A5FF4">
        <w:trPr>
          <w:trHeight w:val="94"/>
        </w:trPr>
        <w:tc>
          <w:tcPr>
            <w:tcW w:w="4570" w:type="dxa"/>
            <w:gridSpan w:val="2"/>
            <w:vMerge w:val="restart"/>
            <w:tcBorders>
              <w:top w:val="nil"/>
              <w:left w:val="nil"/>
              <w:right w:val="nil"/>
            </w:tcBorders>
            <w:shd w:val="clear" w:color="auto" w:fill="auto"/>
            <w:noWrap/>
            <w:vAlign w:val="center"/>
            <w:hideMark/>
          </w:tcPr>
          <w:p w14:paraId="0096C58A"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Cash and cash equivalents</w:t>
            </w:r>
          </w:p>
          <w:p w14:paraId="3324E725"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 xml:space="preserve">Trade and other receivables </w:t>
            </w:r>
          </w:p>
          <w:p w14:paraId="29C45022"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Inventories at costs</w:t>
            </w:r>
          </w:p>
          <w:p w14:paraId="6B42F796"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Derivative financial instruments</w:t>
            </w:r>
          </w:p>
          <w:p w14:paraId="032125C7"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Assets classified as held for sale</w:t>
            </w:r>
          </w:p>
          <w:p w14:paraId="19815700" w14:textId="29B2EAEF"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Other current assets</w:t>
            </w:r>
          </w:p>
        </w:tc>
        <w:tc>
          <w:tcPr>
            <w:tcW w:w="936" w:type="dxa"/>
            <w:tcBorders>
              <w:top w:val="nil"/>
              <w:left w:val="nil"/>
              <w:bottom w:val="nil"/>
              <w:right w:val="nil"/>
            </w:tcBorders>
            <w:vAlign w:val="center"/>
          </w:tcPr>
          <w:p w14:paraId="4437B9BB" w14:textId="375D2458"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229,907</w:t>
            </w:r>
          </w:p>
        </w:tc>
        <w:tc>
          <w:tcPr>
            <w:tcW w:w="936" w:type="dxa"/>
            <w:tcBorders>
              <w:top w:val="nil"/>
              <w:left w:val="nil"/>
              <w:bottom w:val="nil"/>
              <w:right w:val="nil"/>
            </w:tcBorders>
            <w:shd w:val="clear" w:color="auto" w:fill="auto"/>
            <w:noWrap/>
            <w:vAlign w:val="center"/>
            <w:hideMark/>
          </w:tcPr>
          <w:p w14:paraId="11F36BDA" w14:textId="0EC8B0EA"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1,225,771</w:t>
            </w:r>
          </w:p>
        </w:tc>
        <w:tc>
          <w:tcPr>
            <w:tcW w:w="937" w:type="dxa"/>
            <w:tcBorders>
              <w:top w:val="nil"/>
              <w:left w:val="nil"/>
              <w:bottom w:val="nil"/>
              <w:right w:val="nil"/>
            </w:tcBorders>
            <w:shd w:val="clear" w:color="auto" w:fill="auto"/>
            <w:noWrap/>
            <w:vAlign w:val="center"/>
            <w:hideMark/>
          </w:tcPr>
          <w:p w14:paraId="427D3D4C"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980,993</w:t>
            </w:r>
          </w:p>
        </w:tc>
        <w:tc>
          <w:tcPr>
            <w:tcW w:w="936" w:type="dxa"/>
            <w:tcBorders>
              <w:top w:val="nil"/>
              <w:left w:val="nil"/>
              <w:bottom w:val="nil"/>
              <w:right w:val="nil"/>
            </w:tcBorders>
            <w:shd w:val="clear" w:color="auto" w:fill="auto"/>
            <w:noWrap/>
            <w:vAlign w:val="center"/>
            <w:hideMark/>
          </w:tcPr>
          <w:p w14:paraId="59A561CD"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896,978</w:t>
            </w:r>
          </w:p>
        </w:tc>
        <w:tc>
          <w:tcPr>
            <w:tcW w:w="937" w:type="dxa"/>
            <w:tcBorders>
              <w:top w:val="nil"/>
              <w:left w:val="nil"/>
              <w:bottom w:val="nil"/>
              <w:right w:val="nil"/>
            </w:tcBorders>
            <w:shd w:val="clear" w:color="auto" w:fill="auto"/>
            <w:noWrap/>
            <w:vAlign w:val="center"/>
            <w:hideMark/>
          </w:tcPr>
          <w:p w14:paraId="38A5E378"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227,562</w:t>
            </w:r>
          </w:p>
        </w:tc>
      </w:tr>
      <w:tr w:rsidR="00A24F2F" w:rsidRPr="001715D3" w14:paraId="51AB1D5A" w14:textId="77777777" w:rsidTr="000A5FF4">
        <w:trPr>
          <w:trHeight w:val="63"/>
        </w:trPr>
        <w:tc>
          <w:tcPr>
            <w:tcW w:w="4570" w:type="dxa"/>
            <w:gridSpan w:val="2"/>
            <w:vMerge/>
            <w:tcBorders>
              <w:left w:val="nil"/>
              <w:right w:val="nil"/>
            </w:tcBorders>
            <w:shd w:val="clear" w:color="auto" w:fill="auto"/>
            <w:noWrap/>
            <w:vAlign w:val="center"/>
            <w:hideMark/>
          </w:tcPr>
          <w:p w14:paraId="11810EB6" w14:textId="0FB3D248"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4195C294" w14:textId="657364FC"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520,458</w:t>
            </w:r>
          </w:p>
        </w:tc>
        <w:tc>
          <w:tcPr>
            <w:tcW w:w="936" w:type="dxa"/>
            <w:tcBorders>
              <w:top w:val="nil"/>
              <w:left w:val="nil"/>
              <w:bottom w:val="nil"/>
              <w:right w:val="nil"/>
            </w:tcBorders>
            <w:shd w:val="clear" w:color="auto" w:fill="auto"/>
            <w:noWrap/>
            <w:vAlign w:val="center"/>
            <w:hideMark/>
          </w:tcPr>
          <w:p w14:paraId="1F1E0D46" w14:textId="28DD01AB"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1,080,359</w:t>
            </w:r>
          </w:p>
        </w:tc>
        <w:tc>
          <w:tcPr>
            <w:tcW w:w="937" w:type="dxa"/>
            <w:tcBorders>
              <w:top w:val="nil"/>
              <w:left w:val="nil"/>
              <w:bottom w:val="nil"/>
              <w:right w:val="nil"/>
            </w:tcBorders>
            <w:shd w:val="clear" w:color="auto" w:fill="auto"/>
            <w:noWrap/>
            <w:vAlign w:val="center"/>
            <w:hideMark/>
          </w:tcPr>
          <w:p w14:paraId="5EEFEFE6"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1,073,085</w:t>
            </w:r>
          </w:p>
        </w:tc>
        <w:tc>
          <w:tcPr>
            <w:tcW w:w="936" w:type="dxa"/>
            <w:tcBorders>
              <w:top w:val="nil"/>
              <w:left w:val="nil"/>
              <w:bottom w:val="nil"/>
              <w:right w:val="nil"/>
            </w:tcBorders>
            <w:shd w:val="clear" w:color="auto" w:fill="auto"/>
            <w:noWrap/>
            <w:vAlign w:val="center"/>
            <w:hideMark/>
          </w:tcPr>
          <w:p w14:paraId="35D3309C"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1,091,573</w:t>
            </w:r>
          </w:p>
        </w:tc>
        <w:tc>
          <w:tcPr>
            <w:tcW w:w="937" w:type="dxa"/>
            <w:tcBorders>
              <w:top w:val="nil"/>
              <w:left w:val="nil"/>
              <w:bottom w:val="nil"/>
              <w:right w:val="nil"/>
            </w:tcBorders>
            <w:shd w:val="clear" w:color="auto" w:fill="auto"/>
            <w:noWrap/>
            <w:vAlign w:val="center"/>
            <w:hideMark/>
          </w:tcPr>
          <w:p w14:paraId="01FC934A"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1,045,671</w:t>
            </w:r>
          </w:p>
        </w:tc>
      </w:tr>
      <w:tr w:rsidR="00A24F2F" w:rsidRPr="001715D3" w14:paraId="54853F80" w14:textId="77777777" w:rsidTr="000A5FF4">
        <w:trPr>
          <w:trHeight w:val="72"/>
        </w:trPr>
        <w:tc>
          <w:tcPr>
            <w:tcW w:w="4570" w:type="dxa"/>
            <w:gridSpan w:val="2"/>
            <w:vMerge/>
            <w:tcBorders>
              <w:left w:val="nil"/>
              <w:right w:val="nil"/>
            </w:tcBorders>
            <w:shd w:val="clear" w:color="auto" w:fill="auto"/>
            <w:noWrap/>
            <w:vAlign w:val="center"/>
            <w:hideMark/>
          </w:tcPr>
          <w:p w14:paraId="74E2E04D" w14:textId="3DE505C4"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78E76FC2" w14:textId="78EE9E72"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91,720</w:t>
            </w:r>
          </w:p>
        </w:tc>
        <w:tc>
          <w:tcPr>
            <w:tcW w:w="936" w:type="dxa"/>
            <w:tcBorders>
              <w:top w:val="nil"/>
              <w:left w:val="nil"/>
              <w:bottom w:val="nil"/>
              <w:right w:val="nil"/>
            </w:tcBorders>
            <w:shd w:val="clear" w:color="auto" w:fill="auto"/>
            <w:noWrap/>
            <w:vAlign w:val="center"/>
            <w:hideMark/>
          </w:tcPr>
          <w:p w14:paraId="3EC3E48E" w14:textId="29569038"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175,244</w:t>
            </w:r>
          </w:p>
        </w:tc>
        <w:tc>
          <w:tcPr>
            <w:tcW w:w="937" w:type="dxa"/>
            <w:tcBorders>
              <w:top w:val="nil"/>
              <w:left w:val="nil"/>
              <w:bottom w:val="nil"/>
              <w:right w:val="nil"/>
            </w:tcBorders>
            <w:shd w:val="clear" w:color="auto" w:fill="auto"/>
            <w:noWrap/>
            <w:vAlign w:val="center"/>
            <w:hideMark/>
          </w:tcPr>
          <w:p w14:paraId="7C23FBB7"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254,232</w:t>
            </w:r>
          </w:p>
        </w:tc>
        <w:tc>
          <w:tcPr>
            <w:tcW w:w="936" w:type="dxa"/>
            <w:tcBorders>
              <w:top w:val="nil"/>
              <w:left w:val="nil"/>
              <w:bottom w:val="nil"/>
              <w:right w:val="nil"/>
            </w:tcBorders>
            <w:shd w:val="clear" w:color="auto" w:fill="auto"/>
            <w:noWrap/>
            <w:vAlign w:val="center"/>
            <w:hideMark/>
          </w:tcPr>
          <w:p w14:paraId="0B7C9D69"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267,309</w:t>
            </w:r>
          </w:p>
        </w:tc>
        <w:tc>
          <w:tcPr>
            <w:tcW w:w="937" w:type="dxa"/>
            <w:tcBorders>
              <w:top w:val="nil"/>
              <w:left w:val="nil"/>
              <w:bottom w:val="nil"/>
              <w:right w:val="nil"/>
            </w:tcBorders>
            <w:shd w:val="clear" w:color="auto" w:fill="auto"/>
            <w:noWrap/>
            <w:vAlign w:val="center"/>
            <w:hideMark/>
          </w:tcPr>
          <w:p w14:paraId="46AF776C"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326,993</w:t>
            </w:r>
          </w:p>
        </w:tc>
      </w:tr>
      <w:tr w:rsidR="00A24F2F" w:rsidRPr="001715D3" w14:paraId="1DF67B9A" w14:textId="77777777" w:rsidTr="000A5FF4">
        <w:trPr>
          <w:trHeight w:val="63"/>
        </w:trPr>
        <w:tc>
          <w:tcPr>
            <w:tcW w:w="4570" w:type="dxa"/>
            <w:gridSpan w:val="2"/>
            <w:vMerge/>
            <w:tcBorders>
              <w:left w:val="nil"/>
              <w:right w:val="nil"/>
            </w:tcBorders>
            <w:shd w:val="clear" w:color="auto" w:fill="auto"/>
            <w:noWrap/>
            <w:vAlign w:val="center"/>
            <w:hideMark/>
          </w:tcPr>
          <w:p w14:paraId="781ECB75" w14:textId="15D0D79B"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5400F32B" w14:textId="6C108F7E"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435</w:t>
            </w:r>
          </w:p>
        </w:tc>
        <w:tc>
          <w:tcPr>
            <w:tcW w:w="936" w:type="dxa"/>
            <w:tcBorders>
              <w:top w:val="nil"/>
              <w:left w:val="nil"/>
              <w:bottom w:val="nil"/>
              <w:right w:val="nil"/>
            </w:tcBorders>
            <w:shd w:val="clear" w:color="auto" w:fill="auto"/>
            <w:noWrap/>
            <w:vAlign w:val="center"/>
            <w:hideMark/>
          </w:tcPr>
          <w:p w14:paraId="50704B9A" w14:textId="61B76740"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726</w:t>
            </w:r>
          </w:p>
        </w:tc>
        <w:tc>
          <w:tcPr>
            <w:tcW w:w="937" w:type="dxa"/>
            <w:tcBorders>
              <w:top w:val="nil"/>
              <w:left w:val="nil"/>
              <w:bottom w:val="nil"/>
              <w:right w:val="nil"/>
            </w:tcBorders>
            <w:shd w:val="clear" w:color="auto" w:fill="auto"/>
            <w:noWrap/>
            <w:vAlign w:val="center"/>
            <w:hideMark/>
          </w:tcPr>
          <w:p w14:paraId="7F1135C6"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6,952</w:t>
            </w:r>
          </w:p>
        </w:tc>
        <w:tc>
          <w:tcPr>
            <w:tcW w:w="936" w:type="dxa"/>
            <w:tcBorders>
              <w:top w:val="nil"/>
              <w:left w:val="nil"/>
              <w:bottom w:val="nil"/>
              <w:right w:val="nil"/>
            </w:tcBorders>
            <w:shd w:val="clear" w:color="auto" w:fill="auto"/>
            <w:noWrap/>
            <w:vAlign w:val="center"/>
            <w:hideMark/>
          </w:tcPr>
          <w:p w14:paraId="5248DD2C"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5,847</w:t>
            </w:r>
          </w:p>
        </w:tc>
        <w:tc>
          <w:tcPr>
            <w:tcW w:w="937" w:type="dxa"/>
            <w:tcBorders>
              <w:top w:val="nil"/>
              <w:left w:val="nil"/>
              <w:bottom w:val="nil"/>
              <w:right w:val="nil"/>
            </w:tcBorders>
            <w:shd w:val="clear" w:color="auto" w:fill="auto"/>
            <w:noWrap/>
            <w:vAlign w:val="center"/>
            <w:hideMark/>
          </w:tcPr>
          <w:p w14:paraId="5059BEB8"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3,853</w:t>
            </w:r>
          </w:p>
        </w:tc>
      </w:tr>
      <w:tr w:rsidR="00A24F2F" w:rsidRPr="001715D3" w14:paraId="1F54F89D" w14:textId="77777777" w:rsidTr="000A5FF4">
        <w:trPr>
          <w:trHeight w:val="63"/>
        </w:trPr>
        <w:tc>
          <w:tcPr>
            <w:tcW w:w="4570" w:type="dxa"/>
            <w:gridSpan w:val="2"/>
            <w:vMerge/>
            <w:tcBorders>
              <w:left w:val="nil"/>
              <w:right w:val="nil"/>
            </w:tcBorders>
            <w:shd w:val="clear" w:color="auto" w:fill="auto"/>
            <w:noWrap/>
            <w:vAlign w:val="center"/>
            <w:hideMark/>
          </w:tcPr>
          <w:p w14:paraId="0D4C0445" w14:textId="25C2C499"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41DEBC42" w14:textId="6FFD8366"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6" w:type="dxa"/>
            <w:tcBorders>
              <w:top w:val="nil"/>
              <w:left w:val="nil"/>
              <w:bottom w:val="nil"/>
              <w:right w:val="nil"/>
            </w:tcBorders>
            <w:shd w:val="clear" w:color="auto" w:fill="auto"/>
            <w:noWrap/>
            <w:vAlign w:val="center"/>
            <w:hideMark/>
          </w:tcPr>
          <w:p w14:paraId="384C7926" w14:textId="437D8832"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24,516</w:t>
            </w:r>
          </w:p>
        </w:tc>
        <w:tc>
          <w:tcPr>
            <w:tcW w:w="937" w:type="dxa"/>
            <w:tcBorders>
              <w:top w:val="nil"/>
              <w:left w:val="nil"/>
              <w:bottom w:val="nil"/>
              <w:right w:val="nil"/>
            </w:tcBorders>
            <w:shd w:val="clear" w:color="auto" w:fill="auto"/>
            <w:noWrap/>
            <w:vAlign w:val="center"/>
            <w:hideMark/>
          </w:tcPr>
          <w:p w14:paraId="68D0757A"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35,840</w:t>
            </w:r>
          </w:p>
        </w:tc>
        <w:tc>
          <w:tcPr>
            <w:tcW w:w="936" w:type="dxa"/>
            <w:tcBorders>
              <w:top w:val="nil"/>
              <w:left w:val="nil"/>
              <w:bottom w:val="nil"/>
              <w:right w:val="nil"/>
            </w:tcBorders>
            <w:shd w:val="clear" w:color="auto" w:fill="auto"/>
            <w:noWrap/>
            <w:vAlign w:val="center"/>
            <w:hideMark/>
          </w:tcPr>
          <w:p w14:paraId="2037BEE3"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142,501</w:t>
            </w:r>
          </w:p>
        </w:tc>
        <w:tc>
          <w:tcPr>
            <w:tcW w:w="937" w:type="dxa"/>
            <w:tcBorders>
              <w:top w:val="nil"/>
              <w:left w:val="nil"/>
              <w:bottom w:val="nil"/>
              <w:right w:val="nil"/>
            </w:tcBorders>
            <w:shd w:val="clear" w:color="auto" w:fill="auto"/>
            <w:noWrap/>
            <w:vAlign w:val="center"/>
            <w:hideMark/>
          </w:tcPr>
          <w:p w14:paraId="15A2BDB8"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50,225</w:t>
            </w:r>
          </w:p>
        </w:tc>
      </w:tr>
      <w:tr w:rsidR="00A24F2F" w:rsidRPr="001715D3" w14:paraId="36A0497D" w14:textId="77777777" w:rsidTr="000A5FF4">
        <w:trPr>
          <w:trHeight w:val="63"/>
        </w:trPr>
        <w:tc>
          <w:tcPr>
            <w:tcW w:w="4570" w:type="dxa"/>
            <w:gridSpan w:val="2"/>
            <w:vMerge/>
            <w:tcBorders>
              <w:left w:val="nil"/>
              <w:bottom w:val="nil"/>
              <w:right w:val="nil"/>
            </w:tcBorders>
            <w:shd w:val="clear" w:color="auto" w:fill="auto"/>
            <w:noWrap/>
            <w:vAlign w:val="center"/>
            <w:hideMark/>
          </w:tcPr>
          <w:p w14:paraId="367D48B3" w14:textId="6AA38BC2"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3D785C20" w14:textId="7A55488C"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81,606</w:t>
            </w:r>
          </w:p>
        </w:tc>
        <w:tc>
          <w:tcPr>
            <w:tcW w:w="936" w:type="dxa"/>
            <w:tcBorders>
              <w:top w:val="nil"/>
              <w:left w:val="nil"/>
              <w:bottom w:val="nil"/>
              <w:right w:val="nil"/>
            </w:tcBorders>
            <w:shd w:val="clear" w:color="auto" w:fill="auto"/>
            <w:noWrap/>
            <w:vAlign w:val="center"/>
            <w:hideMark/>
          </w:tcPr>
          <w:p w14:paraId="7F5AD157" w14:textId="18E8FE81"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103,206</w:t>
            </w:r>
          </w:p>
        </w:tc>
        <w:tc>
          <w:tcPr>
            <w:tcW w:w="937" w:type="dxa"/>
            <w:tcBorders>
              <w:top w:val="nil"/>
              <w:left w:val="nil"/>
              <w:bottom w:val="nil"/>
              <w:right w:val="nil"/>
            </w:tcBorders>
            <w:shd w:val="clear" w:color="auto" w:fill="auto"/>
            <w:noWrap/>
            <w:vAlign w:val="center"/>
            <w:hideMark/>
          </w:tcPr>
          <w:p w14:paraId="5A1E0066"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115,541</w:t>
            </w:r>
          </w:p>
        </w:tc>
        <w:tc>
          <w:tcPr>
            <w:tcW w:w="936" w:type="dxa"/>
            <w:tcBorders>
              <w:top w:val="nil"/>
              <w:left w:val="nil"/>
              <w:bottom w:val="nil"/>
              <w:right w:val="nil"/>
            </w:tcBorders>
            <w:shd w:val="clear" w:color="auto" w:fill="auto"/>
            <w:noWrap/>
            <w:vAlign w:val="center"/>
            <w:hideMark/>
          </w:tcPr>
          <w:p w14:paraId="4C022464"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119,918</w:t>
            </w:r>
          </w:p>
        </w:tc>
        <w:tc>
          <w:tcPr>
            <w:tcW w:w="937" w:type="dxa"/>
            <w:tcBorders>
              <w:top w:val="nil"/>
              <w:left w:val="nil"/>
              <w:bottom w:val="nil"/>
              <w:right w:val="nil"/>
            </w:tcBorders>
            <w:shd w:val="clear" w:color="auto" w:fill="auto"/>
            <w:noWrap/>
            <w:vAlign w:val="center"/>
            <w:hideMark/>
          </w:tcPr>
          <w:p w14:paraId="093AFA48"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111,403</w:t>
            </w:r>
          </w:p>
        </w:tc>
      </w:tr>
      <w:tr w:rsidR="002C3A1A" w:rsidRPr="001715D3" w14:paraId="4CB2E266" w14:textId="77777777" w:rsidTr="00A24F2F">
        <w:trPr>
          <w:trHeight w:val="63"/>
        </w:trPr>
        <w:tc>
          <w:tcPr>
            <w:tcW w:w="4570" w:type="dxa"/>
            <w:gridSpan w:val="2"/>
            <w:tcBorders>
              <w:top w:val="nil"/>
              <w:left w:val="nil"/>
              <w:bottom w:val="nil"/>
              <w:right w:val="nil"/>
            </w:tcBorders>
            <w:shd w:val="clear" w:color="auto" w:fill="auto"/>
            <w:noWrap/>
            <w:vAlign w:val="center"/>
            <w:hideMark/>
          </w:tcPr>
          <w:p w14:paraId="3E301621" w14:textId="4BAECD29" w:rsidR="006A405A" w:rsidRPr="001715D3" w:rsidRDefault="006A405A" w:rsidP="00A24F2F">
            <w:pPr>
              <w:rPr>
                <w:rFonts w:ascii="Arial" w:hAnsi="Arial" w:cs="Arial"/>
                <w:b/>
                <w:bCs/>
                <w:sz w:val="16"/>
                <w:szCs w:val="16"/>
                <w:lang w:val="en-GB" w:eastAsia="en-SG"/>
              </w:rPr>
            </w:pPr>
            <w:r w:rsidRPr="001715D3">
              <w:rPr>
                <w:rFonts w:ascii="Arial" w:hAnsi="Arial" w:cs="Arial"/>
                <w:b/>
                <w:bCs/>
                <w:sz w:val="16"/>
                <w:szCs w:val="16"/>
                <w:lang w:val="en-GB" w:eastAsia="en-SG"/>
              </w:rPr>
              <w:t>Total current assets</w:t>
            </w:r>
          </w:p>
        </w:tc>
        <w:tc>
          <w:tcPr>
            <w:tcW w:w="936" w:type="dxa"/>
            <w:tcBorders>
              <w:top w:val="nil"/>
              <w:left w:val="nil"/>
              <w:bottom w:val="nil"/>
              <w:right w:val="nil"/>
            </w:tcBorders>
            <w:vAlign w:val="center"/>
          </w:tcPr>
          <w:p w14:paraId="53A56610" w14:textId="3C5F7337" w:rsidR="006A405A" w:rsidRPr="001715D3" w:rsidRDefault="006A405A" w:rsidP="00A24F2F">
            <w:pPr>
              <w:jc w:val="right"/>
              <w:rPr>
                <w:rFonts w:ascii="Arial" w:hAnsi="Arial" w:cs="Arial"/>
                <w:sz w:val="16"/>
                <w:szCs w:val="16"/>
                <w:lang w:val="en-GB" w:eastAsia="en-SG"/>
              </w:rPr>
            </w:pPr>
            <w:r w:rsidRPr="001715D3">
              <w:rPr>
                <w:rFonts w:ascii="Arial" w:hAnsi="Arial" w:cs="Arial"/>
                <w:sz w:val="16"/>
                <w:szCs w:val="16"/>
                <w:lang w:val="en-GB" w:eastAsia="en-SG"/>
              </w:rPr>
              <w:t>965,199</w:t>
            </w:r>
          </w:p>
        </w:tc>
        <w:tc>
          <w:tcPr>
            <w:tcW w:w="936" w:type="dxa"/>
            <w:tcBorders>
              <w:top w:val="nil"/>
              <w:left w:val="nil"/>
              <w:bottom w:val="nil"/>
              <w:right w:val="nil"/>
            </w:tcBorders>
            <w:shd w:val="clear" w:color="auto" w:fill="auto"/>
            <w:noWrap/>
            <w:vAlign w:val="center"/>
            <w:hideMark/>
          </w:tcPr>
          <w:p w14:paraId="55CDC209" w14:textId="4D73197B" w:rsidR="006A405A" w:rsidRPr="001715D3" w:rsidRDefault="006A405A" w:rsidP="00A24F2F">
            <w:pPr>
              <w:jc w:val="right"/>
              <w:rPr>
                <w:rFonts w:ascii="Arial" w:hAnsi="Arial" w:cs="Arial"/>
                <w:sz w:val="16"/>
                <w:szCs w:val="16"/>
                <w:lang w:val="en-GB" w:eastAsia="en-SG"/>
              </w:rPr>
            </w:pPr>
            <w:r w:rsidRPr="001715D3">
              <w:rPr>
                <w:rFonts w:ascii="Arial" w:hAnsi="Arial" w:cs="Arial"/>
                <w:sz w:val="16"/>
                <w:szCs w:val="16"/>
                <w:lang w:val="en-GB" w:eastAsia="en-SG"/>
              </w:rPr>
              <w:t>2,609,822</w:t>
            </w:r>
          </w:p>
        </w:tc>
        <w:tc>
          <w:tcPr>
            <w:tcW w:w="937" w:type="dxa"/>
            <w:tcBorders>
              <w:top w:val="nil"/>
              <w:left w:val="nil"/>
              <w:bottom w:val="nil"/>
              <w:right w:val="nil"/>
            </w:tcBorders>
            <w:shd w:val="clear" w:color="auto" w:fill="auto"/>
            <w:noWrap/>
            <w:vAlign w:val="center"/>
            <w:hideMark/>
          </w:tcPr>
          <w:p w14:paraId="5199A923" w14:textId="77777777" w:rsidR="006A405A" w:rsidRPr="001715D3" w:rsidRDefault="006A405A" w:rsidP="00A24F2F">
            <w:pPr>
              <w:jc w:val="right"/>
              <w:rPr>
                <w:rFonts w:ascii="Arial" w:hAnsi="Arial" w:cs="Arial"/>
                <w:sz w:val="16"/>
                <w:szCs w:val="16"/>
                <w:lang w:val="en-GB" w:eastAsia="en-SG"/>
              </w:rPr>
            </w:pPr>
            <w:r w:rsidRPr="001715D3">
              <w:rPr>
                <w:rFonts w:ascii="Arial" w:hAnsi="Arial" w:cs="Arial"/>
                <w:sz w:val="16"/>
                <w:szCs w:val="16"/>
                <w:lang w:val="en-GB" w:eastAsia="en-SG"/>
              </w:rPr>
              <w:t>2,466,643</w:t>
            </w:r>
          </w:p>
        </w:tc>
        <w:tc>
          <w:tcPr>
            <w:tcW w:w="936" w:type="dxa"/>
            <w:tcBorders>
              <w:top w:val="nil"/>
              <w:left w:val="nil"/>
              <w:bottom w:val="nil"/>
              <w:right w:val="nil"/>
            </w:tcBorders>
            <w:shd w:val="clear" w:color="auto" w:fill="auto"/>
            <w:noWrap/>
            <w:vAlign w:val="center"/>
            <w:hideMark/>
          </w:tcPr>
          <w:p w14:paraId="0EFA83B4" w14:textId="77777777" w:rsidR="006A405A" w:rsidRPr="001715D3" w:rsidRDefault="006A405A" w:rsidP="00A24F2F">
            <w:pPr>
              <w:jc w:val="right"/>
              <w:rPr>
                <w:rFonts w:ascii="Arial" w:hAnsi="Arial" w:cs="Arial"/>
                <w:b/>
                <w:bCs/>
                <w:sz w:val="16"/>
                <w:szCs w:val="16"/>
                <w:lang w:val="en-GB" w:eastAsia="en-SG"/>
              </w:rPr>
            </w:pPr>
            <w:r w:rsidRPr="001715D3">
              <w:rPr>
                <w:rFonts w:ascii="Arial" w:hAnsi="Arial" w:cs="Arial"/>
                <w:b/>
                <w:bCs/>
                <w:sz w:val="16"/>
                <w:szCs w:val="16"/>
                <w:lang w:val="en-GB" w:eastAsia="en-SG"/>
              </w:rPr>
              <w:t>2,524,126</w:t>
            </w:r>
          </w:p>
        </w:tc>
        <w:tc>
          <w:tcPr>
            <w:tcW w:w="937" w:type="dxa"/>
            <w:tcBorders>
              <w:top w:val="nil"/>
              <w:left w:val="nil"/>
              <w:bottom w:val="nil"/>
              <w:right w:val="nil"/>
            </w:tcBorders>
            <w:shd w:val="clear" w:color="auto" w:fill="auto"/>
            <w:noWrap/>
            <w:vAlign w:val="center"/>
            <w:hideMark/>
          </w:tcPr>
          <w:p w14:paraId="3B9B37A7" w14:textId="77777777" w:rsidR="006A405A" w:rsidRPr="001715D3" w:rsidRDefault="006A405A" w:rsidP="00A24F2F">
            <w:pPr>
              <w:jc w:val="right"/>
              <w:rPr>
                <w:rFonts w:ascii="Arial" w:hAnsi="Arial" w:cs="Arial"/>
                <w:b/>
                <w:bCs/>
                <w:sz w:val="16"/>
                <w:szCs w:val="16"/>
                <w:lang w:val="en-GB" w:eastAsia="en-SG"/>
              </w:rPr>
            </w:pPr>
            <w:r w:rsidRPr="001715D3">
              <w:rPr>
                <w:rFonts w:ascii="Arial" w:hAnsi="Arial" w:cs="Arial"/>
                <w:b/>
                <w:bCs/>
                <w:sz w:val="16"/>
                <w:szCs w:val="16"/>
                <w:lang w:val="en-GB" w:eastAsia="en-SG"/>
              </w:rPr>
              <w:t>1,765,707</w:t>
            </w:r>
          </w:p>
        </w:tc>
      </w:tr>
      <w:tr w:rsidR="002C3A1A" w:rsidRPr="001715D3" w14:paraId="7079FC8F" w14:textId="77777777" w:rsidTr="00A24F2F">
        <w:trPr>
          <w:trHeight w:val="63"/>
        </w:trPr>
        <w:tc>
          <w:tcPr>
            <w:tcW w:w="4570" w:type="dxa"/>
            <w:gridSpan w:val="2"/>
            <w:tcBorders>
              <w:top w:val="nil"/>
              <w:left w:val="nil"/>
              <w:bottom w:val="nil"/>
              <w:right w:val="nil"/>
            </w:tcBorders>
            <w:shd w:val="clear" w:color="auto" w:fill="auto"/>
            <w:noWrap/>
            <w:vAlign w:val="center"/>
            <w:hideMark/>
          </w:tcPr>
          <w:p w14:paraId="3FE0CA3C" w14:textId="77777777" w:rsidR="006A405A" w:rsidRPr="001715D3" w:rsidRDefault="006A405A" w:rsidP="00A24F2F">
            <w:pPr>
              <w:rPr>
                <w:rFonts w:ascii="Arial" w:hAnsi="Arial" w:cs="Arial"/>
                <w:b/>
                <w:bCs/>
                <w:sz w:val="16"/>
                <w:szCs w:val="16"/>
                <w:lang w:val="en-GB" w:eastAsia="en-SG"/>
              </w:rPr>
            </w:pPr>
            <w:r w:rsidRPr="001715D3">
              <w:rPr>
                <w:rFonts w:ascii="Arial" w:hAnsi="Arial" w:cs="Arial"/>
                <w:b/>
                <w:bCs/>
                <w:sz w:val="16"/>
                <w:szCs w:val="16"/>
                <w:lang w:val="en-GB" w:eastAsia="en-SG"/>
              </w:rPr>
              <w:t>NON-CURRENT ASSETS</w:t>
            </w:r>
          </w:p>
        </w:tc>
        <w:tc>
          <w:tcPr>
            <w:tcW w:w="936" w:type="dxa"/>
            <w:tcBorders>
              <w:top w:val="nil"/>
              <w:left w:val="nil"/>
              <w:bottom w:val="nil"/>
              <w:right w:val="nil"/>
            </w:tcBorders>
            <w:vAlign w:val="center"/>
          </w:tcPr>
          <w:p w14:paraId="6A567B29" w14:textId="77777777" w:rsidR="006A405A" w:rsidRPr="001715D3" w:rsidRDefault="006A405A" w:rsidP="00A24F2F">
            <w:pPr>
              <w:jc w:val="right"/>
              <w:rPr>
                <w:rFonts w:ascii="Arial" w:hAnsi="Arial" w:cs="Arial"/>
                <w:b/>
                <w:bCs/>
                <w:sz w:val="16"/>
                <w:szCs w:val="16"/>
                <w:lang w:val="en-GB" w:eastAsia="en-SG"/>
              </w:rPr>
            </w:pPr>
          </w:p>
        </w:tc>
        <w:tc>
          <w:tcPr>
            <w:tcW w:w="936" w:type="dxa"/>
            <w:tcBorders>
              <w:top w:val="nil"/>
              <w:left w:val="nil"/>
              <w:bottom w:val="nil"/>
              <w:right w:val="nil"/>
            </w:tcBorders>
            <w:shd w:val="clear" w:color="auto" w:fill="auto"/>
            <w:noWrap/>
            <w:vAlign w:val="center"/>
            <w:hideMark/>
          </w:tcPr>
          <w:p w14:paraId="2DBB3930" w14:textId="7EE67654" w:rsidR="006A405A" w:rsidRPr="001715D3" w:rsidRDefault="006A405A" w:rsidP="00A24F2F">
            <w:pPr>
              <w:jc w:val="right"/>
              <w:rPr>
                <w:rFonts w:ascii="Arial" w:hAnsi="Arial" w:cs="Arial"/>
                <w:b/>
                <w:bCs/>
                <w:sz w:val="16"/>
                <w:szCs w:val="16"/>
                <w:lang w:val="en-GB" w:eastAsia="en-SG"/>
              </w:rPr>
            </w:pPr>
          </w:p>
        </w:tc>
        <w:tc>
          <w:tcPr>
            <w:tcW w:w="937" w:type="dxa"/>
            <w:tcBorders>
              <w:top w:val="nil"/>
              <w:left w:val="nil"/>
              <w:bottom w:val="nil"/>
              <w:right w:val="nil"/>
            </w:tcBorders>
            <w:shd w:val="clear" w:color="auto" w:fill="auto"/>
            <w:noWrap/>
            <w:vAlign w:val="center"/>
            <w:hideMark/>
          </w:tcPr>
          <w:p w14:paraId="028DB4AB" w14:textId="77777777" w:rsidR="006A405A" w:rsidRPr="001715D3" w:rsidRDefault="006A405A" w:rsidP="00A24F2F">
            <w:pPr>
              <w:jc w:val="right"/>
              <w:rPr>
                <w:rFonts w:ascii="Arial" w:hAnsi="Arial" w:cs="Arial"/>
                <w:sz w:val="16"/>
                <w:szCs w:val="16"/>
                <w:lang w:val="en-GB" w:eastAsia="en-SG"/>
              </w:rPr>
            </w:pPr>
          </w:p>
        </w:tc>
        <w:tc>
          <w:tcPr>
            <w:tcW w:w="936" w:type="dxa"/>
            <w:tcBorders>
              <w:top w:val="nil"/>
              <w:left w:val="nil"/>
              <w:bottom w:val="nil"/>
              <w:right w:val="nil"/>
            </w:tcBorders>
            <w:shd w:val="clear" w:color="auto" w:fill="auto"/>
            <w:noWrap/>
            <w:vAlign w:val="center"/>
            <w:hideMark/>
          </w:tcPr>
          <w:p w14:paraId="1158A983" w14:textId="77777777" w:rsidR="006A405A" w:rsidRPr="001715D3" w:rsidRDefault="006A405A" w:rsidP="00A24F2F">
            <w:pPr>
              <w:jc w:val="right"/>
              <w:rPr>
                <w:rFonts w:ascii="Arial" w:hAnsi="Arial" w:cs="Arial"/>
                <w:sz w:val="16"/>
                <w:szCs w:val="16"/>
                <w:lang w:val="en-GB" w:eastAsia="en-SG"/>
              </w:rPr>
            </w:pPr>
          </w:p>
        </w:tc>
        <w:tc>
          <w:tcPr>
            <w:tcW w:w="937" w:type="dxa"/>
            <w:tcBorders>
              <w:top w:val="nil"/>
              <w:left w:val="nil"/>
              <w:bottom w:val="nil"/>
              <w:right w:val="nil"/>
            </w:tcBorders>
            <w:shd w:val="clear" w:color="auto" w:fill="auto"/>
            <w:noWrap/>
            <w:vAlign w:val="center"/>
            <w:hideMark/>
          </w:tcPr>
          <w:p w14:paraId="116BD293" w14:textId="77777777" w:rsidR="006A405A" w:rsidRPr="001715D3" w:rsidRDefault="006A405A" w:rsidP="00A24F2F">
            <w:pPr>
              <w:jc w:val="right"/>
              <w:rPr>
                <w:rFonts w:ascii="Arial" w:hAnsi="Arial" w:cs="Arial"/>
                <w:sz w:val="16"/>
                <w:szCs w:val="16"/>
                <w:lang w:val="en-GB" w:eastAsia="en-SG"/>
              </w:rPr>
            </w:pPr>
          </w:p>
        </w:tc>
      </w:tr>
      <w:tr w:rsidR="00A24F2F" w:rsidRPr="001715D3" w14:paraId="666D5599" w14:textId="77777777" w:rsidTr="0005698F">
        <w:trPr>
          <w:trHeight w:val="63"/>
        </w:trPr>
        <w:tc>
          <w:tcPr>
            <w:tcW w:w="4570" w:type="dxa"/>
            <w:gridSpan w:val="2"/>
            <w:vMerge w:val="restart"/>
            <w:tcBorders>
              <w:top w:val="nil"/>
              <w:left w:val="nil"/>
              <w:right w:val="nil"/>
            </w:tcBorders>
            <w:shd w:val="clear" w:color="auto" w:fill="auto"/>
            <w:noWrap/>
            <w:vAlign w:val="center"/>
            <w:hideMark/>
          </w:tcPr>
          <w:p w14:paraId="75E6EA28"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Investments in subsidiaries</w:t>
            </w:r>
          </w:p>
          <w:p w14:paraId="36B1E696"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Investments in associated companies</w:t>
            </w:r>
          </w:p>
          <w:p w14:paraId="61E7CB40"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Investments in joint ventures</w:t>
            </w:r>
          </w:p>
          <w:p w14:paraId="146D5063"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Available-for-sale financial assets</w:t>
            </w:r>
          </w:p>
          <w:p w14:paraId="40B19C4A"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Property, plant</w:t>
            </w:r>
            <w:r>
              <w:rPr>
                <w:rFonts w:ascii="Arial" w:hAnsi="Arial" w:cs="Arial"/>
                <w:sz w:val="16"/>
                <w:szCs w:val="16"/>
                <w:lang w:val="en-GB" w:eastAsia="en-SG"/>
              </w:rPr>
              <w:t>,</w:t>
            </w:r>
            <w:r w:rsidRPr="001715D3">
              <w:rPr>
                <w:rFonts w:ascii="Arial" w:hAnsi="Arial" w:cs="Arial"/>
                <w:sz w:val="16"/>
                <w:szCs w:val="16"/>
                <w:lang w:val="en-GB" w:eastAsia="en-SG"/>
              </w:rPr>
              <w:t xml:space="preserve"> and equipment</w:t>
            </w:r>
          </w:p>
          <w:p w14:paraId="78C590CE"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Investment property and land use rights</w:t>
            </w:r>
          </w:p>
          <w:p w14:paraId="4E512B71"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Deferred charges</w:t>
            </w:r>
          </w:p>
          <w:p w14:paraId="1AFC6A97"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Intangible assets</w:t>
            </w:r>
          </w:p>
          <w:p w14:paraId="6091E2D8"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Goodwill arising on consolidation</w:t>
            </w:r>
          </w:p>
          <w:p w14:paraId="57B856F4"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Deferred income tax assets</w:t>
            </w:r>
          </w:p>
          <w:p w14:paraId="55ECAA5A" w14:textId="77777777"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Derivative financial instruments</w:t>
            </w:r>
          </w:p>
          <w:p w14:paraId="739394BE" w14:textId="7350251F" w:rsidR="00A24F2F" w:rsidRPr="001715D3" w:rsidRDefault="00A24F2F" w:rsidP="00A24F2F">
            <w:pPr>
              <w:rPr>
                <w:rFonts w:ascii="Arial" w:hAnsi="Arial" w:cs="Arial"/>
                <w:sz w:val="16"/>
                <w:szCs w:val="16"/>
                <w:lang w:val="en-GB" w:eastAsia="en-SG"/>
              </w:rPr>
            </w:pPr>
            <w:r w:rsidRPr="001715D3">
              <w:rPr>
                <w:rFonts w:ascii="Arial" w:hAnsi="Arial" w:cs="Arial"/>
                <w:sz w:val="16"/>
                <w:szCs w:val="16"/>
                <w:lang w:val="en-GB" w:eastAsia="en-SG"/>
              </w:rPr>
              <w:t>Other non-current assets</w:t>
            </w:r>
          </w:p>
        </w:tc>
        <w:tc>
          <w:tcPr>
            <w:tcW w:w="936" w:type="dxa"/>
            <w:tcBorders>
              <w:top w:val="nil"/>
              <w:left w:val="nil"/>
              <w:bottom w:val="nil"/>
              <w:right w:val="nil"/>
            </w:tcBorders>
            <w:vAlign w:val="center"/>
          </w:tcPr>
          <w:p w14:paraId="60D47BCF" w14:textId="3F4E8D81"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6" w:type="dxa"/>
            <w:tcBorders>
              <w:top w:val="nil"/>
              <w:left w:val="nil"/>
              <w:bottom w:val="nil"/>
              <w:right w:val="nil"/>
            </w:tcBorders>
            <w:shd w:val="clear" w:color="auto" w:fill="auto"/>
            <w:noWrap/>
            <w:vAlign w:val="center"/>
            <w:hideMark/>
          </w:tcPr>
          <w:p w14:paraId="7FBE355B" w14:textId="24D4EF4E"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7" w:type="dxa"/>
            <w:tcBorders>
              <w:top w:val="nil"/>
              <w:left w:val="nil"/>
              <w:bottom w:val="nil"/>
              <w:right w:val="nil"/>
            </w:tcBorders>
            <w:shd w:val="clear" w:color="auto" w:fill="auto"/>
            <w:noWrap/>
            <w:vAlign w:val="center"/>
            <w:hideMark/>
          </w:tcPr>
          <w:p w14:paraId="3F11D979" w14:textId="17ED4E7E"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6" w:type="dxa"/>
            <w:tcBorders>
              <w:top w:val="nil"/>
              <w:left w:val="nil"/>
              <w:bottom w:val="nil"/>
              <w:right w:val="nil"/>
            </w:tcBorders>
            <w:shd w:val="clear" w:color="auto" w:fill="auto"/>
            <w:noWrap/>
            <w:vAlign w:val="center"/>
            <w:hideMark/>
          </w:tcPr>
          <w:p w14:paraId="2AD0C2B6" w14:textId="05E8F25F"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7" w:type="dxa"/>
            <w:tcBorders>
              <w:top w:val="nil"/>
              <w:left w:val="nil"/>
              <w:bottom w:val="nil"/>
              <w:right w:val="nil"/>
            </w:tcBorders>
            <w:shd w:val="clear" w:color="auto" w:fill="auto"/>
            <w:noWrap/>
            <w:vAlign w:val="center"/>
            <w:hideMark/>
          </w:tcPr>
          <w:p w14:paraId="25CA8C19" w14:textId="54A6DBA3"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r>
      <w:tr w:rsidR="00A24F2F" w:rsidRPr="001715D3" w14:paraId="3A673EE9" w14:textId="77777777" w:rsidTr="0005698F">
        <w:trPr>
          <w:trHeight w:val="96"/>
        </w:trPr>
        <w:tc>
          <w:tcPr>
            <w:tcW w:w="4570" w:type="dxa"/>
            <w:gridSpan w:val="2"/>
            <w:vMerge/>
            <w:tcBorders>
              <w:left w:val="nil"/>
              <w:right w:val="nil"/>
            </w:tcBorders>
            <w:shd w:val="clear" w:color="auto" w:fill="auto"/>
            <w:noWrap/>
            <w:vAlign w:val="center"/>
            <w:hideMark/>
          </w:tcPr>
          <w:p w14:paraId="5A32AFDF" w14:textId="29888870"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2A344ADB" w14:textId="2224998E"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107,462</w:t>
            </w:r>
          </w:p>
        </w:tc>
        <w:tc>
          <w:tcPr>
            <w:tcW w:w="936" w:type="dxa"/>
            <w:tcBorders>
              <w:top w:val="nil"/>
              <w:left w:val="nil"/>
              <w:bottom w:val="nil"/>
              <w:right w:val="nil"/>
            </w:tcBorders>
            <w:shd w:val="clear" w:color="auto" w:fill="auto"/>
            <w:noWrap/>
            <w:vAlign w:val="center"/>
            <w:hideMark/>
          </w:tcPr>
          <w:p w14:paraId="6591EF74" w14:textId="529E9E86"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160,835</w:t>
            </w:r>
          </w:p>
        </w:tc>
        <w:tc>
          <w:tcPr>
            <w:tcW w:w="937" w:type="dxa"/>
            <w:tcBorders>
              <w:top w:val="nil"/>
              <w:left w:val="nil"/>
              <w:bottom w:val="nil"/>
              <w:right w:val="nil"/>
            </w:tcBorders>
            <w:shd w:val="clear" w:color="auto" w:fill="auto"/>
            <w:noWrap/>
            <w:vAlign w:val="center"/>
            <w:hideMark/>
          </w:tcPr>
          <w:p w14:paraId="2A9C0F22"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149,039</w:t>
            </w:r>
          </w:p>
        </w:tc>
        <w:tc>
          <w:tcPr>
            <w:tcW w:w="936" w:type="dxa"/>
            <w:tcBorders>
              <w:top w:val="nil"/>
              <w:left w:val="nil"/>
              <w:bottom w:val="nil"/>
              <w:right w:val="nil"/>
            </w:tcBorders>
            <w:shd w:val="clear" w:color="auto" w:fill="auto"/>
            <w:noWrap/>
            <w:vAlign w:val="center"/>
            <w:hideMark/>
          </w:tcPr>
          <w:p w14:paraId="3FFD4499"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111,831</w:t>
            </w:r>
          </w:p>
        </w:tc>
        <w:tc>
          <w:tcPr>
            <w:tcW w:w="937" w:type="dxa"/>
            <w:tcBorders>
              <w:top w:val="nil"/>
              <w:left w:val="nil"/>
              <w:bottom w:val="nil"/>
              <w:right w:val="nil"/>
            </w:tcBorders>
            <w:shd w:val="clear" w:color="auto" w:fill="auto"/>
            <w:noWrap/>
            <w:vAlign w:val="center"/>
            <w:hideMark/>
          </w:tcPr>
          <w:p w14:paraId="723D72BA"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98,191</w:t>
            </w:r>
          </w:p>
        </w:tc>
      </w:tr>
      <w:tr w:rsidR="00A24F2F" w:rsidRPr="001715D3" w14:paraId="0F75E31C" w14:textId="77777777" w:rsidTr="0005698F">
        <w:trPr>
          <w:trHeight w:val="63"/>
        </w:trPr>
        <w:tc>
          <w:tcPr>
            <w:tcW w:w="4570" w:type="dxa"/>
            <w:gridSpan w:val="2"/>
            <w:vMerge/>
            <w:tcBorders>
              <w:left w:val="nil"/>
              <w:right w:val="nil"/>
            </w:tcBorders>
            <w:shd w:val="clear" w:color="auto" w:fill="auto"/>
            <w:noWrap/>
            <w:vAlign w:val="center"/>
            <w:hideMark/>
          </w:tcPr>
          <w:p w14:paraId="65426CEE" w14:textId="45F6DBCF"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3210BE68" w14:textId="01766CA5"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21,970</w:t>
            </w:r>
          </w:p>
        </w:tc>
        <w:tc>
          <w:tcPr>
            <w:tcW w:w="936" w:type="dxa"/>
            <w:tcBorders>
              <w:top w:val="nil"/>
              <w:left w:val="nil"/>
              <w:bottom w:val="nil"/>
              <w:right w:val="nil"/>
            </w:tcBorders>
            <w:shd w:val="clear" w:color="auto" w:fill="auto"/>
            <w:noWrap/>
            <w:vAlign w:val="center"/>
            <w:hideMark/>
          </w:tcPr>
          <w:p w14:paraId="4059C2D9" w14:textId="332874AC"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21,220</w:t>
            </w:r>
          </w:p>
        </w:tc>
        <w:tc>
          <w:tcPr>
            <w:tcW w:w="937" w:type="dxa"/>
            <w:tcBorders>
              <w:top w:val="nil"/>
              <w:left w:val="nil"/>
              <w:bottom w:val="nil"/>
              <w:right w:val="nil"/>
            </w:tcBorders>
            <w:shd w:val="clear" w:color="auto" w:fill="auto"/>
            <w:noWrap/>
            <w:vAlign w:val="center"/>
            <w:hideMark/>
          </w:tcPr>
          <w:p w14:paraId="4E94D73F"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21,374</w:t>
            </w:r>
          </w:p>
        </w:tc>
        <w:tc>
          <w:tcPr>
            <w:tcW w:w="936" w:type="dxa"/>
            <w:tcBorders>
              <w:top w:val="nil"/>
              <w:left w:val="nil"/>
              <w:bottom w:val="nil"/>
              <w:right w:val="nil"/>
            </w:tcBorders>
            <w:shd w:val="clear" w:color="auto" w:fill="auto"/>
            <w:noWrap/>
            <w:vAlign w:val="center"/>
            <w:hideMark/>
          </w:tcPr>
          <w:p w14:paraId="3F12729D"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26,588</w:t>
            </w:r>
          </w:p>
        </w:tc>
        <w:tc>
          <w:tcPr>
            <w:tcW w:w="937" w:type="dxa"/>
            <w:tcBorders>
              <w:top w:val="nil"/>
              <w:left w:val="nil"/>
              <w:bottom w:val="nil"/>
              <w:right w:val="nil"/>
            </w:tcBorders>
            <w:shd w:val="clear" w:color="auto" w:fill="auto"/>
            <w:noWrap/>
            <w:vAlign w:val="center"/>
            <w:hideMark/>
          </w:tcPr>
          <w:p w14:paraId="41C3CC0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28,992</w:t>
            </w:r>
          </w:p>
        </w:tc>
      </w:tr>
      <w:tr w:rsidR="00A24F2F" w:rsidRPr="001715D3" w14:paraId="194472AD" w14:textId="77777777" w:rsidTr="0005698F">
        <w:trPr>
          <w:trHeight w:val="63"/>
        </w:trPr>
        <w:tc>
          <w:tcPr>
            <w:tcW w:w="4570" w:type="dxa"/>
            <w:gridSpan w:val="2"/>
            <w:vMerge/>
            <w:tcBorders>
              <w:left w:val="nil"/>
              <w:right w:val="nil"/>
            </w:tcBorders>
            <w:shd w:val="clear" w:color="auto" w:fill="auto"/>
            <w:noWrap/>
            <w:vAlign w:val="center"/>
            <w:hideMark/>
          </w:tcPr>
          <w:p w14:paraId="7D97E503" w14:textId="343DC870"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17224BAF" w14:textId="2E40F80B"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6" w:type="dxa"/>
            <w:tcBorders>
              <w:top w:val="nil"/>
              <w:left w:val="nil"/>
              <w:bottom w:val="nil"/>
              <w:right w:val="nil"/>
            </w:tcBorders>
            <w:shd w:val="clear" w:color="auto" w:fill="auto"/>
            <w:noWrap/>
            <w:vAlign w:val="center"/>
            <w:hideMark/>
          </w:tcPr>
          <w:p w14:paraId="4739AE1C" w14:textId="2044CDBD"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7" w:type="dxa"/>
            <w:tcBorders>
              <w:top w:val="nil"/>
              <w:left w:val="nil"/>
              <w:bottom w:val="nil"/>
              <w:right w:val="nil"/>
            </w:tcBorders>
            <w:shd w:val="clear" w:color="auto" w:fill="auto"/>
            <w:noWrap/>
            <w:vAlign w:val="center"/>
            <w:hideMark/>
          </w:tcPr>
          <w:p w14:paraId="0AD93221"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83</w:t>
            </w:r>
          </w:p>
        </w:tc>
        <w:tc>
          <w:tcPr>
            <w:tcW w:w="936" w:type="dxa"/>
            <w:tcBorders>
              <w:top w:val="nil"/>
              <w:left w:val="nil"/>
              <w:bottom w:val="nil"/>
              <w:right w:val="nil"/>
            </w:tcBorders>
            <w:shd w:val="clear" w:color="auto" w:fill="auto"/>
            <w:noWrap/>
            <w:vAlign w:val="center"/>
            <w:hideMark/>
          </w:tcPr>
          <w:p w14:paraId="4964DA2E"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37</w:t>
            </w:r>
          </w:p>
        </w:tc>
        <w:tc>
          <w:tcPr>
            <w:tcW w:w="937" w:type="dxa"/>
            <w:tcBorders>
              <w:top w:val="nil"/>
              <w:left w:val="nil"/>
              <w:bottom w:val="nil"/>
              <w:right w:val="nil"/>
            </w:tcBorders>
            <w:shd w:val="clear" w:color="auto" w:fill="auto"/>
            <w:noWrap/>
            <w:vAlign w:val="center"/>
            <w:hideMark/>
          </w:tcPr>
          <w:p w14:paraId="3D12E769"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53</w:t>
            </w:r>
          </w:p>
        </w:tc>
      </w:tr>
      <w:tr w:rsidR="00A24F2F" w:rsidRPr="001715D3" w14:paraId="7A5EA8CC" w14:textId="77777777" w:rsidTr="0005698F">
        <w:trPr>
          <w:trHeight w:val="63"/>
        </w:trPr>
        <w:tc>
          <w:tcPr>
            <w:tcW w:w="4570" w:type="dxa"/>
            <w:gridSpan w:val="2"/>
            <w:vMerge/>
            <w:tcBorders>
              <w:left w:val="nil"/>
              <w:right w:val="nil"/>
            </w:tcBorders>
            <w:shd w:val="clear" w:color="auto" w:fill="auto"/>
            <w:noWrap/>
            <w:vAlign w:val="center"/>
            <w:hideMark/>
          </w:tcPr>
          <w:p w14:paraId="2152DD9E" w14:textId="1071BDCD"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2F3F854F" w14:textId="66B91AA9"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5,590,142</w:t>
            </w:r>
          </w:p>
        </w:tc>
        <w:tc>
          <w:tcPr>
            <w:tcW w:w="936" w:type="dxa"/>
            <w:tcBorders>
              <w:top w:val="nil"/>
              <w:left w:val="nil"/>
              <w:bottom w:val="nil"/>
              <w:right w:val="nil"/>
            </w:tcBorders>
            <w:shd w:val="clear" w:color="auto" w:fill="auto"/>
            <w:noWrap/>
            <w:vAlign w:val="center"/>
            <w:hideMark/>
          </w:tcPr>
          <w:p w14:paraId="030CC9F3" w14:textId="19BE2935"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6,012,433</w:t>
            </w:r>
          </w:p>
        </w:tc>
        <w:tc>
          <w:tcPr>
            <w:tcW w:w="937" w:type="dxa"/>
            <w:tcBorders>
              <w:top w:val="nil"/>
              <w:left w:val="nil"/>
              <w:bottom w:val="nil"/>
              <w:right w:val="nil"/>
            </w:tcBorders>
            <w:shd w:val="clear" w:color="auto" w:fill="auto"/>
            <w:noWrap/>
            <w:vAlign w:val="center"/>
            <w:hideMark/>
          </w:tcPr>
          <w:p w14:paraId="1CAC10B3"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6,097,508</w:t>
            </w:r>
          </w:p>
        </w:tc>
        <w:tc>
          <w:tcPr>
            <w:tcW w:w="936" w:type="dxa"/>
            <w:tcBorders>
              <w:top w:val="nil"/>
              <w:left w:val="nil"/>
              <w:bottom w:val="nil"/>
              <w:right w:val="nil"/>
            </w:tcBorders>
            <w:shd w:val="clear" w:color="auto" w:fill="auto"/>
            <w:noWrap/>
            <w:vAlign w:val="center"/>
            <w:hideMark/>
          </w:tcPr>
          <w:p w14:paraId="100956F5"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5,229,062</w:t>
            </w:r>
          </w:p>
        </w:tc>
        <w:tc>
          <w:tcPr>
            <w:tcW w:w="937" w:type="dxa"/>
            <w:tcBorders>
              <w:top w:val="nil"/>
              <w:left w:val="nil"/>
              <w:bottom w:val="nil"/>
              <w:right w:val="nil"/>
            </w:tcBorders>
            <w:shd w:val="clear" w:color="auto" w:fill="auto"/>
            <w:noWrap/>
            <w:vAlign w:val="center"/>
            <w:hideMark/>
          </w:tcPr>
          <w:p w14:paraId="5159BAC3"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4,789,588</w:t>
            </w:r>
          </w:p>
        </w:tc>
      </w:tr>
      <w:tr w:rsidR="00A24F2F" w:rsidRPr="001715D3" w14:paraId="3649CB5B" w14:textId="77777777" w:rsidTr="0005698F">
        <w:trPr>
          <w:trHeight w:val="80"/>
        </w:trPr>
        <w:tc>
          <w:tcPr>
            <w:tcW w:w="4570" w:type="dxa"/>
            <w:gridSpan w:val="2"/>
            <w:vMerge/>
            <w:tcBorders>
              <w:left w:val="nil"/>
              <w:right w:val="nil"/>
            </w:tcBorders>
            <w:shd w:val="clear" w:color="auto" w:fill="auto"/>
            <w:noWrap/>
            <w:vAlign w:val="center"/>
            <w:hideMark/>
          </w:tcPr>
          <w:p w14:paraId="3EAB0F8E" w14:textId="38958EDF"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56B15826" w14:textId="09C2EE2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6" w:type="dxa"/>
            <w:tcBorders>
              <w:top w:val="nil"/>
              <w:left w:val="nil"/>
              <w:bottom w:val="nil"/>
              <w:right w:val="nil"/>
            </w:tcBorders>
            <w:shd w:val="clear" w:color="auto" w:fill="auto"/>
            <w:noWrap/>
            <w:vAlign w:val="center"/>
            <w:hideMark/>
          </w:tcPr>
          <w:p w14:paraId="43807E06" w14:textId="32EA043D"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817</w:t>
            </w:r>
          </w:p>
        </w:tc>
        <w:tc>
          <w:tcPr>
            <w:tcW w:w="937" w:type="dxa"/>
            <w:tcBorders>
              <w:top w:val="nil"/>
              <w:left w:val="nil"/>
              <w:bottom w:val="nil"/>
              <w:right w:val="nil"/>
            </w:tcBorders>
            <w:shd w:val="clear" w:color="auto" w:fill="auto"/>
            <w:noWrap/>
            <w:vAlign w:val="center"/>
            <w:hideMark/>
          </w:tcPr>
          <w:p w14:paraId="336F71F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855</w:t>
            </w:r>
          </w:p>
        </w:tc>
        <w:tc>
          <w:tcPr>
            <w:tcW w:w="936" w:type="dxa"/>
            <w:tcBorders>
              <w:top w:val="nil"/>
              <w:left w:val="nil"/>
              <w:bottom w:val="nil"/>
              <w:right w:val="nil"/>
            </w:tcBorders>
            <w:shd w:val="clear" w:color="auto" w:fill="auto"/>
            <w:noWrap/>
            <w:vAlign w:val="center"/>
            <w:hideMark/>
          </w:tcPr>
          <w:p w14:paraId="5572E226" w14:textId="60A28655"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0</w:t>
            </w:r>
          </w:p>
        </w:tc>
        <w:tc>
          <w:tcPr>
            <w:tcW w:w="937" w:type="dxa"/>
            <w:tcBorders>
              <w:top w:val="nil"/>
              <w:left w:val="nil"/>
              <w:bottom w:val="nil"/>
              <w:right w:val="nil"/>
            </w:tcBorders>
            <w:shd w:val="clear" w:color="auto" w:fill="auto"/>
            <w:noWrap/>
            <w:vAlign w:val="center"/>
            <w:hideMark/>
          </w:tcPr>
          <w:p w14:paraId="335A9D1A" w14:textId="4DA57C68"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15,862</w:t>
            </w:r>
          </w:p>
        </w:tc>
      </w:tr>
      <w:tr w:rsidR="00A24F2F" w:rsidRPr="001715D3" w14:paraId="711B2471" w14:textId="77777777" w:rsidTr="0005698F">
        <w:trPr>
          <w:trHeight w:val="63"/>
        </w:trPr>
        <w:tc>
          <w:tcPr>
            <w:tcW w:w="4570" w:type="dxa"/>
            <w:gridSpan w:val="2"/>
            <w:vMerge/>
            <w:tcBorders>
              <w:left w:val="nil"/>
              <w:right w:val="nil"/>
            </w:tcBorders>
            <w:shd w:val="clear" w:color="auto" w:fill="auto"/>
            <w:noWrap/>
            <w:vAlign w:val="center"/>
            <w:hideMark/>
          </w:tcPr>
          <w:p w14:paraId="735EA8B4" w14:textId="0E375165"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596C5A98" w14:textId="567AD1CB"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3,509</w:t>
            </w:r>
          </w:p>
        </w:tc>
        <w:tc>
          <w:tcPr>
            <w:tcW w:w="936" w:type="dxa"/>
            <w:tcBorders>
              <w:top w:val="nil"/>
              <w:left w:val="nil"/>
              <w:bottom w:val="nil"/>
              <w:right w:val="nil"/>
            </w:tcBorders>
            <w:shd w:val="clear" w:color="auto" w:fill="auto"/>
            <w:noWrap/>
            <w:vAlign w:val="center"/>
            <w:hideMark/>
          </w:tcPr>
          <w:p w14:paraId="117B0558" w14:textId="6C8F8849"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5,387</w:t>
            </w:r>
          </w:p>
        </w:tc>
        <w:tc>
          <w:tcPr>
            <w:tcW w:w="937" w:type="dxa"/>
            <w:tcBorders>
              <w:top w:val="nil"/>
              <w:left w:val="nil"/>
              <w:bottom w:val="nil"/>
              <w:right w:val="nil"/>
            </w:tcBorders>
            <w:shd w:val="clear" w:color="auto" w:fill="auto"/>
            <w:noWrap/>
            <w:vAlign w:val="center"/>
            <w:hideMark/>
          </w:tcPr>
          <w:p w14:paraId="3788AF8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5,765</w:t>
            </w:r>
          </w:p>
        </w:tc>
        <w:tc>
          <w:tcPr>
            <w:tcW w:w="936" w:type="dxa"/>
            <w:tcBorders>
              <w:top w:val="nil"/>
              <w:left w:val="nil"/>
              <w:bottom w:val="nil"/>
              <w:right w:val="nil"/>
            </w:tcBorders>
            <w:shd w:val="clear" w:color="auto" w:fill="auto"/>
            <w:noWrap/>
            <w:vAlign w:val="center"/>
            <w:hideMark/>
          </w:tcPr>
          <w:p w14:paraId="11C193A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10,909</w:t>
            </w:r>
          </w:p>
        </w:tc>
        <w:tc>
          <w:tcPr>
            <w:tcW w:w="937" w:type="dxa"/>
            <w:tcBorders>
              <w:top w:val="nil"/>
              <w:left w:val="nil"/>
              <w:bottom w:val="nil"/>
              <w:right w:val="nil"/>
            </w:tcBorders>
            <w:shd w:val="clear" w:color="auto" w:fill="auto"/>
            <w:noWrap/>
            <w:vAlign w:val="center"/>
            <w:hideMark/>
          </w:tcPr>
          <w:p w14:paraId="4A491799"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14,283</w:t>
            </w:r>
          </w:p>
        </w:tc>
      </w:tr>
      <w:tr w:rsidR="00A24F2F" w:rsidRPr="001715D3" w14:paraId="35D6D42C" w14:textId="77777777" w:rsidTr="0005698F">
        <w:trPr>
          <w:trHeight w:val="63"/>
        </w:trPr>
        <w:tc>
          <w:tcPr>
            <w:tcW w:w="4570" w:type="dxa"/>
            <w:gridSpan w:val="2"/>
            <w:vMerge/>
            <w:tcBorders>
              <w:left w:val="nil"/>
              <w:right w:val="nil"/>
            </w:tcBorders>
            <w:shd w:val="clear" w:color="auto" w:fill="auto"/>
            <w:noWrap/>
            <w:vAlign w:val="center"/>
            <w:hideMark/>
          </w:tcPr>
          <w:p w14:paraId="188D7ACC" w14:textId="76230BA2"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1D4E2266" w14:textId="6B5DED6D"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12,277</w:t>
            </w:r>
          </w:p>
        </w:tc>
        <w:tc>
          <w:tcPr>
            <w:tcW w:w="936" w:type="dxa"/>
            <w:tcBorders>
              <w:top w:val="nil"/>
              <w:left w:val="nil"/>
              <w:bottom w:val="nil"/>
              <w:right w:val="nil"/>
            </w:tcBorders>
            <w:shd w:val="clear" w:color="auto" w:fill="auto"/>
            <w:noWrap/>
            <w:vAlign w:val="center"/>
            <w:hideMark/>
          </w:tcPr>
          <w:p w14:paraId="06AC9D0F" w14:textId="2CDC5FA6"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31,100</w:t>
            </w:r>
          </w:p>
        </w:tc>
        <w:tc>
          <w:tcPr>
            <w:tcW w:w="937" w:type="dxa"/>
            <w:tcBorders>
              <w:top w:val="nil"/>
              <w:left w:val="nil"/>
              <w:bottom w:val="nil"/>
              <w:right w:val="nil"/>
            </w:tcBorders>
            <w:shd w:val="clear" w:color="auto" w:fill="auto"/>
            <w:noWrap/>
            <w:vAlign w:val="center"/>
            <w:hideMark/>
          </w:tcPr>
          <w:p w14:paraId="2711FDBA"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31,245</w:t>
            </w:r>
          </w:p>
        </w:tc>
        <w:tc>
          <w:tcPr>
            <w:tcW w:w="936" w:type="dxa"/>
            <w:tcBorders>
              <w:top w:val="nil"/>
              <w:left w:val="nil"/>
              <w:bottom w:val="nil"/>
              <w:right w:val="nil"/>
            </w:tcBorders>
            <w:shd w:val="clear" w:color="auto" w:fill="auto"/>
            <w:noWrap/>
            <w:vAlign w:val="center"/>
            <w:hideMark/>
          </w:tcPr>
          <w:p w14:paraId="783F81AA"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35,947</w:t>
            </w:r>
          </w:p>
        </w:tc>
        <w:tc>
          <w:tcPr>
            <w:tcW w:w="937" w:type="dxa"/>
            <w:tcBorders>
              <w:top w:val="nil"/>
              <w:left w:val="nil"/>
              <w:bottom w:val="nil"/>
              <w:right w:val="nil"/>
            </w:tcBorders>
            <w:shd w:val="clear" w:color="auto" w:fill="auto"/>
            <w:noWrap/>
            <w:vAlign w:val="center"/>
            <w:hideMark/>
          </w:tcPr>
          <w:p w14:paraId="375E4055"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26,676</w:t>
            </w:r>
          </w:p>
        </w:tc>
      </w:tr>
      <w:tr w:rsidR="00A24F2F" w:rsidRPr="001715D3" w14:paraId="6CBD9B1D" w14:textId="77777777" w:rsidTr="0005698F">
        <w:trPr>
          <w:trHeight w:val="63"/>
        </w:trPr>
        <w:tc>
          <w:tcPr>
            <w:tcW w:w="4570" w:type="dxa"/>
            <w:gridSpan w:val="2"/>
            <w:vMerge/>
            <w:tcBorders>
              <w:left w:val="nil"/>
              <w:right w:val="nil"/>
            </w:tcBorders>
            <w:shd w:val="clear" w:color="auto" w:fill="auto"/>
            <w:noWrap/>
            <w:vAlign w:val="center"/>
            <w:hideMark/>
          </w:tcPr>
          <w:p w14:paraId="5DF6EB0F" w14:textId="4C5F737F"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2AD034F6" w14:textId="4247186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121,036</w:t>
            </w:r>
          </w:p>
        </w:tc>
        <w:tc>
          <w:tcPr>
            <w:tcW w:w="936" w:type="dxa"/>
            <w:tcBorders>
              <w:top w:val="nil"/>
              <w:left w:val="nil"/>
              <w:bottom w:val="nil"/>
              <w:right w:val="nil"/>
            </w:tcBorders>
            <w:shd w:val="clear" w:color="auto" w:fill="auto"/>
            <w:noWrap/>
            <w:vAlign w:val="center"/>
            <w:hideMark/>
          </w:tcPr>
          <w:p w14:paraId="64A4864C" w14:textId="598A5448"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158,068</w:t>
            </w:r>
          </w:p>
        </w:tc>
        <w:tc>
          <w:tcPr>
            <w:tcW w:w="937" w:type="dxa"/>
            <w:tcBorders>
              <w:top w:val="nil"/>
              <w:left w:val="nil"/>
              <w:bottom w:val="nil"/>
              <w:right w:val="nil"/>
            </w:tcBorders>
            <w:shd w:val="clear" w:color="auto" w:fill="auto"/>
            <w:noWrap/>
            <w:vAlign w:val="center"/>
            <w:hideMark/>
          </w:tcPr>
          <w:p w14:paraId="16C1086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158,663</w:t>
            </w:r>
          </w:p>
        </w:tc>
        <w:tc>
          <w:tcPr>
            <w:tcW w:w="936" w:type="dxa"/>
            <w:tcBorders>
              <w:top w:val="nil"/>
              <w:left w:val="nil"/>
              <w:bottom w:val="nil"/>
              <w:right w:val="nil"/>
            </w:tcBorders>
            <w:shd w:val="clear" w:color="auto" w:fill="auto"/>
            <w:noWrap/>
            <w:vAlign w:val="center"/>
            <w:hideMark/>
          </w:tcPr>
          <w:p w14:paraId="066AFA89"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157,047</w:t>
            </w:r>
          </w:p>
        </w:tc>
        <w:tc>
          <w:tcPr>
            <w:tcW w:w="937" w:type="dxa"/>
            <w:tcBorders>
              <w:top w:val="nil"/>
              <w:left w:val="nil"/>
              <w:bottom w:val="nil"/>
              <w:right w:val="nil"/>
            </w:tcBorders>
            <w:shd w:val="clear" w:color="auto" w:fill="auto"/>
            <w:noWrap/>
            <w:vAlign w:val="center"/>
            <w:hideMark/>
          </w:tcPr>
          <w:p w14:paraId="5119FAF6"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129,095</w:t>
            </w:r>
          </w:p>
        </w:tc>
      </w:tr>
      <w:tr w:rsidR="00A24F2F" w:rsidRPr="001715D3" w14:paraId="6B2BF3CA" w14:textId="77777777" w:rsidTr="0005698F">
        <w:trPr>
          <w:trHeight w:val="63"/>
        </w:trPr>
        <w:tc>
          <w:tcPr>
            <w:tcW w:w="4570" w:type="dxa"/>
            <w:gridSpan w:val="2"/>
            <w:vMerge/>
            <w:tcBorders>
              <w:left w:val="nil"/>
              <w:right w:val="nil"/>
            </w:tcBorders>
            <w:shd w:val="clear" w:color="auto" w:fill="auto"/>
            <w:noWrap/>
            <w:vAlign w:val="center"/>
            <w:hideMark/>
          </w:tcPr>
          <w:p w14:paraId="0039446F" w14:textId="6CF1A348"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78A1C62C" w14:textId="141C456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39,773</w:t>
            </w:r>
          </w:p>
        </w:tc>
        <w:tc>
          <w:tcPr>
            <w:tcW w:w="936" w:type="dxa"/>
            <w:tcBorders>
              <w:top w:val="nil"/>
              <w:left w:val="nil"/>
              <w:bottom w:val="nil"/>
              <w:right w:val="nil"/>
            </w:tcBorders>
            <w:shd w:val="clear" w:color="auto" w:fill="auto"/>
            <w:noWrap/>
            <w:vAlign w:val="center"/>
            <w:hideMark/>
          </w:tcPr>
          <w:p w14:paraId="300311F8" w14:textId="108C7CF0"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42,575</w:t>
            </w:r>
          </w:p>
        </w:tc>
        <w:tc>
          <w:tcPr>
            <w:tcW w:w="937" w:type="dxa"/>
            <w:tcBorders>
              <w:top w:val="nil"/>
              <w:left w:val="nil"/>
              <w:bottom w:val="nil"/>
              <w:right w:val="nil"/>
            </w:tcBorders>
            <w:shd w:val="clear" w:color="auto" w:fill="auto"/>
            <w:noWrap/>
            <w:vAlign w:val="center"/>
            <w:hideMark/>
          </w:tcPr>
          <w:p w14:paraId="00D5210E"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33,437</w:t>
            </w:r>
          </w:p>
        </w:tc>
        <w:tc>
          <w:tcPr>
            <w:tcW w:w="936" w:type="dxa"/>
            <w:tcBorders>
              <w:top w:val="nil"/>
              <w:left w:val="nil"/>
              <w:bottom w:val="nil"/>
              <w:right w:val="nil"/>
            </w:tcBorders>
            <w:shd w:val="clear" w:color="auto" w:fill="auto"/>
            <w:noWrap/>
            <w:vAlign w:val="center"/>
            <w:hideMark/>
          </w:tcPr>
          <w:p w14:paraId="0B61BC4E"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16,730</w:t>
            </w:r>
          </w:p>
        </w:tc>
        <w:tc>
          <w:tcPr>
            <w:tcW w:w="937" w:type="dxa"/>
            <w:tcBorders>
              <w:top w:val="nil"/>
              <w:left w:val="nil"/>
              <w:bottom w:val="nil"/>
              <w:right w:val="nil"/>
            </w:tcBorders>
            <w:shd w:val="clear" w:color="auto" w:fill="auto"/>
            <w:noWrap/>
            <w:vAlign w:val="center"/>
            <w:hideMark/>
          </w:tcPr>
          <w:p w14:paraId="3F81A1E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4,615</w:t>
            </w:r>
          </w:p>
        </w:tc>
      </w:tr>
      <w:tr w:rsidR="00A24F2F" w:rsidRPr="001715D3" w14:paraId="7BEB3545" w14:textId="77777777" w:rsidTr="0005698F">
        <w:trPr>
          <w:trHeight w:val="63"/>
        </w:trPr>
        <w:tc>
          <w:tcPr>
            <w:tcW w:w="4570" w:type="dxa"/>
            <w:gridSpan w:val="2"/>
            <w:vMerge/>
            <w:tcBorders>
              <w:left w:val="nil"/>
              <w:right w:val="nil"/>
            </w:tcBorders>
            <w:shd w:val="clear" w:color="auto" w:fill="auto"/>
            <w:noWrap/>
            <w:vAlign w:val="center"/>
            <w:hideMark/>
          </w:tcPr>
          <w:p w14:paraId="4744F361" w14:textId="0DB65B68"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366E19CB" w14:textId="48D5647D"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6" w:type="dxa"/>
            <w:tcBorders>
              <w:top w:val="nil"/>
              <w:left w:val="nil"/>
              <w:bottom w:val="nil"/>
              <w:right w:val="nil"/>
            </w:tcBorders>
            <w:shd w:val="clear" w:color="auto" w:fill="auto"/>
            <w:noWrap/>
            <w:vAlign w:val="center"/>
            <w:hideMark/>
          </w:tcPr>
          <w:p w14:paraId="3B39AECC" w14:textId="0A95971E"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w:t>
            </w:r>
          </w:p>
        </w:tc>
        <w:tc>
          <w:tcPr>
            <w:tcW w:w="937" w:type="dxa"/>
            <w:tcBorders>
              <w:top w:val="nil"/>
              <w:left w:val="nil"/>
              <w:bottom w:val="nil"/>
              <w:right w:val="nil"/>
            </w:tcBorders>
            <w:shd w:val="clear" w:color="auto" w:fill="auto"/>
            <w:noWrap/>
            <w:vAlign w:val="center"/>
            <w:hideMark/>
          </w:tcPr>
          <w:p w14:paraId="2EF3AACB"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13,340</w:t>
            </w:r>
          </w:p>
        </w:tc>
        <w:tc>
          <w:tcPr>
            <w:tcW w:w="936" w:type="dxa"/>
            <w:tcBorders>
              <w:top w:val="nil"/>
              <w:left w:val="nil"/>
              <w:bottom w:val="nil"/>
              <w:right w:val="nil"/>
            </w:tcBorders>
            <w:shd w:val="clear" w:color="auto" w:fill="auto"/>
            <w:noWrap/>
            <w:vAlign w:val="center"/>
            <w:hideMark/>
          </w:tcPr>
          <w:p w14:paraId="54EBE9B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29,859</w:t>
            </w:r>
          </w:p>
        </w:tc>
        <w:tc>
          <w:tcPr>
            <w:tcW w:w="937" w:type="dxa"/>
            <w:tcBorders>
              <w:top w:val="nil"/>
              <w:left w:val="nil"/>
              <w:bottom w:val="nil"/>
              <w:right w:val="nil"/>
            </w:tcBorders>
            <w:shd w:val="clear" w:color="auto" w:fill="auto"/>
            <w:noWrap/>
            <w:vAlign w:val="center"/>
            <w:hideMark/>
          </w:tcPr>
          <w:p w14:paraId="7970EAC3"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7,344</w:t>
            </w:r>
          </w:p>
        </w:tc>
      </w:tr>
      <w:tr w:rsidR="00A24F2F" w:rsidRPr="001715D3" w14:paraId="0ECD2A73" w14:textId="77777777" w:rsidTr="0005698F">
        <w:trPr>
          <w:trHeight w:val="63"/>
        </w:trPr>
        <w:tc>
          <w:tcPr>
            <w:tcW w:w="4570" w:type="dxa"/>
            <w:gridSpan w:val="2"/>
            <w:vMerge/>
            <w:tcBorders>
              <w:left w:val="nil"/>
              <w:bottom w:val="nil"/>
              <w:right w:val="nil"/>
            </w:tcBorders>
            <w:shd w:val="clear" w:color="auto" w:fill="auto"/>
            <w:noWrap/>
            <w:vAlign w:val="center"/>
            <w:hideMark/>
          </w:tcPr>
          <w:p w14:paraId="6529EDBE" w14:textId="6E3AB8FE" w:rsidR="00A24F2F" w:rsidRPr="001715D3" w:rsidRDefault="00A24F2F" w:rsidP="00A24F2F">
            <w:pPr>
              <w:rPr>
                <w:rFonts w:ascii="Arial" w:hAnsi="Arial" w:cs="Arial"/>
                <w:sz w:val="16"/>
                <w:szCs w:val="16"/>
                <w:lang w:val="en-GB" w:eastAsia="en-SG"/>
              </w:rPr>
            </w:pPr>
          </w:p>
        </w:tc>
        <w:tc>
          <w:tcPr>
            <w:tcW w:w="936" w:type="dxa"/>
            <w:tcBorders>
              <w:top w:val="nil"/>
              <w:left w:val="nil"/>
              <w:bottom w:val="nil"/>
              <w:right w:val="nil"/>
            </w:tcBorders>
            <w:vAlign w:val="center"/>
          </w:tcPr>
          <w:p w14:paraId="117044A2" w14:textId="7BB9B1AB"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47,368</w:t>
            </w:r>
          </w:p>
        </w:tc>
        <w:tc>
          <w:tcPr>
            <w:tcW w:w="936" w:type="dxa"/>
            <w:tcBorders>
              <w:top w:val="nil"/>
              <w:left w:val="nil"/>
              <w:bottom w:val="nil"/>
              <w:right w:val="nil"/>
            </w:tcBorders>
            <w:shd w:val="clear" w:color="auto" w:fill="auto"/>
            <w:noWrap/>
            <w:vAlign w:val="center"/>
            <w:hideMark/>
          </w:tcPr>
          <w:p w14:paraId="14928EDB" w14:textId="38E056D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57,367</w:t>
            </w:r>
          </w:p>
        </w:tc>
        <w:tc>
          <w:tcPr>
            <w:tcW w:w="937" w:type="dxa"/>
            <w:tcBorders>
              <w:top w:val="nil"/>
              <w:left w:val="nil"/>
              <w:bottom w:val="nil"/>
              <w:right w:val="nil"/>
            </w:tcBorders>
            <w:shd w:val="clear" w:color="auto" w:fill="auto"/>
            <w:noWrap/>
            <w:vAlign w:val="center"/>
            <w:hideMark/>
          </w:tcPr>
          <w:p w14:paraId="557F3290"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51,083</w:t>
            </w:r>
          </w:p>
        </w:tc>
        <w:tc>
          <w:tcPr>
            <w:tcW w:w="936" w:type="dxa"/>
            <w:tcBorders>
              <w:top w:val="nil"/>
              <w:left w:val="nil"/>
              <w:bottom w:val="nil"/>
              <w:right w:val="nil"/>
            </w:tcBorders>
            <w:shd w:val="clear" w:color="auto" w:fill="auto"/>
            <w:noWrap/>
            <w:vAlign w:val="center"/>
            <w:hideMark/>
          </w:tcPr>
          <w:p w14:paraId="0BC39156"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74,458</w:t>
            </w:r>
          </w:p>
        </w:tc>
        <w:tc>
          <w:tcPr>
            <w:tcW w:w="937" w:type="dxa"/>
            <w:tcBorders>
              <w:top w:val="nil"/>
              <w:left w:val="nil"/>
              <w:bottom w:val="nil"/>
              <w:right w:val="nil"/>
            </w:tcBorders>
            <w:shd w:val="clear" w:color="auto" w:fill="auto"/>
            <w:noWrap/>
            <w:vAlign w:val="center"/>
            <w:hideMark/>
          </w:tcPr>
          <w:p w14:paraId="68AB4D9B" w14:textId="77777777" w:rsidR="00A24F2F" w:rsidRPr="001715D3" w:rsidRDefault="00A24F2F" w:rsidP="00A24F2F">
            <w:pPr>
              <w:jc w:val="right"/>
              <w:rPr>
                <w:rFonts w:ascii="Arial" w:hAnsi="Arial" w:cs="Arial"/>
                <w:sz w:val="16"/>
                <w:szCs w:val="16"/>
                <w:lang w:val="en-GB" w:eastAsia="en-SG"/>
              </w:rPr>
            </w:pPr>
            <w:r w:rsidRPr="001715D3">
              <w:rPr>
                <w:rFonts w:ascii="Arial" w:hAnsi="Arial" w:cs="Arial"/>
                <w:sz w:val="16"/>
                <w:szCs w:val="16"/>
                <w:lang w:val="en-GB" w:eastAsia="en-SG"/>
              </w:rPr>
              <w:t>81,442</w:t>
            </w:r>
          </w:p>
        </w:tc>
      </w:tr>
      <w:tr w:rsidR="002C3A1A" w:rsidRPr="001715D3" w14:paraId="51FD6D17" w14:textId="77777777" w:rsidTr="00A24F2F">
        <w:trPr>
          <w:trHeight w:val="63"/>
        </w:trPr>
        <w:tc>
          <w:tcPr>
            <w:tcW w:w="4570" w:type="dxa"/>
            <w:gridSpan w:val="2"/>
            <w:tcBorders>
              <w:top w:val="nil"/>
              <w:left w:val="nil"/>
              <w:bottom w:val="nil"/>
              <w:right w:val="nil"/>
            </w:tcBorders>
            <w:shd w:val="clear" w:color="auto" w:fill="auto"/>
            <w:noWrap/>
            <w:vAlign w:val="center"/>
            <w:hideMark/>
          </w:tcPr>
          <w:p w14:paraId="6FE229E8" w14:textId="58C2C76B" w:rsidR="006A405A" w:rsidRPr="001715D3" w:rsidRDefault="006A405A" w:rsidP="00A24F2F">
            <w:pPr>
              <w:rPr>
                <w:rFonts w:ascii="Arial" w:hAnsi="Arial" w:cs="Arial"/>
                <w:b/>
                <w:bCs/>
                <w:sz w:val="16"/>
                <w:szCs w:val="16"/>
                <w:lang w:val="en-GB" w:eastAsia="en-SG"/>
              </w:rPr>
            </w:pPr>
            <w:r w:rsidRPr="001715D3">
              <w:rPr>
                <w:rFonts w:ascii="Arial" w:hAnsi="Arial" w:cs="Arial"/>
                <w:b/>
                <w:bCs/>
                <w:sz w:val="16"/>
                <w:szCs w:val="16"/>
                <w:lang w:val="en-GB" w:eastAsia="en-SG"/>
              </w:rPr>
              <w:t>Total non</w:t>
            </w:r>
            <w:r w:rsidR="00BC6B8B" w:rsidRPr="001715D3">
              <w:rPr>
                <w:rFonts w:ascii="Arial" w:hAnsi="Arial" w:cs="Arial"/>
                <w:b/>
                <w:bCs/>
                <w:sz w:val="16"/>
                <w:szCs w:val="16"/>
                <w:lang w:val="en-GB" w:eastAsia="en-SG"/>
              </w:rPr>
              <w:t>-</w:t>
            </w:r>
            <w:r w:rsidRPr="001715D3">
              <w:rPr>
                <w:rFonts w:ascii="Arial" w:hAnsi="Arial" w:cs="Arial"/>
                <w:b/>
                <w:bCs/>
                <w:sz w:val="16"/>
                <w:szCs w:val="16"/>
                <w:lang w:val="en-GB" w:eastAsia="en-SG"/>
              </w:rPr>
              <w:t>current assets</w:t>
            </w:r>
          </w:p>
        </w:tc>
        <w:tc>
          <w:tcPr>
            <w:tcW w:w="936" w:type="dxa"/>
            <w:tcBorders>
              <w:top w:val="nil"/>
              <w:left w:val="nil"/>
              <w:bottom w:val="nil"/>
              <w:right w:val="nil"/>
            </w:tcBorders>
            <w:vAlign w:val="center"/>
          </w:tcPr>
          <w:p w14:paraId="460E8664" w14:textId="7FF2B3F7" w:rsidR="00F45271" w:rsidRPr="001715D3" w:rsidRDefault="00F45271" w:rsidP="00A24F2F">
            <w:pPr>
              <w:jc w:val="right"/>
              <w:rPr>
                <w:rFonts w:ascii="Arial" w:hAnsi="Arial" w:cs="Arial"/>
                <w:sz w:val="16"/>
                <w:szCs w:val="16"/>
                <w:lang w:val="en-GB" w:eastAsia="en-SG"/>
              </w:rPr>
            </w:pPr>
            <w:r w:rsidRPr="001715D3">
              <w:rPr>
                <w:rFonts w:ascii="Arial" w:hAnsi="Arial" w:cs="Arial"/>
                <w:sz w:val="16"/>
                <w:szCs w:val="16"/>
                <w:lang w:val="en-GB" w:eastAsia="en-SG"/>
              </w:rPr>
              <w:t>5,943,537</w:t>
            </w:r>
          </w:p>
        </w:tc>
        <w:tc>
          <w:tcPr>
            <w:tcW w:w="936" w:type="dxa"/>
            <w:tcBorders>
              <w:top w:val="nil"/>
              <w:left w:val="nil"/>
              <w:bottom w:val="nil"/>
              <w:right w:val="nil"/>
            </w:tcBorders>
            <w:shd w:val="clear" w:color="auto" w:fill="auto"/>
            <w:noWrap/>
            <w:vAlign w:val="center"/>
            <w:hideMark/>
          </w:tcPr>
          <w:p w14:paraId="526EA8F5" w14:textId="1B05BC1E" w:rsidR="006A405A" w:rsidRPr="001715D3" w:rsidRDefault="006A405A" w:rsidP="00A24F2F">
            <w:pPr>
              <w:jc w:val="right"/>
              <w:rPr>
                <w:rFonts w:ascii="Arial" w:hAnsi="Arial" w:cs="Arial"/>
                <w:sz w:val="16"/>
                <w:szCs w:val="16"/>
                <w:lang w:val="en-GB" w:eastAsia="en-SG"/>
              </w:rPr>
            </w:pPr>
            <w:r w:rsidRPr="001715D3">
              <w:rPr>
                <w:rFonts w:ascii="Arial" w:hAnsi="Arial" w:cs="Arial"/>
                <w:sz w:val="16"/>
                <w:szCs w:val="16"/>
                <w:lang w:val="en-GB" w:eastAsia="en-SG"/>
              </w:rPr>
              <w:t>6,489,802</w:t>
            </w:r>
          </w:p>
        </w:tc>
        <w:tc>
          <w:tcPr>
            <w:tcW w:w="937" w:type="dxa"/>
            <w:tcBorders>
              <w:top w:val="nil"/>
              <w:left w:val="nil"/>
              <w:bottom w:val="nil"/>
              <w:right w:val="nil"/>
            </w:tcBorders>
            <w:shd w:val="clear" w:color="auto" w:fill="auto"/>
            <w:noWrap/>
            <w:vAlign w:val="center"/>
            <w:hideMark/>
          </w:tcPr>
          <w:p w14:paraId="7A54AC9F" w14:textId="77777777" w:rsidR="006A405A" w:rsidRPr="001715D3" w:rsidRDefault="006A405A" w:rsidP="00A24F2F">
            <w:pPr>
              <w:jc w:val="right"/>
              <w:rPr>
                <w:rFonts w:ascii="Arial" w:hAnsi="Arial" w:cs="Arial"/>
                <w:sz w:val="16"/>
                <w:szCs w:val="16"/>
                <w:lang w:val="en-GB" w:eastAsia="en-SG"/>
              </w:rPr>
            </w:pPr>
            <w:r w:rsidRPr="001715D3">
              <w:rPr>
                <w:rFonts w:ascii="Arial" w:hAnsi="Arial" w:cs="Arial"/>
                <w:sz w:val="16"/>
                <w:szCs w:val="16"/>
                <w:lang w:val="en-GB" w:eastAsia="en-SG"/>
              </w:rPr>
              <w:t>6,562,392</w:t>
            </w:r>
          </w:p>
        </w:tc>
        <w:tc>
          <w:tcPr>
            <w:tcW w:w="936" w:type="dxa"/>
            <w:tcBorders>
              <w:top w:val="nil"/>
              <w:left w:val="nil"/>
              <w:bottom w:val="nil"/>
              <w:right w:val="nil"/>
            </w:tcBorders>
            <w:shd w:val="clear" w:color="auto" w:fill="auto"/>
            <w:noWrap/>
            <w:vAlign w:val="center"/>
            <w:hideMark/>
          </w:tcPr>
          <w:p w14:paraId="1D6F4600" w14:textId="77777777" w:rsidR="006A405A" w:rsidRPr="001715D3" w:rsidRDefault="006A405A" w:rsidP="00A24F2F">
            <w:pPr>
              <w:jc w:val="right"/>
              <w:rPr>
                <w:rFonts w:ascii="Arial" w:hAnsi="Arial" w:cs="Arial"/>
                <w:b/>
                <w:bCs/>
                <w:sz w:val="16"/>
                <w:szCs w:val="16"/>
                <w:lang w:val="en-GB" w:eastAsia="en-SG"/>
              </w:rPr>
            </w:pPr>
            <w:r w:rsidRPr="001715D3">
              <w:rPr>
                <w:rFonts w:ascii="Arial" w:hAnsi="Arial" w:cs="Arial"/>
                <w:b/>
                <w:bCs/>
                <w:sz w:val="16"/>
                <w:szCs w:val="16"/>
                <w:lang w:val="en-GB" w:eastAsia="en-SG"/>
              </w:rPr>
              <w:t>5,692,468</w:t>
            </w:r>
          </w:p>
        </w:tc>
        <w:tc>
          <w:tcPr>
            <w:tcW w:w="937" w:type="dxa"/>
            <w:tcBorders>
              <w:top w:val="nil"/>
              <w:left w:val="nil"/>
              <w:bottom w:val="nil"/>
              <w:right w:val="nil"/>
            </w:tcBorders>
            <w:shd w:val="clear" w:color="auto" w:fill="auto"/>
            <w:noWrap/>
            <w:vAlign w:val="center"/>
            <w:hideMark/>
          </w:tcPr>
          <w:p w14:paraId="50DD39C0" w14:textId="77777777" w:rsidR="006A405A" w:rsidRPr="001715D3" w:rsidRDefault="006A405A" w:rsidP="00A24F2F">
            <w:pPr>
              <w:jc w:val="right"/>
              <w:rPr>
                <w:rFonts w:ascii="Arial" w:hAnsi="Arial" w:cs="Arial"/>
                <w:b/>
                <w:bCs/>
                <w:sz w:val="16"/>
                <w:szCs w:val="16"/>
                <w:lang w:val="en-GB" w:eastAsia="en-SG"/>
              </w:rPr>
            </w:pPr>
            <w:r w:rsidRPr="001715D3">
              <w:rPr>
                <w:rFonts w:ascii="Arial" w:hAnsi="Arial" w:cs="Arial"/>
                <w:b/>
                <w:bCs/>
                <w:sz w:val="16"/>
                <w:szCs w:val="16"/>
                <w:lang w:val="en-GB" w:eastAsia="en-SG"/>
              </w:rPr>
              <w:t>5,196,141</w:t>
            </w:r>
          </w:p>
        </w:tc>
      </w:tr>
      <w:tr w:rsidR="002C3A1A" w:rsidRPr="001715D3" w14:paraId="3EB069EF" w14:textId="77777777" w:rsidTr="00A24F2F">
        <w:trPr>
          <w:trHeight w:val="63"/>
        </w:trPr>
        <w:tc>
          <w:tcPr>
            <w:tcW w:w="4570" w:type="dxa"/>
            <w:gridSpan w:val="2"/>
            <w:tcBorders>
              <w:top w:val="nil"/>
              <w:left w:val="nil"/>
              <w:bottom w:val="single" w:sz="4" w:space="0" w:color="auto"/>
              <w:right w:val="nil"/>
            </w:tcBorders>
            <w:shd w:val="clear" w:color="auto" w:fill="auto"/>
            <w:noWrap/>
            <w:vAlign w:val="center"/>
            <w:hideMark/>
          </w:tcPr>
          <w:p w14:paraId="024EEC3E" w14:textId="5623D163" w:rsidR="006A405A" w:rsidRPr="001715D3" w:rsidRDefault="006A405A" w:rsidP="00A24F2F">
            <w:pPr>
              <w:rPr>
                <w:rFonts w:ascii="Arial" w:hAnsi="Arial" w:cs="Arial"/>
                <w:b/>
                <w:bCs/>
                <w:sz w:val="16"/>
                <w:szCs w:val="16"/>
                <w:lang w:val="en-GB" w:eastAsia="en-SG"/>
              </w:rPr>
            </w:pPr>
            <w:r w:rsidRPr="001715D3">
              <w:rPr>
                <w:rFonts w:ascii="Arial" w:hAnsi="Arial" w:cs="Arial"/>
                <w:b/>
                <w:bCs/>
                <w:sz w:val="16"/>
                <w:szCs w:val="16"/>
                <w:lang w:val="en-GB" w:eastAsia="en-SG"/>
              </w:rPr>
              <w:t>T</w:t>
            </w:r>
            <w:r w:rsidR="00D812DE" w:rsidRPr="001715D3">
              <w:rPr>
                <w:rFonts w:ascii="Arial" w:hAnsi="Arial" w:cs="Arial"/>
                <w:b/>
                <w:bCs/>
                <w:sz w:val="16"/>
                <w:szCs w:val="16"/>
                <w:lang w:val="en-GB" w:eastAsia="en-SG"/>
              </w:rPr>
              <w:t>OTAL</w:t>
            </w:r>
            <w:r w:rsidRPr="001715D3">
              <w:rPr>
                <w:rFonts w:ascii="Arial" w:hAnsi="Arial" w:cs="Arial"/>
                <w:b/>
                <w:bCs/>
                <w:sz w:val="16"/>
                <w:szCs w:val="16"/>
                <w:lang w:val="en-GB" w:eastAsia="en-SG"/>
              </w:rPr>
              <w:t xml:space="preserve"> ASSETS</w:t>
            </w:r>
          </w:p>
        </w:tc>
        <w:tc>
          <w:tcPr>
            <w:tcW w:w="936" w:type="dxa"/>
            <w:tcBorders>
              <w:top w:val="nil"/>
              <w:left w:val="nil"/>
              <w:bottom w:val="single" w:sz="4" w:space="0" w:color="auto"/>
              <w:right w:val="nil"/>
            </w:tcBorders>
            <w:vAlign w:val="center"/>
          </w:tcPr>
          <w:p w14:paraId="4B90E88D" w14:textId="1B35511F" w:rsidR="00F45271" w:rsidRPr="001715D3" w:rsidRDefault="00F45271" w:rsidP="00A24F2F">
            <w:pPr>
              <w:jc w:val="right"/>
              <w:rPr>
                <w:rFonts w:ascii="Arial" w:hAnsi="Arial" w:cs="Arial"/>
                <w:sz w:val="16"/>
                <w:szCs w:val="16"/>
                <w:lang w:val="en-GB" w:eastAsia="en-SG"/>
              </w:rPr>
            </w:pPr>
            <w:r w:rsidRPr="001715D3">
              <w:rPr>
                <w:rFonts w:ascii="Arial" w:hAnsi="Arial" w:cs="Arial"/>
                <w:sz w:val="16"/>
                <w:szCs w:val="16"/>
                <w:lang w:val="en-GB" w:eastAsia="en-SG"/>
              </w:rPr>
              <w:t>6,908,736</w:t>
            </w:r>
          </w:p>
        </w:tc>
        <w:tc>
          <w:tcPr>
            <w:tcW w:w="936" w:type="dxa"/>
            <w:tcBorders>
              <w:top w:val="nil"/>
              <w:left w:val="nil"/>
              <w:bottom w:val="single" w:sz="4" w:space="0" w:color="auto"/>
              <w:right w:val="nil"/>
            </w:tcBorders>
            <w:shd w:val="clear" w:color="auto" w:fill="auto"/>
            <w:noWrap/>
            <w:vAlign w:val="center"/>
            <w:hideMark/>
          </w:tcPr>
          <w:p w14:paraId="28C9B4AE" w14:textId="36468CB6" w:rsidR="006A405A" w:rsidRPr="001715D3" w:rsidRDefault="006A405A" w:rsidP="00A24F2F">
            <w:pPr>
              <w:jc w:val="right"/>
              <w:rPr>
                <w:rFonts w:ascii="Arial" w:hAnsi="Arial" w:cs="Arial"/>
                <w:sz w:val="16"/>
                <w:szCs w:val="16"/>
                <w:lang w:val="en-GB" w:eastAsia="en-SG"/>
              </w:rPr>
            </w:pPr>
            <w:r w:rsidRPr="001715D3">
              <w:rPr>
                <w:rFonts w:ascii="Arial" w:hAnsi="Arial" w:cs="Arial"/>
                <w:sz w:val="16"/>
                <w:szCs w:val="16"/>
                <w:lang w:val="en-GB" w:eastAsia="en-SG"/>
              </w:rPr>
              <w:t>9,099,624</w:t>
            </w:r>
          </w:p>
        </w:tc>
        <w:tc>
          <w:tcPr>
            <w:tcW w:w="937" w:type="dxa"/>
            <w:tcBorders>
              <w:top w:val="nil"/>
              <w:left w:val="nil"/>
              <w:bottom w:val="single" w:sz="4" w:space="0" w:color="auto"/>
              <w:right w:val="nil"/>
            </w:tcBorders>
            <w:shd w:val="clear" w:color="auto" w:fill="auto"/>
            <w:noWrap/>
            <w:vAlign w:val="center"/>
            <w:hideMark/>
          </w:tcPr>
          <w:p w14:paraId="5D254CDB" w14:textId="77777777" w:rsidR="006A405A" w:rsidRPr="001715D3" w:rsidRDefault="006A405A" w:rsidP="00A24F2F">
            <w:pPr>
              <w:jc w:val="right"/>
              <w:rPr>
                <w:rFonts w:ascii="Arial" w:hAnsi="Arial" w:cs="Arial"/>
                <w:sz w:val="16"/>
                <w:szCs w:val="16"/>
                <w:lang w:val="en-GB" w:eastAsia="en-SG"/>
              </w:rPr>
            </w:pPr>
            <w:r w:rsidRPr="001715D3">
              <w:rPr>
                <w:rFonts w:ascii="Arial" w:hAnsi="Arial" w:cs="Arial"/>
                <w:sz w:val="16"/>
                <w:szCs w:val="16"/>
                <w:lang w:val="en-GB" w:eastAsia="en-SG"/>
              </w:rPr>
              <w:t>9,029,035</w:t>
            </w:r>
          </w:p>
        </w:tc>
        <w:tc>
          <w:tcPr>
            <w:tcW w:w="936" w:type="dxa"/>
            <w:tcBorders>
              <w:top w:val="nil"/>
              <w:left w:val="nil"/>
              <w:bottom w:val="single" w:sz="4" w:space="0" w:color="auto"/>
              <w:right w:val="nil"/>
            </w:tcBorders>
            <w:shd w:val="clear" w:color="auto" w:fill="auto"/>
            <w:noWrap/>
            <w:vAlign w:val="center"/>
            <w:hideMark/>
          </w:tcPr>
          <w:p w14:paraId="7B024FA3" w14:textId="77777777" w:rsidR="006A405A" w:rsidRPr="001715D3" w:rsidRDefault="006A405A" w:rsidP="00A24F2F">
            <w:pPr>
              <w:jc w:val="right"/>
              <w:rPr>
                <w:rFonts w:ascii="Arial" w:hAnsi="Arial" w:cs="Arial"/>
                <w:b/>
                <w:bCs/>
                <w:sz w:val="16"/>
                <w:szCs w:val="16"/>
                <w:lang w:val="en-GB" w:eastAsia="en-SG"/>
              </w:rPr>
            </w:pPr>
            <w:r w:rsidRPr="001715D3">
              <w:rPr>
                <w:rFonts w:ascii="Arial" w:hAnsi="Arial" w:cs="Arial"/>
                <w:b/>
                <w:bCs/>
                <w:sz w:val="16"/>
                <w:szCs w:val="16"/>
                <w:lang w:val="en-GB" w:eastAsia="en-SG"/>
              </w:rPr>
              <w:t>8,216,594</w:t>
            </w:r>
          </w:p>
        </w:tc>
        <w:tc>
          <w:tcPr>
            <w:tcW w:w="937" w:type="dxa"/>
            <w:tcBorders>
              <w:top w:val="nil"/>
              <w:left w:val="nil"/>
              <w:bottom w:val="single" w:sz="4" w:space="0" w:color="auto"/>
              <w:right w:val="nil"/>
            </w:tcBorders>
            <w:shd w:val="clear" w:color="auto" w:fill="auto"/>
            <w:noWrap/>
            <w:vAlign w:val="center"/>
            <w:hideMark/>
          </w:tcPr>
          <w:p w14:paraId="22B61781" w14:textId="77777777" w:rsidR="006A405A" w:rsidRPr="001715D3" w:rsidRDefault="006A405A" w:rsidP="00A24F2F">
            <w:pPr>
              <w:jc w:val="right"/>
              <w:rPr>
                <w:rFonts w:ascii="Arial" w:hAnsi="Arial" w:cs="Arial"/>
                <w:b/>
                <w:bCs/>
                <w:sz w:val="16"/>
                <w:szCs w:val="16"/>
                <w:lang w:val="en-GB" w:eastAsia="en-SG"/>
              </w:rPr>
            </w:pPr>
            <w:r w:rsidRPr="001715D3">
              <w:rPr>
                <w:rFonts w:ascii="Arial" w:hAnsi="Arial" w:cs="Arial"/>
                <w:b/>
                <w:bCs/>
                <w:sz w:val="16"/>
                <w:szCs w:val="16"/>
                <w:lang w:val="en-GB" w:eastAsia="en-SG"/>
              </w:rPr>
              <w:t>6,961,848</w:t>
            </w:r>
          </w:p>
        </w:tc>
      </w:tr>
    </w:tbl>
    <w:p w14:paraId="1C6AD5EC" w14:textId="77777777" w:rsidR="008C0337" w:rsidRPr="00A24F2F" w:rsidRDefault="008C0337" w:rsidP="001F0729">
      <w:pPr>
        <w:pStyle w:val="ExhibitHeading"/>
        <w:tabs>
          <w:tab w:val="center" w:pos="4680"/>
          <w:tab w:val="left" w:pos="8627"/>
        </w:tabs>
        <w:jc w:val="left"/>
        <w:rPr>
          <w:caps w:val="0"/>
          <w:sz w:val="8"/>
          <w:lang w:val="en-GB"/>
        </w:rPr>
      </w:pPr>
    </w:p>
    <w:tbl>
      <w:tblPr>
        <w:tblW w:w="9262" w:type="dxa"/>
        <w:tblInd w:w="108" w:type="dxa"/>
        <w:tblLayout w:type="fixed"/>
        <w:tblLook w:val="04A0" w:firstRow="1" w:lastRow="0" w:firstColumn="1" w:lastColumn="0" w:noHBand="0" w:noVBand="1"/>
      </w:tblPr>
      <w:tblGrid>
        <w:gridCol w:w="318"/>
        <w:gridCol w:w="1075"/>
        <w:gridCol w:w="1499"/>
        <w:gridCol w:w="969"/>
        <w:gridCol w:w="157"/>
        <w:gridCol w:w="1261"/>
        <w:gridCol w:w="992"/>
        <w:gridCol w:w="734"/>
        <w:gridCol w:w="258"/>
        <w:gridCol w:w="993"/>
        <w:gridCol w:w="242"/>
        <w:gridCol w:w="764"/>
      </w:tblGrid>
      <w:tr w:rsidR="002C3A1A" w:rsidRPr="001715D3" w14:paraId="065BAE9E" w14:textId="77777777" w:rsidTr="00A24F2F">
        <w:trPr>
          <w:trHeight w:val="113"/>
        </w:trPr>
        <w:tc>
          <w:tcPr>
            <w:tcW w:w="1393" w:type="dxa"/>
            <w:gridSpan w:val="2"/>
            <w:tcBorders>
              <w:top w:val="single" w:sz="4" w:space="0" w:color="auto"/>
              <w:left w:val="nil"/>
              <w:right w:val="nil"/>
            </w:tcBorders>
            <w:shd w:val="clear" w:color="auto" w:fill="auto"/>
            <w:noWrap/>
            <w:vAlign w:val="bottom"/>
            <w:hideMark/>
          </w:tcPr>
          <w:p w14:paraId="7D80B98E" w14:textId="77777777" w:rsidR="00ED6B72" w:rsidRPr="001715D3" w:rsidRDefault="00ED6B72" w:rsidP="001F0729">
            <w:pPr>
              <w:rPr>
                <w:rFonts w:ascii="Arial" w:hAnsi="Arial" w:cs="Arial"/>
                <w:b/>
                <w:sz w:val="19"/>
                <w:szCs w:val="19"/>
                <w:lang w:val="en-GB" w:eastAsia="en-SG"/>
              </w:rPr>
            </w:pPr>
          </w:p>
        </w:tc>
        <w:tc>
          <w:tcPr>
            <w:tcW w:w="2468" w:type="dxa"/>
            <w:gridSpan w:val="2"/>
            <w:tcBorders>
              <w:top w:val="single" w:sz="4" w:space="0" w:color="auto"/>
              <w:left w:val="nil"/>
              <w:right w:val="nil"/>
            </w:tcBorders>
            <w:shd w:val="clear" w:color="auto" w:fill="auto"/>
            <w:noWrap/>
            <w:vAlign w:val="center"/>
            <w:hideMark/>
          </w:tcPr>
          <w:p w14:paraId="4E5B7FC9" w14:textId="77777777" w:rsidR="00ED6B72" w:rsidRPr="001715D3" w:rsidRDefault="00ED6B72" w:rsidP="00A24F2F">
            <w:pPr>
              <w:jc w:val="center"/>
              <w:rPr>
                <w:rFonts w:ascii="Arial" w:hAnsi="Arial" w:cs="Arial"/>
                <w:b/>
                <w:sz w:val="16"/>
                <w:szCs w:val="16"/>
                <w:lang w:val="en-GB" w:eastAsia="en-SG"/>
              </w:rPr>
            </w:pPr>
          </w:p>
        </w:tc>
        <w:tc>
          <w:tcPr>
            <w:tcW w:w="1418" w:type="dxa"/>
            <w:gridSpan w:val="2"/>
            <w:tcBorders>
              <w:top w:val="single" w:sz="4" w:space="0" w:color="auto"/>
              <w:left w:val="nil"/>
              <w:right w:val="nil"/>
            </w:tcBorders>
            <w:vAlign w:val="center"/>
          </w:tcPr>
          <w:p w14:paraId="63FCF2BA" w14:textId="769863FD" w:rsidR="00ED6B72" w:rsidRPr="001715D3" w:rsidRDefault="00ED6B72" w:rsidP="00A24F2F">
            <w:pPr>
              <w:jc w:val="center"/>
              <w:rPr>
                <w:rFonts w:ascii="Arial" w:hAnsi="Arial" w:cs="Arial"/>
                <w:b/>
                <w:sz w:val="16"/>
                <w:szCs w:val="16"/>
                <w:lang w:val="en-GB" w:eastAsia="en-SG"/>
              </w:rPr>
            </w:pPr>
            <w:r w:rsidRPr="001715D3">
              <w:rPr>
                <w:rFonts w:ascii="Arial" w:hAnsi="Arial" w:cs="Arial"/>
                <w:b/>
                <w:sz w:val="16"/>
                <w:szCs w:val="16"/>
                <w:lang w:val="en-GB" w:eastAsia="en-SG"/>
              </w:rPr>
              <w:t>2015</w:t>
            </w:r>
          </w:p>
        </w:tc>
        <w:tc>
          <w:tcPr>
            <w:tcW w:w="992" w:type="dxa"/>
            <w:tcBorders>
              <w:top w:val="single" w:sz="4" w:space="0" w:color="auto"/>
              <w:left w:val="nil"/>
              <w:right w:val="nil"/>
            </w:tcBorders>
            <w:shd w:val="clear" w:color="auto" w:fill="auto"/>
            <w:noWrap/>
            <w:vAlign w:val="center"/>
            <w:hideMark/>
          </w:tcPr>
          <w:p w14:paraId="2742297F" w14:textId="0CDBB6B5" w:rsidR="00ED6B72" w:rsidRPr="001715D3" w:rsidRDefault="00ED6B72" w:rsidP="00A24F2F">
            <w:pPr>
              <w:jc w:val="center"/>
              <w:rPr>
                <w:rFonts w:ascii="Arial" w:hAnsi="Arial" w:cs="Arial"/>
                <w:b/>
                <w:sz w:val="16"/>
                <w:szCs w:val="16"/>
                <w:lang w:val="en-GB" w:eastAsia="en-SG"/>
              </w:rPr>
            </w:pPr>
            <w:r w:rsidRPr="001715D3">
              <w:rPr>
                <w:rFonts w:ascii="Arial" w:hAnsi="Arial" w:cs="Arial"/>
                <w:b/>
                <w:sz w:val="16"/>
                <w:szCs w:val="16"/>
                <w:lang w:val="en-GB" w:eastAsia="en-SG"/>
              </w:rPr>
              <w:t>2014</w:t>
            </w:r>
          </w:p>
        </w:tc>
        <w:tc>
          <w:tcPr>
            <w:tcW w:w="992" w:type="dxa"/>
            <w:gridSpan w:val="2"/>
            <w:tcBorders>
              <w:top w:val="single" w:sz="4" w:space="0" w:color="auto"/>
              <w:left w:val="nil"/>
              <w:right w:val="nil"/>
            </w:tcBorders>
            <w:shd w:val="clear" w:color="auto" w:fill="auto"/>
            <w:noWrap/>
            <w:vAlign w:val="center"/>
            <w:hideMark/>
          </w:tcPr>
          <w:p w14:paraId="303EC10F" w14:textId="77777777" w:rsidR="00ED6B72" w:rsidRPr="001715D3" w:rsidRDefault="00ED6B72" w:rsidP="00A24F2F">
            <w:pPr>
              <w:jc w:val="center"/>
              <w:rPr>
                <w:rFonts w:ascii="Arial" w:hAnsi="Arial" w:cs="Arial"/>
                <w:b/>
                <w:sz w:val="16"/>
                <w:szCs w:val="16"/>
                <w:lang w:val="en-GB" w:eastAsia="en-SG"/>
              </w:rPr>
            </w:pPr>
            <w:r w:rsidRPr="001715D3">
              <w:rPr>
                <w:rFonts w:ascii="Arial" w:hAnsi="Arial" w:cs="Arial"/>
                <w:b/>
                <w:sz w:val="16"/>
                <w:szCs w:val="16"/>
                <w:lang w:val="en-GB" w:eastAsia="en-SG"/>
              </w:rPr>
              <w:t>2013</w:t>
            </w:r>
          </w:p>
        </w:tc>
        <w:tc>
          <w:tcPr>
            <w:tcW w:w="993" w:type="dxa"/>
            <w:tcBorders>
              <w:top w:val="single" w:sz="4" w:space="0" w:color="auto"/>
              <w:left w:val="nil"/>
              <w:right w:val="nil"/>
            </w:tcBorders>
            <w:shd w:val="clear" w:color="auto" w:fill="auto"/>
            <w:noWrap/>
            <w:vAlign w:val="center"/>
            <w:hideMark/>
          </w:tcPr>
          <w:p w14:paraId="728120B5" w14:textId="77777777" w:rsidR="00ED6B72" w:rsidRPr="001715D3" w:rsidRDefault="00ED6B72" w:rsidP="00A24F2F">
            <w:pPr>
              <w:jc w:val="center"/>
              <w:rPr>
                <w:rFonts w:ascii="Arial" w:hAnsi="Arial" w:cs="Arial"/>
                <w:b/>
                <w:sz w:val="16"/>
                <w:szCs w:val="16"/>
                <w:lang w:val="en-GB" w:eastAsia="en-SG"/>
              </w:rPr>
            </w:pPr>
            <w:r w:rsidRPr="001715D3">
              <w:rPr>
                <w:rFonts w:ascii="Arial" w:hAnsi="Arial" w:cs="Arial"/>
                <w:b/>
                <w:sz w:val="16"/>
                <w:szCs w:val="16"/>
                <w:lang w:val="en-GB" w:eastAsia="en-SG"/>
              </w:rPr>
              <w:t>2012</w:t>
            </w:r>
          </w:p>
        </w:tc>
        <w:tc>
          <w:tcPr>
            <w:tcW w:w="1006" w:type="dxa"/>
            <w:gridSpan w:val="2"/>
            <w:tcBorders>
              <w:top w:val="single" w:sz="4" w:space="0" w:color="auto"/>
              <w:left w:val="nil"/>
              <w:right w:val="nil"/>
            </w:tcBorders>
            <w:shd w:val="clear" w:color="auto" w:fill="auto"/>
            <w:noWrap/>
            <w:vAlign w:val="center"/>
            <w:hideMark/>
          </w:tcPr>
          <w:p w14:paraId="5ED0ABCD" w14:textId="77777777" w:rsidR="00ED6B72" w:rsidRPr="001715D3" w:rsidRDefault="00ED6B72" w:rsidP="00A24F2F">
            <w:pPr>
              <w:jc w:val="center"/>
              <w:rPr>
                <w:rFonts w:ascii="Arial" w:hAnsi="Arial" w:cs="Arial"/>
                <w:b/>
                <w:sz w:val="16"/>
                <w:szCs w:val="16"/>
                <w:lang w:val="en-GB" w:eastAsia="en-SG"/>
              </w:rPr>
            </w:pPr>
            <w:r w:rsidRPr="001715D3">
              <w:rPr>
                <w:rFonts w:ascii="Arial" w:hAnsi="Arial" w:cs="Arial"/>
                <w:b/>
                <w:sz w:val="16"/>
                <w:szCs w:val="16"/>
                <w:lang w:val="en-GB" w:eastAsia="en-SG"/>
              </w:rPr>
              <w:t>2011</w:t>
            </w:r>
          </w:p>
        </w:tc>
      </w:tr>
      <w:tr w:rsidR="002C3A1A" w:rsidRPr="001715D3" w14:paraId="7227968D" w14:textId="77777777" w:rsidTr="00A24F2F">
        <w:trPr>
          <w:trHeight w:val="53"/>
        </w:trPr>
        <w:tc>
          <w:tcPr>
            <w:tcW w:w="3861" w:type="dxa"/>
            <w:gridSpan w:val="4"/>
            <w:tcBorders>
              <w:top w:val="single" w:sz="4" w:space="0" w:color="auto"/>
              <w:left w:val="nil"/>
              <w:right w:val="nil"/>
            </w:tcBorders>
            <w:shd w:val="clear" w:color="auto" w:fill="auto"/>
            <w:noWrap/>
            <w:vAlign w:val="bottom"/>
          </w:tcPr>
          <w:p w14:paraId="24BB0E82" w14:textId="767789CB" w:rsidR="00ED6B72" w:rsidRPr="00A24F2F" w:rsidRDefault="00ED6B72" w:rsidP="001F0729">
            <w:pPr>
              <w:rPr>
                <w:rFonts w:ascii="Arial" w:hAnsi="Arial" w:cs="Arial"/>
                <w:b/>
                <w:sz w:val="19"/>
                <w:szCs w:val="19"/>
                <w:lang w:val="en-GB" w:eastAsia="en-SG"/>
              </w:rPr>
            </w:pPr>
            <w:r w:rsidRPr="00A24F2F">
              <w:rPr>
                <w:rFonts w:ascii="Arial" w:hAnsi="Arial" w:cs="Arial"/>
                <w:b/>
                <w:sz w:val="19"/>
                <w:szCs w:val="19"/>
                <w:lang w:val="en-GB" w:eastAsia="en-SG"/>
              </w:rPr>
              <w:t>LIABILITIES</w:t>
            </w:r>
          </w:p>
        </w:tc>
        <w:tc>
          <w:tcPr>
            <w:tcW w:w="1418" w:type="dxa"/>
            <w:gridSpan w:val="2"/>
            <w:tcBorders>
              <w:top w:val="single" w:sz="4" w:space="0" w:color="auto"/>
              <w:left w:val="nil"/>
              <w:right w:val="nil"/>
            </w:tcBorders>
          </w:tcPr>
          <w:p w14:paraId="5857B01D" w14:textId="77777777" w:rsidR="00ED6B72" w:rsidRPr="001715D3" w:rsidRDefault="00ED6B72" w:rsidP="001F0729">
            <w:pPr>
              <w:rPr>
                <w:rFonts w:ascii="Arial" w:hAnsi="Arial" w:cs="Arial"/>
                <w:sz w:val="16"/>
                <w:szCs w:val="16"/>
                <w:lang w:val="en-GB" w:eastAsia="en-SG"/>
              </w:rPr>
            </w:pPr>
          </w:p>
        </w:tc>
        <w:tc>
          <w:tcPr>
            <w:tcW w:w="992" w:type="dxa"/>
            <w:tcBorders>
              <w:top w:val="single" w:sz="4" w:space="0" w:color="auto"/>
              <w:left w:val="nil"/>
              <w:right w:val="nil"/>
            </w:tcBorders>
            <w:shd w:val="clear" w:color="auto" w:fill="auto"/>
            <w:noWrap/>
            <w:vAlign w:val="bottom"/>
          </w:tcPr>
          <w:p w14:paraId="37286838" w14:textId="402B4DE2" w:rsidR="00ED6B72" w:rsidRPr="001715D3" w:rsidRDefault="00ED6B72" w:rsidP="001F0729">
            <w:pPr>
              <w:rPr>
                <w:rFonts w:ascii="Arial" w:hAnsi="Arial" w:cs="Arial"/>
                <w:sz w:val="16"/>
                <w:szCs w:val="16"/>
                <w:lang w:val="en-GB" w:eastAsia="en-SG"/>
              </w:rPr>
            </w:pPr>
          </w:p>
        </w:tc>
        <w:tc>
          <w:tcPr>
            <w:tcW w:w="992" w:type="dxa"/>
            <w:gridSpan w:val="2"/>
            <w:tcBorders>
              <w:top w:val="single" w:sz="4" w:space="0" w:color="auto"/>
              <w:left w:val="nil"/>
              <w:right w:val="nil"/>
            </w:tcBorders>
            <w:shd w:val="clear" w:color="auto" w:fill="auto"/>
            <w:noWrap/>
            <w:vAlign w:val="bottom"/>
          </w:tcPr>
          <w:p w14:paraId="243301C4" w14:textId="77777777" w:rsidR="00ED6B72" w:rsidRPr="001715D3" w:rsidRDefault="00ED6B72" w:rsidP="001F0729">
            <w:pPr>
              <w:rPr>
                <w:rFonts w:ascii="Arial" w:hAnsi="Arial" w:cs="Arial"/>
                <w:sz w:val="16"/>
                <w:szCs w:val="16"/>
                <w:lang w:val="en-GB" w:eastAsia="en-SG"/>
              </w:rPr>
            </w:pPr>
          </w:p>
        </w:tc>
        <w:tc>
          <w:tcPr>
            <w:tcW w:w="993" w:type="dxa"/>
            <w:tcBorders>
              <w:top w:val="single" w:sz="4" w:space="0" w:color="auto"/>
              <w:left w:val="nil"/>
              <w:right w:val="nil"/>
            </w:tcBorders>
            <w:shd w:val="clear" w:color="auto" w:fill="auto"/>
            <w:noWrap/>
            <w:vAlign w:val="bottom"/>
          </w:tcPr>
          <w:p w14:paraId="53D77260" w14:textId="77777777" w:rsidR="00ED6B72" w:rsidRPr="001715D3" w:rsidRDefault="00ED6B72" w:rsidP="001F0729">
            <w:pPr>
              <w:rPr>
                <w:rFonts w:ascii="Arial" w:hAnsi="Arial" w:cs="Arial"/>
                <w:sz w:val="16"/>
                <w:szCs w:val="16"/>
                <w:lang w:val="en-GB" w:eastAsia="en-SG"/>
              </w:rPr>
            </w:pPr>
          </w:p>
        </w:tc>
        <w:tc>
          <w:tcPr>
            <w:tcW w:w="1006" w:type="dxa"/>
            <w:gridSpan w:val="2"/>
            <w:tcBorders>
              <w:top w:val="single" w:sz="4" w:space="0" w:color="auto"/>
              <w:left w:val="nil"/>
              <w:right w:val="nil"/>
            </w:tcBorders>
            <w:shd w:val="clear" w:color="auto" w:fill="auto"/>
            <w:noWrap/>
            <w:vAlign w:val="bottom"/>
          </w:tcPr>
          <w:p w14:paraId="0B4BB33B" w14:textId="77777777" w:rsidR="00ED6B72" w:rsidRPr="001715D3" w:rsidRDefault="00ED6B72" w:rsidP="001F0729">
            <w:pPr>
              <w:rPr>
                <w:rFonts w:ascii="Arial" w:hAnsi="Arial" w:cs="Arial"/>
                <w:sz w:val="16"/>
                <w:szCs w:val="16"/>
                <w:lang w:val="en-GB" w:eastAsia="en-SG"/>
              </w:rPr>
            </w:pPr>
          </w:p>
        </w:tc>
      </w:tr>
      <w:tr w:rsidR="002C3A1A" w:rsidRPr="001715D3" w14:paraId="751E5904" w14:textId="77777777" w:rsidTr="00A24F2F">
        <w:trPr>
          <w:trHeight w:val="170"/>
        </w:trPr>
        <w:tc>
          <w:tcPr>
            <w:tcW w:w="3861" w:type="dxa"/>
            <w:gridSpan w:val="4"/>
            <w:tcBorders>
              <w:left w:val="nil"/>
              <w:bottom w:val="nil"/>
              <w:right w:val="nil"/>
            </w:tcBorders>
            <w:shd w:val="clear" w:color="auto" w:fill="auto"/>
            <w:noWrap/>
            <w:vAlign w:val="bottom"/>
            <w:hideMark/>
          </w:tcPr>
          <w:p w14:paraId="14F917BD" w14:textId="77777777" w:rsidR="00ED6B72" w:rsidRPr="001715D3" w:rsidRDefault="00ED6B72" w:rsidP="001F0729">
            <w:pPr>
              <w:rPr>
                <w:rFonts w:ascii="Arial" w:hAnsi="Arial" w:cs="Arial"/>
                <w:b/>
                <w:sz w:val="16"/>
                <w:szCs w:val="16"/>
                <w:lang w:val="en-GB" w:eastAsia="en-SG"/>
              </w:rPr>
            </w:pPr>
            <w:r w:rsidRPr="001715D3">
              <w:rPr>
                <w:rFonts w:ascii="Arial" w:hAnsi="Arial" w:cs="Arial"/>
                <w:b/>
                <w:sz w:val="16"/>
                <w:szCs w:val="16"/>
                <w:lang w:val="en-GB" w:eastAsia="en-SG"/>
              </w:rPr>
              <w:t>Current Liabilities</w:t>
            </w:r>
          </w:p>
        </w:tc>
        <w:tc>
          <w:tcPr>
            <w:tcW w:w="1418" w:type="dxa"/>
            <w:gridSpan w:val="2"/>
            <w:tcBorders>
              <w:left w:val="nil"/>
              <w:bottom w:val="nil"/>
              <w:right w:val="nil"/>
            </w:tcBorders>
            <w:vAlign w:val="center"/>
          </w:tcPr>
          <w:p w14:paraId="6C18DA4C" w14:textId="77777777" w:rsidR="00ED6B72" w:rsidRPr="001715D3" w:rsidRDefault="00ED6B72" w:rsidP="008C0337">
            <w:pPr>
              <w:jc w:val="right"/>
              <w:rPr>
                <w:rFonts w:ascii="Arial" w:hAnsi="Arial" w:cs="Arial"/>
                <w:sz w:val="16"/>
                <w:szCs w:val="16"/>
                <w:lang w:val="en-GB" w:eastAsia="en-SG"/>
              </w:rPr>
            </w:pPr>
          </w:p>
        </w:tc>
        <w:tc>
          <w:tcPr>
            <w:tcW w:w="992" w:type="dxa"/>
            <w:tcBorders>
              <w:left w:val="nil"/>
              <w:bottom w:val="nil"/>
              <w:right w:val="nil"/>
            </w:tcBorders>
            <w:shd w:val="clear" w:color="auto" w:fill="auto"/>
            <w:noWrap/>
            <w:vAlign w:val="bottom"/>
            <w:hideMark/>
          </w:tcPr>
          <w:p w14:paraId="33107704" w14:textId="370C40A5" w:rsidR="00ED6B72" w:rsidRPr="001715D3" w:rsidRDefault="00ED6B72" w:rsidP="001F0729">
            <w:pPr>
              <w:rPr>
                <w:rFonts w:ascii="Arial" w:hAnsi="Arial" w:cs="Arial"/>
                <w:sz w:val="16"/>
                <w:szCs w:val="16"/>
                <w:lang w:val="en-GB" w:eastAsia="en-SG"/>
              </w:rPr>
            </w:pPr>
          </w:p>
        </w:tc>
        <w:tc>
          <w:tcPr>
            <w:tcW w:w="992" w:type="dxa"/>
            <w:gridSpan w:val="2"/>
            <w:tcBorders>
              <w:left w:val="nil"/>
              <w:bottom w:val="nil"/>
              <w:right w:val="nil"/>
            </w:tcBorders>
            <w:shd w:val="clear" w:color="auto" w:fill="auto"/>
            <w:noWrap/>
            <w:vAlign w:val="bottom"/>
            <w:hideMark/>
          </w:tcPr>
          <w:p w14:paraId="19B2A7A0" w14:textId="77777777" w:rsidR="00ED6B72" w:rsidRPr="001715D3" w:rsidRDefault="00ED6B72" w:rsidP="001F0729">
            <w:pPr>
              <w:rPr>
                <w:rFonts w:ascii="Arial" w:hAnsi="Arial" w:cs="Arial"/>
                <w:sz w:val="16"/>
                <w:szCs w:val="16"/>
                <w:lang w:val="en-GB" w:eastAsia="en-SG"/>
              </w:rPr>
            </w:pPr>
          </w:p>
        </w:tc>
        <w:tc>
          <w:tcPr>
            <w:tcW w:w="993" w:type="dxa"/>
            <w:tcBorders>
              <w:left w:val="nil"/>
              <w:bottom w:val="nil"/>
              <w:right w:val="nil"/>
            </w:tcBorders>
            <w:shd w:val="clear" w:color="auto" w:fill="auto"/>
            <w:noWrap/>
            <w:vAlign w:val="bottom"/>
            <w:hideMark/>
          </w:tcPr>
          <w:p w14:paraId="75D5706D" w14:textId="77777777" w:rsidR="00ED6B72" w:rsidRPr="001715D3" w:rsidRDefault="00ED6B72" w:rsidP="001F0729">
            <w:pPr>
              <w:rPr>
                <w:rFonts w:ascii="Arial" w:hAnsi="Arial" w:cs="Arial"/>
                <w:sz w:val="16"/>
                <w:szCs w:val="16"/>
                <w:lang w:val="en-GB" w:eastAsia="en-SG"/>
              </w:rPr>
            </w:pPr>
          </w:p>
        </w:tc>
        <w:tc>
          <w:tcPr>
            <w:tcW w:w="1006" w:type="dxa"/>
            <w:gridSpan w:val="2"/>
            <w:tcBorders>
              <w:left w:val="nil"/>
              <w:bottom w:val="nil"/>
              <w:right w:val="nil"/>
            </w:tcBorders>
            <w:shd w:val="clear" w:color="auto" w:fill="auto"/>
            <w:noWrap/>
            <w:vAlign w:val="bottom"/>
            <w:hideMark/>
          </w:tcPr>
          <w:p w14:paraId="1846F47F" w14:textId="77777777" w:rsidR="00ED6B72" w:rsidRPr="001715D3" w:rsidRDefault="00ED6B72" w:rsidP="001F0729">
            <w:pPr>
              <w:rPr>
                <w:rFonts w:ascii="Arial" w:hAnsi="Arial" w:cs="Arial"/>
                <w:sz w:val="16"/>
                <w:szCs w:val="16"/>
                <w:lang w:val="en-GB" w:eastAsia="en-SG"/>
              </w:rPr>
            </w:pPr>
          </w:p>
        </w:tc>
      </w:tr>
      <w:tr w:rsidR="002C3A1A" w:rsidRPr="001715D3" w14:paraId="0BD88CDE" w14:textId="77777777" w:rsidTr="00A24F2F">
        <w:trPr>
          <w:trHeight w:val="170"/>
        </w:trPr>
        <w:tc>
          <w:tcPr>
            <w:tcW w:w="318" w:type="dxa"/>
            <w:tcBorders>
              <w:top w:val="nil"/>
              <w:left w:val="nil"/>
              <w:bottom w:val="nil"/>
              <w:right w:val="nil"/>
            </w:tcBorders>
            <w:shd w:val="clear" w:color="auto" w:fill="auto"/>
            <w:noWrap/>
            <w:vAlign w:val="bottom"/>
            <w:hideMark/>
          </w:tcPr>
          <w:p w14:paraId="2849E717" w14:textId="77777777" w:rsidR="00ED6B72" w:rsidRPr="001715D3" w:rsidRDefault="00ED6B72" w:rsidP="001F0729">
            <w:pPr>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363321EA"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 xml:space="preserve">Trade and other payable </w:t>
            </w:r>
          </w:p>
        </w:tc>
        <w:tc>
          <w:tcPr>
            <w:tcW w:w="1418" w:type="dxa"/>
            <w:gridSpan w:val="2"/>
            <w:tcBorders>
              <w:top w:val="nil"/>
              <w:left w:val="nil"/>
              <w:bottom w:val="nil"/>
              <w:right w:val="nil"/>
            </w:tcBorders>
            <w:vAlign w:val="center"/>
          </w:tcPr>
          <w:p w14:paraId="6DD37977" w14:textId="0584D8AB"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854,661</w:t>
            </w:r>
          </w:p>
        </w:tc>
        <w:tc>
          <w:tcPr>
            <w:tcW w:w="992" w:type="dxa"/>
            <w:tcBorders>
              <w:top w:val="nil"/>
              <w:left w:val="nil"/>
              <w:bottom w:val="nil"/>
              <w:right w:val="nil"/>
            </w:tcBorders>
            <w:shd w:val="clear" w:color="auto" w:fill="auto"/>
            <w:noWrap/>
            <w:vAlign w:val="bottom"/>
            <w:hideMark/>
          </w:tcPr>
          <w:p w14:paraId="62A8EF90" w14:textId="107B8614"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1,178,233</w:t>
            </w:r>
          </w:p>
        </w:tc>
        <w:tc>
          <w:tcPr>
            <w:tcW w:w="992" w:type="dxa"/>
            <w:gridSpan w:val="2"/>
            <w:tcBorders>
              <w:top w:val="nil"/>
              <w:left w:val="nil"/>
              <w:bottom w:val="nil"/>
              <w:right w:val="nil"/>
            </w:tcBorders>
            <w:shd w:val="clear" w:color="auto" w:fill="auto"/>
            <w:noWrap/>
            <w:vAlign w:val="bottom"/>
            <w:hideMark/>
          </w:tcPr>
          <w:p w14:paraId="05FB5430"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1,252,421</w:t>
            </w:r>
          </w:p>
        </w:tc>
        <w:tc>
          <w:tcPr>
            <w:tcW w:w="993" w:type="dxa"/>
            <w:tcBorders>
              <w:top w:val="nil"/>
              <w:left w:val="nil"/>
              <w:bottom w:val="nil"/>
              <w:right w:val="nil"/>
            </w:tcBorders>
            <w:shd w:val="clear" w:color="auto" w:fill="auto"/>
            <w:noWrap/>
            <w:vAlign w:val="bottom"/>
            <w:hideMark/>
          </w:tcPr>
          <w:p w14:paraId="15D965FE"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1,247,627</w:t>
            </w:r>
          </w:p>
        </w:tc>
        <w:tc>
          <w:tcPr>
            <w:tcW w:w="1006" w:type="dxa"/>
            <w:gridSpan w:val="2"/>
            <w:tcBorders>
              <w:top w:val="nil"/>
              <w:left w:val="nil"/>
              <w:bottom w:val="nil"/>
              <w:right w:val="nil"/>
            </w:tcBorders>
            <w:shd w:val="clear" w:color="auto" w:fill="auto"/>
            <w:noWrap/>
            <w:vAlign w:val="bottom"/>
            <w:hideMark/>
          </w:tcPr>
          <w:p w14:paraId="502A8FB9"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1,274,431</w:t>
            </w:r>
          </w:p>
        </w:tc>
      </w:tr>
      <w:tr w:rsidR="002C3A1A" w:rsidRPr="001715D3" w14:paraId="3636127D" w14:textId="77777777" w:rsidTr="00A24F2F">
        <w:trPr>
          <w:trHeight w:val="170"/>
        </w:trPr>
        <w:tc>
          <w:tcPr>
            <w:tcW w:w="318" w:type="dxa"/>
            <w:tcBorders>
              <w:top w:val="nil"/>
              <w:left w:val="nil"/>
              <w:bottom w:val="nil"/>
              <w:right w:val="nil"/>
            </w:tcBorders>
            <w:shd w:val="clear" w:color="auto" w:fill="auto"/>
            <w:noWrap/>
            <w:vAlign w:val="bottom"/>
            <w:hideMark/>
          </w:tcPr>
          <w:p w14:paraId="0DA0E044"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6FC84C58"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Current income tax liabilities</w:t>
            </w:r>
          </w:p>
        </w:tc>
        <w:tc>
          <w:tcPr>
            <w:tcW w:w="1418" w:type="dxa"/>
            <w:gridSpan w:val="2"/>
            <w:tcBorders>
              <w:top w:val="nil"/>
              <w:left w:val="nil"/>
              <w:bottom w:val="nil"/>
              <w:right w:val="nil"/>
            </w:tcBorders>
            <w:vAlign w:val="center"/>
          </w:tcPr>
          <w:p w14:paraId="29BE47F9" w14:textId="3BF8FDCB"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78,509</w:t>
            </w:r>
          </w:p>
        </w:tc>
        <w:tc>
          <w:tcPr>
            <w:tcW w:w="992" w:type="dxa"/>
            <w:tcBorders>
              <w:top w:val="nil"/>
              <w:left w:val="nil"/>
              <w:bottom w:val="nil"/>
              <w:right w:val="nil"/>
            </w:tcBorders>
            <w:shd w:val="clear" w:color="auto" w:fill="auto"/>
            <w:noWrap/>
            <w:vAlign w:val="bottom"/>
            <w:hideMark/>
          </w:tcPr>
          <w:p w14:paraId="7225BC49" w14:textId="64E7C004"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132,448</w:t>
            </w:r>
          </w:p>
        </w:tc>
        <w:tc>
          <w:tcPr>
            <w:tcW w:w="992" w:type="dxa"/>
            <w:gridSpan w:val="2"/>
            <w:tcBorders>
              <w:top w:val="nil"/>
              <w:left w:val="nil"/>
              <w:bottom w:val="nil"/>
              <w:right w:val="nil"/>
            </w:tcBorders>
            <w:shd w:val="clear" w:color="auto" w:fill="auto"/>
            <w:noWrap/>
            <w:vAlign w:val="bottom"/>
            <w:hideMark/>
          </w:tcPr>
          <w:p w14:paraId="2CB52126"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165,409</w:t>
            </w:r>
          </w:p>
        </w:tc>
        <w:tc>
          <w:tcPr>
            <w:tcW w:w="993" w:type="dxa"/>
            <w:tcBorders>
              <w:top w:val="nil"/>
              <w:left w:val="nil"/>
              <w:bottom w:val="nil"/>
              <w:right w:val="nil"/>
            </w:tcBorders>
            <w:shd w:val="clear" w:color="auto" w:fill="auto"/>
            <w:noWrap/>
            <w:vAlign w:val="bottom"/>
            <w:hideMark/>
          </w:tcPr>
          <w:p w14:paraId="3BC5868C"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160,795</w:t>
            </w:r>
          </w:p>
        </w:tc>
        <w:tc>
          <w:tcPr>
            <w:tcW w:w="1006" w:type="dxa"/>
            <w:gridSpan w:val="2"/>
            <w:tcBorders>
              <w:top w:val="nil"/>
              <w:left w:val="nil"/>
              <w:bottom w:val="nil"/>
              <w:right w:val="nil"/>
            </w:tcBorders>
            <w:shd w:val="clear" w:color="auto" w:fill="auto"/>
            <w:noWrap/>
            <w:vAlign w:val="bottom"/>
            <w:hideMark/>
          </w:tcPr>
          <w:p w14:paraId="23C7773D"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114,627</w:t>
            </w:r>
          </w:p>
        </w:tc>
      </w:tr>
      <w:tr w:rsidR="002C3A1A" w:rsidRPr="001715D3" w14:paraId="5280A7EE" w14:textId="77777777" w:rsidTr="00A24F2F">
        <w:trPr>
          <w:trHeight w:val="170"/>
        </w:trPr>
        <w:tc>
          <w:tcPr>
            <w:tcW w:w="318" w:type="dxa"/>
            <w:tcBorders>
              <w:top w:val="nil"/>
              <w:left w:val="nil"/>
              <w:bottom w:val="nil"/>
              <w:right w:val="nil"/>
            </w:tcBorders>
            <w:shd w:val="clear" w:color="auto" w:fill="auto"/>
            <w:noWrap/>
            <w:vAlign w:val="bottom"/>
            <w:hideMark/>
          </w:tcPr>
          <w:p w14:paraId="53700925"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0C1BB214"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Borrowings</w:t>
            </w:r>
          </w:p>
        </w:tc>
        <w:tc>
          <w:tcPr>
            <w:tcW w:w="1418" w:type="dxa"/>
            <w:gridSpan w:val="2"/>
            <w:tcBorders>
              <w:top w:val="nil"/>
              <w:left w:val="nil"/>
              <w:bottom w:val="nil"/>
              <w:right w:val="nil"/>
            </w:tcBorders>
            <w:vAlign w:val="center"/>
          </w:tcPr>
          <w:p w14:paraId="27E85B96" w14:textId="1286607C"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572,551</w:t>
            </w:r>
          </w:p>
        </w:tc>
        <w:tc>
          <w:tcPr>
            <w:tcW w:w="992" w:type="dxa"/>
            <w:tcBorders>
              <w:top w:val="nil"/>
              <w:left w:val="nil"/>
              <w:bottom w:val="nil"/>
              <w:right w:val="nil"/>
            </w:tcBorders>
            <w:shd w:val="clear" w:color="auto" w:fill="auto"/>
            <w:noWrap/>
            <w:vAlign w:val="bottom"/>
            <w:hideMark/>
          </w:tcPr>
          <w:p w14:paraId="1D8B5061" w14:textId="03DBF23A"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615,095</w:t>
            </w:r>
          </w:p>
        </w:tc>
        <w:tc>
          <w:tcPr>
            <w:tcW w:w="992" w:type="dxa"/>
            <w:gridSpan w:val="2"/>
            <w:tcBorders>
              <w:top w:val="nil"/>
              <w:left w:val="nil"/>
              <w:bottom w:val="nil"/>
              <w:right w:val="nil"/>
            </w:tcBorders>
            <w:shd w:val="clear" w:color="auto" w:fill="auto"/>
            <w:noWrap/>
            <w:vAlign w:val="bottom"/>
            <w:hideMark/>
          </w:tcPr>
          <w:p w14:paraId="04976C0A"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599,119</w:t>
            </w:r>
          </w:p>
        </w:tc>
        <w:tc>
          <w:tcPr>
            <w:tcW w:w="993" w:type="dxa"/>
            <w:tcBorders>
              <w:top w:val="nil"/>
              <w:left w:val="nil"/>
              <w:bottom w:val="nil"/>
              <w:right w:val="nil"/>
            </w:tcBorders>
            <w:shd w:val="clear" w:color="auto" w:fill="auto"/>
            <w:noWrap/>
            <w:vAlign w:val="bottom"/>
            <w:hideMark/>
          </w:tcPr>
          <w:p w14:paraId="40186418"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429,246</w:t>
            </w:r>
          </w:p>
        </w:tc>
        <w:tc>
          <w:tcPr>
            <w:tcW w:w="1006" w:type="dxa"/>
            <w:gridSpan w:val="2"/>
            <w:tcBorders>
              <w:top w:val="nil"/>
              <w:left w:val="nil"/>
              <w:bottom w:val="nil"/>
              <w:right w:val="nil"/>
            </w:tcBorders>
            <w:shd w:val="clear" w:color="auto" w:fill="auto"/>
            <w:noWrap/>
            <w:vAlign w:val="bottom"/>
            <w:hideMark/>
          </w:tcPr>
          <w:p w14:paraId="02C4C9DC"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422,095</w:t>
            </w:r>
          </w:p>
        </w:tc>
      </w:tr>
      <w:tr w:rsidR="002C3A1A" w:rsidRPr="001715D3" w14:paraId="0EA507BE" w14:textId="77777777" w:rsidTr="00A24F2F">
        <w:trPr>
          <w:trHeight w:val="170"/>
        </w:trPr>
        <w:tc>
          <w:tcPr>
            <w:tcW w:w="318" w:type="dxa"/>
            <w:tcBorders>
              <w:top w:val="nil"/>
              <w:left w:val="nil"/>
              <w:bottom w:val="nil"/>
              <w:right w:val="nil"/>
            </w:tcBorders>
            <w:shd w:val="clear" w:color="auto" w:fill="auto"/>
            <w:noWrap/>
            <w:vAlign w:val="bottom"/>
            <w:hideMark/>
          </w:tcPr>
          <w:p w14:paraId="2CB73958"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0C1FB452"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Provisions</w:t>
            </w:r>
          </w:p>
        </w:tc>
        <w:tc>
          <w:tcPr>
            <w:tcW w:w="1418" w:type="dxa"/>
            <w:gridSpan w:val="2"/>
            <w:tcBorders>
              <w:top w:val="nil"/>
              <w:left w:val="nil"/>
              <w:bottom w:val="nil"/>
              <w:right w:val="nil"/>
            </w:tcBorders>
            <w:vAlign w:val="center"/>
          </w:tcPr>
          <w:p w14:paraId="77878DC5" w14:textId="7DF6672A"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29,983</w:t>
            </w:r>
          </w:p>
        </w:tc>
        <w:tc>
          <w:tcPr>
            <w:tcW w:w="992" w:type="dxa"/>
            <w:tcBorders>
              <w:top w:val="nil"/>
              <w:left w:val="nil"/>
              <w:bottom w:val="nil"/>
              <w:right w:val="nil"/>
            </w:tcBorders>
            <w:shd w:val="clear" w:color="auto" w:fill="auto"/>
            <w:noWrap/>
            <w:vAlign w:val="bottom"/>
            <w:hideMark/>
          </w:tcPr>
          <w:p w14:paraId="37556EFA" w14:textId="180E4C08"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40,378</w:t>
            </w:r>
          </w:p>
        </w:tc>
        <w:tc>
          <w:tcPr>
            <w:tcW w:w="992" w:type="dxa"/>
            <w:gridSpan w:val="2"/>
            <w:tcBorders>
              <w:top w:val="nil"/>
              <w:left w:val="nil"/>
              <w:bottom w:val="nil"/>
              <w:right w:val="nil"/>
            </w:tcBorders>
            <w:shd w:val="clear" w:color="auto" w:fill="auto"/>
            <w:noWrap/>
            <w:vAlign w:val="bottom"/>
            <w:hideMark/>
          </w:tcPr>
          <w:p w14:paraId="638F47B5"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43,528</w:t>
            </w:r>
          </w:p>
        </w:tc>
        <w:tc>
          <w:tcPr>
            <w:tcW w:w="993" w:type="dxa"/>
            <w:tcBorders>
              <w:top w:val="nil"/>
              <w:left w:val="nil"/>
              <w:bottom w:val="nil"/>
              <w:right w:val="nil"/>
            </w:tcBorders>
            <w:shd w:val="clear" w:color="auto" w:fill="auto"/>
            <w:noWrap/>
            <w:vAlign w:val="bottom"/>
            <w:hideMark/>
          </w:tcPr>
          <w:p w14:paraId="0ABED142"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44,737</w:t>
            </w:r>
          </w:p>
        </w:tc>
        <w:tc>
          <w:tcPr>
            <w:tcW w:w="1006" w:type="dxa"/>
            <w:gridSpan w:val="2"/>
            <w:tcBorders>
              <w:top w:val="nil"/>
              <w:left w:val="nil"/>
              <w:bottom w:val="nil"/>
              <w:right w:val="nil"/>
            </w:tcBorders>
            <w:shd w:val="clear" w:color="auto" w:fill="auto"/>
            <w:noWrap/>
            <w:vAlign w:val="bottom"/>
            <w:hideMark/>
          </w:tcPr>
          <w:p w14:paraId="556E9709"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43,459</w:t>
            </w:r>
          </w:p>
        </w:tc>
      </w:tr>
      <w:tr w:rsidR="002C3A1A" w:rsidRPr="001715D3" w14:paraId="772D6304" w14:textId="77777777" w:rsidTr="00A24F2F">
        <w:trPr>
          <w:trHeight w:val="170"/>
        </w:trPr>
        <w:tc>
          <w:tcPr>
            <w:tcW w:w="318" w:type="dxa"/>
            <w:tcBorders>
              <w:top w:val="nil"/>
              <w:left w:val="nil"/>
              <w:bottom w:val="nil"/>
              <w:right w:val="nil"/>
            </w:tcBorders>
            <w:shd w:val="clear" w:color="auto" w:fill="auto"/>
            <w:noWrap/>
            <w:vAlign w:val="bottom"/>
            <w:hideMark/>
          </w:tcPr>
          <w:p w14:paraId="6C26C4D6"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265A2427"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Deferred income</w:t>
            </w:r>
          </w:p>
        </w:tc>
        <w:tc>
          <w:tcPr>
            <w:tcW w:w="1418" w:type="dxa"/>
            <w:gridSpan w:val="2"/>
            <w:tcBorders>
              <w:top w:val="nil"/>
              <w:left w:val="nil"/>
              <w:bottom w:val="nil"/>
              <w:right w:val="nil"/>
            </w:tcBorders>
            <w:vAlign w:val="center"/>
          </w:tcPr>
          <w:p w14:paraId="65692559" w14:textId="748BA3A7"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205</w:t>
            </w:r>
          </w:p>
        </w:tc>
        <w:tc>
          <w:tcPr>
            <w:tcW w:w="992" w:type="dxa"/>
            <w:tcBorders>
              <w:top w:val="nil"/>
              <w:left w:val="nil"/>
              <w:bottom w:val="nil"/>
              <w:right w:val="nil"/>
            </w:tcBorders>
            <w:shd w:val="clear" w:color="auto" w:fill="auto"/>
            <w:noWrap/>
            <w:vAlign w:val="bottom"/>
            <w:hideMark/>
          </w:tcPr>
          <w:p w14:paraId="6B29C0E9" w14:textId="2656A79E"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5,156</w:t>
            </w:r>
          </w:p>
        </w:tc>
        <w:tc>
          <w:tcPr>
            <w:tcW w:w="992" w:type="dxa"/>
            <w:gridSpan w:val="2"/>
            <w:tcBorders>
              <w:top w:val="nil"/>
              <w:left w:val="nil"/>
              <w:bottom w:val="nil"/>
              <w:right w:val="nil"/>
            </w:tcBorders>
            <w:shd w:val="clear" w:color="auto" w:fill="auto"/>
            <w:noWrap/>
            <w:vAlign w:val="bottom"/>
            <w:hideMark/>
          </w:tcPr>
          <w:p w14:paraId="3BDA9531"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7,670</w:t>
            </w:r>
          </w:p>
        </w:tc>
        <w:tc>
          <w:tcPr>
            <w:tcW w:w="993" w:type="dxa"/>
            <w:tcBorders>
              <w:top w:val="nil"/>
              <w:left w:val="nil"/>
              <w:bottom w:val="nil"/>
              <w:right w:val="nil"/>
            </w:tcBorders>
            <w:shd w:val="clear" w:color="auto" w:fill="auto"/>
            <w:noWrap/>
            <w:vAlign w:val="bottom"/>
            <w:hideMark/>
          </w:tcPr>
          <w:p w14:paraId="4B9A5E07"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12,585</w:t>
            </w:r>
          </w:p>
        </w:tc>
        <w:tc>
          <w:tcPr>
            <w:tcW w:w="1006" w:type="dxa"/>
            <w:gridSpan w:val="2"/>
            <w:tcBorders>
              <w:top w:val="nil"/>
              <w:left w:val="nil"/>
              <w:bottom w:val="nil"/>
              <w:right w:val="nil"/>
            </w:tcBorders>
            <w:shd w:val="clear" w:color="auto" w:fill="auto"/>
            <w:noWrap/>
            <w:vAlign w:val="bottom"/>
            <w:hideMark/>
          </w:tcPr>
          <w:p w14:paraId="7C161B97"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848</w:t>
            </w:r>
          </w:p>
        </w:tc>
      </w:tr>
      <w:tr w:rsidR="002C3A1A" w:rsidRPr="001715D3" w14:paraId="53927A14" w14:textId="77777777" w:rsidTr="00A24F2F">
        <w:trPr>
          <w:trHeight w:val="170"/>
        </w:trPr>
        <w:tc>
          <w:tcPr>
            <w:tcW w:w="318" w:type="dxa"/>
            <w:tcBorders>
              <w:top w:val="nil"/>
              <w:left w:val="nil"/>
              <w:bottom w:val="nil"/>
              <w:right w:val="nil"/>
            </w:tcBorders>
            <w:shd w:val="clear" w:color="auto" w:fill="auto"/>
            <w:noWrap/>
            <w:vAlign w:val="bottom"/>
            <w:hideMark/>
          </w:tcPr>
          <w:p w14:paraId="233C97B3"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6694829F"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Derivative financial instruments</w:t>
            </w:r>
          </w:p>
        </w:tc>
        <w:tc>
          <w:tcPr>
            <w:tcW w:w="1418" w:type="dxa"/>
            <w:gridSpan w:val="2"/>
            <w:tcBorders>
              <w:top w:val="nil"/>
              <w:left w:val="nil"/>
              <w:bottom w:val="nil"/>
              <w:right w:val="nil"/>
            </w:tcBorders>
            <w:vAlign w:val="center"/>
          </w:tcPr>
          <w:p w14:paraId="34B7E293" w14:textId="51D3F1A8"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11,034</w:t>
            </w:r>
          </w:p>
        </w:tc>
        <w:tc>
          <w:tcPr>
            <w:tcW w:w="992" w:type="dxa"/>
            <w:tcBorders>
              <w:top w:val="nil"/>
              <w:left w:val="nil"/>
              <w:bottom w:val="nil"/>
              <w:right w:val="nil"/>
            </w:tcBorders>
            <w:shd w:val="clear" w:color="auto" w:fill="auto"/>
            <w:noWrap/>
            <w:vAlign w:val="bottom"/>
            <w:hideMark/>
          </w:tcPr>
          <w:p w14:paraId="6A63EA5F" w14:textId="0DCAB614"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30,363</w:t>
            </w:r>
          </w:p>
        </w:tc>
        <w:tc>
          <w:tcPr>
            <w:tcW w:w="992" w:type="dxa"/>
            <w:gridSpan w:val="2"/>
            <w:tcBorders>
              <w:top w:val="nil"/>
              <w:left w:val="nil"/>
              <w:bottom w:val="nil"/>
              <w:right w:val="nil"/>
            </w:tcBorders>
            <w:shd w:val="clear" w:color="auto" w:fill="auto"/>
            <w:noWrap/>
            <w:vAlign w:val="bottom"/>
            <w:hideMark/>
          </w:tcPr>
          <w:p w14:paraId="16232BD6"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11,625</w:t>
            </w:r>
          </w:p>
        </w:tc>
        <w:tc>
          <w:tcPr>
            <w:tcW w:w="993" w:type="dxa"/>
            <w:tcBorders>
              <w:top w:val="nil"/>
              <w:left w:val="nil"/>
              <w:bottom w:val="nil"/>
              <w:right w:val="nil"/>
            </w:tcBorders>
            <w:shd w:val="clear" w:color="auto" w:fill="auto"/>
            <w:noWrap/>
            <w:vAlign w:val="bottom"/>
            <w:hideMark/>
          </w:tcPr>
          <w:p w14:paraId="5E5564BE"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10,123</w:t>
            </w:r>
          </w:p>
        </w:tc>
        <w:tc>
          <w:tcPr>
            <w:tcW w:w="1006" w:type="dxa"/>
            <w:gridSpan w:val="2"/>
            <w:tcBorders>
              <w:top w:val="nil"/>
              <w:left w:val="nil"/>
              <w:bottom w:val="nil"/>
              <w:right w:val="nil"/>
            </w:tcBorders>
            <w:shd w:val="clear" w:color="auto" w:fill="auto"/>
            <w:noWrap/>
            <w:vAlign w:val="bottom"/>
            <w:hideMark/>
          </w:tcPr>
          <w:p w14:paraId="0D06A91D"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18,443</w:t>
            </w:r>
          </w:p>
        </w:tc>
      </w:tr>
      <w:tr w:rsidR="002C3A1A" w:rsidRPr="001715D3" w14:paraId="00F518AC" w14:textId="77777777" w:rsidTr="00A24F2F">
        <w:trPr>
          <w:trHeight w:val="170"/>
        </w:trPr>
        <w:tc>
          <w:tcPr>
            <w:tcW w:w="318" w:type="dxa"/>
            <w:tcBorders>
              <w:top w:val="nil"/>
              <w:left w:val="nil"/>
              <w:bottom w:val="nil"/>
              <w:right w:val="nil"/>
            </w:tcBorders>
            <w:shd w:val="clear" w:color="auto" w:fill="auto"/>
            <w:noWrap/>
            <w:vAlign w:val="bottom"/>
          </w:tcPr>
          <w:p w14:paraId="72377E18"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tcPr>
          <w:p w14:paraId="55ED43F2" w14:textId="55C03E79" w:rsidR="00ED6B72" w:rsidRPr="001715D3" w:rsidRDefault="00ED6B72" w:rsidP="00ED6B72">
            <w:pPr>
              <w:rPr>
                <w:rFonts w:ascii="Arial" w:hAnsi="Arial" w:cs="Arial"/>
                <w:sz w:val="16"/>
                <w:szCs w:val="16"/>
                <w:lang w:val="en-GB" w:eastAsia="en-SG"/>
              </w:rPr>
            </w:pPr>
            <w:r w:rsidRPr="001715D3">
              <w:rPr>
                <w:rFonts w:ascii="Arial" w:hAnsi="Arial" w:cs="Arial"/>
                <w:sz w:val="16"/>
                <w:szCs w:val="16"/>
                <w:lang w:val="en-GB" w:eastAsia="en-SG"/>
              </w:rPr>
              <w:t>Liabilities of group companies as held for sale</w:t>
            </w:r>
          </w:p>
        </w:tc>
        <w:tc>
          <w:tcPr>
            <w:tcW w:w="1418" w:type="dxa"/>
            <w:gridSpan w:val="2"/>
            <w:tcBorders>
              <w:top w:val="nil"/>
              <w:left w:val="nil"/>
              <w:bottom w:val="nil"/>
              <w:right w:val="nil"/>
            </w:tcBorders>
            <w:vAlign w:val="center"/>
          </w:tcPr>
          <w:p w14:paraId="0A54840B" w14:textId="1317843B"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15,988</w:t>
            </w:r>
          </w:p>
        </w:tc>
        <w:tc>
          <w:tcPr>
            <w:tcW w:w="992" w:type="dxa"/>
            <w:tcBorders>
              <w:top w:val="nil"/>
              <w:left w:val="nil"/>
              <w:bottom w:val="nil"/>
              <w:right w:val="nil"/>
            </w:tcBorders>
            <w:shd w:val="clear" w:color="auto" w:fill="auto"/>
            <w:noWrap/>
            <w:vAlign w:val="bottom"/>
          </w:tcPr>
          <w:p w14:paraId="675A4767" w14:textId="77777777" w:rsidR="00ED6B72" w:rsidRPr="001715D3" w:rsidRDefault="00ED6B72" w:rsidP="001F0729">
            <w:pPr>
              <w:jc w:val="right"/>
              <w:rPr>
                <w:rFonts w:ascii="Arial" w:hAnsi="Arial" w:cs="Arial"/>
                <w:sz w:val="16"/>
                <w:szCs w:val="16"/>
                <w:lang w:val="en-GB" w:eastAsia="en-SG"/>
              </w:rPr>
            </w:pPr>
          </w:p>
        </w:tc>
        <w:tc>
          <w:tcPr>
            <w:tcW w:w="992" w:type="dxa"/>
            <w:gridSpan w:val="2"/>
            <w:tcBorders>
              <w:top w:val="nil"/>
              <w:left w:val="nil"/>
              <w:bottom w:val="nil"/>
              <w:right w:val="nil"/>
            </w:tcBorders>
            <w:shd w:val="clear" w:color="auto" w:fill="auto"/>
            <w:noWrap/>
            <w:vAlign w:val="bottom"/>
          </w:tcPr>
          <w:p w14:paraId="0D72171C" w14:textId="77777777" w:rsidR="00ED6B72" w:rsidRPr="001715D3" w:rsidRDefault="00ED6B72" w:rsidP="001F0729">
            <w:pPr>
              <w:jc w:val="right"/>
              <w:rPr>
                <w:rFonts w:ascii="Arial" w:hAnsi="Arial" w:cs="Arial"/>
                <w:sz w:val="16"/>
                <w:szCs w:val="16"/>
                <w:lang w:val="en-GB" w:eastAsia="en-SG"/>
              </w:rPr>
            </w:pPr>
          </w:p>
        </w:tc>
        <w:tc>
          <w:tcPr>
            <w:tcW w:w="993" w:type="dxa"/>
            <w:tcBorders>
              <w:top w:val="nil"/>
              <w:left w:val="nil"/>
              <w:bottom w:val="nil"/>
              <w:right w:val="nil"/>
            </w:tcBorders>
            <w:shd w:val="clear" w:color="auto" w:fill="auto"/>
            <w:noWrap/>
            <w:vAlign w:val="bottom"/>
          </w:tcPr>
          <w:p w14:paraId="6CED34BB" w14:textId="77777777" w:rsidR="00ED6B72" w:rsidRPr="001715D3" w:rsidRDefault="00ED6B72" w:rsidP="001F0729">
            <w:pPr>
              <w:jc w:val="right"/>
              <w:rPr>
                <w:rFonts w:ascii="Arial" w:hAnsi="Arial" w:cs="Arial"/>
                <w:sz w:val="16"/>
                <w:szCs w:val="16"/>
                <w:lang w:val="en-GB" w:eastAsia="en-SG"/>
              </w:rPr>
            </w:pPr>
          </w:p>
        </w:tc>
        <w:tc>
          <w:tcPr>
            <w:tcW w:w="1006" w:type="dxa"/>
            <w:gridSpan w:val="2"/>
            <w:tcBorders>
              <w:top w:val="nil"/>
              <w:left w:val="nil"/>
              <w:bottom w:val="nil"/>
              <w:right w:val="nil"/>
            </w:tcBorders>
            <w:shd w:val="clear" w:color="auto" w:fill="auto"/>
            <w:noWrap/>
            <w:vAlign w:val="bottom"/>
          </w:tcPr>
          <w:p w14:paraId="630CE68A" w14:textId="77777777" w:rsidR="00ED6B72" w:rsidRPr="001715D3" w:rsidRDefault="00ED6B72" w:rsidP="001F0729">
            <w:pPr>
              <w:jc w:val="right"/>
              <w:rPr>
                <w:rFonts w:ascii="Arial" w:hAnsi="Arial" w:cs="Arial"/>
                <w:sz w:val="16"/>
                <w:szCs w:val="16"/>
                <w:lang w:val="en-GB" w:eastAsia="en-SG"/>
              </w:rPr>
            </w:pPr>
          </w:p>
        </w:tc>
      </w:tr>
      <w:tr w:rsidR="002C3A1A" w:rsidRPr="001715D3" w14:paraId="5CBC1B59" w14:textId="77777777" w:rsidTr="00A24F2F">
        <w:trPr>
          <w:trHeight w:val="170"/>
        </w:trPr>
        <w:tc>
          <w:tcPr>
            <w:tcW w:w="318" w:type="dxa"/>
            <w:tcBorders>
              <w:top w:val="nil"/>
              <w:left w:val="nil"/>
              <w:bottom w:val="nil"/>
              <w:right w:val="nil"/>
            </w:tcBorders>
            <w:shd w:val="clear" w:color="auto" w:fill="auto"/>
            <w:noWrap/>
            <w:vAlign w:val="bottom"/>
            <w:hideMark/>
          </w:tcPr>
          <w:p w14:paraId="3562221D"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10C38C01" w14:textId="3B78818D" w:rsidR="00ED6B72" w:rsidRPr="001715D3" w:rsidRDefault="00ED6B72" w:rsidP="00ED6B72">
            <w:pPr>
              <w:rPr>
                <w:rFonts w:ascii="Arial" w:hAnsi="Arial" w:cs="Arial"/>
                <w:sz w:val="16"/>
                <w:szCs w:val="16"/>
                <w:lang w:val="en-GB" w:eastAsia="en-SG"/>
              </w:rPr>
            </w:pPr>
            <w:r w:rsidRPr="001715D3">
              <w:rPr>
                <w:rFonts w:ascii="Arial" w:hAnsi="Arial" w:cs="Arial"/>
                <w:sz w:val="16"/>
                <w:szCs w:val="16"/>
                <w:lang w:val="en-GB" w:eastAsia="en-SG"/>
              </w:rPr>
              <w:t>Other current liabilities</w:t>
            </w:r>
          </w:p>
        </w:tc>
        <w:tc>
          <w:tcPr>
            <w:tcW w:w="1418" w:type="dxa"/>
            <w:gridSpan w:val="2"/>
            <w:tcBorders>
              <w:top w:val="nil"/>
              <w:left w:val="nil"/>
              <w:bottom w:val="nil"/>
              <w:right w:val="nil"/>
            </w:tcBorders>
            <w:vAlign w:val="center"/>
          </w:tcPr>
          <w:p w14:paraId="687C2A07" w14:textId="71A7DAAB"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140,532</w:t>
            </w:r>
          </w:p>
        </w:tc>
        <w:tc>
          <w:tcPr>
            <w:tcW w:w="992" w:type="dxa"/>
            <w:tcBorders>
              <w:top w:val="nil"/>
              <w:left w:val="nil"/>
              <w:bottom w:val="nil"/>
              <w:right w:val="nil"/>
            </w:tcBorders>
            <w:shd w:val="clear" w:color="auto" w:fill="auto"/>
            <w:noWrap/>
            <w:vAlign w:val="bottom"/>
            <w:hideMark/>
          </w:tcPr>
          <w:p w14:paraId="38DEB132" w14:textId="0D7BFBEB"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226,949</w:t>
            </w:r>
          </w:p>
        </w:tc>
        <w:tc>
          <w:tcPr>
            <w:tcW w:w="992" w:type="dxa"/>
            <w:gridSpan w:val="2"/>
            <w:tcBorders>
              <w:top w:val="nil"/>
              <w:left w:val="nil"/>
              <w:bottom w:val="nil"/>
              <w:right w:val="nil"/>
            </w:tcBorders>
            <w:shd w:val="clear" w:color="auto" w:fill="auto"/>
            <w:noWrap/>
            <w:vAlign w:val="bottom"/>
            <w:hideMark/>
          </w:tcPr>
          <w:p w14:paraId="524092CB"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232,195</w:t>
            </w:r>
          </w:p>
        </w:tc>
        <w:tc>
          <w:tcPr>
            <w:tcW w:w="993" w:type="dxa"/>
            <w:tcBorders>
              <w:top w:val="nil"/>
              <w:left w:val="nil"/>
              <w:bottom w:val="nil"/>
              <w:right w:val="nil"/>
            </w:tcBorders>
            <w:shd w:val="clear" w:color="auto" w:fill="auto"/>
            <w:noWrap/>
            <w:vAlign w:val="bottom"/>
            <w:hideMark/>
          </w:tcPr>
          <w:p w14:paraId="124C6877"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252,480</w:t>
            </w:r>
          </w:p>
        </w:tc>
        <w:tc>
          <w:tcPr>
            <w:tcW w:w="1006" w:type="dxa"/>
            <w:gridSpan w:val="2"/>
            <w:tcBorders>
              <w:top w:val="nil"/>
              <w:left w:val="nil"/>
              <w:bottom w:val="nil"/>
              <w:right w:val="nil"/>
            </w:tcBorders>
            <w:shd w:val="clear" w:color="auto" w:fill="auto"/>
            <w:noWrap/>
            <w:vAlign w:val="bottom"/>
            <w:hideMark/>
          </w:tcPr>
          <w:p w14:paraId="1850543B"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251,812</w:t>
            </w:r>
          </w:p>
        </w:tc>
      </w:tr>
      <w:tr w:rsidR="002C3A1A" w:rsidRPr="001715D3" w14:paraId="40D24696" w14:textId="77777777" w:rsidTr="00A24F2F">
        <w:trPr>
          <w:trHeight w:val="170"/>
        </w:trPr>
        <w:tc>
          <w:tcPr>
            <w:tcW w:w="3861" w:type="dxa"/>
            <w:gridSpan w:val="4"/>
            <w:tcBorders>
              <w:top w:val="nil"/>
              <w:left w:val="nil"/>
              <w:bottom w:val="nil"/>
              <w:right w:val="nil"/>
            </w:tcBorders>
            <w:shd w:val="clear" w:color="auto" w:fill="auto"/>
            <w:noWrap/>
            <w:vAlign w:val="bottom"/>
            <w:hideMark/>
          </w:tcPr>
          <w:p w14:paraId="3771FCD9" w14:textId="29CE79ED" w:rsidR="00ED6B72" w:rsidRPr="001715D3" w:rsidRDefault="00ED6B72" w:rsidP="00ED6B72">
            <w:pPr>
              <w:rPr>
                <w:rFonts w:ascii="Arial" w:hAnsi="Arial" w:cs="Arial"/>
                <w:sz w:val="16"/>
                <w:szCs w:val="16"/>
                <w:lang w:val="en-GB" w:eastAsia="en-SG"/>
              </w:rPr>
            </w:pPr>
            <w:r w:rsidRPr="001715D3">
              <w:rPr>
                <w:rFonts w:ascii="Arial" w:hAnsi="Arial" w:cs="Arial"/>
                <w:sz w:val="16"/>
                <w:szCs w:val="16"/>
                <w:lang w:val="en-GB" w:eastAsia="en-SG"/>
              </w:rPr>
              <w:t>Total current liabilities</w:t>
            </w:r>
          </w:p>
        </w:tc>
        <w:tc>
          <w:tcPr>
            <w:tcW w:w="1418" w:type="dxa"/>
            <w:gridSpan w:val="2"/>
            <w:tcBorders>
              <w:top w:val="nil"/>
              <w:left w:val="nil"/>
              <w:bottom w:val="nil"/>
              <w:right w:val="nil"/>
            </w:tcBorders>
            <w:vAlign w:val="center"/>
          </w:tcPr>
          <w:p w14:paraId="0FAA65A4" w14:textId="7F2553EF"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1,703,463</w:t>
            </w:r>
          </w:p>
        </w:tc>
        <w:tc>
          <w:tcPr>
            <w:tcW w:w="992" w:type="dxa"/>
            <w:tcBorders>
              <w:top w:val="nil"/>
              <w:left w:val="nil"/>
              <w:bottom w:val="nil"/>
              <w:right w:val="nil"/>
            </w:tcBorders>
            <w:shd w:val="clear" w:color="auto" w:fill="auto"/>
            <w:noWrap/>
            <w:vAlign w:val="bottom"/>
            <w:hideMark/>
          </w:tcPr>
          <w:p w14:paraId="2AFDF0AB" w14:textId="7E654F91"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2,228,622</w:t>
            </w:r>
          </w:p>
        </w:tc>
        <w:tc>
          <w:tcPr>
            <w:tcW w:w="992" w:type="dxa"/>
            <w:gridSpan w:val="2"/>
            <w:tcBorders>
              <w:top w:val="nil"/>
              <w:left w:val="nil"/>
              <w:bottom w:val="nil"/>
              <w:right w:val="nil"/>
            </w:tcBorders>
            <w:shd w:val="clear" w:color="auto" w:fill="auto"/>
            <w:noWrap/>
            <w:vAlign w:val="bottom"/>
            <w:hideMark/>
          </w:tcPr>
          <w:p w14:paraId="6B068FCF"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2,311,967</w:t>
            </w:r>
          </w:p>
        </w:tc>
        <w:tc>
          <w:tcPr>
            <w:tcW w:w="993" w:type="dxa"/>
            <w:tcBorders>
              <w:top w:val="nil"/>
              <w:left w:val="nil"/>
              <w:bottom w:val="nil"/>
              <w:right w:val="nil"/>
            </w:tcBorders>
            <w:shd w:val="clear" w:color="auto" w:fill="auto"/>
            <w:noWrap/>
            <w:vAlign w:val="bottom"/>
            <w:hideMark/>
          </w:tcPr>
          <w:p w14:paraId="75C7E12C"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2,157,593</w:t>
            </w:r>
          </w:p>
        </w:tc>
        <w:tc>
          <w:tcPr>
            <w:tcW w:w="1006" w:type="dxa"/>
            <w:gridSpan w:val="2"/>
            <w:tcBorders>
              <w:top w:val="nil"/>
              <w:left w:val="nil"/>
              <w:bottom w:val="nil"/>
              <w:right w:val="nil"/>
            </w:tcBorders>
            <w:shd w:val="clear" w:color="auto" w:fill="auto"/>
            <w:noWrap/>
            <w:vAlign w:val="bottom"/>
            <w:hideMark/>
          </w:tcPr>
          <w:p w14:paraId="10164142"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2,125,715</w:t>
            </w:r>
          </w:p>
        </w:tc>
      </w:tr>
      <w:tr w:rsidR="002C3A1A" w:rsidRPr="001715D3" w14:paraId="54DA0CF4" w14:textId="77777777" w:rsidTr="00A24F2F">
        <w:trPr>
          <w:trHeight w:val="170"/>
        </w:trPr>
        <w:tc>
          <w:tcPr>
            <w:tcW w:w="2892" w:type="dxa"/>
            <w:gridSpan w:val="3"/>
            <w:tcBorders>
              <w:top w:val="nil"/>
              <w:left w:val="nil"/>
              <w:bottom w:val="nil"/>
              <w:right w:val="nil"/>
            </w:tcBorders>
            <w:shd w:val="clear" w:color="auto" w:fill="auto"/>
            <w:noWrap/>
            <w:vAlign w:val="bottom"/>
            <w:hideMark/>
          </w:tcPr>
          <w:p w14:paraId="5DEAB884" w14:textId="77777777" w:rsidR="00ED6B72" w:rsidRPr="001715D3" w:rsidRDefault="00ED6B72" w:rsidP="001F0729">
            <w:pPr>
              <w:rPr>
                <w:rFonts w:ascii="Arial" w:hAnsi="Arial" w:cs="Arial"/>
                <w:b/>
                <w:sz w:val="16"/>
                <w:szCs w:val="16"/>
                <w:lang w:val="en-GB" w:eastAsia="en-SG"/>
              </w:rPr>
            </w:pPr>
            <w:r w:rsidRPr="001715D3">
              <w:rPr>
                <w:rFonts w:ascii="Arial" w:hAnsi="Arial" w:cs="Arial"/>
                <w:b/>
                <w:sz w:val="16"/>
                <w:szCs w:val="16"/>
                <w:lang w:val="en-GB" w:eastAsia="en-SG"/>
              </w:rPr>
              <w:t>Non-current liabilities</w:t>
            </w:r>
          </w:p>
        </w:tc>
        <w:tc>
          <w:tcPr>
            <w:tcW w:w="1126" w:type="dxa"/>
            <w:gridSpan w:val="2"/>
            <w:tcBorders>
              <w:top w:val="nil"/>
              <w:left w:val="nil"/>
              <w:bottom w:val="nil"/>
              <w:right w:val="nil"/>
            </w:tcBorders>
            <w:vAlign w:val="center"/>
          </w:tcPr>
          <w:p w14:paraId="73644F6E" w14:textId="77777777" w:rsidR="00ED6B72" w:rsidRPr="001715D3" w:rsidRDefault="00ED6B72" w:rsidP="008C0337">
            <w:pPr>
              <w:jc w:val="right"/>
              <w:rPr>
                <w:rFonts w:ascii="Arial" w:hAnsi="Arial" w:cs="Arial"/>
                <w:b/>
                <w:sz w:val="16"/>
                <w:szCs w:val="16"/>
                <w:lang w:val="en-GB" w:eastAsia="en-SG"/>
              </w:rPr>
            </w:pPr>
          </w:p>
        </w:tc>
        <w:tc>
          <w:tcPr>
            <w:tcW w:w="1261" w:type="dxa"/>
            <w:tcBorders>
              <w:top w:val="nil"/>
              <w:left w:val="nil"/>
              <w:bottom w:val="nil"/>
              <w:right w:val="nil"/>
            </w:tcBorders>
            <w:shd w:val="clear" w:color="auto" w:fill="auto"/>
            <w:vAlign w:val="center"/>
          </w:tcPr>
          <w:p w14:paraId="10B5797F" w14:textId="1709F0B7" w:rsidR="00ED6B72" w:rsidRPr="001715D3" w:rsidRDefault="00ED6B72" w:rsidP="008C0337">
            <w:pPr>
              <w:jc w:val="right"/>
              <w:rPr>
                <w:rFonts w:ascii="Arial" w:hAnsi="Arial" w:cs="Arial"/>
                <w:b/>
                <w:sz w:val="16"/>
                <w:szCs w:val="16"/>
                <w:lang w:val="en-GB" w:eastAsia="en-SG"/>
              </w:rPr>
            </w:pPr>
          </w:p>
        </w:tc>
        <w:tc>
          <w:tcPr>
            <w:tcW w:w="1726" w:type="dxa"/>
            <w:gridSpan w:val="2"/>
            <w:tcBorders>
              <w:top w:val="nil"/>
              <w:left w:val="nil"/>
              <w:bottom w:val="nil"/>
              <w:right w:val="nil"/>
            </w:tcBorders>
            <w:shd w:val="clear" w:color="auto" w:fill="auto"/>
            <w:noWrap/>
            <w:vAlign w:val="bottom"/>
            <w:hideMark/>
          </w:tcPr>
          <w:p w14:paraId="1D02B2F0" w14:textId="77777777" w:rsidR="00ED6B72" w:rsidRPr="001715D3" w:rsidRDefault="00ED6B72" w:rsidP="001F0729">
            <w:pPr>
              <w:rPr>
                <w:rFonts w:ascii="Arial" w:hAnsi="Arial" w:cs="Arial"/>
                <w:b/>
                <w:sz w:val="16"/>
                <w:szCs w:val="16"/>
                <w:lang w:val="en-GB" w:eastAsia="en-SG"/>
              </w:rPr>
            </w:pPr>
          </w:p>
        </w:tc>
        <w:tc>
          <w:tcPr>
            <w:tcW w:w="1493" w:type="dxa"/>
            <w:gridSpan w:val="3"/>
            <w:tcBorders>
              <w:top w:val="nil"/>
              <w:left w:val="nil"/>
              <w:bottom w:val="nil"/>
              <w:right w:val="nil"/>
            </w:tcBorders>
            <w:shd w:val="clear" w:color="auto" w:fill="auto"/>
            <w:noWrap/>
            <w:vAlign w:val="bottom"/>
            <w:hideMark/>
          </w:tcPr>
          <w:p w14:paraId="0B9764B4" w14:textId="77777777" w:rsidR="00ED6B72" w:rsidRPr="001715D3" w:rsidRDefault="00ED6B72" w:rsidP="001F0729">
            <w:pPr>
              <w:rPr>
                <w:rFonts w:ascii="Arial" w:hAnsi="Arial" w:cs="Arial"/>
                <w:b/>
                <w:sz w:val="16"/>
                <w:szCs w:val="16"/>
                <w:lang w:val="en-GB" w:eastAsia="en-SG"/>
              </w:rPr>
            </w:pPr>
          </w:p>
        </w:tc>
        <w:tc>
          <w:tcPr>
            <w:tcW w:w="764" w:type="dxa"/>
            <w:tcBorders>
              <w:top w:val="nil"/>
              <w:left w:val="nil"/>
              <w:bottom w:val="nil"/>
              <w:right w:val="nil"/>
            </w:tcBorders>
            <w:shd w:val="clear" w:color="auto" w:fill="auto"/>
            <w:noWrap/>
            <w:vAlign w:val="bottom"/>
            <w:hideMark/>
          </w:tcPr>
          <w:p w14:paraId="49FEF3C1" w14:textId="77777777" w:rsidR="00ED6B72" w:rsidRPr="001715D3" w:rsidRDefault="00ED6B72" w:rsidP="001F0729">
            <w:pPr>
              <w:rPr>
                <w:rFonts w:ascii="Arial" w:hAnsi="Arial" w:cs="Arial"/>
                <w:b/>
                <w:sz w:val="16"/>
                <w:szCs w:val="16"/>
                <w:lang w:val="en-GB" w:eastAsia="en-SG"/>
              </w:rPr>
            </w:pPr>
          </w:p>
        </w:tc>
      </w:tr>
      <w:tr w:rsidR="002C3A1A" w:rsidRPr="001715D3" w14:paraId="1618F351" w14:textId="77777777" w:rsidTr="00A24F2F">
        <w:trPr>
          <w:trHeight w:val="170"/>
        </w:trPr>
        <w:tc>
          <w:tcPr>
            <w:tcW w:w="318" w:type="dxa"/>
            <w:tcBorders>
              <w:top w:val="nil"/>
              <w:left w:val="nil"/>
              <w:bottom w:val="nil"/>
              <w:right w:val="nil"/>
            </w:tcBorders>
            <w:shd w:val="clear" w:color="auto" w:fill="auto"/>
            <w:noWrap/>
            <w:vAlign w:val="bottom"/>
            <w:hideMark/>
          </w:tcPr>
          <w:p w14:paraId="4C2FBE50" w14:textId="77777777" w:rsidR="00ED6B72" w:rsidRPr="001715D3" w:rsidRDefault="00ED6B72" w:rsidP="001F0729">
            <w:pPr>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5EA4DC73"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Borrowings</w:t>
            </w:r>
          </w:p>
        </w:tc>
        <w:tc>
          <w:tcPr>
            <w:tcW w:w="1418" w:type="dxa"/>
            <w:gridSpan w:val="2"/>
            <w:tcBorders>
              <w:top w:val="nil"/>
              <w:left w:val="nil"/>
              <w:bottom w:val="nil"/>
              <w:right w:val="nil"/>
            </w:tcBorders>
            <w:vAlign w:val="center"/>
          </w:tcPr>
          <w:p w14:paraId="6B7D5013" w14:textId="2EDB02B6"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2,309,811</w:t>
            </w:r>
          </w:p>
        </w:tc>
        <w:tc>
          <w:tcPr>
            <w:tcW w:w="992" w:type="dxa"/>
            <w:tcBorders>
              <w:top w:val="nil"/>
              <w:left w:val="nil"/>
              <w:bottom w:val="nil"/>
              <w:right w:val="nil"/>
            </w:tcBorders>
            <w:shd w:val="clear" w:color="auto" w:fill="auto"/>
            <w:noWrap/>
            <w:vAlign w:val="bottom"/>
            <w:hideMark/>
          </w:tcPr>
          <w:p w14:paraId="75AA1C5D" w14:textId="6A481C94"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4,676,308</w:t>
            </w:r>
          </w:p>
        </w:tc>
        <w:tc>
          <w:tcPr>
            <w:tcW w:w="992" w:type="dxa"/>
            <w:gridSpan w:val="2"/>
            <w:tcBorders>
              <w:top w:val="nil"/>
              <w:left w:val="nil"/>
              <w:bottom w:val="nil"/>
              <w:right w:val="nil"/>
            </w:tcBorders>
            <w:shd w:val="clear" w:color="auto" w:fill="auto"/>
            <w:noWrap/>
            <w:vAlign w:val="bottom"/>
            <w:hideMark/>
          </w:tcPr>
          <w:p w14:paraId="1A0F0DE7"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4,266,827</w:t>
            </w:r>
          </w:p>
        </w:tc>
        <w:tc>
          <w:tcPr>
            <w:tcW w:w="993" w:type="dxa"/>
            <w:tcBorders>
              <w:top w:val="nil"/>
              <w:left w:val="nil"/>
              <w:bottom w:val="nil"/>
              <w:right w:val="nil"/>
            </w:tcBorders>
            <w:shd w:val="clear" w:color="auto" w:fill="auto"/>
            <w:noWrap/>
            <w:vAlign w:val="bottom"/>
            <w:hideMark/>
          </w:tcPr>
          <w:p w14:paraId="4E9522F8"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3,546,621</w:t>
            </w:r>
          </w:p>
        </w:tc>
        <w:tc>
          <w:tcPr>
            <w:tcW w:w="1006" w:type="dxa"/>
            <w:gridSpan w:val="2"/>
            <w:tcBorders>
              <w:top w:val="nil"/>
              <w:left w:val="nil"/>
              <w:bottom w:val="nil"/>
              <w:right w:val="nil"/>
            </w:tcBorders>
            <w:shd w:val="clear" w:color="auto" w:fill="auto"/>
            <w:noWrap/>
            <w:vAlign w:val="bottom"/>
            <w:hideMark/>
          </w:tcPr>
          <w:p w14:paraId="4A6B6BF2"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1,931,746</w:t>
            </w:r>
          </w:p>
        </w:tc>
      </w:tr>
      <w:tr w:rsidR="002C3A1A" w:rsidRPr="001715D3" w14:paraId="37C55BED" w14:textId="77777777" w:rsidTr="00A24F2F">
        <w:trPr>
          <w:trHeight w:val="170"/>
        </w:trPr>
        <w:tc>
          <w:tcPr>
            <w:tcW w:w="318" w:type="dxa"/>
            <w:tcBorders>
              <w:top w:val="nil"/>
              <w:left w:val="nil"/>
              <w:bottom w:val="nil"/>
              <w:right w:val="nil"/>
            </w:tcBorders>
            <w:shd w:val="clear" w:color="auto" w:fill="auto"/>
            <w:noWrap/>
            <w:vAlign w:val="bottom"/>
            <w:hideMark/>
          </w:tcPr>
          <w:p w14:paraId="563B1A14"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34645F30"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Provisions</w:t>
            </w:r>
          </w:p>
        </w:tc>
        <w:tc>
          <w:tcPr>
            <w:tcW w:w="1418" w:type="dxa"/>
            <w:gridSpan w:val="2"/>
            <w:tcBorders>
              <w:top w:val="nil"/>
              <w:left w:val="nil"/>
              <w:bottom w:val="nil"/>
              <w:right w:val="nil"/>
            </w:tcBorders>
            <w:vAlign w:val="center"/>
          </w:tcPr>
          <w:p w14:paraId="6265AF2C" w14:textId="64466F43"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147,838</w:t>
            </w:r>
          </w:p>
        </w:tc>
        <w:tc>
          <w:tcPr>
            <w:tcW w:w="992" w:type="dxa"/>
            <w:tcBorders>
              <w:top w:val="nil"/>
              <w:left w:val="nil"/>
              <w:bottom w:val="nil"/>
              <w:right w:val="nil"/>
            </w:tcBorders>
            <w:shd w:val="clear" w:color="auto" w:fill="auto"/>
            <w:noWrap/>
            <w:vAlign w:val="bottom"/>
            <w:hideMark/>
          </w:tcPr>
          <w:p w14:paraId="09A479D3" w14:textId="4175E1D6"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191,654</w:t>
            </w:r>
          </w:p>
        </w:tc>
        <w:tc>
          <w:tcPr>
            <w:tcW w:w="992" w:type="dxa"/>
            <w:gridSpan w:val="2"/>
            <w:tcBorders>
              <w:top w:val="nil"/>
              <w:left w:val="nil"/>
              <w:bottom w:val="nil"/>
              <w:right w:val="nil"/>
            </w:tcBorders>
            <w:shd w:val="clear" w:color="auto" w:fill="auto"/>
            <w:noWrap/>
            <w:vAlign w:val="bottom"/>
            <w:hideMark/>
          </w:tcPr>
          <w:p w14:paraId="05E24EC6"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171,977</w:t>
            </w:r>
          </w:p>
        </w:tc>
        <w:tc>
          <w:tcPr>
            <w:tcW w:w="993" w:type="dxa"/>
            <w:tcBorders>
              <w:top w:val="nil"/>
              <w:left w:val="nil"/>
              <w:bottom w:val="nil"/>
              <w:right w:val="nil"/>
            </w:tcBorders>
            <w:shd w:val="clear" w:color="auto" w:fill="auto"/>
            <w:noWrap/>
            <w:vAlign w:val="bottom"/>
            <w:hideMark/>
          </w:tcPr>
          <w:p w14:paraId="55F4C178"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145,066</w:t>
            </w:r>
          </w:p>
        </w:tc>
        <w:tc>
          <w:tcPr>
            <w:tcW w:w="1006" w:type="dxa"/>
            <w:gridSpan w:val="2"/>
            <w:tcBorders>
              <w:top w:val="nil"/>
              <w:left w:val="nil"/>
              <w:bottom w:val="nil"/>
              <w:right w:val="nil"/>
            </w:tcBorders>
            <w:shd w:val="clear" w:color="auto" w:fill="auto"/>
            <w:noWrap/>
            <w:vAlign w:val="bottom"/>
            <w:hideMark/>
          </w:tcPr>
          <w:p w14:paraId="29AEF3A2"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131,780</w:t>
            </w:r>
          </w:p>
        </w:tc>
      </w:tr>
      <w:tr w:rsidR="002C3A1A" w:rsidRPr="001715D3" w14:paraId="010720F3" w14:textId="77777777" w:rsidTr="00A24F2F">
        <w:trPr>
          <w:trHeight w:val="170"/>
        </w:trPr>
        <w:tc>
          <w:tcPr>
            <w:tcW w:w="318" w:type="dxa"/>
            <w:tcBorders>
              <w:top w:val="nil"/>
              <w:left w:val="nil"/>
              <w:bottom w:val="nil"/>
              <w:right w:val="nil"/>
            </w:tcBorders>
            <w:shd w:val="clear" w:color="auto" w:fill="auto"/>
            <w:noWrap/>
            <w:vAlign w:val="bottom"/>
            <w:hideMark/>
          </w:tcPr>
          <w:p w14:paraId="29647747"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0E40B304"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Deferred income</w:t>
            </w:r>
          </w:p>
        </w:tc>
        <w:tc>
          <w:tcPr>
            <w:tcW w:w="1418" w:type="dxa"/>
            <w:gridSpan w:val="2"/>
            <w:tcBorders>
              <w:top w:val="nil"/>
              <w:left w:val="nil"/>
              <w:bottom w:val="nil"/>
              <w:right w:val="nil"/>
            </w:tcBorders>
            <w:vAlign w:val="center"/>
          </w:tcPr>
          <w:p w14:paraId="3D7B513E" w14:textId="67EC49CF"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581</w:t>
            </w:r>
          </w:p>
        </w:tc>
        <w:tc>
          <w:tcPr>
            <w:tcW w:w="992" w:type="dxa"/>
            <w:tcBorders>
              <w:top w:val="nil"/>
              <w:left w:val="nil"/>
              <w:bottom w:val="nil"/>
              <w:right w:val="nil"/>
            </w:tcBorders>
            <w:shd w:val="clear" w:color="auto" w:fill="auto"/>
            <w:noWrap/>
            <w:vAlign w:val="bottom"/>
            <w:hideMark/>
          </w:tcPr>
          <w:p w14:paraId="63205A39" w14:textId="71FE226B"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1,566</w:t>
            </w:r>
          </w:p>
        </w:tc>
        <w:tc>
          <w:tcPr>
            <w:tcW w:w="992" w:type="dxa"/>
            <w:gridSpan w:val="2"/>
            <w:tcBorders>
              <w:top w:val="nil"/>
              <w:left w:val="nil"/>
              <w:bottom w:val="nil"/>
              <w:right w:val="nil"/>
            </w:tcBorders>
            <w:shd w:val="clear" w:color="auto" w:fill="auto"/>
            <w:noWrap/>
            <w:vAlign w:val="bottom"/>
            <w:hideMark/>
          </w:tcPr>
          <w:p w14:paraId="6B321844"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6,016</w:t>
            </w:r>
          </w:p>
        </w:tc>
        <w:tc>
          <w:tcPr>
            <w:tcW w:w="993" w:type="dxa"/>
            <w:tcBorders>
              <w:top w:val="nil"/>
              <w:left w:val="nil"/>
              <w:bottom w:val="nil"/>
              <w:right w:val="nil"/>
            </w:tcBorders>
            <w:shd w:val="clear" w:color="auto" w:fill="auto"/>
            <w:noWrap/>
            <w:vAlign w:val="bottom"/>
            <w:hideMark/>
          </w:tcPr>
          <w:p w14:paraId="7BD9E78E"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15,370</w:t>
            </w:r>
          </w:p>
        </w:tc>
        <w:tc>
          <w:tcPr>
            <w:tcW w:w="1006" w:type="dxa"/>
            <w:gridSpan w:val="2"/>
            <w:tcBorders>
              <w:top w:val="nil"/>
              <w:left w:val="nil"/>
              <w:bottom w:val="nil"/>
              <w:right w:val="nil"/>
            </w:tcBorders>
            <w:shd w:val="clear" w:color="auto" w:fill="auto"/>
            <w:noWrap/>
            <w:vAlign w:val="bottom"/>
            <w:hideMark/>
          </w:tcPr>
          <w:p w14:paraId="7195205A"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3,904</w:t>
            </w:r>
          </w:p>
        </w:tc>
      </w:tr>
      <w:tr w:rsidR="002C3A1A" w:rsidRPr="001715D3" w14:paraId="3446535A" w14:textId="77777777" w:rsidTr="00A24F2F">
        <w:trPr>
          <w:trHeight w:val="170"/>
        </w:trPr>
        <w:tc>
          <w:tcPr>
            <w:tcW w:w="318" w:type="dxa"/>
            <w:tcBorders>
              <w:top w:val="nil"/>
              <w:left w:val="nil"/>
              <w:bottom w:val="nil"/>
              <w:right w:val="nil"/>
            </w:tcBorders>
            <w:shd w:val="clear" w:color="auto" w:fill="auto"/>
            <w:noWrap/>
            <w:vAlign w:val="bottom"/>
            <w:hideMark/>
          </w:tcPr>
          <w:p w14:paraId="0987AE52"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3537416E"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Deferred income tax liabilities</w:t>
            </w:r>
          </w:p>
        </w:tc>
        <w:tc>
          <w:tcPr>
            <w:tcW w:w="1418" w:type="dxa"/>
            <w:gridSpan w:val="2"/>
            <w:tcBorders>
              <w:top w:val="nil"/>
              <w:left w:val="nil"/>
              <w:bottom w:val="nil"/>
              <w:right w:val="nil"/>
            </w:tcBorders>
            <w:vAlign w:val="center"/>
          </w:tcPr>
          <w:p w14:paraId="7893CBAE" w14:textId="7F2F1D8B"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2,717</w:t>
            </w:r>
          </w:p>
        </w:tc>
        <w:tc>
          <w:tcPr>
            <w:tcW w:w="992" w:type="dxa"/>
            <w:tcBorders>
              <w:top w:val="nil"/>
              <w:left w:val="nil"/>
              <w:bottom w:val="nil"/>
              <w:right w:val="nil"/>
            </w:tcBorders>
            <w:shd w:val="clear" w:color="auto" w:fill="auto"/>
            <w:noWrap/>
            <w:vAlign w:val="bottom"/>
            <w:hideMark/>
          </w:tcPr>
          <w:p w14:paraId="23D5DC70" w14:textId="3EE8806E"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6,431</w:t>
            </w:r>
          </w:p>
        </w:tc>
        <w:tc>
          <w:tcPr>
            <w:tcW w:w="992" w:type="dxa"/>
            <w:gridSpan w:val="2"/>
            <w:tcBorders>
              <w:top w:val="nil"/>
              <w:left w:val="nil"/>
              <w:bottom w:val="nil"/>
              <w:right w:val="nil"/>
            </w:tcBorders>
            <w:shd w:val="clear" w:color="auto" w:fill="auto"/>
            <w:noWrap/>
            <w:vAlign w:val="bottom"/>
            <w:hideMark/>
          </w:tcPr>
          <w:p w14:paraId="5E766ABF"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6,980</w:t>
            </w:r>
          </w:p>
        </w:tc>
        <w:tc>
          <w:tcPr>
            <w:tcW w:w="993" w:type="dxa"/>
            <w:tcBorders>
              <w:top w:val="nil"/>
              <w:left w:val="nil"/>
              <w:bottom w:val="nil"/>
              <w:right w:val="nil"/>
            </w:tcBorders>
            <w:shd w:val="clear" w:color="auto" w:fill="auto"/>
            <w:noWrap/>
            <w:vAlign w:val="bottom"/>
            <w:hideMark/>
          </w:tcPr>
          <w:p w14:paraId="7FEA1077"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5,446</w:t>
            </w:r>
          </w:p>
        </w:tc>
        <w:tc>
          <w:tcPr>
            <w:tcW w:w="1006" w:type="dxa"/>
            <w:gridSpan w:val="2"/>
            <w:tcBorders>
              <w:top w:val="nil"/>
              <w:left w:val="nil"/>
              <w:bottom w:val="nil"/>
              <w:right w:val="nil"/>
            </w:tcBorders>
            <w:shd w:val="clear" w:color="auto" w:fill="auto"/>
            <w:noWrap/>
            <w:vAlign w:val="bottom"/>
            <w:hideMark/>
          </w:tcPr>
          <w:p w14:paraId="51869D1D"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8,900</w:t>
            </w:r>
          </w:p>
        </w:tc>
      </w:tr>
      <w:tr w:rsidR="002C3A1A" w:rsidRPr="001715D3" w14:paraId="33A3936B" w14:textId="77777777" w:rsidTr="00A24F2F">
        <w:trPr>
          <w:trHeight w:val="170"/>
        </w:trPr>
        <w:tc>
          <w:tcPr>
            <w:tcW w:w="318" w:type="dxa"/>
            <w:tcBorders>
              <w:top w:val="nil"/>
              <w:left w:val="nil"/>
              <w:bottom w:val="nil"/>
              <w:right w:val="nil"/>
            </w:tcBorders>
            <w:shd w:val="clear" w:color="auto" w:fill="auto"/>
            <w:noWrap/>
            <w:vAlign w:val="bottom"/>
            <w:hideMark/>
          </w:tcPr>
          <w:p w14:paraId="08F87A2B"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3F736843" w14:textId="77777777"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Derivative financial instruments</w:t>
            </w:r>
          </w:p>
        </w:tc>
        <w:tc>
          <w:tcPr>
            <w:tcW w:w="1418" w:type="dxa"/>
            <w:gridSpan w:val="2"/>
            <w:tcBorders>
              <w:top w:val="nil"/>
              <w:left w:val="nil"/>
              <w:bottom w:val="nil"/>
              <w:right w:val="nil"/>
            </w:tcBorders>
            <w:vAlign w:val="center"/>
          </w:tcPr>
          <w:p w14:paraId="0490ECAC" w14:textId="40B58BC7"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233,267</w:t>
            </w:r>
          </w:p>
        </w:tc>
        <w:tc>
          <w:tcPr>
            <w:tcW w:w="992" w:type="dxa"/>
            <w:tcBorders>
              <w:top w:val="nil"/>
              <w:left w:val="nil"/>
              <w:bottom w:val="nil"/>
              <w:right w:val="nil"/>
            </w:tcBorders>
            <w:shd w:val="clear" w:color="auto" w:fill="auto"/>
            <w:noWrap/>
            <w:vAlign w:val="bottom"/>
            <w:hideMark/>
          </w:tcPr>
          <w:p w14:paraId="4973A55C" w14:textId="58F9DC9A"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160,357</w:t>
            </w:r>
          </w:p>
        </w:tc>
        <w:tc>
          <w:tcPr>
            <w:tcW w:w="992" w:type="dxa"/>
            <w:gridSpan w:val="2"/>
            <w:tcBorders>
              <w:top w:val="nil"/>
              <w:left w:val="nil"/>
              <w:bottom w:val="nil"/>
              <w:right w:val="nil"/>
            </w:tcBorders>
            <w:shd w:val="clear" w:color="auto" w:fill="auto"/>
            <w:noWrap/>
            <w:vAlign w:val="bottom"/>
            <w:hideMark/>
          </w:tcPr>
          <w:p w14:paraId="749B9E26"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65,168</w:t>
            </w:r>
          </w:p>
        </w:tc>
        <w:tc>
          <w:tcPr>
            <w:tcW w:w="993" w:type="dxa"/>
            <w:tcBorders>
              <w:top w:val="nil"/>
              <w:left w:val="nil"/>
              <w:bottom w:val="nil"/>
              <w:right w:val="nil"/>
            </w:tcBorders>
            <w:shd w:val="clear" w:color="auto" w:fill="auto"/>
            <w:noWrap/>
            <w:vAlign w:val="bottom"/>
            <w:hideMark/>
          </w:tcPr>
          <w:p w14:paraId="110F0EF2"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15,938</w:t>
            </w:r>
          </w:p>
        </w:tc>
        <w:tc>
          <w:tcPr>
            <w:tcW w:w="1006" w:type="dxa"/>
            <w:gridSpan w:val="2"/>
            <w:tcBorders>
              <w:top w:val="nil"/>
              <w:left w:val="nil"/>
              <w:bottom w:val="nil"/>
              <w:right w:val="nil"/>
            </w:tcBorders>
            <w:shd w:val="clear" w:color="auto" w:fill="auto"/>
            <w:noWrap/>
            <w:vAlign w:val="bottom"/>
            <w:hideMark/>
          </w:tcPr>
          <w:p w14:paraId="09BD0633"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36,694</w:t>
            </w:r>
          </w:p>
        </w:tc>
      </w:tr>
      <w:tr w:rsidR="002C3A1A" w:rsidRPr="001715D3" w14:paraId="322A63B9" w14:textId="77777777" w:rsidTr="00A24F2F">
        <w:trPr>
          <w:trHeight w:val="170"/>
        </w:trPr>
        <w:tc>
          <w:tcPr>
            <w:tcW w:w="318" w:type="dxa"/>
            <w:tcBorders>
              <w:top w:val="nil"/>
              <w:left w:val="nil"/>
              <w:bottom w:val="nil"/>
              <w:right w:val="nil"/>
            </w:tcBorders>
            <w:shd w:val="clear" w:color="auto" w:fill="auto"/>
            <w:noWrap/>
            <w:vAlign w:val="bottom"/>
            <w:hideMark/>
          </w:tcPr>
          <w:p w14:paraId="255B2EE3" w14:textId="77777777" w:rsidR="00ED6B72" w:rsidRPr="001715D3" w:rsidRDefault="00ED6B72" w:rsidP="001F0729">
            <w:pPr>
              <w:jc w:val="right"/>
              <w:rPr>
                <w:rFonts w:ascii="Arial" w:hAnsi="Arial" w:cs="Arial"/>
                <w:sz w:val="16"/>
                <w:szCs w:val="16"/>
                <w:lang w:val="en-GB" w:eastAsia="en-SG"/>
              </w:rPr>
            </w:pPr>
          </w:p>
        </w:tc>
        <w:tc>
          <w:tcPr>
            <w:tcW w:w="3543" w:type="dxa"/>
            <w:gridSpan w:val="3"/>
            <w:tcBorders>
              <w:top w:val="nil"/>
              <w:left w:val="nil"/>
              <w:bottom w:val="nil"/>
              <w:right w:val="nil"/>
            </w:tcBorders>
            <w:shd w:val="clear" w:color="auto" w:fill="auto"/>
            <w:noWrap/>
            <w:vAlign w:val="bottom"/>
            <w:hideMark/>
          </w:tcPr>
          <w:p w14:paraId="36228B17" w14:textId="38FC6365"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Other non</w:t>
            </w:r>
            <w:r w:rsidR="00BC6B8B" w:rsidRPr="001715D3">
              <w:rPr>
                <w:rFonts w:ascii="Arial" w:hAnsi="Arial" w:cs="Arial"/>
                <w:sz w:val="16"/>
                <w:szCs w:val="16"/>
                <w:lang w:val="en-GB" w:eastAsia="en-SG"/>
              </w:rPr>
              <w:t>-</w:t>
            </w:r>
            <w:r w:rsidRPr="001715D3">
              <w:rPr>
                <w:rFonts w:ascii="Arial" w:hAnsi="Arial" w:cs="Arial"/>
                <w:sz w:val="16"/>
                <w:szCs w:val="16"/>
                <w:lang w:val="en-GB" w:eastAsia="en-SG"/>
              </w:rPr>
              <w:t xml:space="preserve">current liabilities </w:t>
            </w:r>
          </w:p>
        </w:tc>
        <w:tc>
          <w:tcPr>
            <w:tcW w:w="1418" w:type="dxa"/>
            <w:gridSpan w:val="2"/>
            <w:tcBorders>
              <w:top w:val="nil"/>
              <w:left w:val="nil"/>
              <w:bottom w:val="nil"/>
              <w:right w:val="nil"/>
            </w:tcBorders>
            <w:vAlign w:val="center"/>
          </w:tcPr>
          <w:p w14:paraId="53A02D23" w14:textId="5ACAA2F2"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18,503</w:t>
            </w:r>
          </w:p>
        </w:tc>
        <w:tc>
          <w:tcPr>
            <w:tcW w:w="992" w:type="dxa"/>
            <w:tcBorders>
              <w:top w:val="nil"/>
              <w:left w:val="nil"/>
              <w:bottom w:val="nil"/>
              <w:right w:val="nil"/>
            </w:tcBorders>
            <w:shd w:val="clear" w:color="auto" w:fill="auto"/>
            <w:noWrap/>
            <w:vAlign w:val="bottom"/>
            <w:hideMark/>
          </w:tcPr>
          <w:p w14:paraId="663EB5EA" w14:textId="46D4251A"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26,809</w:t>
            </w:r>
          </w:p>
        </w:tc>
        <w:tc>
          <w:tcPr>
            <w:tcW w:w="992" w:type="dxa"/>
            <w:gridSpan w:val="2"/>
            <w:tcBorders>
              <w:top w:val="nil"/>
              <w:left w:val="nil"/>
              <w:bottom w:val="nil"/>
              <w:right w:val="nil"/>
            </w:tcBorders>
            <w:shd w:val="clear" w:color="auto" w:fill="auto"/>
            <w:noWrap/>
            <w:vAlign w:val="bottom"/>
            <w:hideMark/>
          </w:tcPr>
          <w:p w14:paraId="0ED5B391"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69,289</w:t>
            </w:r>
          </w:p>
        </w:tc>
        <w:tc>
          <w:tcPr>
            <w:tcW w:w="993" w:type="dxa"/>
            <w:tcBorders>
              <w:top w:val="nil"/>
              <w:left w:val="nil"/>
              <w:bottom w:val="nil"/>
              <w:right w:val="nil"/>
            </w:tcBorders>
            <w:shd w:val="clear" w:color="auto" w:fill="auto"/>
            <w:noWrap/>
            <w:vAlign w:val="bottom"/>
            <w:hideMark/>
          </w:tcPr>
          <w:p w14:paraId="3756882F"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65,300</w:t>
            </w:r>
          </w:p>
        </w:tc>
        <w:tc>
          <w:tcPr>
            <w:tcW w:w="1006" w:type="dxa"/>
            <w:gridSpan w:val="2"/>
            <w:tcBorders>
              <w:top w:val="nil"/>
              <w:left w:val="nil"/>
              <w:bottom w:val="nil"/>
              <w:right w:val="nil"/>
            </w:tcBorders>
            <w:shd w:val="clear" w:color="auto" w:fill="auto"/>
            <w:noWrap/>
            <w:vAlign w:val="bottom"/>
            <w:hideMark/>
          </w:tcPr>
          <w:p w14:paraId="0DB349FF"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70,925</w:t>
            </w:r>
          </w:p>
        </w:tc>
      </w:tr>
      <w:tr w:rsidR="002C3A1A" w:rsidRPr="001715D3" w14:paraId="4E013A78" w14:textId="77777777" w:rsidTr="00A24F2F">
        <w:trPr>
          <w:trHeight w:val="170"/>
        </w:trPr>
        <w:tc>
          <w:tcPr>
            <w:tcW w:w="3861" w:type="dxa"/>
            <w:gridSpan w:val="4"/>
            <w:tcBorders>
              <w:top w:val="nil"/>
              <w:left w:val="nil"/>
              <w:bottom w:val="nil"/>
              <w:right w:val="nil"/>
            </w:tcBorders>
            <w:shd w:val="clear" w:color="auto" w:fill="auto"/>
            <w:noWrap/>
            <w:vAlign w:val="bottom"/>
            <w:hideMark/>
          </w:tcPr>
          <w:p w14:paraId="1F4090DE" w14:textId="457DFE65" w:rsidR="00ED6B72" w:rsidRPr="001715D3" w:rsidRDefault="00ED6B72" w:rsidP="001F0729">
            <w:pPr>
              <w:rPr>
                <w:rFonts w:ascii="Arial" w:hAnsi="Arial" w:cs="Arial"/>
                <w:sz w:val="16"/>
                <w:szCs w:val="16"/>
                <w:lang w:val="en-GB" w:eastAsia="en-SG"/>
              </w:rPr>
            </w:pPr>
            <w:r w:rsidRPr="001715D3">
              <w:rPr>
                <w:rFonts w:ascii="Arial" w:hAnsi="Arial" w:cs="Arial"/>
                <w:sz w:val="16"/>
                <w:szCs w:val="16"/>
                <w:lang w:val="en-GB" w:eastAsia="en-SG"/>
              </w:rPr>
              <w:t>Total non</w:t>
            </w:r>
            <w:r w:rsidR="00BC6B8B" w:rsidRPr="001715D3">
              <w:rPr>
                <w:rFonts w:ascii="Arial" w:hAnsi="Arial" w:cs="Arial"/>
                <w:sz w:val="16"/>
                <w:szCs w:val="16"/>
                <w:lang w:val="en-GB" w:eastAsia="en-SG"/>
              </w:rPr>
              <w:t>-</w:t>
            </w:r>
            <w:r w:rsidRPr="001715D3">
              <w:rPr>
                <w:rFonts w:ascii="Arial" w:hAnsi="Arial" w:cs="Arial"/>
                <w:sz w:val="16"/>
                <w:szCs w:val="16"/>
                <w:lang w:val="en-GB" w:eastAsia="en-SG"/>
              </w:rPr>
              <w:t>current liabilities</w:t>
            </w:r>
          </w:p>
        </w:tc>
        <w:tc>
          <w:tcPr>
            <w:tcW w:w="1418" w:type="dxa"/>
            <w:gridSpan w:val="2"/>
            <w:tcBorders>
              <w:top w:val="nil"/>
              <w:left w:val="nil"/>
              <w:bottom w:val="nil"/>
              <w:right w:val="nil"/>
            </w:tcBorders>
            <w:vAlign w:val="center"/>
          </w:tcPr>
          <w:p w14:paraId="1E29FBC9" w14:textId="06A95CCC" w:rsidR="00ED6B72" w:rsidRPr="001715D3" w:rsidRDefault="00ED6B72" w:rsidP="008C0337">
            <w:pPr>
              <w:jc w:val="right"/>
              <w:rPr>
                <w:rFonts w:ascii="Arial" w:hAnsi="Arial" w:cs="Arial"/>
                <w:sz w:val="16"/>
                <w:szCs w:val="16"/>
                <w:lang w:val="en-GB" w:eastAsia="en-SG"/>
              </w:rPr>
            </w:pPr>
            <w:r w:rsidRPr="001715D3">
              <w:rPr>
                <w:rFonts w:ascii="Arial" w:hAnsi="Arial" w:cs="Arial"/>
                <w:sz w:val="16"/>
                <w:szCs w:val="16"/>
                <w:lang w:val="en-GB" w:eastAsia="en-SG"/>
              </w:rPr>
              <w:t>2,712,717</w:t>
            </w:r>
          </w:p>
        </w:tc>
        <w:tc>
          <w:tcPr>
            <w:tcW w:w="992" w:type="dxa"/>
            <w:tcBorders>
              <w:top w:val="nil"/>
              <w:left w:val="nil"/>
              <w:bottom w:val="nil"/>
              <w:right w:val="nil"/>
            </w:tcBorders>
            <w:shd w:val="clear" w:color="auto" w:fill="auto"/>
            <w:noWrap/>
            <w:vAlign w:val="bottom"/>
            <w:hideMark/>
          </w:tcPr>
          <w:p w14:paraId="0B025444" w14:textId="42F077A0"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5,063,125</w:t>
            </w:r>
          </w:p>
        </w:tc>
        <w:tc>
          <w:tcPr>
            <w:tcW w:w="992" w:type="dxa"/>
            <w:gridSpan w:val="2"/>
            <w:tcBorders>
              <w:top w:val="nil"/>
              <w:left w:val="nil"/>
              <w:bottom w:val="nil"/>
              <w:right w:val="nil"/>
            </w:tcBorders>
            <w:shd w:val="clear" w:color="auto" w:fill="auto"/>
            <w:noWrap/>
            <w:vAlign w:val="bottom"/>
            <w:hideMark/>
          </w:tcPr>
          <w:p w14:paraId="73677058"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4,586,257</w:t>
            </w:r>
          </w:p>
        </w:tc>
        <w:tc>
          <w:tcPr>
            <w:tcW w:w="993" w:type="dxa"/>
            <w:tcBorders>
              <w:top w:val="nil"/>
              <w:left w:val="nil"/>
              <w:bottom w:val="nil"/>
              <w:right w:val="nil"/>
            </w:tcBorders>
            <w:shd w:val="clear" w:color="auto" w:fill="auto"/>
            <w:noWrap/>
            <w:vAlign w:val="bottom"/>
            <w:hideMark/>
          </w:tcPr>
          <w:p w14:paraId="624DD049"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3,793,741</w:t>
            </w:r>
          </w:p>
        </w:tc>
        <w:tc>
          <w:tcPr>
            <w:tcW w:w="1006" w:type="dxa"/>
            <w:gridSpan w:val="2"/>
            <w:tcBorders>
              <w:top w:val="nil"/>
              <w:left w:val="nil"/>
              <w:bottom w:val="nil"/>
              <w:right w:val="nil"/>
            </w:tcBorders>
            <w:shd w:val="clear" w:color="auto" w:fill="auto"/>
            <w:noWrap/>
            <w:vAlign w:val="bottom"/>
            <w:hideMark/>
          </w:tcPr>
          <w:p w14:paraId="5E3C6526" w14:textId="77777777" w:rsidR="00ED6B72" w:rsidRPr="001715D3" w:rsidRDefault="00ED6B72" w:rsidP="001F0729">
            <w:pPr>
              <w:jc w:val="right"/>
              <w:rPr>
                <w:rFonts w:ascii="Arial" w:hAnsi="Arial" w:cs="Arial"/>
                <w:sz w:val="16"/>
                <w:szCs w:val="16"/>
                <w:lang w:val="en-GB" w:eastAsia="en-SG"/>
              </w:rPr>
            </w:pPr>
            <w:r w:rsidRPr="001715D3">
              <w:rPr>
                <w:rFonts w:ascii="Arial" w:hAnsi="Arial" w:cs="Arial"/>
                <w:sz w:val="16"/>
                <w:szCs w:val="16"/>
                <w:lang w:val="en-GB" w:eastAsia="en-SG"/>
              </w:rPr>
              <w:t>2,183,949</w:t>
            </w:r>
          </w:p>
        </w:tc>
      </w:tr>
      <w:tr w:rsidR="002C3A1A" w:rsidRPr="001715D3" w14:paraId="45DDA9EC" w14:textId="77777777" w:rsidTr="00A24F2F">
        <w:trPr>
          <w:trHeight w:val="170"/>
        </w:trPr>
        <w:tc>
          <w:tcPr>
            <w:tcW w:w="3861" w:type="dxa"/>
            <w:gridSpan w:val="4"/>
            <w:tcBorders>
              <w:top w:val="nil"/>
              <w:left w:val="nil"/>
              <w:bottom w:val="nil"/>
              <w:right w:val="nil"/>
            </w:tcBorders>
            <w:shd w:val="clear" w:color="auto" w:fill="auto"/>
            <w:noWrap/>
            <w:vAlign w:val="bottom"/>
            <w:hideMark/>
          </w:tcPr>
          <w:p w14:paraId="202CFB5E" w14:textId="77777777" w:rsidR="00ED6B72" w:rsidRPr="001715D3" w:rsidRDefault="00ED6B72" w:rsidP="001F0729">
            <w:pPr>
              <w:rPr>
                <w:rFonts w:ascii="Arial" w:hAnsi="Arial" w:cs="Arial"/>
                <w:b/>
                <w:sz w:val="16"/>
                <w:szCs w:val="16"/>
                <w:lang w:val="en-GB" w:eastAsia="en-SG"/>
              </w:rPr>
            </w:pPr>
            <w:r w:rsidRPr="001715D3">
              <w:rPr>
                <w:rFonts w:ascii="Arial" w:hAnsi="Arial" w:cs="Arial"/>
                <w:b/>
                <w:sz w:val="16"/>
                <w:szCs w:val="16"/>
                <w:lang w:val="en-GB" w:eastAsia="en-SG"/>
              </w:rPr>
              <w:t>TOTAL LIABILITIES</w:t>
            </w:r>
          </w:p>
        </w:tc>
        <w:tc>
          <w:tcPr>
            <w:tcW w:w="1418" w:type="dxa"/>
            <w:gridSpan w:val="2"/>
            <w:tcBorders>
              <w:top w:val="nil"/>
              <w:left w:val="nil"/>
              <w:bottom w:val="nil"/>
              <w:right w:val="nil"/>
            </w:tcBorders>
            <w:vAlign w:val="center"/>
          </w:tcPr>
          <w:p w14:paraId="48C5C3CC" w14:textId="4FD32415" w:rsidR="00ED6B72" w:rsidRPr="001715D3" w:rsidRDefault="00ED6B72" w:rsidP="008C0337">
            <w:pPr>
              <w:jc w:val="right"/>
              <w:rPr>
                <w:rFonts w:ascii="Arial" w:hAnsi="Arial" w:cs="Arial"/>
                <w:b/>
                <w:sz w:val="16"/>
                <w:szCs w:val="16"/>
                <w:lang w:val="en-GB" w:eastAsia="en-SG"/>
              </w:rPr>
            </w:pPr>
            <w:r w:rsidRPr="001715D3">
              <w:rPr>
                <w:rFonts w:ascii="Arial" w:hAnsi="Arial" w:cs="Arial"/>
                <w:b/>
                <w:sz w:val="16"/>
                <w:szCs w:val="16"/>
                <w:lang w:val="en-GB" w:eastAsia="en-SG"/>
              </w:rPr>
              <w:t>4,416,180</w:t>
            </w:r>
          </w:p>
        </w:tc>
        <w:tc>
          <w:tcPr>
            <w:tcW w:w="992" w:type="dxa"/>
            <w:tcBorders>
              <w:top w:val="nil"/>
              <w:left w:val="nil"/>
              <w:bottom w:val="nil"/>
              <w:right w:val="nil"/>
            </w:tcBorders>
            <w:shd w:val="clear" w:color="auto" w:fill="auto"/>
            <w:noWrap/>
            <w:vAlign w:val="bottom"/>
            <w:hideMark/>
          </w:tcPr>
          <w:p w14:paraId="78B3FC98" w14:textId="4BAD0C82" w:rsidR="00ED6B72" w:rsidRPr="001715D3" w:rsidRDefault="00ED6B72" w:rsidP="001F0729">
            <w:pPr>
              <w:jc w:val="right"/>
              <w:rPr>
                <w:rFonts w:ascii="Arial" w:hAnsi="Arial" w:cs="Arial"/>
                <w:b/>
                <w:sz w:val="16"/>
                <w:szCs w:val="16"/>
                <w:lang w:val="en-GB" w:eastAsia="en-SG"/>
              </w:rPr>
            </w:pPr>
            <w:r w:rsidRPr="001715D3">
              <w:rPr>
                <w:rFonts w:ascii="Arial" w:hAnsi="Arial" w:cs="Arial"/>
                <w:b/>
                <w:sz w:val="16"/>
                <w:szCs w:val="16"/>
                <w:lang w:val="en-GB" w:eastAsia="en-SG"/>
              </w:rPr>
              <w:t>7,291,747</w:t>
            </w:r>
          </w:p>
        </w:tc>
        <w:tc>
          <w:tcPr>
            <w:tcW w:w="992" w:type="dxa"/>
            <w:gridSpan w:val="2"/>
            <w:tcBorders>
              <w:top w:val="nil"/>
              <w:left w:val="nil"/>
              <w:bottom w:val="nil"/>
              <w:right w:val="nil"/>
            </w:tcBorders>
            <w:shd w:val="clear" w:color="auto" w:fill="auto"/>
            <w:noWrap/>
            <w:vAlign w:val="bottom"/>
            <w:hideMark/>
          </w:tcPr>
          <w:p w14:paraId="2BEE3CF2" w14:textId="77777777" w:rsidR="00ED6B72" w:rsidRPr="001715D3" w:rsidRDefault="00ED6B72" w:rsidP="001F0729">
            <w:pPr>
              <w:jc w:val="right"/>
              <w:rPr>
                <w:rFonts w:ascii="Arial" w:hAnsi="Arial" w:cs="Arial"/>
                <w:b/>
                <w:sz w:val="16"/>
                <w:szCs w:val="16"/>
                <w:lang w:val="en-GB" w:eastAsia="en-SG"/>
              </w:rPr>
            </w:pPr>
            <w:r w:rsidRPr="001715D3">
              <w:rPr>
                <w:rFonts w:ascii="Arial" w:hAnsi="Arial" w:cs="Arial"/>
                <w:b/>
                <w:sz w:val="16"/>
                <w:szCs w:val="16"/>
                <w:lang w:val="en-GB" w:eastAsia="en-SG"/>
              </w:rPr>
              <w:t>6,898,224</w:t>
            </w:r>
          </w:p>
        </w:tc>
        <w:tc>
          <w:tcPr>
            <w:tcW w:w="993" w:type="dxa"/>
            <w:tcBorders>
              <w:top w:val="nil"/>
              <w:left w:val="nil"/>
              <w:bottom w:val="nil"/>
              <w:right w:val="nil"/>
            </w:tcBorders>
            <w:shd w:val="clear" w:color="auto" w:fill="auto"/>
            <w:noWrap/>
            <w:vAlign w:val="bottom"/>
            <w:hideMark/>
          </w:tcPr>
          <w:p w14:paraId="6DA4CEC7" w14:textId="77777777" w:rsidR="00ED6B72" w:rsidRPr="001715D3" w:rsidRDefault="00ED6B72" w:rsidP="001F0729">
            <w:pPr>
              <w:jc w:val="right"/>
              <w:rPr>
                <w:rFonts w:ascii="Arial" w:hAnsi="Arial" w:cs="Arial"/>
                <w:b/>
                <w:sz w:val="16"/>
                <w:szCs w:val="16"/>
                <w:lang w:val="en-GB" w:eastAsia="en-SG"/>
              </w:rPr>
            </w:pPr>
            <w:r w:rsidRPr="001715D3">
              <w:rPr>
                <w:rFonts w:ascii="Arial" w:hAnsi="Arial" w:cs="Arial"/>
                <w:b/>
                <w:sz w:val="16"/>
                <w:szCs w:val="16"/>
                <w:lang w:val="en-GB" w:eastAsia="en-SG"/>
              </w:rPr>
              <w:t>5,951,334</w:t>
            </w:r>
          </w:p>
        </w:tc>
        <w:tc>
          <w:tcPr>
            <w:tcW w:w="1006" w:type="dxa"/>
            <w:gridSpan w:val="2"/>
            <w:tcBorders>
              <w:top w:val="nil"/>
              <w:left w:val="nil"/>
              <w:bottom w:val="nil"/>
              <w:right w:val="nil"/>
            </w:tcBorders>
            <w:shd w:val="clear" w:color="auto" w:fill="auto"/>
            <w:noWrap/>
            <w:vAlign w:val="bottom"/>
            <w:hideMark/>
          </w:tcPr>
          <w:p w14:paraId="669D9157" w14:textId="77777777" w:rsidR="00ED6B72" w:rsidRPr="001715D3" w:rsidRDefault="00ED6B72" w:rsidP="001F0729">
            <w:pPr>
              <w:jc w:val="right"/>
              <w:rPr>
                <w:rFonts w:ascii="Arial" w:hAnsi="Arial" w:cs="Arial"/>
                <w:b/>
                <w:sz w:val="16"/>
                <w:szCs w:val="16"/>
                <w:lang w:val="en-GB" w:eastAsia="en-SG"/>
              </w:rPr>
            </w:pPr>
            <w:r w:rsidRPr="001715D3">
              <w:rPr>
                <w:rFonts w:ascii="Arial" w:hAnsi="Arial" w:cs="Arial"/>
                <w:b/>
                <w:sz w:val="16"/>
                <w:szCs w:val="16"/>
                <w:lang w:val="en-GB" w:eastAsia="en-SG"/>
              </w:rPr>
              <w:t>4,309,664</w:t>
            </w:r>
          </w:p>
        </w:tc>
      </w:tr>
      <w:tr w:rsidR="002C3A1A" w:rsidRPr="001715D3" w14:paraId="54D68CE6" w14:textId="77777777" w:rsidTr="00A24F2F">
        <w:trPr>
          <w:trHeight w:val="170"/>
        </w:trPr>
        <w:tc>
          <w:tcPr>
            <w:tcW w:w="1393" w:type="dxa"/>
            <w:gridSpan w:val="2"/>
            <w:tcBorders>
              <w:top w:val="nil"/>
              <w:left w:val="nil"/>
              <w:bottom w:val="nil"/>
              <w:right w:val="nil"/>
            </w:tcBorders>
            <w:shd w:val="clear" w:color="auto" w:fill="auto"/>
            <w:noWrap/>
            <w:vAlign w:val="bottom"/>
            <w:hideMark/>
          </w:tcPr>
          <w:p w14:paraId="31E02E5B" w14:textId="77777777" w:rsidR="00ED6B72" w:rsidRPr="001715D3" w:rsidRDefault="00ED6B72" w:rsidP="000742EB">
            <w:pPr>
              <w:rPr>
                <w:rFonts w:ascii="Arial" w:hAnsi="Arial" w:cs="Arial"/>
                <w:b/>
                <w:sz w:val="16"/>
                <w:szCs w:val="16"/>
                <w:lang w:val="en-GB" w:eastAsia="en-SG"/>
              </w:rPr>
            </w:pPr>
            <w:r w:rsidRPr="001715D3">
              <w:rPr>
                <w:rFonts w:ascii="Arial" w:hAnsi="Arial" w:cs="Arial"/>
                <w:b/>
                <w:sz w:val="16"/>
                <w:szCs w:val="16"/>
                <w:lang w:val="en-GB" w:eastAsia="en-SG"/>
              </w:rPr>
              <w:t>EQUITY</w:t>
            </w:r>
          </w:p>
        </w:tc>
        <w:tc>
          <w:tcPr>
            <w:tcW w:w="2468" w:type="dxa"/>
            <w:gridSpan w:val="2"/>
            <w:tcBorders>
              <w:top w:val="nil"/>
              <w:left w:val="nil"/>
              <w:bottom w:val="nil"/>
              <w:right w:val="nil"/>
            </w:tcBorders>
            <w:shd w:val="clear" w:color="auto" w:fill="auto"/>
            <w:noWrap/>
            <w:vAlign w:val="bottom"/>
            <w:hideMark/>
          </w:tcPr>
          <w:p w14:paraId="005F2EEE" w14:textId="77777777" w:rsidR="00ED6B72" w:rsidRPr="001715D3" w:rsidRDefault="00ED6B72" w:rsidP="000742EB">
            <w:pPr>
              <w:rPr>
                <w:rFonts w:ascii="Arial" w:hAnsi="Arial" w:cs="Arial"/>
                <w:sz w:val="16"/>
                <w:szCs w:val="16"/>
                <w:lang w:val="en-GB" w:eastAsia="en-SG"/>
              </w:rPr>
            </w:pPr>
          </w:p>
        </w:tc>
        <w:tc>
          <w:tcPr>
            <w:tcW w:w="1418" w:type="dxa"/>
            <w:gridSpan w:val="2"/>
            <w:tcBorders>
              <w:top w:val="nil"/>
              <w:left w:val="nil"/>
              <w:bottom w:val="nil"/>
              <w:right w:val="nil"/>
            </w:tcBorders>
            <w:vAlign w:val="center"/>
          </w:tcPr>
          <w:p w14:paraId="4FAA06D3" w14:textId="77777777" w:rsidR="00ED6B72" w:rsidRPr="001715D3" w:rsidRDefault="00ED6B72" w:rsidP="008C0337">
            <w:pPr>
              <w:jc w:val="right"/>
              <w:rPr>
                <w:rFonts w:ascii="Arial" w:hAnsi="Arial" w:cs="Arial"/>
                <w:sz w:val="16"/>
                <w:szCs w:val="16"/>
                <w:lang w:val="en-GB" w:eastAsia="en-SG"/>
              </w:rPr>
            </w:pPr>
          </w:p>
        </w:tc>
        <w:tc>
          <w:tcPr>
            <w:tcW w:w="992" w:type="dxa"/>
            <w:tcBorders>
              <w:top w:val="nil"/>
              <w:left w:val="nil"/>
              <w:bottom w:val="nil"/>
              <w:right w:val="nil"/>
            </w:tcBorders>
            <w:shd w:val="clear" w:color="auto" w:fill="auto"/>
            <w:noWrap/>
            <w:vAlign w:val="bottom"/>
            <w:hideMark/>
          </w:tcPr>
          <w:p w14:paraId="5E981A14" w14:textId="29E84BA0" w:rsidR="00ED6B72" w:rsidRPr="001715D3" w:rsidRDefault="00ED6B72" w:rsidP="000742EB">
            <w:pPr>
              <w:rPr>
                <w:rFonts w:ascii="Arial" w:hAnsi="Arial" w:cs="Arial"/>
                <w:sz w:val="16"/>
                <w:szCs w:val="16"/>
                <w:lang w:val="en-GB" w:eastAsia="en-SG"/>
              </w:rPr>
            </w:pPr>
          </w:p>
        </w:tc>
        <w:tc>
          <w:tcPr>
            <w:tcW w:w="992" w:type="dxa"/>
            <w:gridSpan w:val="2"/>
            <w:tcBorders>
              <w:top w:val="nil"/>
              <w:left w:val="nil"/>
              <w:bottom w:val="nil"/>
              <w:right w:val="nil"/>
            </w:tcBorders>
            <w:shd w:val="clear" w:color="auto" w:fill="auto"/>
            <w:noWrap/>
            <w:vAlign w:val="bottom"/>
            <w:hideMark/>
          </w:tcPr>
          <w:p w14:paraId="0C2D6542" w14:textId="77777777" w:rsidR="00ED6B72" w:rsidRPr="001715D3" w:rsidRDefault="00ED6B72" w:rsidP="000742EB">
            <w:pPr>
              <w:rPr>
                <w:rFonts w:ascii="Arial" w:hAnsi="Arial" w:cs="Arial"/>
                <w:sz w:val="16"/>
                <w:szCs w:val="16"/>
                <w:lang w:val="en-GB" w:eastAsia="en-SG"/>
              </w:rPr>
            </w:pPr>
          </w:p>
        </w:tc>
        <w:tc>
          <w:tcPr>
            <w:tcW w:w="993" w:type="dxa"/>
            <w:tcBorders>
              <w:top w:val="nil"/>
              <w:left w:val="nil"/>
              <w:bottom w:val="nil"/>
              <w:right w:val="nil"/>
            </w:tcBorders>
            <w:shd w:val="clear" w:color="auto" w:fill="auto"/>
            <w:noWrap/>
            <w:vAlign w:val="bottom"/>
            <w:hideMark/>
          </w:tcPr>
          <w:p w14:paraId="44925DBB" w14:textId="77777777" w:rsidR="00ED6B72" w:rsidRPr="001715D3" w:rsidRDefault="00ED6B72" w:rsidP="000742EB">
            <w:pPr>
              <w:rPr>
                <w:rFonts w:ascii="Arial" w:hAnsi="Arial" w:cs="Arial"/>
                <w:sz w:val="16"/>
                <w:szCs w:val="16"/>
                <w:lang w:val="en-GB" w:eastAsia="en-SG"/>
              </w:rPr>
            </w:pPr>
          </w:p>
        </w:tc>
        <w:tc>
          <w:tcPr>
            <w:tcW w:w="1006" w:type="dxa"/>
            <w:gridSpan w:val="2"/>
            <w:tcBorders>
              <w:top w:val="nil"/>
              <w:left w:val="nil"/>
              <w:bottom w:val="nil"/>
              <w:right w:val="nil"/>
            </w:tcBorders>
            <w:shd w:val="clear" w:color="auto" w:fill="auto"/>
            <w:noWrap/>
            <w:vAlign w:val="bottom"/>
            <w:hideMark/>
          </w:tcPr>
          <w:p w14:paraId="3E22B716" w14:textId="77777777" w:rsidR="00ED6B72" w:rsidRPr="001715D3" w:rsidRDefault="00ED6B72" w:rsidP="000742EB">
            <w:pPr>
              <w:rPr>
                <w:rFonts w:ascii="Arial" w:hAnsi="Arial" w:cs="Arial"/>
                <w:sz w:val="16"/>
                <w:szCs w:val="16"/>
                <w:lang w:val="en-GB" w:eastAsia="en-SG"/>
              </w:rPr>
            </w:pPr>
          </w:p>
        </w:tc>
      </w:tr>
      <w:tr w:rsidR="00A24F2F" w:rsidRPr="001715D3" w14:paraId="1AFC0CBE" w14:textId="77777777" w:rsidTr="00744B98">
        <w:trPr>
          <w:trHeight w:val="170"/>
        </w:trPr>
        <w:tc>
          <w:tcPr>
            <w:tcW w:w="3861" w:type="dxa"/>
            <w:gridSpan w:val="4"/>
            <w:vMerge w:val="restart"/>
            <w:tcBorders>
              <w:top w:val="nil"/>
              <w:left w:val="nil"/>
              <w:right w:val="nil"/>
            </w:tcBorders>
            <w:shd w:val="clear" w:color="auto" w:fill="auto"/>
            <w:noWrap/>
            <w:vAlign w:val="bottom"/>
            <w:hideMark/>
          </w:tcPr>
          <w:p w14:paraId="14BE8594" w14:textId="77777777" w:rsidR="00A24F2F" w:rsidRPr="001715D3" w:rsidRDefault="00A24F2F" w:rsidP="000742EB">
            <w:pPr>
              <w:rPr>
                <w:rFonts w:ascii="Arial" w:hAnsi="Arial" w:cs="Arial"/>
                <w:sz w:val="16"/>
                <w:szCs w:val="16"/>
                <w:lang w:val="en-GB" w:eastAsia="en-SG"/>
              </w:rPr>
            </w:pPr>
            <w:r w:rsidRPr="001715D3">
              <w:rPr>
                <w:rFonts w:ascii="Arial" w:hAnsi="Arial" w:cs="Arial"/>
                <w:sz w:val="16"/>
                <w:szCs w:val="16"/>
                <w:lang w:val="en-GB" w:eastAsia="en-SG"/>
              </w:rPr>
              <w:t>Share capital</w:t>
            </w:r>
          </w:p>
          <w:p w14:paraId="6C172C3F" w14:textId="77777777" w:rsidR="00A24F2F" w:rsidRPr="001715D3" w:rsidRDefault="00A24F2F" w:rsidP="000742EB">
            <w:pPr>
              <w:rPr>
                <w:rFonts w:ascii="Arial" w:hAnsi="Arial" w:cs="Arial"/>
                <w:sz w:val="16"/>
                <w:szCs w:val="16"/>
                <w:lang w:val="en-GB" w:eastAsia="en-SG"/>
              </w:rPr>
            </w:pPr>
            <w:r w:rsidRPr="001715D3">
              <w:rPr>
                <w:rFonts w:ascii="Arial" w:hAnsi="Arial" w:cs="Arial"/>
                <w:sz w:val="16"/>
                <w:szCs w:val="16"/>
                <w:lang w:val="en-GB" w:eastAsia="en-SG"/>
              </w:rPr>
              <w:t>Treasury shares</w:t>
            </w:r>
          </w:p>
          <w:p w14:paraId="79D70E31" w14:textId="5009508A" w:rsidR="00A24F2F" w:rsidRPr="001715D3" w:rsidRDefault="00A24F2F" w:rsidP="000742EB">
            <w:pPr>
              <w:rPr>
                <w:rFonts w:ascii="Arial" w:hAnsi="Arial" w:cs="Arial"/>
                <w:sz w:val="16"/>
                <w:szCs w:val="16"/>
                <w:lang w:val="en-GB" w:eastAsia="en-SG"/>
              </w:rPr>
            </w:pPr>
            <w:r w:rsidRPr="001715D3">
              <w:rPr>
                <w:rFonts w:ascii="Arial" w:hAnsi="Arial" w:cs="Arial"/>
                <w:sz w:val="16"/>
                <w:szCs w:val="16"/>
                <w:lang w:val="en-GB"/>
              </w:rPr>
              <w:t>Other reserves</w:t>
            </w:r>
          </w:p>
        </w:tc>
        <w:tc>
          <w:tcPr>
            <w:tcW w:w="1418" w:type="dxa"/>
            <w:gridSpan w:val="2"/>
            <w:tcBorders>
              <w:top w:val="nil"/>
              <w:left w:val="nil"/>
              <w:bottom w:val="nil"/>
              <w:right w:val="nil"/>
            </w:tcBorders>
            <w:vAlign w:val="center"/>
          </w:tcPr>
          <w:p w14:paraId="2317C986" w14:textId="3CE3F495" w:rsidR="00A24F2F" w:rsidRPr="001715D3" w:rsidRDefault="00A24F2F" w:rsidP="008C0337">
            <w:pPr>
              <w:jc w:val="right"/>
              <w:rPr>
                <w:rFonts w:ascii="Arial" w:hAnsi="Arial" w:cs="Arial"/>
                <w:sz w:val="16"/>
                <w:szCs w:val="16"/>
                <w:lang w:val="en-GB" w:eastAsia="en-SG"/>
              </w:rPr>
            </w:pPr>
            <w:r w:rsidRPr="001715D3">
              <w:rPr>
                <w:rFonts w:ascii="Arial" w:hAnsi="Arial" w:cs="Arial"/>
                <w:sz w:val="16"/>
                <w:szCs w:val="16"/>
                <w:lang w:val="en-GB" w:eastAsia="en-SG"/>
              </w:rPr>
              <w:t>1,840,260</w:t>
            </w:r>
          </w:p>
        </w:tc>
        <w:tc>
          <w:tcPr>
            <w:tcW w:w="992" w:type="dxa"/>
            <w:tcBorders>
              <w:top w:val="nil"/>
              <w:left w:val="nil"/>
              <w:bottom w:val="nil"/>
              <w:right w:val="nil"/>
            </w:tcBorders>
            <w:shd w:val="clear" w:color="auto" w:fill="auto"/>
            <w:noWrap/>
            <w:vAlign w:val="bottom"/>
            <w:hideMark/>
          </w:tcPr>
          <w:p w14:paraId="4A4871D3" w14:textId="48D4B45A"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1,834,341</w:t>
            </w:r>
          </w:p>
        </w:tc>
        <w:tc>
          <w:tcPr>
            <w:tcW w:w="992" w:type="dxa"/>
            <w:gridSpan w:val="2"/>
            <w:tcBorders>
              <w:top w:val="nil"/>
              <w:left w:val="nil"/>
              <w:bottom w:val="nil"/>
              <w:right w:val="nil"/>
            </w:tcBorders>
            <w:shd w:val="clear" w:color="auto" w:fill="auto"/>
            <w:noWrap/>
            <w:vAlign w:val="bottom"/>
            <w:hideMark/>
          </w:tcPr>
          <w:p w14:paraId="58438797" w14:textId="77777777"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1,830,222</w:t>
            </w:r>
          </w:p>
        </w:tc>
        <w:tc>
          <w:tcPr>
            <w:tcW w:w="993" w:type="dxa"/>
            <w:tcBorders>
              <w:top w:val="nil"/>
              <w:left w:val="nil"/>
              <w:bottom w:val="nil"/>
              <w:right w:val="nil"/>
            </w:tcBorders>
            <w:shd w:val="clear" w:color="auto" w:fill="auto"/>
            <w:noWrap/>
            <w:vAlign w:val="bottom"/>
            <w:hideMark/>
          </w:tcPr>
          <w:p w14:paraId="31B580D3" w14:textId="77777777"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1,826,723</w:t>
            </w:r>
          </w:p>
        </w:tc>
        <w:tc>
          <w:tcPr>
            <w:tcW w:w="1006" w:type="dxa"/>
            <w:gridSpan w:val="2"/>
            <w:tcBorders>
              <w:top w:val="nil"/>
              <w:left w:val="nil"/>
              <w:bottom w:val="nil"/>
              <w:right w:val="nil"/>
            </w:tcBorders>
            <w:shd w:val="clear" w:color="auto" w:fill="auto"/>
            <w:noWrap/>
            <w:vAlign w:val="bottom"/>
            <w:hideMark/>
          </w:tcPr>
          <w:p w14:paraId="1B1BF7BF" w14:textId="77777777"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1,822,117</w:t>
            </w:r>
          </w:p>
        </w:tc>
      </w:tr>
      <w:tr w:rsidR="00A24F2F" w:rsidRPr="001715D3" w14:paraId="467961B0" w14:textId="77777777" w:rsidTr="00744B98">
        <w:trPr>
          <w:trHeight w:val="170"/>
        </w:trPr>
        <w:tc>
          <w:tcPr>
            <w:tcW w:w="3861" w:type="dxa"/>
            <w:gridSpan w:val="4"/>
            <w:vMerge/>
            <w:tcBorders>
              <w:left w:val="nil"/>
              <w:right w:val="nil"/>
            </w:tcBorders>
            <w:shd w:val="clear" w:color="auto" w:fill="auto"/>
            <w:noWrap/>
            <w:vAlign w:val="bottom"/>
            <w:hideMark/>
          </w:tcPr>
          <w:p w14:paraId="4EBA6408" w14:textId="71F31020" w:rsidR="00A24F2F" w:rsidRPr="001715D3" w:rsidRDefault="00A24F2F" w:rsidP="000742EB">
            <w:pPr>
              <w:rPr>
                <w:rFonts w:ascii="Arial" w:hAnsi="Arial" w:cs="Arial"/>
                <w:sz w:val="16"/>
                <w:szCs w:val="16"/>
                <w:lang w:val="en-GB" w:eastAsia="en-SG"/>
              </w:rPr>
            </w:pPr>
          </w:p>
        </w:tc>
        <w:tc>
          <w:tcPr>
            <w:tcW w:w="1418" w:type="dxa"/>
            <w:gridSpan w:val="2"/>
            <w:tcBorders>
              <w:top w:val="nil"/>
              <w:left w:val="nil"/>
              <w:bottom w:val="nil"/>
              <w:right w:val="nil"/>
            </w:tcBorders>
            <w:vAlign w:val="center"/>
          </w:tcPr>
          <w:p w14:paraId="6866E192" w14:textId="67526F27" w:rsidR="00A24F2F" w:rsidRPr="001715D3" w:rsidRDefault="00A24F2F" w:rsidP="008C0337">
            <w:pPr>
              <w:jc w:val="right"/>
              <w:rPr>
                <w:rFonts w:ascii="Arial" w:hAnsi="Arial" w:cs="Arial"/>
                <w:sz w:val="16"/>
                <w:szCs w:val="16"/>
                <w:lang w:val="en-GB" w:eastAsia="en-SG"/>
              </w:rPr>
            </w:pPr>
            <w:r w:rsidRPr="001715D3">
              <w:rPr>
                <w:rFonts w:ascii="Arial" w:hAnsi="Arial" w:cs="Arial"/>
                <w:sz w:val="16"/>
                <w:szCs w:val="16"/>
                <w:lang w:val="en-GB" w:eastAsia="en-SG"/>
              </w:rPr>
              <w:t>−5,216</w:t>
            </w:r>
          </w:p>
        </w:tc>
        <w:tc>
          <w:tcPr>
            <w:tcW w:w="992" w:type="dxa"/>
            <w:tcBorders>
              <w:top w:val="nil"/>
              <w:left w:val="nil"/>
              <w:bottom w:val="nil"/>
              <w:right w:val="nil"/>
            </w:tcBorders>
            <w:shd w:val="clear" w:color="auto" w:fill="auto"/>
            <w:noWrap/>
            <w:vAlign w:val="bottom"/>
            <w:hideMark/>
          </w:tcPr>
          <w:p w14:paraId="5F9C75E0" w14:textId="607F066E"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−5,216</w:t>
            </w:r>
          </w:p>
        </w:tc>
        <w:tc>
          <w:tcPr>
            <w:tcW w:w="992" w:type="dxa"/>
            <w:gridSpan w:val="2"/>
            <w:tcBorders>
              <w:top w:val="nil"/>
              <w:left w:val="nil"/>
              <w:bottom w:val="nil"/>
              <w:right w:val="nil"/>
            </w:tcBorders>
            <w:shd w:val="clear" w:color="auto" w:fill="auto"/>
            <w:noWrap/>
            <w:vAlign w:val="bottom"/>
            <w:hideMark/>
          </w:tcPr>
          <w:p w14:paraId="1062EC98" w14:textId="04268CF2"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−5,216</w:t>
            </w:r>
          </w:p>
        </w:tc>
        <w:tc>
          <w:tcPr>
            <w:tcW w:w="993" w:type="dxa"/>
            <w:tcBorders>
              <w:top w:val="nil"/>
              <w:left w:val="nil"/>
              <w:bottom w:val="nil"/>
              <w:right w:val="nil"/>
            </w:tcBorders>
            <w:shd w:val="clear" w:color="auto" w:fill="auto"/>
            <w:noWrap/>
            <w:vAlign w:val="bottom"/>
            <w:hideMark/>
          </w:tcPr>
          <w:p w14:paraId="3E1B2B02" w14:textId="55F9D15E"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−5,216</w:t>
            </w:r>
          </w:p>
        </w:tc>
        <w:tc>
          <w:tcPr>
            <w:tcW w:w="1006" w:type="dxa"/>
            <w:gridSpan w:val="2"/>
            <w:tcBorders>
              <w:top w:val="nil"/>
              <w:left w:val="nil"/>
              <w:bottom w:val="nil"/>
              <w:right w:val="nil"/>
            </w:tcBorders>
            <w:shd w:val="clear" w:color="auto" w:fill="auto"/>
            <w:noWrap/>
            <w:vAlign w:val="bottom"/>
            <w:hideMark/>
          </w:tcPr>
          <w:p w14:paraId="334DB083" w14:textId="6BE1D87D" w:rsidR="00A24F2F" w:rsidRPr="001715D3" w:rsidRDefault="00A24F2F" w:rsidP="000742EB">
            <w:pPr>
              <w:jc w:val="right"/>
              <w:rPr>
                <w:rFonts w:ascii="Arial" w:hAnsi="Arial" w:cs="Arial"/>
                <w:sz w:val="16"/>
                <w:szCs w:val="16"/>
                <w:lang w:val="en-GB" w:eastAsia="en-SG"/>
              </w:rPr>
            </w:pPr>
            <w:r w:rsidRPr="001715D3">
              <w:rPr>
                <w:rFonts w:ascii="Arial" w:hAnsi="Arial" w:cs="Arial"/>
                <w:sz w:val="16"/>
                <w:szCs w:val="16"/>
                <w:lang w:val="en-GB" w:eastAsia="en-SG"/>
              </w:rPr>
              <w:t>−5,216</w:t>
            </w:r>
          </w:p>
        </w:tc>
      </w:tr>
      <w:tr w:rsidR="00A24F2F" w:rsidRPr="001715D3" w14:paraId="51171F80" w14:textId="77777777" w:rsidTr="00744B98">
        <w:trPr>
          <w:trHeight w:val="170"/>
        </w:trPr>
        <w:tc>
          <w:tcPr>
            <w:tcW w:w="3861" w:type="dxa"/>
            <w:gridSpan w:val="4"/>
            <w:vMerge/>
            <w:tcBorders>
              <w:left w:val="nil"/>
              <w:bottom w:val="nil"/>
              <w:right w:val="nil"/>
            </w:tcBorders>
            <w:shd w:val="clear" w:color="auto" w:fill="auto"/>
            <w:noWrap/>
            <w:vAlign w:val="bottom"/>
            <w:hideMark/>
          </w:tcPr>
          <w:p w14:paraId="1CCA5675" w14:textId="2B092453" w:rsidR="00A24F2F" w:rsidRPr="001715D3" w:rsidRDefault="00A24F2F" w:rsidP="000742EB">
            <w:pPr>
              <w:rPr>
                <w:rFonts w:ascii="Arial" w:hAnsi="Arial" w:cs="Arial"/>
                <w:b/>
                <w:bCs/>
                <w:sz w:val="16"/>
                <w:szCs w:val="16"/>
                <w:lang w:val="en-GB" w:eastAsia="en-SG"/>
              </w:rPr>
            </w:pPr>
          </w:p>
        </w:tc>
        <w:tc>
          <w:tcPr>
            <w:tcW w:w="1418" w:type="dxa"/>
            <w:gridSpan w:val="2"/>
            <w:tcBorders>
              <w:top w:val="nil"/>
              <w:left w:val="nil"/>
              <w:bottom w:val="nil"/>
              <w:right w:val="nil"/>
            </w:tcBorders>
            <w:vAlign w:val="center"/>
          </w:tcPr>
          <w:p w14:paraId="6E08F958" w14:textId="52ADBA67" w:rsidR="00A24F2F" w:rsidRPr="001715D3" w:rsidRDefault="00A24F2F" w:rsidP="008C0337">
            <w:pPr>
              <w:jc w:val="right"/>
              <w:rPr>
                <w:rFonts w:ascii="Arial" w:hAnsi="Arial" w:cs="Arial"/>
                <w:sz w:val="16"/>
                <w:szCs w:val="16"/>
                <w:lang w:val="en-GB"/>
              </w:rPr>
            </w:pPr>
            <w:r w:rsidRPr="001715D3">
              <w:rPr>
                <w:rFonts w:ascii="Arial" w:hAnsi="Arial" w:cs="Arial"/>
                <w:sz w:val="16"/>
                <w:szCs w:val="16"/>
                <w:lang w:val="en-GB"/>
              </w:rPr>
              <w:t>639,298</w:t>
            </w:r>
          </w:p>
        </w:tc>
        <w:tc>
          <w:tcPr>
            <w:tcW w:w="992" w:type="dxa"/>
            <w:tcBorders>
              <w:top w:val="nil"/>
              <w:left w:val="nil"/>
              <w:bottom w:val="nil"/>
              <w:right w:val="nil"/>
            </w:tcBorders>
            <w:shd w:val="clear" w:color="auto" w:fill="auto"/>
            <w:noWrap/>
            <w:vAlign w:val="bottom"/>
            <w:hideMark/>
          </w:tcPr>
          <w:p w14:paraId="19638A64" w14:textId="523B2F57" w:rsidR="00A24F2F" w:rsidRPr="001715D3" w:rsidRDefault="00A24F2F" w:rsidP="000742EB">
            <w:pPr>
              <w:jc w:val="right"/>
              <w:rPr>
                <w:rFonts w:ascii="Arial" w:hAnsi="Arial" w:cs="Arial"/>
                <w:b/>
                <w:bCs/>
                <w:sz w:val="16"/>
                <w:szCs w:val="16"/>
                <w:lang w:val="en-GB" w:eastAsia="en-SG"/>
              </w:rPr>
            </w:pPr>
            <w:r w:rsidRPr="001715D3">
              <w:rPr>
                <w:rFonts w:ascii="Arial" w:hAnsi="Arial" w:cs="Arial"/>
                <w:sz w:val="16"/>
                <w:szCs w:val="16"/>
                <w:lang w:val="en-GB"/>
              </w:rPr>
              <w:t>−79,012</w:t>
            </w:r>
          </w:p>
        </w:tc>
        <w:tc>
          <w:tcPr>
            <w:tcW w:w="992" w:type="dxa"/>
            <w:gridSpan w:val="2"/>
            <w:tcBorders>
              <w:top w:val="nil"/>
              <w:left w:val="nil"/>
              <w:bottom w:val="nil"/>
              <w:right w:val="nil"/>
            </w:tcBorders>
            <w:shd w:val="clear" w:color="auto" w:fill="auto"/>
            <w:noWrap/>
            <w:vAlign w:val="bottom"/>
            <w:hideMark/>
          </w:tcPr>
          <w:p w14:paraId="1AC0E789" w14:textId="77777777" w:rsidR="00A24F2F" w:rsidRPr="001715D3" w:rsidRDefault="00A24F2F" w:rsidP="000742EB">
            <w:pPr>
              <w:jc w:val="right"/>
              <w:rPr>
                <w:rFonts w:ascii="Arial" w:hAnsi="Arial" w:cs="Arial"/>
                <w:b/>
                <w:bCs/>
                <w:sz w:val="16"/>
                <w:szCs w:val="16"/>
                <w:lang w:val="en-GB" w:eastAsia="en-SG"/>
              </w:rPr>
            </w:pPr>
            <w:r w:rsidRPr="001715D3">
              <w:rPr>
                <w:rFonts w:ascii="Arial" w:hAnsi="Arial" w:cs="Arial"/>
                <w:sz w:val="16"/>
                <w:szCs w:val="16"/>
                <w:lang w:val="en-GB"/>
              </w:rPr>
              <w:t>252,097</w:t>
            </w:r>
          </w:p>
        </w:tc>
        <w:tc>
          <w:tcPr>
            <w:tcW w:w="993" w:type="dxa"/>
            <w:tcBorders>
              <w:top w:val="nil"/>
              <w:left w:val="nil"/>
              <w:bottom w:val="nil"/>
              <w:right w:val="nil"/>
            </w:tcBorders>
            <w:shd w:val="clear" w:color="auto" w:fill="auto"/>
            <w:noWrap/>
            <w:vAlign w:val="bottom"/>
            <w:hideMark/>
          </w:tcPr>
          <w:p w14:paraId="757F3800" w14:textId="77777777" w:rsidR="00A24F2F" w:rsidRPr="001715D3" w:rsidRDefault="00A24F2F" w:rsidP="000742EB">
            <w:pPr>
              <w:jc w:val="right"/>
              <w:rPr>
                <w:rFonts w:ascii="Arial" w:hAnsi="Arial" w:cs="Arial"/>
                <w:b/>
                <w:bCs/>
                <w:sz w:val="16"/>
                <w:szCs w:val="16"/>
                <w:lang w:val="en-GB" w:eastAsia="en-SG"/>
              </w:rPr>
            </w:pPr>
            <w:r w:rsidRPr="001715D3">
              <w:rPr>
                <w:rFonts w:ascii="Arial" w:hAnsi="Arial" w:cs="Arial"/>
                <w:sz w:val="16"/>
                <w:szCs w:val="16"/>
                <w:lang w:val="en-GB"/>
              </w:rPr>
              <w:t>390,064</w:t>
            </w:r>
          </w:p>
        </w:tc>
        <w:tc>
          <w:tcPr>
            <w:tcW w:w="1006" w:type="dxa"/>
            <w:gridSpan w:val="2"/>
            <w:tcBorders>
              <w:top w:val="nil"/>
              <w:left w:val="nil"/>
              <w:bottom w:val="nil"/>
              <w:right w:val="nil"/>
            </w:tcBorders>
            <w:shd w:val="clear" w:color="auto" w:fill="auto"/>
            <w:noWrap/>
            <w:vAlign w:val="bottom"/>
            <w:hideMark/>
          </w:tcPr>
          <w:p w14:paraId="2C9451E9" w14:textId="77777777" w:rsidR="00A24F2F" w:rsidRPr="001715D3" w:rsidRDefault="00A24F2F" w:rsidP="000742EB">
            <w:pPr>
              <w:jc w:val="right"/>
              <w:rPr>
                <w:rFonts w:ascii="Arial" w:hAnsi="Arial" w:cs="Arial"/>
                <w:b/>
                <w:bCs/>
                <w:sz w:val="16"/>
                <w:szCs w:val="16"/>
                <w:lang w:val="en-GB" w:eastAsia="en-SG"/>
              </w:rPr>
            </w:pPr>
            <w:r w:rsidRPr="001715D3">
              <w:rPr>
                <w:rFonts w:ascii="Arial" w:hAnsi="Arial" w:cs="Arial"/>
                <w:sz w:val="16"/>
                <w:szCs w:val="16"/>
                <w:lang w:val="en-GB"/>
              </w:rPr>
              <w:t>784,079</w:t>
            </w:r>
          </w:p>
        </w:tc>
      </w:tr>
      <w:tr w:rsidR="002C3A1A" w:rsidRPr="001715D3" w14:paraId="148FC891" w14:textId="77777777" w:rsidTr="00A24F2F">
        <w:trPr>
          <w:trHeight w:val="170"/>
        </w:trPr>
        <w:tc>
          <w:tcPr>
            <w:tcW w:w="3861" w:type="dxa"/>
            <w:gridSpan w:val="4"/>
            <w:tcBorders>
              <w:top w:val="nil"/>
              <w:left w:val="nil"/>
              <w:bottom w:val="nil"/>
              <w:right w:val="nil"/>
            </w:tcBorders>
            <w:shd w:val="clear" w:color="auto" w:fill="auto"/>
            <w:noWrap/>
            <w:vAlign w:val="bottom"/>
          </w:tcPr>
          <w:p w14:paraId="7F2052C1" w14:textId="77777777" w:rsidR="00ED6B72" w:rsidRPr="001715D3" w:rsidRDefault="00ED6B72" w:rsidP="000742EB">
            <w:pPr>
              <w:rPr>
                <w:rFonts w:ascii="Arial" w:hAnsi="Arial" w:cs="Arial"/>
                <w:sz w:val="16"/>
                <w:szCs w:val="16"/>
                <w:lang w:val="en-GB" w:eastAsia="en-SG"/>
              </w:rPr>
            </w:pPr>
            <w:r w:rsidRPr="001715D3">
              <w:rPr>
                <w:rFonts w:ascii="Arial" w:hAnsi="Arial" w:cs="Arial"/>
                <w:sz w:val="16"/>
                <w:szCs w:val="16"/>
                <w:lang w:val="en-GB"/>
              </w:rPr>
              <w:t>Capital and reserves attributable to equity holders of the company (subtotal of Share Capital + Treasury + Other reserves)</w:t>
            </w:r>
          </w:p>
        </w:tc>
        <w:tc>
          <w:tcPr>
            <w:tcW w:w="1418" w:type="dxa"/>
            <w:gridSpan w:val="2"/>
            <w:tcBorders>
              <w:top w:val="nil"/>
              <w:left w:val="nil"/>
              <w:bottom w:val="nil"/>
              <w:right w:val="nil"/>
            </w:tcBorders>
            <w:vAlign w:val="center"/>
          </w:tcPr>
          <w:p w14:paraId="5D2ED4EA" w14:textId="77777777" w:rsidR="00ED6B72" w:rsidRPr="001715D3" w:rsidRDefault="00ED6B72" w:rsidP="008C0337">
            <w:pPr>
              <w:jc w:val="right"/>
              <w:rPr>
                <w:rFonts w:ascii="Arial" w:hAnsi="Arial" w:cs="Arial"/>
                <w:sz w:val="16"/>
                <w:szCs w:val="16"/>
                <w:lang w:val="en-GB"/>
              </w:rPr>
            </w:pPr>
          </w:p>
          <w:p w14:paraId="68AAF404" w14:textId="77777777" w:rsidR="000A6820" w:rsidRPr="001715D3" w:rsidRDefault="000A6820" w:rsidP="008C0337">
            <w:pPr>
              <w:jc w:val="right"/>
              <w:rPr>
                <w:rFonts w:ascii="Arial" w:hAnsi="Arial" w:cs="Arial"/>
                <w:sz w:val="16"/>
                <w:szCs w:val="16"/>
                <w:lang w:val="en-GB"/>
              </w:rPr>
            </w:pPr>
          </w:p>
          <w:p w14:paraId="1E16AEAB" w14:textId="01602396" w:rsidR="000A6820" w:rsidRPr="001715D3" w:rsidRDefault="000A6820" w:rsidP="008C0337">
            <w:pPr>
              <w:jc w:val="right"/>
              <w:rPr>
                <w:rFonts w:ascii="Arial" w:hAnsi="Arial" w:cs="Arial"/>
                <w:sz w:val="16"/>
                <w:szCs w:val="16"/>
                <w:lang w:val="en-GB"/>
              </w:rPr>
            </w:pPr>
            <w:r w:rsidRPr="001715D3">
              <w:rPr>
                <w:rFonts w:ascii="Arial" w:hAnsi="Arial" w:cs="Arial"/>
                <w:sz w:val="16"/>
                <w:szCs w:val="16"/>
                <w:lang w:val="en-GB"/>
              </w:rPr>
              <w:t>2,474,342</w:t>
            </w:r>
          </w:p>
        </w:tc>
        <w:tc>
          <w:tcPr>
            <w:tcW w:w="992" w:type="dxa"/>
            <w:tcBorders>
              <w:top w:val="nil"/>
              <w:left w:val="nil"/>
              <w:bottom w:val="nil"/>
              <w:right w:val="nil"/>
            </w:tcBorders>
            <w:shd w:val="clear" w:color="auto" w:fill="auto"/>
            <w:noWrap/>
            <w:vAlign w:val="bottom"/>
          </w:tcPr>
          <w:p w14:paraId="1613AD7A" w14:textId="6952871F"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1,750,113</w:t>
            </w:r>
          </w:p>
        </w:tc>
        <w:tc>
          <w:tcPr>
            <w:tcW w:w="992" w:type="dxa"/>
            <w:gridSpan w:val="2"/>
            <w:tcBorders>
              <w:top w:val="nil"/>
              <w:left w:val="nil"/>
              <w:bottom w:val="nil"/>
              <w:right w:val="nil"/>
            </w:tcBorders>
            <w:shd w:val="clear" w:color="auto" w:fill="auto"/>
            <w:noWrap/>
            <w:vAlign w:val="bottom"/>
          </w:tcPr>
          <w:p w14:paraId="0BF2E270" w14:textId="77777777"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2,077,103</w:t>
            </w:r>
          </w:p>
        </w:tc>
        <w:tc>
          <w:tcPr>
            <w:tcW w:w="993" w:type="dxa"/>
            <w:tcBorders>
              <w:top w:val="nil"/>
              <w:left w:val="nil"/>
              <w:bottom w:val="nil"/>
              <w:right w:val="nil"/>
            </w:tcBorders>
            <w:shd w:val="clear" w:color="auto" w:fill="auto"/>
            <w:noWrap/>
            <w:vAlign w:val="bottom"/>
          </w:tcPr>
          <w:p w14:paraId="7FE5903E" w14:textId="77777777"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2,211,571</w:t>
            </w:r>
          </w:p>
        </w:tc>
        <w:tc>
          <w:tcPr>
            <w:tcW w:w="1006" w:type="dxa"/>
            <w:gridSpan w:val="2"/>
            <w:tcBorders>
              <w:top w:val="nil"/>
              <w:left w:val="nil"/>
              <w:bottom w:val="nil"/>
              <w:right w:val="nil"/>
            </w:tcBorders>
            <w:shd w:val="clear" w:color="auto" w:fill="auto"/>
            <w:noWrap/>
            <w:vAlign w:val="bottom"/>
          </w:tcPr>
          <w:p w14:paraId="24DB8526" w14:textId="77777777"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2,600,980</w:t>
            </w:r>
          </w:p>
        </w:tc>
      </w:tr>
      <w:tr w:rsidR="002C3A1A" w:rsidRPr="001715D3" w14:paraId="5871CB2A" w14:textId="77777777" w:rsidTr="00A24F2F">
        <w:trPr>
          <w:trHeight w:val="170"/>
        </w:trPr>
        <w:tc>
          <w:tcPr>
            <w:tcW w:w="3861" w:type="dxa"/>
            <w:gridSpan w:val="4"/>
            <w:tcBorders>
              <w:top w:val="nil"/>
              <w:left w:val="nil"/>
              <w:bottom w:val="nil"/>
              <w:right w:val="nil"/>
            </w:tcBorders>
            <w:shd w:val="clear" w:color="auto" w:fill="auto"/>
            <w:noWrap/>
            <w:vAlign w:val="bottom"/>
            <w:hideMark/>
          </w:tcPr>
          <w:p w14:paraId="6B0E1A45" w14:textId="77777777" w:rsidR="00ED6B72" w:rsidRPr="001715D3" w:rsidRDefault="00ED6B72" w:rsidP="000742EB">
            <w:pPr>
              <w:rPr>
                <w:rFonts w:ascii="Arial" w:hAnsi="Arial" w:cs="Arial"/>
                <w:sz w:val="16"/>
                <w:szCs w:val="16"/>
                <w:lang w:val="en-GB" w:eastAsia="en-SG"/>
              </w:rPr>
            </w:pPr>
            <w:r w:rsidRPr="001715D3">
              <w:rPr>
                <w:rFonts w:ascii="Arial" w:hAnsi="Arial" w:cs="Arial"/>
                <w:sz w:val="16"/>
                <w:szCs w:val="16"/>
                <w:lang w:val="en-GB"/>
              </w:rPr>
              <w:t>Non-controlling interest</w:t>
            </w:r>
          </w:p>
        </w:tc>
        <w:tc>
          <w:tcPr>
            <w:tcW w:w="1418" w:type="dxa"/>
            <w:gridSpan w:val="2"/>
            <w:tcBorders>
              <w:top w:val="nil"/>
              <w:left w:val="nil"/>
              <w:bottom w:val="nil"/>
              <w:right w:val="nil"/>
            </w:tcBorders>
            <w:vAlign w:val="center"/>
          </w:tcPr>
          <w:p w14:paraId="5B1C07EE" w14:textId="588A0BD4" w:rsidR="000A6820" w:rsidRPr="001715D3" w:rsidRDefault="000A6820" w:rsidP="008C0337">
            <w:pPr>
              <w:jc w:val="right"/>
              <w:rPr>
                <w:rFonts w:ascii="Arial" w:hAnsi="Arial" w:cs="Arial"/>
                <w:sz w:val="16"/>
                <w:szCs w:val="16"/>
                <w:lang w:val="en-GB"/>
              </w:rPr>
            </w:pPr>
            <w:r w:rsidRPr="001715D3">
              <w:rPr>
                <w:rFonts w:ascii="Arial" w:hAnsi="Arial" w:cs="Arial"/>
                <w:sz w:val="16"/>
                <w:szCs w:val="16"/>
                <w:lang w:val="en-GB"/>
              </w:rPr>
              <w:t>18,214</w:t>
            </w:r>
          </w:p>
        </w:tc>
        <w:tc>
          <w:tcPr>
            <w:tcW w:w="992" w:type="dxa"/>
            <w:tcBorders>
              <w:top w:val="nil"/>
              <w:left w:val="nil"/>
              <w:bottom w:val="nil"/>
              <w:right w:val="nil"/>
            </w:tcBorders>
            <w:shd w:val="clear" w:color="auto" w:fill="auto"/>
            <w:noWrap/>
            <w:vAlign w:val="bottom"/>
            <w:hideMark/>
          </w:tcPr>
          <w:p w14:paraId="1712C0BB" w14:textId="67379A01"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57,764</w:t>
            </w:r>
          </w:p>
        </w:tc>
        <w:tc>
          <w:tcPr>
            <w:tcW w:w="992" w:type="dxa"/>
            <w:gridSpan w:val="2"/>
            <w:tcBorders>
              <w:top w:val="nil"/>
              <w:left w:val="nil"/>
              <w:bottom w:val="nil"/>
              <w:right w:val="nil"/>
            </w:tcBorders>
            <w:shd w:val="clear" w:color="auto" w:fill="auto"/>
            <w:noWrap/>
            <w:vAlign w:val="bottom"/>
            <w:hideMark/>
          </w:tcPr>
          <w:p w14:paraId="45787C8E" w14:textId="77777777"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53,708</w:t>
            </w:r>
          </w:p>
        </w:tc>
        <w:tc>
          <w:tcPr>
            <w:tcW w:w="993" w:type="dxa"/>
            <w:tcBorders>
              <w:top w:val="nil"/>
              <w:left w:val="nil"/>
              <w:bottom w:val="nil"/>
              <w:right w:val="nil"/>
            </w:tcBorders>
            <w:shd w:val="clear" w:color="auto" w:fill="auto"/>
            <w:noWrap/>
            <w:vAlign w:val="bottom"/>
            <w:hideMark/>
          </w:tcPr>
          <w:p w14:paraId="3A4F3D63" w14:textId="77777777"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53,689</w:t>
            </w:r>
          </w:p>
        </w:tc>
        <w:tc>
          <w:tcPr>
            <w:tcW w:w="1006" w:type="dxa"/>
            <w:gridSpan w:val="2"/>
            <w:tcBorders>
              <w:top w:val="nil"/>
              <w:left w:val="nil"/>
              <w:bottom w:val="nil"/>
              <w:right w:val="nil"/>
            </w:tcBorders>
            <w:shd w:val="clear" w:color="auto" w:fill="auto"/>
            <w:noWrap/>
            <w:vAlign w:val="bottom"/>
            <w:hideMark/>
          </w:tcPr>
          <w:p w14:paraId="0CF2C4BA" w14:textId="77777777" w:rsidR="00ED6B72" w:rsidRPr="001715D3" w:rsidRDefault="00ED6B72" w:rsidP="000742EB">
            <w:pPr>
              <w:jc w:val="right"/>
              <w:rPr>
                <w:rFonts w:ascii="Arial" w:hAnsi="Arial" w:cs="Arial"/>
                <w:sz w:val="16"/>
                <w:szCs w:val="16"/>
                <w:lang w:val="en-GB" w:eastAsia="en-SG"/>
              </w:rPr>
            </w:pPr>
            <w:r w:rsidRPr="001715D3">
              <w:rPr>
                <w:rFonts w:ascii="Arial" w:hAnsi="Arial" w:cs="Arial"/>
                <w:sz w:val="16"/>
                <w:szCs w:val="16"/>
                <w:lang w:val="en-GB"/>
              </w:rPr>
              <w:t>51,204</w:t>
            </w:r>
          </w:p>
        </w:tc>
      </w:tr>
      <w:tr w:rsidR="002C3A1A" w:rsidRPr="001715D3" w14:paraId="2B5A80EA" w14:textId="77777777" w:rsidTr="00A24F2F">
        <w:trPr>
          <w:trHeight w:val="170"/>
        </w:trPr>
        <w:tc>
          <w:tcPr>
            <w:tcW w:w="3861" w:type="dxa"/>
            <w:gridSpan w:val="4"/>
            <w:tcBorders>
              <w:top w:val="nil"/>
              <w:left w:val="nil"/>
              <w:bottom w:val="nil"/>
              <w:right w:val="nil"/>
            </w:tcBorders>
            <w:shd w:val="clear" w:color="auto" w:fill="auto"/>
            <w:noWrap/>
            <w:vAlign w:val="bottom"/>
          </w:tcPr>
          <w:p w14:paraId="208C01EC" w14:textId="77777777" w:rsidR="00ED6B72" w:rsidRPr="001715D3" w:rsidRDefault="00ED6B72" w:rsidP="000742EB">
            <w:pPr>
              <w:rPr>
                <w:rFonts w:ascii="Arial" w:hAnsi="Arial" w:cs="Arial"/>
                <w:sz w:val="16"/>
                <w:szCs w:val="16"/>
                <w:lang w:val="en-GB"/>
              </w:rPr>
            </w:pPr>
            <w:r w:rsidRPr="001715D3">
              <w:rPr>
                <w:rFonts w:ascii="Arial" w:hAnsi="Arial" w:cs="Arial"/>
                <w:b/>
                <w:bCs/>
                <w:sz w:val="16"/>
                <w:szCs w:val="16"/>
                <w:lang w:val="en-GB" w:eastAsia="en-SG"/>
              </w:rPr>
              <w:t>TOTAL EQUITY</w:t>
            </w:r>
          </w:p>
        </w:tc>
        <w:tc>
          <w:tcPr>
            <w:tcW w:w="1418" w:type="dxa"/>
            <w:gridSpan w:val="2"/>
            <w:tcBorders>
              <w:top w:val="nil"/>
              <w:left w:val="nil"/>
              <w:bottom w:val="nil"/>
              <w:right w:val="nil"/>
            </w:tcBorders>
            <w:vAlign w:val="center"/>
          </w:tcPr>
          <w:p w14:paraId="25260FFF" w14:textId="40C844A8" w:rsidR="000A6820" w:rsidRPr="001715D3" w:rsidRDefault="000A6820" w:rsidP="008C0337">
            <w:pPr>
              <w:jc w:val="right"/>
              <w:rPr>
                <w:rFonts w:ascii="Arial" w:hAnsi="Arial" w:cs="Arial"/>
                <w:sz w:val="16"/>
                <w:szCs w:val="16"/>
                <w:lang w:val="en-GB"/>
              </w:rPr>
            </w:pPr>
            <w:r w:rsidRPr="001715D3">
              <w:rPr>
                <w:rFonts w:ascii="Arial" w:hAnsi="Arial" w:cs="Arial"/>
                <w:sz w:val="16"/>
                <w:szCs w:val="16"/>
                <w:lang w:val="en-GB"/>
              </w:rPr>
              <w:t>2,492,556</w:t>
            </w:r>
          </w:p>
        </w:tc>
        <w:tc>
          <w:tcPr>
            <w:tcW w:w="992" w:type="dxa"/>
            <w:tcBorders>
              <w:top w:val="nil"/>
              <w:left w:val="nil"/>
              <w:bottom w:val="nil"/>
              <w:right w:val="nil"/>
            </w:tcBorders>
            <w:shd w:val="clear" w:color="auto" w:fill="auto"/>
            <w:noWrap/>
            <w:vAlign w:val="bottom"/>
          </w:tcPr>
          <w:p w14:paraId="36327148" w14:textId="5D69210E" w:rsidR="00ED6B72" w:rsidRPr="001715D3" w:rsidRDefault="00ED6B72" w:rsidP="000742EB">
            <w:pPr>
              <w:jc w:val="right"/>
              <w:rPr>
                <w:rFonts w:ascii="Arial" w:hAnsi="Arial" w:cs="Arial"/>
                <w:sz w:val="16"/>
                <w:szCs w:val="16"/>
                <w:lang w:val="en-GB"/>
              </w:rPr>
            </w:pPr>
            <w:r w:rsidRPr="001715D3">
              <w:rPr>
                <w:rFonts w:ascii="Arial" w:hAnsi="Arial" w:cs="Arial"/>
                <w:sz w:val="16"/>
                <w:szCs w:val="16"/>
                <w:lang w:val="en-GB"/>
              </w:rPr>
              <w:t>1,807,877</w:t>
            </w:r>
          </w:p>
        </w:tc>
        <w:tc>
          <w:tcPr>
            <w:tcW w:w="992" w:type="dxa"/>
            <w:gridSpan w:val="2"/>
            <w:tcBorders>
              <w:top w:val="nil"/>
              <w:left w:val="nil"/>
              <w:bottom w:val="nil"/>
              <w:right w:val="nil"/>
            </w:tcBorders>
            <w:shd w:val="clear" w:color="auto" w:fill="auto"/>
            <w:noWrap/>
            <w:vAlign w:val="bottom"/>
          </w:tcPr>
          <w:p w14:paraId="4830B9FD" w14:textId="77777777" w:rsidR="00ED6B72" w:rsidRPr="001715D3" w:rsidRDefault="00ED6B72" w:rsidP="000742EB">
            <w:pPr>
              <w:jc w:val="right"/>
              <w:rPr>
                <w:rFonts w:ascii="Arial" w:hAnsi="Arial" w:cs="Arial"/>
                <w:sz w:val="16"/>
                <w:szCs w:val="16"/>
                <w:lang w:val="en-GB"/>
              </w:rPr>
            </w:pPr>
            <w:r w:rsidRPr="001715D3">
              <w:rPr>
                <w:rFonts w:ascii="Arial" w:hAnsi="Arial" w:cs="Arial"/>
                <w:sz w:val="16"/>
                <w:szCs w:val="16"/>
                <w:lang w:val="en-GB"/>
              </w:rPr>
              <w:t>2,130,811</w:t>
            </w:r>
          </w:p>
        </w:tc>
        <w:tc>
          <w:tcPr>
            <w:tcW w:w="993" w:type="dxa"/>
            <w:tcBorders>
              <w:top w:val="nil"/>
              <w:left w:val="nil"/>
              <w:bottom w:val="nil"/>
              <w:right w:val="nil"/>
            </w:tcBorders>
            <w:shd w:val="clear" w:color="auto" w:fill="auto"/>
            <w:noWrap/>
            <w:vAlign w:val="bottom"/>
          </w:tcPr>
          <w:p w14:paraId="105BE8CB" w14:textId="77777777" w:rsidR="00ED6B72" w:rsidRPr="001715D3" w:rsidRDefault="00ED6B72" w:rsidP="000742EB">
            <w:pPr>
              <w:jc w:val="right"/>
              <w:rPr>
                <w:rFonts w:ascii="Arial" w:hAnsi="Arial" w:cs="Arial"/>
                <w:sz w:val="16"/>
                <w:szCs w:val="16"/>
                <w:lang w:val="en-GB"/>
              </w:rPr>
            </w:pPr>
            <w:r w:rsidRPr="001715D3">
              <w:rPr>
                <w:rFonts w:ascii="Arial" w:hAnsi="Arial" w:cs="Arial"/>
                <w:sz w:val="16"/>
                <w:szCs w:val="16"/>
                <w:lang w:val="en-GB"/>
              </w:rPr>
              <w:t>2,265,260</w:t>
            </w:r>
          </w:p>
        </w:tc>
        <w:tc>
          <w:tcPr>
            <w:tcW w:w="1006" w:type="dxa"/>
            <w:gridSpan w:val="2"/>
            <w:tcBorders>
              <w:top w:val="nil"/>
              <w:left w:val="nil"/>
              <w:bottom w:val="nil"/>
              <w:right w:val="nil"/>
            </w:tcBorders>
            <w:shd w:val="clear" w:color="auto" w:fill="auto"/>
            <w:noWrap/>
            <w:vAlign w:val="bottom"/>
          </w:tcPr>
          <w:p w14:paraId="30FE6AF8" w14:textId="77777777" w:rsidR="00ED6B72" w:rsidRPr="001715D3" w:rsidRDefault="00ED6B72" w:rsidP="000742EB">
            <w:pPr>
              <w:jc w:val="right"/>
              <w:rPr>
                <w:rFonts w:ascii="Arial" w:hAnsi="Arial" w:cs="Arial"/>
                <w:sz w:val="16"/>
                <w:szCs w:val="16"/>
                <w:lang w:val="en-GB"/>
              </w:rPr>
            </w:pPr>
            <w:r w:rsidRPr="001715D3">
              <w:rPr>
                <w:rFonts w:ascii="Arial" w:hAnsi="Arial" w:cs="Arial"/>
                <w:sz w:val="16"/>
                <w:szCs w:val="16"/>
                <w:lang w:val="en-GB"/>
              </w:rPr>
              <w:t>2,652,184</w:t>
            </w:r>
          </w:p>
        </w:tc>
      </w:tr>
      <w:tr w:rsidR="00ED6B72" w:rsidRPr="001715D3" w14:paraId="357F6C21" w14:textId="77777777" w:rsidTr="00A24F2F">
        <w:trPr>
          <w:trHeight w:val="170"/>
        </w:trPr>
        <w:tc>
          <w:tcPr>
            <w:tcW w:w="3861" w:type="dxa"/>
            <w:gridSpan w:val="4"/>
            <w:tcBorders>
              <w:top w:val="single" w:sz="4" w:space="0" w:color="auto"/>
              <w:left w:val="nil"/>
              <w:bottom w:val="single" w:sz="4" w:space="0" w:color="auto"/>
              <w:right w:val="nil"/>
            </w:tcBorders>
            <w:shd w:val="clear" w:color="auto" w:fill="auto"/>
            <w:noWrap/>
            <w:vAlign w:val="bottom"/>
            <w:hideMark/>
          </w:tcPr>
          <w:p w14:paraId="4A105C29" w14:textId="77777777" w:rsidR="00ED6B72" w:rsidRPr="001715D3" w:rsidRDefault="00ED6B72" w:rsidP="000742EB">
            <w:pPr>
              <w:rPr>
                <w:rFonts w:ascii="Arial" w:hAnsi="Arial" w:cs="Arial"/>
                <w:b/>
                <w:bCs/>
                <w:sz w:val="16"/>
                <w:szCs w:val="16"/>
                <w:lang w:val="en-GB" w:eastAsia="en-SG"/>
              </w:rPr>
            </w:pPr>
            <w:r w:rsidRPr="001715D3">
              <w:rPr>
                <w:rFonts w:ascii="Arial" w:hAnsi="Arial" w:cs="Arial"/>
                <w:b/>
                <w:bCs/>
                <w:sz w:val="16"/>
                <w:szCs w:val="16"/>
                <w:lang w:val="en-GB" w:eastAsia="en-SG"/>
              </w:rPr>
              <w:t>TOTAL EQUITY + LIABILITIES</w:t>
            </w:r>
          </w:p>
        </w:tc>
        <w:tc>
          <w:tcPr>
            <w:tcW w:w="1418" w:type="dxa"/>
            <w:gridSpan w:val="2"/>
            <w:tcBorders>
              <w:top w:val="single" w:sz="4" w:space="0" w:color="auto"/>
              <w:left w:val="nil"/>
              <w:bottom w:val="single" w:sz="4" w:space="0" w:color="auto"/>
              <w:right w:val="nil"/>
            </w:tcBorders>
            <w:vAlign w:val="center"/>
          </w:tcPr>
          <w:p w14:paraId="034BF02A" w14:textId="110046ED" w:rsidR="000A6820" w:rsidRPr="001715D3" w:rsidRDefault="000A6820" w:rsidP="008C0337">
            <w:pPr>
              <w:jc w:val="right"/>
              <w:rPr>
                <w:rFonts w:ascii="Arial" w:hAnsi="Arial" w:cs="Arial"/>
                <w:b/>
                <w:sz w:val="16"/>
                <w:szCs w:val="16"/>
                <w:lang w:val="en-GB"/>
              </w:rPr>
            </w:pPr>
            <w:r w:rsidRPr="001715D3">
              <w:rPr>
                <w:rFonts w:ascii="Arial" w:hAnsi="Arial" w:cs="Arial"/>
                <w:b/>
                <w:sz w:val="16"/>
                <w:szCs w:val="16"/>
                <w:lang w:val="en-GB"/>
              </w:rPr>
              <w:t>6,908,736</w:t>
            </w:r>
          </w:p>
        </w:tc>
        <w:tc>
          <w:tcPr>
            <w:tcW w:w="992" w:type="dxa"/>
            <w:tcBorders>
              <w:top w:val="single" w:sz="4" w:space="0" w:color="auto"/>
              <w:left w:val="nil"/>
              <w:bottom w:val="single" w:sz="4" w:space="0" w:color="auto"/>
              <w:right w:val="nil"/>
            </w:tcBorders>
            <w:shd w:val="clear" w:color="auto" w:fill="auto"/>
            <w:noWrap/>
            <w:vAlign w:val="center"/>
            <w:hideMark/>
          </w:tcPr>
          <w:p w14:paraId="70AC71D9" w14:textId="4040716B" w:rsidR="00ED6B72" w:rsidRPr="001715D3" w:rsidRDefault="00ED6B72" w:rsidP="008C0337">
            <w:pPr>
              <w:jc w:val="right"/>
              <w:rPr>
                <w:rFonts w:ascii="Arial" w:hAnsi="Arial" w:cs="Arial"/>
                <w:b/>
                <w:sz w:val="16"/>
                <w:szCs w:val="16"/>
                <w:lang w:val="en-GB" w:eastAsia="en-SG"/>
              </w:rPr>
            </w:pPr>
            <w:r w:rsidRPr="001715D3">
              <w:rPr>
                <w:rFonts w:ascii="Arial" w:hAnsi="Arial" w:cs="Arial"/>
                <w:b/>
                <w:sz w:val="16"/>
                <w:szCs w:val="16"/>
                <w:lang w:val="en-GB"/>
              </w:rPr>
              <w:t>9,099,624</w:t>
            </w:r>
          </w:p>
        </w:tc>
        <w:tc>
          <w:tcPr>
            <w:tcW w:w="992" w:type="dxa"/>
            <w:gridSpan w:val="2"/>
            <w:tcBorders>
              <w:top w:val="single" w:sz="4" w:space="0" w:color="auto"/>
              <w:left w:val="nil"/>
              <w:bottom w:val="single" w:sz="4" w:space="0" w:color="auto"/>
              <w:right w:val="nil"/>
            </w:tcBorders>
            <w:shd w:val="clear" w:color="auto" w:fill="auto"/>
            <w:noWrap/>
            <w:vAlign w:val="center"/>
            <w:hideMark/>
          </w:tcPr>
          <w:p w14:paraId="229893AF" w14:textId="77777777" w:rsidR="00ED6B72" w:rsidRPr="001715D3" w:rsidRDefault="00ED6B72" w:rsidP="008C0337">
            <w:pPr>
              <w:jc w:val="right"/>
              <w:rPr>
                <w:rFonts w:ascii="Arial" w:hAnsi="Arial" w:cs="Arial"/>
                <w:b/>
                <w:sz w:val="16"/>
                <w:szCs w:val="16"/>
                <w:lang w:val="en-GB" w:eastAsia="en-SG"/>
              </w:rPr>
            </w:pPr>
            <w:r w:rsidRPr="001715D3">
              <w:rPr>
                <w:rFonts w:ascii="Arial" w:hAnsi="Arial" w:cs="Arial"/>
                <w:b/>
                <w:sz w:val="16"/>
                <w:szCs w:val="16"/>
                <w:lang w:val="en-GB"/>
              </w:rPr>
              <w:t>9,029,035</w:t>
            </w:r>
          </w:p>
        </w:tc>
        <w:tc>
          <w:tcPr>
            <w:tcW w:w="993" w:type="dxa"/>
            <w:tcBorders>
              <w:top w:val="single" w:sz="4" w:space="0" w:color="auto"/>
              <w:left w:val="nil"/>
              <w:bottom w:val="single" w:sz="4" w:space="0" w:color="auto"/>
              <w:right w:val="nil"/>
            </w:tcBorders>
            <w:shd w:val="clear" w:color="auto" w:fill="auto"/>
            <w:noWrap/>
            <w:vAlign w:val="center"/>
            <w:hideMark/>
          </w:tcPr>
          <w:p w14:paraId="5266722C" w14:textId="77777777" w:rsidR="00ED6B72" w:rsidRPr="001715D3" w:rsidRDefault="00ED6B72" w:rsidP="008C0337">
            <w:pPr>
              <w:jc w:val="right"/>
              <w:rPr>
                <w:rFonts w:ascii="Arial" w:hAnsi="Arial" w:cs="Arial"/>
                <w:b/>
                <w:bCs/>
                <w:sz w:val="16"/>
                <w:szCs w:val="16"/>
                <w:lang w:val="en-GB" w:eastAsia="en-SG"/>
              </w:rPr>
            </w:pPr>
            <w:r w:rsidRPr="001715D3">
              <w:rPr>
                <w:rFonts w:ascii="Arial" w:hAnsi="Arial" w:cs="Arial"/>
                <w:b/>
                <w:bCs/>
                <w:sz w:val="16"/>
                <w:szCs w:val="16"/>
                <w:lang w:val="en-GB"/>
              </w:rPr>
              <w:t>8,216,594</w:t>
            </w:r>
          </w:p>
        </w:tc>
        <w:tc>
          <w:tcPr>
            <w:tcW w:w="1006" w:type="dxa"/>
            <w:gridSpan w:val="2"/>
            <w:tcBorders>
              <w:top w:val="single" w:sz="4" w:space="0" w:color="auto"/>
              <w:left w:val="nil"/>
              <w:bottom w:val="single" w:sz="4" w:space="0" w:color="auto"/>
              <w:right w:val="nil"/>
            </w:tcBorders>
            <w:shd w:val="clear" w:color="auto" w:fill="auto"/>
            <w:noWrap/>
            <w:vAlign w:val="center"/>
            <w:hideMark/>
          </w:tcPr>
          <w:p w14:paraId="3F36D468" w14:textId="77777777" w:rsidR="00ED6B72" w:rsidRPr="001715D3" w:rsidRDefault="00ED6B72" w:rsidP="008C0337">
            <w:pPr>
              <w:jc w:val="right"/>
              <w:rPr>
                <w:rFonts w:ascii="Arial" w:hAnsi="Arial" w:cs="Arial"/>
                <w:b/>
                <w:bCs/>
                <w:sz w:val="16"/>
                <w:szCs w:val="16"/>
                <w:lang w:val="en-GB" w:eastAsia="en-SG"/>
              </w:rPr>
            </w:pPr>
            <w:r w:rsidRPr="001715D3">
              <w:rPr>
                <w:rFonts w:ascii="Arial" w:hAnsi="Arial" w:cs="Arial"/>
                <w:b/>
                <w:bCs/>
                <w:sz w:val="16"/>
                <w:szCs w:val="16"/>
                <w:lang w:val="en-GB"/>
              </w:rPr>
              <w:t>6,961,848</w:t>
            </w:r>
          </w:p>
        </w:tc>
      </w:tr>
    </w:tbl>
    <w:p w14:paraId="2ACE5F68" w14:textId="77777777" w:rsidR="008A33CD" w:rsidRPr="00A24F2F" w:rsidRDefault="008A33CD" w:rsidP="005867BE">
      <w:pPr>
        <w:spacing w:line="276" w:lineRule="auto"/>
        <w:rPr>
          <w:rFonts w:ascii="Arial" w:hAnsi="Arial" w:cs="Arial"/>
          <w:sz w:val="10"/>
          <w:szCs w:val="14"/>
          <w:lang w:val="en-GB"/>
        </w:rPr>
      </w:pPr>
    </w:p>
    <w:p w14:paraId="758D8181" w14:textId="4A4EB4F0" w:rsidR="00AD5158" w:rsidRPr="001715D3" w:rsidRDefault="00702652" w:rsidP="00620D48">
      <w:pPr>
        <w:pStyle w:val="Footnote"/>
        <w:rPr>
          <w:spacing w:val="-6"/>
          <w:kern w:val="17"/>
          <w:lang w:val="en-GB"/>
        </w:rPr>
      </w:pPr>
      <w:r w:rsidRPr="001715D3">
        <w:rPr>
          <w:spacing w:val="-6"/>
          <w:kern w:val="17"/>
          <w:lang w:val="en-GB"/>
        </w:rPr>
        <w:t>Note:</w:t>
      </w:r>
      <w:r w:rsidR="00E269E3" w:rsidRPr="001715D3">
        <w:rPr>
          <w:spacing w:val="-6"/>
          <w:kern w:val="17"/>
          <w:lang w:val="en-GB"/>
        </w:rPr>
        <w:t xml:space="preserve"> </w:t>
      </w:r>
      <w:r w:rsidR="006D799E" w:rsidRPr="001715D3">
        <w:rPr>
          <w:spacing w:val="-6"/>
          <w:kern w:val="17"/>
          <w:lang w:val="en-GB"/>
        </w:rPr>
        <w:t xml:space="preserve">During financial year </w:t>
      </w:r>
      <w:r w:rsidR="00E269E3" w:rsidRPr="001715D3">
        <w:rPr>
          <w:spacing w:val="-6"/>
          <w:kern w:val="17"/>
          <w:lang w:val="en-GB"/>
        </w:rPr>
        <w:t xml:space="preserve">(FY) </w:t>
      </w:r>
      <w:r w:rsidR="006D799E" w:rsidRPr="001715D3">
        <w:rPr>
          <w:spacing w:val="-6"/>
          <w:kern w:val="17"/>
          <w:lang w:val="en-GB"/>
        </w:rPr>
        <w:t xml:space="preserve">2012, 1,754,757 new ordinary shares </w:t>
      </w:r>
      <w:r w:rsidR="00046023" w:rsidRPr="001715D3">
        <w:rPr>
          <w:spacing w:val="-6"/>
          <w:kern w:val="17"/>
          <w:lang w:val="en-GB"/>
        </w:rPr>
        <w:t>were issued under</w:t>
      </w:r>
      <w:r w:rsidR="006D799E" w:rsidRPr="001715D3">
        <w:rPr>
          <w:spacing w:val="-6"/>
          <w:kern w:val="17"/>
          <w:lang w:val="en-GB"/>
        </w:rPr>
        <w:t xml:space="preserve"> </w:t>
      </w:r>
      <w:r w:rsidR="00D812DE" w:rsidRPr="001715D3">
        <w:rPr>
          <w:spacing w:val="-6"/>
          <w:kern w:val="17"/>
          <w:lang w:val="en-GB"/>
        </w:rPr>
        <w:t xml:space="preserve">the </w:t>
      </w:r>
      <w:r w:rsidR="006D799E" w:rsidRPr="001715D3">
        <w:rPr>
          <w:spacing w:val="-6"/>
          <w:kern w:val="17"/>
          <w:lang w:val="en-GB"/>
        </w:rPr>
        <w:t xml:space="preserve">NOL </w:t>
      </w:r>
      <w:r w:rsidR="00046023" w:rsidRPr="001715D3">
        <w:rPr>
          <w:spacing w:val="-6"/>
          <w:kern w:val="17"/>
          <w:lang w:val="en-GB"/>
        </w:rPr>
        <w:t>share option plan</w:t>
      </w:r>
      <w:r w:rsidR="006D799E" w:rsidRPr="001715D3">
        <w:rPr>
          <w:spacing w:val="-6"/>
          <w:kern w:val="17"/>
          <w:lang w:val="en-GB"/>
        </w:rPr>
        <w:t xml:space="preserve"> at $1.05</w:t>
      </w:r>
      <w:r w:rsidR="00D812DE" w:rsidRPr="001715D3">
        <w:rPr>
          <w:spacing w:val="-6"/>
          <w:kern w:val="17"/>
          <w:lang w:val="en-GB"/>
        </w:rPr>
        <w:t>;</w:t>
      </w:r>
      <w:r w:rsidR="00E269E3" w:rsidRPr="001715D3">
        <w:rPr>
          <w:spacing w:val="-6"/>
          <w:kern w:val="17"/>
          <w:lang w:val="en-GB"/>
        </w:rPr>
        <w:t xml:space="preserve"> </w:t>
      </w:r>
      <w:r w:rsidR="006D799E" w:rsidRPr="001715D3">
        <w:rPr>
          <w:spacing w:val="-6"/>
          <w:kern w:val="17"/>
          <w:lang w:val="en-GB"/>
        </w:rPr>
        <w:t xml:space="preserve">During </w:t>
      </w:r>
      <w:r w:rsidR="00E269E3" w:rsidRPr="001715D3">
        <w:rPr>
          <w:spacing w:val="-6"/>
          <w:kern w:val="17"/>
          <w:lang w:val="en-GB"/>
        </w:rPr>
        <w:t>FY</w:t>
      </w:r>
      <w:r w:rsidR="006D799E" w:rsidRPr="001715D3">
        <w:rPr>
          <w:spacing w:val="-6"/>
          <w:kern w:val="17"/>
          <w:lang w:val="en-GB"/>
        </w:rPr>
        <w:t xml:space="preserve"> 2011, 940,299 and 32,932 new ordinary shares</w:t>
      </w:r>
      <w:r w:rsidR="00046023" w:rsidRPr="001715D3">
        <w:rPr>
          <w:spacing w:val="-6"/>
          <w:kern w:val="17"/>
          <w:lang w:val="en-GB"/>
        </w:rPr>
        <w:t xml:space="preserve"> were issued under</w:t>
      </w:r>
      <w:r w:rsidR="006D799E" w:rsidRPr="001715D3">
        <w:rPr>
          <w:spacing w:val="-6"/>
          <w:kern w:val="17"/>
          <w:lang w:val="en-GB"/>
        </w:rPr>
        <w:t xml:space="preserve"> </w:t>
      </w:r>
      <w:r w:rsidR="00D812DE" w:rsidRPr="001715D3">
        <w:rPr>
          <w:spacing w:val="-6"/>
          <w:kern w:val="17"/>
          <w:lang w:val="en-GB"/>
        </w:rPr>
        <w:t xml:space="preserve">the </w:t>
      </w:r>
      <w:r w:rsidR="006D799E" w:rsidRPr="001715D3">
        <w:rPr>
          <w:spacing w:val="-6"/>
          <w:kern w:val="17"/>
          <w:lang w:val="en-GB"/>
        </w:rPr>
        <w:t xml:space="preserve">NOL </w:t>
      </w:r>
      <w:r w:rsidR="00046023" w:rsidRPr="001715D3">
        <w:rPr>
          <w:spacing w:val="-6"/>
          <w:kern w:val="17"/>
          <w:lang w:val="en-GB"/>
        </w:rPr>
        <w:t xml:space="preserve">share option plan at </w:t>
      </w:r>
      <w:r w:rsidR="006D799E" w:rsidRPr="001715D3">
        <w:rPr>
          <w:spacing w:val="-6"/>
          <w:kern w:val="17"/>
          <w:lang w:val="en-GB"/>
        </w:rPr>
        <w:t xml:space="preserve">$1.05 and </w:t>
      </w:r>
      <w:r w:rsidR="006B7BDA" w:rsidRPr="001715D3">
        <w:rPr>
          <w:spacing w:val="-6"/>
          <w:kern w:val="17"/>
          <w:lang w:val="en-GB"/>
        </w:rPr>
        <w:t>$</w:t>
      </w:r>
      <w:r w:rsidR="006D799E" w:rsidRPr="001715D3">
        <w:rPr>
          <w:spacing w:val="-6"/>
          <w:kern w:val="17"/>
          <w:lang w:val="en-GB"/>
        </w:rPr>
        <w:t>2.1</w:t>
      </w:r>
      <w:r w:rsidR="00D812DE" w:rsidRPr="001715D3">
        <w:rPr>
          <w:spacing w:val="-6"/>
          <w:kern w:val="17"/>
          <w:lang w:val="en-GB"/>
        </w:rPr>
        <w:t>0</w:t>
      </w:r>
      <w:r w:rsidR="006D799E" w:rsidRPr="001715D3">
        <w:rPr>
          <w:spacing w:val="-6"/>
          <w:kern w:val="17"/>
          <w:lang w:val="en-GB"/>
        </w:rPr>
        <w:t>, respectively</w:t>
      </w:r>
      <w:r w:rsidR="00D812DE" w:rsidRPr="001715D3">
        <w:rPr>
          <w:spacing w:val="-6"/>
          <w:kern w:val="17"/>
          <w:lang w:val="en-GB"/>
        </w:rPr>
        <w:t>;</w:t>
      </w:r>
      <w:r w:rsidR="006D799E" w:rsidRPr="001715D3">
        <w:rPr>
          <w:spacing w:val="-6"/>
          <w:kern w:val="17"/>
          <w:lang w:val="en-GB"/>
        </w:rPr>
        <w:t xml:space="preserve"> During </w:t>
      </w:r>
      <w:r w:rsidR="00E269E3" w:rsidRPr="001715D3">
        <w:rPr>
          <w:spacing w:val="-6"/>
          <w:kern w:val="17"/>
          <w:lang w:val="en-GB"/>
        </w:rPr>
        <w:t>FY</w:t>
      </w:r>
      <w:r w:rsidR="006D799E" w:rsidRPr="001715D3">
        <w:rPr>
          <w:spacing w:val="-6"/>
          <w:kern w:val="17"/>
          <w:lang w:val="en-GB"/>
        </w:rPr>
        <w:t xml:space="preserve"> 2014, 3,789,763 new ordinary shares were issued </w:t>
      </w:r>
      <w:r w:rsidRPr="001715D3">
        <w:rPr>
          <w:spacing w:val="-6"/>
          <w:kern w:val="17"/>
          <w:lang w:val="en-GB"/>
        </w:rPr>
        <w:t xml:space="preserve">under </w:t>
      </w:r>
      <w:r w:rsidR="00D812DE" w:rsidRPr="001715D3">
        <w:rPr>
          <w:spacing w:val="-6"/>
          <w:kern w:val="17"/>
          <w:lang w:val="en-GB"/>
        </w:rPr>
        <w:t xml:space="preserve">the </w:t>
      </w:r>
      <w:r w:rsidR="006D799E" w:rsidRPr="001715D3">
        <w:rPr>
          <w:spacing w:val="-6"/>
          <w:kern w:val="17"/>
          <w:lang w:val="en-GB"/>
        </w:rPr>
        <w:t xml:space="preserve">NOL </w:t>
      </w:r>
      <w:r w:rsidRPr="001715D3">
        <w:rPr>
          <w:spacing w:val="-6"/>
          <w:kern w:val="17"/>
          <w:lang w:val="en-GB"/>
        </w:rPr>
        <w:t xml:space="preserve">restricted share plan (RSP) </w:t>
      </w:r>
      <w:r w:rsidR="006D799E" w:rsidRPr="001715D3">
        <w:rPr>
          <w:spacing w:val="-6"/>
          <w:kern w:val="17"/>
          <w:lang w:val="en-GB"/>
        </w:rPr>
        <w:t xml:space="preserve">2010 and NOL </w:t>
      </w:r>
      <w:r w:rsidRPr="001715D3">
        <w:rPr>
          <w:spacing w:val="-6"/>
          <w:kern w:val="17"/>
          <w:lang w:val="en-GB"/>
        </w:rPr>
        <w:t xml:space="preserve">performance share plan (PSP) </w:t>
      </w:r>
      <w:r w:rsidR="006D799E" w:rsidRPr="001715D3">
        <w:rPr>
          <w:spacing w:val="-6"/>
          <w:kern w:val="17"/>
          <w:lang w:val="en-GB"/>
        </w:rPr>
        <w:t>2010</w:t>
      </w:r>
      <w:r w:rsidR="00D812DE" w:rsidRPr="001715D3">
        <w:rPr>
          <w:spacing w:val="-6"/>
          <w:kern w:val="17"/>
          <w:lang w:val="en-GB"/>
        </w:rPr>
        <w:t>;</w:t>
      </w:r>
      <w:r w:rsidR="00E269E3" w:rsidRPr="001715D3">
        <w:rPr>
          <w:spacing w:val="-6"/>
          <w:kern w:val="17"/>
          <w:lang w:val="en-GB"/>
        </w:rPr>
        <w:t xml:space="preserve"> </w:t>
      </w:r>
      <w:r w:rsidR="006D799E" w:rsidRPr="001715D3">
        <w:rPr>
          <w:spacing w:val="-6"/>
          <w:kern w:val="17"/>
          <w:lang w:val="en-GB"/>
        </w:rPr>
        <w:t xml:space="preserve">During </w:t>
      </w:r>
      <w:r w:rsidR="00E269E3" w:rsidRPr="001715D3">
        <w:rPr>
          <w:spacing w:val="-6"/>
          <w:kern w:val="17"/>
          <w:lang w:val="en-GB"/>
        </w:rPr>
        <w:t>FY</w:t>
      </w:r>
      <w:r w:rsidR="006D799E" w:rsidRPr="001715D3">
        <w:rPr>
          <w:spacing w:val="-6"/>
          <w:kern w:val="17"/>
          <w:lang w:val="en-GB"/>
        </w:rPr>
        <w:t xml:space="preserve"> 2013, 2,582,419 new ordinary shares were issued </w:t>
      </w:r>
      <w:r w:rsidRPr="001715D3">
        <w:rPr>
          <w:spacing w:val="-6"/>
          <w:kern w:val="17"/>
          <w:lang w:val="en-GB"/>
        </w:rPr>
        <w:t xml:space="preserve">under </w:t>
      </w:r>
      <w:r w:rsidR="006D799E" w:rsidRPr="001715D3">
        <w:rPr>
          <w:spacing w:val="-6"/>
          <w:kern w:val="17"/>
          <w:lang w:val="en-GB"/>
        </w:rPr>
        <w:t>NOL RSP 2010 and NOL PSP 2010</w:t>
      </w:r>
      <w:r w:rsidR="00D812DE" w:rsidRPr="001715D3">
        <w:rPr>
          <w:spacing w:val="-6"/>
          <w:kern w:val="17"/>
          <w:lang w:val="en-GB"/>
        </w:rPr>
        <w:t>;</w:t>
      </w:r>
      <w:r w:rsidR="00E269E3" w:rsidRPr="001715D3">
        <w:rPr>
          <w:spacing w:val="-6"/>
          <w:kern w:val="17"/>
          <w:lang w:val="en-GB"/>
        </w:rPr>
        <w:t xml:space="preserve"> </w:t>
      </w:r>
      <w:r w:rsidR="006D799E" w:rsidRPr="001715D3">
        <w:rPr>
          <w:spacing w:val="-6"/>
          <w:kern w:val="17"/>
          <w:lang w:val="en-GB"/>
        </w:rPr>
        <w:t xml:space="preserve">During </w:t>
      </w:r>
      <w:r w:rsidR="00E269E3" w:rsidRPr="001715D3">
        <w:rPr>
          <w:spacing w:val="-6"/>
          <w:kern w:val="17"/>
          <w:lang w:val="en-GB"/>
        </w:rPr>
        <w:t>FY</w:t>
      </w:r>
      <w:r w:rsidR="006D799E" w:rsidRPr="001715D3">
        <w:rPr>
          <w:spacing w:val="-6"/>
          <w:kern w:val="17"/>
          <w:lang w:val="en-GB"/>
        </w:rPr>
        <w:t xml:space="preserve"> 2013, 379,674 new ordinary shares </w:t>
      </w:r>
      <w:r w:rsidR="000A6820" w:rsidRPr="001715D3">
        <w:rPr>
          <w:spacing w:val="-6"/>
          <w:kern w:val="17"/>
          <w:lang w:val="en-GB"/>
        </w:rPr>
        <w:t xml:space="preserve">were issued </w:t>
      </w:r>
      <w:r w:rsidRPr="001715D3">
        <w:rPr>
          <w:spacing w:val="-6"/>
          <w:kern w:val="17"/>
          <w:lang w:val="en-GB"/>
        </w:rPr>
        <w:t xml:space="preserve">under </w:t>
      </w:r>
      <w:r w:rsidR="006D799E" w:rsidRPr="001715D3">
        <w:rPr>
          <w:spacing w:val="-6"/>
          <w:kern w:val="17"/>
          <w:lang w:val="en-GB"/>
        </w:rPr>
        <w:t xml:space="preserve">NOL </w:t>
      </w:r>
      <w:r w:rsidRPr="001715D3">
        <w:rPr>
          <w:spacing w:val="-6"/>
          <w:kern w:val="17"/>
          <w:lang w:val="en-GB"/>
        </w:rPr>
        <w:t xml:space="preserve">share option plan at </w:t>
      </w:r>
      <w:r w:rsidR="006D799E" w:rsidRPr="001715D3">
        <w:rPr>
          <w:spacing w:val="-6"/>
          <w:kern w:val="17"/>
          <w:lang w:val="en-GB"/>
        </w:rPr>
        <w:t>$1.05.</w:t>
      </w:r>
    </w:p>
    <w:p w14:paraId="415E1956" w14:textId="4282B84B" w:rsidR="00AD5158" w:rsidRPr="00A24F2F" w:rsidRDefault="00E269E3" w:rsidP="00A24F2F">
      <w:pPr>
        <w:pStyle w:val="Footnote"/>
        <w:rPr>
          <w:spacing w:val="-10"/>
          <w:kern w:val="17"/>
          <w:lang w:val="en-GB"/>
        </w:rPr>
      </w:pPr>
      <w:r w:rsidRPr="00A24F2F">
        <w:rPr>
          <w:spacing w:val="-10"/>
          <w:kern w:val="17"/>
          <w:lang w:val="en-GB"/>
        </w:rPr>
        <w:t xml:space="preserve">Source: </w:t>
      </w:r>
      <w:r w:rsidR="00CC6847" w:rsidRPr="00A24F2F">
        <w:rPr>
          <w:spacing w:val="-10"/>
          <w:kern w:val="17"/>
          <w:lang w:val="en-GB"/>
        </w:rPr>
        <w:t xml:space="preserve">NOL’s past financial statements: </w:t>
      </w:r>
      <w:r w:rsidR="00D812DE" w:rsidRPr="00A24F2F">
        <w:rPr>
          <w:spacing w:val="-10"/>
          <w:kern w:val="17"/>
          <w:lang w:val="en-GB"/>
        </w:rPr>
        <w:t xml:space="preserve">Neptune Orient Lines Limited, </w:t>
      </w:r>
      <w:r w:rsidR="00D812DE" w:rsidRPr="00A24F2F">
        <w:rPr>
          <w:i/>
          <w:spacing w:val="-10"/>
          <w:kern w:val="17"/>
          <w:lang w:val="en-GB"/>
        </w:rPr>
        <w:t>Annual Report 2015</w:t>
      </w:r>
      <w:r w:rsidR="00D812DE" w:rsidRPr="00A24F2F">
        <w:rPr>
          <w:spacing w:val="-10"/>
          <w:kern w:val="17"/>
          <w:lang w:val="en-GB"/>
        </w:rPr>
        <w:t xml:space="preserve">, and Neptune Orient Lines Limited, “Investor Relations,” accessed February 28, 2017, </w:t>
      </w:r>
      <w:r w:rsidR="00F232B7" w:rsidRPr="00A24F2F">
        <w:rPr>
          <w:spacing w:val="-10"/>
          <w:kern w:val="17"/>
          <w:lang w:val="en-GB"/>
        </w:rPr>
        <w:t>https://www.nol.com.sg/wps/portal/nol/investorre</w:t>
      </w:r>
      <w:r w:rsidR="004C04D5" w:rsidRPr="00A24F2F">
        <w:rPr>
          <w:spacing w:val="-10"/>
          <w:kern w:val="17"/>
          <w:lang w:val="en-GB"/>
        </w:rPr>
        <w:t xml:space="preserve">lations/reportsandannouncements/annualreports. </w:t>
      </w:r>
      <w:r w:rsidR="00AD5158" w:rsidRPr="001715D3">
        <w:rPr>
          <w:i/>
          <w:spacing w:val="-6"/>
          <w:kern w:val="17"/>
          <w:sz w:val="14"/>
          <w:szCs w:val="14"/>
          <w:lang w:val="en-GB"/>
        </w:rPr>
        <w:br w:type="page"/>
      </w:r>
    </w:p>
    <w:p w14:paraId="18489BCA" w14:textId="77777777" w:rsidR="00AD5158" w:rsidRPr="001715D3" w:rsidRDefault="00AD5158" w:rsidP="007E0371">
      <w:pPr>
        <w:jc w:val="center"/>
        <w:outlineLvl w:val="0"/>
        <w:rPr>
          <w:rFonts w:ascii="Arial" w:hAnsi="Arial" w:cs="Arial"/>
          <w:b/>
          <w:caps/>
          <w:lang w:val="en-GB"/>
        </w:rPr>
      </w:pPr>
      <w:r w:rsidRPr="001715D3">
        <w:rPr>
          <w:rFonts w:ascii="Arial" w:hAnsi="Arial" w:cs="Arial"/>
          <w:b/>
          <w:caps/>
          <w:lang w:val="en-GB"/>
        </w:rPr>
        <w:lastRenderedPageBreak/>
        <w:t>Exhibit 3: assumptions underlying Discounted Cash Flow VALUATION</w:t>
      </w:r>
    </w:p>
    <w:p w14:paraId="348D6010" w14:textId="77777777" w:rsidR="00AD5158" w:rsidRPr="001715D3" w:rsidRDefault="00AD5158" w:rsidP="00AD5158">
      <w:pPr>
        <w:jc w:val="both"/>
        <w:rPr>
          <w:lang w:val="en-GB"/>
        </w:rPr>
      </w:pPr>
    </w:p>
    <w:p w14:paraId="2EAB0AD3" w14:textId="77777777" w:rsidR="00AD5158" w:rsidRPr="001715D3" w:rsidRDefault="00AD5158" w:rsidP="007E0371">
      <w:pPr>
        <w:outlineLvl w:val="0"/>
        <w:rPr>
          <w:rFonts w:ascii="Arial" w:hAnsi="Arial" w:cs="Arial"/>
          <w:sz w:val="18"/>
          <w:szCs w:val="18"/>
          <w:lang w:val="en-GB"/>
        </w:rPr>
      </w:pPr>
      <w:r w:rsidRPr="001715D3">
        <w:rPr>
          <w:rFonts w:ascii="Arial" w:hAnsi="Arial" w:cs="Arial"/>
          <w:sz w:val="18"/>
          <w:szCs w:val="18"/>
          <w:lang w:val="en-GB"/>
        </w:rPr>
        <w:t>The assumptions behind the pro-forma statements are listed below.</w:t>
      </w:r>
    </w:p>
    <w:p w14:paraId="60AB238A" w14:textId="77777777" w:rsidR="000E299F" w:rsidRPr="001715D3" w:rsidRDefault="000E299F" w:rsidP="00AD5158">
      <w:pPr>
        <w:rPr>
          <w:rFonts w:ascii="Arial" w:hAnsi="Arial" w:cs="Arial"/>
          <w:sz w:val="18"/>
          <w:szCs w:val="18"/>
          <w:lang w:val="en-GB"/>
        </w:rPr>
      </w:pPr>
    </w:p>
    <w:p w14:paraId="2CEA33F1" w14:textId="77777777" w:rsidR="00FE6625" w:rsidRPr="001715D3" w:rsidRDefault="00FE6625" w:rsidP="00FE6625">
      <w:pPr>
        <w:numPr>
          <w:ilvl w:val="0"/>
          <w:numId w:val="17"/>
        </w:numPr>
        <w:ind w:left="360"/>
        <w:contextualSpacing/>
        <w:jc w:val="both"/>
        <w:rPr>
          <w:rFonts w:ascii="Arial" w:eastAsiaTheme="minorHAnsi" w:hAnsi="Arial" w:cs="Arial"/>
          <w:sz w:val="18"/>
          <w:szCs w:val="18"/>
          <w:lang w:val="en-GB"/>
        </w:rPr>
      </w:pPr>
      <w:r w:rsidRPr="001715D3">
        <w:rPr>
          <w:rFonts w:ascii="Arial" w:eastAsiaTheme="minorHAnsi" w:hAnsi="Arial" w:cs="Arial"/>
          <w:sz w:val="18"/>
          <w:szCs w:val="18"/>
          <w:lang w:val="en-GB"/>
        </w:rPr>
        <w:t xml:space="preserve">Assumptions regarding revenues: </w:t>
      </w:r>
    </w:p>
    <w:p w14:paraId="2FD75DCC" w14:textId="366A44D5" w:rsidR="00FE6625" w:rsidRPr="001715D3" w:rsidRDefault="00FE6625" w:rsidP="00FE6625">
      <w:pPr>
        <w:numPr>
          <w:ilvl w:val="0"/>
          <w:numId w:val="21"/>
        </w:numPr>
        <w:jc w:val="both"/>
        <w:rPr>
          <w:rFonts w:ascii="Arial" w:hAnsi="Arial" w:cs="Arial"/>
          <w:sz w:val="18"/>
          <w:szCs w:val="18"/>
          <w:lang w:val="en-GB"/>
        </w:rPr>
      </w:pPr>
      <w:r w:rsidRPr="001715D3">
        <w:rPr>
          <w:rFonts w:ascii="Arial" w:hAnsi="Arial" w:cs="Arial"/>
          <w:sz w:val="18"/>
          <w:szCs w:val="18"/>
          <w:lang w:val="en-GB"/>
        </w:rPr>
        <w:t xml:space="preserve">Revenue from </w:t>
      </w:r>
      <w:r w:rsidR="00445396" w:rsidRPr="001715D3">
        <w:rPr>
          <w:rFonts w:ascii="Arial" w:hAnsi="Arial" w:cs="Arial"/>
          <w:sz w:val="18"/>
          <w:szCs w:val="18"/>
          <w:lang w:val="en-GB"/>
        </w:rPr>
        <w:t xml:space="preserve">the </w:t>
      </w:r>
      <w:r w:rsidRPr="001715D3">
        <w:rPr>
          <w:rFonts w:ascii="Arial" w:hAnsi="Arial" w:cs="Arial"/>
          <w:sz w:val="18"/>
          <w:szCs w:val="18"/>
          <w:lang w:val="en-GB"/>
        </w:rPr>
        <w:t>logistics segment that had been carved out would be ignored. Only revenue from the container</w:t>
      </w:r>
      <w:r w:rsidR="00445396" w:rsidRPr="001715D3">
        <w:rPr>
          <w:rFonts w:ascii="Arial" w:hAnsi="Arial" w:cs="Arial"/>
          <w:sz w:val="18"/>
          <w:szCs w:val="18"/>
          <w:lang w:val="en-GB"/>
        </w:rPr>
        <w:t>-</w:t>
      </w:r>
      <w:r w:rsidRPr="001715D3">
        <w:rPr>
          <w:rFonts w:ascii="Arial" w:hAnsi="Arial" w:cs="Arial"/>
          <w:sz w:val="18"/>
          <w:szCs w:val="18"/>
          <w:lang w:val="en-GB"/>
        </w:rPr>
        <w:t>shipping segment would be used in the valuation exercise.</w:t>
      </w:r>
    </w:p>
    <w:p w14:paraId="74362C41" w14:textId="68475D25" w:rsidR="00FE6625" w:rsidRPr="001715D3" w:rsidRDefault="00FE6625" w:rsidP="00FE6625">
      <w:pPr>
        <w:numPr>
          <w:ilvl w:val="0"/>
          <w:numId w:val="21"/>
        </w:numPr>
        <w:jc w:val="both"/>
        <w:rPr>
          <w:rFonts w:ascii="Arial" w:hAnsi="Arial" w:cs="Arial"/>
          <w:sz w:val="18"/>
          <w:szCs w:val="18"/>
          <w:lang w:val="en-GB"/>
        </w:rPr>
      </w:pPr>
      <w:r w:rsidRPr="001715D3">
        <w:rPr>
          <w:rFonts w:ascii="Arial" w:hAnsi="Arial" w:cs="Arial"/>
          <w:sz w:val="18"/>
          <w:szCs w:val="18"/>
          <w:lang w:val="en-GB"/>
        </w:rPr>
        <w:t xml:space="preserve">Shipping </w:t>
      </w:r>
      <w:r w:rsidR="00D812DE" w:rsidRPr="001715D3">
        <w:rPr>
          <w:rFonts w:ascii="Arial" w:hAnsi="Arial" w:cs="Arial"/>
          <w:sz w:val="18"/>
          <w:szCs w:val="18"/>
          <w:lang w:val="en-GB"/>
        </w:rPr>
        <w:t>v</w:t>
      </w:r>
      <w:r w:rsidRPr="001715D3">
        <w:rPr>
          <w:rFonts w:ascii="Arial" w:hAnsi="Arial" w:cs="Arial"/>
          <w:sz w:val="18"/>
          <w:szCs w:val="18"/>
          <w:lang w:val="en-GB"/>
        </w:rPr>
        <w:t xml:space="preserve">olume was assumed to be 2,600,000 </w:t>
      </w:r>
      <w:r w:rsidR="00D812DE" w:rsidRPr="001715D3">
        <w:rPr>
          <w:rFonts w:ascii="Arial" w:hAnsi="Arial" w:cs="Arial"/>
          <w:sz w:val="18"/>
          <w:szCs w:val="18"/>
          <w:lang w:val="en-GB"/>
        </w:rPr>
        <w:t>forty foot equivalent units (</w:t>
      </w:r>
      <w:r w:rsidRPr="001715D3">
        <w:rPr>
          <w:rFonts w:ascii="Arial" w:hAnsi="Arial" w:cs="Arial"/>
          <w:sz w:val="18"/>
          <w:szCs w:val="18"/>
          <w:lang w:val="en-GB"/>
        </w:rPr>
        <w:t>FEUs</w:t>
      </w:r>
      <w:r w:rsidR="006B7BDA" w:rsidRPr="001715D3">
        <w:rPr>
          <w:rFonts w:ascii="Arial" w:hAnsi="Arial" w:cs="Arial"/>
          <w:sz w:val="18"/>
          <w:szCs w:val="18"/>
          <w:lang w:val="en-GB"/>
        </w:rPr>
        <w:t>)</w:t>
      </w:r>
      <w:r w:rsidRPr="001715D3">
        <w:rPr>
          <w:rFonts w:ascii="Arial" w:hAnsi="Arial" w:cs="Arial"/>
          <w:sz w:val="18"/>
          <w:szCs w:val="18"/>
          <w:lang w:val="en-GB"/>
        </w:rPr>
        <w:t xml:space="preserve"> in 2016, and to increase at a 3</w:t>
      </w:r>
      <w:r w:rsidR="00D812DE" w:rsidRPr="001715D3">
        <w:rPr>
          <w:rFonts w:ascii="Arial" w:hAnsi="Arial" w:cs="Arial"/>
          <w:sz w:val="18"/>
          <w:szCs w:val="18"/>
          <w:lang w:val="en-GB"/>
        </w:rPr>
        <w:t xml:space="preserve"> per cent </w:t>
      </w:r>
      <w:r w:rsidRPr="001715D3">
        <w:rPr>
          <w:rFonts w:ascii="Arial" w:hAnsi="Arial" w:cs="Arial"/>
          <w:sz w:val="18"/>
          <w:szCs w:val="18"/>
          <w:lang w:val="en-GB"/>
        </w:rPr>
        <w:t>annual rate thereafter. Average Revenue/FEU was assumed to increase to US$2,000/FEU in 2016</w:t>
      </w:r>
      <w:r w:rsidR="00445396" w:rsidRPr="001715D3">
        <w:rPr>
          <w:rFonts w:ascii="Arial" w:hAnsi="Arial" w:cs="Arial"/>
          <w:sz w:val="18"/>
          <w:szCs w:val="18"/>
          <w:lang w:val="en-GB"/>
        </w:rPr>
        <w:t>,</w:t>
      </w:r>
      <w:r w:rsidRPr="001715D3">
        <w:rPr>
          <w:rFonts w:ascii="Arial" w:hAnsi="Arial" w:cs="Arial"/>
          <w:sz w:val="18"/>
          <w:szCs w:val="18"/>
          <w:lang w:val="en-GB"/>
        </w:rPr>
        <w:t xml:space="preserve"> and </w:t>
      </w:r>
      <w:r w:rsidR="00D812DE" w:rsidRPr="001715D3">
        <w:rPr>
          <w:rFonts w:ascii="Arial" w:hAnsi="Arial" w:cs="Arial"/>
          <w:sz w:val="18"/>
          <w:szCs w:val="18"/>
          <w:lang w:val="en-GB"/>
        </w:rPr>
        <w:t xml:space="preserve">to </w:t>
      </w:r>
      <w:r w:rsidRPr="001715D3">
        <w:rPr>
          <w:rFonts w:ascii="Arial" w:hAnsi="Arial" w:cs="Arial"/>
          <w:sz w:val="18"/>
          <w:szCs w:val="18"/>
          <w:lang w:val="en-GB"/>
        </w:rPr>
        <w:t xml:space="preserve">US$2,286/FEU in 2017 (which was the rate during the 2008 </w:t>
      </w:r>
      <w:r w:rsidR="00E269E3" w:rsidRPr="001715D3">
        <w:rPr>
          <w:rFonts w:ascii="Arial" w:hAnsi="Arial" w:cs="Arial"/>
          <w:sz w:val="18"/>
          <w:szCs w:val="18"/>
          <w:lang w:val="en-GB"/>
        </w:rPr>
        <w:t>f</w:t>
      </w:r>
      <w:r w:rsidRPr="001715D3">
        <w:rPr>
          <w:rFonts w:ascii="Arial" w:hAnsi="Arial" w:cs="Arial"/>
          <w:sz w:val="18"/>
          <w:szCs w:val="18"/>
          <w:lang w:val="en-GB"/>
        </w:rPr>
        <w:t xml:space="preserve">inancial </w:t>
      </w:r>
      <w:r w:rsidR="00E269E3" w:rsidRPr="001715D3">
        <w:rPr>
          <w:rFonts w:ascii="Arial" w:hAnsi="Arial" w:cs="Arial"/>
          <w:sz w:val="18"/>
          <w:szCs w:val="18"/>
          <w:lang w:val="en-GB"/>
        </w:rPr>
        <w:t>c</w:t>
      </w:r>
      <w:r w:rsidRPr="001715D3">
        <w:rPr>
          <w:rFonts w:ascii="Arial" w:hAnsi="Arial" w:cs="Arial"/>
          <w:sz w:val="18"/>
          <w:szCs w:val="18"/>
          <w:lang w:val="en-GB"/>
        </w:rPr>
        <w:t>risis)</w:t>
      </w:r>
      <w:r w:rsidR="00445396" w:rsidRPr="001715D3">
        <w:rPr>
          <w:rFonts w:ascii="Arial" w:hAnsi="Arial" w:cs="Arial"/>
          <w:sz w:val="18"/>
          <w:szCs w:val="18"/>
          <w:lang w:val="en-GB"/>
        </w:rPr>
        <w:t>,</w:t>
      </w:r>
      <w:r w:rsidRPr="001715D3">
        <w:rPr>
          <w:rFonts w:ascii="Arial" w:hAnsi="Arial" w:cs="Arial"/>
          <w:sz w:val="18"/>
          <w:szCs w:val="18"/>
          <w:lang w:val="en-GB"/>
        </w:rPr>
        <w:t xml:space="preserve"> and then increase at a 3</w:t>
      </w:r>
      <w:r w:rsidR="00D812DE" w:rsidRPr="001715D3">
        <w:rPr>
          <w:rFonts w:ascii="Arial" w:hAnsi="Arial" w:cs="Arial"/>
          <w:sz w:val="18"/>
          <w:szCs w:val="18"/>
          <w:lang w:val="en-GB"/>
        </w:rPr>
        <w:t xml:space="preserve"> per cent </w:t>
      </w:r>
      <w:r w:rsidRPr="001715D3">
        <w:rPr>
          <w:rFonts w:ascii="Arial" w:hAnsi="Arial" w:cs="Arial"/>
          <w:sz w:val="18"/>
          <w:szCs w:val="18"/>
          <w:lang w:val="en-GB"/>
        </w:rPr>
        <w:t xml:space="preserve">annual rate </w:t>
      </w:r>
      <w:r w:rsidR="000E299F" w:rsidRPr="001715D3">
        <w:rPr>
          <w:rFonts w:ascii="Arial" w:hAnsi="Arial" w:cs="Arial"/>
          <w:sz w:val="18"/>
          <w:szCs w:val="18"/>
          <w:lang w:val="en-GB"/>
        </w:rPr>
        <w:t>until 2020</w:t>
      </w:r>
      <w:r w:rsidRPr="001715D3">
        <w:rPr>
          <w:rFonts w:ascii="Arial" w:hAnsi="Arial" w:cs="Arial"/>
          <w:sz w:val="18"/>
          <w:szCs w:val="18"/>
          <w:lang w:val="en-GB"/>
        </w:rPr>
        <w:t>.</w:t>
      </w:r>
    </w:p>
    <w:p w14:paraId="5D4CAEF3" w14:textId="77777777" w:rsidR="00FE6625" w:rsidRPr="001715D3" w:rsidRDefault="00FE6625" w:rsidP="00FE6625">
      <w:pPr>
        <w:ind w:left="720"/>
        <w:jc w:val="both"/>
        <w:rPr>
          <w:rFonts w:ascii="Arial" w:hAnsi="Arial" w:cs="Arial"/>
          <w:sz w:val="18"/>
          <w:szCs w:val="18"/>
          <w:lang w:val="en-GB"/>
        </w:rPr>
      </w:pPr>
    </w:p>
    <w:tbl>
      <w:tblPr>
        <w:tblStyle w:val="TableGrid4"/>
        <w:tblW w:w="0" w:type="auto"/>
        <w:jc w:val="center"/>
        <w:tblLook w:val="04A0" w:firstRow="1" w:lastRow="0" w:firstColumn="1" w:lastColumn="0" w:noHBand="0" w:noVBand="1"/>
      </w:tblPr>
      <w:tblGrid>
        <w:gridCol w:w="1685"/>
        <w:gridCol w:w="1134"/>
        <w:gridCol w:w="1701"/>
        <w:gridCol w:w="1276"/>
      </w:tblGrid>
      <w:tr w:rsidR="002C3A1A" w:rsidRPr="001715D3" w14:paraId="7E4020AA" w14:textId="77777777" w:rsidTr="0000700E">
        <w:trPr>
          <w:jc w:val="center"/>
        </w:trPr>
        <w:tc>
          <w:tcPr>
            <w:tcW w:w="1685" w:type="dxa"/>
            <w:vAlign w:val="center"/>
          </w:tcPr>
          <w:p w14:paraId="61E08B7F" w14:textId="77777777"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Year</w:t>
            </w:r>
          </w:p>
        </w:tc>
        <w:tc>
          <w:tcPr>
            <w:tcW w:w="1134" w:type="dxa"/>
            <w:vAlign w:val="center"/>
          </w:tcPr>
          <w:p w14:paraId="7E548490" w14:textId="77777777"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Volume (‘000 FEU)</w:t>
            </w:r>
          </w:p>
        </w:tc>
        <w:tc>
          <w:tcPr>
            <w:tcW w:w="1701" w:type="dxa"/>
            <w:vAlign w:val="center"/>
          </w:tcPr>
          <w:p w14:paraId="0B6E8B11" w14:textId="1ECCDA15"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Average Revenue per FEU (US</w:t>
            </w:r>
            <w:r w:rsidR="00434720" w:rsidRPr="001715D3">
              <w:rPr>
                <w:rFonts w:ascii="Arial" w:hAnsi="Arial" w:cs="Arial"/>
                <w:sz w:val="18"/>
                <w:szCs w:val="18"/>
                <w:lang w:val="en-GB"/>
              </w:rPr>
              <w:t>$</w:t>
            </w:r>
            <w:r w:rsidRPr="001715D3">
              <w:rPr>
                <w:rFonts w:ascii="Arial" w:hAnsi="Arial" w:cs="Arial"/>
                <w:sz w:val="18"/>
                <w:szCs w:val="18"/>
                <w:lang w:val="en-GB"/>
              </w:rPr>
              <w:t>)</w:t>
            </w:r>
          </w:p>
        </w:tc>
        <w:tc>
          <w:tcPr>
            <w:tcW w:w="1276" w:type="dxa"/>
            <w:tcBorders>
              <w:bottom w:val="single" w:sz="4" w:space="0" w:color="auto"/>
            </w:tcBorders>
            <w:vAlign w:val="center"/>
          </w:tcPr>
          <w:p w14:paraId="2AD9BD4E" w14:textId="4C932DEB"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Revenue (‘000 US</w:t>
            </w:r>
            <w:r w:rsidR="00592940" w:rsidRPr="001715D3">
              <w:rPr>
                <w:rFonts w:ascii="Arial" w:hAnsi="Arial" w:cs="Arial"/>
                <w:sz w:val="18"/>
                <w:szCs w:val="18"/>
                <w:lang w:val="en-GB"/>
              </w:rPr>
              <w:t>$</w:t>
            </w:r>
            <w:r w:rsidRPr="001715D3">
              <w:rPr>
                <w:rFonts w:ascii="Arial" w:hAnsi="Arial" w:cs="Arial"/>
                <w:sz w:val="18"/>
                <w:szCs w:val="18"/>
                <w:lang w:val="en-GB"/>
              </w:rPr>
              <w:t>)</w:t>
            </w:r>
          </w:p>
        </w:tc>
      </w:tr>
      <w:tr w:rsidR="002C3A1A" w:rsidRPr="001715D3" w14:paraId="30DE8DDE" w14:textId="77777777" w:rsidTr="0000700E">
        <w:trPr>
          <w:jc w:val="center"/>
        </w:trPr>
        <w:tc>
          <w:tcPr>
            <w:tcW w:w="1685" w:type="dxa"/>
            <w:vAlign w:val="center"/>
          </w:tcPr>
          <w:p w14:paraId="7D3216F6"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2007</w:t>
            </w:r>
          </w:p>
        </w:tc>
        <w:tc>
          <w:tcPr>
            <w:tcW w:w="1134" w:type="dxa"/>
            <w:vAlign w:val="center"/>
          </w:tcPr>
          <w:p w14:paraId="05A7C94A" w14:textId="7AA49CA5"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353</w:t>
            </w:r>
          </w:p>
        </w:tc>
        <w:tc>
          <w:tcPr>
            <w:tcW w:w="1701" w:type="dxa"/>
            <w:tcBorders>
              <w:right w:val="single" w:sz="4" w:space="0" w:color="auto"/>
            </w:tcBorders>
            <w:vAlign w:val="center"/>
          </w:tcPr>
          <w:p w14:paraId="10E1E158" w14:textId="7A91CFF1"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740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48EAF0E" w14:textId="487A8326"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6</w:t>
            </w:r>
            <w:r w:rsidR="008A33CD" w:rsidRPr="001715D3">
              <w:rPr>
                <w:rFonts w:ascii="Arial" w:hAnsi="Arial" w:cs="Arial"/>
                <w:sz w:val="18"/>
                <w:szCs w:val="18"/>
                <w:lang w:val="en-GB"/>
              </w:rPr>
              <w:t>,</w:t>
            </w:r>
            <w:r w:rsidRPr="001715D3">
              <w:rPr>
                <w:rFonts w:ascii="Arial" w:hAnsi="Arial" w:cs="Arial"/>
                <w:sz w:val="18"/>
                <w:szCs w:val="18"/>
                <w:lang w:val="en-GB"/>
              </w:rPr>
              <w:t>447</w:t>
            </w:r>
            <w:r w:rsidR="008A33CD" w:rsidRPr="001715D3">
              <w:rPr>
                <w:rFonts w:ascii="Arial" w:hAnsi="Arial" w:cs="Arial"/>
                <w:sz w:val="18"/>
                <w:szCs w:val="18"/>
                <w:lang w:val="en-GB"/>
              </w:rPr>
              <w:t>,</w:t>
            </w:r>
            <w:r w:rsidRPr="001715D3">
              <w:rPr>
                <w:rFonts w:ascii="Arial" w:hAnsi="Arial" w:cs="Arial"/>
                <w:sz w:val="18"/>
                <w:szCs w:val="18"/>
                <w:lang w:val="en-GB"/>
              </w:rPr>
              <w:t>220</w:t>
            </w:r>
          </w:p>
        </w:tc>
      </w:tr>
      <w:tr w:rsidR="002C3A1A" w:rsidRPr="001715D3" w14:paraId="3425B193" w14:textId="77777777" w:rsidTr="0000700E">
        <w:trPr>
          <w:jc w:val="center"/>
        </w:trPr>
        <w:tc>
          <w:tcPr>
            <w:tcW w:w="1685" w:type="dxa"/>
            <w:vAlign w:val="center"/>
          </w:tcPr>
          <w:p w14:paraId="64F5590F"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2008</w:t>
            </w:r>
          </w:p>
        </w:tc>
        <w:tc>
          <w:tcPr>
            <w:tcW w:w="1134" w:type="dxa"/>
            <w:vAlign w:val="center"/>
          </w:tcPr>
          <w:p w14:paraId="3366855E" w14:textId="181A6C5E"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465</w:t>
            </w:r>
          </w:p>
        </w:tc>
        <w:tc>
          <w:tcPr>
            <w:tcW w:w="1701" w:type="dxa"/>
            <w:tcBorders>
              <w:right w:val="single" w:sz="4" w:space="0" w:color="auto"/>
            </w:tcBorders>
            <w:vAlign w:val="center"/>
          </w:tcPr>
          <w:p w14:paraId="7F1736B8" w14:textId="46E3492F"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3</w:t>
            </w:r>
            <w:r w:rsidR="008A33CD" w:rsidRPr="001715D3">
              <w:rPr>
                <w:rFonts w:ascii="Arial" w:hAnsi="Arial" w:cs="Arial"/>
                <w:sz w:val="18"/>
                <w:szCs w:val="18"/>
                <w:lang w:val="en-GB"/>
              </w:rPr>
              <w:t>,</w:t>
            </w:r>
            <w:r w:rsidRPr="001715D3">
              <w:rPr>
                <w:rFonts w:ascii="Arial" w:hAnsi="Arial" w:cs="Arial"/>
                <w:sz w:val="18"/>
                <w:szCs w:val="18"/>
                <w:lang w:val="en-GB"/>
              </w:rPr>
              <w:t>033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9B2D4D" w14:textId="1F06317B"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7</w:t>
            </w:r>
            <w:r w:rsidR="008A33CD" w:rsidRPr="001715D3">
              <w:rPr>
                <w:rFonts w:ascii="Arial" w:hAnsi="Arial" w:cs="Arial"/>
                <w:sz w:val="18"/>
                <w:szCs w:val="18"/>
                <w:lang w:val="en-GB"/>
              </w:rPr>
              <w:t>,</w:t>
            </w:r>
            <w:r w:rsidRPr="001715D3">
              <w:rPr>
                <w:rFonts w:ascii="Arial" w:hAnsi="Arial" w:cs="Arial"/>
                <w:sz w:val="18"/>
                <w:szCs w:val="18"/>
                <w:lang w:val="en-GB"/>
              </w:rPr>
              <w:t>476</w:t>
            </w:r>
            <w:r w:rsidR="008A33CD" w:rsidRPr="001715D3">
              <w:rPr>
                <w:rFonts w:ascii="Arial" w:hAnsi="Arial" w:cs="Arial"/>
                <w:sz w:val="18"/>
                <w:szCs w:val="18"/>
                <w:lang w:val="en-GB"/>
              </w:rPr>
              <w:t>,</w:t>
            </w:r>
            <w:r w:rsidRPr="001715D3">
              <w:rPr>
                <w:rFonts w:ascii="Arial" w:hAnsi="Arial" w:cs="Arial"/>
                <w:sz w:val="18"/>
                <w:szCs w:val="18"/>
                <w:lang w:val="en-GB"/>
              </w:rPr>
              <w:t>345</w:t>
            </w:r>
          </w:p>
        </w:tc>
      </w:tr>
      <w:tr w:rsidR="002C3A1A" w:rsidRPr="001715D3" w14:paraId="146F0D58" w14:textId="77777777" w:rsidTr="0000700E">
        <w:trPr>
          <w:jc w:val="center"/>
        </w:trPr>
        <w:tc>
          <w:tcPr>
            <w:tcW w:w="1685" w:type="dxa"/>
            <w:vAlign w:val="center"/>
          </w:tcPr>
          <w:p w14:paraId="251A1CA3"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2009</w:t>
            </w:r>
          </w:p>
        </w:tc>
        <w:tc>
          <w:tcPr>
            <w:tcW w:w="1134" w:type="dxa"/>
            <w:vAlign w:val="center"/>
          </w:tcPr>
          <w:p w14:paraId="75C95095" w14:textId="48BC0087"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289</w:t>
            </w:r>
          </w:p>
        </w:tc>
        <w:tc>
          <w:tcPr>
            <w:tcW w:w="1701" w:type="dxa"/>
            <w:tcBorders>
              <w:right w:val="single" w:sz="4" w:space="0" w:color="auto"/>
            </w:tcBorders>
            <w:vAlign w:val="center"/>
          </w:tcPr>
          <w:p w14:paraId="47256D3F" w14:textId="187B7B00"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286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1DCF351" w14:textId="4BA50C02"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5</w:t>
            </w:r>
            <w:r w:rsidR="008A33CD" w:rsidRPr="001715D3">
              <w:rPr>
                <w:rFonts w:ascii="Arial" w:hAnsi="Arial" w:cs="Arial"/>
                <w:sz w:val="18"/>
                <w:szCs w:val="18"/>
                <w:lang w:val="en-GB"/>
              </w:rPr>
              <w:t>,</w:t>
            </w:r>
            <w:r w:rsidRPr="001715D3">
              <w:rPr>
                <w:rFonts w:ascii="Arial" w:hAnsi="Arial" w:cs="Arial"/>
                <w:sz w:val="18"/>
                <w:szCs w:val="18"/>
                <w:lang w:val="en-GB"/>
              </w:rPr>
              <w:t>232</w:t>
            </w:r>
            <w:r w:rsidR="008A33CD" w:rsidRPr="001715D3">
              <w:rPr>
                <w:rFonts w:ascii="Arial" w:hAnsi="Arial" w:cs="Arial"/>
                <w:sz w:val="18"/>
                <w:szCs w:val="18"/>
                <w:lang w:val="en-GB"/>
              </w:rPr>
              <w:t>,</w:t>
            </w:r>
            <w:r w:rsidRPr="001715D3">
              <w:rPr>
                <w:rFonts w:ascii="Arial" w:hAnsi="Arial" w:cs="Arial"/>
                <w:sz w:val="18"/>
                <w:szCs w:val="18"/>
                <w:lang w:val="en-GB"/>
              </w:rPr>
              <w:t>654</w:t>
            </w:r>
          </w:p>
        </w:tc>
      </w:tr>
      <w:tr w:rsidR="002C3A1A" w:rsidRPr="001715D3" w14:paraId="506EB3C9" w14:textId="77777777" w:rsidTr="0000700E">
        <w:trPr>
          <w:jc w:val="center"/>
        </w:trPr>
        <w:tc>
          <w:tcPr>
            <w:tcW w:w="1685" w:type="dxa"/>
            <w:vAlign w:val="center"/>
          </w:tcPr>
          <w:p w14:paraId="035FB52D"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2010</w:t>
            </w:r>
          </w:p>
        </w:tc>
        <w:tc>
          <w:tcPr>
            <w:tcW w:w="1134" w:type="dxa"/>
            <w:vAlign w:val="center"/>
          </w:tcPr>
          <w:p w14:paraId="09B63F6A" w14:textId="6F6D2597"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831</w:t>
            </w:r>
          </w:p>
        </w:tc>
        <w:tc>
          <w:tcPr>
            <w:tcW w:w="1701" w:type="dxa"/>
            <w:tcBorders>
              <w:right w:val="single" w:sz="4" w:space="0" w:color="auto"/>
            </w:tcBorders>
            <w:vAlign w:val="center"/>
          </w:tcPr>
          <w:p w14:paraId="2FAB8499" w14:textId="542A6A31"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787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20AB92C" w14:textId="15CA77C7"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7</w:t>
            </w:r>
            <w:r w:rsidR="008A33CD" w:rsidRPr="001715D3">
              <w:rPr>
                <w:rFonts w:ascii="Arial" w:hAnsi="Arial" w:cs="Arial"/>
                <w:sz w:val="18"/>
                <w:szCs w:val="18"/>
                <w:lang w:val="en-GB"/>
              </w:rPr>
              <w:t>,</w:t>
            </w:r>
            <w:r w:rsidRPr="001715D3">
              <w:rPr>
                <w:rFonts w:ascii="Arial" w:hAnsi="Arial" w:cs="Arial"/>
                <w:sz w:val="18"/>
                <w:szCs w:val="18"/>
                <w:lang w:val="en-GB"/>
              </w:rPr>
              <w:t>889</w:t>
            </w:r>
            <w:r w:rsidR="008A33CD" w:rsidRPr="001715D3">
              <w:rPr>
                <w:rFonts w:ascii="Arial" w:hAnsi="Arial" w:cs="Arial"/>
                <w:sz w:val="18"/>
                <w:szCs w:val="18"/>
                <w:lang w:val="en-GB"/>
              </w:rPr>
              <w:t>,</w:t>
            </w:r>
            <w:r w:rsidRPr="001715D3">
              <w:rPr>
                <w:rFonts w:ascii="Arial" w:hAnsi="Arial" w:cs="Arial"/>
                <w:sz w:val="18"/>
                <w:szCs w:val="18"/>
                <w:lang w:val="en-GB"/>
              </w:rPr>
              <w:t>997</w:t>
            </w:r>
          </w:p>
        </w:tc>
      </w:tr>
      <w:tr w:rsidR="002C3A1A" w:rsidRPr="001715D3" w14:paraId="79D49128" w14:textId="77777777" w:rsidTr="0000700E">
        <w:trPr>
          <w:jc w:val="center"/>
        </w:trPr>
        <w:tc>
          <w:tcPr>
            <w:tcW w:w="1685" w:type="dxa"/>
            <w:vAlign w:val="center"/>
          </w:tcPr>
          <w:p w14:paraId="41F407F3"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2011</w:t>
            </w:r>
          </w:p>
        </w:tc>
        <w:tc>
          <w:tcPr>
            <w:tcW w:w="1134" w:type="dxa"/>
            <w:vAlign w:val="center"/>
          </w:tcPr>
          <w:p w14:paraId="49E1DEA0" w14:textId="4947F6EF"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979</w:t>
            </w:r>
          </w:p>
        </w:tc>
        <w:tc>
          <w:tcPr>
            <w:tcW w:w="1701" w:type="dxa"/>
            <w:tcBorders>
              <w:right w:val="single" w:sz="4" w:space="0" w:color="auto"/>
            </w:tcBorders>
            <w:vAlign w:val="center"/>
          </w:tcPr>
          <w:p w14:paraId="792688CC" w14:textId="7A38C6AB"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65AF0CB" w14:textId="1361D8F9"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7</w:t>
            </w:r>
            <w:r w:rsidR="008A33CD" w:rsidRPr="001715D3">
              <w:rPr>
                <w:rFonts w:ascii="Arial" w:hAnsi="Arial" w:cs="Arial"/>
                <w:sz w:val="18"/>
                <w:szCs w:val="18"/>
                <w:lang w:val="en-GB"/>
              </w:rPr>
              <w:t>,</w:t>
            </w:r>
            <w:r w:rsidRPr="001715D3">
              <w:rPr>
                <w:rFonts w:ascii="Arial" w:hAnsi="Arial" w:cs="Arial"/>
                <w:sz w:val="18"/>
                <w:szCs w:val="18"/>
                <w:lang w:val="en-GB"/>
              </w:rPr>
              <w:t>447</w:t>
            </w:r>
            <w:r w:rsidR="008A33CD" w:rsidRPr="001715D3">
              <w:rPr>
                <w:rFonts w:ascii="Arial" w:hAnsi="Arial" w:cs="Arial"/>
                <w:sz w:val="18"/>
                <w:szCs w:val="18"/>
                <w:lang w:val="en-GB"/>
              </w:rPr>
              <w:t>,</w:t>
            </w:r>
            <w:r w:rsidRPr="001715D3">
              <w:rPr>
                <w:rFonts w:ascii="Arial" w:hAnsi="Arial" w:cs="Arial"/>
                <w:sz w:val="18"/>
                <w:szCs w:val="18"/>
                <w:lang w:val="en-GB"/>
              </w:rPr>
              <w:t>500</w:t>
            </w:r>
          </w:p>
        </w:tc>
      </w:tr>
      <w:tr w:rsidR="002C3A1A" w:rsidRPr="001715D3" w14:paraId="373A30BD" w14:textId="77777777" w:rsidTr="0000700E">
        <w:trPr>
          <w:jc w:val="center"/>
        </w:trPr>
        <w:tc>
          <w:tcPr>
            <w:tcW w:w="1685" w:type="dxa"/>
            <w:vAlign w:val="center"/>
          </w:tcPr>
          <w:p w14:paraId="6AD19D92"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2012</w:t>
            </w:r>
          </w:p>
        </w:tc>
        <w:tc>
          <w:tcPr>
            <w:tcW w:w="1134" w:type="dxa"/>
            <w:vAlign w:val="center"/>
          </w:tcPr>
          <w:p w14:paraId="0696D591" w14:textId="68D90A03"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3</w:t>
            </w:r>
            <w:r w:rsidR="008A33CD" w:rsidRPr="001715D3">
              <w:rPr>
                <w:rFonts w:ascii="Arial" w:hAnsi="Arial" w:cs="Arial"/>
                <w:sz w:val="18"/>
                <w:szCs w:val="18"/>
                <w:lang w:val="en-GB"/>
              </w:rPr>
              <w:t>,</w:t>
            </w:r>
            <w:r w:rsidRPr="001715D3">
              <w:rPr>
                <w:rFonts w:ascii="Arial" w:hAnsi="Arial" w:cs="Arial"/>
                <w:sz w:val="18"/>
                <w:szCs w:val="18"/>
                <w:lang w:val="en-GB"/>
              </w:rPr>
              <w:t>020</w:t>
            </w:r>
          </w:p>
        </w:tc>
        <w:tc>
          <w:tcPr>
            <w:tcW w:w="1701" w:type="dxa"/>
            <w:tcBorders>
              <w:right w:val="single" w:sz="4" w:space="0" w:color="auto"/>
            </w:tcBorders>
            <w:vAlign w:val="center"/>
          </w:tcPr>
          <w:p w14:paraId="638BC1F6" w14:textId="6F2A8B66"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509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39CF39B" w14:textId="2BCD8D78"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7</w:t>
            </w:r>
            <w:r w:rsidR="008A33CD" w:rsidRPr="001715D3">
              <w:rPr>
                <w:rFonts w:ascii="Arial" w:hAnsi="Arial" w:cs="Arial"/>
                <w:sz w:val="18"/>
                <w:szCs w:val="18"/>
                <w:lang w:val="en-GB"/>
              </w:rPr>
              <w:t>,</w:t>
            </w:r>
            <w:r w:rsidRPr="001715D3">
              <w:rPr>
                <w:rFonts w:ascii="Arial" w:hAnsi="Arial" w:cs="Arial"/>
                <w:sz w:val="18"/>
                <w:szCs w:val="18"/>
                <w:lang w:val="en-GB"/>
              </w:rPr>
              <w:t>577</w:t>
            </w:r>
            <w:r w:rsidR="008A33CD" w:rsidRPr="001715D3">
              <w:rPr>
                <w:rFonts w:ascii="Arial" w:hAnsi="Arial" w:cs="Arial"/>
                <w:sz w:val="18"/>
                <w:szCs w:val="18"/>
                <w:lang w:val="en-GB"/>
              </w:rPr>
              <w:t>,</w:t>
            </w:r>
            <w:r w:rsidRPr="001715D3">
              <w:rPr>
                <w:rFonts w:ascii="Arial" w:hAnsi="Arial" w:cs="Arial"/>
                <w:sz w:val="18"/>
                <w:szCs w:val="18"/>
                <w:lang w:val="en-GB"/>
              </w:rPr>
              <w:t>180</w:t>
            </w:r>
          </w:p>
        </w:tc>
      </w:tr>
      <w:tr w:rsidR="002C3A1A" w:rsidRPr="001715D3" w14:paraId="610E5223" w14:textId="77777777" w:rsidTr="0000700E">
        <w:trPr>
          <w:jc w:val="center"/>
        </w:trPr>
        <w:tc>
          <w:tcPr>
            <w:tcW w:w="1685" w:type="dxa"/>
            <w:vAlign w:val="center"/>
          </w:tcPr>
          <w:p w14:paraId="4E6C9BAD"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2013</w:t>
            </w:r>
          </w:p>
        </w:tc>
        <w:tc>
          <w:tcPr>
            <w:tcW w:w="1134" w:type="dxa"/>
            <w:vAlign w:val="center"/>
          </w:tcPr>
          <w:p w14:paraId="379D0D98" w14:textId="6961F119"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946</w:t>
            </w:r>
          </w:p>
        </w:tc>
        <w:tc>
          <w:tcPr>
            <w:tcW w:w="1701" w:type="dxa"/>
            <w:tcBorders>
              <w:right w:val="single" w:sz="4" w:space="0" w:color="auto"/>
            </w:tcBorders>
            <w:vAlign w:val="center"/>
          </w:tcPr>
          <w:p w14:paraId="1F1F6094" w14:textId="4E32BCDE"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318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1C8D7DF" w14:textId="07B8F33D"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6</w:t>
            </w:r>
            <w:r w:rsidR="008A33CD" w:rsidRPr="001715D3">
              <w:rPr>
                <w:rFonts w:ascii="Arial" w:hAnsi="Arial" w:cs="Arial"/>
                <w:sz w:val="18"/>
                <w:szCs w:val="18"/>
                <w:lang w:val="en-GB"/>
              </w:rPr>
              <w:t>,</w:t>
            </w:r>
            <w:r w:rsidRPr="001715D3">
              <w:rPr>
                <w:rFonts w:ascii="Arial" w:hAnsi="Arial" w:cs="Arial"/>
                <w:sz w:val="18"/>
                <w:szCs w:val="18"/>
                <w:lang w:val="en-GB"/>
              </w:rPr>
              <w:t>828</w:t>
            </w:r>
            <w:r w:rsidR="008A33CD" w:rsidRPr="001715D3">
              <w:rPr>
                <w:rFonts w:ascii="Arial" w:hAnsi="Arial" w:cs="Arial"/>
                <w:sz w:val="18"/>
                <w:szCs w:val="18"/>
                <w:lang w:val="en-GB"/>
              </w:rPr>
              <w:t>,</w:t>
            </w:r>
            <w:r w:rsidRPr="001715D3">
              <w:rPr>
                <w:rFonts w:ascii="Arial" w:hAnsi="Arial" w:cs="Arial"/>
                <w:sz w:val="18"/>
                <w:szCs w:val="18"/>
                <w:lang w:val="en-GB"/>
              </w:rPr>
              <w:t>828</w:t>
            </w:r>
          </w:p>
        </w:tc>
      </w:tr>
      <w:tr w:rsidR="002C3A1A" w:rsidRPr="001715D3" w14:paraId="61ADC9BA" w14:textId="77777777" w:rsidTr="0000700E">
        <w:trPr>
          <w:jc w:val="center"/>
        </w:trPr>
        <w:tc>
          <w:tcPr>
            <w:tcW w:w="1685" w:type="dxa"/>
            <w:vAlign w:val="center"/>
          </w:tcPr>
          <w:p w14:paraId="7D71F788"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2014</w:t>
            </w:r>
          </w:p>
        </w:tc>
        <w:tc>
          <w:tcPr>
            <w:tcW w:w="1134" w:type="dxa"/>
            <w:vAlign w:val="center"/>
          </w:tcPr>
          <w:p w14:paraId="18320F0D" w14:textId="6D6B4E61"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827</w:t>
            </w:r>
          </w:p>
        </w:tc>
        <w:tc>
          <w:tcPr>
            <w:tcW w:w="1701" w:type="dxa"/>
            <w:tcBorders>
              <w:right w:val="single" w:sz="4" w:space="0" w:color="auto"/>
            </w:tcBorders>
            <w:vAlign w:val="center"/>
          </w:tcPr>
          <w:p w14:paraId="537815E7" w14:textId="0B847162"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264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0ED10E4" w14:textId="5D5818F1"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6</w:t>
            </w:r>
            <w:r w:rsidR="008A33CD" w:rsidRPr="001715D3">
              <w:rPr>
                <w:rFonts w:ascii="Arial" w:hAnsi="Arial" w:cs="Arial"/>
                <w:sz w:val="18"/>
                <w:szCs w:val="18"/>
                <w:lang w:val="en-GB"/>
              </w:rPr>
              <w:t>,</w:t>
            </w:r>
            <w:r w:rsidRPr="001715D3">
              <w:rPr>
                <w:rFonts w:ascii="Arial" w:hAnsi="Arial" w:cs="Arial"/>
                <w:sz w:val="18"/>
                <w:szCs w:val="18"/>
                <w:lang w:val="en-GB"/>
              </w:rPr>
              <w:t>400</w:t>
            </w:r>
            <w:r w:rsidR="008A33CD" w:rsidRPr="001715D3">
              <w:rPr>
                <w:rFonts w:ascii="Arial" w:hAnsi="Arial" w:cs="Arial"/>
                <w:sz w:val="18"/>
                <w:szCs w:val="18"/>
                <w:lang w:val="en-GB"/>
              </w:rPr>
              <w:t>,</w:t>
            </w:r>
            <w:r w:rsidRPr="001715D3">
              <w:rPr>
                <w:rFonts w:ascii="Arial" w:hAnsi="Arial" w:cs="Arial"/>
                <w:sz w:val="18"/>
                <w:szCs w:val="18"/>
                <w:lang w:val="en-GB"/>
              </w:rPr>
              <w:t>328</w:t>
            </w:r>
          </w:p>
        </w:tc>
      </w:tr>
      <w:tr w:rsidR="002C3A1A" w:rsidRPr="001715D3" w14:paraId="206502CB" w14:textId="77777777" w:rsidTr="0000700E">
        <w:trPr>
          <w:jc w:val="center"/>
        </w:trPr>
        <w:tc>
          <w:tcPr>
            <w:tcW w:w="1685" w:type="dxa"/>
            <w:vAlign w:val="center"/>
          </w:tcPr>
          <w:p w14:paraId="6320C8AC"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2015</w:t>
            </w:r>
          </w:p>
        </w:tc>
        <w:tc>
          <w:tcPr>
            <w:tcW w:w="1134" w:type="dxa"/>
            <w:vAlign w:val="center"/>
          </w:tcPr>
          <w:p w14:paraId="7BBF6218" w14:textId="48AADA92"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469</w:t>
            </w:r>
          </w:p>
        </w:tc>
        <w:tc>
          <w:tcPr>
            <w:tcW w:w="1701" w:type="dxa"/>
            <w:tcBorders>
              <w:right w:val="single" w:sz="4" w:space="0" w:color="auto"/>
            </w:tcBorders>
            <w:vAlign w:val="center"/>
          </w:tcPr>
          <w:p w14:paraId="78233D55" w14:textId="72FE832E"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1</w:t>
            </w:r>
            <w:r w:rsidR="008A33CD" w:rsidRPr="001715D3">
              <w:rPr>
                <w:rFonts w:ascii="Arial" w:hAnsi="Arial" w:cs="Arial"/>
                <w:sz w:val="18"/>
                <w:szCs w:val="18"/>
                <w:lang w:val="en-GB"/>
              </w:rPr>
              <w:t>,</w:t>
            </w:r>
            <w:r w:rsidRPr="001715D3">
              <w:rPr>
                <w:rFonts w:ascii="Arial" w:hAnsi="Arial" w:cs="Arial"/>
                <w:sz w:val="18"/>
                <w:szCs w:val="18"/>
                <w:lang w:val="en-GB"/>
              </w:rPr>
              <w:t>887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AF4E794" w14:textId="17C1AEB8"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4</w:t>
            </w:r>
            <w:r w:rsidR="008A33CD" w:rsidRPr="001715D3">
              <w:rPr>
                <w:rFonts w:ascii="Arial" w:hAnsi="Arial" w:cs="Arial"/>
                <w:sz w:val="18"/>
                <w:szCs w:val="18"/>
                <w:lang w:val="en-GB"/>
              </w:rPr>
              <w:t>,</w:t>
            </w:r>
            <w:r w:rsidRPr="001715D3">
              <w:rPr>
                <w:rFonts w:ascii="Arial" w:hAnsi="Arial" w:cs="Arial"/>
                <w:sz w:val="18"/>
                <w:szCs w:val="18"/>
                <w:lang w:val="en-GB"/>
              </w:rPr>
              <w:t>659</w:t>
            </w:r>
            <w:r w:rsidR="008A33CD" w:rsidRPr="001715D3">
              <w:rPr>
                <w:rFonts w:ascii="Arial" w:hAnsi="Arial" w:cs="Arial"/>
                <w:sz w:val="18"/>
                <w:szCs w:val="18"/>
                <w:lang w:val="en-GB"/>
              </w:rPr>
              <w:t>,</w:t>
            </w:r>
            <w:r w:rsidRPr="001715D3">
              <w:rPr>
                <w:rFonts w:ascii="Arial" w:hAnsi="Arial" w:cs="Arial"/>
                <w:sz w:val="18"/>
                <w:szCs w:val="18"/>
                <w:lang w:val="en-GB"/>
              </w:rPr>
              <w:t>003</w:t>
            </w:r>
          </w:p>
        </w:tc>
      </w:tr>
      <w:tr w:rsidR="002C3A1A" w:rsidRPr="001715D3" w14:paraId="5A3DADA9" w14:textId="77777777" w:rsidTr="0000700E">
        <w:trPr>
          <w:jc w:val="center"/>
        </w:trPr>
        <w:tc>
          <w:tcPr>
            <w:tcW w:w="1685" w:type="dxa"/>
            <w:vAlign w:val="center"/>
          </w:tcPr>
          <w:p w14:paraId="5E28DA1F"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2016 projected</w:t>
            </w:r>
          </w:p>
        </w:tc>
        <w:tc>
          <w:tcPr>
            <w:tcW w:w="1134" w:type="dxa"/>
            <w:vAlign w:val="center"/>
          </w:tcPr>
          <w:p w14:paraId="6044AFD3" w14:textId="5D8FEC47"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600</w:t>
            </w:r>
          </w:p>
        </w:tc>
        <w:tc>
          <w:tcPr>
            <w:tcW w:w="1701" w:type="dxa"/>
            <w:tcBorders>
              <w:right w:val="single" w:sz="4" w:space="0" w:color="auto"/>
            </w:tcBorders>
            <w:vAlign w:val="center"/>
          </w:tcPr>
          <w:p w14:paraId="461A2651" w14:textId="28FB7FF6"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3CC425" w14:textId="7C588229"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5</w:t>
            </w:r>
            <w:r w:rsidR="008A33CD" w:rsidRPr="001715D3">
              <w:rPr>
                <w:rFonts w:ascii="Arial" w:hAnsi="Arial" w:cs="Arial"/>
                <w:sz w:val="18"/>
                <w:szCs w:val="18"/>
                <w:lang w:val="en-GB"/>
              </w:rPr>
              <w:t>,</w:t>
            </w:r>
            <w:r w:rsidRPr="001715D3">
              <w:rPr>
                <w:rFonts w:ascii="Arial" w:hAnsi="Arial" w:cs="Arial"/>
                <w:sz w:val="18"/>
                <w:szCs w:val="18"/>
                <w:lang w:val="en-GB"/>
              </w:rPr>
              <w:t>200</w:t>
            </w:r>
            <w:r w:rsidR="008A33CD" w:rsidRPr="001715D3">
              <w:rPr>
                <w:rFonts w:ascii="Arial" w:hAnsi="Arial" w:cs="Arial"/>
                <w:sz w:val="18"/>
                <w:szCs w:val="18"/>
                <w:lang w:val="en-GB"/>
              </w:rPr>
              <w:t>,</w:t>
            </w:r>
            <w:r w:rsidRPr="001715D3">
              <w:rPr>
                <w:rFonts w:ascii="Arial" w:hAnsi="Arial" w:cs="Arial"/>
                <w:sz w:val="18"/>
                <w:szCs w:val="18"/>
                <w:lang w:val="en-GB"/>
              </w:rPr>
              <w:t>000</w:t>
            </w:r>
          </w:p>
        </w:tc>
      </w:tr>
      <w:tr w:rsidR="002C3A1A" w:rsidRPr="001715D3" w14:paraId="0F2BAA96" w14:textId="77777777" w:rsidTr="0000700E">
        <w:trPr>
          <w:jc w:val="center"/>
        </w:trPr>
        <w:tc>
          <w:tcPr>
            <w:tcW w:w="1685" w:type="dxa"/>
            <w:vAlign w:val="center"/>
          </w:tcPr>
          <w:p w14:paraId="0B3C0DBB"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2017 projected</w:t>
            </w:r>
          </w:p>
        </w:tc>
        <w:tc>
          <w:tcPr>
            <w:tcW w:w="1134" w:type="dxa"/>
            <w:vAlign w:val="center"/>
          </w:tcPr>
          <w:p w14:paraId="19E7708A" w14:textId="75684671"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678</w:t>
            </w:r>
          </w:p>
        </w:tc>
        <w:tc>
          <w:tcPr>
            <w:tcW w:w="1701" w:type="dxa"/>
            <w:tcBorders>
              <w:right w:val="single" w:sz="4" w:space="0" w:color="auto"/>
            </w:tcBorders>
            <w:vAlign w:val="center"/>
          </w:tcPr>
          <w:p w14:paraId="5ED51B0C" w14:textId="5368CAC5"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286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07B8F0D" w14:textId="6A865D5F"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6</w:t>
            </w:r>
            <w:r w:rsidR="008A33CD" w:rsidRPr="001715D3">
              <w:rPr>
                <w:rFonts w:ascii="Arial" w:hAnsi="Arial" w:cs="Arial"/>
                <w:sz w:val="18"/>
                <w:szCs w:val="18"/>
                <w:lang w:val="en-GB"/>
              </w:rPr>
              <w:t>,</w:t>
            </w:r>
            <w:r w:rsidRPr="001715D3">
              <w:rPr>
                <w:rFonts w:ascii="Arial" w:hAnsi="Arial" w:cs="Arial"/>
                <w:sz w:val="18"/>
                <w:szCs w:val="18"/>
                <w:lang w:val="en-GB"/>
              </w:rPr>
              <w:t>121</w:t>
            </w:r>
            <w:r w:rsidR="008A33CD" w:rsidRPr="001715D3">
              <w:rPr>
                <w:rFonts w:ascii="Arial" w:hAnsi="Arial" w:cs="Arial"/>
                <w:sz w:val="18"/>
                <w:szCs w:val="18"/>
                <w:lang w:val="en-GB"/>
              </w:rPr>
              <w:t>,</w:t>
            </w:r>
            <w:r w:rsidRPr="001715D3">
              <w:rPr>
                <w:rFonts w:ascii="Arial" w:hAnsi="Arial" w:cs="Arial"/>
                <w:sz w:val="18"/>
                <w:szCs w:val="18"/>
                <w:lang w:val="en-GB"/>
              </w:rPr>
              <w:t>908</w:t>
            </w:r>
          </w:p>
        </w:tc>
      </w:tr>
      <w:tr w:rsidR="002C3A1A" w:rsidRPr="001715D3" w14:paraId="1D90DF84" w14:textId="77777777" w:rsidTr="0000700E">
        <w:trPr>
          <w:jc w:val="center"/>
        </w:trPr>
        <w:tc>
          <w:tcPr>
            <w:tcW w:w="1685" w:type="dxa"/>
            <w:vAlign w:val="center"/>
          </w:tcPr>
          <w:p w14:paraId="193BED33"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2018 projected</w:t>
            </w:r>
          </w:p>
        </w:tc>
        <w:tc>
          <w:tcPr>
            <w:tcW w:w="1134" w:type="dxa"/>
            <w:vAlign w:val="center"/>
          </w:tcPr>
          <w:p w14:paraId="2B07738D" w14:textId="3C635769"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758</w:t>
            </w:r>
          </w:p>
        </w:tc>
        <w:tc>
          <w:tcPr>
            <w:tcW w:w="1701" w:type="dxa"/>
            <w:tcBorders>
              <w:right w:val="single" w:sz="4" w:space="0" w:color="auto"/>
            </w:tcBorders>
            <w:vAlign w:val="center"/>
          </w:tcPr>
          <w:p w14:paraId="57E8C0A3" w14:textId="7637CF90"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355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73313F2" w14:textId="3FB8F6BB"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6</w:t>
            </w:r>
            <w:r w:rsidR="008A33CD" w:rsidRPr="001715D3">
              <w:rPr>
                <w:rFonts w:ascii="Arial" w:hAnsi="Arial" w:cs="Arial"/>
                <w:sz w:val="18"/>
                <w:szCs w:val="18"/>
                <w:lang w:val="en-GB"/>
              </w:rPr>
              <w:t>,</w:t>
            </w:r>
            <w:r w:rsidRPr="001715D3">
              <w:rPr>
                <w:rFonts w:ascii="Arial" w:hAnsi="Arial" w:cs="Arial"/>
                <w:sz w:val="18"/>
                <w:szCs w:val="18"/>
                <w:lang w:val="en-GB"/>
              </w:rPr>
              <w:t>495</w:t>
            </w:r>
            <w:r w:rsidR="008A33CD" w:rsidRPr="001715D3">
              <w:rPr>
                <w:rFonts w:ascii="Arial" w:hAnsi="Arial" w:cs="Arial"/>
                <w:sz w:val="18"/>
                <w:szCs w:val="18"/>
                <w:lang w:val="en-GB"/>
              </w:rPr>
              <w:t>,</w:t>
            </w:r>
            <w:r w:rsidRPr="001715D3">
              <w:rPr>
                <w:rFonts w:ascii="Arial" w:hAnsi="Arial" w:cs="Arial"/>
                <w:sz w:val="18"/>
                <w:szCs w:val="18"/>
                <w:lang w:val="en-GB"/>
              </w:rPr>
              <w:t>090</w:t>
            </w:r>
          </w:p>
        </w:tc>
      </w:tr>
      <w:tr w:rsidR="002C3A1A" w:rsidRPr="001715D3" w14:paraId="69C1332D" w14:textId="77777777" w:rsidTr="0000700E">
        <w:trPr>
          <w:jc w:val="center"/>
        </w:trPr>
        <w:tc>
          <w:tcPr>
            <w:tcW w:w="1685" w:type="dxa"/>
            <w:vAlign w:val="center"/>
          </w:tcPr>
          <w:p w14:paraId="59DB920F"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2019 projected</w:t>
            </w:r>
          </w:p>
        </w:tc>
        <w:tc>
          <w:tcPr>
            <w:tcW w:w="1134" w:type="dxa"/>
            <w:vAlign w:val="center"/>
          </w:tcPr>
          <w:p w14:paraId="577F31C0" w14:textId="4A1D2272"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841</w:t>
            </w:r>
          </w:p>
        </w:tc>
        <w:tc>
          <w:tcPr>
            <w:tcW w:w="1701" w:type="dxa"/>
            <w:tcBorders>
              <w:right w:val="single" w:sz="4" w:space="0" w:color="auto"/>
            </w:tcBorders>
            <w:vAlign w:val="center"/>
          </w:tcPr>
          <w:p w14:paraId="45A46698" w14:textId="5622CC02"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425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F00B8DF" w14:textId="35DE2905"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6</w:t>
            </w:r>
            <w:r w:rsidR="008A33CD" w:rsidRPr="001715D3">
              <w:rPr>
                <w:rFonts w:ascii="Arial" w:hAnsi="Arial" w:cs="Arial"/>
                <w:sz w:val="18"/>
                <w:szCs w:val="18"/>
                <w:lang w:val="en-GB"/>
              </w:rPr>
              <w:t>,</w:t>
            </w:r>
            <w:r w:rsidRPr="001715D3">
              <w:rPr>
                <w:rFonts w:ascii="Arial" w:hAnsi="Arial" w:cs="Arial"/>
                <w:sz w:val="18"/>
                <w:szCs w:val="18"/>
                <w:lang w:val="en-GB"/>
              </w:rPr>
              <w:t>889</w:t>
            </w:r>
            <w:r w:rsidR="008A33CD" w:rsidRPr="001715D3">
              <w:rPr>
                <w:rFonts w:ascii="Arial" w:hAnsi="Arial" w:cs="Arial"/>
                <w:sz w:val="18"/>
                <w:szCs w:val="18"/>
                <w:lang w:val="en-GB"/>
              </w:rPr>
              <w:t>,</w:t>
            </w:r>
            <w:r w:rsidRPr="001715D3">
              <w:rPr>
                <w:rFonts w:ascii="Arial" w:hAnsi="Arial" w:cs="Arial"/>
                <w:sz w:val="18"/>
                <w:szCs w:val="18"/>
                <w:lang w:val="en-GB"/>
              </w:rPr>
              <w:t>425</w:t>
            </w:r>
          </w:p>
        </w:tc>
      </w:tr>
      <w:tr w:rsidR="00FE6625" w:rsidRPr="001715D3" w14:paraId="5389A4F2" w14:textId="77777777" w:rsidTr="0000700E">
        <w:trPr>
          <w:jc w:val="center"/>
        </w:trPr>
        <w:tc>
          <w:tcPr>
            <w:tcW w:w="1685" w:type="dxa"/>
            <w:vAlign w:val="center"/>
          </w:tcPr>
          <w:p w14:paraId="33D54254" w14:textId="77777777" w:rsidR="00FE6625" w:rsidRPr="001715D3" w:rsidRDefault="00FE6625" w:rsidP="0000700E">
            <w:pPr>
              <w:rPr>
                <w:rFonts w:ascii="Arial" w:hAnsi="Arial" w:cs="Arial"/>
                <w:sz w:val="18"/>
                <w:szCs w:val="18"/>
                <w:lang w:val="en-GB"/>
              </w:rPr>
            </w:pPr>
            <w:r w:rsidRPr="001715D3">
              <w:rPr>
                <w:rFonts w:ascii="Arial" w:hAnsi="Arial" w:cs="Arial"/>
                <w:sz w:val="18"/>
                <w:szCs w:val="18"/>
                <w:lang w:val="en-GB"/>
              </w:rPr>
              <w:t>2020 projected</w:t>
            </w:r>
          </w:p>
        </w:tc>
        <w:tc>
          <w:tcPr>
            <w:tcW w:w="1134" w:type="dxa"/>
            <w:vAlign w:val="center"/>
          </w:tcPr>
          <w:p w14:paraId="175E6975" w14:textId="5ABF5E4E"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926</w:t>
            </w:r>
          </w:p>
        </w:tc>
        <w:tc>
          <w:tcPr>
            <w:tcW w:w="1701" w:type="dxa"/>
            <w:tcBorders>
              <w:right w:val="single" w:sz="4" w:space="0" w:color="auto"/>
            </w:tcBorders>
            <w:vAlign w:val="center"/>
          </w:tcPr>
          <w:p w14:paraId="1C007849" w14:textId="0FF95CF2"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2</w:t>
            </w:r>
            <w:r w:rsidR="008A33CD" w:rsidRPr="001715D3">
              <w:rPr>
                <w:rFonts w:ascii="Arial" w:hAnsi="Arial" w:cs="Arial"/>
                <w:sz w:val="18"/>
                <w:szCs w:val="18"/>
                <w:lang w:val="en-GB"/>
              </w:rPr>
              <w:t>,</w:t>
            </w:r>
            <w:r w:rsidRPr="001715D3">
              <w:rPr>
                <w:rFonts w:ascii="Arial" w:hAnsi="Arial" w:cs="Arial"/>
                <w:sz w:val="18"/>
                <w:szCs w:val="18"/>
                <w:lang w:val="en-GB"/>
              </w:rPr>
              <w:t>498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91346A2" w14:textId="26D86A6D" w:rsidR="00FE6625" w:rsidRPr="001715D3" w:rsidRDefault="00FE6625" w:rsidP="0000700E">
            <w:pPr>
              <w:jc w:val="center"/>
              <w:rPr>
                <w:rFonts w:ascii="Arial" w:hAnsi="Arial" w:cs="Arial"/>
                <w:sz w:val="18"/>
                <w:szCs w:val="18"/>
                <w:lang w:val="en-GB"/>
              </w:rPr>
            </w:pPr>
            <w:r w:rsidRPr="001715D3">
              <w:rPr>
                <w:rFonts w:ascii="Arial" w:hAnsi="Arial" w:cs="Arial"/>
                <w:sz w:val="18"/>
                <w:szCs w:val="18"/>
                <w:lang w:val="en-GB"/>
              </w:rPr>
              <w:t>7</w:t>
            </w:r>
            <w:r w:rsidR="008A33CD" w:rsidRPr="001715D3">
              <w:rPr>
                <w:rFonts w:ascii="Arial" w:hAnsi="Arial" w:cs="Arial"/>
                <w:sz w:val="18"/>
                <w:szCs w:val="18"/>
                <w:lang w:val="en-GB"/>
              </w:rPr>
              <w:t>,</w:t>
            </w:r>
            <w:r w:rsidRPr="001715D3">
              <w:rPr>
                <w:rFonts w:ascii="Arial" w:hAnsi="Arial" w:cs="Arial"/>
                <w:sz w:val="18"/>
                <w:szCs w:val="18"/>
                <w:lang w:val="en-GB"/>
              </w:rPr>
              <w:t>309</w:t>
            </w:r>
            <w:r w:rsidR="008A33CD" w:rsidRPr="001715D3">
              <w:rPr>
                <w:rFonts w:ascii="Arial" w:hAnsi="Arial" w:cs="Arial"/>
                <w:sz w:val="18"/>
                <w:szCs w:val="18"/>
                <w:lang w:val="en-GB"/>
              </w:rPr>
              <w:t>,</w:t>
            </w:r>
            <w:r w:rsidRPr="001715D3">
              <w:rPr>
                <w:rFonts w:ascii="Arial" w:hAnsi="Arial" w:cs="Arial"/>
                <w:sz w:val="18"/>
                <w:szCs w:val="18"/>
                <w:lang w:val="en-GB"/>
              </w:rPr>
              <w:t>148</w:t>
            </w:r>
          </w:p>
        </w:tc>
      </w:tr>
    </w:tbl>
    <w:p w14:paraId="3D7E2140" w14:textId="77777777" w:rsidR="008A33CD" w:rsidRPr="001715D3" w:rsidRDefault="008A33CD" w:rsidP="008A33CD">
      <w:pPr>
        <w:pStyle w:val="Footnote"/>
        <w:rPr>
          <w:lang w:val="en-GB"/>
        </w:rPr>
      </w:pPr>
    </w:p>
    <w:p w14:paraId="2AC35948" w14:textId="77777777" w:rsidR="00FE6625" w:rsidRPr="001715D3" w:rsidRDefault="00FE6625" w:rsidP="00FE6625">
      <w:pPr>
        <w:ind w:left="720"/>
        <w:jc w:val="both"/>
        <w:rPr>
          <w:rFonts w:ascii="Arial" w:hAnsi="Arial" w:cs="Arial"/>
          <w:sz w:val="18"/>
          <w:szCs w:val="18"/>
          <w:lang w:val="en-GB"/>
        </w:rPr>
      </w:pPr>
    </w:p>
    <w:p w14:paraId="2344E0CC" w14:textId="0D11D335" w:rsidR="00FE6625" w:rsidRPr="001715D3" w:rsidRDefault="00FE6625" w:rsidP="00FE6625">
      <w:pPr>
        <w:numPr>
          <w:ilvl w:val="0"/>
          <w:numId w:val="21"/>
        </w:numPr>
        <w:jc w:val="both"/>
        <w:rPr>
          <w:rFonts w:ascii="Arial" w:hAnsi="Arial" w:cs="Arial"/>
          <w:sz w:val="18"/>
          <w:szCs w:val="18"/>
          <w:lang w:val="en-GB"/>
        </w:rPr>
      </w:pPr>
      <w:r w:rsidRPr="001715D3">
        <w:rPr>
          <w:rFonts w:ascii="Arial" w:hAnsi="Arial" w:cs="Arial"/>
          <w:sz w:val="18"/>
          <w:szCs w:val="18"/>
          <w:lang w:val="en-GB"/>
        </w:rPr>
        <w:t>Other revenues</w:t>
      </w:r>
      <w:r w:rsidR="0098274C" w:rsidRPr="001715D3">
        <w:rPr>
          <w:rFonts w:ascii="Arial" w:hAnsi="Arial" w:cs="Arial"/>
          <w:sz w:val="18"/>
          <w:szCs w:val="18"/>
          <w:lang w:val="en-GB"/>
        </w:rPr>
        <w:t>,</w:t>
      </w:r>
      <w:r w:rsidRPr="001715D3">
        <w:rPr>
          <w:rFonts w:ascii="Arial" w:hAnsi="Arial" w:cs="Arial"/>
          <w:sz w:val="18"/>
          <w:szCs w:val="18"/>
          <w:lang w:val="en-GB"/>
        </w:rPr>
        <w:t xml:space="preserve"> in the form of “Miscellaneous” and “Finance and Investment Income</w:t>
      </w:r>
      <w:r w:rsidR="0098274C" w:rsidRPr="001715D3">
        <w:rPr>
          <w:rFonts w:ascii="Arial" w:hAnsi="Arial" w:cs="Arial"/>
          <w:sz w:val="18"/>
          <w:szCs w:val="18"/>
          <w:lang w:val="en-GB"/>
        </w:rPr>
        <w:t>,</w:t>
      </w:r>
      <w:r w:rsidRPr="001715D3">
        <w:rPr>
          <w:rFonts w:ascii="Arial" w:hAnsi="Arial" w:cs="Arial"/>
          <w:sz w:val="18"/>
          <w:szCs w:val="18"/>
          <w:lang w:val="en-GB"/>
        </w:rPr>
        <w:t>” were assumed to stay the same as 2015.</w:t>
      </w:r>
    </w:p>
    <w:p w14:paraId="2470AA15" w14:textId="77777777" w:rsidR="00FE6625" w:rsidRPr="001715D3" w:rsidRDefault="00FE6625" w:rsidP="00FE6625">
      <w:pPr>
        <w:ind w:left="720"/>
        <w:jc w:val="both"/>
        <w:rPr>
          <w:rFonts w:ascii="Arial" w:hAnsi="Arial" w:cs="Arial"/>
          <w:sz w:val="18"/>
          <w:szCs w:val="18"/>
          <w:lang w:val="en-GB"/>
        </w:rPr>
      </w:pPr>
    </w:p>
    <w:p w14:paraId="1139B568" w14:textId="77777777" w:rsidR="00FE6625" w:rsidRPr="001715D3" w:rsidRDefault="00FE6625" w:rsidP="00FE6625">
      <w:pPr>
        <w:ind w:left="360" w:hanging="360"/>
        <w:rPr>
          <w:rFonts w:ascii="Arial" w:hAnsi="Arial" w:cs="Arial"/>
          <w:sz w:val="18"/>
          <w:szCs w:val="18"/>
          <w:lang w:val="en-GB"/>
        </w:rPr>
      </w:pPr>
      <w:r w:rsidRPr="001715D3">
        <w:rPr>
          <w:rFonts w:ascii="Arial" w:hAnsi="Arial" w:cs="Arial"/>
          <w:sz w:val="18"/>
          <w:szCs w:val="18"/>
          <w:lang w:val="en-GB"/>
        </w:rPr>
        <w:t xml:space="preserve">b. </w:t>
      </w:r>
      <w:r w:rsidRPr="001715D3">
        <w:rPr>
          <w:rFonts w:ascii="Arial" w:hAnsi="Arial" w:cs="Arial"/>
          <w:sz w:val="18"/>
          <w:szCs w:val="18"/>
          <w:lang w:val="en-GB"/>
        </w:rPr>
        <w:tab/>
        <w:t xml:space="preserve">Assumptions regarding costs:  </w:t>
      </w:r>
    </w:p>
    <w:p w14:paraId="6DF11F16" w14:textId="44C2E461" w:rsidR="00FE6625" w:rsidRPr="001715D3" w:rsidRDefault="00FE6625" w:rsidP="0000700E">
      <w:pPr>
        <w:pStyle w:val="Footnote"/>
        <w:numPr>
          <w:ilvl w:val="0"/>
          <w:numId w:val="21"/>
        </w:numPr>
        <w:rPr>
          <w:rFonts w:eastAsiaTheme="minorHAnsi"/>
          <w:lang w:val="en-GB"/>
        </w:rPr>
      </w:pPr>
      <w:r w:rsidRPr="001715D3">
        <w:rPr>
          <w:rFonts w:eastAsiaTheme="minorHAnsi"/>
          <w:lang w:val="en-GB"/>
        </w:rPr>
        <w:t>Since NOL had been improving its cost efficiency, the gross margin was predicted to improve steadily from 8.5</w:t>
      </w:r>
      <w:r w:rsidR="00D812DE" w:rsidRPr="001715D3">
        <w:rPr>
          <w:rFonts w:eastAsiaTheme="minorHAnsi"/>
          <w:lang w:val="en-GB"/>
        </w:rPr>
        <w:t xml:space="preserve"> per cent </w:t>
      </w:r>
      <w:r w:rsidRPr="001715D3">
        <w:rPr>
          <w:rFonts w:eastAsiaTheme="minorHAnsi"/>
          <w:lang w:val="en-GB"/>
        </w:rPr>
        <w:t>in 2016</w:t>
      </w:r>
      <w:r w:rsidR="0098274C" w:rsidRPr="001715D3">
        <w:rPr>
          <w:rFonts w:eastAsiaTheme="minorHAnsi"/>
          <w:lang w:val="en-GB"/>
        </w:rPr>
        <w:t>,</w:t>
      </w:r>
      <w:r w:rsidRPr="001715D3">
        <w:rPr>
          <w:rFonts w:eastAsiaTheme="minorHAnsi"/>
          <w:lang w:val="en-GB"/>
        </w:rPr>
        <w:t xml:space="preserve"> to 9.5</w:t>
      </w:r>
      <w:r w:rsidR="00D812DE" w:rsidRPr="001715D3">
        <w:rPr>
          <w:rFonts w:eastAsiaTheme="minorHAnsi"/>
          <w:lang w:val="en-GB"/>
        </w:rPr>
        <w:t xml:space="preserve"> per cent </w:t>
      </w:r>
      <w:r w:rsidRPr="001715D3">
        <w:rPr>
          <w:rFonts w:eastAsiaTheme="minorHAnsi"/>
          <w:lang w:val="en-GB"/>
        </w:rPr>
        <w:t>in 2017</w:t>
      </w:r>
      <w:r w:rsidR="0098274C" w:rsidRPr="001715D3">
        <w:rPr>
          <w:rFonts w:eastAsiaTheme="minorHAnsi"/>
          <w:lang w:val="en-GB"/>
        </w:rPr>
        <w:t>,</w:t>
      </w:r>
      <w:r w:rsidRPr="001715D3">
        <w:rPr>
          <w:rFonts w:eastAsiaTheme="minorHAnsi"/>
          <w:lang w:val="en-GB"/>
        </w:rPr>
        <w:t xml:space="preserve"> and to 10</w:t>
      </w:r>
      <w:r w:rsidR="00D812DE" w:rsidRPr="001715D3">
        <w:rPr>
          <w:rFonts w:eastAsiaTheme="minorHAnsi"/>
          <w:lang w:val="en-GB"/>
        </w:rPr>
        <w:t xml:space="preserve"> per cent </w:t>
      </w:r>
      <w:r w:rsidR="000E299F" w:rsidRPr="001715D3">
        <w:rPr>
          <w:rFonts w:eastAsiaTheme="minorHAnsi"/>
          <w:lang w:val="en-GB"/>
        </w:rPr>
        <w:t>in 2018, 2019</w:t>
      </w:r>
      <w:r w:rsidR="0098274C" w:rsidRPr="001715D3">
        <w:rPr>
          <w:rFonts w:eastAsiaTheme="minorHAnsi"/>
          <w:lang w:val="en-GB"/>
        </w:rPr>
        <w:t>,</w:t>
      </w:r>
      <w:r w:rsidR="000E299F" w:rsidRPr="001715D3">
        <w:rPr>
          <w:rFonts w:eastAsiaTheme="minorHAnsi"/>
          <w:lang w:val="en-GB"/>
        </w:rPr>
        <w:t xml:space="preserve"> and 2020</w:t>
      </w:r>
      <w:r w:rsidRPr="001715D3">
        <w:rPr>
          <w:rFonts w:eastAsiaTheme="minorHAnsi"/>
          <w:lang w:val="en-GB"/>
        </w:rPr>
        <w:t>. This estimat</w:t>
      </w:r>
      <w:r w:rsidR="0098274C" w:rsidRPr="001715D3">
        <w:rPr>
          <w:rFonts w:eastAsiaTheme="minorHAnsi"/>
          <w:lang w:val="en-GB"/>
        </w:rPr>
        <w:t>e</w:t>
      </w:r>
      <w:r w:rsidRPr="001715D3">
        <w:rPr>
          <w:rFonts w:eastAsiaTheme="minorHAnsi"/>
          <w:lang w:val="en-GB"/>
        </w:rPr>
        <w:t xml:space="preserve"> was relatively conservative </w:t>
      </w:r>
      <w:r w:rsidR="0098274C" w:rsidRPr="001715D3">
        <w:rPr>
          <w:rFonts w:eastAsiaTheme="minorHAnsi"/>
          <w:lang w:val="en-GB"/>
        </w:rPr>
        <w:t>because</w:t>
      </w:r>
      <w:r w:rsidRPr="001715D3">
        <w:rPr>
          <w:rFonts w:eastAsiaTheme="minorHAnsi"/>
          <w:lang w:val="en-GB"/>
        </w:rPr>
        <w:t xml:space="preserve"> the gross margin before the oversupply situation set in was 14</w:t>
      </w:r>
      <w:r w:rsidR="00D812DE" w:rsidRPr="001715D3">
        <w:rPr>
          <w:rFonts w:eastAsiaTheme="minorHAnsi"/>
          <w:lang w:val="en-GB"/>
        </w:rPr>
        <w:t xml:space="preserve"> per cent. </w:t>
      </w:r>
    </w:p>
    <w:p w14:paraId="564273B2" w14:textId="04C578D4" w:rsidR="00FE6625" w:rsidRPr="001715D3" w:rsidRDefault="00FE6625" w:rsidP="00FE6625">
      <w:pPr>
        <w:numPr>
          <w:ilvl w:val="0"/>
          <w:numId w:val="21"/>
        </w:numPr>
        <w:ind w:left="714" w:hanging="357"/>
        <w:contextualSpacing/>
        <w:jc w:val="both"/>
        <w:rPr>
          <w:rFonts w:ascii="Arial" w:eastAsiaTheme="minorHAnsi" w:hAnsi="Arial" w:cs="Arial"/>
          <w:sz w:val="18"/>
          <w:szCs w:val="18"/>
          <w:lang w:val="en-GB"/>
        </w:rPr>
      </w:pPr>
      <w:r w:rsidRPr="001715D3">
        <w:rPr>
          <w:rFonts w:ascii="Arial" w:eastAsiaTheme="minorHAnsi" w:hAnsi="Arial" w:cs="Arial"/>
          <w:sz w:val="18"/>
          <w:szCs w:val="18"/>
          <w:lang w:val="en-GB"/>
        </w:rPr>
        <w:t xml:space="preserve">Other </w:t>
      </w:r>
      <w:r w:rsidR="00D812DE" w:rsidRPr="001715D3">
        <w:rPr>
          <w:rFonts w:ascii="Arial" w:eastAsiaTheme="minorHAnsi" w:hAnsi="Arial" w:cs="Arial"/>
          <w:sz w:val="18"/>
          <w:szCs w:val="18"/>
          <w:lang w:val="en-GB"/>
        </w:rPr>
        <w:t>e</w:t>
      </w:r>
      <w:r w:rsidRPr="001715D3">
        <w:rPr>
          <w:rFonts w:ascii="Arial" w:eastAsiaTheme="minorHAnsi" w:hAnsi="Arial" w:cs="Arial"/>
          <w:sz w:val="18"/>
          <w:szCs w:val="18"/>
          <w:lang w:val="en-GB"/>
        </w:rPr>
        <w:t>xpenses mainly consist</w:t>
      </w:r>
      <w:r w:rsidR="0098274C" w:rsidRPr="001715D3">
        <w:rPr>
          <w:rFonts w:ascii="Arial" w:eastAsiaTheme="minorHAnsi" w:hAnsi="Arial" w:cs="Arial"/>
          <w:sz w:val="18"/>
          <w:szCs w:val="18"/>
          <w:lang w:val="en-GB"/>
        </w:rPr>
        <w:t>ed</w:t>
      </w:r>
      <w:r w:rsidRPr="001715D3">
        <w:rPr>
          <w:rFonts w:ascii="Arial" w:eastAsiaTheme="minorHAnsi" w:hAnsi="Arial" w:cs="Arial"/>
          <w:sz w:val="18"/>
          <w:szCs w:val="18"/>
          <w:lang w:val="en-GB"/>
        </w:rPr>
        <w:t xml:space="preserve"> of </w:t>
      </w:r>
      <w:r w:rsidR="0098274C" w:rsidRPr="001715D3">
        <w:rPr>
          <w:rFonts w:ascii="Arial" w:eastAsiaTheme="minorHAnsi" w:hAnsi="Arial" w:cs="Arial"/>
          <w:sz w:val="18"/>
          <w:szCs w:val="18"/>
          <w:lang w:val="en-GB"/>
        </w:rPr>
        <w:t>a</w:t>
      </w:r>
      <w:r w:rsidRPr="001715D3">
        <w:rPr>
          <w:rFonts w:ascii="Arial" w:eastAsiaTheme="minorHAnsi" w:hAnsi="Arial" w:cs="Arial"/>
          <w:sz w:val="18"/>
          <w:szCs w:val="18"/>
          <w:lang w:val="en-GB"/>
        </w:rPr>
        <w:t xml:space="preserve">dministrative (IT and </w:t>
      </w:r>
      <w:r w:rsidR="00D812DE" w:rsidRPr="001715D3">
        <w:rPr>
          <w:rFonts w:ascii="Arial" w:eastAsiaTheme="minorHAnsi" w:hAnsi="Arial" w:cs="Arial"/>
          <w:sz w:val="18"/>
          <w:szCs w:val="18"/>
          <w:lang w:val="en-GB"/>
        </w:rPr>
        <w:t>n</w:t>
      </w:r>
      <w:r w:rsidRPr="001715D3">
        <w:rPr>
          <w:rFonts w:ascii="Arial" w:eastAsiaTheme="minorHAnsi" w:hAnsi="Arial" w:cs="Arial"/>
          <w:sz w:val="18"/>
          <w:szCs w:val="18"/>
          <w:lang w:val="en-GB"/>
        </w:rPr>
        <w:t xml:space="preserve">on-IT), and </w:t>
      </w:r>
      <w:r w:rsidR="00D812DE" w:rsidRPr="001715D3">
        <w:rPr>
          <w:rFonts w:ascii="Arial" w:eastAsiaTheme="minorHAnsi" w:hAnsi="Arial" w:cs="Arial"/>
          <w:sz w:val="18"/>
          <w:szCs w:val="18"/>
          <w:lang w:val="en-GB"/>
        </w:rPr>
        <w:t>f</w:t>
      </w:r>
      <w:r w:rsidRPr="001715D3">
        <w:rPr>
          <w:rFonts w:ascii="Arial" w:eastAsiaTheme="minorHAnsi" w:hAnsi="Arial" w:cs="Arial"/>
          <w:sz w:val="18"/>
          <w:szCs w:val="18"/>
          <w:lang w:val="en-GB"/>
        </w:rPr>
        <w:t>inance expenses. Administrative (IT) expenses were expected to grow at a low rate of 2</w:t>
      </w:r>
      <w:r w:rsidR="00D812DE" w:rsidRPr="001715D3">
        <w:rPr>
          <w:rFonts w:ascii="Arial" w:eastAsiaTheme="minorHAnsi" w:hAnsi="Arial" w:cs="Arial"/>
          <w:sz w:val="18"/>
          <w:szCs w:val="18"/>
          <w:lang w:val="en-GB"/>
        </w:rPr>
        <w:t xml:space="preserve"> per cent </w:t>
      </w:r>
      <w:r w:rsidRPr="001715D3">
        <w:rPr>
          <w:rFonts w:ascii="Arial" w:eastAsiaTheme="minorHAnsi" w:hAnsi="Arial" w:cs="Arial"/>
          <w:sz w:val="18"/>
          <w:szCs w:val="18"/>
          <w:lang w:val="en-GB"/>
        </w:rPr>
        <w:t xml:space="preserve">for the next </w:t>
      </w:r>
      <w:r w:rsidR="00D812DE" w:rsidRPr="001715D3">
        <w:rPr>
          <w:rFonts w:ascii="Arial" w:eastAsiaTheme="minorHAnsi" w:hAnsi="Arial" w:cs="Arial"/>
          <w:sz w:val="18"/>
          <w:szCs w:val="18"/>
          <w:lang w:val="en-GB"/>
        </w:rPr>
        <w:t xml:space="preserve">five </w:t>
      </w:r>
      <w:r w:rsidRPr="001715D3">
        <w:rPr>
          <w:rFonts w:ascii="Arial" w:eastAsiaTheme="minorHAnsi" w:hAnsi="Arial" w:cs="Arial"/>
          <w:sz w:val="18"/>
          <w:szCs w:val="18"/>
          <w:lang w:val="en-GB"/>
        </w:rPr>
        <w:t>years, to adjust for inflation and increase in revenue. Administrative (</w:t>
      </w:r>
      <w:r w:rsidR="00D812DE" w:rsidRPr="001715D3">
        <w:rPr>
          <w:rFonts w:ascii="Arial" w:eastAsiaTheme="minorHAnsi" w:hAnsi="Arial" w:cs="Arial"/>
          <w:sz w:val="18"/>
          <w:szCs w:val="18"/>
          <w:lang w:val="en-GB"/>
        </w:rPr>
        <w:t>n</w:t>
      </w:r>
      <w:r w:rsidRPr="001715D3">
        <w:rPr>
          <w:rFonts w:ascii="Arial" w:eastAsiaTheme="minorHAnsi" w:hAnsi="Arial" w:cs="Arial"/>
          <w:sz w:val="18"/>
          <w:szCs w:val="18"/>
          <w:lang w:val="en-GB"/>
        </w:rPr>
        <w:t xml:space="preserve">on-IT) </w:t>
      </w:r>
      <w:r w:rsidR="00D812DE" w:rsidRPr="001715D3">
        <w:rPr>
          <w:rFonts w:ascii="Arial" w:eastAsiaTheme="minorHAnsi" w:hAnsi="Arial" w:cs="Arial"/>
          <w:sz w:val="18"/>
          <w:szCs w:val="18"/>
          <w:lang w:val="en-GB"/>
        </w:rPr>
        <w:t>e</w:t>
      </w:r>
      <w:r w:rsidRPr="001715D3">
        <w:rPr>
          <w:rFonts w:ascii="Arial" w:eastAsiaTheme="minorHAnsi" w:hAnsi="Arial" w:cs="Arial"/>
          <w:sz w:val="18"/>
          <w:szCs w:val="18"/>
          <w:lang w:val="en-GB"/>
        </w:rPr>
        <w:t>xpense</w:t>
      </w:r>
      <w:r w:rsidR="0000700E">
        <w:rPr>
          <w:rFonts w:ascii="Arial" w:eastAsiaTheme="minorHAnsi" w:hAnsi="Arial" w:cs="Arial"/>
          <w:sz w:val="18"/>
          <w:szCs w:val="18"/>
          <w:lang w:val="en-GB"/>
        </w:rPr>
        <w:t>s were</w:t>
      </w:r>
      <w:r w:rsidRPr="001715D3">
        <w:rPr>
          <w:rFonts w:ascii="Arial" w:eastAsiaTheme="minorHAnsi" w:hAnsi="Arial" w:cs="Arial"/>
          <w:sz w:val="18"/>
          <w:szCs w:val="18"/>
          <w:lang w:val="en-GB"/>
        </w:rPr>
        <w:t xml:space="preserve"> expected to reduce by 8</w:t>
      </w:r>
      <w:r w:rsidR="00D812DE" w:rsidRPr="001715D3">
        <w:rPr>
          <w:rFonts w:ascii="Arial" w:eastAsiaTheme="minorHAnsi" w:hAnsi="Arial" w:cs="Arial"/>
          <w:sz w:val="18"/>
          <w:szCs w:val="18"/>
          <w:lang w:val="en-GB"/>
        </w:rPr>
        <w:t xml:space="preserve"> per cent </w:t>
      </w:r>
      <w:r w:rsidRPr="001715D3">
        <w:rPr>
          <w:rFonts w:ascii="Arial" w:eastAsiaTheme="minorHAnsi" w:hAnsi="Arial" w:cs="Arial"/>
          <w:sz w:val="18"/>
          <w:szCs w:val="18"/>
          <w:lang w:val="en-GB"/>
        </w:rPr>
        <w:t>and 4</w:t>
      </w:r>
      <w:r w:rsidR="00D812DE" w:rsidRPr="001715D3">
        <w:rPr>
          <w:rFonts w:ascii="Arial" w:eastAsiaTheme="minorHAnsi" w:hAnsi="Arial" w:cs="Arial"/>
          <w:sz w:val="18"/>
          <w:szCs w:val="18"/>
          <w:lang w:val="en-GB"/>
        </w:rPr>
        <w:t xml:space="preserve"> per cent </w:t>
      </w:r>
      <w:r w:rsidRPr="001715D3">
        <w:rPr>
          <w:rFonts w:ascii="Arial" w:eastAsiaTheme="minorHAnsi" w:hAnsi="Arial" w:cs="Arial"/>
          <w:sz w:val="18"/>
          <w:szCs w:val="18"/>
          <w:lang w:val="en-GB"/>
        </w:rPr>
        <w:t xml:space="preserve">for the next two years as NOL </w:t>
      </w:r>
      <w:r w:rsidR="0098274C" w:rsidRPr="001715D3">
        <w:rPr>
          <w:rFonts w:ascii="Arial" w:eastAsiaTheme="minorHAnsi" w:hAnsi="Arial" w:cs="Arial"/>
          <w:sz w:val="18"/>
          <w:szCs w:val="18"/>
          <w:lang w:val="en-GB"/>
        </w:rPr>
        <w:t>strove</w:t>
      </w:r>
      <w:r w:rsidRPr="001715D3">
        <w:rPr>
          <w:rFonts w:ascii="Arial" w:eastAsiaTheme="minorHAnsi" w:hAnsi="Arial" w:cs="Arial"/>
          <w:sz w:val="18"/>
          <w:szCs w:val="18"/>
          <w:lang w:val="en-GB"/>
        </w:rPr>
        <w:t xml:space="preserve"> to cut costs in this area, before growing at a positive 2</w:t>
      </w:r>
      <w:r w:rsidR="00D812DE" w:rsidRPr="001715D3">
        <w:rPr>
          <w:rFonts w:ascii="Arial" w:eastAsiaTheme="minorHAnsi" w:hAnsi="Arial" w:cs="Arial"/>
          <w:sz w:val="18"/>
          <w:szCs w:val="18"/>
          <w:lang w:val="en-GB"/>
        </w:rPr>
        <w:t xml:space="preserve"> per cent </w:t>
      </w:r>
      <w:r w:rsidRPr="001715D3">
        <w:rPr>
          <w:rFonts w:ascii="Arial" w:eastAsiaTheme="minorHAnsi" w:hAnsi="Arial" w:cs="Arial"/>
          <w:sz w:val="18"/>
          <w:szCs w:val="18"/>
          <w:lang w:val="en-GB"/>
        </w:rPr>
        <w:t>rate. The yearly finance expense was equal to</w:t>
      </w:r>
      <w:r w:rsidR="0000700E">
        <w:rPr>
          <w:rFonts w:ascii="Arial" w:eastAsiaTheme="minorHAnsi" w:hAnsi="Arial" w:cs="Arial"/>
          <w:sz w:val="18"/>
          <w:szCs w:val="18"/>
          <w:lang w:val="en-GB"/>
        </w:rPr>
        <w:t xml:space="preserve"> the</w:t>
      </w:r>
      <w:r w:rsidRPr="001715D3">
        <w:rPr>
          <w:rFonts w:ascii="Arial" w:eastAsiaTheme="minorHAnsi" w:hAnsi="Arial" w:cs="Arial"/>
          <w:sz w:val="18"/>
          <w:szCs w:val="18"/>
          <w:lang w:val="en-GB"/>
        </w:rPr>
        <w:t xml:space="preserve"> cost of debt (2.5</w:t>
      </w:r>
      <w:r w:rsidR="00D812DE" w:rsidRPr="001715D3">
        <w:rPr>
          <w:rFonts w:ascii="Arial" w:eastAsiaTheme="minorHAnsi" w:hAnsi="Arial" w:cs="Arial"/>
          <w:sz w:val="18"/>
          <w:szCs w:val="18"/>
          <w:lang w:val="en-GB"/>
        </w:rPr>
        <w:t xml:space="preserve"> per cent) </w:t>
      </w:r>
      <w:r w:rsidRPr="001715D3">
        <w:rPr>
          <w:rFonts w:ascii="Arial" w:eastAsiaTheme="minorHAnsi" w:hAnsi="Arial" w:cs="Arial"/>
          <w:sz w:val="18"/>
          <w:szCs w:val="18"/>
          <w:lang w:val="en-GB"/>
        </w:rPr>
        <w:t>multiplied by the total debt in the previous year. Other operating expenses w</w:t>
      </w:r>
      <w:r w:rsidR="00047F75" w:rsidRPr="001715D3">
        <w:rPr>
          <w:rFonts w:ascii="Arial" w:eastAsiaTheme="minorHAnsi" w:hAnsi="Arial" w:cs="Arial"/>
          <w:sz w:val="18"/>
          <w:szCs w:val="18"/>
          <w:lang w:val="en-GB"/>
        </w:rPr>
        <w:t>ere</w:t>
      </w:r>
      <w:r w:rsidRPr="001715D3">
        <w:rPr>
          <w:rFonts w:ascii="Arial" w:eastAsiaTheme="minorHAnsi" w:hAnsi="Arial" w:cs="Arial"/>
          <w:sz w:val="18"/>
          <w:szCs w:val="18"/>
          <w:lang w:val="en-GB"/>
        </w:rPr>
        <w:t xml:space="preserve"> assumed to stay the same as 2015.</w:t>
      </w:r>
    </w:p>
    <w:p w14:paraId="4E5D524C" w14:textId="77777777" w:rsidR="00FE6625" w:rsidRPr="001715D3" w:rsidRDefault="00FE6625" w:rsidP="00FE6625">
      <w:pPr>
        <w:jc w:val="both"/>
        <w:rPr>
          <w:rFonts w:ascii="Arial" w:hAnsi="Arial" w:cs="Arial"/>
          <w:sz w:val="18"/>
          <w:szCs w:val="18"/>
          <w:lang w:val="en-GB"/>
        </w:rPr>
      </w:pPr>
    </w:p>
    <w:p w14:paraId="6D2B1741" w14:textId="77777777" w:rsidR="00FE6625" w:rsidRPr="001715D3" w:rsidRDefault="00FE6625" w:rsidP="00FE6625">
      <w:pPr>
        <w:ind w:left="426" w:hanging="426"/>
        <w:rPr>
          <w:rFonts w:ascii="Arial" w:hAnsi="Arial" w:cs="Arial"/>
          <w:sz w:val="18"/>
          <w:szCs w:val="18"/>
          <w:lang w:val="en-GB"/>
        </w:rPr>
      </w:pPr>
      <w:r w:rsidRPr="001715D3">
        <w:rPr>
          <w:rFonts w:ascii="Arial" w:hAnsi="Arial" w:cs="Arial"/>
          <w:sz w:val="18"/>
          <w:szCs w:val="18"/>
          <w:lang w:val="en-GB"/>
        </w:rPr>
        <w:t>c.</w:t>
      </w:r>
      <w:r w:rsidRPr="001715D3">
        <w:rPr>
          <w:rFonts w:ascii="Arial" w:hAnsi="Arial" w:cs="Arial"/>
          <w:sz w:val="18"/>
          <w:szCs w:val="18"/>
          <w:lang w:val="en-GB"/>
        </w:rPr>
        <w:tab/>
        <w:t>Assumptions regarding assets:</w:t>
      </w:r>
    </w:p>
    <w:p w14:paraId="29281D2A" w14:textId="0D654DD9" w:rsidR="00FE6625" w:rsidRPr="001715D3" w:rsidRDefault="00FE6625" w:rsidP="0000700E">
      <w:pPr>
        <w:pStyle w:val="Footnote"/>
        <w:numPr>
          <w:ilvl w:val="0"/>
          <w:numId w:val="22"/>
        </w:numPr>
        <w:rPr>
          <w:rFonts w:eastAsiaTheme="minorHAnsi"/>
          <w:lang w:val="en-GB"/>
        </w:rPr>
      </w:pPr>
      <w:r w:rsidRPr="001715D3">
        <w:rPr>
          <w:rFonts w:eastAsiaTheme="minorHAnsi"/>
          <w:lang w:val="en-GB"/>
        </w:rPr>
        <w:t xml:space="preserve">All current assets, except for “Assets of </w:t>
      </w:r>
      <w:r w:rsidR="00EE7612" w:rsidRPr="001715D3">
        <w:rPr>
          <w:rFonts w:eastAsiaTheme="minorHAnsi"/>
          <w:lang w:val="en-GB"/>
        </w:rPr>
        <w:t>G</w:t>
      </w:r>
      <w:r w:rsidRPr="001715D3">
        <w:rPr>
          <w:rFonts w:eastAsiaTheme="minorHAnsi"/>
          <w:lang w:val="en-GB"/>
        </w:rPr>
        <w:t xml:space="preserve">roup </w:t>
      </w:r>
      <w:r w:rsidR="00EE7612" w:rsidRPr="001715D3">
        <w:rPr>
          <w:rFonts w:eastAsiaTheme="minorHAnsi"/>
          <w:lang w:val="en-GB"/>
        </w:rPr>
        <w:t>C</w:t>
      </w:r>
      <w:r w:rsidRPr="001715D3">
        <w:rPr>
          <w:rFonts w:eastAsiaTheme="minorHAnsi"/>
          <w:lang w:val="en-GB"/>
        </w:rPr>
        <w:t xml:space="preserve">ompanies as </w:t>
      </w:r>
      <w:r w:rsidR="00EE7612" w:rsidRPr="001715D3">
        <w:rPr>
          <w:rFonts w:eastAsiaTheme="minorHAnsi"/>
          <w:lang w:val="en-GB"/>
        </w:rPr>
        <w:t>H</w:t>
      </w:r>
      <w:r w:rsidRPr="001715D3">
        <w:rPr>
          <w:rFonts w:eastAsiaTheme="minorHAnsi"/>
          <w:lang w:val="en-GB"/>
        </w:rPr>
        <w:t xml:space="preserve">eld for </w:t>
      </w:r>
      <w:r w:rsidR="00EE7612" w:rsidRPr="001715D3">
        <w:rPr>
          <w:rFonts w:eastAsiaTheme="minorHAnsi"/>
          <w:lang w:val="en-GB"/>
        </w:rPr>
        <w:t>S</w:t>
      </w:r>
      <w:r w:rsidRPr="001715D3">
        <w:rPr>
          <w:rFonts w:eastAsiaTheme="minorHAnsi"/>
          <w:lang w:val="en-GB"/>
        </w:rPr>
        <w:t>ale</w:t>
      </w:r>
      <w:r w:rsidR="00047F75" w:rsidRPr="001715D3">
        <w:rPr>
          <w:rFonts w:eastAsiaTheme="minorHAnsi"/>
          <w:lang w:val="en-GB"/>
        </w:rPr>
        <w:t>,</w:t>
      </w:r>
      <w:r w:rsidRPr="001715D3">
        <w:rPr>
          <w:rFonts w:eastAsiaTheme="minorHAnsi"/>
          <w:lang w:val="en-GB"/>
        </w:rPr>
        <w:t xml:space="preserve">” were assumed to grow with revenue, using 2015 as the base. It was assumed that “Assets of </w:t>
      </w:r>
      <w:r w:rsidR="00EE7612" w:rsidRPr="001715D3">
        <w:rPr>
          <w:rFonts w:eastAsiaTheme="minorHAnsi"/>
          <w:lang w:val="en-GB"/>
        </w:rPr>
        <w:t>Group Companies as Held for Sale</w:t>
      </w:r>
      <w:r w:rsidRPr="001715D3">
        <w:rPr>
          <w:rFonts w:eastAsiaTheme="minorHAnsi"/>
          <w:lang w:val="en-GB"/>
        </w:rPr>
        <w:t xml:space="preserve">” would drop to </w:t>
      </w:r>
      <w:r w:rsidR="00D812DE" w:rsidRPr="001715D3">
        <w:rPr>
          <w:rFonts w:eastAsiaTheme="minorHAnsi"/>
          <w:lang w:val="en-GB"/>
        </w:rPr>
        <w:t xml:space="preserve">zero </w:t>
      </w:r>
      <w:r w:rsidRPr="001715D3">
        <w:rPr>
          <w:rFonts w:eastAsiaTheme="minorHAnsi"/>
          <w:lang w:val="en-GB"/>
        </w:rPr>
        <w:t xml:space="preserve">in 2016 and thereafter. </w:t>
      </w:r>
    </w:p>
    <w:p w14:paraId="02F3942D" w14:textId="7235957F" w:rsidR="00FE6625" w:rsidRPr="001715D3" w:rsidRDefault="00FE6625" w:rsidP="0000700E">
      <w:pPr>
        <w:pStyle w:val="Footnote"/>
        <w:numPr>
          <w:ilvl w:val="0"/>
          <w:numId w:val="22"/>
        </w:numPr>
        <w:rPr>
          <w:rFonts w:eastAsiaTheme="minorHAnsi"/>
          <w:lang w:val="en-GB"/>
        </w:rPr>
      </w:pPr>
      <w:r w:rsidRPr="001715D3">
        <w:rPr>
          <w:rFonts w:eastAsiaTheme="minorHAnsi"/>
          <w:lang w:val="en-GB"/>
        </w:rPr>
        <w:t xml:space="preserve">All non-current assets, except for “Investments in </w:t>
      </w:r>
      <w:r w:rsidR="00EE7612" w:rsidRPr="001715D3">
        <w:rPr>
          <w:rFonts w:eastAsiaTheme="minorHAnsi"/>
          <w:lang w:val="en-GB"/>
        </w:rPr>
        <w:t>A</w:t>
      </w:r>
      <w:r w:rsidRPr="001715D3">
        <w:rPr>
          <w:rFonts w:eastAsiaTheme="minorHAnsi"/>
          <w:lang w:val="en-GB"/>
        </w:rPr>
        <w:t xml:space="preserve">ssociated </w:t>
      </w:r>
      <w:r w:rsidR="00EE7612" w:rsidRPr="001715D3">
        <w:rPr>
          <w:rFonts w:eastAsiaTheme="minorHAnsi"/>
          <w:lang w:val="en-GB"/>
        </w:rPr>
        <w:t>C</w:t>
      </w:r>
      <w:r w:rsidRPr="001715D3">
        <w:rPr>
          <w:rFonts w:eastAsiaTheme="minorHAnsi"/>
          <w:lang w:val="en-GB"/>
        </w:rPr>
        <w:t>ompanies</w:t>
      </w:r>
      <w:r w:rsidR="00047F75" w:rsidRPr="001715D3">
        <w:rPr>
          <w:rFonts w:eastAsiaTheme="minorHAnsi"/>
          <w:lang w:val="en-GB"/>
        </w:rPr>
        <w:t>,</w:t>
      </w:r>
      <w:r w:rsidRPr="001715D3">
        <w:rPr>
          <w:rFonts w:eastAsiaTheme="minorHAnsi"/>
          <w:lang w:val="en-GB"/>
        </w:rPr>
        <w:t xml:space="preserve">” “Investments in </w:t>
      </w:r>
      <w:r w:rsidR="00EE7612" w:rsidRPr="001715D3">
        <w:rPr>
          <w:rFonts w:eastAsiaTheme="minorHAnsi"/>
          <w:lang w:val="en-GB"/>
        </w:rPr>
        <w:t>J</w:t>
      </w:r>
      <w:r w:rsidRPr="001715D3">
        <w:rPr>
          <w:rFonts w:eastAsiaTheme="minorHAnsi"/>
          <w:lang w:val="en-GB"/>
        </w:rPr>
        <w:t xml:space="preserve">oint </w:t>
      </w:r>
      <w:r w:rsidR="00EE7612" w:rsidRPr="001715D3">
        <w:rPr>
          <w:rFonts w:eastAsiaTheme="minorHAnsi"/>
          <w:lang w:val="en-GB"/>
        </w:rPr>
        <w:t>V</w:t>
      </w:r>
      <w:r w:rsidRPr="001715D3">
        <w:rPr>
          <w:rFonts w:eastAsiaTheme="minorHAnsi"/>
          <w:lang w:val="en-GB"/>
        </w:rPr>
        <w:t>entures</w:t>
      </w:r>
      <w:r w:rsidR="00047F75" w:rsidRPr="001715D3">
        <w:rPr>
          <w:rFonts w:eastAsiaTheme="minorHAnsi"/>
          <w:lang w:val="en-GB"/>
        </w:rPr>
        <w:t>,</w:t>
      </w:r>
      <w:r w:rsidRPr="001715D3">
        <w:rPr>
          <w:rFonts w:eastAsiaTheme="minorHAnsi"/>
          <w:lang w:val="en-GB"/>
        </w:rPr>
        <w:t xml:space="preserve">” “Property, </w:t>
      </w:r>
      <w:r w:rsidR="00EE7612" w:rsidRPr="001715D3">
        <w:rPr>
          <w:rFonts w:eastAsiaTheme="minorHAnsi"/>
          <w:lang w:val="en-GB"/>
        </w:rPr>
        <w:t>P</w:t>
      </w:r>
      <w:r w:rsidRPr="001715D3">
        <w:rPr>
          <w:rFonts w:eastAsiaTheme="minorHAnsi"/>
          <w:lang w:val="en-GB"/>
        </w:rPr>
        <w:t>lant</w:t>
      </w:r>
      <w:r w:rsidR="001835EE" w:rsidRPr="001715D3">
        <w:rPr>
          <w:rFonts w:eastAsiaTheme="minorHAnsi"/>
          <w:lang w:val="en-GB"/>
        </w:rPr>
        <w:t>,</w:t>
      </w:r>
      <w:r w:rsidRPr="001715D3">
        <w:rPr>
          <w:rFonts w:eastAsiaTheme="minorHAnsi"/>
          <w:lang w:val="en-GB"/>
        </w:rPr>
        <w:t xml:space="preserve"> and </w:t>
      </w:r>
      <w:r w:rsidR="00EE7612" w:rsidRPr="001715D3">
        <w:rPr>
          <w:rFonts w:eastAsiaTheme="minorHAnsi"/>
          <w:lang w:val="en-GB"/>
        </w:rPr>
        <w:t>E</w:t>
      </w:r>
      <w:r w:rsidRPr="001715D3">
        <w:rPr>
          <w:rFonts w:eastAsiaTheme="minorHAnsi"/>
          <w:lang w:val="en-GB"/>
        </w:rPr>
        <w:t>quipment</w:t>
      </w:r>
      <w:r w:rsidR="00047F75" w:rsidRPr="001715D3">
        <w:rPr>
          <w:rFonts w:eastAsiaTheme="minorHAnsi"/>
          <w:lang w:val="en-GB"/>
        </w:rPr>
        <w:t>,</w:t>
      </w:r>
      <w:r w:rsidRPr="001715D3">
        <w:rPr>
          <w:rFonts w:eastAsiaTheme="minorHAnsi"/>
          <w:lang w:val="en-GB"/>
        </w:rPr>
        <w:t xml:space="preserve">” and “Goodwill </w:t>
      </w:r>
      <w:r w:rsidR="00EE7612" w:rsidRPr="001715D3">
        <w:rPr>
          <w:rFonts w:eastAsiaTheme="minorHAnsi"/>
          <w:lang w:val="en-GB"/>
        </w:rPr>
        <w:t>A</w:t>
      </w:r>
      <w:r w:rsidRPr="001715D3">
        <w:rPr>
          <w:rFonts w:eastAsiaTheme="minorHAnsi"/>
          <w:lang w:val="en-GB"/>
        </w:rPr>
        <w:t xml:space="preserve">rising on </w:t>
      </w:r>
      <w:r w:rsidR="00EE7612" w:rsidRPr="001715D3">
        <w:rPr>
          <w:rFonts w:eastAsiaTheme="minorHAnsi"/>
          <w:lang w:val="en-GB"/>
        </w:rPr>
        <w:t>C</w:t>
      </w:r>
      <w:r w:rsidRPr="001715D3">
        <w:rPr>
          <w:rFonts w:eastAsiaTheme="minorHAnsi"/>
          <w:lang w:val="en-GB"/>
        </w:rPr>
        <w:t>onsolidation</w:t>
      </w:r>
      <w:r w:rsidR="00047F75" w:rsidRPr="001715D3">
        <w:rPr>
          <w:rFonts w:eastAsiaTheme="minorHAnsi"/>
          <w:lang w:val="en-GB"/>
        </w:rPr>
        <w:t>,</w:t>
      </w:r>
      <w:r w:rsidRPr="001715D3">
        <w:rPr>
          <w:rFonts w:eastAsiaTheme="minorHAnsi"/>
          <w:lang w:val="en-GB"/>
        </w:rPr>
        <w:t>” were assumed to grow with revenue, using 2015 as the base. It was assumed that “</w:t>
      </w:r>
      <w:r w:rsidR="00EE7612" w:rsidRPr="001715D3">
        <w:rPr>
          <w:rFonts w:eastAsiaTheme="minorHAnsi"/>
          <w:lang w:val="en-GB"/>
        </w:rPr>
        <w:t>Investments in Associated Companies</w:t>
      </w:r>
      <w:r w:rsidR="00047F75" w:rsidRPr="001715D3">
        <w:rPr>
          <w:rFonts w:eastAsiaTheme="minorHAnsi"/>
          <w:lang w:val="en-GB"/>
        </w:rPr>
        <w:t>,</w:t>
      </w:r>
      <w:r w:rsidRPr="001715D3">
        <w:rPr>
          <w:rFonts w:eastAsiaTheme="minorHAnsi"/>
          <w:lang w:val="en-GB"/>
        </w:rPr>
        <w:t xml:space="preserve">” “Investments in </w:t>
      </w:r>
      <w:r w:rsidR="00EE7612" w:rsidRPr="001715D3">
        <w:rPr>
          <w:rFonts w:eastAsiaTheme="minorHAnsi"/>
          <w:lang w:val="en-GB"/>
        </w:rPr>
        <w:t>J</w:t>
      </w:r>
      <w:r w:rsidRPr="001715D3">
        <w:rPr>
          <w:rFonts w:eastAsiaTheme="minorHAnsi"/>
          <w:lang w:val="en-GB"/>
        </w:rPr>
        <w:t xml:space="preserve">oint </w:t>
      </w:r>
      <w:r w:rsidR="00EE7612" w:rsidRPr="001715D3">
        <w:rPr>
          <w:rFonts w:eastAsiaTheme="minorHAnsi"/>
          <w:lang w:val="en-GB"/>
        </w:rPr>
        <w:t>V</w:t>
      </w:r>
      <w:r w:rsidRPr="001715D3">
        <w:rPr>
          <w:rFonts w:eastAsiaTheme="minorHAnsi"/>
          <w:lang w:val="en-GB"/>
        </w:rPr>
        <w:t>entures</w:t>
      </w:r>
      <w:r w:rsidR="00047F75" w:rsidRPr="001715D3">
        <w:rPr>
          <w:rFonts w:eastAsiaTheme="minorHAnsi"/>
          <w:lang w:val="en-GB"/>
        </w:rPr>
        <w:t>,</w:t>
      </w:r>
      <w:r w:rsidRPr="001715D3">
        <w:rPr>
          <w:rFonts w:eastAsiaTheme="minorHAnsi"/>
          <w:lang w:val="en-GB"/>
        </w:rPr>
        <w:t xml:space="preserve">” and “Goodwill </w:t>
      </w:r>
      <w:r w:rsidR="00EE7612" w:rsidRPr="001715D3">
        <w:rPr>
          <w:rFonts w:eastAsiaTheme="minorHAnsi"/>
          <w:lang w:val="en-GB"/>
        </w:rPr>
        <w:t>A</w:t>
      </w:r>
      <w:r w:rsidRPr="001715D3">
        <w:rPr>
          <w:rFonts w:eastAsiaTheme="minorHAnsi"/>
          <w:lang w:val="en-GB"/>
        </w:rPr>
        <w:t xml:space="preserve">rising on </w:t>
      </w:r>
      <w:r w:rsidR="00EE7612" w:rsidRPr="001715D3">
        <w:rPr>
          <w:rFonts w:eastAsiaTheme="minorHAnsi"/>
          <w:lang w:val="en-GB"/>
        </w:rPr>
        <w:t>C</w:t>
      </w:r>
      <w:r w:rsidRPr="001715D3">
        <w:rPr>
          <w:rFonts w:eastAsiaTheme="minorHAnsi"/>
          <w:lang w:val="en-GB"/>
        </w:rPr>
        <w:t>onsolidation” would stay the same. It was assumed that “</w:t>
      </w:r>
      <w:r w:rsidR="00EE7612" w:rsidRPr="001715D3">
        <w:rPr>
          <w:rFonts w:eastAsiaTheme="minorHAnsi"/>
          <w:lang w:val="en-GB"/>
        </w:rPr>
        <w:t>Property, Plant, and Equipment</w:t>
      </w:r>
      <w:r w:rsidRPr="001715D3">
        <w:rPr>
          <w:rFonts w:eastAsiaTheme="minorHAnsi"/>
          <w:lang w:val="en-GB"/>
        </w:rPr>
        <w:t>” would grow at 5</w:t>
      </w:r>
      <w:r w:rsidR="00D812DE" w:rsidRPr="001715D3">
        <w:rPr>
          <w:rFonts w:eastAsiaTheme="minorHAnsi"/>
          <w:lang w:val="en-GB"/>
        </w:rPr>
        <w:t xml:space="preserve"> per cent </w:t>
      </w:r>
      <w:r w:rsidRPr="001715D3">
        <w:rPr>
          <w:rFonts w:eastAsiaTheme="minorHAnsi"/>
          <w:lang w:val="en-GB"/>
        </w:rPr>
        <w:t>per year</w:t>
      </w:r>
      <w:r w:rsidR="001835EE" w:rsidRPr="001715D3">
        <w:rPr>
          <w:rFonts w:eastAsiaTheme="minorHAnsi"/>
          <w:lang w:val="en-GB"/>
        </w:rPr>
        <w:t>—</w:t>
      </w:r>
      <w:r w:rsidRPr="001715D3">
        <w:rPr>
          <w:rFonts w:eastAsiaTheme="minorHAnsi"/>
          <w:lang w:val="en-GB"/>
        </w:rPr>
        <w:t xml:space="preserve">to take overcapacity into consideration. </w:t>
      </w:r>
    </w:p>
    <w:p w14:paraId="55883380" w14:textId="1D8CB105" w:rsidR="00FE6625" w:rsidRPr="001715D3" w:rsidRDefault="00EE7612" w:rsidP="0000700E">
      <w:pPr>
        <w:pStyle w:val="Footnote"/>
        <w:numPr>
          <w:ilvl w:val="0"/>
          <w:numId w:val="22"/>
        </w:numPr>
        <w:rPr>
          <w:rFonts w:eastAsiaTheme="minorHAnsi"/>
          <w:lang w:val="en-GB"/>
        </w:rPr>
      </w:pPr>
      <w:r w:rsidRPr="001715D3">
        <w:rPr>
          <w:rFonts w:eastAsiaTheme="minorHAnsi"/>
          <w:lang w:val="en-GB"/>
        </w:rPr>
        <w:t>Property, Plant, and Equipment</w:t>
      </w:r>
      <w:r w:rsidRPr="001715D3" w:rsidDel="00EE7612">
        <w:rPr>
          <w:rFonts w:eastAsiaTheme="minorHAnsi"/>
          <w:lang w:val="en-GB"/>
        </w:rPr>
        <w:t xml:space="preserve"> </w:t>
      </w:r>
      <w:r w:rsidR="00FE6625" w:rsidRPr="001715D3">
        <w:rPr>
          <w:rFonts w:eastAsiaTheme="minorHAnsi"/>
          <w:lang w:val="en-GB"/>
        </w:rPr>
        <w:t>(PPE) was assumed to depreciate at 7</w:t>
      </w:r>
      <w:r w:rsidR="00D812DE" w:rsidRPr="001715D3">
        <w:rPr>
          <w:rFonts w:eastAsiaTheme="minorHAnsi"/>
          <w:lang w:val="en-GB"/>
        </w:rPr>
        <w:t xml:space="preserve"> per cent </w:t>
      </w:r>
      <w:r w:rsidR="00FE6625" w:rsidRPr="001715D3">
        <w:rPr>
          <w:rFonts w:eastAsiaTheme="minorHAnsi"/>
          <w:lang w:val="en-GB"/>
        </w:rPr>
        <w:t xml:space="preserve">per year. Capital expenditure was the sum of the change in PPE and depreciation. </w:t>
      </w:r>
    </w:p>
    <w:p w14:paraId="69C9A09E" w14:textId="7723AF7A" w:rsidR="008A33CD" w:rsidRPr="001715D3" w:rsidRDefault="008A33CD">
      <w:pPr>
        <w:spacing w:after="200" w:line="276" w:lineRule="auto"/>
        <w:rPr>
          <w:rFonts w:ascii="Arial" w:eastAsiaTheme="minorHAnsi" w:hAnsi="Arial" w:cs="Arial"/>
          <w:sz w:val="18"/>
          <w:szCs w:val="18"/>
          <w:lang w:val="en-GB"/>
        </w:rPr>
      </w:pPr>
      <w:r w:rsidRPr="001715D3">
        <w:rPr>
          <w:rFonts w:ascii="Arial" w:eastAsiaTheme="minorHAnsi" w:hAnsi="Arial" w:cs="Arial"/>
          <w:sz w:val="18"/>
          <w:szCs w:val="18"/>
          <w:lang w:val="en-GB"/>
        </w:rPr>
        <w:br w:type="page"/>
      </w:r>
    </w:p>
    <w:p w14:paraId="5777A79F" w14:textId="357DCEAB" w:rsidR="008A33CD" w:rsidRPr="001715D3" w:rsidRDefault="008A33CD" w:rsidP="007E0371">
      <w:pPr>
        <w:pStyle w:val="ExhibitHeading"/>
        <w:outlineLvl w:val="0"/>
        <w:rPr>
          <w:rFonts w:eastAsiaTheme="minorHAnsi"/>
          <w:lang w:val="en-GB"/>
        </w:rPr>
      </w:pPr>
      <w:r w:rsidRPr="001715D3">
        <w:rPr>
          <w:rFonts w:eastAsiaTheme="minorHAnsi"/>
          <w:lang w:val="en-GB"/>
        </w:rPr>
        <w:lastRenderedPageBreak/>
        <w:t>Exhibit 3 (continued)</w:t>
      </w:r>
    </w:p>
    <w:p w14:paraId="6A4007F2" w14:textId="77777777" w:rsidR="008A33CD" w:rsidRPr="001715D3" w:rsidRDefault="008A33CD" w:rsidP="0000700E">
      <w:pPr>
        <w:pStyle w:val="Footnote"/>
        <w:rPr>
          <w:rFonts w:eastAsiaTheme="minorHAnsi"/>
          <w:lang w:val="en-GB"/>
        </w:rPr>
      </w:pPr>
    </w:p>
    <w:p w14:paraId="652C9555" w14:textId="1ED6C743" w:rsidR="00FE6625" w:rsidRPr="001715D3" w:rsidRDefault="00FE6625" w:rsidP="0000700E">
      <w:pPr>
        <w:pStyle w:val="Footnote"/>
        <w:numPr>
          <w:ilvl w:val="0"/>
          <w:numId w:val="25"/>
        </w:numPr>
        <w:rPr>
          <w:rFonts w:eastAsiaTheme="minorHAnsi"/>
          <w:sz w:val="18"/>
          <w:szCs w:val="18"/>
          <w:lang w:val="en-GB"/>
        </w:rPr>
      </w:pPr>
      <w:r w:rsidRPr="001715D3">
        <w:rPr>
          <w:rFonts w:eastAsiaTheme="minorHAnsi"/>
          <w:sz w:val="18"/>
          <w:szCs w:val="18"/>
          <w:lang w:val="en-GB"/>
        </w:rPr>
        <w:t xml:space="preserve">Change in net working capital was </w:t>
      </w:r>
      <w:r w:rsidR="00356260" w:rsidRPr="001715D3">
        <w:rPr>
          <w:rFonts w:eastAsiaTheme="minorHAnsi"/>
          <w:sz w:val="18"/>
          <w:szCs w:val="18"/>
          <w:lang w:val="en-GB"/>
        </w:rPr>
        <w:t>the difference in net working capital from one year to the next. Net working capital was defined as</w:t>
      </w:r>
      <w:r w:rsidRPr="001715D3">
        <w:rPr>
          <w:rFonts w:eastAsiaTheme="minorHAnsi"/>
          <w:sz w:val="18"/>
          <w:szCs w:val="18"/>
          <w:lang w:val="en-GB"/>
        </w:rPr>
        <w:t xml:space="preserve"> current assets not including cash</w:t>
      </w:r>
      <w:r w:rsidR="00356260" w:rsidRPr="001715D3">
        <w:rPr>
          <w:rFonts w:eastAsiaTheme="minorHAnsi"/>
          <w:sz w:val="18"/>
          <w:szCs w:val="18"/>
          <w:lang w:val="en-GB"/>
        </w:rPr>
        <w:t>, minus</w:t>
      </w:r>
      <w:r w:rsidRPr="001715D3">
        <w:rPr>
          <w:rFonts w:eastAsiaTheme="minorHAnsi"/>
          <w:sz w:val="18"/>
          <w:szCs w:val="18"/>
          <w:lang w:val="en-GB"/>
        </w:rPr>
        <w:t xml:space="preserve"> current liabilities.</w:t>
      </w:r>
    </w:p>
    <w:p w14:paraId="7A69DAEE" w14:textId="77777777" w:rsidR="00FE6625" w:rsidRPr="001715D3" w:rsidRDefault="00FE6625" w:rsidP="00FE6625">
      <w:pPr>
        <w:spacing w:line="276" w:lineRule="auto"/>
        <w:ind w:left="720"/>
        <w:contextualSpacing/>
        <w:rPr>
          <w:rFonts w:ascii="Arial" w:eastAsiaTheme="minorHAnsi" w:hAnsi="Arial" w:cs="Arial"/>
          <w:sz w:val="18"/>
          <w:szCs w:val="18"/>
          <w:lang w:val="en-GB"/>
        </w:rPr>
      </w:pPr>
    </w:p>
    <w:p w14:paraId="4A00E2BB" w14:textId="77777777" w:rsidR="00FE6625" w:rsidRPr="001715D3" w:rsidRDefault="00FE6625" w:rsidP="00FE6625">
      <w:pPr>
        <w:ind w:left="426" w:hanging="426"/>
        <w:rPr>
          <w:rFonts w:ascii="Arial" w:hAnsi="Arial" w:cs="Arial"/>
          <w:sz w:val="18"/>
          <w:szCs w:val="18"/>
          <w:lang w:val="en-GB"/>
        </w:rPr>
      </w:pPr>
      <w:r w:rsidRPr="001715D3">
        <w:rPr>
          <w:rFonts w:ascii="Arial" w:hAnsi="Arial" w:cs="Arial"/>
          <w:sz w:val="18"/>
          <w:szCs w:val="18"/>
          <w:lang w:val="en-GB"/>
        </w:rPr>
        <w:t>d.      Assumptions regarding equity:</w:t>
      </w:r>
    </w:p>
    <w:p w14:paraId="1F070CF5" w14:textId="76DB4676" w:rsidR="00FE6625" w:rsidRPr="001715D3" w:rsidRDefault="00FE6625" w:rsidP="0000700E">
      <w:pPr>
        <w:pStyle w:val="Footnote"/>
        <w:numPr>
          <w:ilvl w:val="0"/>
          <w:numId w:val="24"/>
        </w:numPr>
        <w:rPr>
          <w:rFonts w:eastAsiaTheme="minorHAnsi"/>
          <w:lang w:val="en-GB"/>
        </w:rPr>
      </w:pPr>
      <w:r w:rsidRPr="001715D3">
        <w:rPr>
          <w:rFonts w:eastAsiaTheme="minorHAnsi"/>
          <w:lang w:val="en-GB"/>
        </w:rPr>
        <w:t xml:space="preserve">All items under equity were assumed to stay the same except for “Retained </w:t>
      </w:r>
      <w:r w:rsidR="008F2CF0" w:rsidRPr="001715D3">
        <w:rPr>
          <w:rFonts w:eastAsiaTheme="minorHAnsi"/>
          <w:lang w:val="en-GB"/>
        </w:rPr>
        <w:t>E</w:t>
      </w:r>
      <w:r w:rsidRPr="001715D3">
        <w:rPr>
          <w:rFonts w:eastAsiaTheme="minorHAnsi"/>
          <w:lang w:val="en-GB"/>
        </w:rPr>
        <w:t>arnings</w:t>
      </w:r>
      <w:r w:rsidR="001835EE" w:rsidRPr="001715D3">
        <w:rPr>
          <w:rFonts w:eastAsiaTheme="minorHAnsi"/>
          <w:lang w:val="en-GB"/>
        </w:rPr>
        <w:t>.</w:t>
      </w:r>
      <w:r w:rsidRPr="001715D3">
        <w:rPr>
          <w:rFonts w:eastAsiaTheme="minorHAnsi"/>
          <w:lang w:val="en-GB"/>
        </w:rPr>
        <w:t>”</w:t>
      </w:r>
    </w:p>
    <w:p w14:paraId="6C88D17E" w14:textId="30A70A9D" w:rsidR="00FE6625" w:rsidRPr="001715D3" w:rsidRDefault="00FE6625" w:rsidP="0000700E">
      <w:pPr>
        <w:pStyle w:val="Footnote"/>
        <w:numPr>
          <w:ilvl w:val="0"/>
          <w:numId w:val="24"/>
        </w:numPr>
        <w:rPr>
          <w:rFonts w:eastAsiaTheme="minorHAnsi"/>
          <w:lang w:val="en-GB"/>
        </w:rPr>
      </w:pPr>
      <w:r w:rsidRPr="001715D3">
        <w:rPr>
          <w:rFonts w:eastAsiaTheme="minorHAnsi"/>
          <w:lang w:val="en-GB"/>
        </w:rPr>
        <w:t xml:space="preserve">Retained </w:t>
      </w:r>
      <w:r w:rsidR="00D812DE" w:rsidRPr="001715D3">
        <w:rPr>
          <w:rFonts w:eastAsiaTheme="minorHAnsi"/>
          <w:lang w:val="en-GB"/>
        </w:rPr>
        <w:t>e</w:t>
      </w:r>
      <w:r w:rsidRPr="001715D3">
        <w:rPr>
          <w:rFonts w:eastAsiaTheme="minorHAnsi"/>
          <w:lang w:val="en-GB"/>
        </w:rPr>
        <w:t>arnings was equal to retained earnings from previous year</w:t>
      </w:r>
      <w:r w:rsidR="004D03C5" w:rsidRPr="001715D3">
        <w:rPr>
          <w:rFonts w:eastAsiaTheme="minorHAnsi"/>
          <w:lang w:val="en-GB"/>
        </w:rPr>
        <w:t>s</w:t>
      </w:r>
      <w:r w:rsidRPr="001715D3">
        <w:rPr>
          <w:rFonts w:eastAsiaTheme="minorHAnsi"/>
          <w:lang w:val="en-GB"/>
        </w:rPr>
        <w:t xml:space="preserve"> plus profit/loss of </w:t>
      </w:r>
      <w:r w:rsidR="004D03C5" w:rsidRPr="001715D3">
        <w:rPr>
          <w:rFonts w:eastAsiaTheme="minorHAnsi"/>
          <w:lang w:val="en-GB"/>
        </w:rPr>
        <w:t xml:space="preserve">the </w:t>
      </w:r>
      <w:r w:rsidRPr="001715D3">
        <w:rPr>
          <w:rFonts w:eastAsiaTheme="minorHAnsi"/>
          <w:lang w:val="en-GB"/>
        </w:rPr>
        <w:t xml:space="preserve">current year less dividends paid. </w:t>
      </w:r>
    </w:p>
    <w:p w14:paraId="57D9BB58" w14:textId="6E865006" w:rsidR="00FE6625" w:rsidRPr="001715D3" w:rsidRDefault="00FE6625" w:rsidP="0000700E">
      <w:pPr>
        <w:pStyle w:val="Footnote"/>
        <w:numPr>
          <w:ilvl w:val="0"/>
          <w:numId w:val="24"/>
        </w:numPr>
        <w:rPr>
          <w:rFonts w:eastAsiaTheme="minorHAnsi"/>
          <w:lang w:val="en-GB"/>
        </w:rPr>
      </w:pPr>
      <w:proofErr w:type="spellStart"/>
      <w:r w:rsidRPr="001715D3">
        <w:rPr>
          <w:rFonts w:eastAsiaTheme="minorHAnsi"/>
          <w:lang w:val="en-GB"/>
        </w:rPr>
        <w:t>Payout</w:t>
      </w:r>
      <w:proofErr w:type="spellEnd"/>
      <w:r w:rsidRPr="001715D3">
        <w:rPr>
          <w:rFonts w:eastAsiaTheme="minorHAnsi"/>
          <w:lang w:val="en-GB"/>
        </w:rPr>
        <w:t xml:space="preserve"> </w:t>
      </w:r>
      <w:r w:rsidR="00D812DE" w:rsidRPr="001715D3">
        <w:rPr>
          <w:rFonts w:eastAsiaTheme="minorHAnsi"/>
          <w:lang w:val="en-GB"/>
        </w:rPr>
        <w:t>r</w:t>
      </w:r>
      <w:r w:rsidRPr="001715D3">
        <w:rPr>
          <w:rFonts w:eastAsiaTheme="minorHAnsi"/>
          <w:lang w:val="en-GB"/>
        </w:rPr>
        <w:t>atio was assumed to be zero in 2016, 20</w:t>
      </w:r>
      <w:r w:rsidR="00D812DE" w:rsidRPr="001715D3">
        <w:rPr>
          <w:rFonts w:eastAsiaTheme="minorHAnsi"/>
          <w:lang w:val="en-GB"/>
        </w:rPr>
        <w:t xml:space="preserve"> per cent </w:t>
      </w:r>
      <w:r w:rsidRPr="001715D3">
        <w:rPr>
          <w:rFonts w:eastAsiaTheme="minorHAnsi"/>
          <w:lang w:val="en-GB"/>
        </w:rPr>
        <w:t>in 2017, 40</w:t>
      </w:r>
      <w:r w:rsidR="00D812DE" w:rsidRPr="001715D3">
        <w:rPr>
          <w:rFonts w:eastAsiaTheme="minorHAnsi"/>
          <w:lang w:val="en-GB"/>
        </w:rPr>
        <w:t xml:space="preserve"> per cent </w:t>
      </w:r>
      <w:r w:rsidRPr="001715D3">
        <w:rPr>
          <w:rFonts w:eastAsiaTheme="minorHAnsi"/>
          <w:lang w:val="en-GB"/>
        </w:rPr>
        <w:t>in 2018, 60</w:t>
      </w:r>
      <w:r w:rsidR="00D812DE" w:rsidRPr="001715D3">
        <w:rPr>
          <w:rFonts w:eastAsiaTheme="minorHAnsi"/>
          <w:lang w:val="en-GB"/>
        </w:rPr>
        <w:t xml:space="preserve"> per cent </w:t>
      </w:r>
      <w:r w:rsidRPr="001715D3">
        <w:rPr>
          <w:rFonts w:eastAsiaTheme="minorHAnsi"/>
          <w:lang w:val="en-GB"/>
        </w:rPr>
        <w:t>in 2019</w:t>
      </w:r>
      <w:r w:rsidR="00C73574" w:rsidRPr="001715D3">
        <w:rPr>
          <w:rFonts w:eastAsiaTheme="minorHAnsi"/>
          <w:lang w:val="en-GB"/>
        </w:rPr>
        <w:t>,</w:t>
      </w:r>
      <w:r w:rsidRPr="001715D3">
        <w:rPr>
          <w:rFonts w:eastAsiaTheme="minorHAnsi"/>
          <w:lang w:val="en-GB"/>
        </w:rPr>
        <w:t xml:space="preserve"> and 80</w:t>
      </w:r>
      <w:r w:rsidR="00D812DE" w:rsidRPr="001715D3">
        <w:rPr>
          <w:rFonts w:eastAsiaTheme="minorHAnsi"/>
          <w:lang w:val="en-GB"/>
        </w:rPr>
        <w:t xml:space="preserve"> per cent </w:t>
      </w:r>
      <w:r w:rsidRPr="001715D3">
        <w:rPr>
          <w:rFonts w:eastAsiaTheme="minorHAnsi"/>
          <w:lang w:val="en-GB"/>
        </w:rPr>
        <w:t>thereafter.</w:t>
      </w:r>
    </w:p>
    <w:p w14:paraId="56F50073" w14:textId="77777777" w:rsidR="00FE6625" w:rsidRPr="001715D3" w:rsidRDefault="00FE6625" w:rsidP="00FE6625">
      <w:pPr>
        <w:spacing w:line="276" w:lineRule="auto"/>
        <w:ind w:left="720"/>
        <w:contextualSpacing/>
        <w:rPr>
          <w:rFonts w:ascii="Arial" w:eastAsiaTheme="minorHAnsi" w:hAnsi="Arial" w:cs="Arial"/>
          <w:sz w:val="18"/>
          <w:szCs w:val="18"/>
          <w:lang w:val="en-GB"/>
        </w:rPr>
      </w:pPr>
    </w:p>
    <w:p w14:paraId="101F21AF" w14:textId="77777777" w:rsidR="00FE6625" w:rsidRPr="001715D3" w:rsidRDefault="00FE6625" w:rsidP="00FE6625">
      <w:pPr>
        <w:rPr>
          <w:rFonts w:ascii="Arial" w:hAnsi="Arial" w:cs="Arial"/>
          <w:sz w:val="18"/>
          <w:szCs w:val="18"/>
          <w:lang w:val="en-GB"/>
        </w:rPr>
      </w:pPr>
      <w:r w:rsidRPr="001715D3">
        <w:rPr>
          <w:rFonts w:ascii="Arial" w:hAnsi="Arial" w:cs="Arial"/>
          <w:sz w:val="18"/>
          <w:szCs w:val="18"/>
          <w:lang w:val="en-GB"/>
        </w:rPr>
        <w:t>e.      Assumptions regarding liabilities:</w:t>
      </w:r>
    </w:p>
    <w:p w14:paraId="155BEB40" w14:textId="31B8F3E9" w:rsidR="00FE6625" w:rsidRPr="001715D3" w:rsidRDefault="00FE6625" w:rsidP="0000700E">
      <w:pPr>
        <w:pStyle w:val="Footnote"/>
        <w:numPr>
          <w:ilvl w:val="0"/>
          <w:numId w:val="23"/>
        </w:numPr>
        <w:rPr>
          <w:rFonts w:eastAsiaTheme="minorHAnsi"/>
          <w:lang w:val="en-GB"/>
        </w:rPr>
      </w:pPr>
      <w:r w:rsidRPr="001715D3">
        <w:rPr>
          <w:rFonts w:eastAsiaTheme="minorHAnsi"/>
          <w:lang w:val="en-GB"/>
        </w:rPr>
        <w:t>All current liabilities</w:t>
      </w:r>
      <w:r w:rsidR="00C73574" w:rsidRPr="001715D3">
        <w:rPr>
          <w:rFonts w:eastAsiaTheme="minorHAnsi"/>
          <w:lang w:val="en-GB"/>
        </w:rPr>
        <w:t>,</w:t>
      </w:r>
      <w:r w:rsidRPr="001715D3">
        <w:rPr>
          <w:rFonts w:eastAsiaTheme="minorHAnsi"/>
          <w:lang w:val="en-GB"/>
        </w:rPr>
        <w:t xml:space="preserve"> except for “Liabilities of </w:t>
      </w:r>
      <w:r w:rsidR="008F2CF0" w:rsidRPr="001715D3">
        <w:rPr>
          <w:rFonts w:eastAsiaTheme="minorHAnsi"/>
          <w:lang w:val="en-GB"/>
        </w:rPr>
        <w:t>G</w:t>
      </w:r>
      <w:r w:rsidRPr="001715D3">
        <w:rPr>
          <w:rFonts w:eastAsiaTheme="minorHAnsi"/>
          <w:lang w:val="en-GB"/>
        </w:rPr>
        <w:t xml:space="preserve">roup </w:t>
      </w:r>
      <w:r w:rsidR="008F2CF0" w:rsidRPr="001715D3">
        <w:rPr>
          <w:rFonts w:eastAsiaTheme="minorHAnsi"/>
          <w:lang w:val="en-GB"/>
        </w:rPr>
        <w:t>C</w:t>
      </w:r>
      <w:r w:rsidRPr="001715D3">
        <w:rPr>
          <w:rFonts w:eastAsiaTheme="minorHAnsi"/>
          <w:lang w:val="en-GB"/>
        </w:rPr>
        <w:t xml:space="preserve">ompanies </w:t>
      </w:r>
      <w:r w:rsidR="008F2CF0" w:rsidRPr="001715D3">
        <w:rPr>
          <w:rFonts w:eastAsiaTheme="minorHAnsi"/>
          <w:lang w:val="en-GB"/>
        </w:rPr>
        <w:t>C</w:t>
      </w:r>
      <w:r w:rsidRPr="001715D3">
        <w:rPr>
          <w:rFonts w:eastAsiaTheme="minorHAnsi"/>
          <w:lang w:val="en-GB"/>
        </w:rPr>
        <w:t xml:space="preserve">lassified as </w:t>
      </w:r>
      <w:r w:rsidR="008F2CF0" w:rsidRPr="001715D3">
        <w:rPr>
          <w:rFonts w:eastAsiaTheme="minorHAnsi"/>
          <w:lang w:val="en-GB"/>
        </w:rPr>
        <w:t>H</w:t>
      </w:r>
      <w:r w:rsidRPr="001715D3">
        <w:rPr>
          <w:rFonts w:eastAsiaTheme="minorHAnsi"/>
          <w:lang w:val="en-GB"/>
        </w:rPr>
        <w:t xml:space="preserve">eld for </w:t>
      </w:r>
      <w:r w:rsidR="008F2CF0" w:rsidRPr="001715D3">
        <w:rPr>
          <w:rFonts w:eastAsiaTheme="minorHAnsi"/>
          <w:lang w:val="en-GB"/>
        </w:rPr>
        <w:t>S</w:t>
      </w:r>
      <w:r w:rsidRPr="001715D3">
        <w:rPr>
          <w:rFonts w:eastAsiaTheme="minorHAnsi"/>
          <w:lang w:val="en-GB"/>
        </w:rPr>
        <w:t>ale</w:t>
      </w:r>
      <w:r w:rsidR="00C73574" w:rsidRPr="001715D3">
        <w:rPr>
          <w:rFonts w:eastAsiaTheme="minorHAnsi"/>
          <w:lang w:val="en-GB"/>
        </w:rPr>
        <w:t>,</w:t>
      </w:r>
      <w:r w:rsidRPr="001715D3">
        <w:rPr>
          <w:rFonts w:eastAsiaTheme="minorHAnsi"/>
          <w:lang w:val="en-GB"/>
        </w:rPr>
        <w:t xml:space="preserve">” were assumed to grow with revenue, using 2015 as the base. It was assumed that “Liabilities of </w:t>
      </w:r>
      <w:r w:rsidR="008F2CF0" w:rsidRPr="001715D3">
        <w:rPr>
          <w:rFonts w:eastAsiaTheme="minorHAnsi"/>
          <w:lang w:val="en-GB"/>
        </w:rPr>
        <w:t>Group Companies Classified as Held for Sale</w:t>
      </w:r>
      <w:r w:rsidRPr="001715D3">
        <w:rPr>
          <w:rFonts w:eastAsiaTheme="minorHAnsi"/>
          <w:lang w:val="en-GB"/>
        </w:rPr>
        <w:t xml:space="preserve">” would drop to </w:t>
      </w:r>
      <w:r w:rsidR="00D812DE" w:rsidRPr="001715D3">
        <w:rPr>
          <w:rFonts w:eastAsiaTheme="minorHAnsi"/>
          <w:lang w:val="en-GB"/>
        </w:rPr>
        <w:t xml:space="preserve">zero </w:t>
      </w:r>
      <w:r w:rsidRPr="001715D3">
        <w:rPr>
          <w:rFonts w:eastAsiaTheme="minorHAnsi"/>
          <w:lang w:val="en-GB"/>
        </w:rPr>
        <w:t xml:space="preserve">in 2016 and thereafter. </w:t>
      </w:r>
    </w:p>
    <w:p w14:paraId="025CC454" w14:textId="26B9009C" w:rsidR="00FE6625" w:rsidRPr="001715D3" w:rsidRDefault="00FE6625" w:rsidP="0000700E">
      <w:pPr>
        <w:pStyle w:val="Footnote"/>
        <w:numPr>
          <w:ilvl w:val="0"/>
          <w:numId w:val="23"/>
        </w:numPr>
        <w:rPr>
          <w:rFonts w:eastAsiaTheme="minorHAnsi"/>
          <w:lang w:val="en-GB"/>
        </w:rPr>
      </w:pPr>
      <w:r w:rsidRPr="001715D3">
        <w:rPr>
          <w:rFonts w:eastAsiaTheme="minorHAnsi"/>
          <w:lang w:val="en-GB"/>
        </w:rPr>
        <w:t>All non-current liabilities, except for “Borrowings</w:t>
      </w:r>
      <w:r w:rsidR="0000700E">
        <w:rPr>
          <w:rFonts w:eastAsiaTheme="minorHAnsi"/>
          <w:lang w:val="en-GB"/>
        </w:rPr>
        <w:t>,</w:t>
      </w:r>
      <w:r w:rsidRPr="001715D3">
        <w:rPr>
          <w:rFonts w:eastAsiaTheme="minorHAnsi"/>
          <w:lang w:val="en-GB"/>
        </w:rPr>
        <w:t xml:space="preserve">” were assumed to grow with revenue, using 2015 as the base. </w:t>
      </w:r>
    </w:p>
    <w:p w14:paraId="3BE48855" w14:textId="69C3189A" w:rsidR="00FE6625" w:rsidRPr="001715D3" w:rsidRDefault="00FE6625" w:rsidP="0000700E">
      <w:pPr>
        <w:pStyle w:val="Footnote"/>
        <w:numPr>
          <w:ilvl w:val="0"/>
          <w:numId w:val="23"/>
        </w:numPr>
        <w:rPr>
          <w:rFonts w:eastAsiaTheme="minorHAnsi"/>
          <w:lang w:val="en-GB"/>
        </w:rPr>
      </w:pPr>
      <w:r w:rsidRPr="001715D3">
        <w:rPr>
          <w:rFonts w:eastAsiaTheme="minorHAnsi"/>
          <w:lang w:val="en-GB"/>
        </w:rPr>
        <w:t xml:space="preserve">Non-current </w:t>
      </w:r>
      <w:r w:rsidR="00CC6847" w:rsidRPr="001715D3">
        <w:rPr>
          <w:rFonts w:eastAsiaTheme="minorHAnsi"/>
          <w:lang w:val="en-GB"/>
        </w:rPr>
        <w:t>b</w:t>
      </w:r>
      <w:r w:rsidRPr="001715D3">
        <w:rPr>
          <w:rFonts w:eastAsiaTheme="minorHAnsi"/>
          <w:lang w:val="en-GB"/>
        </w:rPr>
        <w:t>orrowings would be the plug.</w:t>
      </w:r>
    </w:p>
    <w:p w14:paraId="29CED90D" w14:textId="77777777" w:rsidR="00AD5158" w:rsidRPr="001715D3" w:rsidRDefault="00AD5158" w:rsidP="00AD5158">
      <w:pPr>
        <w:rPr>
          <w:rFonts w:ascii="Arial" w:hAnsi="Arial" w:cs="Arial"/>
          <w:i/>
          <w:sz w:val="17"/>
          <w:szCs w:val="17"/>
          <w:lang w:val="en-GB"/>
        </w:rPr>
      </w:pPr>
    </w:p>
    <w:p w14:paraId="08E890D7" w14:textId="1A501DDA" w:rsidR="000E299F" w:rsidRPr="001715D3" w:rsidRDefault="00F15BA7" w:rsidP="000E299F">
      <w:pPr>
        <w:rPr>
          <w:rFonts w:ascii="Arial" w:hAnsi="Arial" w:cs="Arial"/>
          <w:sz w:val="18"/>
          <w:szCs w:val="18"/>
          <w:lang w:val="en-GB"/>
        </w:rPr>
      </w:pPr>
      <w:r w:rsidRPr="001715D3">
        <w:rPr>
          <w:rFonts w:ascii="Arial" w:hAnsi="Arial" w:cs="Arial"/>
          <w:sz w:val="18"/>
          <w:szCs w:val="18"/>
          <w:lang w:val="en-GB"/>
        </w:rPr>
        <w:t>f</w:t>
      </w:r>
      <w:r w:rsidR="000E299F" w:rsidRPr="001715D3">
        <w:rPr>
          <w:rFonts w:ascii="Arial" w:hAnsi="Arial" w:cs="Arial"/>
          <w:sz w:val="18"/>
          <w:szCs w:val="18"/>
          <w:lang w:val="en-GB"/>
        </w:rPr>
        <w:t>.      Assumptions regarding terminal growth rate:</w:t>
      </w:r>
    </w:p>
    <w:p w14:paraId="2930B48C" w14:textId="4B39F46D" w:rsidR="000E299F" w:rsidRPr="001715D3" w:rsidRDefault="000E299F" w:rsidP="000E299F">
      <w:pPr>
        <w:ind w:left="426"/>
        <w:rPr>
          <w:rFonts w:ascii="Arial" w:hAnsi="Arial" w:cs="Arial"/>
          <w:sz w:val="18"/>
          <w:szCs w:val="18"/>
          <w:lang w:val="en-GB"/>
        </w:rPr>
      </w:pPr>
      <w:r w:rsidRPr="001715D3">
        <w:rPr>
          <w:rFonts w:ascii="Arial" w:hAnsi="Arial" w:cs="Arial"/>
          <w:sz w:val="18"/>
          <w:szCs w:val="18"/>
          <w:lang w:val="en-GB"/>
        </w:rPr>
        <w:t>Terminal growth rate was assumed to be 2.5</w:t>
      </w:r>
      <w:r w:rsidR="00CC6847" w:rsidRPr="001715D3">
        <w:rPr>
          <w:rFonts w:ascii="Arial" w:hAnsi="Arial" w:cs="Arial"/>
          <w:sz w:val="18"/>
          <w:szCs w:val="18"/>
          <w:lang w:val="en-GB"/>
        </w:rPr>
        <w:t xml:space="preserve"> per cent.</w:t>
      </w:r>
    </w:p>
    <w:p w14:paraId="4C8B2644" w14:textId="77777777" w:rsidR="000E299F" w:rsidRPr="00F232B7" w:rsidRDefault="000E299F" w:rsidP="000E299F">
      <w:pPr>
        <w:rPr>
          <w:rFonts w:ascii="Arial" w:hAnsi="Arial" w:cs="Arial"/>
          <w:spacing w:val="-8"/>
          <w:sz w:val="18"/>
          <w:szCs w:val="18"/>
          <w:lang w:val="en-GB"/>
        </w:rPr>
      </w:pPr>
    </w:p>
    <w:p w14:paraId="76160261" w14:textId="3F6713B2" w:rsidR="00F232B7" w:rsidRDefault="00AD5158" w:rsidP="001A3200">
      <w:pPr>
        <w:pStyle w:val="Footnote"/>
        <w:rPr>
          <w:spacing w:val="-8"/>
          <w:kern w:val="17"/>
          <w:lang w:val="en-GB"/>
        </w:rPr>
      </w:pPr>
      <w:r w:rsidRPr="00F232B7">
        <w:rPr>
          <w:spacing w:val="-8"/>
          <w:kern w:val="17"/>
          <w:lang w:val="en-GB"/>
        </w:rPr>
        <w:t xml:space="preserve">Source: </w:t>
      </w:r>
      <w:r w:rsidR="00445396" w:rsidRPr="00F232B7">
        <w:rPr>
          <w:spacing w:val="-8"/>
          <w:kern w:val="17"/>
          <w:lang w:val="en-GB"/>
        </w:rPr>
        <w:t>Data on volume and average revenue from 2007 to 2015 obtained from NOL Corporate Presentation</w:t>
      </w:r>
      <w:r w:rsidR="00CC6847" w:rsidRPr="00F232B7">
        <w:rPr>
          <w:spacing w:val="-8"/>
          <w:kern w:val="17"/>
          <w:lang w:val="en-GB"/>
        </w:rPr>
        <w:t>s</w:t>
      </w:r>
      <w:r w:rsidR="00445396" w:rsidRPr="00F232B7">
        <w:rPr>
          <w:spacing w:val="-8"/>
          <w:kern w:val="17"/>
          <w:lang w:val="en-GB"/>
        </w:rPr>
        <w:t>, 2007–2015, accessed March 1, 2016,</w:t>
      </w:r>
      <w:r w:rsidR="00F53E82" w:rsidRPr="00F232B7">
        <w:rPr>
          <w:spacing w:val="-8"/>
          <w:kern w:val="17"/>
          <w:lang w:val="en-GB"/>
        </w:rPr>
        <w:t xml:space="preserve"> </w:t>
      </w:r>
      <w:r w:rsidR="002C3A1A" w:rsidRPr="00F232B7">
        <w:rPr>
          <w:spacing w:val="-8"/>
          <w:kern w:val="17"/>
          <w:lang w:val="en-GB"/>
        </w:rPr>
        <w:t xml:space="preserve">https://www.nol.com.sg/wps/portal/nol/investorrelations/reportsandannouncements/quarterlyreports#navhomeibid; </w:t>
      </w:r>
      <w:r w:rsidRPr="00F232B7">
        <w:rPr>
          <w:spacing w:val="-8"/>
          <w:kern w:val="17"/>
          <w:lang w:val="en-GB"/>
        </w:rPr>
        <w:t>The</w:t>
      </w:r>
      <w:r w:rsidR="00CC6847" w:rsidRPr="00F232B7">
        <w:rPr>
          <w:spacing w:val="-8"/>
          <w:kern w:val="17"/>
          <w:lang w:val="en-GB"/>
        </w:rPr>
        <w:t xml:space="preserve"> </w:t>
      </w:r>
      <w:r w:rsidRPr="00F232B7">
        <w:rPr>
          <w:spacing w:val="-8"/>
          <w:kern w:val="17"/>
          <w:lang w:val="en-GB"/>
        </w:rPr>
        <w:t xml:space="preserve">growth rates </w:t>
      </w:r>
      <w:r w:rsidR="00445396" w:rsidRPr="00F232B7">
        <w:rPr>
          <w:spacing w:val="-8"/>
          <w:kern w:val="17"/>
          <w:lang w:val="en-GB"/>
        </w:rPr>
        <w:t xml:space="preserve">are </w:t>
      </w:r>
      <w:r w:rsidRPr="00F232B7">
        <w:rPr>
          <w:spacing w:val="-8"/>
          <w:kern w:val="17"/>
          <w:lang w:val="en-GB"/>
        </w:rPr>
        <w:t>estimates</w:t>
      </w:r>
      <w:r w:rsidR="001A3200" w:rsidRPr="00F232B7">
        <w:rPr>
          <w:spacing w:val="-8"/>
          <w:kern w:val="17"/>
          <w:lang w:val="en-GB"/>
        </w:rPr>
        <w:t xml:space="preserve"> </w:t>
      </w:r>
      <w:r w:rsidRPr="00F232B7">
        <w:rPr>
          <w:spacing w:val="-8"/>
          <w:kern w:val="17"/>
          <w:lang w:val="en-GB"/>
        </w:rPr>
        <w:t xml:space="preserve">based on </w:t>
      </w:r>
      <w:r w:rsidR="0098274C" w:rsidRPr="00F232B7">
        <w:rPr>
          <w:spacing w:val="-8"/>
          <w:kern w:val="17"/>
          <w:lang w:val="en-GB"/>
        </w:rPr>
        <w:t xml:space="preserve">NOL’s </w:t>
      </w:r>
      <w:r w:rsidRPr="00F232B7">
        <w:rPr>
          <w:spacing w:val="-8"/>
          <w:kern w:val="17"/>
          <w:lang w:val="en-GB"/>
        </w:rPr>
        <w:t>past financial statements</w:t>
      </w:r>
      <w:r w:rsidR="00CC6847" w:rsidRPr="00F232B7">
        <w:rPr>
          <w:spacing w:val="-8"/>
          <w:kern w:val="17"/>
          <w:lang w:val="en-GB"/>
        </w:rPr>
        <w:t xml:space="preserve">: Neptune Orient Lines Limited, </w:t>
      </w:r>
      <w:r w:rsidR="00CC6847" w:rsidRPr="00F232B7">
        <w:rPr>
          <w:i/>
          <w:spacing w:val="-8"/>
          <w:kern w:val="17"/>
          <w:lang w:val="en-GB"/>
        </w:rPr>
        <w:t>Annual Report 2015</w:t>
      </w:r>
      <w:r w:rsidR="00CC6847" w:rsidRPr="00F232B7">
        <w:rPr>
          <w:spacing w:val="-8"/>
          <w:kern w:val="17"/>
          <w:lang w:val="en-GB"/>
        </w:rPr>
        <w:t xml:space="preserve">, </w:t>
      </w:r>
      <w:r w:rsidR="001A3200" w:rsidRPr="00F232B7">
        <w:rPr>
          <w:spacing w:val="-8"/>
          <w:kern w:val="17"/>
          <w:lang w:val="en-GB"/>
        </w:rPr>
        <w:t xml:space="preserve">accessed March 1, 2016, </w:t>
      </w:r>
      <w:r w:rsidR="0000700E" w:rsidRPr="0000700E">
        <w:rPr>
          <w:spacing w:val="-8"/>
          <w:kern w:val="17"/>
          <w:lang w:val="en-GB"/>
        </w:rPr>
        <w:t>https://www.nol.com.sg/wps/wcm/connect/a655b534-c9d4-490e-bff0-531c3dcf1217/Full+Annual+Report+2015.pdf?MOD=AJPERES</w:t>
      </w:r>
      <w:r w:rsidR="0000700E">
        <w:rPr>
          <w:spacing w:val="-8"/>
          <w:kern w:val="17"/>
          <w:lang w:val="en-GB"/>
        </w:rPr>
        <w:t xml:space="preserve">; </w:t>
      </w:r>
      <w:r w:rsidR="00CC6847" w:rsidRPr="00F232B7">
        <w:rPr>
          <w:spacing w:val="-8"/>
          <w:kern w:val="17"/>
          <w:lang w:val="en-GB"/>
        </w:rPr>
        <w:t xml:space="preserve">Neptune Orient Lines Limited, “Investor Relations,” accessed February 28, 2017, </w:t>
      </w:r>
      <w:r w:rsidR="00F232B7" w:rsidRPr="00F232B7">
        <w:rPr>
          <w:spacing w:val="-8"/>
          <w:kern w:val="17"/>
          <w:lang w:val="en-GB"/>
        </w:rPr>
        <w:t>https://www.nol.com.sg/wps/portal/nol/investorrelations</w:t>
      </w:r>
    </w:p>
    <w:p w14:paraId="7F6994E5" w14:textId="680A817A" w:rsidR="00AD5158" w:rsidRPr="00F232B7" w:rsidRDefault="001A3200" w:rsidP="001A3200">
      <w:pPr>
        <w:pStyle w:val="Footnote"/>
        <w:rPr>
          <w:i/>
          <w:spacing w:val="-8"/>
          <w:kern w:val="17"/>
          <w:lang w:val="en-GB"/>
        </w:rPr>
      </w:pPr>
      <w:r w:rsidRPr="00F232B7">
        <w:rPr>
          <w:spacing w:val="-8"/>
          <w:kern w:val="17"/>
          <w:lang w:val="en-GB"/>
        </w:rPr>
        <w:t>/</w:t>
      </w:r>
      <w:proofErr w:type="spellStart"/>
      <w:r w:rsidRPr="00F232B7">
        <w:rPr>
          <w:spacing w:val="-8"/>
          <w:kern w:val="17"/>
          <w:lang w:val="en-GB"/>
        </w:rPr>
        <w:t>reportsandannouncements</w:t>
      </w:r>
      <w:proofErr w:type="spellEnd"/>
      <w:r w:rsidRPr="00F232B7">
        <w:rPr>
          <w:spacing w:val="-8"/>
          <w:kern w:val="17"/>
          <w:lang w:val="en-GB"/>
        </w:rPr>
        <w:t>/</w:t>
      </w:r>
      <w:proofErr w:type="spellStart"/>
      <w:r w:rsidRPr="00F232B7">
        <w:rPr>
          <w:spacing w:val="-8"/>
          <w:kern w:val="17"/>
          <w:lang w:val="en-GB"/>
        </w:rPr>
        <w:t>annualreports</w:t>
      </w:r>
      <w:proofErr w:type="spellEnd"/>
      <w:r w:rsidRPr="00F232B7">
        <w:rPr>
          <w:spacing w:val="-8"/>
          <w:kern w:val="17"/>
          <w:lang w:val="en-GB"/>
        </w:rPr>
        <w:t>.</w:t>
      </w:r>
    </w:p>
    <w:p w14:paraId="7187ED02" w14:textId="77777777" w:rsidR="001A3200" w:rsidRPr="001715D3" w:rsidRDefault="001A3200" w:rsidP="00620D48">
      <w:pPr>
        <w:pStyle w:val="Footnote"/>
        <w:rPr>
          <w:i/>
          <w:lang w:val="en-GB"/>
        </w:rPr>
      </w:pPr>
    </w:p>
    <w:p w14:paraId="069C4F14" w14:textId="77777777" w:rsidR="001A3200" w:rsidRPr="001715D3" w:rsidRDefault="001A3200" w:rsidP="00620D48">
      <w:pPr>
        <w:pStyle w:val="Footnote"/>
        <w:rPr>
          <w:i/>
          <w:lang w:val="en-GB"/>
        </w:rPr>
      </w:pPr>
    </w:p>
    <w:p w14:paraId="108218D8" w14:textId="77777777" w:rsidR="00AD5158" w:rsidRPr="001715D3" w:rsidRDefault="00AD5158" w:rsidP="00AD5158">
      <w:pPr>
        <w:spacing w:after="200" w:line="276" w:lineRule="auto"/>
        <w:rPr>
          <w:i/>
          <w:lang w:val="en-GB"/>
        </w:rPr>
      </w:pPr>
      <w:r w:rsidRPr="001715D3">
        <w:rPr>
          <w:i/>
          <w:lang w:val="en-GB"/>
        </w:rPr>
        <w:br w:type="page"/>
      </w:r>
    </w:p>
    <w:p w14:paraId="799F386C" w14:textId="4218F9F2" w:rsidR="00AD5158" w:rsidRPr="001715D3" w:rsidRDefault="00AD5158" w:rsidP="00AD5158">
      <w:pPr>
        <w:spacing w:after="200" w:line="276" w:lineRule="auto"/>
        <w:jc w:val="center"/>
        <w:rPr>
          <w:rFonts w:ascii="Arial" w:hAnsi="Arial" w:cs="Arial"/>
          <w:sz w:val="18"/>
          <w:szCs w:val="18"/>
          <w:lang w:val="en-GB"/>
        </w:rPr>
      </w:pPr>
      <w:r w:rsidRPr="001715D3">
        <w:rPr>
          <w:rFonts w:ascii="Arial" w:hAnsi="Arial" w:cs="Arial"/>
          <w:b/>
          <w:caps/>
          <w:lang w:val="en-GB"/>
        </w:rPr>
        <w:lastRenderedPageBreak/>
        <w:t>Exhibit 4: assumptions underlying dividend Discount Model and</w:t>
      </w:r>
      <w:r w:rsidR="00CC6847" w:rsidRPr="001715D3">
        <w:rPr>
          <w:rFonts w:ascii="Arial" w:hAnsi="Arial" w:cs="Arial"/>
          <w:b/>
          <w:caps/>
          <w:lang w:val="en-GB"/>
        </w:rPr>
        <w:br/>
      </w:r>
      <w:r w:rsidRPr="001715D3">
        <w:rPr>
          <w:rFonts w:ascii="Arial" w:hAnsi="Arial" w:cs="Arial"/>
          <w:b/>
          <w:caps/>
          <w:lang w:val="en-GB"/>
        </w:rPr>
        <w:t>other selected financial data</w:t>
      </w:r>
      <w:r w:rsidRPr="001715D3">
        <w:rPr>
          <w:rFonts w:ascii="Arial" w:hAnsi="Arial" w:cs="Arial"/>
          <w:sz w:val="18"/>
          <w:szCs w:val="18"/>
          <w:lang w:val="en-GB"/>
        </w:rPr>
        <w:t xml:space="preserve"> </w:t>
      </w:r>
    </w:p>
    <w:p w14:paraId="6C4478C0" w14:textId="067B56BE" w:rsidR="00AD5158" w:rsidRPr="001715D3" w:rsidRDefault="000B6D0E" w:rsidP="00AD5158">
      <w:pPr>
        <w:jc w:val="both"/>
        <w:rPr>
          <w:rFonts w:ascii="Arial" w:hAnsi="Arial" w:cs="Arial"/>
          <w:sz w:val="18"/>
          <w:szCs w:val="18"/>
          <w:lang w:val="en-GB" w:eastAsia="en-SG"/>
        </w:rPr>
      </w:pPr>
      <w:r w:rsidRPr="001715D3">
        <w:rPr>
          <w:rFonts w:ascii="Arial" w:hAnsi="Arial" w:cs="Arial"/>
          <w:sz w:val="18"/>
          <w:szCs w:val="18"/>
          <w:lang w:val="en-GB"/>
        </w:rPr>
        <w:t>NOL’s o</w:t>
      </w:r>
      <w:r w:rsidR="00AD5158" w:rsidRPr="001715D3">
        <w:rPr>
          <w:rFonts w:ascii="Arial" w:hAnsi="Arial" w:cs="Arial"/>
          <w:sz w:val="18"/>
          <w:szCs w:val="18"/>
          <w:lang w:val="en-GB"/>
        </w:rPr>
        <w:t xml:space="preserve">rdinary shares outstanding </w:t>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t>2,</w:t>
      </w:r>
      <w:r w:rsidRPr="001715D3">
        <w:rPr>
          <w:rFonts w:ascii="Arial" w:hAnsi="Arial" w:cs="Arial"/>
          <w:sz w:val="18"/>
          <w:szCs w:val="18"/>
          <w:lang w:val="en-GB"/>
        </w:rPr>
        <w:t>601,400,000</w:t>
      </w:r>
      <w:r w:rsidR="00AD5158" w:rsidRPr="001715D3">
        <w:rPr>
          <w:rFonts w:ascii="Arial" w:hAnsi="Arial" w:cs="Arial"/>
          <w:sz w:val="18"/>
          <w:szCs w:val="18"/>
          <w:lang w:val="en-GB" w:eastAsia="en-SG"/>
        </w:rPr>
        <w:t xml:space="preserve"> </w:t>
      </w:r>
    </w:p>
    <w:p w14:paraId="19D93EC9" w14:textId="706B75D1" w:rsidR="00AD5158" w:rsidRPr="001715D3" w:rsidRDefault="00FD56CF" w:rsidP="00AD5158">
      <w:pPr>
        <w:jc w:val="both"/>
        <w:rPr>
          <w:rFonts w:ascii="Arial" w:hAnsi="Arial" w:cs="Arial"/>
          <w:sz w:val="18"/>
          <w:szCs w:val="18"/>
          <w:lang w:val="en-GB" w:eastAsia="en-SG"/>
        </w:rPr>
      </w:pPr>
      <w:r w:rsidRPr="001715D3">
        <w:rPr>
          <w:rFonts w:ascii="Arial" w:hAnsi="Arial" w:cs="Arial"/>
          <w:sz w:val="18"/>
          <w:szCs w:val="18"/>
          <w:lang w:val="en-GB" w:eastAsia="en-SG"/>
        </w:rPr>
        <w:t>NOL</w:t>
      </w:r>
      <w:r w:rsidR="00AD5158" w:rsidRPr="001715D3">
        <w:rPr>
          <w:rFonts w:ascii="Arial" w:hAnsi="Arial" w:cs="Arial"/>
          <w:sz w:val="18"/>
          <w:szCs w:val="18"/>
          <w:lang w:val="en-GB" w:eastAsia="en-SG"/>
        </w:rPr>
        <w:t xml:space="preserve">’s stock price as at </w:t>
      </w:r>
      <w:r w:rsidRPr="001715D3">
        <w:rPr>
          <w:rFonts w:ascii="Arial" w:hAnsi="Arial" w:cs="Arial"/>
          <w:sz w:val="18"/>
          <w:szCs w:val="18"/>
          <w:lang w:val="en-GB" w:eastAsia="en-SG"/>
        </w:rPr>
        <w:t>December 4, 2015</w:t>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t>S</w:t>
      </w:r>
      <w:r w:rsidR="0000700E">
        <w:rPr>
          <w:rFonts w:ascii="Arial" w:hAnsi="Arial" w:cs="Arial"/>
          <w:sz w:val="18"/>
          <w:szCs w:val="18"/>
          <w:lang w:val="en-GB" w:eastAsia="en-SG"/>
        </w:rPr>
        <w:t>G</w:t>
      </w:r>
      <w:r w:rsidR="00AD5158" w:rsidRPr="001715D3">
        <w:rPr>
          <w:rFonts w:ascii="Arial" w:hAnsi="Arial" w:cs="Arial"/>
          <w:sz w:val="18"/>
          <w:szCs w:val="18"/>
          <w:lang w:val="en-GB" w:eastAsia="en-SG"/>
        </w:rPr>
        <w:t>$</w:t>
      </w:r>
      <w:r w:rsidRPr="001715D3">
        <w:rPr>
          <w:rFonts w:ascii="Arial" w:hAnsi="Arial" w:cs="Arial"/>
          <w:sz w:val="18"/>
          <w:szCs w:val="18"/>
          <w:lang w:val="en-GB" w:eastAsia="en-SG"/>
        </w:rPr>
        <w:t>1.23</w:t>
      </w:r>
    </w:p>
    <w:p w14:paraId="65931678" w14:textId="6593D12E" w:rsidR="00FD56CF" w:rsidRPr="001715D3" w:rsidRDefault="00FD56CF" w:rsidP="00AD5158">
      <w:pPr>
        <w:jc w:val="both"/>
        <w:rPr>
          <w:rFonts w:ascii="Arial" w:hAnsi="Arial" w:cs="Arial"/>
          <w:sz w:val="18"/>
          <w:szCs w:val="18"/>
          <w:lang w:val="en-GB" w:eastAsia="en-SG"/>
        </w:rPr>
      </w:pPr>
      <w:r w:rsidRPr="001715D3">
        <w:rPr>
          <w:rFonts w:ascii="Arial" w:hAnsi="Arial" w:cs="Arial"/>
          <w:sz w:val="18"/>
          <w:szCs w:val="18"/>
          <w:lang w:val="en-GB" w:eastAsia="en-SG"/>
        </w:rPr>
        <w:t>Exchange rate</w:t>
      </w:r>
      <w:r w:rsidRPr="001715D3">
        <w:rPr>
          <w:rFonts w:ascii="Arial" w:hAnsi="Arial" w:cs="Arial"/>
          <w:sz w:val="18"/>
          <w:szCs w:val="18"/>
          <w:lang w:val="en-GB" w:eastAsia="en-SG"/>
        </w:rPr>
        <w:tab/>
      </w:r>
      <w:r w:rsidRPr="001715D3">
        <w:rPr>
          <w:rFonts w:ascii="Arial" w:hAnsi="Arial" w:cs="Arial"/>
          <w:sz w:val="18"/>
          <w:szCs w:val="18"/>
          <w:lang w:val="en-GB" w:eastAsia="en-SG"/>
        </w:rPr>
        <w:tab/>
      </w:r>
      <w:r w:rsidRPr="001715D3">
        <w:rPr>
          <w:rFonts w:ascii="Arial" w:hAnsi="Arial" w:cs="Arial"/>
          <w:sz w:val="18"/>
          <w:szCs w:val="18"/>
          <w:lang w:val="en-GB" w:eastAsia="en-SG"/>
        </w:rPr>
        <w:tab/>
      </w:r>
      <w:r w:rsidRPr="001715D3">
        <w:rPr>
          <w:rFonts w:ascii="Arial" w:hAnsi="Arial" w:cs="Arial"/>
          <w:sz w:val="18"/>
          <w:szCs w:val="18"/>
          <w:lang w:val="en-GB" w:eastAsia="en-SG"/>
        </w:rPr>
        <w:tab/>
      </w:r>
      <w:r w:rsidRPr="001715D3">
        <w:rPr>
          <w:rFonts w:ascii="Arial" w:hAnsi="Arial" w:cs="Arial"/>
          <w:sz w:val="18"/>
          <w:szCs w:val="18"/>
          <w:lang w:val="en-GB" w:eastAsia="en-SG"/>
        </w:rPr>
        <w:tab/>
      </w:r>
      <w:r w:rsidRPr="001715D3">
        <w:rPr>
          <w:rFonts w:ascii="Arial" w:hAnsi="Arial" w:cs="Arial"/>
          <w:sz w:val="18"/>
          <w:szCs w:val="18"/>
          <w:lang w:val="en-GB" w:eastAsia="en-SG"/>
        </w:rPr>
        <w:tab/>
      </w:r>
      <w:r w:rsidRPr="001715D3">
        <w:rPr>
          <w:rFonts w:ascii="Arial" w:hAnsi="Arial" w:cs="Arial"/>
          <w:sz w:val="18"/>
          <w:szCs w:val="18"/>
          <w:lang w:val="en-GB" w:eastAsia="en-SG"/>
        </w:rPr>
        <w:tab/>
      </w:r>
      <w:r w:rsidRPr="001715D3">
        <w:rPr>
          <w:rFonts w:ascii="Arial" w:hAnsi="Arial" w:cs="Arial"/>
          <w:sz w:val="18"/>
          <w:szCs w:val="18"/>
          <w:lang w:val="en-GB" w:eastAsia="en-SG"/>
        </w:rPr>
        <w:tab/>
        <w:t>S</w:t>
      </w:r>
      <w:r w:rsidR="0000700E">
        <w:rPr>
          <w:rFonts w:ascii="Arial" w:hAnsi="Arial" w:cs="Arial"/>
          <w:sz w:val="18"/>
          <w:szCs w:val="18"/>
          <w:lang w:val="en-GB" w:eastAsia="en-SG"/>
        </w:rPr>
        <w:t>G</w:t>
      </w:r>
      <w:r w:rsidR="00592940" w:rsidRPr="001715D3">
        <w:rPr>
          <w:rFonts w:ascii="Arial" w:hAnsi="Arial" w:cs="Arial"/>
          <w:sz w:val="18"/>
          <w:szCs w:val="18"/>
          <w:lang w:val="en-GB" w:eastAsia="en-SG"/>
        </w:rPr>
        <w:t>$</w:t>
      </w:r>
      <w:r w:rsidRPr="001715D3">
        <w:rPr>
          <w:rFonts w:ascii="Arial" w:hAnsi="Arial" w:cs="Arial"/>
          <w:sz w:val="18"/>
          <w:szCs w:val="18"/>
          <w:lang w:val="en-GB" w:eastAsia="en-SG"/>
        </w:rPr>
        <w:t>1.40</w:t>
      </w:r>
      <w:r w:rsidR="00431C31" w:rsidRPr="001715D3">
        <w:rPr>
          <w:rFonts w:ascii="Arial" w:hAnsi="Arial" w:cs="Arial"/>
          <w:sz w:val="18"/>
          <w:szCs w:val="18"/>
          <w:lang w:val="en-GB" w:eastAsia="en-SG"/>
        </w:rPr>
        <w:t xml:space="preserve"> </w:t>
      </w:r>
      <w:r w:rsidRPr="001715D3">
        <w:rPr>
          <w:rFonts w:ascii="Arial" w:hAnsi="Arial" w:cs="Arial"/>
          <w:sz w:val="18"/>
          <w:szCs w:val="18"/>
          <w:lang w:val="en-GB" w:eastAsia="en-SG"/>
        </w:rPr>
        <w:t>=</w:t>
      </w:r>
      <w:r w:rsidR="00431C31" w:rsidRPr="001715D3">
        <w:rPr>
          <w:rFonts w:ascii="Arial" w:hAnsi="Arial" w:cs="Arial"/>
          <w:sz w:val="18"/>
          <w:szCs w:val="18"/>
          <w:lang w:val="en-GB" w:eastAsia="en-SG"/>
        </w:rPr>
        <w:t xml:space="preserve"> </w:t>
      </w:r>
      <w:r w:rsidRPr="001715D3">
        <w:rPr>
          <w:rFonts w:ascii="Arial" w:hAnsi="Arial" w:cs="Arial"/>
          <w:sz w:val="18"/>
          <w:szCs w:val="18"/>
          <w:lang w:val="en-GB" w:eastAsia="en-SG"/>
        </w:rPr>
        <w:t>US$1</w:t>
      </w:r>
      <w:r w:rsidR="00CC6847" w:rsidRPr="001715D3">
        <w:rPr>
          <w:rFonts w:ascii="Arial" w:hAnsi="Arial" w:cs="Arial"/>
          <w:sz w:val="18"/>
          <w:szCs w:val="18"/>
          <w:lang w:val="en-GB" w:eastAsia="en-SG"/>
        </w:rPr>
        <w:t>.00</w:t>
      </w:r>
    </w:p>
    <w:p w14:paraId="3E4A6130" w14:textId="369C0DB4" w:rsidR="00AD5158" w:rsidRPr="001715D3" w:rsidRDefault="00FD56CF" w:rsidP="00AD5158">
      <w:pPr>
        <w:jc w:val="both"/>
        <w:rPr>
          <w:rFonts w:ascii="Arial" w:hAnsi="Arial" w:cs="Arial"/>
          <w:sz w:val="18"/>
          <w:szCs w:val="18"/>
          <w:lang w:val="en-GB" w:eastAsia="en-SG"/>
        </w:rPr>
      </w:pPr>
      <w:r w:rsidRPr="001715D3">
        <w:rPr>
          <w:rFonts w:ascii="Arial" w:hAnsi="Arial" w:cs="Arial"/>
          <w:sz w:val="18"/>
          <w:szCs w:val="18"/>
          <w:lang w:val="en-GB" w:eastAsia="en-SG"/>
        </w:rPr>
        <w:t xml:space="preserve">NOL’s </w:t>
      </w:r>
      <w:r w:rsidR="00AD5158" w:rsidRPr="001715D3">
        <w:rPr>
          <w:rFonts w:ascii="Arial" w:hAnsi="Arial" w:cs="Arial"/>
          <w:sz w:val="18"/>
          <w:szCs w:val="18"/>
          <w:lang w:val="en-GB" w:eastAsia="en-SG"/>
        </w:rPr>
        <w:t xml:space="preserve">book debt as at </w:t>
      </w:r>
      <w:r w:rsidRPr="001715D3">
        <w:rPr>
          <w:rFonts w:ascii="Arial" w:hAnsi="Arial" w:cs="Arial"/>
          <w:sz w:val="18"/>
          <w:szCs w:val="18"/>
          <w:lang w:val="en-GB" w:eastAsia="en-SG"/>
        </w:rPr>
        <w:t>December 25</w:t>
      </w:r>
      <w:r w:rsidR="00AD5158" w:rsidRPr="001715D3">
        <w:rPr>
          <w:rFonts w:ascii="Arial" w:hAnsi="Arial" w:cs="Arial"/>
          <w:sz w:val="18"/>
          <w:szCs w:val="18"/>
          <w:lang w:val="en-GB" w:eastAsia="en-SG"/>
        </w:rPr>
        <w:t>, 2015</w:t>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Pr="001715D3">
        <w:rPr>
          <w:rFonts w:ascii="Arial" w:hAnsi="Arial" w:cs="Arial"/>
          <w:sz w:val="18"/>
          <w:szCs w:val="18"/>
          <w:lang w:val="en-GB" w:eastAsia="en-SG"/>
        </w:rPr>
        <w:t>US$2,882,362,000</w:t>
      </w:r>
    </w:p>
    <w:p w14:paraId="467F42CF" w14:textId="3D5F8A81" w:rsidR="00AD5158" w:rsidRPr="001715D3" w:rsidRDefault="000B6D0E" w:rsidP="00AD5158">
      <w:pPr>
        <w:jc w:val="both"/>
        <w:rPr>
          <w:rFonts w:ascii="Arial" w:hAnsi="Arial" w:cs="Arial"/>
          <w:sz w:val="18"/>
          <w:szCs w:val="18"/>
          <w:lang w:val="en-GB" w:eastAsia="en-SG"/>
        </w:rPr>
      </w:pPr>
      <w:r w:rsidRPr="001715D3">
        <w:rPr>
          <w:rFonts w:ascii="Arial" w:hAnsi="Arial" w:cs="Arial"/>
          <w:sz w:val="18"/>
          <w:szCs w:val="18"/>
          <w:lang w:val="en-GB" w:eastAsia="en-SG"/>
        </w:rPr>
        <w:t>NOL</w:t>
      </w:r>
      <w:r w:rsidR="00AD5158" w:rsidRPr="001715D3">
        <w:rPr>
          <w:rFonts w:ascii="Arial" w:hAnsi="Arial" w:cs="Arial"/>
          <w:sz w:val="18"/>
          <w:szCs w:val="18"/>
          <w:lang w:val="en-GB" w:eastAsia="en-SG"/>
        </w:rPr>
        <w:t xml:space="preserve">’s cost of debt </w:t>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r>
      <w:r w:rsidR="00AD5158" w:rsidRPr="001715D3">
        <w:rPr>
          <w:rFonts w:ascii="Arial" w:hAnsi="Arial" w:cs="Arial"/>
          <w:sz w:val="18"/>
          <w:szCs w:val="18"/>
          <w:lang w:val="en-GB" w:eastAsia="en-SG"/>
        </w:rPr>
        <w:tab/>
        <w:t>2.5</w:t>
      </w:r>
      <w:r w:rsidRPr="001715D3">
        <w:rPr>
          <w:rFonts w:ascii="Arial" w:hAnsi="Arial" w:cs="Arial"/>
          <w:sz w:val="18"/>
          <w:szCs w:val="18"/>
          <w:lang w:val="en-GB" w:eastAsia="en-SG"/>
        </w:rPr>
        <w:t>0</w:t>
      </w:r>
      <w:r w:rsidR="00AD5158" w:rsidRPr="001715D3">
        <w:rPr>
          <w:rFonts w:ascii="Arial" w:hAnsi="Arial" w:cs="Arial"/>
          <w:sz w:val="18"/>
          <w:szCs w:val="18"/>
          <w:lang w:val="en-GB" w:eastAsia="en-SG"/>
        </w:rPr>
        <w:t>%</w:t>
      </w:r>
    </w:p>
    <w:p w14:paraId="1B32C6E8" w14:textId="0BF95A60" w:rsidR="00AD5158" w:rsidRPr="001715D3" w:rsidRDefault="00FE6625" w:rsidP="00AD5158">
      <w:pPr>
        <w:jc w:val="both"/>
        <w:rPr>
          <w:rFonts w:ascii="Arial" w:hAnsi="Arial" w:cs="Arial"/>
          <w:sz w:val="18"/>
          <w:szCs w:val="18"/>
          <w:lang w:val="en-GB"/>
        </w:rPr>
      </w:pPr>
      <w:r w:rsidRPr="001715D3">
        <w:rPr>
          <w:rFonts w:ascii="Arial" w:hAnsi="Arial" w:cs="Arial"/>
          <w:sz w:val="18"/>
          <w:szCs w:val="18"/>
          <w:lang w:val="en-GB"/>
        </w:rPr>
        <w:t>NOL</w:t>
      </w:r>
      <w:r w:rsidR="00AD5158" w:rsidRPr="001715D3">
        <w:rPr>
          <w:rFonts w:ascii="Arial" w:hAnsi="Arial" w:cs="Arial"/>
          <w:sz w:val="18"/>
          <w:szCs w:val="18"/>
          <w:lang w:val="en-GB"/>
        </w:rPr>
        <w:t>’s equity beta</w:t>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00AD5158" w:rsidRPr="001715D3">
        <w:rPr>
          <w:rFonts w:ascii="Arial" w:hAnsi="Arial" w:cs="Arial"/>
          <w:sz w:val="18"/>
          <w:szCs w:val="18"/>
          <w:lang w:val="en-GB"/>
        </w:rPr>
        <w:tab/>
      </w:r>
      <w:r w:rsidRPr="001715D3">
        <w:rPr>
          <w:rFonts w:ascii="Arial" w:hAnsi="Arial" w:cs="Arial"/>
          <w:sz w:val="18"/>
          <w:szCs w:val="18"/>
          <w:lang w:val="en-GB"/>
        </w:rPr>
        <w:tab/>
      </w:r>
      <w:r w:rsidR="00AD5158" w:rsidRPr="001715D3">
        <w:rPr>
          <w:rFonts w:ascii="Arial" w:hAnsi="Arial" w:cs="Arial"/>
          <w:sz w:val="18"/>
          <w:szCs w:val="18"/>
          <w:lang w:val="en-GB"/>
        </w:rPr>
        <w:t>0.</w:t>
      </w:r>
      <w:r w:rsidRPr="001715D3">
        <w:rPr>
          <w:rFonts w:ascii="Arial" w:hAnsi="Arial" w:cs="Arial"/>
          <w:sz w:val="18"/>
          <w:szCs w:val="18"/>
          <w:lang w:val="en-GB"/>
        </w:rPr>
        <w:t>81</w:t>
      </w:r>
    </w:p>
    <w:p w14:paraId="0605859B" w14:textId="4079D9A3" w:rsidR="00AD5158" w:rsidRPr="001715D3" w:rsidRDefault="00AD5158" w:rsidP="00AD5158">
      <w:pPr>
        <w:jc w:val="both"/>
        <w:rPr>
          <w:rFonts w:ascii="Arial" w:eastAsia="Calibri" w:hAnsi="Arial" w:cs="Arial"/>
          <w:sz w:val="18"/>
          <w:szCs w:val="18"/>
          <w:lang w:val="en-GB"/>
        </w:rPr>
      </w:pPr>
      <w:r w:rsidRPr="001715D3">
        <w:rPr>
          <w:rFonts w:ascii="Arial" w:eastAsia="Calibri" w:hAnsi="Arial" w:cs="Arial"/>
          <w:sz w:val="18"/>
          <w:szCs w:val="18"/>
          <w:lang w:val="en-GB"/>
        </w:rPr>
        <w:t>10</w:t>
      </w:r>
      <w:r w:rsidR="00C73574" w:rsidRPr="001715D3">
        <w:rPr>
          <w:rFonts w:ascii="Arial" w:eastAsia="Calibri" w:hAnsi="Arial" w:cs="Arial"/>
          <w:sz w:val="18"/>
          <w:szCs w:val="18"/>
          <w:lang w:val="en-GB"/>
        </w:rPr>
        <w:t>-</w:t>
      </w:r>
      <w:r w:rsidRPr="001715D3">
        <w:rPr>
          <w:rFonts w:ascii="Arial" w:eastAsia="Calibri" w:hAnsi="Arial" w:cs="Arial"/>
          <w:sz w:val="18"/>
          <w:szCs w:val="18"/>
          <w:lang w:val="en-GB"/>
        </w:rPr>
        <w:t xml:space="preserve">year Singapore </w:t>
      </w:r>
      <w:r w:rsidR="00C73574" w:rsidRPr="001715D3">
        <w:rPr>
          <w:rFonts w:ascii="Arial" w:eastAsia="Calibri" w:hAnsi="Arial" w:cs="Arial"/>
          <w:sz w:val="18"/>
          <w:szCs w:val="18"/>
          <w:lang w:val="en-GB"/>
        </w:rPr>
        <w:t>G</w:t>
      </w:r>
      <w:r w:rsidRPr="001715D3">
        <w:rPr>
          <w:rFonts w:ascii="Arial" w:eastAsia="Calibri" w:hAnsi="Arial" w:cs="Arial"/>
          <w:sz w:val="18"/>
          <w:szCs w:val="18"/>
          <w:lang w:val="en-GB"/>
        </w:rPr>
        <w:t>overnment bond yield</w:t>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t>2.</w:t>
      </w:r>
      <w:r w:rsidR="00FE6625" w:rsidRPr="001715D3">
        <w:rPr>
          <w:rFonts w:ascii="Arial" w:eastAsia="Calibri" w:hAnsi="Arial" w:cs="Arial"/>
          <w:sz w:val="18"/>
          <w:szCs w:val="18"/>
          <w:lang w:val="en-GB"/>
        </w:rPr>
        <w:t>47</w:t>
      </w:r>
      <w:r w:rsidRPr="001715D3">
        <w:rPr>
          <w:rFonts w:ascii="Arial" w:eastAsia="Calibri" w:hAnsi="Arial" w:cs="Arial"/>
          <w:sz w:val="18"/>
          <w:szCs w:val="18"/>
          <w:lang w:val="en-GB"/>
        </w:rPr>
        <w:t>%</w:t>
      </w:r>
    </w:p>
    <w:p w14:paraId="1CE33E30" w14:textId="40F2CBF0" w:rsidR="00AD5158" w:rsidRPr="001715D3" w:rsidRDefault="00AD5158" w:rsidP="00AD5158">
      <w:pPr>
        <w:jc w:val="both"/>
        <w:rPr>
          <w:rFonts w:ascii="Arial" w:eastAsia="Calibri" w:hAnsi="Arial" w:cs="Arial"/>
          <w:sz w:val="18"/>
          <w:szCs w:val="18"/>
          <w:lang w:val="en-GB"/>
        </w:rPr>
      </w:pPr>
      <w:r w:rsidRPr="001715D3">
        <w:rPr>
          <w:rFonts w:ascii="Arial" w:eastAsia="Calibri" w:hAnsi="Arial" w:cs="Arial"/>
          <w:sz w:val="18"/>
          <w:szCs w:val="18"/>
          <w:lang w:val="en-GB"/>
        </w:rPr>
        <w:t xml:space="preserve">Singapore </w:t>
      </w:r>
      <w:r w:rsidR="00C5195A" w:rsidRPr="001715D3">
        <w:rPr>
          <w:rFonts w:ascii="Arial" w:eastAsia="Calibri" w:hAnsi="Arial" w:cs="Arial"/>
          <w:sz w:val="18"/>
          <w:szCs w:val="18"/>
          <w:lang w:val="en-GB"/>
        </w:rPr>
        <w:t>equity</w:t>
      </w:r>
      <w:r w:rsidRPr="001715D3">
        <w:rPr>
          <w:rFonts w:ascii="Arial" w:eastAsia="Calibri" w:hAnsi="Arial" w:cs="Arial"/>
          <w:sz w:val="18"/>
          <w:szCs w:val="18"/>
          <w:lang w:val="en-GB"/>
        </w:rPr>
        <w:t xml:space="preserve"> risk premium*</w:t>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002C3A1A" w:rsidRPr="001715D3">
        <w:rPr>
          <w:rFonts w:ascii="Arial" w:eastAsia="Calibri" w:hAnsi="Arial" w:cs="Arial"/>
          <w:sz w:val="18"/>
          <w:szCs w:val="18"/>
          <w:lang w:val="en-GB"/>
        </w:rPr>
        <w:tab/>
      </w:r>
      <w:r w:rsidRPr="001715D3">
        <w:rPr>
          <w:rFonts w:ascii="Arial" w:eastAsia="Calibri" w:hAnsi="Arial" w:cs="Arial"/>
          <w:sz w:val="18"/>
          <w:szCs w:val="18"/>
          <w:lang w:val="en-GB"/>
        </w:rPr>
        <w:t>6.</w:t>
      </w:r>
      <w:r w:rsidR="00FE6625" w:rsidRPr="001715D3">
        <w:rPr>
          <w:rFonts w:ascii="Arial" w:eastAsia="Calibri" w:hAnsi="Arial" w:cs="Arial"/>
          <w:sz w:val="18"/>
          <w:szCs w:val="18"/>
          <w:lang w:val="en-GB"/>
        </w:rPr>
        <w:t>89</w:t>
      </w:r>
      <w:r w:rsidRPr="001715D3">
        <w:rPr>
          <w:rFonts w:ascii="Arial" w:eastAsia="Calibri" w:hAnsi="Arial" w:cs="Arial"/>
          <w:sz w:val="18"/>
          <w:szCs w:val="18"/>
          <w:lang w:val="en-GB"/>
        </w:rPr>
        <w:t>%</w:t>
      </w:r>
    </w:p>
    <w:p w14:paraId="54D577BA" w14:textId="64E38FB3" w:rsidR="00AD5158" w:rsidRPr="001715D3" w:rsidRDefault="00FE6625" w:rsidP="00AD5158">
      <w:pPr>
        <w:jc w:val="both"/>
        <w:rPr>
          <w:rFonts w:ascii="Arial" w:eastAsia="Calibri" w:hAnsi="Arial" w:cs="Arial"/>
          <w:sz w:val="18"/>
          <w:szCs w:val="18"/>
          <w:lang w:val="en-GB"/>
        </w:rPr>
      </w:pPr>
      <w:r w:rsidRPr="001715D3">
        <w:rPr>
          <w:rFonts w:ascii="Arial" w:eastAsia="Calibri" w:hAnsi="Arial" w:cs="Arial"/>
          <w:sz w:val="18"/>
          <w:szCs w:val="18"/>
          <w:lang w:val="en-GB"/>
        </w:rPr>
        <w:t>Asia/Middle East</w:t>
      </w:r>
      <w:r w:rsidR="00AD5158" w:rsidRPr="001715D3">
        <w:rPr>
          <w:rFonts w:ascii="Arial" w:eastAsia="Calibri" w:hAnsi="Arial" w:cs="Arial"/>
          <w:sz w:val="18"/>
          <w:szCs w:val="18"/>
          <w:lang w:val="en-GB"/>
        </w:rPr>
        <w:t xml:space="preserve"> </w:t>
      </w:r>
      <w:r w:rsidR="00C5195A" w:rsidRPr="001715D3">
        <w:rPr>
          <w:rFonts w:ascii="Arial" w:eastAsia="Calibri" w:hAnsi="Arial" w:cs="Arial"/>
          <w:sz w:val="18"/>
          <w:szCs w:val="18"/>
          <w:lang w:val="en-GB"/>
        </w:rPr>
        <w:t>equity</w:t>
      </w:r>
      <w:r w:rsidR="00AD5158" w:rsidRPr="001715D3">
        <w:rPr>
          <w:rFonts w:ascii="Arial" w:eastAsia="Calibri" w:hAnsi="Arial" w:cs="Arial"/>
          <w:sz w:val="18"/>
          <w:szCs w:val="18"/>
          <w:lang w:val="en-GB"/>
        </w:rPr>
        <w:t xml:space="preserve"> risk premium*</w:t>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Pr="001715D3">
        <w:rPr>
          <w:rFonts w:ascii="Arial" w:eastAsia="Calibri" w:hAnsi="Arial" w:cs="Arial"/>
          <w:sz w:val="18"/>
          <w:szCs w:val="18"/>
          <w:lang w:val="en-GB"/>
        </w:rPr>
        <w:t>8.57</w:t>
      </w:r>
      <w:r w:rsidR="00AD5158" w:rsidRPr="001715D3">
        <w:rPr>
          <w:rFonts w:ascii="Arial" w:eastAsia="Calibri" w:hAnsi="Arial" w:cs="Arial"/>
          <w:sz w:val="18"/>
          <w:szCs w:val="18"/>
          <w:lang w:val="en-GB"/>
        </w:rPr>
        <w:t>%</w:t>
      </w:r>
    </w:p>
    <w:p w14:paraId="1C5EEE91" w14:textId="090CA74A" w:rsidR="00AD5158" w:rsidRPr="001715D3" w:rsidRDefault="00FE6625" w:rsidP="00AD5158">
      <w:pPr>
        <w:jc w:val="both"/>
        <w:rPr>
          <w:rFonts w:ascii="Arial" w:eastAsia="Calibri" w:hAnsi="Arial" w:cs="Arial"/>
          <w:sz w:val="18"/>
          <w:szCs w:val="18"/>
          <w:lang w:val="en-GB"/>
        </w:rPr>
      </w:pPr>
      <w:r w:rsidRPr="001715D3">
        <w:rPr>
          <w:rFonts w:ascii="Arial" w:eastAsia="Calibri" w:hAnsi="Arial" w:cs="Arial"/>
          <w:sz w:val="18"/>
          <w:szCs w:val="18"/>
          <w:lang w:val="en-GB"/>
        </w:rPr>
        <w:t>Europe</w:t>
      </w:r>
      <w:r w:rsidR="001C34E6" w:rsidRPr="001715D3">
        <w:rPr>
          <w:rFonts w:ascii="Arial" w:eastAsia="Calibri" w:hAnsi="Arial" w:cs="Arial"/>
          <w:sz w:val="18"/>
          <w:szCs w:val="18"/>
          <w:lang w:val="en-GB"/>
        </w:rPr>
        <w:t xml:space="preserve"> </w:t>
      </w:r>
      <w:r w:rsidR="00C5195A" w:rsidRPr="001715D3">
        <w:rPr>
          <w:rFonts w:ascii="Arial" w:eastAsia="Calibri" w:hAnsi="Arial" w:cs="Arial"/>
          <w:sz w:val="18"/>
          <w:szCs w:val="18"/>
          <w:lang w:val="en-GB"/>
        </w:rPr>
        <w:t>equity</w:t>
      </w:r>
      <w:r w:rsidR="001C34E6" w:rsidRPr="001715D3">
        <w:rPr>
          <w:rFonts w:ascii="Arial" w:eastAsia="Calibri" w:hAnsi="Arial" w:cs="Arial"/>
          <w:sz w:val="18"/>
          <w:szCs w:val="18"/>
          <w:lang w:val="en-GB"/>
        </w:rPr>
        <w:t xml:space="preserve"> risk premium</w:t>
      </w:r>
      <w:r w:rsidR="00AD5158" w:rsidRPr="001715D3">
        <w:rPr>
          <w:rFonts w:ascii="Arial" w:eastAsia="Calibri" w:hAnsi="Arial" w:cs="Arial"/>
          <w:sz w:val="18"/>
          <w:szCs w:val="18"/>
          <w:lang w:val="en-GB"/>
        </w:rPr>
        <w:t>*</w:t>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t>10.768</w:t>
      </w:r>
      <w:r w:rsidR="00AD5158" w:rsidRPr="001715D3">
        <w:rPr>
          <w:rFonts w:ascii="Arial" w:eastAsia="Calibri" w:hAnsi="Arial" w:cs="Arial"/>
          <w:sz w:val="18"/>
          <w:szCs w:val="18"/>
          <w:lang w:val="en-GB"/>
        </w:rPr>
        <w:t>%</w:t>
      </w:r>
    </w:p>
    <w:p w14:paraId="00F2FBE8" w14:textId="457A6C84" w:rsidR="00AD5158" w:rsidRPr="001715D3" w:rsidRDefault="00FE6625" w:rsidP="00AD5158">
      <w:pPr>
        <w:jc w:val="both"/>
        <w:rPr>
          <w:rFonts w:ascii="Arial" w:eastAsia="Calibri" w:hAnsi="Arial" w:cs="Arial"/>
          <w:sz w:val="18"/>
          <w:szCs w:val="18"/>
          <w:lang w:val="en-GB"/>
        </w:rPr>
      </w:pPr>
      <w:r w:rsidRPr="001715D3">
        <w:rPr>
          <w:rFonts w:ascii="Arial" w:eastAsia="Calibri" w:hAnsi="Arial" w:cs="Arial"/>
          <w:sz w:val="18"/>
          <w:szCs w:val="18"/>
          <w:lang w:val="en-GB"/>
        </w:rPr>
        <w:t>Americas</w:t>
      </w:r>
      <w:r w:rsidR="001C34E6" w:rsidRPr="001715D3">
        <w:rPr>
          <w:rFonts w:ascii="Arial" w:eastAsia="Calibri" w:hAnsi="Arial" w:cs="Arial"/>
          <w:sz w:val="18"/>
          <w:szCs w:val="18"/>
          <w:lang w:val="en-GB"/>
        </w:rPr>
        <w:t xml:space="preserve"> </w:t>
      </w:r>
      <w:r w:rsidR="00C5195A" w:rsidRPr="001715D3">
        <w:rPr>
          <w:rFonts w:ascii="Arial" w:eastAsia="Calibri" w:hAnsi="Arial" w:cs="Arial"/>
          <w:sz w:val="18"/>
          <w:szCs w:val="18"/>
          <w:lang w:val="en-GB"/>
        </w:rPr>
        <w:t>equity</w:t>
      </w:r>
      <w:r w:rsidR="001C34E6" w:rsidRPr="001715D3">
        <w:rPr>
          <w:rFonts w:ascii="Arial" w:eastAsia="Calibri" w:hAnsi="Arial" w:cs="Arial"/>
          <w:sz w:val="18"/>
          <w:szCs w:val="18"/>
          <w:lang w:val="en-GB"/>
        </w:rPr>
        <w:t xml:space="preserve"> risk premium</w:t>
      </w:r>
      <w:r w:rsidR="00AD5158" w:rsidRPr="001715D3">
        <w:rPr>
          <w:rFonts w:ascii="Arial" w:eastAsia="Calibri" w:hAnsi="Arial" w:cs="Arial"/>
          <w:sz w:val="18"/>
          <w:szCs w:val="18"/>
          <w:lang w:val="en-GB"/>
        </w:rPr>
        <w:t>*</w:t>
      </w:r>
      <w:r w:rsidR="00AD5158"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00AD5158" w:rsidRPr="001715D3">
        <w:rPr>
          <w:rFonts w:ascii="Arial" w:eastAsia="Calibri" w:hAnsi="Arial" w:cs="Arial"/>
          <w:sz w:val="18"/>
          <w:szCs w:val="18"/>
          <w:lang w:val="en-GB"/>
        </w:rPr>
        <w:tab/>
      </w:r>
      <w:r w:rsidRPr="001715D3">
        <w:rPr>
          <w:rFonts w:ascii="Arial" w:eastAsia="Calibri" w:hAnsi="Arial" w:cs="Arial"/>
          <w:sz w:val="18"/>
          <w:szCs w:val="18"/>
          <w:lang w:val="en-GB"/>
        </w:rPr>
        <w:t>7.978</w:t>
      </w:r>
      <w:r w:rsidR="00AD5158" w:rsidRPr="001715D3">
        <w:rPr>
          <w:rFonts w:ascii="Arial" w:eastAsia="Calibri" w:hAnsi="Arial" w:cs="Arial"/>
          <w:sz w:val="18"/>
          <w:szCs w:val="18"/>
          <w:lang w:val="en-GB"/>
        </w:rPr>
        <w:t>%</w:t>
      </w:r>
    </w:p>
    <w:p w14:paraId="15514338" w14:textId="66982F3B" w:rsidR="000B6D0E" w:rsidRPr="001715D3" w:rsidRDefault="000B6D0E" w:rsidP="00AD5158">
      <w:pPr>
        <w:jc w:val="both"/>
        <w:rPr>
          <w:rFonts w:ascii="Arial" w:eastAsia="Calibri" w:hAnsi="Arial" w:cs="Arial"/>
          <w:sz w:val="18"/>
          <w:szCs w:val="18"/>
          <w:lang w:val="en-GB"/>
        </w:rPr>
      </w:pPr>
      <w:r w:rsidRPr="001715D3">
        <w:rPr>
          <w:rFonts w:ascii="Arial" w:eastAsia="Calibri" w:hAnsi="Arial" w:cs="Arial"/>
          <w:sz w:val="18"/>
          <w:szCs w:val="18"/>
          <w:lang w:val="en-GB"/>
        </w:rPr>
        <w:t>Singapore’s tax rate</w:t>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r>
      <w:r w:rsidRPr="001715D3">
        <w:rPr>
          <w:rFonts w:ascii="Arial" w:eastAsia="Calibri" w:hAnsi="Arial" w:cs="Arial"/>
          <w:sz w:val="18"/>
          <w:szCs w:val="18"/>
          <w:lang w:val="en-GB"/>
        </w:rPr>
        <w:tab/>
        <w:t>17%</w:t>
      </w:r>
    </w:p>
    <w:p w14:paraId="10B04C94" w14:textId="77777777" w:rsidR="00AD5158" w:rsidRPr="001715D3" w:rsidRDefault="00AD5158" w:rsidP="00AD5158">
      <w:pPr>
        <w:rPr>
          <w:rFonts w:ascii="Arial" w:hAnsi="Arial" w:cs="Arial"/>
          <w:sz w:val="18"/>
          <w:szCs w:val="18"/>
          <w:lang w:val="en-GB"/>
        </w:rPr>
      </w:pPr>
    </w:p>
    <w:p w14:paraId="19CF4F49" w14:textId="34CAB075" w:rsidR="00AD5158" w:rsidRPr="001715D3" w:rsidRDefault="00FE6625" w:rsidP="00AD5158">
      <w:pPr>
        <w:pStyle w:val="ExhibitText"/>
        <w:rPr>
          <w:sz w:val="18"/>
          <w:szCs w:val="18"/>
          <w:lang w:val="en-GB"/>
        </w:rPr>
      </w:pPr>
      <w:r w:rsidRPr="001715D3">
        <w:rPr>
          <w:sz w:val="18"/>
          <w:szCs w:val="18"/>
          <w:lang w:val="en-GB"/>
        </w:rPr>
        <w:t xml:space="preserve">NOL’s </w:t>
      </w:r>
      <w:r w:rsidR="00BD5BE3" w:rsidRPr="001715D3">
        <w:rPr>
          <w:sz w:val="18"/>
          <w:szCs w:val="18"/>
          <w:lang w:val="en-GB"/>
        </w:rPr>
        <w:t>equity</w:t>
      </w:r>
      <w:r w:rsidRPr="001715D3">
        <w:rPr>
          <w:sz w:val="18"/>
          <w:szCs w:val="18"/>
          <w:lang w:val="en-GB"/>
        </w:rPr>
        <w:t xml:space="preserve"> risk premium was computed as a weighted average of Singapore’s </w:t>
      </w:r>
      <w:r w:rsidR="00BD5BE3" w:rsidRPr="001715D3">
        <w:rPr>
          <w:sz w:val="18"/>
          <w:szCs w:val="18"/>
          <w:lang w:val="en-GB"/>
        </w:rPr>
        <w:t>equity</w:t>
      </w:r>
      <w:r w:rsidRPr="001715D3">
        <w:rPr>
          <w:sz w:val="18"/>
          <w:szCs w:val="18"/>
          <w:lang w:val="en-GB"/>
        </w:rPr>
        <w:t xml:space="preserve"> risk premium and those of other markets in which NOL operated, with 50</w:t>
      </w:r>
      <w:r w:rsidR="00CC6847" w:rsidRPr="001715D3">
        <w:rPr>
          <w:sz w:val="18"/>
          <w:szCs w:val="18"/>
          <w:lang w:val="en-GB"/>
        </w:rPr>
        <w:t xml:space="preserve"> per cent </w:t>
      </w:r>
      <w:r w:rsidRPr="001715D3">
        <w:rPr>
          <w:sz w:val="18"/>
          <w:szCs w:val="18"/>
          <w:lang w:val="en-GB"/>
        </w:rPr>
        <w:t>weight placed on Singapore</w:t>
      </w:r>
      <w:r w:rsidR="00C73574" w:rsidRPr="001715D3">
        <w:rPr>
          <w:sz w:val="18"/>
          <w:szCs w:val="18"/>
          <w:lang w:val="en-GB"/>
        </w:rPr>
        <w:t>,</w:t>
      </w:r>
      <w:r w:rsidRPr="001715D3">
        <w:rPr>
          <w:sz w:val="18"/>
          <w:szCs w:val="18"/>
          <w:lang w:val="en-GB"/>
        </w:rPr>
        <w:t xml:space="preserve"> and the other 50</w:t>
      </w:r>
      <w:r w:rsidR="00CC6847" w:rsidRPr="001715D3">
        <w:rPr>
          <w:sz w:val="18"/>
          <w:szCs w:val="18"/>
          <w:lang w:val="en-GB"/>
        </w:rPr>
        <w:t xml:space="preserve"> per cent </w:t>
      </w:r>
      <w:r w:rsidRPr="001715D3">
        <w:rPr>
          <w:sz w:val="18"/>
          <w:szCs w:val="18"/>
          <w:lang w:val="en-GB"/>
        </w:rPr>
        <w:t>divided across the geographical regions based on contribution to revenue, Asia/Middle East (29.1</w:t>
      </w:r>
      <w:r w:rsidR="00CC6847" w:rsidRPr="001715D3">
        <w:rPr>
          <w:sz w:val="18"/>
          <w:szCs w:val="18"/>
          <w:lang w:val="en-GB"/>
        </w:rPr>
        <w:t xml:space="preserve"> per cent), </w:t>
      </w:r>
      <w:r w:rsidRPr="001715D3">
        <w:rPr>
          <w:sz w:val="18"/>
          <w:szCs w:val="18"/>
          <w:lang w:val="en-GB"/>
        </w:rPr>
        <w:t>Europe (16.2</w:t>
      </w:r>
      <w:r w:rsidR="00CC6847" w:rsidRPr="001715D3">
        <w:rPr>
          <w:sz w:val="18"/>
          <w:szCs w:val="18"/>
          <w:lang w:val="en-GB"/>
        </w:rPr>
        <w:t xml:space="preserve"> per cent), </w:t>
      </w:r>
      <w:r w:rsidRPr="001715D3">
        <w:rPr>
          <w:sz w:val="18"/>
          <w:szCs w:val="18"/>
          <w:lang w:val="en-GB"/>
        </w:rPr>
        <w:t xml:space="preserve">and </w:t>
      </w:r>
      <w:r w:rsidR="00C73574" w:rsidRPr="001715D3">
        <w:rPr>
          <w:sz w:val="18"/>
          <w:szCs w:val="18"/>
          <w:lang w:val="en-GB"/>
        </w:rPr>
        <w:t xml:space="preserve">the </w:t>
      </w:r>
      <w:r w:rsidRPr="001715D3">
        <w:rPr>
          <w:sz w:val="18"/>
          <w:szCs w:val="18"/>
          <w:lang w:val="en-GB"/>
        </w:rPr>
        <w:t>Americas (54.8</w:t>
      </w:r>
      <w:r w:rsidR="00CC6847" w:rsidRPr="001715D3">
        <w:rPr>
          <w:sz w:val="18"/>
          <w:szCs w:val="18"/>
          <w:lang w:val="en-GB"/>
        </w:rPr>
        <w:t xml:space="preserve"> per cent)</w:t>
      </w:r>
      <w:r w:rsidR="00164D28" w:rsidRPr="001715D3">
        <w:rPr>
          <w:sz w:val="18"/>
          <w:szCs w:val="18"/>
          <w:lang w:val="en-GB"/>
        </w:rPr>
        <w:t>.</w:t>
      </w:r>
    </w:p>
    <w:p w14:paraId="7D959306" w14:textId="77777777" w:rsidR="00FE6625" w:rsidRPr="001715D3" w:rsidRDefault="00FE6625" w:rsidP="00AD5158">
      <w:pPr>
        <w:pStyle w:val="ExhibitText"/>
        <w:rPr>
          <w:sz w:val="18"/>
          <w:szCs w:val="18"/>
          <w:lang w:val="en-GB"/>
        </w:rPr>
      </w:pPr>
    </w:p>
    <w:p w14:paraId="41216515" w14:textId="29EAB0D3" w:rsidR="00AD5158" w:rsidRPr="001715D3" w:rsidRDefault="000E299F" w:rsidP="000E299F">
      <w:pPr>
        <w:jc w:val="both"/>
        <w:rPr>
          <w:rFonts w:ascii="Arial" w:eastAsia="Calibri" w:hAnsi="Arial" w:cs="Arial"/>
          <w:sz w:val="18"/>
          <w:szCs w:val="18"/>
          <w:lang w:val="en-GB"/>
        </w:rPr>
      </w:pPr>
      <w:r w:rsidRPr="001715D3">
        <w:rPr>
          <w:rFonts w:ascii="Arial" w:hAnsi="Arial" w:cs="Arial"/>
          <w:sz w:val="18"/>
          <w:szCs w:val="18"/>
          <w:lang w:val="en-GB"/>
        </w:rPr>
        <w:t>NOL would start paying dividend</w:t>
      </w:r>
      <w:r w:rsidR="002E0A73" w:rsidRPr="001715D3">
        <w:rPr>
          <w:rFonts w:ascii="Arial" w:hAnsi="Arial" w:cs="Arial"/>
          <w:sz w:val="18"/>
          <w:szCs w:val="18"/>
          <w:lang w:val="en-GB"/>
        </w:rPr>
        <w:t>s</w:t>
      </w:r>
      <w:r w:rsidRPr="001715D3">
        <w:rPr>
          <w:rFonts w:ascii="Arial" w:hAnsi="Arial" w:cs="Arial"/>
          <w:sz w:val="18"/>
          <w:szCs w:val="18"/>
          <w:lang w:val="en-GB"/>
        </w:rPr>
        <w:t xml:space="preserve"> from 2017 onwards, with dividend </w:t>
      </w:r>
      <w:proofErr w:type="spellStart"/>
      <w:r w:rsidRPr="001715D3">
        <w:rPr>
          <w:rFonts w:ascii="Arial" w:hAnsi="Arial" w:cs="Arial"/>
          <w:sz w:val="18"/>
          <w:szCs w:val="18"/>
          <w:lang w:val="en-GB"/>
        </w:rPr>
        <w:t>payout</w:t>
      </w:r>
      <w:proofErr w:type="spellEnd"/>
      <w:r w:rsidRPr="001715D3">
        <w:rPr>
          <w:rFonts w:ascii="Arial" w:hAnsi="Arial" w:cs="Arial"/>
          <w:sz w:val="18"/>
          <w:szCs w:val="18"/>
          <w:lang w:val="en-GB"/>
        </w:rPr>
        <w:t xml:space="preserve"> ratio</w:t>
      </w:r>
      <w:r w:rsidR="00C73574" w:rsidRPr="001715D3">
        <w:rPr>
          <w:rFonts w:ascii="Arial" w:hAnsi="Arial" w:cs="Arial"/>
          <w:sz w:val="18"/>
          <w:szCs w:val="18"/>
          <w:lang w:val="en-GB"/>
        </w:rPr>
        <w:t>s</w:t>
      </w:r>
      <w:r w:rsidRPr="001715D3">
        <w:rPr>
          <w:rFonts w:ascii="Arial" w:hAnsi="Arial" w:cs="Arial"/>
          <w:sz w:val="18"/>
          <w:szCs w:val="18"/>
          <w:lang w:val="en-GB"/>
        </w:rPr>
        <w:t xml:space="preserve"> of 0</w:t>
      </w:r>
      <w:r w:rsidR="00CC6847" w:rsidRPr="001715D3">
        <w:rPr>
          <w:rFonts w:ascii="Arial" w:hAnsi="Arial" w:cs="Arial"/>
          <w:sz w:val="18"/>
          <w:szCs w:val="18"/>
          <w:lang w:val="en-GB"/>
        </w:rPr>
        <w:t xml:space="preserve"> per cent, </w:t>
      </w:r>
      <w:r w:rsidRPr="001715D3">
        <w:rPr>
          <w:rFonts w:ascii="Arial" w:hAnsi="Arial" w:cs="Arial"/>
          <w:sz w:val="18"/>
          <w:szCs w:val="18"/>
          <w:lang w:val="en-GB"/>
        </w:rPr>
        <w:t>20</w:t>
      </w:r>
      <w:r w:rsidR="00CC6847" w:rsidRPr="001715D3">
        <w:rPr>
          <w:rFonts w:ascii="Arial" w:hAnsi="Arial" w:cs="Arial"/>
          <w:sz w:val="18"/>
          <w:szCs w:val="18"/>
          <w:lang w:val="en-GB"/>
        </w:rPr>
        <w:t xml:space="preserve"> per cent, </w:t>
      </w:r>
      <w:r w:rsidRPr="001715D3">
        <w:rPr>
          <w:rFonts w:ascii="Arial" w:hAnsi="Arial" w:cs="Arial"/>
          <w:sz w:val="18"/>
          <w:szCs w:val="18"/>
          <w:lang w:val="en-GB"/>
        </w:rPr>
        <w:t>40</w:t>
      </w:r>
      <w:r w:rsidR="00CC6847" w:rsidRPr="001715D3">
        <w:rPr>
          <w:rFonts w:ascii="Arial" w:hAnsi="Arial" w:cs="Arial"/>
          <w:sz w:val="18"/>
          <w:szCs w:val="18"/>
          <w:lang w:val="en-GB"/>
        </w:rPr>
        <w:t xml:space="preserve"> per cent, </w:t>
      </w:r>
      <w:r w:rsidRPr="001715D3">
        <w:rPr>
          <w:rFonts w:ascii="Arial" w:hAnsi="Arial" w:cs="Arial"/>
          <w:sz w:val="18"/>
          <w:szCs w:val="18"/>
          <w:lang w:val="en-GB"/>
        </w:rPr>
        <w:t>60</w:t>
      </w:r>
      <w:r w:rsidR="00CC6847" w:rsidRPr="001715D3">
        <w:rPr>
          <w:rFonts w:ascii="Arial" w:hAnsi="Arial" w:cs="Arial"/>
          <w:sz w:val="18"/>
          <w:szCs w:val="18"/>
          <w:lang w:val="en-GB"/>
        </w:rPr>
        <w:t xml:space="preserve"> per cent, </w:t>
      </w:r>
      <w:r w:rsidRPr="001715D3">
        <w:rPr>
          <w:rFonts w:ascii="Arial" w:hAnsi="Arial" w:cs="Arial"/>
          <w:sz w:val="18"/>
          <w:szCs w:val="18"/>
          <w:lang w:val="en-GB"/>
        </w:rPr>
        <w:t>and 80</w:t>
      </w:r>
      <w:r w:rsidR="00CC6847" w:rsidRPr="001715D3">
        <w:rPr>
          <w:rFonts w:ascii="Arial" w:hAnsi="Arial" w:cs="Arial"/>
          <w:sz w:val="18"/>
          <w:szCs w:val="18"/>
          <w:lang w:val="en-GB"/>
        </w:rPr>
        <w:t xml:space="preserve"> per cent </w:t>
      </w:r>
      <w:r w:rsidRPr="001715D3">
        <w:rPr>
          <w:rFonts w:ascii="Arial" w:hAnsi="Arial" w:cs="Arial"/>
          <w:sz w:val="18"/>
          <w:szCs w:val="18"/>
          <w:lang w:val="en-GB"/>
        </w:rPr>
        <w:t xml:space="preserve">for </w:t>
      </w:r>
      <w:r w:rsidR="00C73574" w:rsidRPr="001715D3">
        <w:rPr>
          <w:rFonts w:ascii="Arial" w:hAnsi="Arial" w:cs="Arial"/>
          <w:sz w:val="18"/>
          <w:szCs w:val="18"/>
          <w:lang w:val="en-GB"/>
        </w:rPr>
        <w:t xml:space="preserve">each year from </w:t>
      </w:r>
      <w:r w:rsidRPr="001715D3">
        <w:rPr>
          <w:rFonts w:ascii="Arial" w:hAnsi="Arial" w:cs="Arial"/>
          <w:sz w:val="18"/>
          <w:szCs w:val="18"/>
          <w:lang w:val="en-GB"/>
        </w:rPr>
        <w:t>2016 to 2020</w:t>
      </w:r>
      <w:r w:rsidR="00C73574" w:rsidRPr="001715D3">
        <w:rPr>
          <w:rFonts w:ascii="Arial" w:hAnsi="Arial" w:cs="Arial"/>
          <w:sz w:val="18"/>
          <w:szCs w:val="18"/>
          <w:lang w:val="en-GB"/>
        </w:rPr>
        <w:t>,</w:t>
      </w:r>
      <w:r w:rsidRPr="001715D3">
        <w:rPr>
          <w:rFonts w:ascii="Arial" w:hAnsi="Arial" w:cs="Arial"/>
          <w:sz w:val="18"/>
          <w:szCs w:val="18"/>
          <w:lang w:val="en-GB"/>
        </w:rPr>
        <w:t xml:space="preserve"> respectively. </w:t>
      </w:r>
      <w:r w:rsidR="00AD5158" w:rsidRPr="001715D3">
        <w:rPr>
          <w:rFonts w:ascii="Arial" w:hAnsi="Arial" w:cs="Arial"/>
          <w:sz w:val="18"/>
          <w:szCs w:val="18"/>
          <w:lang w:val="en-GB"/>
        </w:rPr>
        <w:t>A terminal growth rate of 2.50</w:t>
      </w:r>
      <w:r w:rsidR="00CC6847" w:rsidRPr="001715D3">
        <w:rPr>
          <w:rFonts w:ascii="Arial" w:hAnsi="Arial" w:cs="Arial"/>
          <w:sz w:val="18"/>
          <w:szCs w:val="18"/>
          <w:lang w:val="en-GB"/>
        </w:rPr>
        <w:t xml:space="preserve"> per cent </w:t>
      </w:r>
      <w:r w:rsidR="00AD5158" w:rsidRPr="001715D3">
        <w:rPr>
          <w:rFonts w:ascii="Arial" w:hAnsi="Arial" w:cs="Arial"/>
          <w:sz w:val="18"/>
          <w:szCs w:val="18"/>
          <w:lang w:val="en-GB"/>
        </w:rPr>
        <w:t>was assumed.</w:t>
      </w:r>
    </w:p>
    <w:p w14:paraId="392FADFF" w14:textId="77777777" w:rsidR="00AD5158" w:rsidRPr="001715D3" w:rsidRDefault="00AD5158" w:rsidP="00AD5158">
      <w:pPr>
        <w:pStyle w:val="ExhibitText"/>
        <w:rPr>
          <w:rFonts w:eastAsia="Calibri"/>
          <w:sz w:val="18"/>
          <w:szCs w:val="18"/>
          <w:lang w:val="en-GB"/>
        </w:rPr>
      </w:pPr>
    </w:p>
    <w:tbl>
      <w:tblPr>
        <w:tblStyle w:val="TableGrid1"/>
        <w:tblW w:w="757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86"/>
        <w:gridCol w:w="1037"/>
        <w:gridCol w:w="1037"/>
        <w:gridCol w:w="1037"/>
        <w:gridCol w:w="1037"/>
        <w:gridCol w:w="1037"/>
      </w:tblGrid>
      <w:tr w:rsidR="002C3A1A" w:rsidRPr="001715D3" w14:paraId="094964CA" w14:textId="77777777" w:rsidTr="00F232B7">
        <w:trPr>
          <w:trHeight w:val="340"/>
        </w:trPr>
        <w:tc>
          <w:tcPr>
            <w:tcW w:w="2386" w:type="dxa"/>
            <w:noWrap/>
            <w:hideMark/>
          </w:tcPr>
          <w:p w14:paraId="7532E188" w14:textId="77777777" w:rsidR="00AD5158" w:rsidRPr="001715D3" w:rsidRDefault="00AD5158" w:rsidP="00FE6625">
            <w:pPr>
              <w:jc w:val="center"/>
              <w:rPr>
                <w:rFonts w:ascii="Arial" w:hAnsi="Arial" w:cs="Arial"/>
                <w:bCs/>
                <w:sz w:val="18"/>
                <w:szCs w:val="18"/>
                <w:lang w:val="en-GB"/>
              </w:rPr>
            </w:pPr>
          </w:p>
        </w:tc>
        <w:tc>
          <w:tcPr>
            <w:tcW w:w="1037" w:type="dxa"/>
            <w:noWrap/>
            <w:vAlign w:val="center"/>
            <w:hideMark/>
          </w:tcPr>
          <w:p w14:paraId="3C030CB4" w14:textId="77777777" w:rsidR="00AD5158" w:rsidRPr="001715D3" w:rsidRDefault="00AD5158" w:rsidP="00F232B7">
            <w:pPr>
              <w:jc w:val="center"/>
              <w:rPr>
                <w:rFonts w:ascii="Arial" w:hAnsi="Arial" w:cs="Arial"/>
                <w:sz w:val="18"/>
                <w:szCs w:val="18"/>
                <w:lang w:val="en-GB"/>
              </w:rPr>
            </w:pPr>
            <w:r w:rsidRPr="001715D3">
              <w:rPr>
                <w:rFonts w:ascii="Arial" w:hAnsi="Arial" w:cs="Arial"/>
                <w:sz w:val="18"/>
                <w:szCs w:val="18"/>
                <w:lang w:val="en-GB"/>
              </w:rPr>
              <w:t>2016</w:t>
            </w:r>
          </w:p>
        </w:tc>
        <w:tc>
          <w:tcPr>
            <w:tcW w:w="1037" w:type="dxa"/>
            <w:noWrap/>
            <w:vAlign w:val="center"/>
            <w:hideMark/>
          </w:tcPr>
          <w:p w14:paraId="5C0B1740" w14:textId="77777777" w:rsidR="00AD5158" w:rsidRPr="001715D3" w:rsidRDefault="00AD5158" w:rsidP="00F232B7">
            <w:pPr>
              <w:jc w:val="center"/>
              <w:rPr>
                <w:rFonts w:ascii="Arial" w:hAnsi="Arial" w:cs="Arial"/>
                <w:sz w:val="18"/>
                <w:szCs w:val="18"/>
                <w:lang w:val="en-GB"/>
              </w:rPr>
            </w:pPr>
            <w:r w:rsidRPr="001715D3">
              <w:rPr>
                <w:rFonts w:ascii="Arial" w:hAnsi="Arial" w:cs="Arial"/>
                <w:sz w:val="18"/>
                <w:szCs w:val="18"/>
                <w:lang w:val="en-GB"/>
              </w:rPr>
              <w:t>2017</w:t>
            </w:r>
          </w:p>
        </w:tc>
        <w:tc>
          <w:tcPr>
            <w:tcW w:w="1037" w:type="dxa"/>
            <w:noWrap/>
            <w:vAlign w:val="center"/>
            <w:hideMark/>
          </w:tcPr>
          <w:p w14:paraId="3087E57E" w14:textId="77777777" w:rsidR="00AD5158" w:rsidRPr="001715D3" w:rsidRDefault="00AD5158" w:rsidP="00F232B7">
            <w:pPr>
              <w:jc w:val="center"/>
              <w:rPr>
                <w:rFonts w:ascii="Arial" w:hAnsi="Arial" w:cs="Arial"/>
                <w:sz w:val="18"/>
                <w:szCs w:val="18"/>
                <w:lang w:val="en-GB"/>
              </w:rPr>
            </w:pPr>
            <w:r w:rsidRPr="001715D3">
              <w:rPr>
                <w:rFonts w:ascii="Arial" w:hAnsi="Arial" w:cs="Arial"/>
                <w:sz w:val="18"/>
                <w:szCs w:val="18"/>
                <w:lang w:val="en-GB"/>
              </w:rPr>
              <w:t>2018</w:t>
            </w:r>
          </w:p>
        </w:tc>
        <w:tc>
          <w:tcPr>
            <w:tcW w:w="1037" w:type="dxa"/>
            <w:noWrap/>
            <w:vAlign w:val="center"/>
            <w:hideMark/>
          </w:tcPr>
          <w:p w14:paraId="687BD42F" w14:textId="77777777" w:rsidR="00AD5158" w:rsidRPr="001715D3" w:rsidRDefault="00AD5158" w:rsidP="00F232B7">
            <w:pPr>
              <w:jc w:val="center"/>
              <w:rPr>
                <w:rFonts w:ascii="Arial" w:hAnsi="Arial" w:cs="Arial"/>
                <w:sz w:val="18"/>
                <w:szCs w:val="18"/>
                <w:lang w:val="en-GB"/>
              </w:rPr>
            </w:pPr>
            <w:r w:rsidRPr="001715D3">
              <w:rPr>
                <w:rFonts w:ascii="Arial" w:hAnsi="Arial" w:cs="Arial"/>
                <w:sz w:val="18"/>
                <w:szCs w:val="18"/>
                <w:lang w:val="en-GB"/>
              </w:rPr>
              <w:t>2019</w:t>
            </w:r>
          </w:p>
        </w:tc>
        <w:tc>
          <w:tcPr>
            <w:tcW w:w="1037" w:type="dxa"/>
            <w:noWrap/>
            <w:vAlign w:val="center"/>
            <w:hideMark/>
          </w:tcPr>
          <w:p w14:paraId="7187FEDD" w14:textId="77777777" w:rsidR="00AD5158" w:rsidRPr="001715D3" w:rsidRDefault="00AD5158" w:rsidP="00F232B7">
            <w:pPr>
              <w:jc w:val="center"/>
              <w:rPr>
                <w:rFonts w:ascii="Arial" w:hAnsi="Arial" w:cs="Arial"/>
                <w:sz w:val="18"/>
                <w:szCs w:val="18"/>
                <w:lang w:val="en-GB"/>
              </w:rPr>
            </w:pPr>
            <w:r w:rsidRPr="001715D3">
              <w:rPr>
                <w:rFonts w:ascii="Arial" w:hAnsi="Arial" w:cs="Arial"/>
                <w:sz w:val="18"/>
                <w:szCs w:val="18"/>
                <w:lang w:val="en-GB"/>
              </w:rPr>
              <w:t>2020</w:t>
            </w:r>
          </w:p>
        </w:tc>
      </w:tr>
      <w:tr w:rsidR="00AD5158" w:rsidRPr="001715D3" w14:paraId="3117C2B6" w14:textId="77777777" w:rsidTr="00F232B7">
        <w:trPr>
          <w:trHeight w:val="340"/>
        </w:trPr>
        <w:tc>
          <w:tcPr>
            <w:tcW w:w="2386" w:type="dxa"/>
            <w:vAlign w:val="center"/>
            <w:hideMark/>
          </w:tcPr>
          <w:p w14:paraId="5FAC60A3" w14:textId="719BCBB9" w:rsidR="00AD5158" w:rsidRPr="001715D3" w:rsidRDefault="00AD5158" w:rsidP="00F232B7">
            <w:pPr>
              <w:rPr>
                <w:rFonts w:ascii="Arial" w:hAnsi="Arial" w:cs="Arial"/>
                <w:bCs/>
                <w:sz w:val="18"/>
                <w:szCs w:val="18"/>
                <w:lang w:val="en-GB"/>
              </w:rPr>
            </w:pPr>
            <w:r w:rsidRPr="001715D3">
              <w:rPr>
                <w:rFonts w:ascii="Arial" w:hAnsi="Arial" w:cs="Arial"/>
                <w:bCs/>
                <w:sz w:val="18"/>
                <w:szCs w:val="18"/>
                <w:lang w:val="en-GB"/>
              </w:rPr>
              <w:t xml:space="preserve">Dividend </w:t>
            </w:r>
            <w:proofErr w:type="spellStart"/>
            <w:r w:rsidRPr="001715D3">
              <w:rPr>
                <w:rFonts w:ascii="Arial" w:hAnsi="Arial" w:cs="Arial"/>
                <w:bCs/>
                <w:sz w:val="18"/>
                <w:szCs w:val="18"/>
                <w:lang w:val="en-GB"/>
              </w:rPr>
              <w:t>payout</w:t>
            </w:r>
            <w:proofErr w:type="spellEnd"/>
            <w:r w:rsidRPr="001715D3">
              <w:rPr>
                <w:rFonts w:ascii="Arial" w:hAnsi="Arial" w:cs="Arial"/>
                <w:bCs/>
                <w:sz w:val="18"/>
                <w:szCs w:val="18"/>
                <w:lang w:val="en-GB"/>
              </w:rPr>
              <w:t xml:space="preserve"> </w:t>
            </w:r>
          </w:p>
        </w:tc>
        <w:tc>
          <w:tcPr>
            <w:tcW w:w="1037" w:type="dxa"/>
            <w:noWrap/>
            <w:vAlign w:val="center"/>
            <w:hideMark/>
          </w:tcPr>
          <w:p w14:paraId="73044373" w14:textId="4E2D0804" w:rsidR="00AD5158" w:rsidRPr="001715D3" w:rsidRDefault="00AD5158" w:rsidP="00F232B7">
            <w:pPr>
              <w:jc w:val="center"/>
              <w:rPr>
                <w:rFonts w:ascii="Arial" w:hAnsi="Arial" w:cs="Arial"/>
                <w:sz w:val="18"/>
                <w:szCs w:val="18"/>
                <w:lang w:val="en-GB"/>
              </w:rPr>
            </w:pPr>
            <w:r w:rsidRPr="001715D3">
              <w:rPr>
                <w:rFonts w:ascii="Arial" w:hAnsi="Arial" w:cs="Arial"/>
                <w:sz w:val="18"/>
                <w:szCs w:val="18"/>
                <w:lang w:val="en-GB"/>
              </w:rPr>
              <w:t>0%</w:t>
            </w:r>
          </w:p>
        </w:tc>
        <w:tc>
          <w:tcPr>
            <w:tcW w:w="1037" w:type="dxa"/>
            <w:noWrap/>
            <w:vAlign w:val="center"/>
            <w:hideMark/>
          </w:tcPr>
          <w:p w14:paraId="059C84BF" w14:textId="05DD2318" w:rsidR="00AD5158" w:rsidRPr="001715D3" w:rsidRDefault="00B75C83" w:rsidP="00F232B7">
            <w:pPr>
              <w:jc w:val="center"/>
              <w:rPr>
                <w:rFonts w:ascii="Arial" w:hAnsi="Arial" w:cs="Arial"/>
                <w:sz w:val="18"/>
                <w:szCs w:val="18"/>
                <w:lang w:val="en-GB"/>
              </w:rPr>
            </w:pPr>
            <w:r w:rsidRPr="001715D3">
              <w:rPr>
                <w:rFonts w:ascii="Arial" w:hAnsi="Arial" w:cs="Arial"/>
                <w:sz w:val="18"/>
                <w:szCs w:val="18"/>
                <w:lang w:val="en-GB"/>
              </w:rPr>
              <w:t>2</w:t>
            </w:r>
            <w:r w:rsidR="00AD5158" w:rsidRPr="001715D3">
              <w:rPr>
                <w:rFonts w:ascii="Arial" w:hAnsi="Arial" w:cs="Arial"/>
                <w:sz w:val="18"/>
                <w:szCs w:val="18"/>
                <w:lang w:val="en-GB"/>
              </w:rPr>
              <w:t>0%</w:t>
            </w:r>
          </w:p>
        </w:tc>
        <w:tc>
          <w:tcPr>
            <w:tcW w:w="1037" w:type="dxa"/>
            <w:noWrap/>
            <w:vAlign w:val="center"/>
            <w:hideMark/>
          </w:tcPr>
          <w:p w14:paraId="609D5180" w14:textId="576313F4" w:rsidR="00AD5158" w:rsidRPr="001715D3" w:rsidRDefault="00B75C83" w:rsidP="00F232B7">
            <w:pPr>
              <w:tabs>
                <w:tab w:val="decimal" w:pos="160"/>
              </w:tabs>
              <w:jc w:val="center"/>
              <w:rPr>
                <w:rFonts w:ascii="Arial" w:hAnsi="Arial" w:cs="Arial"/>
                <w:sz w:val="18"/>
                <w:szCs w:val="18"/>
                <w:lang w:val="en-GB" w:eastAsia="en-US"/>
              </w:rPr>
            </w:pPr>
            <w:r w:rsidRPr="001715D3">
              <w:rPr>
                <w:rFonts w:ascii="Arial" w:hAnsi="Arial" w:cs="Arial"/>
                <w:sz w:val="18"/>
                <w:szCs w:val="18"/>
                <w:lang w:val="en-GB"/>
              </w:rPr>
              <w:t>4</w:t>
            </w:r>
            <w:r w:rsidR="00AD5158" w:rsidRPr="001715D3">
              <w:rPr>
                <w:rFonts w:ascii="Arial" w:hAnsi="Arial" w:cs="Arial"/>
                <w:sz w:val="18"/>
                <w:szCs w:val="18"/>
                <w:lang w:val="en-GB"/>
              </w:rPr>
              <w:t>0%</w:t>
            </w:r>
          </w:p>
        </w:tc>
        <w:tc>
          <w:tcPr>
            <w:tcW w:w="1037" w:type="dxa"/>
            <w:noWrap/>
            <w:vAlign w:val="center"/>
            <w:hideMark/>
          </w:tcPr>
          <w:p w14:paraId="0E4C8B99" w14:textId="4260192E" w:rsidR="00AD5158" w:rsidRPr="001715D3" w:rsidRDefault="00B75C83" w:rsidP="00F232B7">
            <w:pPr>
              <w:tabs>
                <w:tab w:val="decimal" w:pos="202"/>
              </w:tabs>
              <w:jc w:val="center"/>
              <w:rPr>
                <w:rFonts w:ascii="Arial" w:hAnsi="Arial" w:cs="Arial"/>
                <w:sz w:val="18"/>
                <w:szCs w:val="18"/>
                <w:lang w:val="en-GB" w:eastAsia="en-US"/>
              </w:rPr>
            </w:pPr>
            <w:r w:rsidRPr="001715D3">
              <w:rPr>
                <w:rFonts w:ascii="Arial" w:hAnsi="Arial" w:cs="Arial"/>
                <w:sz w:val="18"/>
                <w:szCs w:val="18"/>
                <w:lang w:val="en-GB"/>
              </w:rPr>
              <w:t>6</w:t>
            </w:r>
            <w:r w:rsidR="00AD5158" w:rsidRPr="001715D3">
              <w:rPr>
                <w:rFonts w:ascii="Arial" w:hAnsi="Arial" w:cs="Arial"/>
                <w:sz w:val="18"/>
                <w:szCs w:val="18"/>
                <w:lang w:val="en-GB"/>
              </w:rPr>
              <w:t>0%</w:t>
            </w:r>
          </w:p>
        </w:tc>
        <w:tc>
          <w:tcPr>
            <w:tcW w:w="1037" w:type="dxa"/>
            <w:noWrap/>
            <w:vAlign w:val="center"/>
            <w:hideMark/>
          </w:tcPr>
          <w:p w14:paraId="299415DF" w14:textId="77777777" w:rsidR="00AD5158" w:rsidRPr="001715D3" w:rsidRDefault="00AD5158" w:rsidP="00F232B7">
            <w:pPr>
              <w:jc w:val="center"/>
              <w:rPr>
                <w:rFonts w:ascii="Arial" w:hAnsi="Arial" w:cs="Arial"/>
                <w:sz w:val="18"/>
                <w:szCs w:val="18"/>
                <w:lang w:val="en-GB"/>
              </w:rPr>
            </w:pPr>
            <w:r w:rsidRPr="001715D3">
              <w:rPr>
                <w:rFonts w:ascii="Arial" w:hAnsi="Arial" w:cs="Arial"/>
                <w:sz w:val="18"/>
                <w:szCs w:val="18"/>
                <w:lang w:val="en-GB"/>
              </w:rPr>
              <w:t>80%</w:t>
            </w:r>
          </w:p>
        </w:tc>
      </w:tr>
    </w:tbl>
    <w:p w14:paraId="77958A85" w14:textId="77777777" w:rsidR="00AD5158" w:rsidRPr="001715D3" w:rsidRDefault="00AD5158" w:rsidP="00AD5158">
      <w:pPr>
        <w:spacing w:after="200" w:line="276" w:lineRule="auto"/>
        <w:rPr>
          <w:b/>
          <w:caps/>
          <w:lang w:val="en-GB"/>
        </w:rPr>
      </w:pPr>
    </w:p>
    <w:p w14:paraId="3667648B" w14:textId="72CCAE18" w:rsidR="009C3C38" w:rsidRPr="001715D3" w:rsidRDefault="00AD5158" w:rsidP="002C3A1A">
      <w:pPr>
        <w:pStyle w:val="Footnote"/>
        <w:rPr>
          <w:i/>
          <w:lang w:val="en-GB"/>
        </w:rPr>
        <w:sectPr w:rsidR="009C3C38" w:rsidRPr="001715D3" w:rsidSect="00F57AE3">
          <w:headerReference w:type="default" r:id="rId12"/>
          <w:endnotePr>
            <w:numFmt w:val="decimal"/>
          </w:endnotePr>
          <w:pgSz w:w="12240" w:h="15840" w:code="1"/>
          <w:pgMar w:top="1080" w:right="1440" w:bottom="1440" w:left="1440" w:header="1080" w:footer="720" w:gutter="0"/>
          <w:cols w:space="720"/>
          <w:titlePg/>
          <w:docGrid w:linePitch="360"/>
        </w:sectPr>
      </w:pPr>
      <w:r w:rsidRPr="001715D3">
        <w:rPr>
          <w:spacing w:val="-12"/>
          <w:kern w:val="17"/>
          <w:lang w:val="en-GB"/>
        </w:rPr>
        <w:t xml:space="preserve">Source: </w:t>
      </w:r>
      <w:r w:rsidR="00BD5BE3" w:rsidRPr="001715D3">
        <w:rPr>
          <w:spacing w:val="-12"/>
          <w:kern w:val="17"/>
          <w:lang w:val="en-GB"/>
        </w:rPr>
        <w:t>Equity</w:t>
      </w:r>
      <w:r w:rsidR="001C34E6" w:rsidRPr="001715D3">
        <w:rPr>
          <w:spacing w:val="-12"/>
          <w:kern w:val="17"/>
          <w:lang w:val="en-GB"/>
        </w:rPr>
        <w:t xml:space="preserve"> risk premium</w:t>
      </w:r>
      <w:r w:rsidR="00CC6847" w:rsidRPr="001715D3">
        <w:rPr>
          <w:spacing w:val="-12"/>
          <w:kern w:val="17"/>
          <w:lang w:val="en-GB"/>
        </w:rPr>
        <w:t>s</w:t>
      </w:r>
      <w:r w:rsidR="001C34E6" w:rsidRPr="001715D3">
        <w:rPr>
          <w:spacing w:val="-12"/>
          <w:kern w:val="17"/>
          <w:lang w:val="en-GB"/>
        </w:rPr>
        <w:t xml:space="preserve"> </w:t>
      </w:r>
      <w:r w:rsidR="007C69C2" w:rsidRPr="001715D3">
        <w:rPr>
          <w:spacing w:val="-12"/>
          <w:kern w:val="17"/>
          <w:lang w:val="en-GB"/>
        </w:rPr>
        <w:t xml:space="preserve">were </w:t>
      </w:r>
      <w:r w:rsidR="001C34E6" w:rsidRPr="001715D3">
        <w:rPr>
          <w:spacing w:val="-12"/>
          <w:kern w:val="17"/>
          <w:lang w:val="en-GB"/>
        </w:rPr>
        <w:t>downloaded from Bloomberg</w:t>
      </w:r>
      <w:r w:rsidR="007C69C2" w:rsidRPr="001715D3">
        <w:rPr>
          <w:spacing w:val="-12"/>
          <w:kern w:val="17"/>
          <w:lang w:val="en-GB"/>
        </w:rPr>
        <w:t xml:space="preserve">; </w:t>
      </w:r>
      <w:r w:rsidR="001C34E6" w:rsidRPr="001715D3">
        <w:rPr>
          <w:spacing w:val="-12"/>
          <w:kern w:val="17"/>
          <w:lang w:val="en-GB"/>
        </w:rPr>
        <w:t xml:space="preserve">Balance sheet data </w:t>
      </w:r>
      <w:r w:rsidR="007C69C2" w:rsidRPr="001715D3">
        <w:rPr>
          <w:spacing w:val="-12"/>
          <w:kern w:val="17"/>
          <w:lang w:val="en-GB"/>
        </w:rPr>
        <w:t xml:space="preserve">were </w:t>
      </w:r>
      <w:r w:rsidRPr="001715D3">
        <w:rPr>
          <w:spacing w:val="-12"/>
          <w:kern w:val="17"/>
          <w:lang w:val="en-GB"/>
        </w:rPr>
        <w:t xml:space="preserve">obtained from </w:t>
      </w:r>
      <w:r w:rsidR="008D54E7" w:rsidRPr="001715D3">
        <w:rPr>
          <w:spacing w:val="-12"/>
          <w:kern w:val="17"/>
          <w:lang w:val="en-GB"/>
        </w:rPr>
        <w:t>NOL</w:t>
      </w:r>
      <w:r w:rsidRPr="001715D3">
        <w:rPr>
          <w:spacing w:val="-12"/>
          <w:kern w:val="17"/>
          <w:lang w:val="en-GB"/>
        </w:rPr>
        <w:t xml:space="preserve">’s </w:t>
      </w:r>
      <w:r w:rsidR="007C69C2" w:rsidRPr="001715D3">
        <w:rPr>
          <w:spacing w:val="-12"/>
          <w:kern w:val="17"/>
          <w:lang w:val="en-GB"/>
        </w:rPr>
        <w:t xml:space="preserve">past </w:t>
      </w:r>
      <w:r w:rsidRPr="001715D3">
        <w:rPr>
          <w:spacing w:val="-12"/>
          <w:kern w:val="17"/>
          <w:lang w:val="en-GB"/>
        </w:rPr>
        <w:t>financial statements</w:t>
      </w:r>
      <w:r w:rsidR="00CC6847" w:rsidRPr="001715D3">
        <w:rPr>
          <w:spacing w:val="-12"/>
          <w:kern w:val="17"/>
          <w:lang w:val="en-GB"/>
        </w:rPr>
        <w:t>:</w:t>
      </w:r>
      <w:r w:rsidR="006A2A40" w:rsidRPr="001715D3">
        <w:rPr>
          <w:spacing w:val="-12"/>
          <w:kern w:val="17"/>
          <w:lang w:val="en-GB"/>
        </w:rPr>
        <w:t xml:space="preserve"> </w:t>
      </w:r>
      <w:r w:rsidR="00CC6847" w:rsidRPr="001715D3">
        <w:rPr>
          <w:spacing w:val="-12"/>
          <w:kern w:val="17"/>
          <w:lang w:val="en-GB"/>
        </w:rPr>
        <w:t xml:space="preserve">Neptune Orient Lines Limited, </w:t>
      </w:r>
      <w:r w:rsidR="00CC6847" w:rsidRPr="00F232B7">
        <w:rPr>
          <w:i/>
          <w:spacing w:val="-12"/>
          <w:kern w:val="17"/>
          <w:lang w:val="en-GB"/>
        </w:rPr>
        <w:t>Annual Report 2015</w:t>
      </w:r>
      <w:r w:rsidR="00CC6847" w:rsidRPr="001715D3">
        <w:rPr>
          <w:spacing w:val="-12"/>
          <w:kern w:val="17"/>
          <w:lang w:val="en-GB"/>
        </w:rPr>
        <w:t xml:space="preserve">, </w:t>
      </w:r>
      <w:r w:rsidR="006A2A40" w:rsidRPr="001715D3">
        <w:rPr>
          <w:spacing w:val="-12"/>
          <w:kern w:val="17"/>
          <w:lang w:val="en-GB"/>
        </w:rPr>
        <w:t xml:space="preserve">March 1, 2016, </w:t>
      </w:r>
      <w:r w:rsidR="002C3A1A" w:rsidRPr="001715D3">
        <w:rPr>
          <w:spacing w:val="-12"/>
          <w:kern w:val="17"/>
          <w:lang w:val="en-GB"/>
        </w:rPr>
        <w:t xml:space="preserve">https://www.nol.com.sg/wps/wcm/connect/a655b534-c9d4-490e-bff0-531c3dcf1217/Full+Annual+Report+2015.pdf?MOD=AJPERES; </w:t>
      </w:r>
      <w:r w:rsidR="00CC6847" w:rsidRPr="001715D3">
        <w:rPr>
          <w:spacing w:val="-12"/>
          <w:kern w:val="17"/>
          <w:lang w:val="en-GB"/>
        </w:rPr>
        <w:t xml:space="preserve">Neptune Orient Lines Limited, “Investor Relations,” accessed February 28, 2017, </w:t>
      </w:r>
      <w:r w:rsidR="006A2A40" w:rsidRPr="001715D3">
        <w:rPr>
          <w:spacing w:val="-12"/>
          <w:kern w:val="17"/>
          <w:lang w:val="en-GB"/>
        </w:rPr>
        <w:t>https://www.nol.com.sg/wps/portal/nol/investorrelations/reportsandannouncements/annualreports</w:t>
      </w:r>
      <w:r w:rsidR="006A2A40" w:rsidRPr="001715D3">
        <w:rPr>
          <w:spacing w:val="-10"/>
          <w:kern w:val="17"/>
          <w:lang w:val="en-GB"/>
        </w:rPr>
        <w:t xml:space="preserve">. </w:t>
      </w:r>
    </w:p>
    <w:p w14:paraId="3788F200" w14:textId="4DDBAB67" w:rsidR="009C3C38" w:rsidRPr="001715D3" w:rsidRDefault="009C3C38" w:rsidP="007E0371">
      <w:pPr>
        <w:pStyle w:val="ExhibitHeading"/>
        <w:outlineLvl w:val="0"/>
        <w:rPr>
          <w:lang w:val="en-GB"/>
        </w:rPr>
      </w:pPr>
      <w:r w:rsidRPr="001715D3">
        <w:rPr>
          <w:lang w:val="en-GB"/>
        </w:rPr>
        <w:lastRenderedPageBreak/>
        <w:t xml:space="preserve">Exhibit </w:t>
      </w:r>
      <w:r w:rsidR="00627489" w:rsidRPr="001715D3">
        <w:rPr>
          <w:lang w:val="en-GB"/>
        </w:rPr>
        <w:t>5</w:t>
      </w:r>
      <w:r w:rsidRPr="001715D3">
        <w:rPr>
          <w:lang w:val="en-GB"/>
        </w:rPr>
        <w:t>: KEY FINANCIAL FIGURES and MARKET-COMPARABLE MULTIPLES of SELECTED PUBLICLY TRADED FIRMS</w:t>
      </w:r>
    </w:p>
    <w:p w14:paraId="122C3DC9" w14:textId="77777777" w:rsidR="003B2975" w:rsidRPr="001715D3" w:rsidRDefault="003B2975" w:rsidP="009C3C38">
      <w:pPr>
        <w:pStyle w:val="ExhibitHeading"/>
        <w:rPr>
          <w:lang w:val="en-GB"/>
        </w:rPr>
      </w:pPr>
    </w:p>
    <w:tbl>
      <w:tblPr>
        <w:tblW w:w="11592" w:type="dxa"/>
        <w:jc w:val="center"/>
        <w:tblLayout w:type="fixed"/>
        <w:tblCellMar>
          <w:left w:w="11" w:type="dxa"/>
          <w:right w:w="11" w:type="dxa"/>
        </w:tblCellMar>
        <w:tblLook w:val="04A0" w:firstRow="1" w:lastRow="0" w:firstColumn="1" w:lastColumn="0" w:noHBand="0" w:noVBand="1"/>
      </w:tblPr>
      <w:tblGrid>
        <w:gridCol w:w="2552"/>
        <w:gridCol w:w="1291"/>
        <w:gridCol w:w="1291"/>
        <w:gridCol w:w="1292"/>
        <w:gridCol w:w="1291"/>
        <w:gridCol w:w="1292"/>
        <w:gridCol w:w="1291"/>
        <w:gridCol w:w="1292"/>
      </w:tblGrid>
      <w:tr w:rsidR="002C3A1A" w:rsidRPr="001715D3" w14:paraId="605023B0" w14:textId="77777777" w:rsidTr="00FF1584">
        <w:trPr>
          <w:trHeight w:val="500"/>
          <w:jc w:val="center"/>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B024" w14:textId="3C90D71D" w:rsidR="00B27AF3" w:rsidRPr="001715D3" w:rsidRDefault="00B27AF3" w:rsidP="00E53C54">
            <w:pPr>
              <w:jc w:val="center"/>
              <w:rPr>
                <w:rFonts w:ascii="Arial" w:hAnsi="Arial" w:cs="Arial"/>
                <w:b/>
                <w:bCs/>
                <w:sz w:val="18"/>
                <w:szCs w:val="18"/>
                <w:lang w:val="en-GB" w:eastAsia="en-SG"/>
              </w:rPr>
            </w:pPr>
          </w:p>
        </w:tc>
        <w:tc>
          <w:tcPr>
            <w:tcW w:w="1291" w:type="dxa"/>
            <w:tcBorders>
              <w:top w:val="single" w:sz="4" w:space="0" w:color="auto"/>
              <w:left w:val="nil"/>
              <w:bottom w:val="single" w:sz="4" w:space="0" w:color="auto"/>
              <w:right w:val="nil"/>
            </w:tcBorders>
            <w:shd w:val="clear" w:color="auto" w:fill="auto"/>
            <w:vAlign w:val="center"/>
            <w:hideMark/>
          </w:tcPr>
          <w:p w14:paraId="6885386F" w14:textId="535EC87E" w:rsidR="00B27AF3" w:rsidRPr="001715D3" w:rsidRDefault="00B27AF3" w:rsidP="00FF1584">
            <w:pPr>
              <w:jc w:val="center"/>
              <w:rPr>
                <w:rFonts w:ascii="Arial" w:hAnsi="Arial" w:cs="Arial"/>
                <w:b/>
                <w:bCs/>
                <w:sz w:val="18"/>
                <w:szCs w:val="18"/>
                <w:lang w:val="en-GB" w:eastAsia="en-SG"/>
              </w:rPr>
            </w:pPr>
            <w:r w:rsidRPr="001715D3">
              <w:rPr>
                <w:rFonts w:ascii="Arial" w:hAnsi="Arial" w:cs="Arial"/>
                <w:b/>
                <w:bCs/>
                <w:sz w:val="18"/>
                <w:szCs w:val="18"/>
                <w:lang w:val="en-GB" w:eastAsia="en-SG"/>
              </w:rPr>
              <w:t>NOL</w:t>
            </w:r>
          </w:p>
        </w:tc>
        <w:tc>
          <w:tcPr>
            <w:tcW w:w="1291" w:type="dxa"/>
            <w:tcBorders>
              <w:top w:val="single" w:sz="4" w:space="0" w:color="auto"/>
              <w:left w:val="nil"/>
              <w:bottom w:val="single" w:sz="4" w:space="0" w:color="auto"/>
              <w:right w:val="nil"/>
            </w:tcBorders>
            <w:shd w:val="clear" w:color="auto" w:fill="auto"/>
            <w:vAlign w:val="center"/>
          </w:tcPr>
          <w:p w14:paraId="4F3EF50E" w14:textId="75E963F8" w:rsidR="00B27AF3" w:rsidRPr="001715D3" w:rsidRDefault="0000700E" w:rsidP="00FF1584">
            <w:pPr>
              <w:jc w:val="center"/>
              <w:rPr>
                <w:rFonts w:ascii="Arial" w:hAnsi="Arial" w:cs="Arial"/>
                <w:b/>
                <w:bCs/>
                <w:sz w:val="18"/>
                <w:szCs w:val="18"/>
                <w:highlight w:val="yellow"/>
                <w:lang w:val="en-GB" w:eastAsia="en-SG"/>
              </w:rPr>
            </w:pPr>
            <w:r>
              <w:rPr>
                <w:rFonts w:ascii="Arial" w:hAnsi="Arial" w:cs="Arial"/>
                <w:b/>
                <w:bCs/>
                <w:sz w:val="18"/>
                <w:szCs w:val="18"/>
                <w:lang w:val="en-GB" w:eastAsia="en-SG"/>
              </w:rPr>
              <w:t xml:space="preserve">The </w:t>
            </w:r>
            <w:r w:rsidRPr="001715D3">
              <w:rPr>
                <w:rFonts w:ascii="Arial" w:hAnsi="Arial" w:cs="Arial"/>
                <w:b/>
                <w:bCs/>
                <w:sz w:val="18"/>
                <w:szCs w:val="18"/>
                <w:lang w:val="en-GB" w:eastAsia="en-SG"/>
              </w:rPr>
              <w:t>Maersk</w:t>
            </w:r>
            <w:r>
              <w:rPr>
                <w:rFonts w:ascii="Arial" w:hAnsi="Arial" w:cs="Arial"/>
                <w:b/>
                <w:bCs/>
                <w:sz w:val="18"/>
                <w:szCs w:val="18"/>
                <w:lang w:val="en-GB" w:eastAsia="en-SG"/>
              </w:rPr>
              <w:t xml:space="preserve"> Group</w:t>
            </w:r>
          </w:p>
        </w:tc>
        <w:tc>
          <w:tcPr>
            <w:tcW w:w="1292" w:type="dxa"/>
            <w:tcBorders>
              <w:top w:val="single" w:sz="4" w:space="0" w:color="auto"/>
              <w:left w:val="nil"/>
              <w:bottom w:val="single" w:sz="4" w:space="0" w:color="auto"/>
              <w:right w:val="nil"/>
            </w:tcBorders>
            <w:shd w:val="clear" w:color="auto" w:fill="auto"/>
            <w:vAlign w:val="center"/>
          </w:tcPr>
          <w:p w14:paraId="3D4BFA5F" w14:textId="5900887B" w:rsidR="00B27AF3" w:rsidRPr="001715D3" w:rsidRDefault="0000700E" w:rsidP="00FF1584">
            <w:pPr>
              <w:jc w:val="center"/>
              <w:rPr>
                <w:rFonts w:ascii="Arial" w:hAnsi="Arial" w:cs="Arial"/>
                <w:b/>
                <w:bCs/>
                <w:sz w:val="18"/>
                <w:szCs w:val="18"/>
                <w:highlight w:val="yellow"/>
                <w:lang w:val="en-GB" w:eastAsia="en-SG"/>
              </w:rPr>
            </w:pPr>
            <w:r w:rsidRPr="001715D3">
              <w:rPr>
                <w:rFonts w:ascii="Arial" w:hAnsi="Arial" w:cs="Arial"/>
                <w:b/>
                <w:bCs/>
                <w:sz w:val="18"/>
                <w:szCs w:val="18"/>
                <w:lang w:val="en-GB" w:eastAsia="en-SG"/>
              </w:rPr>
              <w:t>Evergreen</w:t>
            </w:r>
            <w:r>
              <w:rPr>
                <w:rFonts w:ascii="Arial" w:hAnsi="Arial" w:cs="Arial"/>
                <w:b/>
                <w:bCs/>
                <w:sz w:val="18"/>
                <w:szCs w:val="18"/>
                <w:lang w:val="en-GB" w:eastAsia="en-SG"/>
              </w:rPr>
              <w:t xml:space="preserve"> Group</w:t>
            </w:r>
          </w:p>
        </w:tc>
        <w:tc>
          <w:tcPr>
            <w:tcW w:w="1291" w:type="dxa"/>
            <w:tcBorders>
              <w:top w:val="single" w:sz="4" w:space="0" w:color="auto"/>
              <w:left w:val="nil"/>
              <w:bottom w:val="single" w:sz="4" w:space="0" w:color="auto"/>
              <w:right w:val="nil"/>
            </w:tcBorders>
            <w:shd w:val="clear" w:color="auto" w:fill="auto"/>
            <w:vAlign w:val="center"/>
            <w:hideMark/>
          </w:tcPr>
          <w:p w14:paraId="5A1EB47F" w14:textId="57BEB953" w:rsidR="00B27AF3" w:rsidRDefault="0000700E" w:rsidP="00FF1584">
            <w:pPr>
              <w:jc w:val="center"/>
              <w:rPr>
                <w:rFonts w:ascii="Arial" w:hAnsi="Arial" w:cs="Arial"/>
                <w:b/>
                <w:bCs/>
                <w:sz w:val="18"/>
                <w:szCs w:val="18"/>
                <w:lang w:val="en-GB" w:eastAsia="en-SG"/>
              </w:rPr>
            </w:pPr>
            <w:proofErr w:type="spellStart"/>
            <w:r w:rsidRPr="001715D3">
              <w:rPr>
                <w:rFonts w:ascii="Arial" w:hAnsi="Arial" w:cs="Arial"/>
                <w:b/>
                <w:bCs/>
                <w:sz w:val="18"/>
                <w:szCs w:val="18"/>
                <w:lang w:val="en-GB" w:eastAsia="en-SG"/>
              </w:rPr>
              <w:t>Hanjin</w:t>
            </w:r>
            <w:proofErr w:type="spellEnd"/>
          </w:p>
          <w:p w14:paraId="5EB2E123" w14:textId="7130298D" w:rsidR="0000700E" w:rsidRPr="001715D3" w:rsidRDefault="0000700E" w:rsidP="00FF1584">
            <w:pPr>
              <w:jc w:val="center"/>
              <w:rPr>
                <w:rFonts w:ascii="Arial" w:hAnsi="Arial" w:cs="Arial"/>
                <w:b/>
                <w:bCs/>
                <w:sz w:val="18"/>
                <w:szCs w:val="18"/>
                <w:lang w:val="en-GB" w:eastAsia="en-SG"/>
              </w:rPr>
            </w:pPr>
            <w:r>
              <w:rPr>
                <w:rFonts w:ascii="Arial" w:hAnsi="Arial" w:cs="Arial"/>
                <w:b/>
                <w:bCs/>
                <w:sz w:val="18"/>
                <w:szCs w:val="18"/>
                <w:lang w:val="en-GB" w:eastAsia="en-SG"/>
              </w:rPr>
              <w:t>Korea</w:t>
            </w:r>
          </w:p>
        </w:tc>
        <w:tc>
          <w:tcPr>
            <w:tcW w:w="1292" w:type="dxa"/>
            <w:tcBorders>
              <w:top w:val="single" w:sz="4" w:space="0" w:color="auto"/>
              <w:left w:val="nil"/>
              <w:bottom w:val="single" w:sz="4" w:space="0" w:color="auto"/>
              <w:right w:val="nil"/>
            </w:tcBorders>
            <w:shd w:val="clear" w:color="auto" w:fill="auto"/>
            <w:vAlign w:val="center"/>
            <w:hideMark/>
          </w:tcPr>
          <w:p w14:paraId="0F73DD80" w14:textId="04ED2F8A" w:rsidR="00B27AF3" w:rsidRPr="001715D3" w:rsidRDefault="0000700E" w:rsidP="00FF1584">
            <w:pPr>
              <w:jc w:val="center"/>
              <w:rPr>
                <w:rFonts w:ascii="Arial" w:hAnsi="Arial" w:cs="Arial"/>
                <w:b/>
                <w:bCs/>
                <w:sz w:val="18"/>
                <w:szCs w:val="18"/>
                <w:lang w:val="en-GB" w:eastAsia="en-SG"/>
              </w:rPr>
            </w:pPr>
            <w:proofErr w:type="spellStart"/>
            <w:r>
              <w:rPr>
                <w:rFonts w:ascii="Arial" w:hAnsi="Arial" w:cs="Arial"/>
                <w:b/>
                <w:bCs/>
                <w:sz w:val="18"/>
                <w:szCs w:val="18"/>
                <w:lang w:val="en-GB" w:eastAsia="en-SG"/>
              </w:rPr>
              <w:t>YangM</w:t>
            </w:r>
            <w:r w:rsidRPr="001715D3">
              <w:rPr>
                <w:rFonts w:ascii="Arial" w:hAnsi="Arial" w:cs="Arial"/>
                <w:b/>
                <w:bCs/>
                <w:sz w:val="18"/>
                <w:szCs w:val="18"/>
                <w:lang w:val="en-GB" w:eastAsia="en-SG"/>
              </w:rPr>
              <w:t>ing</w:t>
            </w:r>
            <w:proofErr w:type="spellEnd"/>
            <w:r>
              <w:rPr>
                <w:rFonts w:ascii="Arial" w:hAnsi="Arial" w:cs="Arial"/>
                <w:b/>
                <w:bCs/>
                <w:sz w:val="18"/>
                <w:szCs w:val="18"/>
                <w:lang w:val="en-GB" w:eastAsia="en-SG"/>
              </w:rPr>
              <w:t xml:space="preserve"> Marine Transport Corp.</w:t>
            </w:r>
          </w:p>
        </w:tc>
        <w:tc>
          <w:tcPr>
            <w:tcW w:w="1291" w:type="dxa"/>
            <w:tcBorders>
              <w:top w:val="single" w:sz="4" w:space="0" w:color="auto"/>
              <w:left w:val="nil"/>
              <w:bottom w:val="single" w:sz="4" w:space="0" w:color="auto"/>
              <w:right w:val="nil"/>
            </w:tcBorders>
            <w:shd w:val="clear" w:color="auto" w:fill="auto"/>
            <w:vAlign w:val="center"/>
            <w:hideMark/>
          </w:tcPr>
          <w:p w14:paraId="6B052C8C" w14:textId="70B8FDF3" w:rsidR="00B27AF3" w:rsidRPr="001715D3" w:rsidRDefault="0000700E" w:rsidP="00FF1584">
            <w:pPr>
              <w:jc w:val="center"/>
              <w:rPr>
                <w:rFonts w:ascii="Arial" w:hAnsi="Arial" w:cs="Arial"/>
                <w:b/>
                <w:bCs/>
                <w:sz w:val="18"/>
                <w:szCs w:val="18"/>
                <w:lang w:val="en-GB" w:eastAsia="en-SG"/>
              </w:rPr>
            </w:pPr>
            <w:r w:rsidRPr="001715D3">
              <w:rPr>
                <w:rFonts w:ascii="Arial" w:hAnsi="Arial" w:cs="Arial"/>
                <w:b/>
                <w:bCs/>
                <w:sz w:val="18"/>
                <w:szCs w:val="18"/>
                <w:lang w:val="en-GB" w:eastAsia="en-SG"/>
              </w:rPr>
              <w:t>China</w:t>
            </w:r>
            <w:r w:rsidR="00C73574" w:rsidRPr="001715D3">
              <w:rPr>
                <w:rFonts w:ascii="Arial" w:hAnsi="Arial" w:cs="Arial"/>
                <w:b/>
                <w:bCs/>
                <w:sz w:val="18"/>
                <w:szCs w:val="18"/>
                <w:lang w:val="en-GB" w:eastAsia="en-SG"/>
              </w:rPr>
              <w:t xml:space="preserve"> </w:t>
            </w:r>
            <w:proofErr w:type="spellStart"/>
            <w:r w:rsidRPr="001715D3">
              <w:rPr>
                <w:rFonts w:ascii="Arial" w:hAnsi="Arial" w:cs="Arial"/>
                <w:b/>
                <w:bCs/>
                <w:sz w:val="18"/>
                <w:szCs w:val="18"/>
                <w:lang w:val="en-GB" w:eastAsia="en-SG"/>
              </w:rPr>
              <w:t>Ocean</w:t>
            </w:r>
            <w:r>
              <w:rPr>
                <w:rFonts w:ascii="Arial" w:hAnsi="Arial" w:cs="Arial"/>
                <w:b/>
                <w:bCs/>
                <w:sz w:val="18"/>
                <w:szCs w:val="18"/>
                <w:lang w:val="en-GB" w:eastAsia="en-SG"/>
              </w:rPr>
              <w:t>wide</w:t>
            </w:r>
            <w:proofErr w:type="spellEnd"/>
            <w:r>
              <w:rPr>
                <w:rFonts w:ascii="Arial" w:hAnsi="Arial" w:cs="Arial"/>
                <w:b/>
                <w:bCs/>
                <w:sz w:val="18"/>
                <w:szCs w:val="18"/>
                <w:lang w:val="en-GB" w:eastAsia="en-SG"/>
              </w:rPr>
              <w:t xml:space="preserve"> Holdings Group</w:t>
            </w:r>
          </w:p>
        </w:tc>
        <w:tc>
          <w:tcPr>
            <w:tcW w:w="1292" w:type="dxa"/>
            <w:tcBorders>
              <w:top w:val="single" w:sz="4" w:space="0" w:color="auto"/>
              <w:left w:val="nil"/>
              <w:bottom w:val="single" w:sz="4" w:space="0" w:color="auto"/>
              <w:right w:val="single" w:sz="4" w:space="0" w:color="auto"/>
            </w:tcBorders>
            <w:shd w:val="clear" w:color="auto" w:fill="auto"/>
            <w:vAlign w:val="center"/>
            <w:hideMark/>
          </w:tcPr>
          <w:p w14:paraId="598F0F70" w14:textId="77777777" w:rsidR="00B27AF3" w:rsidRPr="001715D3" w:rsidRDefault="00B27AF3" w:rsidP="00FF1584">
            <w:pPr>
              <w:jc w:val="center"/>
              <w:rPr>
                <w:rFonts w:ascii="Arial" w:hAnsi="Arial" w:cs="Arial"/>
                <w:b/>
                <w:bCs/>
                <w:sz w:val="18"/>
                <w:szCs w:val="18"/>
                <w:lang w:val="en-GB" w:eastAsia="en-SG"/>
              </w:rPr>
            </w:pPr>
            <w:r w:rsidRPr="001715D3">
              <w:rPr>
                <w:rFonts w:ascii="Arial" w:hAnsi="Arial" w:cs="Arial"/>
                <w:b/>
                <w:bCs/>
                <w:sz w:val="18"/>
                <w:szCs w:val="18"/>
                <w:lang w:val="en-GB" w:eastAsia="en-SG"/>
              </w:rPr>
              <w:t>CMA CGM</w:t>
            </w:r>
          </w:p>
        </w:tc>
      </w:tr>
      <w:tr w:rsidR="002C3A1A" w:rsidRPr="001715D3" w14:paraId="68373602"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7D75F545"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 xml:space="preserve">Stock Exchange </w:t>
            </w:r>
          </w:p>
        </w:tc>
        <w:tc>
          <w:tcPr>
            <w:tcW w:w="1291" w:type="dxa"/>
            <w:tcBorders>
              <w:top w:val="nil"/>
              <w:left w:val="single" w:sz="4" w:space="0" w:color="auto"/>
              <w:bottom w:val="nil"/>
              <w:right w:val="nil"/>
            </w:tcBorders>
            <w:shd w:val="clear" w:color="auto" w:fill="auto"/>
            <w:noWrap/>
            <w:vAlign w:val="bottom"/>
            <w:hideMark/>
          </w:tcPr>
          <w:p w14:paraId="314F4C35" w14:textId="77777777" w:rsidR="00B27AF3" w:rsidRPr="001715D3" w:rsidRDefault="00B27AF3" w:rsidP="00F232B7">
            <w:pPr>
              <w:jc w:val="center"/>
              <w:rPr>
                <w:rFonts w:ascii="Arial" w:hAnsi="Arial" w:cs="Arial"/>
                <w:sz w:val="18"/>
                <w:szCs w:val="18"/>
                <w:lang w:val="en-GB" w:eastAsia="en-SG"/>
              </w:rPr>
            </w:pPr>
            <w:r w:rsidRPr="001715D3">
              <w:rPr>
                <w:rFonts w:ascii="Arial" w:hAnsi="Arial" w:cs="Arial"/>
                <w:sz w:val="18"/>
                <w:szCs w:val="18"/>
                <w:lang w:val="en-GB" w:eastAsia="en-SG"/>
              </w:rPr>
              <w:t>Singapore</w:t>
            </w:r>
          </w:p>
        </w:tc>
        <w:tc>
          <w:tcPr>
            <w:tcW w:w="1291" w:type="dxa"/>
            <w:tcBorders>
              <w:top w:val="nil"/>
              <w:left w:val="nil"/>
              <w:bottom w:val="nil"/>
              <w:right w:val="nil"/>
            </w:tcBorders>
            <w:shd w:val="clear" w:color="auto" w:fill="auto"/>
            <w:vAlign w:val="bottom"/>
          </w:tcPr>
          <w:p w14:paraId="34079D8E" w14:textId="54E8EDE3" w:rsidR="00B27AF3" w:rsidRPr="001715D3" w:rsidRDefault="00B27AF3" w:rsidP="00F232B7">
            <w:pPr>
              <w:jc w:val="center"/>
              <w:rPr>
                <w:rFonts w:ascii="Arial" w:hAnsi="Arial" w:cs="Arial"/>
                <w:sz w:val="18"/>
                <w:szCs w:val="18"/>
                <w:highlight w:val="yellow"/>
                <w:lang w:val="en-GB" w:eastAsia="en-SG"/>
              </w:rPr>
            </w:pPr>
            <w:r w:rsidRPr="001715D3">
              <w:rPr>
                <w:rFonts w:ascii="Arial" w:hAnsi="Arial" w:cs="Arial"/>
                <w:sz w:val="18"/>
                <w:szCs w:val="18"/>
                <w:lang w:val="en-GB" w:eastAsia="en-SG"/>
              </w:rPr>
              <w:t>Copenhagen</w:t>
            </w:r>
          </w:p>
        </w:tc>
        <w:tc>
          <w:tcPr>
            <w:tcW w:w="1292" w:type="dxa"/>
            <w:tcBorders>
              <w:top w:val="nil"/>
              <w:left w:val="nil"/>
              <w:bottom w:val="nil"/>
              <w:right w:val="nil"/>
            </w:tcBorders>
            <w:shd w:val="clear" w:color="auto" w:fill="auto"/>
            <w:vAlign w:val="bottom"/>
          </w:tcPr>
          <w:p w14:paraId="233418AB" w14:textId="06FB09F7" w:rsidR="00B27AF3" w:rsidRPr="001715D3" w:rsidRDefault="00B27AF3" w:rsidP="00F232B7">
            <w:pPr>
              <w:jc w:val="center"/>
              <w:rPr>
                <w:rFonts w:ascii="Arial" w:hAnsi="Arial" w:cs="Arial"/>
                <w:sz w:val="18"/>
                <w:szCs w:val="18"/>
                <w:highlight w:val="yellow"/>
                <w:lang w:val="en-GB" w:eastAsia="en-SG"/>
              </w:rPr>
            </w:pPr>
            <w:r w:rsidRPr="001715D3">
              <w:rPr>
                <w:rFonts w:ascii="Arial" w:hAnsi="Arial" w:cs="Arial"/>
                <w:sz w:val="18"/>
                <w:szCs w:val="18"/>
                <w:lang w:val="en-GB" w:eastAsia="en-SG"/>
              </w:rPr>
              <w:t>Taiwan</w:t>
            </w:r>
          </w:p>
        </w:tc>
        <w:tc>
          <w:tcPr>
            <w:tcW w:w="1291" w:type="dxa"/>
            <w:tcBorders>
              <w:top w:val="nil"/>
              <w:left w:val="nil"/>
              <w:bottom w:val="nil"/>
              <w:right w:val="nil"/>
            </w:tcBorders>
            <w:shd w:val="clear" w:color="auto" w:fill="auto"/>
            <w:noWrap/>
            <w:vAlign w:val="bottom"/>
            <w:hideMark/>
          </w:tcPr>
          <w:p w14:paraId="517DD38E" w14:textId="77777777" w:rsidR="00B27AF3" w:rsidRPr="001715D3" w:rsidRDefault="00B27AF3" w:rsidP="00F232B7">
            <w:pPr>
              <w:jc w:val="center"/>
              <w:rPr>
                <w:rFonts w:ascii="Arial" w:hAnsi="Arial" w:cs="Arial"/>
                <w:sz w:val="18"/>
                <w:szCs w:val="18"/>
                <w:lang w:val="en-GB" w:eastAsia="en-SG"/>
              </w:rPr>
            </w:pPr>
            <w:r w:rsidRPr="001715D3">
              <w:rPr>
                <w:rFonts w:ascii="Arial" w:hAnsi="Arial" w:cs="Arial"/>
                <w:sz w:val="18"/>
                <w:szCs w:val="18"/>
                <w:lang w:val="en-GB" w:eastAsia="en-SG"/>
              </w:rPr>
              <w:t>Korea SE</w:t>
            </w:r>
          </w:p>
        </w:tc>
        <w:tc>
          <w:tcPr>
            <w:tcW w:w="1292" w:type="dxa"/>
            <w:tcBorders>
              <w:top w:val="nil"/>
              <w:left w:val="nil"/>
              <w:bottom w:val="nil"/>
              <w:right w:val="nil"/>
            </w:tcBorders>
            <w:shd w:val="clear" w:color="auto" w:fill="auto"/>
            <w:noWrap/>
            <w:vAlign w:val="bottom"/>
            <w:hideMark/>
          </w:tcPr>
          <w:p w14:paraId="6329CDD1" w14:textId="77777777" w:rsidR="00B27AF3" w:rsidRPr="001715D3" w:rsidRDefault="00B27AF3" w:rsidP="00F232B7">
            <w:pPr>
              <w:jc w:val="center"/>
              <w:rPr>
                <w:rFonts w:ascii="Arial" w:hAnsi="Arial" w:cs="Arial"/>
                <w:sz w:val="18"/>
                <w:szCs w:val="18"/>
                <w:lang w:val="en-GB" w:eastAsia="en-SG"/>
              </w:rPr>
            </w:pPr>
            <w:r w:rsidRPr="001715D3">
              <w:rPr>
                <w:rFonts w:ascii="Arial" w:hAnsi="Arial" w:cs="Arial"/>
                <w:sz w:val="18"/>
                <w:szCs w:val="18"/>
                <w:lang w:val="en-GB" w:eastAsia="en-SG"/>
              </w:rPr>
              <w:t>Taiwan</w:t>
            </w:r>
          </w:p>
        </w:tc>
        <w:tc>
          <w:tcPr>
            <w:tcW w:w="1291" w:type="dxa"/>
            <w:tcBorders>
              <w:top w:val="nil"/>
              <w:left w:val="nil"/>
              <w:bottom w:val="nil"/>
              <w:right w:val="nil"/>
            </w:tcBorders>
            <w:shd w:val="clear" w:color="auto" w:fill="auto"/>
            <w:noWrap/>
            <w:vAlign w:val="bottom"/>
            <w:hideMark/>
          </w:tcPr>
          <w:p w14:paraId="55C9C5F5" w14:textId="77777777" w:rsidR="00B27AF3" w:rsidRPr="001715D3" w:rsidRDefault="00B27AF3" w:rsidP="00F232B7">
            <w:pPr>
              <w:jc w:val="center"/>
              <w:rPr>
                <w:rFonts w:ascii="Arial" w:hAnsi="Arial" w:cs="Arial"/>
                <w:sz w:val="18"/>
                <w:szCs w:val="18"/>
                <w:lang w:val="en-GB" w:eastAsia="en-SG"/>
              </w:rPr>
            </w:pPr>
            <w:r w:rsidRPr="001715D3">
              <w:rPr>
                <w:rFonts w:ascii="Arial" w:hAnsi="Arial" w:cs="Arial"/>
                <w:sz w:val="18"/>
                <w:szCs w:val="18"/>
                <w:lang w:val="en-GB" w:eastAsia="en-SG"/>
              </w:rPr>
              <w:t>Hong Kong</w:t>
            </w:r>
          </w:p>
        </w:tc>
        <w:tc>
          <w:tcPr>
            <w:tcW w:w="1292" w:type="dxa"/>
            <w:tcBorders>
              <w:top w:val="nil"/>
              <w:left w:val="nil"/>
              <w:bottom w:val="nil"/>
              <w:right w:val="single" w:sz="4" w:space="0" w:color="auto"/>
            </w:tcBorders>
            <w:shd w:val="clear" w:color="auto" w:fill="auto"/>
            <w:noWrap/>
            <w:vAlign w:val="bottom"/>
            <w:hideMark/>
          </w:tcPr>
          <w:p w14:paraId="1E135F2E" w14:textId="6432063E" w:rsidR="00B27AF3" w:rsidRPr="001715D3" w:rsidRDefault="006058A7" w:rsidP="00255199">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7890B610"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291FE3D0" w14:textId="37DCC3ED"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Share Price</w:t>
            </w:r>
            <w:r w:rsidR="0030695B" w:rsidRPr="001715D3">
              <w:rPr>
                <w:rFonts w:ascii="Arial" w:hAnsi="Arial" w:cs="Arial"/>
                <w:b/>
                <w:bCs/>
                <w:sz w:val="18"/>
                <w:szCs w:val="18"/>
                <w:lang w:val="en-GB" w:eastAsia="en-SG"/>
              </w:rPr>
              <w:t xml:space="preserve"> (on January 5, 2016)</w:t>
            </w:r>
            <w:r w:rsidRPr="001715D3">
              <w:rPr>
                <w:rFonts w:ascii="Arial" w:hAnsi="Arial" w:cs="Arial"/>
                <w:b/>
                <w:bCs/>
                <w:sz w:val="18"/>
                <w:szCs w:val="18"/>
                <w:lang w:val="en-GB" w:eastAsia="en-SG"/>
              </w:rPr>
              <w:t>*</w:t>
            </w:r>
          </w:p>
        </w:tc>
        <w:tc>
          <w:tcPr>
            <w:tcW w:w="1291" w:type="dxa"/>
            <w:tcBorders>
              <w:top w:val="nil"/>
              <w:left w:val="single" w:sz="4" w:space="0" w:color="auto"/>
              <w:bottom w:val="nil"/>
              <w:right w:val="nil"/>
            </w:tcBorders>
            <w:shd w:val="clear" w:color="auto" w:fill="auto"/>
            <w:noWrap/>
            <w:vAlign w:val="bottom"/>
            <w:hideMark/>
          </w:tcPr>
          <w:p w14:paraId="47736A6B" w14:textId="076E6772" w:rsidR="00B27AF3" w:rsidRPr="001715D3" w:rsidRDefault="0022761C" w:rsidP="00CD01C5">
            <w:pPr>
              <w:jc w:val="right"/>
              <w:rPr>
                <w:rFonts w:ascii="Arial" w:hAnsi="Arial" w:cs="Arial"/>
                <w:sz w:val="18"/>
                <w:szCs w:val="18"/>
                <w:lang w:val="en-GB" w:eastAsia="en-SG"/>
              </w:rPr>
            </w:pPr>
            <w:r w:rsidRPr="001715D3">
              <w:rPr>
                <w:rFonts w:ascii="Arial" w:hAnsi="Arial" w:cs="Arial"/>
                <w:sz w:val="18"/>
                <w:szCs w:val="18"/>
                <w:lang w:val="en-GB" w:eastAsia="en-SG"/>
              </w:rPr>
              <w:t>S</w:t>
            </w:r>
            <w:r w:rsidR="00CD01C5" w:rsidRPr="001715D3">
              <w:rPr>
                <w:rFonts w:ascii="Arial" w:hAnsi="Arial" w:cs="Arial"/>
                <w:sz w:val="18"/>
                <w:szCs w:val="18"/>
                <w:lang w:val="en-GB" w:eastAsia="en-SG"/>
              </w:rPr>
              <w:t>$</w:t>
            </w:r>
            <w:r w:rsidR="00B27AF3" w:rsidRPr="001715D3">
              <w:rPr>
                <w:rFonts w:ascii="Arial" w:hAnsi="Arial" w:cs="Arial"/>
                <w:sz w:val="18"/>
                <w:szCs w:val="18"/>
                <w:lang w:val="en-GB" w:eastAsia="en-SG"/>
              </w:rPr>
              <w:t>1.23</w:t>
            </w:r>
          </w:p>
        </w:tc>
        <w:tc>
          <w:tcPr>
            <w:tcW w:w="1291" w:type="dxa"/>
            <w:tcBorders>
              <w:top w:val="nil"/>
              <w:left w:val="nil"/>
              <w:bottom w:val="nil"/>
              <w:right w:val="nil"/>
            </w:tcBorders>
            <w:shd w:val="clear" w:color="auto" w:fill="auto"/>
            <w:vAlign w:val="bottom"/>
          </w:tcPr>
          <w:p w14:paraId="2E3F4D5F" w14:textId="68F8D178" w:rsidR="00B27AF3" w:rsidRPr="001715D3" w:rsidRDefault="00CD01C5">
            <w:pPr>
              <w:jc w:val="right"/>
              <w:rPr>
                <w:rFonts w:ascii="Arial" w:hAnsi="Arial" w:cs="Arial"/>
                <w:sz w:val="18"/>
                <w:szCs w:val="18"/>
                <w:highlight w:val="yellow"/>
                <w:lang w:val="en-GB" w:eastAsia="en-SG"/>
              </w:rPr>
            </w:pPr>
            <w:r w:rsidRPr="001715D3">
              <w:rPr>
                <w:rFonts w:ascii="Arial" w:hAnsi="Arial" w:cs="Arial"/>
                <w:sz w:val="18"/>
                <w:szCs w:val="18"/>
                <w:lang w:val="en-GB" w:eastAsia="en-SG"/>
              </w:rPr>
              <w:t>DKK</w:t>
            </w:r>
            <w:r w:rsidR="00B27AF3" w:rsidRPr="001715D3">
              <w:rPr>
                <w:rFonts w:ascii="Arial" w:hAnsi="Arial" w:cs="Arial"/>
                <w:sz w:val="18"/>
                <w:szCs w:val="18"/>
                <w:lang w:val="en-GB" w:eastAsia="en-SG"/>
              </w:rPr>
              <w:t>89</w:t>
            </w:r>
            <w:r w:rsidR="00F232B7">
              <w:rPr>
                <w:rFonts w:ascii="Arial" w:hAnsi="Arial" w:cs="Arial"/>
                <w:sz w:val="18"/>
                <w:szCs w:val="18"/>
                <w:lang w:val="en-GB" w:eastAsia="en-SG"/>
              </w:rPr>
              <w:t>.</w:t>
            </w:r>
            <w:r w:rsidR="00B27AF3" w:rsidRPr="001715D3">
              <w:rPr>
                <w:rFonts w:ascii="Arial" w:hAnsi="Arial" w:cs="Arial"/>
                <w:sz w:val="18"/>
                <w:szCs w:val="18"/>
                <w:lang w:val="en-GB" w:eastAsia="en-SG"/>
              </w:rPr>
              <w:t>40</w:t>
            </w:r>
          </w:p>
        </w:tc>
        <w:tc>
          <w:tcPr>
            <w:tcW w:w="1292" w:type="dxa"/>
            <w:tcBorders>
              <w:top w:val="nil"/>
              <w:left w:val="nil"/>
              <w:bottom w:val="nil"/>
              <w:right w:val="nil"/>
            </w:tcBorders>
            <w:shd w:val="clear" w:color="auto" w:fill="auto"/>
            <w:vAlign w:val="bottom"/>
          </w:tcPr>
          <w:p w14:paraId="4D87F7AC" w14:textId="059EA25B" w:rsidR="00B27AF3" w:rsidRPr="001715D3" w:rsidRDefault="00CD01C5" w:rsidP="00CD01C5">
            <w:pPr>
              <w:jc w:val="right"/>
              <w:rPr>
                <w:rFonts w:ascii="Arial" w:hAnsi="Arial" w:cs="Arial"/>
                <w:sz w:val="18"/>
                <w:szCs w:val="18"/>
                <w:highlight w:val="yellow"/>
                <w:lang w:val="en-GB" w:eastAsia="en-SG"/>
              </w:rPr>
            </w:pPr>
            <w:r w:rsidRPr="001715D3">
              <w:rPr>
                <w:rFonts w:ascii="Arial" w:hAnsi="Arial" w:cs="Arial"/>
                <w:sz w:val="18"/>
                <w:szCs w:val="18"/>
                <w:lang w:val="en-GB" w:eastAsia="en-SG"/>
              </w:rPr>
              <w:t>TW$</w:t>
            </w:r>
            <w:r w:rsidR="00B27AF3" w:rsidRPr="001715D3">
              <w:rPr>
                <w:rFonts w:ascii="Arial" w:hAnsi="Arial" w:cs="Arial"/>
                <w:sz w:val="18"/>
                <w:szCs w:val="18"/>
                <w:lang w:val="en-GB" w:eastAsia="en-SG"/>
              </w:rPr>
              <w:t>12.65</w:t>
            </w:r>
          </w:p>
        </w:tc>
        <w:tc>
          <w:tcPr>
            <w:tcW w:w="1291" w:type="dxa"/>
            <w:tcBorders>
              <w:top w:val="nil"/>
              <w:left w:val="nil"/>
              <w:bottom w:val="nil"/>
              <w:right w:val="nil"/>
            </w:tcBorders>
            <w:shd w:val="clear" w:color="auto" w:fill="auto"/>
            <w:noWrap/>
            <w:vAlign w:val="bottom"/>
            <w:hideMark/>
          </w:tcPr>
          <w:p w14:paraId="27C50AD1" w14:textId="34920334" w:rsidR="00B27AF3" w:rsidRPr="001715D3" w:rsidRDefault="00CD01C5" w:rsidP="00CD01C5">
            <w:pPr>
              <w:jc w:val="right"/>
              <w:rPr>
                <w:rFonts w:ascii="Arial" w:hAnsi="Arial" w:cs="Arial"/>
                <w:sz w:val="18"/>
                <w:szCs w:val="18"/>
                <w:lang w:val="en-GB" w:eastAsia="en-SG"/>
              </w:rPr>
            </w:pPr>
            <w:r w:rsidRPr="001715D3">
              <w:rPr>
                <w:rFonts w:ascii="Arial" w:hAnsi="Arial" w:cs="Arial"/>
                <w:sz w:val="18"/>
                <w:szCs w:val="18"/>
                <w:lang w:val="en-GB" w:eastAsia="en-SG"/>
              </w:rPr>
              <w:t>KRW</w:t>
            </w:r>
            <w:r w:rsidR="00B27AF3" w:rsidRPr="001715D3">
              <w:rPr>
                <w:rFonts w:ascii="Arial" w:hAnsi="Arial" w:cs="Arial"/>
                <w:sz w:val="18"/>
                <w:szCs w:val="18"/>
                <w:lang w:val="en-GB" w:eastAsia="en-SG"/>
              </w:rPr>
              <w:t>34</w:t>
            </w:r>
            <w:r w:rsidR="00F232B7">
              <w:rPr>
                <w:rFonts w:ascii="Arial" w:hAnsi="Arial" w:cs="Arial"/>
                <w:sz w:val="18"/>
                <w:szCs w:val="18"/>
                <w:lang w:val="en-GB" w:eastAsia="en-SG"/>
              </w:rPr>
              <w:t>.</w:t>
            </w:r>
            <w:r w:rsidR="00B27AF3" w:rsidRPr="001715D3">
              <w:rPr>
                <w:rFonts w:ascii="Arial" w:hAnsi="Arial" w:cs="Arial"/>
                <w:sz w:val="18"/>
                <w:szCs w:val="18"/>
                <w:lang w:val="en-GB" w:eastAsia="en-SG"/>
              </w:rPr>
              <w:t xml:space="preserve">65 </w:t>
            </w:r>
          </w:p>
        </w:tc>
        <w:tc>
          <w:tcPr>
            <w:tcW w:w="1292" w:type="dxa"/>
            <w:tcBorders>
              <w:top w:val="nil"/>
              <w:left w:val="nil"/>
              <w:bottom w:val="nil"/>
              <w:right w:val="nil"/>
            </w:tcBorders>
            <w:shd w:val="clear" w:color="auto" w:fill="auto"/>
            <w:noWrap/>
            <w:vAlign w:val="bottom"/>
            <w:hideMark/>
          </w:tcPr>
          <w:p w14:paraId="4D3CB93C" w14:textId="64C24096" w:rsidR="00B27AF3" w:rsidRPr="001715D3" w:rsidRDefault="00CD01C5" w:rsidP="00CD01C5">
            <w:pPr>
              <w:jc w:val="right"/>
              <w:rPr>
                <w:rFonts w:ascii="Arial" w:hAnsi="Arial" w:cs="Arial"/>
                <w:sz w:val="18"/>
                <w:szCs w:val="18"/>
                <w:lang w:val="en-GB" w:eastAsia="en-SG"/>
              </w:rPr>
            </w:pPr>
            <w:r w:rsidRPr="001715D3">
              <w:rPr>
                <w:rFonts w:ascii="Arial" w:hAnsi="Arial" w:cs="Arial"/>
                <w:sz w:val="18"/>
                <w:szCs w:val="18"/>
                <w:lang w:val="en-GB" w:eastAsia="en-SG"/>
              </w:rPr>
              <w:t>TW$</w:t>
            </w:r>
            <w:r w:rsidR="00B27AF3" w:rsidRPr="001715D3">
              <w:rPr>
                <w:rFonts w:ascii="Arial" w:hAnsi="Arial" w:cs="Arial"/>
                <w:sz w:val="18"/>
                <w:szCs w:val="18"/>
                <w:lang w:val="en-GB" w:eastAsia="en-SG"/>
              </w:rPr>
              <w:t>8.25</w:t>
            </w:r>
          </w:p>
        </w:tc>
        <w:tc>
          <w:tcPr>
            <w:tcW w:w="1291" w:type="dxa"/>
            <w:tcBorders>
              <w:top w:val="nil"/>
              <w:left w:val="nil"/>
              <w:bottom w:val="nil"/>
              <w:right w:val="nil"/>
            </w:tcBorders>
            <w:shd w:val="clear" w:color="auto" w:fill="auto"/>
            <w:noWrap/>
            <w:vAlign w:val="bottom"/>
            <w:hideMark/>
          </w:tcPr>
          <w:p w14:paraId="2D9B0D50" w14:textId="7F69E1A9" w:rsidR="00B27AF3" w:rsidRPr="001715D3" w:rsidRDefault="00CD01C5" w:rsidP="00CD01C5">
            <w:pPr>
              <w:jc w:val="right"/>
              <w:rPr>
                <w:rFonts w:ascii="Arial" w:hAnsi="Arial" w:cs="Arial"/>
                <w:sz w:val="18"/>
                <w:szCs w:val="18"/>
                <w:lang w:val="en-GB" w:eastAsia="en-SG"/>
              </w:rPr>
            </w:pPr>
            <w:r w:rsidRPr="001715D3">
              <w:rPr>
                <w:rFonts w:ascii="Arial" w:hAnsi="Arial" w:cs="Arial"/>
                <w:sz w:val="18"/>
                <w:szCs w:val="18"/>
                <w:lang w:val="en-GB" w:eastAsia="en-SG"/>
              </w:rPr>
              <w:t>HK$</w:t>
            </w:r>
            <w:r w:rsidR="00B27AF3" w:rsidRPr="001715D3">
              <w:rPr>
                <w:rFonts w:ascii="Arial" w:hAnsi="Arial" w:cs="Arial"/>
                <w:sz w:val="18"/>
                <w:szCs w:val="18"/>
                <w:lang w:val="en-GB" w:eastAsia="en-SG"/>
              </w:rPr>
              <w:t>1.01</w:t>
            </w:r>
          </w:p>
        </w:tc>
        <w:tc>
          <w:tcPr>
            <w:tcW w:w="1292" w:type="dxa"/>
            <w:tcBorders>
              <w:top w:val="nil"/>
              <w:left w:val="nil"/>
              <w:bottom w:val="nil"/>
              <w:right w:val="single" w:sz="4" w:space="0" w:color="auto"/>
            </w:tcBorders>
            <w:shd w:val="clear" w:color="auto" w:fill="auto"/>
            <w:noWrap/>
            <w:vAlign w:val="bottom"/>
            <w:hideMark/>
          </w:tcPr>
          <w:p w14:paraId="2786C718" w14:textId="6E2656C8" w:rsidR="00B27AF3" w:rsidRPr="001715D3" w:rsidRDefault="006058A7" w:rsidP="00255199">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62724A15"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62A5758D"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Market Capitalization</w:t>
            </w:r>
          </w:p>
        </w:tc>
        <w:tc>
          <w:tcPr>
            <w:tcW w:w="1291" w:type="dxa"/>
            <w:tcBorders>
              <w:top w:val="nil"/>
              <w:left w:val="single" w:sz="4" w:space="0" w:color="auto"/>
              <w:bottom w:val="nil"/>
              <w:right w:val="nil"/>
            </w:tcBorders>
            <w:shd w:val="clear" w:color="auto" w:fill="auto"/>
            <w:noWrap/>
            <w:vAlign w:val="bottom"/>
            <w:hideMark/>
          </w:tcPr>
          <w:p w14:paraId="009B983D" w14:textId="4C76A499" w:rsidR="00B27AF3" w:rsidRPr="001715D3" w:rsidRDefault="00B27AF3" w:rsidP="00701EDC">
            <w:pPr>
              <w:jc w:val="right"/>
              <w:rPr>
                <w:rFonts w:ascii="Arial" w:hAnsi="Arial" w:cs="Arial"/>
                <w:sz w:val="18"/>
                <w:szCs w:val="18"/>
                <w:lang w:val="en-GB" w:eastAsia="en-SG"/>
              </w:rPr>
            </w:pPr>
            <w:r w:rsidRPr="001715D3">
              <w:rPr>
                <w:rFonts w:ascii="Arial" w:hAnsi="Arial" w:cs="Arial"/>
                <w:sz w:val="18"/>
                <w:szCs w:val="18"/>
                <w:lang w:val="en-GB" w:eastAsia="en-SG"/>
              </w:rPr>
              <w:t>2,286</w:t>
            </w:r>
          </w:p>
        </w:tc>
        <w:tc>
          <w:tcPr>
            <w:tcW w:w="1291" w:type="dxa"/>
            <w:tcBorders>
              <w:top w:val="nil"/>
              <w:left w:val="nil"/>
              <w:bottom w:val="nil"/>
              <w:right w:val="nil"/>
            </w:tcBorders>
            <w:shd w:val="clear" w:color="auto" w:fill="auto"/>
            <w:vAlign w:val="bottom"/>
          </w:tcPr>
          <w:p w14:paraId="40395717" w14:textId="3CCD029D"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27,611</w:t>
            </w:r>
          </w:p>
        </w:tc>
        <w:tc>
          <w:tcPr>
            <w:tcW w:w="1292" w:type="dxa"/>
            <w:tcBorders>
              <w:top w:val="nil"/>
              <w:left w:val="nil"/>
              <w:bottom w:val="nil"/>
              <w:right w:val="nil"/>
            </w:tcBorders>
            <w:shd w:val="clear" w:color="auto" w:fill="auto"/>
            <w:vAlign w:val="bottom"/>
          </w:tcPr>
          <w:p w14:paraId="72CED85B" w14:textId="1FEA1242"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1,338</w:t>
            </w:r>
          </w:p>
        </w:tc>
        <w:tc>
          <w:tcPr>
            <w:tcW w:w="1291" w:type="dxa"/>
            <w:tcBorders>
              <w:top w:val="nil"/>
              <w:left w:val="nil"/>
              <w:bottom w:val="nil"/>
              <w:right w:val="nil"/>
            </w:tcBorders>
            <w:shd w:val="clear" w:color="auto" w:fill="auto"/>
            <w:noWrap/>
            <w:vAlign w:val="bottom"/>
            <w:hideMark/>
          </w:tcPr>
          <w:p w14:paraId="1A20D191"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707</w:t>
            </w:r>
          </w:p>
        </w:tc>
        <w:tc>
          <w:tcPr>
            <w:tcW w:w="1292" w:type="dxa"/>
            <w:tcBorders>
              <w:top w:val="nil"/>
              <w:left w:val="nil"/>
              <w:bottom w:val="nil"/>
              <w:right w:val="nil"/>
            </w:tcBorders>
            <w:shd w:val="clear" w:color="auto" w:fill="auto"/>
            <w:noWrap/>
            <w:vAlign w:val="bottom"/>
            <w:hideMark/>
          </w:tcPr>
          <w:p w14:paraId="7814595A"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745</w:t>
            </w:r>
          </w:p>
        </w:tc>
        <w:tc>
          <w:tcPr>
            <w:tcW w:w="1291" w:type="dxa"/>
            <w:tcBorders>
              <w:top w:val="nil"/>
              <w:left w:val="nil"/>
              <w:bottom w:val="nil"/>
              <w:right w:val="nil"/>
            </w:tcBorders>
            <w:shd w:val="clear" w:color="auto" w:fill="auto"/>
            <w:noWrap/>
            <w:vAlign w:val="bottom"/>
            <w:hideMark/>
          </w:tcPr>
          <w:p w14:paraId="3FB4BBF2"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1,416</w:t>
            </w:r>
          </w:p>
        </w:tc>
        <w:tc>
          <w:tcPr>
            <w:tcW w:w="1292" w:type="dxa"/>
            <w:tcBorders>
              <w:top w:val="nil"/>
              <w:left w:val="nil"/>
              <w:bottom w:val="nil"/>
              <w:right w:val="single" w:sz="4" w:space="0" w:color="auto"/>
            </w:tcBorders>
            <w:shd w:val="clear" w:color="auto" w:fill="auto"/>
            <w:noWrap/>
            <w:vAlign w:val="bottom"/>
            <w:hideMark/>
          </w:tcPr>
          <w:p w14:paraId="13A956C4" w14:textId="4FDC23D3" w:rsidR="00B27AF3" w:rsidRPr="001715D3" w:rsidRDefault="006058A7" w:rsidP="00255199">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25E48ECD"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55910043"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Employees</w:t>
            </w:r>
          </w:p>
        </w:tc>
        <w:tc>
          <w:tcPr>
            <w:tcW w:w="1291" w:type="dxa"/>
            <w:tcBorders>
              <w:top w:val="nil"/>
              <w:left w:val="single" w:sz="4" w:space="0" w:color="auto"/>
              <w:bottom w:val="nil"/>
              <w:right w:val="nil"/>
            </w:tcBorders>
            <w:shd w:val="clear" w:color="auto" w:fill="auto"/>
            <w:noWrap/>
            <w:vAlign w:val="bottom"/>
            <w:hideMark/>
          </w:tcPr>
          <w:p w14:paraId="36C3F51D"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13,525</w:t>
            </w:r>
          </w:p>
        </w:tc>
        <w:tc>
          <w:tcPr>
            <w:tcW w:w="1291" w:type="dxa"/>
            <w:tcBorders>
              <w:top w:val="nil"/>
              <w:left w:val="nil"/>
              <w:bottom w:val="nil"/>
              <w:right w:val="nil"/>
            </w:tcBorders>
            <w:shd w:val="clear" w:color="auto" w:fill="auto"/>
            <w:vAlign w:val="bottom"/>
          </w:tcPr>
          <w:p w14:paraId="68D016C7" w14:textId="71CB43EB"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89,207</w:t>
            </w:r>
          </w:p>
        </w:tc>
        <w:tc>
          <w:tcPr>
            <w:tcW w:w="1292" w:type="dxa"/>
            <w:tcBorders>
              <w:top w:val="nil"/>
              <w:left w:val="nil"/>
              <w:bottom w:val="nil"/>
              <w:right w:val="nil"/>
            </w:tcBorders>
            <w:shd w:val="clear" w:color="auto" w:fill="auto"/>
            <w:vAlign w:val="bottom"/>
          </w:tcPr>
          <w:p w14:paraId="1206C76F" w14:textId="1DF97553"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4,866</w:t>
            </w:r>
          </w:p>
        </w:tc>
        <w:tc>
          <w:tcPr>
            <w:tcW w:w="1291" w:type="dxa"/>
            <w:tcBorders>
              <w:top w:val="nil"/>
              <w:left w:val="nil"/>
              <w:bottom w:val="nil"/>
              <w:right w:val="nil"/>
            </w:tcBorders>
            <w:shd w:val="clear" w:color="auto" w:fill="auto"/>
            <w:noWrap/>
            <w:vAlign w:val="bottom"/>
            <w:hideMark/>
          </w:tcPr>
          <w:p w14:paraId="1BD8CC31" w14:textId="4B574884" w:rsidR="00B27AF3" w:rsidRPr="001715D3" w:rsidRDefault="006058A7" w:rsidP="00255199">
            <w:pPr>
              <w:jc w:val="right"/>
              <w:rPr>
                <w:rFonts w:ascii="Arial" w:hAnsi="Arial" w:cs="Arial"/>
                <w:sz w:val="18"/>
                <w:szCs w:val="18"/>
                <w:lang w:val="en-GB" w:eastAsia="en-SG"/>
              </w:rPr>
            </w:pPr>
            <w:r w:rsidRPr="001715D3">
              <w:rPr>
                <w:rFonts w:ascii="Arial" w:hAnsi="Arial" w:cs="Arial"/>
                <w:sz w:val="18"/>
                <w:szCs w:val="18"/>
                <w:lang w:val="en-GB" w:eastAsia="en-SG"/>
              </w:rPr>
              <w:t>-</w:t>
            </w:r>
          </w:p>
        </w:tc>
        <w:tc>
          <w:tcPr>
            <w:tcW w:w="1292" w:type="dxa"/>
            <w:tcBorders>
              <w:top w:val="nil"/>
              <w:left w:val="nil"/>
              <w:bottom w:val="nil"/>
              <w:right w:val="nil"/>
            </w:tcBorders>
            <w:shd w:val="clear" w:color="auto" w:fill="auto"/>
            <w:noWrap/>
            <w:vAlign w:val="bottom"/>
            <w:hideMark/>
          </w:tcPr>
          <w:p w14:paraId="671E2793"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4,989</w:t>
            </w:r>
          </w:p>
        </w:tc>
        <w:tc>
          <w:tcPr>
            <w:tcW w:w="1291" w:type="dxa"/>
            <w:tcBorders>
              <w:top w:val="nil"/>
              <w:left w:val="nil"/>
              <w:bottom w:val="nil"/>
              <w:right w:val="nil"/>
            </w:tcBorders>
            <w:shd w:val="clear" w:color="auto" w:fill="auto"/>
            <w:noWrap/>
            <w:vAlign w:val="bottom"/>
            <w:hideMark/>
          </w:tcPr>
          <w:p w14:paraId="0AE11FF3"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48</w:t>
            </w:r>
          </w:p>
        </w:tc>
        <w:tc>
          <w:tcPr>
            <w:tcW w:w="1292" w:type="dxa"/>
            <w:tcBorders>
              <w:top w:val="nil"/>
              <w:left w:val="nil"/>
              <w:bottom w:val="nil"/>
              <w:right w:val="single" w:sz="4" w:space="0" w:color="auto"/>
            </w:tcBorders>
            <w:shd w:val="clear" w:color="auto" w:fill="auto"/>
            <w:noWrap/>
            <w:vAlign w:val="bottom"/>
            <w:hideMark/>
          </w:tcPr>
          <w:p w14:paraId="53F9815C"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18,249</w:t>
            </w:r>
          </w:p>
        </w:tc>
      </w:tr>
      <w:tr w:rsidR="002C3A1A" w:rsidRPr="001715D3" w14:paraId="55CD3865"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47BFF929"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Revenue (</w:t>
            </w:r>
            <w:proofErr w:type="spellStart"/>
            <w:r w:rsidRPr="001715D3">
              <w:rPr>
                <w:rFonts w:ascii="Arial" w:hAnsi="Arial" w:cs="Arial"/>
                <w:b/>
                <w:bCs/>
                <w:sz w:val="18"/>
                <w:szCs w:val="18"/>
                <w:lang w:val="en-GB" w:eastAsia="en-SG"/>
              </w:rPr>
              <w:t>ttm</w:t>
            </w:r>
            <w:proofErr w:type="spellEnd"/>
            <w:r w:rsidRPr="001715D3">
              <w:rPr>
                <w:rFonts w:ascii="Arial" w:hAnsi="Arial" w:cs="Arial"/>
                <w:b/>
                <w:bCs/>
                <w:sz w:val="18"/>
                <w:szCs w:val="18"/>
                <w:lang w:val="en-GB" w:eastAsia="en-SG"/>
              </w:rPr>
              <w:t>***)</w:t>
            </w:r>
          </w:p>
        </w:tc>
        <w:tc>
          <w:tcPr>
            <w:tcW w:w="1291" w:type="dxa"/>
            <w:tcBorders>
              <w:top w:val="nil"/>
              <w:left w:val="single" w:sz="4" w:space="0" w:color="auto"/>
              <w:bottom w:val="nil"/>
              <w:right w:val="nil"/>
            </w:tcBorders>
            <w:shd w:val="clear" w:color="auto" w:fill="auto"/>
            <w:noWrap/>
            <w:vAlign w:val="bottom"/>
            <w:hideMark/>
          </w:tcPr>
          <w:p w14:paraId="2AC67AEE" w14:textId="20EAF5A3" w:rsidR="00B27AF3" w:rsidRPr="001715D3" w:rsidRDefault="00B27AF3" w:rsidP="007A369D">
            <w:pPr>
              <w:jc w:val="right"/>
              <w:rPr>
                <w:rFonts w:ascii="Arial" w:hAnsi="Arial" w:cs="Arial"/>
                <w:sz w:val="18"/>
                <w:szCs w:val="18"/>
                <w:lang w:val="en-GB" w:eastAsia="en-SG"/>
              </w:rPr>
            </w:pPr>
            <w:r w:rsidRPr="001715D3">
              <w:rPr>
                <w:rFonts w:ascii="Arial" w:hAnsi="Arial" w:cs="Arial"/>
                <w:sz w:val="18"/>
                <w:szCs w:val="18"/>
                <w:lang w:val="en-GB" w:eastAsia="en-SG"/>
              </w:rPr>
              <w:t>5,383.60</w:t>
            </w:r>
          </w:p>
        </w:tc>
        <w:tc>
          <w:tcPr>
            <w:tcW w:w="1291" w:type="dxa"/>
            <w:tcBorders>
              <w:top w:val="nil"/>
              <w:left w:val="nil"/>
              <w:bottom w:val="nil"/>
              <w:right w:val="nil"/>
            </w:tcBorders>
            <w:shd w:val="clear" w:color="auto" w:fill="auto"/>
            <w:vAlign w:val="bottom"/>
          </w:tcPr>
          <w:p w14:paraId="4BC77EC5" w14:textId="4FB01BEB"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42,898.00</w:t>
            </w:r>
          </w:p>
        </w:tc>
        <w:tc>
          <w:tcPr>
            <w:tcW w:w="1292" w:type="dxa"/>
            <w:tcBorders>
              <w:top w:val="nil"/>
              <w:left w:val="nil"/>
              <w:bottom w:val="nil"/>
              <w:right w:val="nil"/>
            </w:tcBorders>
            <w:shd w:val="clear" w:color="auto" w:fill="auto"/>
            <w:vAlign w:val="bottom"/>
          </w:tcPr>
          <w:p w14:paraId="3F572BDA" w14:textId="322BF6C4"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4,483.49</w:t>
            </w:r>
          </w:p>
        </w:tc>
        <w:tc>
          <w:tcPr>
            <w:tcW w:w="1291" w:type="dxa"/>
            <w:tcBorders>
              <w:top w:val="nil"/>
              <w:left w:val="nil"/>
              <w:bottom w:val="nil"/>
              <w:right w:val="nil"/>
            </w:tcBorders>
            <w:shd w:val="clear" w:color="auto" w:fill="auto"/>
            <w:noWrap/>
            <w:vAlign w:val="bottom"/>
            <w:hideMark/>
          </w:tcPr>
          <w:p w14:paraId="40344112"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7,439.81</w:t>
            </w:r>
          </w:p>
        </w:tc>
        <w:tc>
          <w:tcPr>
            <w:tcW w:w="1292" w:type="dxa"/>
            <w:tcBorders>
              <w:top w:val="nil"/>
              <w:left w:val="nil"/>
              <w:bottom w:val="nil"/>
              <w:right w:val="nil"/>
            </w:tcBorders>
            <w:shd w:val="clear" w:color="auto" w:fill="auto"/>
            <w:noWrap/>
            <w:vAlign w:val="bottom"/>
            <w:hideMark/>
          </w:tcPr>
          <w:p w14:paraId="2FB1246F"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4,236.16</w:t>
            </w:r>
          </w:p>
        </w:tc>
        <w:tc>
          <w:tcPr>
            <w:tcW w:w="1291" w:type="dxa"/>
            <w:tcBorders>
              <w:top w:val="nil"/>
              <w:left w:val="nil"/>
              <w:bottom w:val="nil"/>
              <w:right w:val="nil"/>
            </w:tcBorders>
            <w:shd w:val="clear" w:color="auto" w:fill="auto"/>
            <w:noWrap/>
            <w:vAlign w:val="bottom"/>
            <w:hideMark/>
          </w:tcPr>
          <w:p w14:paraId="39CF8872"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16.69</w:t>
            </w:r>
          </w:p>
        </w:tc>
        <w:tc>
          <w:tcPr>
            <w:tcW w:w="1292" w:type="dxa"/>
            <w:tcBorders>
              <w:top w:val="nil"/>
              <w:left w:val="nil"/>
              <w:bottom w:val="nil"/>
              <w:right w:val="single" w:sz="4" w:space="0" w:color="auto"/>
            </w:tcBorders>
            <w:shd w:val="clear" w:color="auto" w:fill="auto"/>
            <w:noWrap/>
            <w:vAlign w:val="bottom"/>
            <w:hideMark/>
          </w:tcPr>
          <w:p w14:paraId="3553400E"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16,330.60</w:t>
            </w:r>
          </w:p>
        </w:tc>
      </w:tr>
      <w:tr w:rsidR="002C3A1A" w:rsidRPr="001715D3" w14:paraId="686865E1"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3CF95654"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Gross Profit (</w:t>
            </w:r>
            <w:proofErr w:type="spellStart"/>
            <w:r w:rsidRPr="001715D3">
              <w:rPr>
                <w:rFonts w:ascii="Arial" w:hAnsi="Arial" w:cs="Arial"/>
                <w:b/>
                <w:bCs/>
                <w:sz w:val="18"/>
                <w:szCs w:val="18"/>
                <w:lang w:val="en-GB" w:eastAsia="en-SG"/>
              </w:rPr>
              <w:t>ttm</w:t>
            </w:r>
            <w:proofErr w:type="spellEnd"/>
            <w:r w:rsidRPr="001715D3">
              <w:rPr>
                <w:rFonts w:ascii="Arial" w:hAnsi="Arial" w:cs="Arial"/>
                <w:b/>
                <w:bCs/>
                <w:sz w:val="18"/>
                <w:szCs w:val="18"/>
                <w:lang w:val="en-GB" w:eastAsia="en-SG"/>
              </w:rPr>
              <w:t>):</w:t>
            </w:r>
          </w:p>
        </w:tc>
        <w:tc>
          <w:tcPr>
            <w:tcW w:w="1291" w:type="dxa"/>
            <w:tcBorders>
              <w:top w:val="nil"/>
              <w:left w:val="single" w:sz="4" w:space="0" w:color="auto"/>
              <w:bottom w:val="nil"/>
              <w:right w:val="nil"/>
            </w:tcBorders>
            <w:shd w:val="clear" w:color="auto" w:fill="auto"/>
            <w:noWrap/>
            <w:vAlign w:val="bottom"/>
            <w:hideMark/>
          </w:tcPr>
          <w:p w14:paraId="4471B3F9" w14:textId="67069365" w:rsidR="00B27AF3" w:rsidRPr="001715D3" w:rsidRDefault="00B27AF3" w:rsidP="007A369D">
            <w:pPr>
              <w:jc w:val="right"/>
              <w:rPr>
                <w:rFonts w:ascii="Arial" w:hAnsi="Arial" w:cs="Arial"/>
                <w:sz w:val="18"/>
                <w:szCs w:val="18"/>
                <w:lang w:val="en-GB" w:eastAsia="en-SG"/>
              </w:rPr>
            </w:pPr>
            <w:r w:rsidRPr="001715D3">
              <w:rPr>
                <w:rFonts w:ascii="Arial" w:hAnsi="Arial" w:cs="Arial"/>
                <w:sz w:val="18"/>
                <w:szCs w:val="18"/>
                <w:lang w:val="en-GB" w:eastAsia="en-SG"/>
              </w:rPr>
              <w:t>352.68</w:t>
            </w:r>
          </w:p>
        </w:tc>
        <w:tc>
          <w:tcPr>
            <w:tcW w:w="1291" w:type="dxa"/>
            <w:tcBorders>
              <w:top w:val="nil"/>
              <w:left w:val="nil"/>
              <w:bottom w:val="nil"/>
              <w:right w:val="nil"/>
            </w:tcBorders>
            <w:shd w:val="clear" w:color="auto" w:fill="auto"/>
            <w:vAlign w:val="bottom"/>
          </w:tcPr>
          <w:p w14:paraId="641E4620" w14:textId="5BA6825C"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 xml:space="preserve"> -</w:t>
            </w:r>
          </w:p>
        </w:tc>
        <w:tc>
          <w:tcPr>
            <w:tcW w:w="1292" w:type="dxa"/>
            <w:tcBorders>
              <w:top w:val="nil"/>
              <w:left w:val="nil"/>
              <w:bottom w:val="nil"/>
              <w:right w:val="nil"/>
            </w:tcBorders>
            <w:shd w:val="clear" w:color="auto" w:fill="auto"/>
            <w:vAlign w:val="bottom"/>
          </w:tcPr>
          <w:p w14:paraId="78752811" w14:textId="1DE3F65D"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242.31</w:t>
            </w:r>
          </w:p>
        </w:tc>
        <w:tc>
          <w:tcPr>
            <w:tcW w:w="1291" w:type="dxa"/>
            <w:tcBorders>
              <w:top w:val="nil"/>
              <w:left w:val="nil"/>
              <w:bottom w:val="nil"/>
              <w:right w:val="nil"/>
            </w:tcBorders>
            <w:shd w:val="clear" w:color="auto" w:fill="auto"/>
            <w:noWrap/>
            <w:vAlign w:val="bottom"/>
            <w:hideMark/>
          </w:tcPr>
          <w:p w14:paraId="0974CD63"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420.73</w:t>
            </w:r>
          </w:p>
        </w:tc>
        <w:tc>
          <w:tcPr>
            <w:tcW w:w="1292" w:type="dxa"/>
            <w:tcBorders>
              <w:top w:val="nil"/>
              <w:left w:val="nil"/>
              <w:bottom w:val="nil"/>
              <w:right w:val="nil"/>
            </w:tcBorders>
            <w:shd w:val="clear" w:color="auto" w:fill="auto"/>
            <w:noWrap/>
            <w:vAlign w:val="bottom"/>
            <w:hideMark/>
          </w:tcPr>
          <w:p w14:paraId="60F80A75"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189.55</w:t>
            </w:r>
          </w:p>
        </w:tc>
        <w:tc>
          <w:tcPr>
            <w:tcW w:w="1291" w:type="dxa"/>
            <w:tcBorders>
              <w:top w:val="nil"/>
              <w:left w:val="nil"/>
              <w:bottom w:val="nil"/>
              <w:right w:val="nil"/>
            </w:tcBorders>
            <w:shd w:val="clear" w:color="auto" w:fill="auto"/>
            <w:noWrap/>
            <w:vAlign w:val="bottom"/>
            <w:hideMark/>
          </w:tcPr>
          <w:p w14:paraId="26B60CE3"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9.99</w:t>
            </w:r>
          </w:p>
        </w:tc>
        <w:tc>
          <w:tcPr>
            <w:tcW w:w="1292" w:type="dxa"/>
            <w:tcBorders>
              <w:top w:val="nil"/>
              <w:left w:val="nil"/>
              <w:bottom w:val="nil"/>
              <w:right w:val="single" w:sz="4" w:space="0" w:color="auto"/>
            </w:tcBorders>
            <w:shd w:val="clear" w:color="auto" w:fill="auto"/>
            <w:noWrap/>
            <w:vAlign w:val="bottom"/>
            <w:hideMark/>
          </w:tcPr>
          <w:p w14:paraId="614D2A9B" w14:textId="6E85DB3F" w:rsidR="00B27AF3" w:rsidRPr="001715D3" w:rsidRDefault="006058A7" w:rsidP="00255199">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30AADDFE"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21027B55" w14:textId="77777777" w:rsidR="00B27AF3" w:rsidRPr="001715D3" w:rsidRDefault="00B27AF3" w:rsidP="00255199">
            <w:pPr>
              <w:rPr>
                <w:rFonts w:ascii="Arial" w:hAnsi="Arial" w:cs="Arial"/>
                <w:b/>
                <w:bCs/>
                <w:sz w:val="18"/>
                <w:szCs w:val="18"/>
                <w:lang w:val="en-GB" w:eastAsia="en-SG"/>
              </w:rPr>
            </w:pPr>
          </w:p>
          <w:p w14:paraId="23B90857"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 xml:space="preserve">Operating Margin (%, </w:t>
            </w:r>
            <w:proofErr w:type="spellStart"/>
            <w:r w:rsidRPr="001715D3">
              <w:rPr>
                <w:rFonts w:ascii="Arial" w:hAnsi="Arial" w:cs="Arial"/>
                <w:b/>
                <w:bCs/>
                <w:sz w:val="18"/>
                <w:szCs w:val="18"/>
                <w:lang w:val="en-GB" w:eastAsia="en-SG"/>
              </w:rPr>
              <w:t>ttm</w:t>
            </w:r>
            <w:proofErr w:type="spellEnd"/>
            <w:r w:rsidRPr="001715D3">
              <w:rPr>
                <w:rFonts w:ascii="Arial" w:hAnsi="Arial" w:cs="Arial"/>
                <w:b/>
                <w:bCs/>
                <w:sz w:val="18"/>
                <w:szCs w:val="18"/>
                <w:lang w:val="en-GB" w:eastAsia="en-SG"/>
              </w:rPr>
              <w:t>)</w:t>
            </w:r>
          </w:p>
        </w:tc>
        <w:tc>
          <w:tcPr>
            <w:tcW w:w="1291" w:type="dxa"/>
            <w:tcBorders>
              <w:top w:val="nil"/>
              <w:left w:val="single" w:sz="4" w:space="0" w:color="auto"/>
              <w:bottom w:val="nil"/>
              <w:right w:val="nil"/>
            </w:tcBorders>
            <w:shd w:val="clear" w:color="auto" w:fill="auto"/>
            <w:noWrap/>
            <w:vAlign w:val="bottom"/>
            <w:hideMark/>
          </w:tcPr>
          <w:p w14:paraId="0C81C933" w14:textId="0CAB9237" w:rsidR="00B27AF3" w:rsidRPr="001715D3" w:rsidRDefault="008E405E" w:rsidP="00255199">
            <w:pPr>
              <w:jc w:val="right"/>
              <w:rPr>
                <w:rFonts w:ascii="Arial" w:hAnsi="Arial" w:cs="Arial"/>
                <w:sz w:val="18"/>
                <w:szCs w:val="18"/>
                <w:lang w:val="en-GB" w:eastAsia="en-SG"/>
              </w:rPr>
            </w:pPr>
            <w:r w:rsidRPr="001715D3">
              <w:rPr>
                <w:rFonts w:ascii="Arial" w:hAnsi="Arial" w:cs="Arial"/>
                <w:sz w:val="16"/>
                <w:szCs w:val="16"/>
                <w:lang w:val="en-GB" w:eastAsia="en-SG"/>
              </w:rPr>
              <w:t>−</w:t>
            </w:r>
            <w:r w:rsidR="00B27AF3" w:rsidRPr="001715D3">
              <w:rPr>
                <w:rFonts w:ascii="Arial" w:hAnsi="Arial" w:cs="Arial"/>
                <w:sz w:val="18"/>
                <w:szCs w:val="18"/>
                <w:lang w:val="en-GB" w:eastAsia="en-SG"/>
              </w:rPr>
              <w:t>1.19</w:t>
            </w:r>
          </w:p>
        </w:tc>
        <w:tc>
          <w:tcPr>
            <w:tcW w:w="1291" w:type="dxa"/>
            <w:tcBorders>
              <w:top w:val="nil"/>
              <w:left w:val="nil"/>
              <w:bottom w:val="nil"/>
              <w:right w:val="nil"/>
            </w:tcBorders>
            <w:shd w:val="clear" w:color="auto" w:fill="auto"/>
            <w:vAlign w:val="bottom"/>
          </w:tcPr>
          <w:p w14:paraId="17128DA6" w14:textId="4392D9D6"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11.36</w:t>
            </w:r>
          </w:p>
        </w:tc>
        <w:tc>
          <w:tcPr>
            <w:tcW w:w="1292" w:type="dxa"/>
            <w:tcBorders>
              <w:top w:val="nil"/>
              <w:left w:val="nil"/>
              <w:bottom w:val="nil"/>
              <w:right w:val="nil"/>
            </w:tcBorders>
            <w:shd w:val="clear" w:color="auto" w:fill="auto"/>
            <w:vAlign w:val="bottom"/>
          </w:tcPr>
          <w:p w14:paraId="3DD0E0DD" w14:textId="2D1512E9" w:rsidR="00B27AF3" w:rsidRPr="001715D3" w:rsidRDefault="008E405E" w:rsidP="00255199">
            <w:pPr>
              <w:jc w:val="right"/>
              <w:rPr>
                <w:rFonts w:ascii="Arial" w:hAnsi="Arial" w:cs="Arial"/>
                <w:sz w:val="18"/>
                <w:szCs w:val="18"/>
                <w:highlight w:val="yellow"/>
                <w:lang w:val="en-GB" w:eastAsia="en-SG"/>
              </w:rPr>
            </w:pPr>
            <w:r w:rsidRPr="001715D3">
              <w:rPr>
                <w:rFonts w:ascii="Arial" w:hAnsi="Arial" w:cs="Arial"/>
                <w:sz w:val="16"/>
                <w:szCs w:val="16"/>
                <w:lang w:val="en-GB" w:eastAsia="en-SG"/>
              </w:rPr>
              <w:t>−</w:t>
            </w:r>
            <w:r w:rsidR="00B27AF3" w:rsidRPr="001715D3">
              <w:rPr>
                <w:rFonts w:ascii="Arial" w:hAnsi="Arial" w:cs="Arial"/>
                <w:sz w:val="18"/>
                <w:szCs w:val="18"/>
                <w:lang w:val="en-GB" w:eastAsia="en-SG"/>
              </w:rPr>
              <w:t>0.54</w:t>
            </w:r>
          </w:p>
        </w:tc>
        <w:tc>
          <w:tcPr>
            <w:tcW w:w="1291" w:type="dxa"/>
            <w:tcBorders>
              <w:top w:val="nil"/>
              <w:left w:val="nil"/>
              <w:bottom w:val="nil"/>
              <w:right w:val="nil"/>
            </w:tcBorders>
            <w:shd w:val="clear" w:color="auto" w:fill="auto"/>
            <w:noWrap/>
            <w:vAlign w:val="bottom"/>
            <w:hideMark/>
          </w:tcPr>
          <w:p w14:paraId="006D2E5B"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3.38</w:t>
            </w:r>
          </w:p>
        </w:tc>
        <w:tc>
          <w:tcPr>
            <w:tcW w:w="1292" w:type="dxa"/>
            <w:tcBorders>
              <w:top w:val="nil"/>
              <w:left w:val="nil"/>
              <w:bottom w:val="nil"/>
              <w:right w:val="nil"/>
            </w:tcBorders>
            <w:shd w:val="clear" w:color="auto" w:fill="auto"/>
            <w:noWrap/>
            <w:vAlign w:val="bottom"/>
            <w:hideMark/>
          </w:tcPr>
          <w:p w14:paraId="779801BE" w14:textId="1C8340B3" w:rsidR="00B27AF3" w:rsidRPr="001715D3" w:rsidRDefault="008E405E" w:rsidP="00255199">
            <w:pPr>
              <w:jc w:val="right"/>
              <w:rPr>
                <w:rFonts w:ascii="Arial" w:hAnsi="Arial" w:cs="Arial"/>
                <w:sz w:val="18"/>
                <w:szCs w:val="18"/>
                <w:lang w:val="en-GB" w:eastAsia="en-SG"/>
              </w:rPr>
            </w:pPr>
            <w:r w:rsidRPr="001715D3">
              <w:rPr>
                <w:rFonts w:ascii="Arial" w:hAnsi="Arial" w:cs="Arial"/>
                <w:sz w:val="16"/>
                <w:szCs w:val="16"/>
                <w:lang w:val="en-GB" w:eastAsia="en-SG"/>
              </w:rPr>
              <w:t>−</w:t>
            </w:r>
            <w:r w:rsidR="00B27AF3" w:rsidRPr="001715D3">
              <w:rPr>
                <w:rFonts w:ascii="Arial" w:hAnsi="Arial" w:cs="Arial"/>
                <w:sz w:val="18"/>
                <w:szCs w:val="18"/>
                <w:lang w:val="en-GB" w:eastAsia="en-SG"/>
              </w:rPr>
              <w:t>2.42</w:t>
            </w:r>
          </w:p>
        </w:tc>
        <w:tc>
          <w:tcPr>
            <w:tcW w:w="1291" w:type="dxa"/>
            <w:tcBorders>
              <w:top w:val="nil"/>
              <w:left w:val="nil"/>
              <w:bottom w:val="nil"/>
              <w:right w:val="nil"/>
            </w:tcBorders>
            <w:shd w:val="clear" w:color="auto" w:fill="auto"/>
            <w:noWrap/>
            <w:vAlign w:val="bottom"/>
            <w:hideMark/>
          </w:tcPr>
          <w:p w14:paraId="1D87C811"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60.53</w:t>
            </w:r>
          </w:p>
        </w:tc>
        <w:tc>
          <w:tcPr>
            <w:tcW w:w="1292" w:type="dxa"/>
            <w:tcBorders>
              <w:top w:val="nil"/>
              <w:left w:val="nil"/>
              <w:bottom w:val="nil"/>
              <w:right w:val="single" w:sz="4" w:space="0" w:color="auto"/>
            </w:tcBorders>
            <w:shd w:val="clear" w:color="auto" w:fill="auto"/>
            <w:noWrap/>
            <w:vAlign w:val="bottom"/>
            <w:hideMark/>
          </w:tcPr>
          <w:p w14:paraId="4EDA8847"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6.63</w:t>
            </w:r>
          </w:p>
        </w:tc>
      </w:tr>
      <w:tr w:rsidR="002C3A1A" w:rsidRPr="001715D3" w14:paraId="4ABF6251"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261316B7"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Net Income (</w:t>
            </w:r>
            <w:proofErr w:type="spellStart"/>
            <w:r w:rsidRPr="001715D3">
              <w:rPr>
                <w:rFonts w:ascii="Arial" w:hAnsi="Arial" w:cs="Arial"/>
                <w:b/>
                <w:bCs/>
                <w:sz w:val="18"/>
                <w:szCs w:val="18"/>
                <w:lang w:val="en-GB" w:eastAsia="en-SG"/>
              </w:rPr>
              <w:t>ttm</w:t>
            </w:r>
            <w:proofErr w:type="spellEnd"/>
            <w:r w:rsidRPr="001715D3">
              <w:rPr>
                <w:rFonts w:ascii="Arial" w:hAnsi="Arial" w:cs="Arial"/>
                <w:b/>
                <w:bCs/>
                <w:sz w:val="18"/>
                <w:szCs w:val="18"/>
                <w:lang w:val="en-GB" w:eastAsia="en-SG"/>
              </w:rPr>
              <w:t>)</w:t>
            </w:r>
          </w:p>
        </w:tc>
        <w:tc>
          <w:tcPr>
            <w:tcW w:w="1291" w:type="dxa"/>
            <w:tcBorders>
              <w:top w:val="nil"/>
              <w:left w:val="single" w:sz="4" w:space="0" w:color="auto"/>
              <w:bottom w:val="nil"/>
              <w:right w:val="nil"/>
            </w:tcBorders>
            <w:shd w:val="clear" w:color="auto" w:fill="auto"/>
            <w:noWrap/>
            <w:vAlign w:val="bottom"/>
            <w:hideMark/>
          </w:tcPr>
          <w:p w14:paraId="455B4239" w14:textId="7255D483" w:rsidR="00B27AF3" w:rsidRPr="001715D3" w:rsidRDefault="008E405E" w:rsidP="007A369D">
            <w:pPr>
              <w:jc w:val="right"/>
              <w:rPr>
                <w:rFonts w:ascii="Arial" w:hAnsi="Arial" w:cs="Arial"/>
                <w:sz w:val="18"/>
                <w:szCs w:val="18"/>
                <w:lang w:val="en-GB" w:eastAsia="en-SG"/>
              </w:rPr>
            </w:pPr>
            <w:r w:rsidRPr="001715D3">
              <w:rPr>
                <w:rFonts w:ascii="Arial" w:hAnsi="Arial" w:cs="Arial"/>
                <w:sz w:val="16"/>
                <w:szCs w:val="16"/>
                <w:lang w:val="en-GB" w:eastAsia="en-SG"/>
              </w:rPr>
              <w:t>−</w:t>
            </w:r>
            <w:r w:rsidR="00B27AF3" w:rsidRPr="001715D3">
              <w:rPr>
                <w:rFonts w:ascii="Arial" w:hAnsi="Arial" w:cs="Arial"/>
                <w:sz w:val="18"/>
                <w:szCs w:val="18"/>
                <w:lang w:val="en-GB" w:eastAsia="en-SG"/>
              </w:rPr>
              <w:t>218.87</w:t>
            </w:r>
          </w:p>
        </w:tc>
        <w:tc>
          <w:tcPr>
            <w:tcW w:w="1291" w:type="dxa"/>
            <w:tcBorders>
              <w:top w:val="nil"/>
              <w:left w:val="nil"/>
              <w:bottom w:val="nil"/>
              <w:right w:val="nil"/>
            </w:tcBorders>
            <w:shd w:val="clear" w:color="auto" w:fill="auto"/>
            <w:vAlign w:val="bottom"/>
          </w:tcPr>
          <w:p w14:paraId="28E3D89B" w14:textId="04288DB2"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5015.00</w:t>
            </w:r>
          </w:p>
        </w:tc>
        <w:tc>
          <w:tcPr>
            <w:tcW w:w="1292" w:type="dxa"/>
            <w:tcBorders>
              <w:top w:val="nil"/>
              <w:left w:val="nil"/>
              <w:bottom w:val="nil"/>
              <w:right w:val="nil"/>
            </w:tcBorders>
            <w:shd w:val="clear" w:color="auto" w:fill="auto"/>
            <w:vAlign w:val="bottom"/>
          </w:tcPr>
          <w:p w14:paraId="47F971D9" w14:textId="22D0879C"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38.80</w:t>
            </w:r>
          </w:p>
        </w:tc>
        <w:tc>
          <w:tcPr>
            <w:tcW w:w="1291" w:type="dxa"/>
            <w:tcBorders>
              <w:top w:val="nil"/>
              <w:left w:val="nil"/>
              <w:bottom w:val="nil"/>
              <w:right w:val="nil"/>
            </w:tcBorders>
            <w:shd w:val="clear" w:color="auto" w:fill="auto"/>
            <w:noWrap/>
            <w:vAlign w:val="bottom"/>
            <w:hideMark/>
          </w:tcPr>
          <w:p w14:paraId="6F931B89" w14:textId="61C69C59" w:rsidR="00B27AF3" w:rsidRPr="001715D3" w:rsidRDefault="008E405E" w:rsidP="00255199">
            <w:pPr>
              <w:jc w:val="right"/>
              <w:rPr>
                <w:rFonts w:ascii="Arial" w:hAnsi="Arial" w:cs="Arial"/>
                <w:sz w:val="18"/>
                <w:szCs w:val="18"/>
                <w:lang w:val="en-GB" w:eastAsia="en-SG"/>
              </w:rPr>
            </w:pPr>
            <w:r w:rsidRPr="001715D3">
              <w:rPr>
                <w:rFonts w:ascii="Arial" w:hAnsi="Arial" w:cs="Arial"/>
                <w:sz w:val="16"/>
                <w:szCs w:val="16"/>
                <w:lang w:val="en-GB" w:eastAsia="en-SG"/>
              </w:rPr>
              <w:t>−</w:t>
            </w:r>
            <w:r w:rsidR="00B27AF3" w:rsidRPr="001715D3">
              <w:rPr>
                <w:rFonts w:ascii="Arial" w:hAnsi="Arial" w:cs="Arial"/>
                <w:sz w:val="18"/>
                <w:szCs w:val="18"/>
                <w:lang w:val="en-GB" w:eastAsia="en-SG"/>
              </w:rPr>
              <w:t>425.35</w:t>
            </w:r>
          </w:p>
        </w:tc>
        <w:tc>
          <w:tcPr>
            <w:tcW w:w="1292" w:type="dxa"/>
            <w:tcBorders>
              <w:top w:val="nil"/>
              <w:left w:val="nil"/>
              <w:bottom w:val="nil"/>
              <w:right w:val="nil"/>
            </w:tcBorders>
            <w:shd w:val="clear" w:color="auto" w:fill="auto"/>
            <w:noWrap/>
            <w:vAlign w:val="bottom"/>
            <w:hideMark/>
          </w:tcPr>
          <w:p w14:paraId="79944FED"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13.57</w:t>
            </w:r>
          </w:p>
        </w:tc>
        <w:tc>
          <w:tcPr>
            <w:tcW w:w="1291" w:type="dxa"/>
            <w:tcBorders>
              <w:top w:val="nil"/>
              <w:left w:val="nil"/>
              <w:bottom w:val="nil"/>
              <w:right w:val="nil"/>
            </w:tcBorders>
            <w:shd w:val="clear" w:color="auto" w:fill="auto"/>
            <w:noWrap/>
            <w:vAlign w:val="bottom"/>
            <w:hideMark/>
          </w:tcPr>
          <w:p w14:paraId="49CB2C5C"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11.39</w:t>
            </w:r>
          </w:p>
        </w:tc>
        <w:tc>
          <w:tcPr>
            <w:tcW w:w="1292" w:type="dxa"/>
            <w:tcBorders>
              <w:top w:val="nil"/>
              <w:left w:val="nil"/>
              <w:bottom w:val="nil"/>
              <w:right w:val="single" w:sz="4" w:space="0" w:color="auto"/>
            </w:tcBorders>
            <w:shd w:val="clear" w:color="auto" w:fill="auto"/>
            <w:noWrap/>
            <w:vAlign w:val="bottom"/>
            <w:hideMark/>
          </w:tcPr>
          <w:p w14:paraId="262DEBE4"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583.60</w:t>
            </w:r>
          </w:p>
        </w:tc>
      </w:tr>
      <w:tr w:rsidR="002C3A1A" w:rsidRPr="001715D3" w14:paraId="4173AE14"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2B2BAB1F" w14:textId="77777777" w:rsidR="00B27AF3" w:rsidRPr="001715D3" w:rsidRDefault="00B27AF3" w:rsidP="00255199">
            <w:pPr>
              <w:rPr>
                <w:rFonts w:ascii="Arial" w:hAnsi="Arial" w:cs="Arial"/>
                <w:b/>
                <w:bCs/>
                <w:sz w:val="18"/>
                <w:szCs w:val="18"/>
                <w:lang w:val="en-GB" w:eastAsia="en-SG"/>
              </w:rPr>
            </w:pPr>
            <w:r w:rsidRPr="001715D3">
              <w:rPr>
                <w:rFonts w:ascii="Arial" w:hAnsi="Arial" w:cs="Arial"/>
                <w:b/>
                <w:bCs/>
                <w:sz w:val="18"/>
                <w:szCs w:val="18"/>
                <w:lang w:val="en-GB" w:eastAsia="en-SG"/>
              </w:rPr>
              <w:t>EPS (</w:t>
            </w:r>
            <w:proofErr w:type="spellStart"/>
            <w:r w:rsidRPr="001715D3">
              <w:rPr>
                <w:rFonts w:ascii="Arial" w:hAnsi="Arial" w:cs="Arial"/>
                <w:b/>
                <w:bCs/>
                <w:sz w:val="18"/>
                <w:szCs w:val="18"/>
                <w:lang w:val="en-GB" w:eastAsia="en-SG"/>
              </w:rPr>
              <w:t>ttm</w:t>
            </w:r>
            <w:proofErr w:type="spellEnd"/>
            <w:r w:rsidRPr="001715D3">
              <w:rPr>
                <w:rFonts w:ascii="Arial" w:hAnsi="Arial" w:cs="Arial"/>
                <w:b/>
                <w:bCs/>
                <w:sz w:val="18"/>
                <w:szCs w:val="18"/>
                <w:lang w:val="en-GB" w:eastAsia="en-SG"/>
              </w:rPr>
              <w:t>, diluted)</w:t>
            </w:r>
          </w:p>
        </w:tc>
        <w:tc>
          <w:tcPr>
            <w:tcW w:w="1291" w:type="dxa"/>
            <w:tcBorders>
              <w:top w:val="nil"/>
              <w:left w:val="single" w:sz="4" w:space="0" w:color="auto"/>
              <w:bottom w:val="nil"/>
              <w:right w:val="nil"/>
            </w:tcBorders>
            <w:shd w:val="clear" w:color="auto" w:fill="auto"/>
            <w:noWrap/>
            <w:vAlign w:val="bottom"/>
            <w:hideMark/>
          </w:tcPr>
          <w:p w14:paraId="45509B1B" w14:textId="1B68FECA" w:rsidR="00B27AF3" w:rsidRPr="001715D3" w:rsidRDefault="008E405E" w:rsidP="00255199">
            <w:pPr>
              <w:jc w:val="right"/>
              <w:rPr>
                <w:rFonts w:ascii="Arial" w:hAnsi="Arial" w:cs="Arial"/>
                <w:sz w:val="18"/>
                <w:szCs w:val="18"/>
                <w:lang w:val="en-GB" w:eastAsia="en-SG"/>
              </w:rPr>
            </w:pPr>
            <w:r w:rsidRPr="001715D3">
              <w:rPr>
                <w:rFonts w:ascii="Arial" w:hAnsi="Arial" w:cs="Arial"/>
                <w:sz w:val="16"/>
                <w:szCs w:val="16"/>
                <w:lang w:val="en-GB" w:eastAsia="en-SG"/>
              </w:rPr>
              <w:t>−</w:t>
            </w:r>
            <w:r w:rsidR="00B27AF3" w:rsidRPr="001715D3">
              <w:rPr>
                <w:rFonts w:ascii="Arial" w:hAnsi="Arial" w:cs="Arial"/>
                <w:sz w:val="18"/>
                <w:szCs w:val="18"/>
                <w:lang w:val="en-GB" w:eastAsia="en-SG"/>
              </w:rPr>
              <w:t>0.09</w:t>
            </w:r>
          </w:p>
        </w:tc>
        <w:tc>
          <w:tcPr>
            <w:tcW w:w="1291" w:type="dxa"/>
            <w:tcBorders>
              <w:top w:val="nil"/>
              <w:left w:val="nil"/>
              <w:bottom w:val="nil"/>
              <w:right w:val="nil"/>
            </w:tcBorders>
            <w:shd w:val="clear" w:color="auto" w:fill="auto"/>
            <w:vAlign w:val="bottom"/>
          </w:tcPr>
          <w:p w14:paraId="310A7517" w14:textId="34EF2A03"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163.53</w:t>
            </w:r>
          </w:p>
        </w:tc>
        <w:tc>
          <w:tcPr>
            <w:tcW w:w="1292" w:type="dxa"/>
            <w:tcBorders>
              <w:top w:val="nil"/>
              <w:left w:val="nil"/>
              <w:bottom w:val="nil"/>
              <w:right w:val="nil"/>
            </w:tcBorders>
            <w:shd w:val="clear" w:color="auto" w:fill="auto"/>
            <w:vAlign w:val="bottom"/>
          </w:tcPr>
          <w:p w14:paraId="793AB12B" w14:textId="562B93B9" w:rsidR="00B27AF3" w:rsidRPr="001715D3" w:rsidRDefault="00B27AF3" w:rsidP="00255199">
            <w:pPr>
              <w:jc w:val="right"/>
              <w:rPr>
                <w:rFonts w:ascii="Arial" w:hAnsi="Arial" w:cs="Arial"/>
                <w:sz w:val="18"/>
                <w:szCs w:val="18"/>
                <w:highlight w:val="yellow"/>
                <w:lang w:val="en-GB" w:eastAsia="en-SG"/>
              </w:rPr>
            </w:pPr>
            <w:r w:rsidRPr="001715D3">
              <w:rPr>
                <w:rFonts w:ascii="Arial" w:hAnsi="Arial" w:cs="Arial"/>
                <w:sz w:val="18"/>
                <w:szCs w:val="18"/>
                <w:lang w:val="en-GB" w:eastAsia="en-SG"/>
              </w:rPr>
              <w:t>0.00</w:t>
            </w:r>
          </w:p>
        </w:tc>
        <w:tc>
          <w:tcPr>
            <w:tcW w:w="1291" w:type="dxa"/>
            <w:tcBorders>
              <w:top w:val="nil"/>
              <w:left w:val="nil"/>
              <w:bottom w:val="nil"/>
              <w:right w:val="nil"/>
            </w:tcBorders>
            <w:shd w:val="clear" w:color="auto" w:fill="auto"/>
            <w:noWrap/>
            <w:vAlign w:val="bottom"/>
            <w:hideMark/>
          </w:tcPr>
          <w:p w14:paraId="7CCB0DD1"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0.19</w:t>
            </w:r>
          </w:p>
        </w:tc>
        <w:tc>
          <w:tcPr>
            <w:tcW w:w="1292" w:type="dxa"/>
            <w:tcBorders>
              <w:top w:val="nil"/>
              <w:left w:val="nil"/>
              <w:bottom w:val="nil"/>
              <w:right w:val="nil"/>
            </w:tcBorders>
            <w:shd w:val="clear" w:color="auto" w:fill="auto"/>
            <w:noWrap/>
            <w:vAlign w:val="bottom"/>
            <w:hideMark/>
          </w:tcPr>
          <w:p w14:paraId="14DE0AE8" w14:textId="260359E9" w:rsidR="00B27AF3" w:rsidRPr="001715D3" w:rsidRDefault="008E405E" w:rsidP="00255199">
            <w:pPr>
              <w:jc w:val="right"/>
              <w:rPr>
                <w:rFonts w:ascii="Arial" w:hAnsi="Arial" w:cs="Arial"/>
                <w:sz w:val="18"/>
                <w:szCs w:val="18"/>
                <w:lang w:val="en-GB" w:eastAsia="en-SG"/>
              </w:rPr>
            </w:pPr>
            <w:r w:rsidRPr="001715D3">
              <w:rPr>
                <w:rFonts w:ascii="Arial" w:hAnsi="Arial" w:cs="Arial"/>
                <w:sz w:val="16"/>
                <w:szCs w:val="16"/>
                <w:lang w:val="en-GB" w:eastAsia="en-SG"/>
              </w:rPr>
              <w:t>−</w:t>
            </w:r>
            <w:r w:rsidR="00B27AF3" w:rsidRPr="001715D3">
              <w:rPr>
                <w:rFonts w:ascii="Arial" w:hAnsi="Arial" w:cs="Arial"/>
                <w:sz w:val="18"/>
                <w:szCs w:val="18"/>
                <w:lang w:val="en-GB" w:eastAsia="en-SG"/>
              </w:rPr>
              <w:t>0.03</w:t>
            </w:r>
          </w:p>
        </w:tc>
        <w:tc>
          <w:tcPr>
            <w:tcW w:w="1291" w:type="dxa"/>
            <w:tcBorders>
              <w:top w:val="nil"/>
              <w:left w:val="nil"/>
              <w:bottom w:val="nil"/>
              <w:right w:val="nil"/>
            </w:tcBorders>
            <w:shd w:val="clear" w:color="auto" w:fill="auto"/>
            <w:noWrap/>
            <w:vAlign w:val="bottom"/>
            <w:hideMark/>
          </w:tcPr>
          <w:p w14:paraId="2555230D" w14:textId="77777777" w:rsidR="00B27AF3" w:rsidRPr="001715D3" w:rsidRDefault="00B27AF3" w:rsidP="00255199">
            <w:pPr>
              <w:jc w:val="right"/>
              <w:rPr>
                <w:rFonts w:ascii="Arial" w:hAnsi="Arial" w:cs="Arial"/>
                <w:sz w:val="18"/>
                <w:szCs w:val="18"/>
                <w:lang w:val="en-GB" w:eastAsia="en-SG"/>
              </w:rPr>
            </w:pPr>
            <w:r w:rsidRPr="001715D3">
              <w:rPr>
                <w:rFonts w:ascii="Arial" w:hAnsi="Arial" w:cs="Arial"/>
                <w:sz w:val="18"/>
                <w:szCs w:val="18"/>
                <w:lang w:val="en-GB" w:eastAsia="en-SG"/>
              </w:rPr>
              <w:t>0.00</w:t>
            </w:r>
          </w:p>
        </w:tc>
        <w:tc>
          <w:tcPr>
            <w:tcW w:w="1292" w:type="dxa"/>
            <w:tcBorders>
              <w:top w:val="nil"/>
              <w:left w:val="nil"/>
              <w:bottom w:val="nil"/>
              <w:right w:val="single" w:sz="4" w:space="0" w:color="auto"/>
            </w:tcBorders>
            <w:shd w:val="clear" w:color="auto" w:fill="auto"/>
            <w:noWrap/>
            <w:vAlign w:val="bottom"/>
            <w:hideMark/>
          </w:tcPr>
          <w:p w14:paraId="5753B5D6" w14:textId="2039044A" w:rsidR="00B27AF3" w:rsidRPr="001715D3" w:rsidRDefault="006058A7" w:rsidP="00255199">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13094B7C" w14:textId="77777777" w:rsidTr="00FF1584">
        <w:trPr>
          <w:trHeight w:val="329"/>
          <w:jc w:val="center"/>
        </w:trPr>
        <w:tc>
          <w:tcPr>
            <w:tcW w:w="2552" w:type="dxa"/>
            <w:tcBorders>
              <w:top w:val="nil"/>
              <w:left w:val="single" w:sz="4" w:space="0" w:color="auto"/>
              <w:bottom w:val="nil"/>
              <w:right w:val="single" w:sz="4" w:space="0" w:color="auto"/>
            </w:tcBorders>
            <w:shd w:val="clear" w:color="auto" w:fill="auto"/>
            <w:noWrap/>
            <w:vAlign w:val="bottom"/>
          </w:tcPr>
          <w:p w14:paraId="42E0DCDC" w14:textId="66A19802" w:rsidR="00B27AF3" w:rsidRPr="001715D3" w:rsidRDefault="00B27AF3" w:rsidP="008D6A7B">
            <w:pPr>
              <w:rPr>
                <w:rFonts w:ascii="Arial" w:hAnsi="Arial" w:cs="Arial"/>
                <w:b/>
                <w:bCs/>
                <w:sz w:val="18"/>
                <w:szCs w:val="18"/>
                <w:lang w:val="en-GB" w:eastAsia="en-SG"/>
              </w:rPr>
            </w:pPr>
            <w:r w:rsidRPr="001715D3">
              <w:rPr>
                <w:rFonts w:ascii="Arial" w:hAnsi="Arial" w:cs="Arial"/>
                <w:b/>
                <w:bCs/>
                <w:sz w:val="18"/>
                <w:szCs w:val="18"/>
                <w:lang w:val="en-GB" w:eastAsia="en-SG"/>
              </w:rPr>
              <w:t>EV/Revenue</w:t>
            </w:r>
          </w:p>
        </w:tc>
        <w:tc>
          <w:tcPr>
            <w:tcW w:w="1291" w:type="dxa"/>
            <w:tcBorders>
              <w:top w:val="nil"/>
              <w:left w:val="single" w:sz="4" w:space="0" w:color="auto"/>
              <w:bottom w:val="nil"/>
              <w:right w:val="nil"/>
            </w:tcBorders>
            <w:shd w:val="clear" w:color="auto" w:fill="auto"/>
            <w:noWrap/>
            <w:vAlign w:val="bottom"/>
          </w:tcPr>
          <w:p w14:paraId="4785BA9D" w14:textId="3687D0B9"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0.93</w:t>
            </w:r>
          </w:p>
        </w:tc>
        <w:tc>
          <w:tcPr>
            <w:tcW w:w="1291" w:type="dxa"/>
            <w:tcBorders>
              <w:top w:val="nil"/>
              <w:left w:val="nil"/>
              <w:bottom w:val="nil"/>
              <w:right w:val="nil"/>
            </w:tcBorders>
            <w:shd w:val="clear" w:color="auto" w:fill="auto"/>
            <w:vAlign w:val="bottom"/>
          </w:tcPr>
          <w:p w14:paraId="1F5D3A46" w14:textId="40273F31"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0.87</w:t>
            </w:r>
          </w:p>
        </w:tc>
        <w:tc>
          <w:tcPr>
            <w:tcW w:w="1292" w:type="dxa"/>
            <w:tcBorders>
              <w:top w:val="nil"/>
              <w:left w:val="nil"/>
              <w:bottom w:val="nil"/>
              <w:right w:val="nil"/>
            </w:tcBorders>
            <w:shd w:val="clear" w:color="auto" w:fill="auto"/>
            <w:vAlign w:val="bottom"/>
          </w:tcPr>
          <w:p w14:paraId="5691465A" w14:textId="4A2028BB"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0.82</w:t>
            </w:r>
          </w:p>
        </w:tc>
        <w:tc>
          <w:tcPr>
            <w:tcW w:w="1291" w:type="dxa"/>
            <w:tcBorders>
              <w:top w:val="nil"/>
              <w:left w:val="nil"/>
              <w:bottom w:val="nil"/>
              <w:right w:val="nil"/>
            </w:tcBorders>
            <w:shd w:val="clear" w:color="auto" w:fill="auto"/>
            <w:noWrap/>
            <w:vAlign w:val="bottom"/>
          </w:tcPr>
          <w:p w14:paraId="1E44CA02" w14:textId="561B039D"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0.84</w:t>
            </w:r>
          </w:p>
        </w:tc>
        <w:tc>
          <w:tcPr>
            <w:tcW w:w="1292" w:type="dxa"/>
            <w:tcBorders>
              <w:top w:val="nil"/>
              <w:left w:val="nil"/>
              <w:bottom w:val="nil"/>
              <w:right w:val="nil"/>
            </w:tcBorders>
            <w:shd w:val="clear" w:color="auto" w:fill="auto"/>
            <w:noWrap/>
            <w:vAlign w:val="bottom"/>
          </w:tcPr>
          <w:p w14:paraId="50066400" w14:textId="65668210"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0.72</w:t>
            </w:r>
          </w:p>
        </w:tc>
        <w:tc>
          <w:tcPr>
            <w:tcW w:w="1291" w:type="dxa"/>
            <w:tcBorders>
              <w:top w:val="nil"/>
              <w:left w:val="nil"/>
              <w:bottom w:val="nil"/>
              <w:right w:val="nil"/>
            </w:tcBorders>
            <w:shd w:val="clear" w:color="auto" w:fill="auto"/>
            <w:noWrap/>
            <w:vAlign w:val="bottom"/>
          </w:tcPr>
          <w:p w14:paraId="20373376" w14:textId="4DD4FABB"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1.88</w:t>
            </w:r>
          </w:p>
        </w:tc>
        <w:tc>
          <w:tcPr>
            <w:tcW w:w="1292" w:type="dxa"/>
            <w:tcBorders>
              <w:top w:val="nil"/>
              <w:left w:val="nil"/>
              <w:bottom w:val="nil"/>
              <w:right w:val="single" w:sz="4" w:space="0" w:color="auto"/>
            </w:tcBorders>
            <w:shd w:val="clear" w:color="auto" w:fill="auto"/>
            <w:noWrap/>
            <w:vAlign w:val="bottom"/>
          </w:tcPr>
          <w:p w14:paraId="00BDF915" w14:textId="46663CDC"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1DAF3924" w14:textId="77777777" w:rsidTr="00FF1584">
        <w:trPr>
          <w:trHeight w:val="329"/>
          <w:jc w:val="center"/>
        </w:trPr>
        <w:tc>
          <w:tcPr>
            <w:tcW w:w="2552" w:type="dxa"/>
            <w:tcBorders>
              <w:top w:val="nil"/>
              <w:left w:val="single" w:sz="4" w:space="0" w:color="auto"/>
              <w:bottom w:val="nil"/>
              <w:right w:val="single" w:sz="4" w:space="0" w:color="auto"/>
            </w:tcBorders>
            <w:shd w:val="clear" w:color="auto" w:fill="auto"/>
            <w:noWrap/>
            <w:vAlign w:val="bottom"/>
          </w:tcPr>
          <w:p w14:paraId="72595778" w14:textId="2E5991B5" w:rsidR="00B27AF3" w:rsidRPr="001715D3" w:rsidRDefault="00B27AF3" w:rsidP="008D6A7B">
            <w:pPr>
              <w:rPr>
                <w:rFonts w:ascii="Arial" w:hAnsi="Arial" w:cs="Arial"/>
                <w:b/>
                <w:bCs/>
                <w:sz w:val="18"/>
                <w:szCs w:val="18"/>
                <w:lang w:val="en-GB" w:eastAsia="en-SG"/>
              </w:rPr>
            </w:pPr>
            <w:r w:rsidRPr="001715D3">
              <w:rPr>
                <w:rFonts w:ascii="Arial" w:hAnsi="Arial" w:cs="Arial"/>
                <w:b/>
                <w:bCs/>
                <w:sz w:val="18"/>
                <w:szCs w:val="18"/>
                <w:lang w:val="en-GB" w:eastAsia="en-SG"/>
              </w:rPr>
              <w:t>EV/EBITDA</w:t>
            </w:r>
          </w:p>
        </w:tc>
        <w:tc>
          <w:tcPr>
            <w:tcW w:w="1291" w:type="dxa"/>
            <w:tcBorders>
              <w:top w:val="nil"/>
              <w:left w:val="single" w:sz="4" w:space="0" w:color="auto"/>
              <w:bottom w:val="nil"/>
              <w:right w:val="nil"/>
            </w:tcBorders>
            <w:shd w:val="clear" w:color="auto" w:fill="auto"/>
            <w:noWrap/>
            <w:vAlign w:val="bottom"/>
          </w:tcPr>
          <w:p w14:paraId="687D7CCB" w14:textId="2F649536"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11.3</w:t>
            </w:r>
          </w:p>
        </w:tc>
        <w:tc>
          <w:tcPr>
            <w:tcW w:w="1291" w:type="dxa"/>
            <w:tcBorders>
              <w:top w:val="nil"/>
              <w:left w:val="nil"/>
              <w:bottom w:val="nil"/>
              <w:right w:val="nil"/>
            </w:tcBorders>
            <w:shd w:val="clear" w:color="auto" w:fill="auto"/>
            <w:vAlign w:val="bottom"/>
          </w:tcPr>
          <w:p w14:paraId="5A049234" w14:textId="14BA5592"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4.5</w:t>
            </w:r>
          </w:p>
        </w:tc>
        <w:tc>
          <w:tcPr>
            <w:tcW w:w="1292" w:type="dxa"/>
            <w:tcBorders>
              <w:top w:val="nil"/>
              <w:left w:val="nil"/>
              <w:bottom w:val="nil"/>
              <w:right w:val="nil"/>
            </w:tcBorders>
            <w:shd w:val="clear" w:color="auto" w:fill="auto"/>
            <w:vAlign w:val="bottom"/>
          </w:tcPr>
          <w:p w14:paraId="7C69AF53" w14:textId="18BACD62"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13.2</w:t>
            </w:r>
          </w:p>
        </w:tc>
        <w:tc>
          <w:tcPr>
            <w:tcW w:w="1291" w:type="dxa"/>
            <w:tcBorders>
              <w:top w:val="nil"/>
              <w:left w:val="nil"/>
              <w:bottom w:val="nil"/>
              <w:right w:val="nil"/>
            </w:tcBorders>
            <w:shd w:val="clear" w:color="auto" w:fill="auto"/>
            <w:noWrap/>
            <w:vAlign w:val="bottom"/>
          </w:tcPr>
          <w:p w14:paraId="7D780C91" w14:textId="6A45B981"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13.6</w:t>
            </w:r>
          </w:p>
        </w:tc>
        <w:tc>
          <w:tcPr>
            <w:tcW w:w="1292" w:type="dxa"/>
            <w:tcBorders>
              <w:top w:val="nil"/>
              <w:left w:val="nil"/>
              <w:bottom w:val="nil"/>
              <w:right w:val="nil"/>
            </w:tcBorders>
            <w:shd w:val="clear" w:color="auto" w:fill="auto"/>
            <w:noWrap/>
            <w:vAlign w:val="bottom"/>
          </w:tcPr>
          <w:p w14:paraId="01871BFA" w14:textId="2AB2C469"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12.5</w:t>
            </w:r>
          </w:p>
        </w:tc>
        <w:tc>
          <w:tcPr>
            <w:tcW w:w="1291" w:type="dxa"/>
            <w:tcBorders>
              <w:top w:val="nil"/>
              <w:left w:val="nil"/>
              <w:bottom w:val="nil"/>
              <w:right w:val="nil"/>
            </w:tcBorders>
            <w:shd w:val="clear" w:color="auto" w:fill="auto"/>
            <w:noWrap/>
            <w:vAlign w:val="bottom"/>
          </w:tcPr>
          <w:p w14:paraId="3748FEB1" w14:textId="52882B4A"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22.3</w:t>
            </w:r>
          </w:p>
        </w:tc>
        <w:tc>
          <w:tcPr>
            <w:tcW w:w="1292" w:type="dxa"/>
            <w:tcBorders>
              <w:top w:val="nil"/>
              <w:left w:val="nil"/>
              <w:bottom w:val="nil"/>
              <w:right w:val="single" w:sz="4" w:space="0" w:color="auto"/>
            </w:tcBorders>
            <w:shd w:val="clear" w:color="auto" w:fill="auto"/>
            <w:noWrap/>
            <w:vAlign w:val="bottom"/>
          </w:tcPr>
          <w:p w14:paraId="065FA0FA" w14:textId="5B39A3AE"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70B1289C" w14:textId="77777777" w:rsidTr="00FF1584">
        <w:trPr>
          <w:trHeight w:val="329"/>
          <w:jc w:val="center"/>
        </w:trPr>
        <w:tc>
          <w:tcPr>
            <w:tcW w:w="2552" w:type="dxa"/>
            <w:tcBorders>
              <w:top w:val="nil"/>
              <w:left w:val="single" w:sz="4" w:space="0" w:color="auto"/>
              <w:bottom w:val="nil"/>
              <w:right w:val="single" w:sz="4" w:space="0" w:color="auto"/>
            </w:tcBorders>
            <w:shd w:val="clear" w:color="auto" w:fill="auto"/>
            <w:noWrap/>
            <w:vAlign w:val="bottom"/>
            <w:hideMark/>
          </w:tcPr>
          <w:p w14:paraId="0DEA1F38" w14:textId="77777777" w:rsidR="00B27AF3" w:rsidRPr="001715D3" w:rsidRDefault="00B27AF3" w:rsidP="008D6A7B">
            <w:pPr>
              <w:rPr>
                <w:rFonts w:ascii="Arial" w:hAnsi="Arial" w:cs="Arial"/>
                <w:b/>
                <w:bCs/>
                <w:sz w:val="18"/>
                <w:szCs w:val="18"/>
                <w:lang w:val="en-GB" w:eastAsia="en-SG"/>
              </w:rPr>
            </w:pPr>
            <w:r w:rsidRPr="001715D3">
              <w:rPr>
                <w:rFonts w:ascii="Arial" w:hAnsi="Arial" w:cs="Arial"/>
                <w:b/>
                <w:bCs/>
                <w:sz w:val="18"/>
                <w:szCs w:val="18"/>
                <w:lang w:val="en-GB" w:eastAsia="en-SG"/>
              </w:rPr>
              <w:t>P/E (</w:t>
            </w:r>
            <w:proofErr w:type="spellStart"/>
            <w:r w:rsidRPr="001715D3">
              <w:rPr>
                <w:rFonts w:ascii="Arial" w:hAnsi="Arial" w:cs="Arial"/>
                <w:b/>
                <w:bCs/>
                <w:sz w:val="18"/>
                <w:szCs w:val="18"/>
                <w:lang w:val="en-GB" w:eastAsia="en-SG"/>
              </w:rPr>
              <w:t>ttm</w:t>
            </w:r>
            <w:proofErr w:type="spellEnd"/>
            <w:r w:rsidRPr="001715D3">
              <w:rPr>
                <w:rFonts w:ascii="Arial" w:hAnsi="Arial" w:cs="Arial"/>
                <w:b/>
                <w:bCs/>
                <w:sz w:val="18"/>
                <w:szCs w:val="18"/>
                <w:lang w:val="en-GB" w:eastAsia="en-SG"/>
              </w:rPr>
              <w:t>, forward)</w:t>
            </w:r>
          </w:p>
        </w:tc>
        <w:tc>
          <w:tcPr>
            <w:tcW w:w="1291" w:type="dxa"/>
            <w:tcBorders>
              <w:top w:val="nil"/>
              <w:left w:val="nil"/>
              <w:bottom w:val="nil"/>
              <w:right w:val="nil"/>
            </w:tcBorders>
            <w:shd w:val="clear" w:color="auto" w:fill="auto"/>
            <w:noWrap/>
            <w:vAlign w:val="bottom"/>
            <w:hideMark/>
          </w:tcPr>
          <w:p w14:paraId="69BC54AC" w14:textId="4D49294B"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c>
          <w:tcPr>
            <w:tcW w:w="1291" w:type="dxa"/>
            <w:tcBorders>
              <w:top w:val="nil"/>
              <w:left w:val="nil"/>
              <w:bottom w:val="nil"/>
              <w:right w:val="nil"/>
            </w:tcBorders>
            <w:shd w:val="clear" w:color="auto" w:fill="auto"/>
            <w:vAlign w:val="bottom"/>
          </w:tcPr>
          <w:p w14:paraId="65ECE006" w14:textId="60CF09DB"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9.1</w:t>
            </w:r>
          </w:p>
        </w:tc>
        <w:tc>
          <w:tcPr>
            <w:tcW w:w="1292" w:type="dxa"/>
            <w:tcBorders>
              <w:top w:val="nil"/>
              <w:left w:val="nil"/>
              <w:bottom w:val="nil"/>
              <w:right w:val="nil"/>
            </w:tcBorders>
            <w:shd w:val="clear" w:color="auto" w:fill="auto"/>
            <w:vAlign w:val="bottom"/>
          </w:tcPr>
          <w:p w14:paraId="4B5B21BE" w14:textId="01B9F4BF"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62.6</w:t>
            </w:r>
          </w:p>
        </w:tc>
        <w:tc>
          <w:tcPr>
            <w:tcW w:w="1291" w:type="dxa"/>
            <w:tcBorders>
              <w:top w:val="nil"/>
              <w:left w:val="nil"/>
              <w:bottom w:val="nil"/>
              <w:right w:val="nil"/>
            </w:tcBorders>
            <w:shd w:val="clear" w:color="auto" w:fill="auto"/>
            <w:noWrap/>
            <w:vAlign w:val="bottom"/>
            <w:hideMark/>
          </w:tcPr>
          <w:p w14:paraId="5DB21CDA"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67.0</w:t>
            </w:r>
          </w:p>
        </w:tc>
        <w:tc>
          <w:tcPr>
            <w:tcW w:w="1292" w:type="dxa"/>
            <w:tcBorders>
              <w:top w:val="nil"/>
              <w:left w:val="nil"/>
              <w:bottom w:val="nil"/>
              <w:right w:val="nil"/>
            </w:tcBorders>
            <w:shd w:val="clear" w:color="auto" w:fill="auto"/>
            <w:noWrap/>
            <w:vAlign w:val="bottom"/>
            <w:hideMark/>
          </w:tcPr>
          <w:p w14:paraId="1509B42F" w14:textId="0AC20F58"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c>
          <w:tcPr>
            <w:tcW w:w="1291" w:type="dxa"/>
            <w:tcBorders>
              <w:top w:val="nil"/>
              <w:left w:val="nil"/>
              <w:bottom w:val="nil"/>
              <w:right w:val="nil"/>
            </w:tcBorders>
            <w:shd w:val="clear" w:color="auto" w:fill="auto"/>
            <w:noWrap/>
            <w:vAlign w:val="bottom"/>
            <w:hideMark/>
          </w:tcPr>
          <w:p w14:paraId="30523283" w14:textId="51D3686D"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c>
          <w:tcPr>
            <w:tcW w:w="1292" w:type="dxa"/>
            <w:tcBorders>
              <w:top w:val="nil"/>
              <w:left w:val="nil"/>
              <w:bottom w:val="nil"/>
              <w:right w:val="single" w:sz="4" w:space="0" w:color="auto"/>
            </w:tcBorders>
            <w:shd w:val="clear" w:color="auto" w:fill="auto"/>
            <w:noWrap/>
            <w:vAlign w:val="bottom"/>
            <w:hideMark/>
          </w:tcPr>
          <w:p w14:paraId="733C7068" w14:textId="365A060C"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6D8A3EAE"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576FD8FD" w14:textId="77777777" w:rsidR="00B27AF3" w:rsidRPr="001715D3" w:rsidRDefault="00B27AF3" w:rsidP="008D6A7B">
            <w:pPr>
              <w:rPr>
                <w:rFonts w:ascii="Arial" w:hAnsi="Arial" w:cs="Arial"/>
                <w:b/>
                <w:bCs/>
                <w:sz w:val="18"/>
                <w:szCs w:val="18"/>
                <w:lang w:val="en-GB" w:eastAsia="en-SG"/>
              </w:rPr>
            </w:pPr>
            <w:r w:rsidRPr="001715D3">
              <w:rPr>
                <w:rFonts w:ascii="Arial" w:hAnsi="Arial" w:cs="Arial"/>
                <w:b/>
                <w:bCs/>
                <w:sz w:val="18"/>
                <w:szCs w:val="18"/>
                <w:lang w:val="en-GB" w:eastAsia="en-SG"/>
              </w:rPr>
              <w:t>P/S (</w:t>
            </w:r>
            <w:proofErr w:type="spellStart"/>
            <w:r w:rsidRPr="001715D3">
              <w:rPr>
                <w:rFonts w:ascii="Arial" w:hAnsi="Arial" w:cs="Arial"/>
                <w:b/>
                <w:bCs/>
                <w:sz w:val="18"/>
                <w:szCs w:val="18"/>
                <w:lang w:val="en-GB" w:eastAsia="en-SG"/>
              </w:rPr>
              <w:t>ttm</w:t>
            </w:r>
            <w:proofErr w:type="spellEnd"/>
            <w:r w:rsidRPr="001715D3">
              <w:rPr>
                <w:rFonts w:ascii="Arial" w:hAnsi="Arial" w:cs="Arial"/>
                <w:b/>
                <w:bCs/>
                <w:sz w:val="18"/>
                <w:szCs w:val="18"/>
                <w:lang w:val="en-GB" w:eastAsia="en-SG"/>
              </w:rPr>
              <w:t>)</w:t>
            </w:r>
          </w:p>
        </w:tc>
        <w:tc>
          <w:tcPr>
            <w:tcW w:w="1291" w:type="dxa"/>
            <w:tcBorders>
              <w:top w:val="nil"/>
              <w:left w:val="single" w:sz="4" w:space="0" w:color="auto"/>
              <w:bottom w:val="nil"/>
              <w:right w:val="nil"/>
            </w:tcBorders>
            <w:shd w:val="clear" w:color="auto" w:fill="auto"/>
            <w:noWrap/>
            <w:vAlign w:val="bottom"/>
            <w:hideMark/>
          </w:tcPr>
          <w:p w14:paraId="78E44689"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0.4</w:t>
            </w:r>
          </w:p>
        </w:tc>
        <w:tc>
          <w:tcPr>
            <w:tcW w:w="1291" w:type="dxa"/>
            <w:tcBorders>
              <w:top w:val="nil"/>
              <w:left w:val="nil"/>
              <w:bottom w:val="nil"/>
              <w:right w:val="nil"/>
            </w:tcBorders>
            <w:shd w:val="clear" w:color="auto" w:fill="auto"/>
            <w:vAlign w:val="bottom"/>
          </w:tcPr>
          <w:p w14:paraId="2C12E549" w14:textId="55EF033A"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0.6</w:t>
            </w:r>
          </w:p>
        </w:tc>
        <w:tc>
          <w:tcPr>
            <w:tcW w:w="1292" w:type="dxa"/>
            <w:tcBorders>
              <w:top w:val="nil"/>
              <w:left w:val="nil"/>
              <w:bottom w:val="nil"/>
              <w:right w:val="nil"/>
            </w:tcBorders>
            <w:shd w:val="clear" w:color="auto" w:fill="auto"/>
            <w:vAlign w:val="bottom"/>
          </w:tcPr>
          <w:p w14:paraId="6BF2F85D" w14:textId="4D5B989F"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0.3</w:t>
            </w:r>
          </w:p>
        </w:tc>
        <w:tc>
          <w:tcPr>
            <w:tcW w:w="1291" w:type="dxa"/>
            <w:tcBorders>
              <w:top w:val="nil"/>
              <w:left w:val="nil"/>
              <w:bottom w:val="nil"/>
              <w:right w:val="nil"/>
            </w:tcBorders>
            <w:shd w:val="clear" w:color="auto" w:fill="auto"/>
            <w:noWrap/>
            <w:vAlign w:val="bottom"/>
            <w:hideMark/>
          </w:tcPr>
          <w:p w14:paraId="012688B1"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0.1</w:t>
            </w:r>
          </w:p>
        </w:tc>
        <w:tc>
          <w:tcPr>
            <w:tcW w:w="1292" w:type="dxa"/>
            <w:tcBorders>
              <w:top w:val="nil"/>
              <w:left w:val="nil"/>
              <w:bottom w:val="nil"/>
              <w:right w:val="nil"/>
            </w:tcBorders>
            <w:shd w:val="clear" w:color="auto" w:fill="auto"/>
            <w:noWrap/>
            <w:vAlign w:val="bottom"/>
            <w:hideMark/>
          </w:tcPr>
          <w:p w14:paraId="3E56A2FA"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0.2</w:t>
            </w:r>
          </w:p>
        </w:tc>
        <w:tc>
          <w:tcPr>
            <w:tcW w:w="1291" w:type="dxa"/>
            <w:tcBorders>
              <w:top w:val="nil"/>
              <w:left w:val="nil"/>
              <w:bottom w:val="nil"/>
              <w:right w:val="nil"/>
            </w:tcBorders>
            <w:shd w:val="clear" w:color="auto" w:fill="auto"/>
            <w:noWrap/>
            <w:vAlign w:val="bottom"/>
            <w:hideMark/>
          </w:tcPr>
          <w:p w14:paraId="1CB71EE6"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72.4</w:t>
            </w:r>
          </w:p>
        </w:tc>
        <w:tc>
          <w:tcPr>
            <w:tcW w:w="1292" w:type="dxa"/>
            <w:tcBorders>
              <w:top w:val="nil"/>
              <w:left w:val="nil"/>
              <w:bottom w:val="nil"/>
              <w:right w:val="single" w:sz="4" w:space="0" w:color="auto"/>
            </w:tcBorders>
            <w:shd w:val="clear" w:color="auto" w:fill="auto"/>
            <w:noWrap/>
            <w:vAlign w:val="bottom"/>
            <w:hideMark/>
          </w:tcPr>
          <w:p w14:paraId="2D9FFBC3" w14:textId="36A6DC24"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785BF9E3"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6B93870E" w14:textId="77777777" w:rsidR="00B27AF3" w:rsidRPr="001715D3" w:rsidRDefault="00B27AF3" w:rsidP="008D6A7B">
            <w:pPr>
              <w:rPr>
                <w:rFonts w:ascii="Arial" w:hAnsi="Arial" w:cs="Arial"/>
                <w:b/>
                <w:bCs/>
                <w:sz w:val="18"/>
                <w:szCs w:val="18"/>
                <w:lang w:val="en-GB" w:eastAsia="en-SG"/>
              </w:rPr>
            </w:pPr>
            <w:r w:rsidRPr="001715D3">
              <w:rPr>
                <w:rFonts w:ascii="Arial" w:hAnsi="Arial" w:cs="Arial"/>
                <w:b/>
                <w:bCs/>
                <w:sz w:val="18"/>
                <w:szCs w:val="18"/>
                <w:lang w:val="en-GB" w:eastAsia="en-SG"/>
              </w:rPr>
              <w:t>P/B (</w:t>
            </w:r>
            <w:proofErr w:type="spellStart"/>
            <w:r w:rsidRPr="001715D3">
              <w:rPr>
                <w:rFonts w:ascii="Arial" w:hAnsi="Arial" w:cs="Arial"/>
                <w:b/>
                <w:bCs/>
                <w:sz w:val="18"/>
                <w:szCs w:val="18"/>
                <w:lang w:val="en-GB" w:eastAsia="en-SG"/>
              </w:rPr>
              <w:t>mrq</w:t>
            </w:r>
            <w:proofErr w:type="spellEnd"/>
            <w:r w:rsidRPr="001715D3">
              <w:rPr>
                <w:rFonts w:ascii="Arial" w:hAnsi="Arial" w:cs="Arial"/>
                <w:b/>
                <w:bCs/>
                <w:sz w:val="18"/>
                <w:szCs w:val="18"/>
                <w:lang w:val="en-GB" w:eastAsia="en-SG"/>
              </w:rPr>
              <w:t>****)</w:t>
            </w:r>
          </w:p>
        </w:tc>
        <w:tc>
          <w:tcPr>
            <w:tcW w:w="1291" w:type="dxa"/>
            <w:tcBorders>
              <w:top w:val="nil"/>
              <w:left w:val="single" w:sz="4" w:space="0" w:color="auto"/>
              <w:bottom w:val="nil"/>
              <w:right w:val="nil"/>
            </w:tcBorders>
            <w:shd w:val="clear" w:color="auto" w:fill="auto"/>
            <w:noWrap/>
            <w:vAlign w:val="bottom"/>
            <w:hideMark/>
          </w:tcPr>
          <w:p w14:paraId="15B10904"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0.9</w:t>
            </w:r>
          </w:p>
        </w:tc>
        <w:tc>
          <w:tcPr>
            <w:tcW w:w="1291" w:type="dxa"/>
            <w:tcBorders>
              <w:top w:val="nil"/>
              <w:left w:val="nil"/>
              <w:bottom w:val="nil"/>
              <w:right w:val="nil"/>
            </w:tcBorders>
            <w:shd w:val="clear" w:color="auto" w:fill="auto"/>
            <w:vAlign w:val="bottom"/>
          </w:tcPr>
          <w:p w14:paraId="1944C0DB" w14:textId="4DFAE05B"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0.7</w:t>
            </w:r>
          </w:p>
        </w:tc>
        <w:tc>
          <w:tcPr>
            <w:tcW w:w="1292" w:type="dxa"/>
            <w:tcBorders>
              <w:top w:val="nil"/>
              <w:left w:val="nil"/>
              <w:bottom w:val="nil"/>
              <w:right w:val="nil"/>
            </w:tcBorders>
            <w:shd w:val="clear" w:color="auto" w:fill="auto"/>
            <w:vAlign w:val="bottom"/>
          </w:tcPr>
          <w:p w14:paraId="7DA75896" w14:textId="2C7DDFAC"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0.7</w:t>
            </w:r>
          </w:p>
        </w:tc>
        <w:tc>
          <w:tcPr>
            <w:tcW w:w="1291" w:type="dxa"/>
            <w:tcBorders>
              <w:top w:val="nil"/>
              <w:left w:val="nil"/>
              <w:bottom w:val="nil"/>
              <w:right w:val="nil"/>
            </w:tcBorders>
            <w:shd w:val="clear" w:color="auto" w:fill="auto"/>
            <w:noWrap/>
            <w:vAlign w:val="bottom"/>
            <w:hideMark/>
          </w:tcPr>
          <w:p w14:paraId="12869AF1"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0.7</w:t>
            </w:r>
          </w:p>
        </w:tc>
        <w:tc>
          <w:tcPr>
            <w:tcW w:w="1292" w:type="dxa"/>
            <w:tcBorders>
              <w:top w:val="nil"/>
              <w:left w:val="nil"/>
              <w:bottom w:val="nil"/>
              <w:right w:val="nil"/>
            </w:tcBorders>
            <w:shd w:val="clear" w:color="auto" w:fill="auto"/>
            <w:noWrap/>
            <w:vAlign w:val="bottom"/>
            <w:hideMark/>
          </w:tcPr>
          <w:p w14:paraId="50F2BE28"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0.8</w:t>
            </w:r>
          </w:p>
        </w:tc>
        <w:tc>
          <w:tcPr>
            <w:tcW w:w="1291" w:type="dxa"/>
            <w:tcBorders>
              <w:top w:val="nil"/>
              <w:left w:val="nil"/>
              <w:bottom w:val="nil"/>
              <w:right w:val="nil"/>
            </w:tcBorders>
            <w:shd w:val="clear" w:color="auto" w:fill="auto"/>
            <w:noWrap/>
            <w:vAlign w:val="bottom"/>
            <w:hideMark/>
          </w:tcPr>
          <w:p w14:paraId="0B75DDA0"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1.7</w:t>
            </w:r>
          </w:p>
        </w:tc>
        <w:tc>
          <w:tcPr>
            <w:tcW w:w="1292" w:type="dxa"/>
            <w:tcBorders>
              <w:top w:val="nil"/>
              <w:left w:val="nil"/>
              <w:bottom w:val="nil"/>
              <w:right w:val="single" w:sz="4" w:space="0" w:color="auto"/>
            </w:tcBorders>
            <w:shd w:val="clear" w:color="auto" w:fill="auto"/>
            <w:noWrap/>
            <w:vAlign w:val="bottom"/>
            <w:hideMark/>
          </w:tcPr>
          <w:p w14:paraId="091EA992" w14:textId="3A582C7E" w:rsidR="00B27AF3" w:rsidRPr="001715D3" w:rsidRDefault="006058A7" w:rsidP="008D6A7B">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517FC3CF" w14:textId="77777777" w:rsidTr="00FF1584">
        <w:trPr>
          <w:trHeight w:val="329"/>
          <w:jc w:val="center"/>
        </w:trPr>
        <w:tc>
          <w:tcPr>
            <w:tcW w:w="2552" w:type="dxa"/>
            <w:tcBorders>
              <w:top w:val="nil"/>
              <w:left w:val="single" w:sz="4" w:space="0" w:color="auto"/>
              <w:bottom w:val="nil"/>
              <w:right w:val="nil"/>
            </w:tcBorders>
            <w:shd w:val="clear" w:color="auto" w:fill="auto"/>
            <w:noWrap/>
            <w:vAlign w:val="bottom"/>
            <w:hideMark/>
          </w:tcPr>
          <w:p w14:paraId="7B8E6DFA" w14:textId="77777777" w:rsidR="00B27AF3" w:rsidRPr="001715D3" w:rsidRDefault="00B27AF3" w:rsidP="008D6A7B">
            <w:pPr>
              <w:rPr>
                <w:rFonts w:ascii="Arial" w:hAnsi="Arial" w:cs="Arial"/>
                <w:b/>
                <w:bCs/>
                <w:sz w:val="18"/>
                <w:szCs w:val="18"/>
                <w:lang w:val="en-GB" w:eastAsia="en-SG"/>
              </w:rPr>
            </w:pPr>
            <w:r w:rsidRPr="001715D3">
              <w:rPr>
                <w:rFonts w:ascii="Arial" w:hAnsi="Arial" w:cs="Arial"/>
                <w:b/>
                <w:bCs/>
                <w:sz w:val="18"/>
                <w:szCs w:val="18"/>
                <w:lang w:val="en-GB" w:eastAsia="en-SG"/>
              </w:rPr>
              <w:t>Total Cash and Equivalents</w:t>
            </w:r>
          </w:p>
        </w:tc>
        <w:tc>
          <w:tcPr>
            <w:tcW w:w="1291" w:type="dxa"/>
            <w:tcBorders>
              <w:top w:val="nil"/>
              <w:left w:val="single" w:sz="4" w:space="0" w:color="auto"/>
              <w:bottom w:val="nil"/>
              <w:right w:val="nil"/>
            </w:tcBorders>
            <w:shd w:val="clear" w:color="auto" w:fill="auto"/>
            <w:noWrap/>
            <w:vAlign w:val="bottom"/>
            <w:hideMark/>
          </w:tcPr>
          <w:p w14:paraId="221DFB0B" w14:textId="76A95456"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229.91</w:t>
            </w:r>
          </w:p>
        </w:tc>
        <w:tc>
          <w:tcPr>
            <w:tcW w:w="1291" w:type="dxa"/>
            <w:tcBorders>
              <w:top w:val="nil"/>
              <w:left w:val="nil"/>
              <w:bottom w:val="nil"/>
              <w:right w:val="nil"/>
            </w:tcBorders>
            <w:shd w:val="clear" w:color="auto" w:fill="auto"/>
            <w:vAlign w:val="bottom"/>
          </w:tcPr>
          <w:p w14:paraId="18A25B7B" w14:textId="73FA9070"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3,507.00</w:t>
            </w:r>
          </w:p>
        </w:tc>
        <w:tc>
          <w:tcPr>
            <w:tcW w:w="1292" w:type="dxa"/>
            <w:tcBorders>
              <w:top w:val="nil"/>
              <w:left w:val="nil"/>
              <w:bottom w:val="nil"/>
              <w:right w:val="nil"/>
            </w:tcBorders>
            <w:shd w:val="clear" w:color="auto" w:fill="auto"/>
            <w:vAlign w:val="bottom"/>
          </w:tcPr>
          <w:p w14:paraId="279C4192" w14:textId="6E841969"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1,038.19</w:t>
            </w:r>
          </w:p>
        </w:tc>
        <w:tc>
          <w:tcPr>
            <w:tcW w:w="1291" w:type="dxa"/>
            <w:tcBorders>
              <w:top w:val="nil"/>
              <w:left w:val="nil"/>
              <w:bottom w:val="nil"/>
              <w:right w:val="nil"/>
            </w:tcBorders>
            <w:shd w:val="clear" w:color="auto" w:fill="auto"/>
            <w:noWrap/>
            <w:vAlign w:val="bottom"/>
            <w:hideMark/>
          </w:tcPr>
          <w:p w14:paraId="245DAFE9"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500.82</w:t>
            </w:r>
          </w:p>
        </w:tc>
        <w:tc>
          <w:tcPr>
            <w:tcW w:w="1292" w:type="dxa"/>
            <w:tcBorders>
              <w:top w:val="nil"/>
              <w:left w:val="nil"/>
              <w:bottom w:val="nil"/>
              <w:right w:val="nil"/>
            </w:tcBorders>
            <w:shd w:val="clear" w:color="auto" w:fill="auto"/>
            <w:noWrap/>
            <w:vAlign w:val="bottom"/>
            <w:hideMark/>
          </w:tcPr>
          <w:p w14:paraId="393230E5"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685.78</w:t>
            </w:r>
          </w:p>
        </w:tc>
        <w:tc>
          <w:tcPr>
            <w:tcW w:w="1291" w:type="dxa"/>
            <w:tcBorders>
              <w:top w:val="nil"/>
              <w:left w:val="nil"/>
              <w:bottom w:val="nil"/>
              <w:right w:val="nil"/>
            </w:tcBorders>
            <w:shd w:val="clear" w:color="auto" w:fill="auto"/>
            <w:noWrap/>
            <w:vAlign w:val="bottom"/>
            <w:hideMark/>
          </w:tcPr>
          <w:p w14:paraId="558AA452"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336.03</w:t>
            </w:r>
          </w:p>
        </w:tc>
        <w:tc>
          <w:tcPr>
            <w:tcW w:w="1292" w:type="dxa"/>
            <w:tcBorders>
              <w:top w:val="nil"/>
              <w:left w:val="nil"/>
              <w:bottom w:val="nil"/>
              <w:right w:val="single" w:sz="4" w:space="0" w:color="auto"/>
            </w:tcBorders>
            <w:shd w:val="clear" w:color="auto" w:fill="auto"/>
            <w:noWrap/>
            <w:vAlign w:val="bottom"/>
            <w:hideMark/>
          </w:tcPr>
          <w:p w14:paraId="15C569FD"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932.80</w:t>
            </w:r>
          </w:p>
        </w:tc>
      </w:tr>
      <w:tr w:rsidR="002C3A1A" w:rsidRPr="001715D3" w14:paraId="7355DE22" w14:textId="77777777" w:rsidTr="002C3A1A">
        <w:trPr>
          <w:trHeight w:val="329"/>
          <w:jc w:val="center"/>
        </w:trPr>
        <w:tc>
          <w:tcPr>
            <w:tcW w:w="2552" w:type="dxa"/>
            <w:tcBorders>
              <w:top w:val="nil"/>
              <w:left w:val="single" w:sz="4" w:space="0" w:color="auto"/>
              <w:bottom w:val="nil"/>
              <w:right w:val="nil"/>
            </w:tcBorders>
            <w:shd w:val="clear" w:color="auto" w:fill="auto"/>
            <w:noWrap/>
            <w:vAlign w:val="bottom"/>
            <w:hideMark/>
          </w:tcPr>
          <w:p w14:paraId="2D87BF2E" w14:textId="77777777" w:rsidR="00B27AF3" w:rsidRPr="001715D3" w:rsidRDefault="00B27AF3" w:rsidP="008D6A7B">
            <w:pPr>
              <w:rPr>
                <w:rFonts w:ascii="Arial" w:hAnsi="Arial" w:cs="Arial"/>
                <w:b/>
                <w:bCs/>
                <w:sz w:val="18"/>
                <w:szCs w:val="18"/>
                <w:lang w:val="en-GB" w:eastAsia="en-SG"/>
              </w:rPr>
            </w:pPr>
            <w:r w:rsidRPr="001715D3">
              <w:rPr>
                <w:rFonts w:ascii="Arial" w:hAnsi="Arial" w:cs="Arial"/>
                <w:b/>
                <w:bCs/>
                <w:sz w:val="18"/>
                <w:szCs w:val="18"/>
                <w:lang w:val="en-GB" w:eastAsia="en-SG"/>
              </w:rPr>
              <w:t>Total Debt</w:t>
            </w:r>
          </w:p>
        </w:tc>
        <w:tc>
          <w:tcPr>
            <w:tcW w:w="1291" w:type="dxa"/>
            <w:tcBorders>
              <w:top w:val="nil"/>
              <w:left w:val="single" w:sz="4" w:space="0" w:color="auto"/>
              <w:bottom w:val="nil"/>
              <w:right w:val="nil"/>
            </w:tcBorders>
            <w:shd w:val="clear" w:color="auto" w:fill="auto"/>
            <w:noWrap/>
            <w:vAlign w:val="bottom"/>
            <w:hideMark/>
          </w:tcPr>
          <w:p w14:paraId="4BBE1F87" w14:textId="66DA4CD8"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2,882.36</w:t>
            </w:r>
          </w:p>
        </w:tc>
        <w:tc>
          <w:tcPr>
            <w:tcW w:w="1291" w:type="dxa"/>
            <w:tcBorders>
              <w:top w:val="nil"/>
              <w:left w:val="nil"/>
              <w:bottom w:val="nil"/>
              <w:right w:val="nil"/>
            </w:tcBorders>
            <w:shd w:val="clear" w:color="auto" w:fill="auto"/>
            <w:vAlign w:val="bottom"/>
          </w:tcPr>
          <w:p w14:paraId="10960120" w14:textId="5CCFD3BE"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12,325.00</w:t>
            </w:r>
          </w:p>
        </w:tc>
        <w:tc>
          <w:tcPr>
            <w:tcW w:w="1292" w:type="dxa"/>
            <w:tcBorders>
              <w:top w:val="nil"/>
              <w:left w:val="nil"/>
              <w:bottom w:val="nil"/>
              <w:right w:val="nil"/>
            </w:tcBorders>
            <w:shd w:val="clear" w:color="auto" w:fill="auto"/>
            <w:vAlign w:val="bottom"/>
          </w:tcPr>
          <w:p w14:paraId="65B5D5CE" w14:textId="2BFB10F1" w:rsidR="00B27AF3" w:rsidRPr="001715D3" w:rsidRDefault="00B27AF3" w:rsidP="008D6A7B">
            <w:pPr>
              <w:jc w:val="right"/>
              <w:rPr>
                <w:rFonts w:ascii="Arial" w:hAnsi="Arial" w:cs="Arial"/>
                <w:sz w:val="18"/>
                <w:szCs w:val="18"/>
                <w:highlight w:val="yellow"/>
                <w:lang w:val="en-GB" w:eastAsia="en-SG"/>
              </w:rPr>
            </w:pPr>
            <w:r w:rsidRPr="001715D3">
              <w:rPr>
                <w:rFonts w:ascii="Arial" w:hAnsi="Arial" w:cs="Arial"/>
                <w:sz w:val="18"/>
                <w:szCs w:val="18"/>
                <w:lang w:val="en-GB" w:eastAsia="en-SG"/>
              </w:rPr>
              <w:t>3,023.08</w:t>
            </w:r>
          </w:p>
        </w:tc>
        <w:tc>
          <w:tcPr>
            <w:tcW w:w="1291" w:type="dxa"/>
            <w:tcBorders>
              <w:top w:val="nil"/>
              <w:left w:val="nil"/>
              <w:bottom w:val="nil"/>
              <w:right w:val="nil"/>
            </w:tcBorders>
            <w:shd w:val="clear" w:color="auto" w:fill="auto"/>
            <w:noWrap/>
            <w:vAlign w:val="bottom"/>
            <w:hideMark/>
          </w:tcPr>
          <w:p w14:paraId="15118212"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5,928.06</w:t>
            </w:r>
          </w:p>
        </w:tc>
        <w:tc>
          <w:tcPr>
            <w:tcW w:w="1292" w:type="dxa"/>
            <w:tcBorders>
              <w:top w:val="nil"/>
              <w:left w:val="nil"/>
              <w:bottom w:val="nil"/>
              <w:right w:val="nil"/>
            </w:tcBorders>
            <w:shd w:val="clear" w:color="auto" w:fill="auto"/>
            <w:noWrap/>
            <w:vAlign w:val="bottom"/>
            <w:hideMark/>
          </w:tcPr>
          <w:p w14:paraId="5BB79AEB"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2,663.73</w:t>
            </w:r>
          </w:p>
        </w:tc>
        <w:tc>
          <w:tcPr>
            <w:tcW w:w="1291" w:type="dxa"/>
            <w:tcBorders>
              <w:top w:val="nil"/>
              <w:left w:val="nil"/>
              <w:bottom w:val="nil"/>
              <w:right w:val="nil"/>
            </w:tcBorders>
            <w:shd w:val="clear" w:color="auto" w:fill="auto"/>
            <w:noWrap/>
            <w:vAlign w:val="bottom"/>
            <w:hideMark/>
          </w:tcPr>
          <w:p w14:paraId="2DBF13EC"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0.00</w:t>
            </w:r>
          </w:p>
        </w:tc>
        <w:tc>
          <w:tcPr>
            <w:tcW w:w="1292" w:type="dxa"/>
            <w:tcBorders>
              <w:top w:val="nil"/>
              <w:left w:val="nil"/>
              <w:bottom w:val="nil"/>
              <w:right w:val="single" w:sz="4" w:space="0" w:color="auto"/>
            </w:tcBorders>
            <w:shd w:val="clear" w:color="auto" w:fill="auto"/>
            <w:noWrap/>
            <w:vAlign w:val="bottom"/>
            <w:hideMark/>
          </w:tcPr>
          <w:p w14:paraId="2B6C4312" w14:textId="77777777" w:rsidR="00B27AF3" w:rsidRPr="001715D3" w:rsidRDefault="00B27AF3" w:rsidP="008D6A7B">
            <w:pPr>
              <w:jc w:val="right"/>
              <w:rPr>
                <w:rFonts w:ascii="Arial" w:hAnsi="Arial" w:cs="Arial"/>
                <w:sz w:val="18"/>
                <w:szCs w:val="18"/>
                <w:lang w:val="en-GB" w:eastAsia="en-SG"/>
              </w:rPr>
            </w:pPr>
            <w:r w:rsidRPr="001715D3">
              <w:rPr>
                <w:rFonts w:ascii="Arial" w:hAnsi="Arial" w:cs="Arial"/>
                <w:sz w:val="18"/>
                <w:szCs w:val="18"/>
                <w:lang w:val="en-GB" w:eastAsia="en-SG"/>
              </w:rPr>
              <w:t>5,480.10</w:t>
            </w:r>
          </w:p>
        </w:tc>
      </w:tr>
      <w:tr w:rsidR="002C3A1A" w:rsidRPr="001715D3" w14:paraId="34CFB2D6" w14:textId="77777777" w:rsidTr="002C3A1A">
        <w:trPr>
          <w:trHeight w:val="329"/>
          <w:jc w:val="center"/>
        </w:trPr>
        <w:tc>
          <w:tcPr>
            <w:tcW w:w="2552" w:type="dxa"/>
            <w:tcBorders>
              <w:top w:val="nil"/>
              <w:left w:val="single" w:sz="4" w:space="0" w:color="auto"/>
              <w:bottom w:val="nil"/>
              <w:right w:val="nil"/>
            </w:tcBorders>
            <w:shd w:val="clear" w:color="auto" w:fill="auto"/>
            <w:noWrap/>
            <w:vAlign w:val="bottom"/>
          </w:tcPr>
          <w:p w14:paraId="57EF91BC" w14:textId="77777777" w:rsidR="0030695B" w:rsidRPr="001715D3" w:rsidRDefault="0030695B" w:rsidP="002C3A1A">
            <w:pPr>
              <w:rPr>
                <w:rFonts w:ascii="Arial" w:hAnsi="Arial" w:cs="Arial"/>
                <w:b/>
                <w:bCs/>
                <w:sz w:val="18"/>
                <w:szCs w:val="18"/>
                <w:lang w:val="en-GB" w:eastAsia="en-SG"/>
              </w:rPr>
            </w:pPr>
            <w:r w:rsidRPr="001715D3">
              <w:rPr>
                <w:rFonts w:ascii="Arial" w:hAnsi="Arial" w:cs="Arial"/>
                <w:b/>
                <w:bCs/>
                <w:sz w:val="18"/>
                <w:szCs w:val="18"/>
                <w:lang w:val="en-GB" w:eastAsia="en-SG"/>
              </w:rPr>
              <w:t xml:space="preserve">Exchange Rate in US$ (as of January 5, 2016) </w:t>
            </w:r>
          </w:p>
        </w:tc>
        <w:tc>
          <w:tcPr>
            <w:tcW w:w="1291" w:type="dxa"/>
            <w:tcBorders>
              <w:top w:val="nil"/>
              <w:left w:val="single" w:sz="4" w:space="0" w:color="auto"/>
              <w:bottom w:val="nil"/>
              <w:right w:val="nil"/>
            </w:tcBorders>
            <w:shd w:val="clear" w:color="auto" w:fill="auto"/>
            <w:noWrap/>
            <w:vAlign w:val="bottom"/>
          </w:tcPr>
          <w:p w14:paraId="1CB6AB32" w14:textId="77777777" w:rsidR="0030695B" w:rsidRPr="001715D3" w:rsidRDefault="0030695B" w:rsidP="002C3A1A">
            <w:pPr>
              <w:jc w:val="right"/>
              <w:rPr>
                <w:rFonts w:ascii="Arial" w:hAnsi="Arial" w:cs="Arial"/>
                <w:sz w:val="18"/>
                <w:szCs w:val="18"/>
                <w:lang w:val="en-GB" w:eastAsia="en-SG"/>
              </w:rPr>
            </w:pPr>
            <w:r w:rsidRPr="001715D3">
              <w:rPr>
                <w:rFonts w:ascii="Arial" w:hAnsi="Arial" w:cs="Arial"/>
                <w:sz w:val="18"/>
                <w:szCs w:val="18"/>
                <w:lang w:val="en-GB" w:eastAsia="en-SG"/>
              </w:rPr>
              <w:t>1.4262</w:t>
            </w:r>
          </w:p>
        </w:tc>
        <w:tc>
          <w:tcPr>
            <w:tcW w:w="1291" w:type="dxa"/>
            <w:tcBorders>
              <w:top w:val="nil"/>
              <w:left w:val="nil"/>
              <w:bottom w:val="nil"/>
              <w:right w:val="nil"/>
            </w:tcBorders>
            <w:shd w:val="clear" w:color="auto" w:fill="auto"/>
            <w:vAlign w:val="bottom"/>
          </w:tcPr>
          <w:p w14:paraId="26D26519" w14:textId="77777777" w:rsidR="0030695B" w:rsidRPr="001715D3" w:rsidRDefault="0030695B" w:rsidP="002C3A1A">
            <w:pPr>
              <w:jc w:val="right"/>
              <w:rPr>
                <w:rFonts w:ascii="Arial" w:hAnsi="Arial" w:cs="Arial"/>
                <w:sz w:val="18"/>
                <w:szCs w:val="18"/>
                <w:lang w:val="en-GB" w:eastAsia="en-SG"/>
              </w:rPr>
            </w:pPr>
            <w:r w:rsidRPr="001715D3">
              <w:rPr>
                <w:rFonts w:ascii="Arial" w:hAnsi="Arial" w:cs="Arial"/>
                <w:sz w:val="18"/>
                <w:szCs w:val="18"/>
                <w:lang w:val="en-GB" w:eastAsia="en-SG"/>
              </w:rPr>
              <w:t>6.9382</w:t>
            </w:r>
          </w:p>
        </w:tc>
        <w:tc>
          <w:tcPr>
            <w:tcW w:w="1292" w:type="dxa"/>
            <w:tcBorders>
              <w:top w:val="nil"/>
              <w:left w:val="nil"/>
              <w:bottom w:val="nil"/>
              <w:right w:val="nil"/>
            </w:tcBorders>
            <w:shd w:val="clear" w:color="auto" w:fill="auto"/>
            <w:vAlign w:val="bottom"/>
          </w:tcPr>
          <w:p w14:paraId="707D31F1" w14:textId="77777777" w:rsidR="0030695B" w:rsidRPr="001715D3" w:rsidRDefault="0030695B" w:rsidP="002C3A1A">
            <w:pPr>
              <w:jc w:val="right"/>
              <w:rPr>
                <w:rFonts w:ascii="Arial" w:hAnsi="Arial" w:cs="Arial"/>
                <w:sz w:val="18"/>
                <w:szCs w:val="18"/>
                <w:lang w:val="en-GB" w:eastAsia="en-SG"/>
              </w:rPr>
            </w:pPr>
            <w:r w:rsidRPr="001715D3">
              <w:rPr>
                <w:rFonts w:ascii="Arial" w:hAnsi="Arial" w:cs="Arial"/>
                <w:sz w:val="18"/>
                <w:szCs w:val="18"/>
                <w:lang w:val="en-GB" w:eastAsia="en-SG"/>
              </w:rPr>
              <w:t>33.1630</w:t>
            </w:r>
          </w:p>
        </w:tc>
        <w:tc>
          <w:tcPr>
            <w:tcW w:w="1291" w:type="dxa"/>
            <w:tcBorders>
              <w:top w:val="nil"/>
              <w:left w:val="nil"/>
              <w:bottom w:val="nil"/>
              <w:right w:val="nil"/>
            </w:tcBorders>
            <w:shd w:val="clear" w:color="auto" w:fill="auto"/>
            <w:noWrap/>
            <w:vAlign w:val="bottom"/>
          </w:tcPr>
          <w:p w14:paraId="0DF1DDCB" w14:textId="77777777" w:rsidR="0030695B" w:rsidRPr="001715D3" w:rsidRDefault="0030695B" w:rsidP="002C3A1A">
            <w:pPr>
              <w:jc w:val="right"/>
              <w:rPr>
                <w:rFonts w:ascii="Arial" w:hAnsi="Arial" w:cs="Arial"/>
                <w:sz w:val="18"/>
                <w:szCs w:val="18"/>
                <w:lang w:val="en-GB" w:eastAsia="en-SG"/>
              </w:rPr>
            </w:pPr>
            <w:r w:rsidRPr="001715D3">
              <w:rPr>
                <w:rFonts w:ascii="Arial" w:hAnsi="Arial" w:cs="Arial"/>
                <w:sz w:val="18"/>
                <w:szCs w:val="18"/>
                <w:lang w:val="en-GB" w:eastAsia="en-SG"/>
              </w:rPr>
              <w:t>1191.33</w:t>
            </w:r>
          </w:p>
        </w:tc>
        <w:tc>
          <w:tcPr>
            <w:tcW w:w="1292" w:type="dxa"/>
            <w:tcBorders>
              <w:top w:val="nil"/>
              <w:left w:val="nil"/>
              <w:bottom w:val="nil"/>
              <w:right w:val="nil"/>
            </w:tcBorders>
            <w:shd w:val="clear" w:color="auto" w:fill="auto"/>
            <w:noWrap/>
            <w:vAlign w:val="bottom"/>
          </w:tcPr>
          <w:p w14:paraId="12D67650" w14:textId="77777777" w:rsidR="0030695B" w:rsidRPr="001715D3" w:rsidRDefault="0030695B" w:rsidP="002C3A1A">
            <w:pPr>
              <w:jc w:val="right"/>
              <w:rPr>
                <w:rFonts w:ascii="Arial" w:hAnsi="Arial" w:cs="Arial"/>
                <w:sz w:val="18"/>
                <w:szCs w:val="18"/>
                <w:lang w:val="en-GB" w:eastAsia="en-SG"/>
              </w:rPr>
            </w:pPr>
            <w:r w:rsidRPr="001715D3">
              <w:rPr>
                <w:rFonts w:ascii="Arial" w:hAnsi="Arial" w:cs="Arial"/>
                <w:sz w:val="18"/>
                <w:szCs w:val="18"/>
                <w:lang w:val="en-GB" w:eastAsia="en-SG"/>
              </w:rPr>
              <w:t>33.1630</w:t>
            </w:r>
          </w:p>
        </w:tc>
        <w:tc>
          <w:tcPr>
            <w:tcW w:w="1291" w:type="dxa"/>
            <w:tcBorders>
              <w:top w:val="nil"/>
              <w:left w:val="nil"/>
              <w:bottom w:val="nil"/>
              <w:right w:val="nil"/>
            </w:tcBorders>
            <w:shd w:val="clear" w:color="auto" w:fill="auto"/>
            <w:noWrap/>
            <w:vAlign w:val="bottom"/>
          </w:tcPr>
          <w:p w14:paraId="48858C11" w14:textId="77777777" w:rsidR="0030695B" w:rsidRPr="001715D3" w:rsidRDefault="0030695B" w:rsidP="002C3A1A">
            <w:pPr>
              <w:jc w:val="right"/>
              <w:rPr>
                <w:rFonts w:ascii="Arial" w:hAnsi="Arial" w:cs="Arial"/>
                <w:sz w:val="18"/>
                <w:szCs w:val="18"/>
                <w:lang w:val="en-GB" w:eastAsia="en-SG"/>
              </w:rPr>
            </w:pPr>
            <w:r w:rsidRPr="001715D3">
              <w:rPr>
                <w:rFonts w:ascii="Arial" w:hAnsi="Arial" w:cs="Arial"/>
                <w:sz w:val="18"/>
                <w:szCs w:val="18"/>
                <w:lang w:val="en-GB" w:eastAsia="en-SG"/>
              </w:rPr>
              <w:t>7.7523</w:t>
            </w:r>
          </w:p>
        </w:tc>
        <w:tc>
          <w:tcPr>
            <w:tcW w:w="1292" w:type="dxa"/>
            <w:tcBorders>
              <w:top w:val="nil"/>
              <w:left w:val="nil"/>
              <w:bottom w:val="nil"/>
              <w:right w:val="single" w:sz="4" w:space="0" w:color="auto"/>
            </w:tcBorders>
            <w:shd w:val="clear" w:color="auto" w:fill="auto"/>
            <w:noWrap/>
            <w:vAlign w:val="bottom"/>
          </w:tcPr>
          <w:p w14:paraId="465B3A13" w14:textId="77777777" w:rsidR="0030695B" w:rsidRPr="001715D3" w:rsidRDefault="0030695B" w:rsidP="002C3A1A">
            <w:pPr>
              <w:jc w:val="right"/>
              <w:rPr>
                <w:rFonts w:ascii="Arial" w:hAnsi="Arial" w:cs="Arial"/>
                <w:sz w:val="18"/>
                <w:szCs w:val="18"/>
                <w:lang w:val="en-GB" w:eastAsia="en-SG"/>
              </w:rPr>
            </w:pPr>
            <w:r w:rsidRPr="001715D3">
              <w:rPr>
                <w:rFonts w:ascii="Arial" w:hAnsi="Arial" w:cs="Arial"/>
                <w:sz w:val="18"/>
                <w:szCs w:val="18"/>
                <w:lang w:val="en-GB" w:eastAsia="en-SG"/>
              </w:rPr>
              <w:t>-</w:t>
            </w:r>
          </w:p>
        </w:tc>
      </w:tr>
      <w:tr w:rsidR="002C3A1A" w:rsidRPr="001715D3" w14:paraId="2E24A008" w14:textId="77777777" w:rsidTr="002C3A1A">
        <w:trPr>
          <w:trHeight w:val="329"/>
          <w:jc w:val="center"/>
        </w:trPr>
        <w:tc>
          <w:tcPr>
            <w:tcW w:w="2552" w:type="dxa"/>
            <w:tcBorders>
              <w:top w:val="nil"/>
              <w:left w:val="single" w:sz="4" w:space="0" w:color="auto"/>
              <w:bottom w:val="single" w:sz="4" w:space="0" w:color="auto"/>
              <w:right w:val="nil"/>
            </w:tcBorders>
            <w:shd w:val="clear" w:color="auto" w:fill="auto"/>
            <w:noWrap/>
            <w:vAlign w:val="bottom"/>
          </w:tcPr>
          <w:p w14:paraId="1F0C7D9B" w14:textId="77777777" w:rsidR="0030695B" w:rsidRPr="001715D3" w:rsidRDefault="0030695B" w:rsidP="002C3A1A">
            <w:pPr>
              <w:rPr>
                <w:rFonts w:ascii="Arial" w:hAnsi="Arial" w:cs="Arial"/>
                <w:b/>
                <w:bCs/>
                <w:sz w:val="18"/>
                <w:szCs w:val="18"/>
                <w:lang w:val="en-GB" w:eastAsia="en-SG"/>
              </w:rPr>
            </w:pPr>
            <w:r w:rsidRPr="001715D3">
              <w:rPr>
                <w:rFonts w:ascii="Arial" w:hAnsi="Arial" w:cs="Arial"/>
                <w:b/>
                <w:bCs/>
                <w:sz w:val="18"/>
                <w:szCs w:val="18"/>
                <w:lang w:val="en-GB" w:eastAsia="en-SG"/>
              </w:rPr>
              <w:t>Indicative Stock Price in US$ (share price divided by exchange rate)</w:t>
            </w:r>
          </w:p>
        </w:tc>
        <w:tc>
          <w:tcPr>
            <w:tcW w:w="1291" w:type="dxa"/>
            <w:tcBorders>
              <w:top w:val="nil"/>
              <w:left w:val="single" w:sz="4" w:space="0" w:color="auto"/>
              <w:bottom w:val="single" w:sz="4" w:space="0" w:color="auto"/>
              <w:right w:val="nil"/>
            </w:tcBorders>
            <w:shd w:val="clear" w:color="auto" w:fill="auto"/>
            <w:noWrap/>
            <w:vAlign w:val="bottom"/>
          </w:tcPr>
          <w:p w14:paraId="3D3B702F" w14:textId="77777777" w:rsidR="0030695B" w:rsidRPr="00F232B7" w:rsidRDefault="0030695B" w:rsidP="00F232B7">
            <w:pPr>
              <w:pStyle w:val="ExhibitText"/>
              <w:jc w:val="right"/>
              <w:rPr>
                <w:sz w:val="18"/>
                <w:szCs w:val="18"/>
                <w:lang w:val="en-GB" w:eastAsia="en-SG"/>
              </w:rPr>
            </w:pPr>
            <w:r w:rsidRPr="00F232B7">
              <w:rPr>
                <w:sz w:val="18"/>
                <w:lang w:val="en-GB"/>
              </w:rPr>
              <w:t>0.8624</w:t>
            </w:r>
          </w:p>
        </w:tc>
        <w:tc>
          <w:tcPr>
            <w:tcW w:w="1291" w:type="dxa"/>
            <w:tcBorders>
              <w:top w:val="nil"/>
              <w:left w:val="nil"/>
              <w:bottom w:val="single" w:sz="4" w:space="0" w:color="auto"/>
              <w:right w:val="nil"/>
            </w:tcBorders>
            <w:shd w:val="clear" w:color="auto" w:fill="auto"/>
            <w:vAlign w:val="bottom"/>
          </w:tcPr>
          <w:p w14:paraId="2C4BA2DA" w14:textId="77777777" w:rsidR="0030695B" w:rsidRPr="00F232B7" w:rsidRDefault="0030695B" w:rsidP="00F232B7">
            <w:pPr>
              <w:pStyle w:val="ExhibitText"/>
              <w:jc w:val="right"/>
              <w:rPr>
                <w:sz w:val="18"/>
                <w:szCs w:val="18"/>
                <w:lang w:val="en-GB" w:eastAsia="en-SG"/>
              </w:rPr>
            </w:pPr>
            <w:r w:rsidRPr="00F232B7">
              <w:rPr>
                <w:sz w:val="18"/>
                <w:lang w:val="en-GB"/>
              </w:rPr>
              <w:t>1288.5186</w:t>
            </w:r>
          </w:p>
        </w:tc>
        <w:tc>
          <w:tcPr>
            <w:tcW w:w="1292" w:type="dxa"/>
            <w:tcBorders>
              <w:top w:val="nil"/>
              <w:left w:val="nil"/>
              <w:bottom w:val="single" w:sz="4" w:space="0" w:color="auto"/>
              <w:right w:val="nil"/>
            </w:tcBorders>
            <w:shd w:val="clear" w:color="auto" w:fill="auto"/>
            <w:vAlign w:val="bottom"/>
          </w:tcPr>
          <w:p w14:paraId="6CB34E9F" w14:textId="77777777" w:rsidR="0030695B" w:rsidRPr="00F232B7" w:rsidRDefault="0030695B" w:rsidP="00F232B7">
            <w:pPr>
              <w:pStyle w:val="ExhibitText"/>
              <w:jc w:val="right"/>
              <w:rPr>
                <w:sz w:val="18"/>
                <w:szCs w:val="18"/>
                <w:lang w:val="en-GB" w:eastAsia="en-SG"/>
              </w:rPr>
            </w:pPr>
            <w:r w:rsidRPr="00F232B7">
              <w:rPr>
                <w:sz w:val="18"/>
                <w:lang w:val="en-GB"/>
              </w:rPr>
              <w:t>0.3814</w:t>
            </w:r>
          </w:p>
        </w:tc>
        <w:tc>
          <w:tcPr>
            <w:tcW w:w="1291" w:type="dxa"/>
            <w:tcBorders>
              <w:top w:val="nil"/>
              <w:left w:val="nil"/>
              <w:bottom w:val="single" w:sz="4" w:space="0" w:color="auto"/>
              <w:right w:val="nil"/>
            </w:tcBorders>
            <w:shd w:val="clear" w:color="auto" w:fill="auto"/>
            <w:noWrap/>
            <w:vAlign w:val="bottom"/>
          </w:tcPr>
          <w:p w14:paraId="35DC2A44" w14:textId="77777777" w:rsidR="0030695B" w:rsidRPr="00F232B7" w:rsidRDefault="0030695B" w:rsidP="00F232B7">
            <w:pPr>
              <w:pStyle w:val="ExhibitText"/>
              <w:jc w:val="right"/>
              <w:rPr>
                <w:sz w:val="18"/>
                <w:szCs w:val="18"/>
                <w:lang w:val="en-GB" w:eastAsia="en-SG"/>
              </w:rPr>
            </w:pPr>
            <w:r w:rsidRPr="00F232B7">
              <w:rPr>
                <w:sz w:val="18"/>
                <w:lang w:val="en-GB"/>
              </w:rPr>
              <w:t>2.9085</w:t>
            </w:r>
          </w:p>
        </w:tc>
        <w:tc>
          <w:tcPr>
            <w:tcW w:w="1292" w:type="dxa"/>
            <w:tcBorders>
              <w:top w:val="nil"/>
              <w:left w:val="nil"/>
              <w:bottom w:val="single" w:sz="4" w:space="0" w:color="auto"/>
              <w:right w:val="nil"/>
            </w:tcBorders>
            <w:shd w:val="clear" w:color="auto" w:fill="auto"/>
            <w:noWrap/>
            <w:vAlign w:val="bottom"/>
          </w:tcPr>
          <w:p w14:paraId="5A4E39F5" w14:textId="77777777" w:rsidR="0030695B" w:rsidRPr="00F232B7" w:rsidRDefault="0030695B" w:rsidP="00F232B7">
            <w:pPr>
              <w:pStyle w:val="ExhibitText"/>
              <w:jc w:val="right"/>
              <w:rPr>
                <w:sz w:val="18"/>
                <w:szCs w:val="18"/>
                <w:lang w:val="en-GB" w:eastAsia="en-SG"/>
              </w:rPr>
            </w:pPr>
            <w:r w:rsidRPr="00F232B7">
              <w:rPr>
                <w:sz w:val="18"/>
                <w:lang w:val="en-GB"/>
              </w:rPr>
              <w:t>0.2488</w:t>
            </w:r>
          </w:p>
        </w:tc>
        <w:tc>
          <w:tcPr>
            <w:tcW w:w="1291" w:type="dxa"/>
            <w:tcBorders>
              <w:top w:val="nil"/>
              <w:left w:val="nil"/>
              <w:bottom w:val="single" w:sz="4" w:space="0" w:color="auto"/>
              <w:right w:val="nil"/>
            </w:tcBorders>
            <w:shd w:val="clear" w:color="auto" w:fill="auto"/>
            <w:noWrap/>
            <w:vAlign w:val="bottom"/>
          </w:tcPr>
          <w:p w14:paraId="0612623F" w14:textId="77777777" w:rsidR="0030695B" w:rsidRPr="00F232B7" w:rsidRDefault="0030695B" w:rsidP="00F232B7">
            <w:pPr>
              <w:pStyle w:val="ExhibitText"/>
              <w:jc w:val="right"/>
              <w:rPr>
                <w:sz w:val="18"/>
                <w:szCs w:val="18"/>
                <w:lang w:val="en-GB" w:eastAsia="en-SG"/>
              </w:rPr>
            </w:pPr>
            <w:r w:rsidRPr="00F232B7">
              <w:rPr>
                <w:sz w:val="18"/>
                <w:lang w:val="en-GB"/>
              </w:rPr>
              <w:t>0.1303</w:t>
            </w:r>
          </w:p>
        </w:tc>
        <w:tc>
          <w:tcPr>
            <w:tcW w:w="1292" w:type="dxa"/>
            <w:tcBorders>
              <w:top w:val="nil"/>
              <w:left w:val="nil"/>
              <w:bottom w:val="single" w:sz="4" w:space="0" w:color="auto"/>
              <w:right w:val="single" w:sz="4" w:space="0" w:color="auto"/>
            </w:tcBorders>
            <w:shd w:val="clear" w:color="auto" w:fill="auto"/>
            <w:noWrap/>
            <w:vAlign w:val="bottom"/>
          </w:tcPr>
          <w:p w14:paraId="0A4FB021" w14:textId="77777777" w:rsidR="0030695B" w:rsidRPr="00F232B7" w:rsidRDefault="0030695B" w:rsidP="00F232B7">
            <w:pPr>
              <w:pStyle w:val="ExhibitText"/>
              <w:jc w:val="right"/>
              <w:rPr>
                <w:sz w:val="18"/>
                <w:szCs w:val="18"/>
                <w:lang w:val="en-GB" w:eastAsia="en-SG"/>
              </w:rPr>
            </w:pPr>
            <w:r w:rsidRPr="00F232B7">
              <w:rPr>
                <w:sz w:val="18"/>
                <w:szCs w:val="18"/>
                <w:lang w:val="en-GB" w:eastAsia="en-SG"/>
              </w:rPr>
              <w:t>-</w:t>
            </w:r>
          </w:p>
        </w:tc>
      </w:tr>
    </w:tbl>
    <w:p w14:paraId="2E989714" w14:textId="11DFF725" w:rsidR="00202DAD" w:rsidRPr="001715D3" w:rsidRDefault="00202DAD" w:rsidP="00202DAD">
      <w:pPr>
        <w:pStyle w:val="Footnote"/>
        <w:rPr>
          <w:lang w:val="en-GB"/>
        </w:rPr>
      </w:pPr>
    </w:p>
    <w:p w14:paraId="0621397D" w14:textId="1C031F49" w:rsidR="00202DAD" w:rsidRPr="001715D3" w:rsidRDefault="00FF1584" w:rsidP="00202DAD">
      <w:pPr>
        <w:pStyle w:val="Footnote"/>
        <w:rPr>
          <w:i/>
          <w:lang w:val="en-GB"/>
        </w:rPr>
      </w:pPr>
      <w:r w:rsidRPr="001715D3">
        <w:rPr>
          <w:lang w:val="en-GB"/>
        </w:rPr>
        <w:t xml:space="preserve">Note: </w:t>
      </w:r>
      <w:r w:rsidR="00202DAD" w:rsidRPr="001715D3">
        <w:rPr>
          <w:lang w:val="en-GB"/>
        </w:rPr>
        <w:t>All balance sheet,</w:t>
      </w:r>
      <w:r w:rsidR="005867BE" w:rsidRPr="001715D3">
        <w:rPr>
          <w:lang w:val="en-GB"/>
        </w:rPr>
        <w:t xml:space="preserve"> income statement</w:t>
      </w:r>
      <w:r w:rsidR="008E405E" w:rsidRPr="001715D3">
        <w:rPr>
          <w:lang w:val="en-GB"/>
        </w:rPr>
        <w:t>,</w:t>
      </w:r>
      <w:r w:rsidR="005867BE" w:rsidRPr="001715D3">
        <w:rPr>
          <w:lang w:val="en-GB"/>
        </w:rPr>
        <w:t xml:space="preserve"> and EPS data</w:t>
      </w:r>
      <w:r w:rsidR="00202DAD" w:rsidRPr="001715D3">
        <w:rPr>
          <w:lang w:val="en-GB"/>
        </w:rPr>
        <w:t xml:space="preserve"> in </w:t>
      </w:r>
      <w:r w:rsidR="008E405E" w:rsidRPr="001715D3">
        <w:rPr>
          <w:lang w:val="en-GB"/>
        </w:rPr>
        <w:t xml:space="preserve">US$ </w:t>
      </w:r>
      <w:r w:rsidR="00F41333" w:rsidRPr="001715D3">
        <w:rPr>
          <w:lang w:val="en-GB"/>
        </w:rPr>
        <w:t>millions</w:t>
      </w:r>
      <w:r w:rsidR="00202DAD" w:rsidRPr="001715D3">
        <w:rPr>
          <w:lang w:val="en-GB"/>
        </w:rPr>
        <w:t>,</w:t>
      </w:r>
      <w:r w:rsidR="008E405E" w:rsidRPr="001715D3">
        <w:rPr>
          <w:lang w:val="en-GB"/>
        </w:rPr>
        <w:t xml:space="preserve"> but</w:t>
      </w:r>
      <w:r w:rsidR="00202DAD" w:rsidRPr="001715D3">
        <w:rPr>
          <w:lang w:val="en-GB"/>
        </w:rPr>
        <w:t xml:space="preserve"> share prices are quoted in </w:t>
      </w:r>
      <w:r w:rsidRPr="001715D3">
        <w:rPr>
          <w:lang w:val="en-GB"/>
        </w:rPr>
        <w:t xml:space="preserve">local </w:t>
      </w:r>
      <w:r w:rsidR="00CD01C5" w:rsidRPr="001715D3">
        <w:rPr>
          <w:lang w:val="en-GB"/>
        </w:rPr>
        <w:t>currencies</w:t>
      </w:r>
      <w:r w:rsidRPr="001715D3">
        <w:rPr>
          <w:lang w:val="en-GB"/>
        </w:rPr>
        <w:t xml:space="preserve">; </w:t>
      </w:r>
      <w:r w:rsidR="00202DAD" w:rsidRPr="001715D3">
        <w:rPr>
          <w:lang w:val="en-GB"/>
        </w:rPr>
        <w:t>*</w:t>
      </w:r>
      <w:r w:rsidR="00AF436D" w:rsidRPr="001715D3">
        <w:rPr>
          <w:lang w:val="en-GB"/>
        </w:rPr>
        <w:t xml:space="preserve">Adjusted closing </w:t>
      </w:r>
      <w:r w:rsidR="00202DAD" w:rsidRPr="001715D3">
        <w:rPr>
          <w:lang w:val="en-GB"/>
        </w:rPr>
        <w:t xml:space="preserve">share price </w:t>
      </w:r>
      <w:r w:rsidR="00A93CF7" w:rsidRPr="001715D3">
        <w:rPr>
          <w:lang w:val="en-GB"/>
        </w:rPr>
        <w:t xml:space="preserve">on January 5, 2016 </w:t>
      </w:r>
      <w:r w:rsidR="00202DAD" w:rsidRPr="001715D3">
        <w:rPr>
          <w:lang w:val="en-GB"/>
        </w:rPr>
        <w:t>quoted in exchange currency</w:t>
      </w:r>
      <w:r w:rsidRPr="001715D3">
        <w:rPr>
          <w:lang w:val="en-GB"/>
        </w:rPr>
        <w:t xml:space="preserve">; </w:t>
      </w:r>
      <w:r w:rsidR="00202DAD" w:rsidRPr="001715D3">
        <w:rPr>
          <w:lang w:val="en-GB"/>
        </w:rPr>
        <w:t xml:space="preserve">**Sales growth percentage versus same quarter </w:t>
      </w:r>
      <w:r w:rsidR="008E405E" w:rsidRPr="001715D3">
        <w:rPr>
          <w:lang w:val="en-GB"/>
        </w:rPr>
        <w:t xml:space="preserve">of </w:t>
      </w:r>
      <w:r w:rsidR="00202DAD" w:rsidRPr="001715D3">
        <w:rPr>
          <w:lang w:val="en-GB"/>
        </w:rPr>
        <w:t>the previous year</w:t>
      </w:r>
      <w:r w:rsidRPr="001715D3">
        <w:rPr>
          <w:lang w:val="en-GB"/>
        </w:rPr>
        <w:t xml:space="preserve">; </w:t>
      </w:r>
      <w:r w:rsidR="00202DAD" w:rsidRPr="001715D3">
        <w:rPr>
          <w:lang w:val="en-GB"/>
        </w:rPr>
        <w:t>***</w:t>
      </w:r>
      <w:proofErr w:type="spellStart"/>
      <w:r w:rsidR="00202DAD" w:rsidRPr="001715D3">
        <w:rPr>
          <w:lang w:val="en-GB"/>
        </w:rPr>
        <w:t>ttm</w:t>
      </w:r>
      <w:proofErr w:type="spellEnd"/>
      <w:r w:rsidR="00CD01C5" w:rsidRPr="001715D3">
        <w:rPr>
          <w:lang w:val="en-GB"/>
        </w:rPr>
        <w:t xml:space="preserve"> </w:t>
      </w:r>
      <w:r w:rsidR="00202DAD" w:rsidRPr="001715D3">
        <w:rPr>
          <w:lang w:val="en-GB"/>
        </w:rPr>
        <w:t>=</w:t>
      </w:r>
      <w:r w:rsidR="00CD01C5" w:rsidRPr="001715D3">
        <w:rPr>
          <w:lang w:val="en-GB"/>
        </w:rPr>
        <w:t xml:space="preserve"> </w:t>
      </w:r>
      <w:r w:rsidR="00202DAD" w:rsidRPr="001715D3">
        <w:rPr>
          <w:lang w:val="en-GB"/>
        </w:rPr>
        <w:t>trailing 12 month</w:t>
      </w:r>
      <w:r w:rsidRPr="001715D3">
        <w:rPr>
          <w:lang w:val="en-GB"/>
        </w:rPr>
        <w:t xml:space="preserve">; </w:t>
      </w:r>
      <w:r w:rsidR="00202DAD" w:rsidRPr="001715D3">
        <w:rPr>
          <w:lang w:val="en-GB"/>
        </w:rPr>
        <w:t>****</w:t>
      </w:r>
      <w:proofErr w:type="spellStart"/>
      <w:r w:rsidR="00202DAD" w:rsidRPr="001715D3">
        <w:rPr>
          <w:lang w:val="en-GB"/>
        </w:rPr>
        <w:t>mrq</w:t>
      </w:r>
      <w:proofErr w:type="spellEnd"/>
      <w:r w:rsidR="00CD01C5" w:rsidRPr="001715D3">
        <w:rPr>
          <w:lang w:val="en-GB"/>
        </w:rPr>
        <w:t xml:space="preserve"> </w:t>
      </w:r>
      <w:r w:rsidR="00202DAD" w:rsidRPr="001715D3">
        <w:rPr>
          <w:lang w:val="en-GB"/>
        </w:rPr>
        <w:t>=</w:t>
      </w:r>
      <w:r w:rsidR="00CD01C5" w:rsidRPr="001715D3">
        <w:rPr>
          <w:lang w:val="en-GB"/>
        </w:rPr>
        <w:t xml:space="preserve"> </w:t>
      </w:r>
      <w:r w:rsidR="00202DAD" w:rsidRPr="001715D3">
        <w:rPr>
          <w:lang w:val="en-GB"/>
        </w:rPr>
        <w:t>most recent quarter</w:t>
      </w:r>
    </w:p>
    <w:p w14:paraId="033E229B" w14:textId="1A91E1C8" w:rsidR="0030695B" w:rsidRPr="001715D3" w:rsidRDefault="00012139" w:rsidP="0030695B">
      <w:pPr>
        <w:pStyle w:val="Footnote"/>
        <w:rPr>
          <w:i/>
          <w:lang w:val="en-GB"/>
        </w:rPr>
      </w:pPr>
      <w:r w:rsidRPr="001715D3">
        <w:rPr>
          <w:lang w:val="en-GB"/>
        </w:rPr>
        <w:t xml:space="preserve">Source: </w:t>
      </w:r>
      <w:r w:rsidR="00A93CF7" w:rsidRPr="001715D3">
        <w:rPr>
          <w:lang w:val="en-GB"/>
        </w:rPr>
        <w:t>Bloomberg</w:t>
      </w:r>
      <w:r w:rsidR="00C73574" w:rsidRPr="001715D3">
        <w:rPr>
          <w:lang w:val="en-GB"/>
        </w:rPr>
        <w:t xml:space="preserve"> L.P.</w:t>
      </w:r>
      <w:r w:rsidR="00A93CF7" w:rsidRPr="001715D3">
        <w:rPr>
          <w:lang w:val="en-GB"/>
        </w:rPr>
        <w:t xml:space="preserve">, </w:t>
      </w:r>
      <w:r w:rsidRPr="001715D3">
        <w:rPr>
          <w:lang w:val="en-GB"/>
        </w:rPr>
        <w:t xml:space="preserve">accessed </w:t>
      </w:r>
      <w:r w:rsidR="00A93CF7" w:rsidRPr="001715D3">
        <w:rPr>
          <w:lang w:val="en-GB"/>
        </w:rPr>
        <w:t>January 5</w:t>
      </w:r>
      <w:r w:rsidR="003B2975" w:rsidRPr="001715D3">
        <w:rPr>
          <w:lang w:val="en-GB"/>
        </w:rPr>
        <w:t>, 2016.</w:t>
      </w:r>
      <w:r w:rsidR="0030695B" w:rsidRPr="001715D3">
        <w:rPr>
          <w:lang w:val="en-GB"/>
        </w:rPr>
        <w:t xml:space="preserve"> The exchange rates are taken from</w:t>
      </w:r>
      <w:r w:rsidR="00CD01C5" w:rsidRPr="001715D3">
        <w:rPr>
          <w:lang w:val="en-GB"/>
        </w:rPr>
        <w:t xml:space="preserve"> the Exchange-Rates.org website</w:t>
      </w:r>
      <w:r w:rsidR="0030695B" w:rsidRPr="001715D3">
        <w:rPr>
          <w:lang w:val="en-GB"/>
        </w:rPr>
        <w:t>, accessed January 5, 2016</w:t>
      </w:r>
      <w:r w:rsidR="0000700E">
        <w:rPr>
          <w:lang w:val="en-GB"/>
        </w:rPr>
        <w:t xml:space="preserve">, </w:t>
      </w:r>
      <w:r w:rsidR="00CD01C5" w:rsidRPr="001715D3">
        <w:rPr>
          <w:lang w:val="en-GB"/>
        </w:rPr>
        <w:t>www.exchange-rates.org</w:t>
      </w:r>
      <w:r w:rsidR="0030695B" w:rsidRPr="001715D3">
        <w:rPr>
          <w:lang w:val="en-GB"/>
        </w:rPr>
        <w:t>.</w:t>
      </w:r>
    </w:p>
    <w:p w14:paraId="6DD88B26" w14:textId="28DB61A8" w:rsidR="003B2975" w:rsidRPr="001715D3" w:rsidRDefault="003B2975" w:rsidP="00202DAD">
      <w:pPr>
        <w:pStyle w:val="Footnote"/>
        <w:rPr>
          <w:i/>
          <w:lang w:val="en-GB"/>
        </w:rPr>
      </w:pPr>
    </w:p>
    <w:p w14:paraId="7E051182" w14:textId="52F4E968" w:rsidR="00202DAD" w:rsidRPr="001715D3" w:rsidRDefault="00202DAD" w:rsidP="00A4225B">
      <w:pPr>
        <w:spacing w:after="200" w:line="276" w:lineRule="auto"/>
        <w:rPr>
          <w:rFonts w:ascii="Arial" w:hAnsi="Arial" w:cs="Arial"/>
          <w:i/>
          <w:sz w:val="17"/>
          <w:szCs w:val="17"/>
          <w:lang w:val="en-GB"/>
        </w:rPr>
        <w:sectPr w:rsidR="00202DAD" w:rsidRPr="001715D3" w:rsidSect="00202DAD">
          <w:headerReference w:type="default" r:id="rId13"/>
          <w:endnotePr>
            <w:numFmt w:val="decimal"/>
          </w:endnotePr>
          <w:pgSz w:w="15840" w:h="12240" w:orient="landscape" w:code="1"/>
          <w:pgMar w:top="1440" w:right="1077" w:bottom="1440" w:left="1440" w:header="1077" w:footer="720" w:gutter="0"/>
          <w:cols w:space="720"/>
          <w:docGrid w:linePitch="360"/>
        </w:sectPr>
      </w:pPr>
      <w:r w:rsidRPr="001715D3">
        <w:rPr>
          <w:lang w:val="en-GB"/>
        </w:rPr>
        <w:br w:type="page"/>
      </w:r>
    </w:p>
    <w:p w14:paraId="23CE6626" w14:textId="0DC5E37E" w:rsidR="00E36A01" w:rsidRPr="001715D3" w:rsidRDefault="00E36A01" w:rsidP="007E0371">
      <w:pPr>
        <w:pStyle w:val="Footnote"/>
        <w:jc w:val="center"/>
        <w:outlineLvl w:val="0"/>
        <w:rPr>
          <w:b/>
          <w:i/>
          <w:caps/>
          <w:sz w:val="20"/>
          <w:szCs w:val="20"/>
          <w:lang w:val="en-GB"/>
        </w:rPr>
      </w:pPr>
      <w:r w:rsidRPr="001715D3">
        <w:rPr>
          <w:b/>
          <w:caps/>
          <w:sz w:val="20"/>
          <w:szCs w:val="20"/>
          <w:lang w:val="en-GB"/>
        </w:rPr>
        <w:lastRenderedPageBreak/>
        <w:t xml:space="preserve">Exhibit </w:t>
      </w:r>
      <w:r w:rsidR="00627489" w:rsidRPr="001715D3">
        <w:rPr>
          <w:b/>
          <w:caps/>
          <w:sz w:val="20"/>
          <w:szCs w:val="20"/>
          <w:lang w:val="en-GB"/>
        </w:rPr>
        <w:t>6</w:t>
      </w:r>
      <w:r w:rsidRPr="001715D3">
        <w:rPr>
          <w:b/>
          <w:caps/>
          <w:sz w:val="20"/>
          <w:szCs w:val="20"/>
          <w:lang w:val="en-GB"/>
        </w:rPr>
        <w:t xml:space="preserve">: </w:t>
      </w:r>
      <w:r w:rsidR="00A4225B" w:rsidRPr="001715D3">
        <w:rPr>
          <w:b/>
          <w:caps/>
          <w:sz w:val="20"/>
          <w:szCs w:val="20"/>
          <w:lang w:val="en-GB"/>
        </w:rPr>
        <w:t>cumulative RETURNS for the specific STOCKS</w:t>
      </w:r>
      <w:r w:rsidR="008E405E" w:rsidRPr="001715D3">
        <w:rPr>
          <w:b/>
          <w:caps/>
          <w:sz w:val="20"/>
          <w:szCs w:val="20"/>
          <w:lang w:val="en-GB"/>
        </w:rPr>
        <w:t>—</w:t>
      </w:r>
      <w:r w:rsidR="00A4225B" w:rsidRPr="001715D3">
        <w:rPr>
          <w:b/>
          <w:caps/>
          <w:sz w:val="20"/>
          <w:szCs w:val="20"/>
          <w:lang w:val="en-GB"/>
        </w:rPr>
        <w:t>JANUARY 2010 TO DECEMBER 2015</w:t>
      </w:r>
    </w:p>
    <w:p w14:paraId="652EE872" w14:textId="77777777" w:rsidR="007C4780" w:rsidRPr="001715D3" w:rsidRDefault="007C4780" w:rsidP="00A4225B">
      <w:pPr>
        <w:pStyle w:val="Footnote"/>
        <w:jc w:val="left"/>
        <w:rPr>
          <w:caps/>
          <w:lang w:val="en-GB"/>
        </w:rPr>
      </w:pPr>
    </w:p>
    <w:bookmarkStart w:id="1" w:name="_MON_1514304886"/>
    <w:bookmarkEnd w:id="1"/>
    <w:p w14:paraId="774B82D7" w14:textId="4D87AA91" w:rsidR="00755275" w:rsidRPr="001715D3" w:rsidRDefault="00BF14B8" w:rsidP="00E36A01">
      <w:pPr>
        <w:pStyle w:val="BodyTextMain"/>
        <w:rPr>
          <w:rFonts w:ascii="Calibri" w:hAnsi="Calibri"/>
          <w:shd w:val="clear" w:color="auto" w:fill="FFFFFF"/>
          <w:lang w:val="en-GB"/>
        </w:rPr>
      </w:pPr>
      <w:r w:rsidRPr="001715D3">
        <w:rPr>
          <w:rFonts w:ascii="Calibri" w:hAnsi="Calibri"/>
          <w:shd w:val="clear" w:color="auto" w:fill="FFFFFF"/>
          <w:lang w:val="en-GB"/>
        </w:rPr>
        <w:object w:dxaOrig="12184" w:dyaOrig="4051" w14:anchorId="0DB75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55pt;height:187.75pt" o:ole="">
            <v:imagedata r:id="rId14" o:title=""/>
          </v:shape>
          <o:OLEObject Type="Embed" ProgID="Excel.Sheet.12" ShapeID="_x0000_i1025" DrawAspect="Content" ObjectID="_1552295238" r:id="rId15"/>
        </w:object>
      </w:r>
    </w:p>
    <w:bookmarkStart w:id="2" w:name="_MON_1552294870"/>
    <w:bookmarkEnd w:id="2"/>
    <w:p w14:paraId="6DC3BF30" w14:textId="78414584" w:rsidR="00755275" w:rsidRPr="001715D3" w:rsidRDefault="00BF14B8" w:rsidP="00755275">
      <w:pPr>
        <w:pStyle w:val="Footnote"/>
        <w:jc w:val="left"/>
        <w:rPr>
          <w:caps/>
          <w:lang w:val="en-GB"/>
        </w:rPr>
      </w:pPr>
      <w:r w:rsidRPr="001715D3">
        <w:rPr>
          <w:caps/>
          <w:lang w:val="en-GB"/>
        </w:rPr>
        <w:object w:dxaOrig="12305" w:dyaOrig="4171" w14:anchorId="68BA37E8">
          <v:shape id="_x0000_i1032" type="#_x0000_t75" style="width:583.45pt;height:194.15pt" o:ole="">
            <v:imagedata r:id="rId16" o:title=""/>
          </v:shape>
          <o:OLEObject Type="Embed" ProgID="Excel.Sheet.12" ShapeID="_x0000_i1032" DrawAspect="Content" ObjectID="_1552295239" r:id="rId17"/>
        </w:object>
      </w:r>
    </w:p>
    <w:p w14:paraId="46FC7E38" w14:textId="15C3C7FD" w:rsidR="00E36A01" w:rsidRPr="001715D3" w:rsidRDefault="00E36A01" w:rsidP="007E0371">
      <w:pPr>
        <w:jc w:val="both"/>
        <w:outlineLvl w:val="0"/>
        <w:rPr>
          <w:rFonts w:ascii="Arial" w:hAnsi="Arial" w:cs="Arial"/>
          <w:sz w:val="17"/>
          <w:szCs w:val="17"/>
          <w:lang w:val="en-GB" w:eastAsia="zh-CN"/>
        </w:rPr>
      </w:pPr>
      <w:r w:rsidRPr="001715D3">
        <w:rPr>
          <w:rFonts w:ascii="Arial" w:hAnsi="Arial" w:cs="Arial"/>
          <w:sz w:val="17"/>
          <w:szCs w:val="17"/>
          <w:lang w:val="en-GB" w:eastAsia="zh-CN"/>
        </w:rPr>
        <w:t>Sourc</w:t>
      </w:r>
      <w:r w:rsidRPr="001715D3">
        <w:rPr>
          <w:rStyle w:val="FootnoteChar"/>
          <w:lang w:val="en-GB"/>
        </w:rPr>
        <w:t xml:space="preserve">e: </w:t>
      </w:r>
      <w:r w:rsidR="00C73574" w:rsidRPr="001715D3">
        <w:rPr>
          <w:rStyle w:val="FootnoteChar"/>
          <w:lang w:val="en-GB"/>
        </w:rPr>
        <w:t xml:space="preserve"> </w:t>
      </w:r>
      <w:r w:rsidR="00C340F3" w:rsidRPr="001715D3">
        <w:rPr>
          <w:rStyle w:val="FootnoteChar"/>
          <w:lang w:val="en-GB"/>
        </w:rPr>
        <w:t xml:space="preserve">Created by authors using data from </w:t>
      </w:r>
      <w:r w:rsidR="00657743" w:rsidRPr="001715D3">
        <w:rPr>
          <w:rStyle w:val="FootnoteChar"/>
          <w:lang w:val="en-GB"/>
        </w:rPr>
        <w:t>Bloomberg</w:t>
      </w:r>
      <w:r w:rsidR="00C73574" w:rsidRPr="001715D3">
        <w:rPr>
          <w:rStyle w:val="FootnoteChar"/>
          <w:lang w:val="en-GB"/>
        </w:rPr>
        <w:t xml:space="preserve"> </w:t>
      </w:r>
      <w:r w:rsidR="00C73574" w:rsidRPr="001715D3">
        <w:rPr>
          <w:rFonts w:ascii="Arial" w:hAnsi="Arial" w:cs="Arial"/>
          <w:sz w:val="17"/>
          <w:szCs w:val="17"/>
          <w:lang w:val="en-GB" w:eastAsia="zh-CN"/>
        </w:rPr>
        <w:t>L.P.</w:t>
      </w:r>
      <w:r w:rsidR="003B2975" w:rsidRPr="001715D3">
        <w:rPr>
          <w:rFonts w:ascii="Arial" w:hAnsi="Arial" w:cs="Arial"/>
          <w:sz w:val="17"/>
          <w:szCs w:val="17"/>
          <w:lang w:val="en-GB" w:eastAsia="zh-CN"/>
        </w:rPr>
        <w:t xml:space="preserve">, </w:t>
      </w:r>
      <w:r w:rsidR="00232448" w:rsidRPr="001715D3">
        <w:rPr>
          <w:rFonts w:ascii="Arial" w:hAnsi="Arial" w:cs="Arial"/>
          <w:sz w:val="17"/>
          <w:szCs w:val="17"/>
          <w:lang w:val="en-GB" w:eastAsia="zh-CN"/>
        </w:rPr>
        <w:t>a</w:t>
      </w:r>
      <w:r w:rsidR="003B2975" w:rsidRPr="001715D3">
        <w:rPr>
          <w:rFonts w:ascii="Arial" w:hAnsi="Arial" w:cs="Arial"/>
          <w:sz w:val="17"/>
          <w:szCs w:val="17"/>
          <w:lang w:val="en-GB" w:eastAsia="zh-CN"/>
        </w:rPr>
        <w:t>ccessed January 4, 2016</w:t>
      </w:r>
      <w:r w:rsidR="00CD01C5" w:rsidRPr="001715D3">
        <w:rPr>
          <w:rFonts w:ascii="Arial" w:hAnsi="Arial" w:cs="Arial"/>
          <w:sz w:val="17"/>
          <w:szCs w:val="17"/>
          <w:lang w:val="en-GB" w:eastAsia="zh-CN"/>
        </w:rPr>
        <w:t>.</w:t>
      </w:r>
    </w:p>
    <w:p w14:paraId="66B9C8CA" w14:textId="17E3BA47" w:rsidR="005242B3" w:rsidRPr="001715D3" w:rsidRDefault="005242B3">
      <w:pPr>
        <w:spacing w:after="200" w:line="276" w:lineRule="auto"/>
        <w:rPr>
          <w:rFonts w:ascii="Arial" w:hAnsi="Arial" w:cs="Arial"/>
          <w:i/>
          <w:sz w:val="17"/>
          <w:szCs w:val="17"/>
          <w:lang w:val="en-GB"/>
        </w:rPr>
      </w:pPr>
      <w:r w:rsidRPr="001715D3">
        <w:rPr>
          <w:lang w:val="en-GB"/>
        </w:rPr>
        <w:br w:type="page"/>
      </w:r>
    </w:p>
    <w:p w14:paraId="0537ADEA" w14:textId="7BB512B1" w:rsidR="005242B3" w:rsidRPr="001715D3" w:rsidRDefault="005242B3" w:rsidP="007E0371">
      <w:pPr>
        <w:pStyle w:val="Footnote"/>
        <w:jc w:val="center"/>
        <w:outlineLvl w:val="0"/>
        <w:rPr>
          <w:b/>
          <w:i/>
          <w:caps/>
          <w:sz w:val="20"/>
          <w:szCs w:val="20"/>
          <w:lang w:val="en-GB"/>
        </w:rPr>
      </w:pPr>
      <w:r w:rsidRPr="001715D3">
        <w:rPr>
          <w:b/>
          <w:caps/>
          <w:sz w:val="20"/>
          <w:szCs w:val="20"/>
          <w:lang w:val="en-GB"/>
        </w:rPr>
        <w:lastRenderedPageBreak/>
        <w:t xml:space="preserve">Exhibit </w:t>
      </w:r>
      <w:r w:rsidR="00627489" w:rsidRPr="001715D3">
        <w:rPr>
          <w:b/>
          <w:caps/>
          <w:sz w:val="20"/>
          <w:szCs w:val="20"/>
          <w:lang w:val="en-GB"/>
        </w:rPr>
        <w:t>7</w:t>
      </w:r>
      <w:r w:rsidRPr="001715D3">
        <w:rPr>
          <w:b/>
          <w:caps/>
          <w:sz w:val="20"/>
          <w:szCs w:val="20"/>
          <w:lang w:val="en-GB"/>
        </w:rPr>
        <w:t>: Details of n</w:t>
      </w:r>
      <w:r w:rsidR="00C73574" w:rsidRPr="001715D3">
        <w:rPr>
          <w:b/>
          <w:caps/>
          <w:sz w:val="20"/>
          <w:szCs w:val="20"/>
          <w:lang w:val="en-GB"/>
        </w:rPr>
        <w:t xml:space="preserve">EPTUNE ORIENT </w:t>
      </w:r>
      <w:r w:rsidRPr="001715D3">
        <w:rPr>
          <w:b/>
          <w:caps/>
          <w:sz w:val="20"/>
          <w:szCs w:val="20"/>
          <w:lang w:val="en-GB"/>
        </w:rPr>
        <w:t>l</w:t>
      </w:r>
      <w:r w:rsidR="00C73574" w:rsidRPr="001715D3">
        <w:rPr>
          <w:b/>
          <w:caps/>
          <w:sz w:val="20"/>
          <w:szCs w:val="20"/>
          <w:lang w:val="en-GB"/>
        </w:rPr>
        <w:t>INES</w:t>
      </w:r>
      <w:r w:rsidRPr="001715D3">
        <w:rPr>
          <w:b/>
          <w:caps/>
          <w:sz w:val="20"/>
          <w:szCs w:val="20"/>
          <w:lang w:val="en-GB"/>
        </w:rPr>
        <w:t xml:space="preserve"> Bonds and cma cg</w:t>
      </w:r>
      <w:r w:rsidR="00D06F1D" w:rsidRPr="001715D3">
        <w:rPr>
          <w:b/>
          <w:caps/>
          <w:sz w:val="20"/>
          <w:szCs w:val="20"/>
          <w:lang w:val="en-GB"/>
        </w:rPr>
        <w:t>M</w:t>
      </w:r>
      <w:r w:rsidRPr="001715D3">
        <w:rPr>
          <w:b/>
          <w:caps/>
          <w:sz w:val="20"/>
          <w:szCs w:val="20"/>
          <w:lang w:val="en-GB"/>
        </w:rPr>
        <w:t xml:space="preserve"> bond</w:t>
      </w:r>
      <w:r w:rsidR="00C73574" w:rsidRPr="001715D3">
        <w:rPr>
          <w:b/>
          <w:caps/>
          <w:sz w:val="20"/>
          <w:szCs w:val="20"/>
          <w:lang w:val="en-GB"/>
        </w:rPr>
        <w:t>S</w:t>
      </w:r>
      <w:r w:rsidR="00C73574" w:rsidRPr="001715D3">
        <w:rPr>
          <w:lang w:val="en-GB"/>
        </w:rPr>
        <w:t xml:space="preserve"> </w:t>
      </w:r>
    </w:p>
    <w:p w14:paraId="3C345452" w14:textId="77777777" w:rsidR="008A3FEE" w:rsidRPr="001715D3" w:rsidRDefault="008A3FEE" w:rsidP="005242B3">
      <w:pPr>
        <w:pStyle w:val="Footnote"/>
        <w:jc w:val="left"/>
        <w:rPr>
          <w:b/>
          <w:i/>
          <w:caps/>
          <w:sz w:val="20"/>
          <w:szCs w:val="20"/>
          <w:lang w:val="en-GB"/>
        </w:rPr>
      </w:pPr>
    </w:p>
    <w:tbl>
      <w:tblPr>
        <w:tblW w:w="12344" w:type="dxa"/>
        <w:jc w:val="center"/>
        <w:tblLayout w:type="fixed"/>
        <w:tblLook w:val="04A0" w:firstRow="1" w:lastRow="0" w:firstColumn="1" w:lastColumn="0" w:noHBand="0" w:noVBand="1"/>
      </w:tblPr>
      <w:tblGrid>
        <w:gridCol w:w="2263"/>
        <w:gridCol w:w="2410"/>
        <w:gridCol w:w="2410"/>
        <w:gridCol w:w="1753"/>
        <w:gridCol w:w="1754"/>
        <w:gridCol w:w="1754"/>
      </w:tblGrid>
      <w:tr w:rsidR="002C3A1A" w:rsidRPr="001715D3" w14:paraId="5D787F46" w14:textId="77777777" w:rsidTr="00D23079">
        <w:trPr>
          <w:trHeight w:val="4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32831" w14:textId="77777777" w:rsidR="00B17169" w:rsidRPr="00F232B7" w:rsidRDefault="00B17169" w:rsidP="00D23079">
            <w:pPr>
              <w:rPr>
                <w:rFonts w:ascii="Arial" w:hAnsi="Arial" w:cs="Arial"/>
                <w:b/>
                <w:sz w:val="18"/>
                <w:szCs w:val="18"/>
                <w:lang w:val="en-GB" w:eastAsia="en-SG"/>
              </w:rPr>
            </w:pPr>
            <w:r w:rsidRPr="00F232B7">
              <w:rPr>
                <w:rFonts w:ascii="Arial" w:hAnsi="Arial" w:cs="Arial"/>
                <w:b/>
                <w:sz w:val="18"/>
                <w:szCs w:val="18"/>
                <w:lang w:val="en-GB" w:eastAsia="en-SG"/>
              </w:rPr>
              <w:t>Issuer Name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3A39AFAD" w14:textId="77777777" w:rsidR="00B17169" w:rsidRPr="00F232B7" w:rsidRDefault="00B17169" w:rsidP="00D23079">
            <w:pPr>
              <w:jc w:val="center"/>
              <w:rPr>
                <w:rFonts w:ascii="Arial" w:hAnsi="Arial" w:cs="Arial"/>
                <w:b/>
                <w:sz w:val="18"/>
                <w:szCs w:val="18"/>
                <w:lang w:val="en-GB" w:eastAsia="en-SG"/>
              </w:rPr>
            </w:pPr>
            <w:r w:rsidRPr="00F232B7">
              <w:rPr>
                <w:rFonts w:ascii="Arial" w:hAnsi="Arial" w:cs="Arial"/>
                <w:b/>
                <w:sz w:val="18"/>
                <w:szCs w:val="18"/>
                <w:lang w:val="en-GB" w:eastAsia="en-SG"/>
              </w:rPr>
              <w:t>NOL</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2154B73" w14:textId="77777777" w:rsidR="00B17169" w:rsidRPr="00F232B7" w:rsidRDefault="00B17169" w:rsidP="00D23079">
            <w:pPr>
              <w:jc w:val="center"/>
              <w:rPr>
                <w:rFonts w:ascii="Arial" w:hAnsi="Arial" w:cs="Arial"/>
                <w:b/>
                <w:sz w:val="18"/>
                <w:szCs w:val="18"/>
                <w:lang w:val="en-GB" w:eastAsia="en-SG"/>
              </w:rPr>
            </w:pPr>
            <w:r w:rsidRPr="00F232B7">
              <w:rPr>
                <w:rFonts w:ascii="Arial" w:hAnsi="Arial" w:cs="Arial"/>
                <w:b/>
                <w:sz w:val="18"/>
                <w:szCs w:val="18"/>
                <w:lang w:val="en-GB" w:eastAsia="en-SG"/>
              </w:rPr>
              <w:t>NOL</w:t>
            </w:r>
          </w:p>
        </w:tc>
        <w:tc>
          <w:tcPr>
            <w:tcW w:w="1753" w:type="dxa"/>
            <w:tcBorders>
              <w:top w:val="single" w:sz="4" w:space="0" w:color="auto"/>
              <w:left w:val="nil"/>
              <w:bottom w:val="single" w:sz="4" w:space="0" w:color="auto"/>
              <w:right w:val="single" w:sz="4" w:space="0" w:color="auto"/>
            </w:tcBorders>
            <w:shd w:val="clear" w:color="auto" w:fill="auto"/>
            <w:noWrap/>
            <w:vAlign w:val="center"/>
            <w:hideMark/>
          </w:tcPr>
          <w:p w14:paraId="15FC5F2F" w14:textId="77777777" w:rsidR="00B17169" w:rsidRPr="00F232B7" w:rsidRDefault="00B17169" w:rsidP="00D23079">
            <w:pPr>
              <w:jc w:val="center"/>
              <w:rPr>
                <w:rFonts w:ascii="Arial" w:hAnsi="Arial" w:cs="Arial"/>
                <w:b/>
                <w:sz w:val="18"/>
                <w:szCs w:val="18"/>
                <w:lang w:val="en-GB" w:eastAsia="en-SG"/>
              </w:rPr>
            </w:pPr>
            <w:r w:rsidRPr="00F232B7">
              <w:rPr>
                <w:rFonts w:ascii="Arial" w:hAnsi="Arial" w:cs="Arial"/>
                <w:b/>
                <w:sz w:val="18"/>
                <w:szCs w:val="18"/>
                <w:lang w:val="en-GB" w:eastAsia="en-SG"/>
              </w:rPr>
              <w:t>NOL</w:t>
            </w:r>
          </w:p>
        </w:tc>
        <w:tc>
          <w:tcPr>
            <w:tcW w:w="1754" w:type="dxa"/>
            <w:tcBorders>
              <w:top w:val="single" w:sz="4" w:space="0" w:color="auto"/>
              <w:left w:val="nil"/>
              <w:bottom w:val="single" w:sz="4" w:space="0" w:color="auto"/>
              <w:right w:val="single" w:sz="4" w:space="0" w:color="auto"/>
            </w:tcBorders>
            <w:shd w:val="clear" w:color="auto" w:fill="auto"/>
            <w:noWrap/>
            <w:vAlign w:val="center"/>
            <w:hideMark/>
          </w:tcPr>
          <w:p w14:paraId="0DDC50D7" w14:textId="77777777" w:rsidR="00B17169" w:rsidRPr="00F232B7" w:rsidRDefault="00B17169" w:rsidP="00D23079">
            <w:pPr>
              <w:jc w:val="center"/>
              <w:rPr>
                <w:rFonts w:ascii="Arial" w:hAnsi="Arial" w:cs="Arial"/>
                <w:b/>
                <w:sz w:val="18"/>
                <w:szCs w:val="18"/>
                <w:lang w:val="en-GB" w:eastAsia="en-SG"/>
              </w:rPr>
            </w:pPr>
            <w:r w:rsidRPr="00F232B7">
              <w:rPr>
                <w:rFonts w:ascii="Arial" w:hAnsi="Arial" w:cs="Arial"/>
                <w:b/>
                <w:sz w:val="18"/>
                <w:szCs w:val="18"/>
                <w:lang w:val="en-GB" w:eastAsia="en-SG"/>
              </w:rPr>
              <w:t>NOL</w:t>
            </w:r>
          </w:p>
        </w:tc>
        <w:tc>
          <w:tcPr>
            <w:tcW w:w="1754" w:type="dxa"/>
            <w:tcBorders>
              <w:top w:val="single" w:sz="4" w:space="0" w:color="auto"/>
              <w:left w:val="nil"/>
              <w:bottom w:val="single" w:sz="4" w:space="0" w:color="auto"/>
              <w:right w:val="single" w:sz="4" w:space="0" w:color="auto"/>
            </w:tcBorders>
            <w:shd w:val="clear" w:color="auto" w:fill="auto"/>
            <w:noWrap/>
            <w:vAlign w:val="center"/>
            <w:hideMark/>
          </w:tcPr>
          <w:p w14:paraId="5815F583" w14:textId="77777777" w:rsidR="00B17169" w:rsidRPr="00F232B7" w:rsidRDefault="00B17169" w:rsidP="00D23079">
            <w:pPr>
              <w:jc w:val="center"/>
              <w:rPr>
                <w:rFonts w:ascii="Arial" w:hAnsi="Arial" w:cs="Arial"/>
                <w:b/>
                <w:sz w:val="18"/>
                <w:szCs w:val="18"/>
                <w:lang w:val="en-GB" w:eastAsia="en-SG"/>
              </w:rPr>
            </w:pPr>
            <w:r w:rsidRPr="00F232B7">
              <w:rPr>
                <w:rFonts w:ascii="Arial" w:hAnsi="Arial" w:cs="Arial"/>
                <w:b/>
                <w:sz w:val="18"/>
                <w:szCs w:val="18"/>
                <w:lang w:val="en-GB" w:eastAsia="en-SG"/>
              </w:rPr>
              <w:t>CMA CGM</w:t>
            </w:r>
          </w:p>
        </w:tc>
      </w:tr>
      <w:tr w:rsidR="002C3A1A" w:rsidRPr="001715D3" w14:paraId="0FBC8A88" w14:textId="77777777" w:rsidTr="00D23079">
        <w:trPr>
          <w:trHeight w:val="104"/>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2B794B7"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ISIN</w:t>
            </w:r>
          </w:p>
        </w:tc>
        <w:tc>
          <w:tcPr>
            <w:tcW w:w="2410" w:type="dxa"/>
            <w:tcBorders>
              <w:top w:val="nil"/>
              <w:left w:val="nil"/>
              <w:bottom w:val="single" w:sz="4" w:space="0" w:color="auto"/>
              <w:right w:val="single" w:sz="4" w:space="0" w:color="auto"/>
            </w:tcBorders>
            <w:shd w:val="clear" w:color="auto" w:fill="auto"/>
            <w:noWrap/>
            <w:vAlign w:val="center"/>
            <w:hideMark/>
          </w:tcPr>
          <w:p w14:paraId="07D12D17"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SG6U79981465</w:t>
            </w:r>
          </w:p>
        </w:tc>
        <w:tc>
          <w:tcPr>
            <w:tcW w:w="2410" w:type="dxa"/>
            <w:tcBorders>
              <w:top w:val="nil"/>
              <w:left w:val="nil"/>
              <w:bottom w:val="single" w:sz="4" w:space="0" w:color="auto"/>
              <w:right w:val="single" w:sz="4" w:space="0" w:color="auto"/>
            </w:tcBorders>
            <w:shd w:val="clear" w:color="auto" w:fill="auto"/>
            <w:noWrap/>
            <w:vAlign w:val="center"/>
            <w:hideMark/>
          </w:tcPr>
          <w:p w14:paraId="7EBB8186"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SG6Y06987482</w:t>
            </w:r>
          </w:p>
        </w:tc>
        <w:tc>
          <w:tcPr>
            <w:tcW w:w="1753" w:type="dxa"/>
            <w:tcBorders>
              <w:top w:val="nil"/>
              <w:left w:val="nil"/>
              <w:bottom w:val="single" w:sz="4" w:space="0" w:color="auto"/>
              <w:right w:val="single" w:sz="4" w:space="0" w:color="auto"/>
            </w:tcBorders>
            <w:shd w:val="clear" w:color="auto" w:fill="auto"/>
            <w:noWrap/>
            <w:vAlign w:val="center"/>
            <w:hideMark/>
          </w:tcPr>
          <w:p w14:paraId="7A64FE6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SG7X44961531</w:t>
            </w:r>
          </w:p>
        </w:tc>
        <w:tc>
          <w:tcPr>
            <w:tcW w:w="1754" w:type="dxa"/>
            <w:tcBorders>
              <w:top w:val="nil"/>
              <w:left w:val="nil"/>
              <w:bottom w:val="single" w:sz="4" w:space="0" w:color="auto"/>
              <w:right w:val="single" w:sz="4" w:space="0" w:color="auto"/>
            </w:tcBorders>
            <w:shd w:val="clear" w:color="auto" w:fill="auto"/>
            <w:noWrap/>
            <w:vAlign w:val="center"/>
            <w:hideMark/>
          </w:tcPr>
          <w:p w14:paraId="0F80475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SG6P73971303</w:t>
            </w:r>
          </w:p>
        </w:tc>
        <w:tc>
          <w:tcPr>
            <w:tcW w:w="1754" w:type="dxa"/>
            <w:tcBorders>
              <w:top w:val="nil"/>
              <w:left w:val="nil"/>
              <w:bottom w:val="single" w:sz="4" w:space="0" w:color="auto"/>
              <w:right w:val="single" w:sz="4" w:space="0" w:color="auto"/>
            </w:tcBorders>
            <w:shd w:val="clear" w:color="auto" w:fill="auto"/>
            <w:noWrap/>
            <w:vAlign w:val="center"/>
            <w:hideMark/>
          </w:tcPr>
          <w:p w14:paraId="473D24E0"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XS1244815111</w:t>
            </w:r>
          </w:p>
        </w:tc>
      </w:tr>
      <w:tr w:rsidR="002C3A1A" w:rsidRPr="001715D3" w14:paraId="0067954F" w14:textId="77777777" w:rsidTr="00D23079">
        <w:trPr>
          <w:trHeight w:val="4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F1B3F20"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Country of Domicile</w:t>
            </w:r>
          </w:p>
        </w:tc>
        <w:tc>
          <w:tcPr>
            <w:tcW w:w="2410" w:type="dxa"/>
            <w:tcBorders>
              <w:top w:val="nil"/>
              <w:left w:val="nil"/>
              <w:bottom w:val="single" w:sz="4" w:space="0" w:color="auto"/>
              <w:right w:val="single" w:sz="4" w:space="0" w:color="auto"/>
            </w:tcBorders>
            <w:shd w:val="clear" w:color="auto" w:fill="auto"/>
            <w:noWrap/>
            <w:vAlign w:val="center"/>
            <w:hideMark/>
          </w:tcPr>
          <w:p w14:paraId="63517F8C"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w:t>
            </w:r>
          </w:p>
        </w:tc>
        <w:tc>
          <w:tcPr>
            <w:tcW w:w="2410" w:type="dxa"/>
            <w:tcBorders>
              <w:top w:val="nil"/>
              <w:left w:val="nil"/>
              <w:bottom w:val="single" w:sz="4" w:space="0" w:color="auto"/>
              <w:right w:val="single" w:sz="4" w:space="0" w:color="auto"/>
            </w:tcBorders>
            <w:shd w:val="clear" w:color="auto" w:fill="auto"/>
            <w:noWrap/>
            <w:vAlign w:val="center"/>
            <w:hideMark/>
          </w:tcPr>
          <w:p w14:paraId="4896FE4B"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w:t>
            </w:r>
          </w:p>
        </w:tc>
        <w:tc>
          <w:tcPr>
            <w:tcW w:w="1753" w:type="dxa"/>
            <w:tcBorders>
              <w:top w:val="nil"/>
              <w:left w:val="nil"/>
              <w:bottom w:val="single" w:sz="4" w:space="0" w:color="auto"/>
              <w:right w:val="single" w:sz="4" w:space="0" w:color="auto"/>
            </w:tcBorders>
            <w:shd w:val="clear" w:color="auto" w:fill="auto"/>
            <w:noWrap/>
            <w:vAlign w:val="center"/>
            <w:hideMark/>
          </w:tcPr>
          <w:p w14:paraId="63A65451"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w:t>
            </w:r>
          </w:p>
        </w:tc>
        <w:tc>
          <w:tcPr>
            <w:tcW w:w="1754" w:type="dxa"/>
            <w:tcBorders>
              <w:top w:val="nil"/>
              <w:left w:val="nil"/>
              <w:bottom w:val="single" w:sz="4" w:space="0" w:color="auto"/>
              <w:right w:val="single" w:sz="4" w:space="0" w:color="auto"/>
            </w:tcBorders>
            <w:shd w:val="clear" w:color="auto" w:fill="auto"/>
            <w:noWrap/>
            <w:vAlign w:val="center"/>
            <w:hideMark/>
          </w:tcPr>
          <w:p w14:paraId="7EFD95CB"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w:t>
            </w:r>
          </w:p>
        </w:tc>
        <w:tc>
          <w:tcPr>
            <w:tcW w:w="1754" w:type="dxa"/>
            <w:tcBorders>
              <w:top w:val="nil"/>
              <w:left w:val="nil"/>
              <w:bottom w:val="single" w:sz="4" w:space="0" w:color="auto"/>
              <w:right w:val="single" w:sz="4" w:space="0" w:color="auto"/>
            </w:tcBorders>
            <w:shd w:val="clear" w:color="auto" w:fill="auto"/>
            <w:noWrap/>
            <w:vAlign w:val="center"/>
            <w:hideMark/>
          </w:tcPr>
          <w:p w14:paraId="61687BF0"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France</w:t>
            </w:r>
          </w:p>
        </w:tc>
      </w:tr>
      <w:tr w:rsidR="002C3A1A" w:rsidRPr="001715D3" w14:paraId="337533FD" w14:textId="77777777" w:rsidTr="00D23079">
        <w:trPr>
          <w:trHeight w:val="96"/>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0D7B97D"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Issue Date</w:t>
            </w:r>
          </w:p>
        </w:tc>
        <w:tc>
          <w:tcPr>
            <w:tcW w:w="2410" w:type="dxa"/>
            <w:tcBorders>
              <w:top w:val="nil"/>
              <w:left w:val="nil"/>
              <w:bottom w:val="single" w:sz="4" w:space="0" w:color="auto"/>
              <w:right w:val="single" w:sz="4" w:space="0" w:color="auto"/>
            </w:tcBorders>
            <w:shd w:val="clear" w:color="auto" w:fill="auto"/>
            <w:noWrap/>
            <w:vAlign w:val="center"/>
            <w:hideMark/>
          </w:tcPr>
          <w:p w14:paraId="0EF3B653"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26/4/2012</w:t>
            </w:r>
          </w:p>
        </w:tc>
        <w:tc>
          <w:tcPr>
            <w:tcW w:w="2410" w:type="dxa"/>
            <w:tcBorders>
              <w:top w:val="nil"/>
              <w:left w:val="nil"/>
              <w:bottom w:val="single" w:sz="4" w:space="0" w:color="auto"/>
              <w:right w:val="single" w:sz="4" w:space="0" w:color="auto"/>
            </w:tcBorders>
            <w:shd w:val="clear" w:color="auto" w:fill="auto"/>
            <w:noWrap/>
            <w:vAlign w:val="center"/>
            <w:hideMark/>
          </w:tcPr>
          <w:p w14:paraId="36A63BB6"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8/11/2012</w:t>
            </w:r>
          </w:p>
        </w:tc>
        <w:tc>
          <w:tcPr>
            <w:tcW w:w="1753" w:type="dxa"/>
            <w:tcBorders>
              <w:top w:val="nil"/>
              <w:left w:val="nil"/>
              <w:bottom w:val="single" w:sz="4" w:space="0" w:color="auto"/>
              <w:right w:val="single" w:sz="4" w:space="0" w:color="auto"/>
            </w:tcBorders>
            <w:shd w:val="clear" w:color="auto" w:fill="auto"/>
            <w:noWrap/>
            <w:vAlign w:val="center"/>
            <w:hideMark/>
          </w:tcPr>
          <w:p w14:paraId="224D7961"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9/9/2010</w:t>
            </w:r>
          </w:p>
        </w:tc>
        <w:tc>
          <w:tcPr>
            <w:tcW w:w="1754" w:type="dxa"/>
            <w:tcBorders>
              <w:top w:val="nil"/>
              <w:left w:val="nil"/>
              <w:bottom w:val="single" w:sz="4" w:space="0" w:color="auto"/>
              <w:right w:val="single" w:sz="4" w:space="0" w:color="auto"/>
            </w:tcBorders>
            <w:shd w:val="clear" w:color="auto" w:fill="auto"/>
            <w:noWrap/>
            <w:vAlign w:val="center"/>
            <w:hideMark/>
          </w:tcPr>
          <w:p w14:paraId="113643ED"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22/6/2011</w:t>
            </w:r>
          </w:p>
        </w:tc>
        <w:tc>
          <w:tcPr>
            <w:tcW w:w="1754" w:type="dxa"/>
            <w:tcBorders>
              <w:top w:val="nil"/>
              <w:left w:val="nil"/>
              <w:bottom w:val="single" w:sz="4" w:space="0" w:color="auto"/>
              <w:right w:val="single" w:sz="4" w:space="0" w:color="auto"/>
            </w:tcBorders>
            <w:shd w:val="clear" w:color="auto" w:fill="auto"/>
            <w:noWrap/>
            <w:vAlign w:val="center"/>
            <w:hideMark/>
          </w:tcPr>
          <w:p w14:paraId="69D88BB9"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3/6/2015</w:t>
            </w:r>
          </w:p>
        </w:tc>
      </w:tr>
      <w:tr w:rsidR="002C3A1A" w:rsidRPr="001715D3" w14:paraId="171348B6" w14:textId="77777777" w:rsidTr="00D23079">
        <w:trPr>
          <w:trHeight w:val="1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2584D73"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Maturity Date</w:t>
            </w:r>
          </w:p>
        </w:tc>
        <w:tc>
          <w:tcPr>
            <w:tcW w:w="2410" w:type="dxa"/>
            <w:tcBorders>
              <w:top w:val="nil"/>
              <w:left w:val="nil"/>
              <w:bottom w:val="single" w:sz="4" w:space="0" w:color="auto"/>
              <w:right w:val="single" w:sz="4" w:space="0" w:color="auto"/>
            </w:tcBorders>
            <w:shd w:val="clear" w:color="auto" w:fill="auto"/>
            <w:noWrap/>
            <w:vAlign w:val="center"/>
            <w:hideMark/>
          </w:tcPr>
          <w:p w14:paraId="009FF4C5"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26/4/2017</w:t>
            </w:r>
          </w:p>
        </w:tc>
        <w:tc>
          <w:tcPr>
            <w:tcW w:w="2410" w:type="dxa"/>
            <w:tcBorders>
              <w:top w:val="nil"/>
              <w:left w:val="nil"/>
              <w:bottom w:val="single" w:sz="4" w:space="0" w:color="auto"/>
              <w:right w:val="single" w:sz="4" w:space="0" w:color="auto"/>
            </w:tcBorders>
            <w:shd w:val="clear" w:color="auto" w:fill="auto"/>
            <w:noWrap/>
            <w:vAlign w:val="center"/>
            <w:hideMark/>
          </w:tcPr>
          <w:p w14:paraId="137DE1B1"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8/11/2019</w:t>
            </w:r>
          </w:p>
        </w:tc>
        <w:tc>
          <w:tcPr>
            <w:tcW w:w="1753" w:type="dxa"/>
            <w:tcBorders>
              <w:top w:val="nil"/>
              <w:left w:val="nil"/>
              <w:bottom w:val="single" w:sz="4" w:space="0" w:color="auto"/>
              <w:right w:val="single" w:sz="4" w:space="0" w:color="auto"/>
            </w:tcBorders>
            <w:shd w:val="clear" w:color="auto" w:fill="auto"/>
            <w:noWrap/>
            <w:vAlign w:val="center"/>
            <w:hideMark/>
          </w:tcPr>
          <w:p w14:paraId="5F47F8A6"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9/9/2020</w:t>
            </w:r>
          </w:p>
        </w:tc>
        <w:tc>
          <w:tcPr>
            <w:tcW w:w="1754" w:type="dxa"/>
            <w:tcBorders>
              <w:top w:val="nil"/>
              <w:left w:val="nil"/>
              <w:bottom w:val="single" w:sz="4" w:space="0" w:color="auto"/>
              <w:right w:val="single" w:sz="4" w:space="0" w:color="auto"/>
            </w:tcBorders>
            <w:shd w:val="clear" w:color="auto" w:fill="auto"/>
            <w:noWrap/>
            <w:vAlign w:val="center"/>
            <w:hideMark/>
          </w:tcPr>
          <w:p w14:paraId="671AEA3B"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22/6/2021</w:t>
            </w:r>
          </w:p>
        </w:tc>
        <w:tc>
          <w:tcPr>
            <w:tcW w:w="1754" w:type="dxa"/>
            <w:tcBorders>
              <w:top w:val="nil"/>
              <w:left w:val="nil"/>
              <w:bottom w:val="single" w:sz="4" w:space="0" w:color="auto"/>
              <w:right w:val="single" w:sz="4" w:space="0" w:color="auto"/>
            </w:tcBorders>
            <w:shd w:val="clear" w:color="auto" w:fill="auto"/>
            <w:noWrap/>
            <w:vAlign w:val="center"/>
            <w:hideMark/>
          </w:tcPr>
          <w:p w14:paraId="0E98CD93"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15/1/2021</w:t>
            </w:r>
          </w:p>
        </w:tc>
      </w:tr>
      <w:tr w:rsidR="002C3A1A" w:rsidRPr="001715D3" w14:paraId="2EA446E4" w14:textId="77777777" w:rsidTr="00D23079">
        <w:trPr>
          <w:trHeight w:val="229"/>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9D92C75"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Security Type</w:t>
            </w:r>
          </w:p>
        </w:tc>
        <w:tc>
          <w:tcPr>
            <w:tcW w:w="2410" w:type="dxa"/>
            <w:tcBorders>
              <w:top w:val="nil"/>
              <w:left w:val="nil"/>
              <w:bottom w:val="single" w:sz="4" w:space="0" w:color="auto"/>
              <w:right w:val="single" w:sz="4" w:space="0" w:color="auto"/>
            </w:tcBorders>
            <w:shd w:val="clear" w:color="auto" w:fill="auto"/>
            <w:noWrap/>
            <w:vAlign w:val="center"/>
            <w:hideMark/>
          </w:tcPr>
          <w:p w14:paraId="7B8B6323"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Corporate Bond/Note</w:t>
            </w:r>
          </w:p>
        </w:tc>
        <w:tc>
          <w:tcPr>
            <w:tcW w:w="2410" w:type="dxa"/>
            <w:tcBorders>
              <w:top w:val="nil"/>
              <w:left w:val="nil"/>
              <w:bottom w:val="single" w:sz="4" w:space="0" w:color="auto"/>
              <w:right w:val="single" w:sz="4" w:space="0" w:color="auto"/>
            </w:tcBorders>
            <w:shd w:val="clear" w:color="auto" w:fill="auto"/>
            <w:noWrap/>
            <w:vAlign w:val="center"/>
            <w:hideMark/>
          </w:tcPr>
          <w:p w14:paraId="2D671F5D"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Corporate Bond/Note</w:t>
            </w:r>
          </w:p>
        </w:tc>
        <w:tc>
          <w:tcPr>
            <w:tcW w:w="1753" w:type="dxa"/>
            <w:tcBorders>
              <w:top w:val="nil"/>
              <w:left w:val="nil"/>
              <w:bottom w:val="single" w:sz="4" w:space="0" w:color="auto"/>
              <w:right w:val="single" w:sz="4" w:space="0" w:color="auto"/>
            </w:tcBorders>
            <w:shd w:val="clear" w:color="auto" w:fill="auto"/>
            <w:noWrap/>
            <w:vAlign w:val="center"/>
            <w:hideMark/>
          </w:tcPr>
          <w:p w14:paraId="682B111E"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Corporate Bond/Note</w:t>
            </w:r>
          </w:p>
        </w:tc>
        <w:tc>
          <w:tcPr>
            <w:tcW w:w="1754" w:type="dxa"/>
            <w:tcBorders>
              <w:top w:val="nil"/>
              <w:left w:val="nil"/>
              <w:bottom w:val="single" w:sz="4" w:space="0" w:color="auto"/>
              <w:right w:val="single" w:sz="4" w:space="0" w:color="auto"/>
            </w:tcBorders>
            <w:shd w:val="clear" w:color="auto" w:fill="auto"/>
            <w:noWrap/>
            <w:vAlign w:val="center"/>
            <w:hideMark/>
          </w:tcPr>
          <w:p w14:paraId="573CA009"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Corporate Bond/Note</w:t>
            </w:r>
          </w:p>
        </w:tc>
        <w:tc>
          <w:tcPr>
            <w:tcW w:w="1754" w:type="dxa"/>
            <w:tcBorders>
              <w:top w:val="nil"/>
              <w:left w:val="nil"/>
              <w:bottom w:val="single" w:sz="4" w:space="0" w:color="auto"/>
              <w:right w:val="single" w:sz="4" w:space="0" w:color="auto"/>
            </w:tcBorders>
            <w:shd w:val="clear" w:color="auto" w:fill="auto"/>
            <w:noWrap/>
            <w:vAlign w:val="center"/>
            <w:hideMark/>
          </w:tcPr>
          <w:p w14:paraId="4BD467F0"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Corporate Bond/Note</w:t>
            </w:r>
          </w:p>
        </w:tc>
      </w:tr>
      <w:tr w:rsidR="002C3A1A" w:rsidRPr="001715D3" w14:paraId="0F91E392" w14:textId="77777777" w:rsidTr="00D23079">
        <w:trPr>
          <w:trHeight w:val="79"/>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F407776"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Seniority Level</w:t>
            </w:r>
          </w:p>
        </w:tc>
        <w:tc>
          <w:tcPr>
            <w:tcW w:w="2410" w:type="dxa"/>
            <w:tcBorders>
              <w:top w:val="nil"/>
              <w:left w:val="nil"/>
              <w:bottom w:val="single" w:sz="4" w:space="0" w:color="auto"/>
              <w:right w:val="single" w:sz="4" w:space="0" w:color="auto"/>
            </w:tcBorders>
            <w:shd w:val="clear" w:color="auto" w:fill="auto"/>
            <w:noWrap/>
            <w:vAlign w:val="center"/>
            <w:hideMark/>
          </w:tcPr>
          <w:p w14:paraId="1733D385"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Senior Unsecured</w:t>
            </w:r>
          </w:p>
        </w:tc>
        <w:tc>
          <w:tcPr>
            <w:tcW w:w="2410" w:type="dxa"/>
            <w:tcBorders>
              <w:top w:val="nil"/>
              <w:left w:val="nil"/>
              <w:bottom w:val="single" w:sz="4" w:space="0" w:color="auto"/>
              <w:right w:val="single" w:sz="4" w:space="0" w:color="auto"/>
            </w:tcBorders>
            <w:shd w:val="clear" w:color="auto" w:fill="auto"/>
            <w:noWrap/>
            <w:vAlign w:val="center"/>
            <w:hideMark/>
          </w:tcPr>
          <w:p w14:paraId="3A464D4A"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Senior</w:t>
            </w:r>
          </w:p>
        </w:tc>
        <w:tc>
          <w:tcPr>
            <w:tcW w:w="1753" w:type="dxa"/>
            <w:tcBorders>
              <w:top w:val="nil"/>
              <w:left w:val="nil"/>
              <w:bottom w:val="single" w:sz="4" w:space="0" w:color="auto"/>
              <w:right w:val="single" w:sz="4" w:space="0" w:color="auto"/>
            </w:tcBorders>
            <w:shd w:val="clear" w:color="auto" w:fill="auto"/>
            <w:noWrap/>
            <w:vAlign w:val="center"/>
            <w:hideMark/>
          </w:tcPr>
          <w:p w14:paraId="360FDDA9"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Senior Unsecured</w:t>
            </w:r>
          </w:p>
        </w:tc>
        <w:tc>
          <w:tcPr>
            <w:tcW w:w="1754" w:type="dxa"/>
            <w:tcBorders>
              <w:top w:val="nil"/>
              <w:left w:val="nil"/>
              <w:bottom w:val="single" w:sz="4" w:space="0" w:color="auto"/>
              <w:right w:val="single" w:sz="4" w:space="0" w:color="auto"/>
            </w:tcBorders>
            <w:shd w:val="clear" w:color="auto" w:fill="auto"/>
            <w:noWrap/>
            <w:vAlign w:val="center"/>
            <w:hideMark/>
          </w:tcPr>
          <w:p w14:paraId="19B764B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Senior Unsecured</w:t>
            </w:r>
          </w:p>
        </w:tc>
        <w:tc>
          <w:tcPr>
            <w:tcW w:w="1754" w:type="dxa"/>
            <w:tcBorders>
              <w:top w:val="nil"/>
              <w:left w:val="nil"/>
              <w:bottom w:val="single" w:sz="4" w:space="0" w:color="auto"/>
              <w:right w:val="single" w:sz="4" w:space="0" w:color="auto"/>
            </w:tcBorders>
            <w:shd w:val="clear" w:color="auto" w:fill="auto"/>
            <w:noWrap/>
            <w:vAlign w:val="center"/>
            <w:hideMark/>
          </w:tcPr>
          <w:p w14:paraId="2B9F0BBC"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Senior Unsecured</w:t>
            </w:r>
          </w:p>
        </w:tc>
      </w:tr>
      <w:tr w:rsidR="002C3A1A" w:rsidRPr="001715D3" w14:paraId="08357FF8" w14:textId="77777777" w:rsidTr="00D23079">
        <w:trPr>
          <w:trHeight w:val="153"/>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AD41B53"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Issue Currency</w:t>
            </w:r>
          </w:p>
        </w:tc>
        <w:tc>
          <w:tcPr>
            <w:tcW w:w="2410" w:type="dxa"/>
            <w:tcBorders>
              <w:top w:val="nil"/>
              <w:left w:val="nil"/>
              <w:bottom w:val="single" w:sz="4" w:space="0" w:color="auto"/>
              <w:right w:val="single" w:sz="4" w:space="0" w:color="auto"/>
            </w:tcBorders>
            <w:shd w:val="clear" w:color="auto" w:fill="auto"/>
            <w:noWrap/>
            <w:vAlign w:val="center"/>
            <w:hideMark/>
          </w:tcPr>
          <w:p w14:paraId="66291D56"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 Dollar</w:t>
            </w:r>
          </w:p>
        </w:tc>
        <w:tc>
          <w:tcPr>
            <w:tcW w:w="2410" w:type="dxa"/>
            <w:tcBorders>
              <w:top w:val="nil"/>
              <w:left w:val="nil"/>
              <w:bottom w:val="single" w:sz="4" w:space="0" w:color="auto"/>
              <w:right w:val="single" w:sz="4" w:space="0" w:color="auto"/>
            </w:tcBorders>
            <w:shd w:val="clear" w:color="auto" w:fill="auto"/>
            <w:noWrap/>
            <w:vAlign w:val="center"/>
            <w:hideMark/>
          </w:tcPr>
          <w:p w14:paraId="52575285"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 Dollar</w:t>
            </w:r>
          </w:p>
        </w:tc>
        <w:tc>
          <w:tcPr>
            <w:tcW w:w="1753" w:type="dxa"/>
            <w:tcBorders>
              <w:top w:val="nil"/>
              <w:left w:val="nil"/>
              <w:bottom w:val="single" w:sz="4" w:space="0" w:color="auto"/>
              <w:right w:val="single" w:sz="4" w:space="0" w:color="auto"/>
            </w:tcBorders>
            <w:shd w:val="clear" w:color="auto" w:fill="auto"/>
            <w:noWrap/>
            <w:vAlign w:val="center"/>
            <w:hideMark/>
          </w:tcPr>
          <w:p w14:paraId="7B058FD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 Dollar</w:t>
            </w:r>
          </w:p>
        </w:tc>
        <w:tc>
          <w:tcPr>
            <w:tcW w:w="1754" w:type="dxa"/>
            <w:tcBorders>
              <w:top w:val="nil"/>
              <w:left w:val="nil"/>
              <w:bottom w:val="single" w:sz="4" w:space="0" w:color="auto"/>
              <w:right w:val="single" w:sz="4" w:space="0" w:color="auto"/>
            </w:tcBorders>
            <w:shd w:val="clear" w:color="auto" w:fill="auto"/>
            <w:noWrap/>
            <w:vAlign w:val="center"/>
            <w:hideMark/>
          </w:tcPr>
          <w:p w14:paraId="1F6BBE37"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Singapore Dollar</w:t>
            </w:r>
          </w:p>
        </w:tc>
        <w:tc>
          <w:tcPr>
            <w:tcW w:w="1754" w:type="dxa"/>
            <w:tcBorders>
              <w:top w:val="nil"/>
              <w:left w:val="nil"/>
              <w:bottom w:val="single" w:sz="4" w:space="0" w:color="auto"/>
              <w:right w:val="single" w:sz="4" w:space="0" w:color="auto"/>
            </w:tcBorders>
            <w:shd w:val="clear" w:color="auto" w:fill="auto"/>
            <w:noWrap/>
            <w:vAlign w:val="center"/>
            <w:hideMark/>
          </w:tcPr>
          <w:p w14:paraId="036D03C0"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Euro</w:t>
            </w:r>
          </w:p>
        </w:tc>
      </w:tr>
      <w:tr w:rsidR="002C3A1A" w:rsidRPr="001715D3" w14:paraId="548D53D9" w14:textId="77777777" w:rsidTr="00D23079">
        <w:trPr>
          <w:trHeight w:val="72"/>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77B0ECF"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Issue Amount</w:t>
            </w:r>
          </w:p>
        </w:tc>
        <w:tc>
          <w:tcPr>
            <w:tcW w:w="2410" w:type="dxa"/>
            <w:tcBorders>
              <w:top w:val="nil"/>
              <w:left w:val="nil"/>
              <w:bottom w:val="single" w:sz="4" w:space="0" w:color="auto"/>
              <w:right w:val="single" w:sz="4" w:space="0" w:color="auto"/>
            </w:tcBorders>
            <w:shd w:val="clear" w:color="auto" w:fill="auto"/>
            <w:noWrap/>
            <w:vAlign w:val="center"/>
            <w:hideMark/>
          </w:tcPr>
          <w:p w14:paraId="16F3DA24" w14:textId="4FB9FE02"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 xml:space="preserve">400,000,000 </w:t>
            </w:r>
          </w:p>
        </w:tc>
        <w:tc>
          <w:tcPr>
            <w:tcW w:w="2410" w:type="dxa"/>
            <w:tcBorders>
              <w:top w:val="nil"/>
              <w:left w:val="nil"/>
              <w:bottom w:val="single" w:sz="4" w:space="0" w:color="auto"/>
              <w:right w:val="single" w:sz="4" w:space="0" w:color="auto"/>
            </w:tcBorders>
            <w:shd w:val="clear" w:color="auto" w:fill="auto"/>
            <w:noWrap/>
            <w:vAlign w:val="center"/>
            <w:hideMark/>
          </w:tcPr>
          <w:p w14:paraId="240460BC" w14:textId="2D526560"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 xml:space="preserve">300,000,000 </w:t>
            </w:r>
          </w:p>
        </w:tc>
        <w:tc>
          <w:tcPr>
            <w:tcW w:w="1753" w:type="dxa"/>
            <w:tcBorders>
              <w:top w:val="nil"/>
              <w:left w:val="nil"/>
              <w:bottom w:val="single" w:sz="4" w:space="0" w:color="auto"/>
              <w:right w:val="single" w:sz="4" w:space="0" w:color="auto"/>
            </w:tcBorders>
            <w:shd w:val="clear" w:color="auto" w:fill="auto"/>
            <w:noWrap/>
            <w:vAlign w:val="center"/>
            <w:hideMark/>
          </w:tcPr>
          <w:p w14:paraId="56FFD4FA" w14:textId="75823F50" w:rsidR="00B17169" w:rsidRPr="001715D3" w:rsidRDefault="00D23079" w:rsidP="00D23079">
            <w:pPr>
              <w:jc w:val="right"/>
              <w:rPr>
                <w:rFonts w:ascii="Arial" w:hAnsi="Arial" w:cs="Arial"/>
                <w:sz w:val="18"/>
                <w:szCs w:val="18"/>
                <w:lang w:val="en-GB" w:eastAsia="en-SG"/>
              </w:rPr>
            </w:pPr>
            <w:r>
              <w:rPr>
                <w:rFonts w:ascii="Arial" w:hAnsi="Arial" w:cs="Arial"/>
                <w:sz w:val="18"/>
                <w:szCs w:val="18"/>
                <w:lang w:val="en-GB" w:eastAsia="en-SG"/>
              </w:rPr>
              <w:t xml:space="preserve">         </w:t>
            </w:r>
            <w:r w:rsidR="00B17169" w:rsidRPr="001715D3">
              <w:rPr>
                <w:rFonts w:ascii="Arial" w:hAnsi="Arial" w:cs="Arial"/>
                <w:sz w:val="18"/>
                <w:szCs w:val="18"/>
                <w:lang w:val="en-GB" w:eastAsia="en-SG"/>
              </w:rPr>
              <w:t xml:space="preserve">280,000,000 </w:t>
            </w:r>
          </w:p>
        </w:tc>
        <w:tc>
          <w:tcPr>
            <w:tcW w:w="1754" w:type="dxa"/>
            <w:tcBorders>
              <w:top w:val="nil"/>
              <w:left w:val="nil"/>
              <w:bottom w:val="single" w:sz="4" w:space="0" w:color="auto"/>
              <w:right w:val="single" w:sz="4" w:space="0" w:color="auto"/>
            </w:tcBorders>
            <w:shd w:val="clear" w:color="auto" w:fill="auto"/>
            <w:noWrap/>
            <w:vAlign w:val="center"/>
            <w:hideMark/>
          </w:tcPr>
          <w:p w14:paraId="2F9A5C01" w14:textId="14A4EC48" w:rsidR="00B17169" w:rsidRPr="001715D3" w:rsidRDefault="00D23079" w:rsidP="00D23079">
            <w:pPr>
              <w:jc w:val="right"/>
              <w:rPr>
                <w:rFonts w:ascii="Arial" w:hAnsi="Arial" w:cs="Arial"/>
                <w:sz w:val="18"/>
                <w:szCs w:val="18"/>
                <w:lang w:val="en-GB" w:eastAsia="en-SG"/>
              </w:rPr>
            </w:pPr>
            <w:r>
              <w:rPr>
                <w:rFonts w:ascii="Arial" w:hAnsi="Arial" w:cs="Arial"/>
                <w:sz w:val="18"/>
                <w:szCs w:val="18"/>
                <w:lang w:val="en-GB" w:eastAsia="en-SG"/>
              </w:rPr>
              <w:t xml:space="preserve">          </w:t>
            </w:r>
            <w:r w:rsidR="00B17169" w:rsidRPr="001715D3">
              <w:rPr>
                <w:rFonts w:ascii="Arial" w:hAnsi="Arial" w:cs="Arial"/>
                <w:sz w:val="18"/>
                <w:szCs w:val="18"/>
                <w:lang w:val="en-GB" w:eastAsia="en-SG"/>
              </w:rPr>
              <w:t xml:space="preserve">300,000,000 </w:t>
            </w:r>
          </w:p>
        </w:tc>
        <w:tc>
          <w:tcPr>
            <w:tcW w:w="1754" w:type="dxa"/>
            <w:tcBorders>
              <w:top w:val="nil"/>
              <w:left w:val="nil"/>
              <w:bottom w:val="single" w:sz="4" w:space="0" w:color="auto"/>
              <w:right w:val="single" w:sz="4" w:space="0" w:color="auto"/>
            </w:tcBorders>
            <w:shd w:val="clear" w:color="auto" w:fill="auto"/>
            <w:noWrap/>
            <w:vAlign w:val="center"/>
            <w:hideMark/>
          </w:tcPr>
          <w:p w14:paraId="4FC85C64" w14:textId="7CE05768"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 xml:space="preserve">       </w:t>
            </w:r>
            <w:r w:rsidR="00D23079">
              <w:rPr>
                <w:rFonts w:ascii="Arial" w:hAnsi="Arial" w:cs="Arial"/>
                <w:sz w:val="18"/>
                <w:szCs w:val="18"/>
                <w:lang w:val="en-GB" w:eastAsia="en-SG"/>
              </w:rPr>
              <w:t xml:space="preserve">   </w:t>
            </w:r>
            <w:r w:rsidRPr="001715D3">
              <w:rPr>
                <w:rFonts w:ascii="Arial" w:hAnsi="Arial" w:cs="Arial"/>
                <w:sz w:val="18"/>
                <w:szCs w:val="18"/>
                <w:lang w:val="en-GB" w:eastAsia="en-SG"/>
              </w:rPr>
              <w:t xml:space="preserve">550,000,000 </w:t>
            </w:r>
          </w:p>
        </w:tc>
      </w:tr>
      <w:tr w:rsidR="002C3A1A" w:rsidRPr="001715D3" w14:paraId="7A2E938C" w14:textId="77777777" w:rsidTr="00D23079">
        <w:trPr>
          <w:trHeight w:val="6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CD69EC6"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Maturity Price (% of par)</w:t>
            </w:r>
          </w:p>
        </w:tc>
        <w:tc>
          <w:tcPr>
            <w:tcW w:w="2410" w:type="dxa"/>
            <w:tcBorders>
              <w:top w:val="nil"/>
              <w:left w:val="nil"/>
              <w:bottom w:val="single" w:sz="4" w:space="0" w:color="auto"/>
              <w:right w:val="single" w:sz="4" w:space="0" w:color="auto"/>
            </w:tcBorders>
            <w:shd w:val="clear" w:color="auto" w:fill="auto"/>
            <w:noWrap/>
            <w:vAlign w:val="center"/>
            <w:hideMark/>
          </w:tcPr>
          <w:p w14:paraId="6095DDD5"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2410" w:type="dxa"/>
            <w:tcBorders>
              <w:top w:val="nil"/>
              <w:left w:val="nil"/>
              <w:bottom w:val="single" w:sz="4" w:space="0" w:color="auto"/>
              <w:right w:val="single" w:sz="4" w:space="0" w:color="auto"/>
            </w:tcBorders>
            <w:shd w:val="clear" w:color="auto" w:fill="auto"/>
            <w:noWrap/>
            <w:vAlign w:val="center"/>
            <w:hideMark/>
          </w:tcPr>
          <w:p w14:paraId="706C0E4A"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1753" w:type="dxa"/>
            <w:tcBorders>
              <w:top w:val="nil"/>
              <w:left w:val="nil"/>
              <w:bottom w:val="single" w:sz="4" w:space="0" w:color="auto"/>
              <w:right w:val="single" w:sz="4" w:space="0" w:color="auto"/>
            </w:tcBorders>
            <w:shd w:val="clear" w:color="auto" w:fill="auto"/>
            <w:noWrap/>
            <w:vAlign w:val="center"/>
            <w:hideMark/>
          </w:tcPr>
          <w:p w14:paraId="7C6D2BE2"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1754" w:type="dxa"/>
            <w:tcBorders>
              <w:top w:val="nil"/>
              <w:left w:val="nil"/>
              <w:bottom w:val="single" w:sz="4" w:space="0" w:color="auto"/>
              <w:right w:val="single" w:sz="4" w:space="0" w:color="auto"/>
            </w:tcBorders>
            <w:shd w:val="clear" w:color="auto" w:fill="auto"/>
            <w:noWrap/>
            <w:vAlign w:val="center"/>
            <w:hideMark/>
          </w:tcPr>
          <w:p w14:paraId="033978D0"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1754" w:type="dxa"/>
            <w:tcBorders>
              <w:top w:val="nil"/>
              <w:left w:val="nil"/>
              <w:bottom w:val="single" w:sz="4" w:space="0" w:color="auto"/>
              <w:right w:val="single" w:sz="4" w:space="0" w:color="auto"/>
            </w:tcBorders>
            <w:shd w:val="clear" w:color="auto" w:fill="auto"/>
            <w:noWrap/>
            <w:vAlign w:val="center"/>
            <w:hideMark/>
          </w:tcPr>
          <w:p w14:paraId="4EDC72D7"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100.00</w:t>
            </w:r>
          </w:p>
        </w:tc>
      </w:tr>
      <w:tr w:rsidR="002C3A1A" w:rsidRPr="001715D3" w14:paraId="6FC4DCDB" w14:textId="77777777" w:rsidTr="00D23079">
        <w:trPr>
          <w:trHeight w:val="78"/>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7DF52D9"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Offering Price (% of par)</w:t>
            </w:r>
          </w:p>
        </w:tc>
        <w:tc>
          <w:tcPr>
            <w:tcW w:w="2410" w:type="dxa"/>
            <w:tcBorders>
              <w:top w:val="nil"/>
              <w:left w:val="nil"/>
              <w:bottom w:val="single" w:sz="4" w:space="0" w:color="auto"/>
              <w:right w:val="single" w:sz="4" w:space="0" w:color="auto"/>
            </w:tcBorders>
            <w:shd w:val="clear" w:color="auto" w:fill="auto"/>
            <w:noWrap/>
            <w:vAlign w:val="center"/>
            <w:hideMark/>
          </w:tcPr>
          <w:p w14:paraId="7D7A4BBC"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2410" w:type="dxa"/>
            <w:tcBorders>
              <w:top w:val="nil"/>
              <w:left w:val="nil"/>
              <w:bottom w:val="single" w:sz="4" w:space="0" w:color="auto"/>
              <w:right w:val="single" w:sz="4" w:space="0" w:color="auto"/>
            </w:tcBorders>
            <w:shd w:val="clear" w:color="auto" w:fill="auto"/>
            <w:noWrap/>
            <w:vAlign w:val="center"/>
            <w:hideMark/>
          </w:tcPr>
          <w:p w14:paraId="57B863A1"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1753" w:type="dxa"/>
            <w:tcBorders>
              <w:top w:val="nil"/>
              <w:left w:val="nil"/>
              <w:bottom w:val="single" w:sz="4" w:space="0" w:color="auto"/>
              <w:right w:val="single" w:sz="4" w:space="0" w:color="auto"/>
            </w:tcBorders>
            <w:shd w:val="clear" w:color="auto" w:fill="auto"/>
            <w:noWrap/>
            <w:vAlign w:val="center"/>
            <w:hideMark/>
          </w:tcPr>
          <w:p w14:paraId="57D30CE6"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1754" w:type="dxa"/>
            <w:tcBorders>
              <w:top w:val="nil"/>
              <w:left w:val="nil"/>
              <w:bottom w:val="single" w:sz="4" w:space="0" w:color="auto"/>
              <w:right w:val="single" w:sz="4" w:space="0" w:color="auto"/>
            </w:tcBorders>
            <w:shd w:val="clear" w:color="auto" w:fill="auto"/>
            <w:noWrap/>
            <w:vAlign w:val="center"/>
            <w:hideMark/>
          </w:tcPr>
          <w:p w14:paraId="56A2C598"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100</w:t>
            </w:r>
          </w:p>
        </w:tc>
        <w:tc>
          <w:tcPr>
            <w:tcW w:w="1754" w:type="dxa"/>
            <w:tcBorders>
              <w:top w:val="nil"/>
              <w:left w:val="nil"/>
              <w:bottom w:val="single" w:sz="4" w:space="0" w:color="auto"/>
              <w:right w:val="single" w:sz="4" w:space="0" w:color="auto"/>
            </w:tcBorders>
            <w:shd w:val="clear" w:color="auto" w:fill="auto"/>
            <w:noWrap/>
            <w:vAlign w:val="center"/>
            <w:hideMark/>
          </w:tcPr>
          <w:p w14:paraId="3D834397"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98.87</w:t>
            </w:r>
          </w:p>
        </w:tc>
      </w:tr>
      <w:tr w:rsidR="002C3A1A" w:rsidRPr="001715D3" w14:paraId="5A630B42" w14:textId="77777777" w:rsidTr="00D23079">
        <w:trPr>
          <w:trHeight w:val="137"/>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E59B810"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Face Value</w:t>
            </w:r>
          </w:p>
        </w:tc>
        <w:tc>
          <w:tcPr>
            <w:tcW w:w="2410" w:type="dxa"/>
            <w:tcBorders>
              <w:top w:val="nil"/>
              <w:left w:val="nil"/>
              <w:bottom w:val="single" w:sz="4" w:space="0" w:color="auto"/>
              <w:right w:val="single" w:sz="4" w:space="0" w:color="auto"/>
            </w:tcBorders>
            <w:shd w:val="clear" w:color="auto" w:fill="auto"/>
            <w:noWrap/>
            <w:vAlign w:val="center"/>
            <w:hideMark/>
          </w:tcPr>
          <w:p w14:paraId="02F73D6B" w14:textId="407A2238"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 xml:space="preserve">250,000 </w:t>
            </w:r>
          </w:p>
        </w:tc>
        <w:tc>
          <w:tcPr>
            <w:tcW w:w="2410" w:type="dxa"/>
            <w:tcBorders>
              <w:top w:val="nil"/>
              <w:left w:val="nil"/>
              <w:bottom w:val="single" w:sz="4" w:space="0" w:color="auto"/>
              <w:right w:val="single" w:sz="4" w:space="0" w:color="auto"/>
            </w:tcBorders>
            <w:shd w:val="clear" w:color="auto" w:fill="auto"/>
            <w:noWrap/>
            <w:vAlign w:val="center"/>
            <w:hideMark/>
          </w:tcPr>
          <w:p w14:paraId="61FBF23C" w14:textId="409C84A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 xml:space="preserve">250,000 </w:t>
            </w:r>
          </w:p>
        </w:tc>
        <w:tc>
          <w:tcPr>
            <w:tcW w:w="1753" w:type="dxa"/>
            <w:tcBorders>
              <w:top w:val="nil"/>
              <w:left w:val="nil"/>
              <w:bottom w:val="single" w:sz="4" w:space="0" w:color="auto"/>
              <w:right w:val="single" w:sz="4" w:space="0" w:color="auto"/>
            </w:tcBorders>
            <w:shd w:val="clear" w:color="auto" w:fill="auto"/>
            <w:noWrap/>
            <w:vAlign w:val="center"/>
            <w:hideMark/>
          </w:tcPr>
          <w:p w14:paraId="1988C2C4" w14:textId="65AB01F7" w:rsidR="00B17169" w:rsidRPr="001715D3" w:rsidRDefault="00D23079" w:rsidP="00D23079">
            <w:pPr>
              <w:jc w:val="right"/>
              <w:rPr>
                <w:rFonts w:ascii="Arial" w:hAnsi="Arial" w:cs="Arial"/>
                <w:sz w:val="18"/>
                <w:szCs w:val="18"/>
                <w:lang w:val="en-GB" w:eastAsia="en-SG"/>
              </w:rPr>
            </w:pPr>
            <w:r>
              <w:rPr>
                <w:rFonts w:ascii="Arial" w:hAnsi="Arial" w:cs="Arial"/>
                <w:sz w:val="18"/>
                <w:szCs w:val="18"/>
                <w:lang w:val="en-GB" w:eastAsia="en-SG"/>
              </w:rPr>
              <w:t xml:space="preserve">                </w:t>
            </w:r>
            <w:r w:rsidR="00B17169" w:rsidRPr="001715D3">
              <w:rPr>
                <w:rFonts w:ascii="Arial" w:hAnsi="Arial" w:cs="Arial"/>
                <w:sz w:val="18"/>
                <w:szCs w:val="18"/>
                <w:lang w:val="en-GB" w:eastAsia="en-SG"/>
              </w:rPr>
              <w:t xml:space="preserve">250,000 </w:t>
            </w:r>
          </w:p>
        </w:tc>
        <w:tc>
          <w:tcPr>
            <w:tcW w:w="1754" w:type="dxa"/>
            <w:tcBorders>
              <w:top w:val="nil"/>
              <w:left w:val="nil"/>
              <w:bottom w:val="single" w:sz="4" w:space="0" w:color="auto"/>
              <w:right w:val="single" w:sz="4" w:space="0" w:color="auto"/>
            </w:tcBorders>
            <w:shd w:val="clear" w:color="auto" w:fill="auto"/>
            <w:noWrap/>
            <w:vAlign w:val="center"/>
            <w:hideMark/>
          </w:tcPr>
          <w:p w14:paraId="2EA490F3" w14:textId="5CD2FBAE"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 xml:space="preserve">250,000 </w:t>
            </w:r>
          </w:p>
        </w:tc>
        <w:tc>
          <w:tcPr>
            <w:tcW w:w="1754" w:type="dxa"/>
            <w:tcBorders>
              <w:top w:val="nil"/>
              <w:left w:val="nil"/>
              <w:bottom w:val="single" w:sz="4" w:space="0" w:color="auto"/>
              <w:right w:val="single" w:sz="4" w:space="0" w:color="auto"/>
            </w:tcBorders>
            <w:shd w:val="clear" w:color="auto" w:fill="auto"/>
            <w:noWrap/>
            <w:vAlign w:val="center"/>
            <w:hideMark/>
          </w:tcPr>
          <w:p w14:paraId="7A599982" w14:textId="64656AAA"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1</w:t>
            </w:r>
            <w:r w:rsidR="008E5A7E" w:rsidRPr="001715D3">
              <w:rPr>
                <w:rFonts w:ascii="Arial" w:hAnsi="Arial" w:cs="Arial"/>
                <w:sz w:val="18"/>
                <w:szCs w:val="18"/>
                <w:lang w:val="en-GB" w:eastAsia="en-SG"/>
              </w:rPr>
              <w:t>,</w:t>
            </w:r>
            <w:r w:rsidRPr="001715D3">
              <w:rPr>
                <w:rFonts w:ascii="Arial" w:hAnsi="Arial" w:cs="Arial"/>
                <w:sz w:val="18"/>
                <w:szCs w:val="18"/>
                <w:lang w:val="en-GB" w:eastAsia="en-SG"/>
              </w:rPr>
              <w:t>000</w:t>
            </w:r>
          </w:p>
        </w:tc>
      </w:tr>
      <w:tr w:rsidR="002C3A1A" w:rsidRPr="001715D3" w14:paraId="66125D31" w14:textId="77777777" w:rsidTr="00D23079">
        <w:trPr>
          <w:trHeight w:val="211"/>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4B3C6B5" w14:textId="21B9D812"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Coupon</w:t>
            </w:r>
            <w:r w:rsidR="008E5A7E" w:rsidRPr="001715D3">
              <w:rPr>
                <w:rFonts w:ascii="Arial" w:hAnsi="Arial" w:cs="Arial"/>
                <w:sz w:val="18"/>
                <w:szCs w:val="18"/>
                <w:lang w:val="en-GB" w:eastAsia="en-SG"/>
              </w:rPr>
              <w:t xml:space="preserve"> </w:t>
            </w:r>
            <w:r w:rsidRPr="001715D3">
              <w:rPr>
                <w:rFonts w:ascii="Arial" w:hAnsi="Arial" w:cs="Arial"/>
                <w:sz w:val="18"/>
                <w:szCs w:val="18"/>
                <w:lang w:val="en-GB" w:eastAsia="en-SG"/>
              </w:rPr>
              <w:t>(%)</w:t>
            </w:r>
          </w:p>
        </w:tc>
        <w:tc>
          <w:tcPr>
            <w:tcW w:w="2410" w:type="dxa"/>
            <w:tcBorders>
              <w:top w:val="nil"/>
              <w:left w:val="nil"/>
              <w:bottom w:val="single" w:sz="4" w:space="0" w:color="auto"/>
              <w:right w:val="single" w:sz="4" w:space="0" w:color="auto"/>
            </w:tcBorders>
            <w:shd w:val="clear" w:color="auto" w:fill="auto"/>
            <w:noWrap/>
            <w:vAlign w:val="center"/>
            <w:hideMark/>
          </w:tcPr>
          <w:p w14:paraId="1FDADE87"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4.250</w:t>
            </w:r>
          </w:p>
        </w:tc>
        <w:tc>
          <w:tcPr>
            <w:tcW w:w="2410" w:type="dxa"/>
            <w:tcBorders>
              <w:top w:val="nil"/>
              <w:left w:val="nil"/>
              <w:bottom w:val="single" w:sz="4" w:space="0" w:color="auto"/>
              <w:right w:val="single" w:sz="4" w:space="0" w:color="auto"/>
            </w:tcBorders>
            <w:shd w:val="clear" w:color="auto" w:fill="auto"/>
            <w:noWrap/>
            <w:vAlign w:val="center"/>
            <w:hideMark/>
          </w:tcPr>
          <w:p w14:paraId="2A97B38A"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4.400</w:t>
            </w:r>
          </w:p>
        </w:tc>
        <w:tc>
          <w:tcPr>
            <w:tcW w:w="1753" w:type="dxa"/>
            <w:tcBorders>
              <w:top w:val="nil"/>
              <w:left w:val="nil"/>
              <w:bottom w:val="single" w:sz="4" w:space="0" w:color="auto"/>
              <w:right w:val="single" w:sz="4" w:space="0" w:color="auto"/>
            </w:tcBorders>
            <w:shd w:val="clear" w:color="auto" w:fill="auto"/>
            <w:noWrap/>
            <w:vAlign w:val="center"/>
            <w:hideMark/>
          </w:tcPr>
          <w:p w14:paraId="18CF8E73" w14:textId="194F5110"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4.65</w:t>
            </w:r>
            <w:r w:rsidR="00CD01C5" w:rsidRPr="001715D3">
              <w:rPr>
                <w:rFonts w:ascii="Arial" w:hAnsi="Arial" w:cs="Arial"/>
                <w:sz w:val="18"/>
                <w:szCs w:val="18"/>
                <w:lang w:val="en-GB" w:eastAsia="en-SG"/>
              </w:rPr>
              <w:t>0</w:t>
            </w:r>
          </w:p>
        </w:tc>
        <w:tc>
          <w:tcPr>
            <w:tcW w:w="1754" w:type="dxa"/>
            <w:tcBorders>
              <w:top w:val="nil"/>
              <w:left w:val="nil"/>
              <w:bottom w:val="single" w:sz="4" w:space="0" w:color="auto"/>
              <w:right w:val="single" w:sz="4" w:space="0" w:color="auto"/>
            </w:tcBorders>
            <w:shd w:val="clear" w:color="auto" w:fill="auto"/>
            <w:noWrap/>
            <w:vAlign w:val="center"/>
            <w:hideMark/>
          </w:tcPr>
          <w:p w14:paraId="6D989908" w14:textId="77777777"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4.400</w:t>
            </w:r>
          </w:p>
        </w:tc>
        <w:tc>
          <w:tcPr>
            <w:tcW w:w="1754" w:type="dxa"/>
            <w:tcBorders>
              <w:top w:val="nil"/>
              <w:left w:val="nil"/>
              <w:bottom w:val="single" w:sz="4" w:space="0" w:color="auto"/>
              <w:right w:val="single" w:sz="4" w:space="0" w:color="auto"/>
            </w:tcBorders>
            <w:shd w:val="clear" w:color="auto" w:fill="auto"/>
            <w:noWrap/>
            <w:vAlign w:val="center"/>
            <w:hideMark/>
          </w:tcPr>
          <w:p w14:paraId="1233BE25" w14:textId="12E58CCF" w:rsidR="00B17169" w:rsidRPr="001715D3" w:rsidRDefault="00B17169" w:rsidP="00D23079">
            <w:pPr>
              <w:jc w:val="right"/>
              <w:rPr>
                <w:rFonts w:ascii="Arial" w:hAnsi="Arial" w:cs="Arial"/>
                <w:sz w:val="18"/>
                <w:szCs w:val="18"/>
                <w:lang w:val="en-GB" w:eastAsia="en-SG"/>
              </w:rPr>
            </w:pPr>
            <w:r w:rsidRPr="001715D3">
              <w:rPr>
                <w:rFonts w:ascii="Arial" w:hAnsi="Arial" w:cs="Arial"/>
                <w:sz w:val="18"/>
                <w:szCs w:val="18"/>
                <w:lang w:val="en-GB" w:eastAsia="en-SG"/>
              </w:rPr>
              <w:t>7.75</w:t>
            </w:r>
            <w:r w:rsidR="00CD01C5" w:rsidRPr="001715D3">
              <w:rPr>
                <w:rFonts w:ascii="Arial" w:hAnsi="Arial" w:cs="Arial"/>
                <w:sz w:val="18"/>
                <w:szCs w:val="18"/>
                <w:lang w:val="en-GB" w:eastAsia="en-SG"/>
              </w:rPr>
              <w:t>0</w:t>
            </w:r>
          </w:p>
        </w:tc>
      </w:tr>
      <w:tr w:rsidR="002C3A1A" w:rsidRPr="001715D3" w14:paraId="750B34D7" w14:textId="77777777" w:rsidTr="00D23079">
        <w:trPr>
          <w:trHeight w:val="6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98E132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Coupon Type</w:t>
            </w:r>
          </w:p>
        </w:tc>
        <w:tc>
          <w:tcPr>
            <w:tcW w:w="2410" w:type="dxa"/>
            <w:tcBorders>
              <w:top w:val="nil"/>
              <w:left w:val="nil"/>
              <w:bottom w:val="single" w:sz="4" w:space="0" w:color="auto"/>
              <w:right w:val="single" w:sz="4" w:space="0" w:color="auto"/>
            </w:tcBorders>
            <w:shd w:val="clear" w:color="auto" w:fill="auto"/>
            <w:noWrap/>
            <w:vAlign w:val="center"/>
            <w:hideMark/>
          </w:tcPr>
          <w:p w14:paraId="0A812CF7"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Fixed</w:t>
            </w:r>
          </w:p>
        </w:tc>
        <w:tc>
          <w:tcPr>
            <w:tcW w:w="2410" w:type="dxa"/>
            <w:tcBorders>
              <w:top w:val="nil"/>
              <w:left w:val="nil"/>
              <w:bottom w:val="single" w:sz="4" w:space="0" w:color="auto"/>
              <w:right w:val="single" w:sz="4" w:space="0" w:color="auto"/>
            </w:tcBorders>
            <w:shd w:val="clear" w:color="auto" w:fill="auto"/>
            <w:noWrap/>
            <w:vAlign w:val="center"/>
            <w:hideMark/>
          </w:tcPr>
          <w:p w14:paraId="18A6ADE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Fixed</w:t>
            </w:r>
          </w:p>
        </w:tc>
        <w:tc>
          <w:tcPr>
            <w:tcW w:w="1753" w:type="dxa"/>
            <w:tcBorders>
              <w:top w:val="nil"/>
              <w:left w:val="nil"/>
              <w:bottom w:val="single" w:sz="4" w:space="0" w:color="auto"/>
              <w:right w:val="single" w:sz="4" w:space="0" w:color="auto"/>
            </w:tcBorders>
            <w:shd w:val="clear" w:color="auto" w:fill="auto"/>
            <w:noWrap/>
            <w:vAlign w:val="center"/>
            <w:hideMark/>
          </w:tcPr>
          <w:p w14:paraId="4D69B31B"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Fixed</w:t>
            </w:r>
          </w:p>
        </w:tc>
        <w:tc>
          <w:tcPr>
            <w:tcW w:w="1754" w:type="dxa"/>
            <w:tcBorders>
              <w:top w:val="nil"/>
              <w:left w:val="nil"/>
              <w:bottom w:val="single" w:sz="4" w:space="0" w:color="auto"/>
              <w:right w:val="single" w:sz="4" w:space="0" w:color="auto"/>
            </w:tcBorders>
            <w:shd w:val="clear" w:color="auto" w:fill="auto"/>
            <w:noWrap/>
            <w:vAlign w:val="center"/>
            <w:hideMark/>
          </w:tcPr>
          <w:p w14:paraId="6B09043F"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Fixed</w:t>
            </w:r>
          </w:p>
        </w:tc>
        <w:tc>
          <w:tcPr>
            <w:tcW w:w="1754" w:type="dxa"/>
            <w:tcBorders>
              <w:top w:val="nil"/>
              <w:left w:val="nil"/>
              <w:bottom w:val="single" w:sz="4" w:space="0" w:color="auto"/>
              <w:right w:val="single" w:sz="4" w:space="0" w:color="auto"/>
            </w:tcBorders>
            <w:shd w:val="clear" w:color="auto" w:fill="auto"/>
            <w:noWrap/>
            <w:vAlign w:val="center"/>
            <w:hideMark/>
          </w:tcPr>
          <w:p w14:paraId="53F4E53D"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Fixed</w:t>
            </w:r>
          </w:p>
        </w:tc>
      </w:tr>
      <w:tr w:rsidR="002C3A1A" w:rsidRPr="001715D3" w14:paraId="4622B87C" w14:textId="77777777" w:rsidTr="00D23079">
        <w:trPr>
          <w:trHeight w:val="6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9F71A96"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Payment Frequency</w:t>
            </w:r>
          </w:p>
        </w:tc>
        <w:tc>
          <w:tcPr>
            <w:tcW w:w="2410" w:type="dxa"/>
            <w:tcBorders>
              <w:top w:val="nil"/>
              <w:left w:val="nil"/>
              <w:bottom w:val="single" w:sz="4" w:space="0" w:color="auto"/>
              <w:right w:val="single" w:sz="4" w:space="0" w:color="auto"/>
            </w:tcBorders>
            <w:shd w:val="clear" w:color="auto" w:fill="auto"/>
            <w:noWrap/>
            <w:vAlign w:val="center"/>
            <w:hideMark/>
          </w:tcPr>
          <w:p w14:paraId="27C3B759"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Semi-Annual</w:t>
            </w:r>
          </w:p>
        </w:tc>
        <w:tc>
          <w:tcPr>
            <w:tcW w:w="2410" w:type="dxa"/>
            <w:tcBorders>
              <w:top w:val="nil"/>
              <w:left w:val="nil"/>
              <w:bottom w:val="single" w:sz="4" w:space="0" w:color="auto"/>
              <w:right w:val="single" w:sz="4" w:space="0" w:color="auto"/>
            </w:tcBorders>
            <w:shd w:val="clear" w:color="auto" w:fill="auto"/>
            <w:noWrap/>
            <w:vAlign w:val="center"/>
            <w:hideMark/>
          </w:tcPr>
          <w:p w14:paraId="1A5D966B"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Semi-Annual</w:t>
            </w:r>
          </w:p>
        </w:tc>
        <w:tc>
          <w:tcPr>
            <w:tcW w:w="1753" w:type="dxa"/>
            <w:tcBorders>
              <w:top w:val="nil"/>
              <w:left w:val="nil"/>
              <w:bottom w:val="single" w:sz="4" w:space="0" w:color="auto"/>
              <w:right w:val="single" w:sz="4" w:space="0" w:color="auto"/>
            </w:tcBorders>
            <w:shd w:val="clear" w:color="auto" w:fill="auto"/>
            <w:noWrap/>
            <w:vAlign w:val="center"/>
            <w:hideMark/>
          </w:tcPr>
          <w:p w14:paraId="13604C7C"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Semi-Annual</w:t>
            </w:r>
          </w:p>
        </w:tc>
        <w:tc>
          <w:tcPr>
            <w:tcW w:w="1754" w:type="dxa"/>
            <w:tcBorders>
              <w:top w:val="nil"/>
              <w:left w:val="nil"/>
              <w:bottom w:val="single" w:sz="4" w:space="0" w:color="auto"/>
              <w:right w:val="single" w:sz="4" w:space="0" w:color="auto"/>
            </w:tcBorders>
            <w:shd w:val="clear" w:color="auto" w:fill="auto"/>
            <w:noWrap/>
            <w:vAlign w:val="center"/>
            <w:hideMark/>
          </w:tcPr>
          <w:p w14:paraId="7062DAB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Semi-Annual</w:t>
            </w:r>
          </w:p>
        </w:tc>
        <w:tc>
          <w:tcPr>
            <w:tcW w:w="1754" w:type="dxa"/>
            <w:tcBorders>
              <w:top w:val="nil"/>
              <w:left w:val="nil"/>
              <w:bottom w:val="single" w:sz="4" w:space="0" w:color="auto"/>
              <w:right w:val="single" w:sz="4" w:space="0" w:color="auto"/>
            </w:tcBorders>
            <w:shd w:val="clear" w:color="auto" w:fill="auto"/>
            <w:noWrap/>
            <w:vAlign w:val="center"/>
            <w:hideMark/>
          </w:tcPr>
          <w:p w14:paraId="1B6D2B4C"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Semi-Annual</w:t>
            </w:r>
          </w:p>
        </w:tc>
      </w:tr>
      <w:tr w:rsidR="002C3A1A" w:rsidRPr="001715D3" w14:paraId="54711E49" w14:textId="77777777" w:rsidTr="00D23079">
        <w:trPr>
          <w:trHeight w:val="121"/>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6C491CA"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First Coupon Date</w:t>
            </w:r>
          </w:p>
        </w:tc>
        <w:tc>
          <w:tcPr>
            <w:tcW w:w="2410" w:type="dxa"/>
            <w:tcBorders>
              <w:top w:val="nil"/>
              <w:left w:val="nil"/>
              <w:bottom w:val="single" w:sz="4" w:space="0" w:color="auto"/>
              <w:right w:val="single" w:sz="4" w:space="0" w:color="auto"/>
            </w:tcBorders>
            <w:shd w:val="clear" w:color="auto" w:fill="auto"/>
            <w:noWrap/>
            <w:vAlign w:val="center"/>
            <w:hideMark/>
          </w:tcPr>
          <w:p w14:paraId="4E19DCA1"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27/10/2012</w:t>
            </w:r>
          </w:p>
        </w:tc>
        <w:tc>
          <w:tcPr>
            <w:tcW w:w="2410" w:type="dxa"/>
            <w:tcBorders>
              <w:top w:val="nil"/>
              <w:left w:val="nil"/>
              <w:bottom w:val="single" w:sz="4" w:space="0" w:color="auto"/>
              <w:right w:val="single" w:sz="4" w:space="0" w:color="auto"/>
            </w:tcBorders>
            <w:shd w:val="clear" w:color="auto" w:fill="auto"/>
            <w:noWrap/>
            <w:vAlign w:val="center"/>
            <w:hideMark/>
          </w:tcPr>
          <w:p w14:paraId="5131FC0E"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8/5/2013</w:t>
            </w:r>
          </w:p>
        </w:tc>
        <w:tc>
          <w:tcPr>
            <w:tcW w:w="1753" w:type="dxa"/>
            <w:tcBorders>
              <w:top w:val="nil"/>
              <w:left w:val="nil"/>
              <w:bottom w:val="single" w:sz="4" w:space="0" w:color="auto"/>
              <w:right w:val="single" w:sz="4" w:space="0" w:color="auto"/>
            </w:tcBorders>
            <w:shd w:val="clear" w:color="auto" w:fill="auto"/>
            <w:noWrap/>
            <w:vAlign w:val="center"/>
            <w:hideMark/>
          </w:tcPr>
          <w:p w14:paraId="059F90B0"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9/3/2011</w:t>
            </w:r>
          </w:p>
        </w:tc>
        <w:tc>
          <w:tcPr>
            <w:tcW w:w="1754" w:type="dxa"/>
            <w:tcBorders>
              <w:top w:val="nil"/>
              <w:left w:val="nil"/>
              <w:bottom w:val="single" w:sz="4" w:space="0" w:color="auto"/>
              <w:right w:val="single" w:sz="4" w:space="0" w:color="auto"/>
            </w:tcBorders>
            <w:shd w:val="clear" w:color="auto" w:fill="auto"/>
            <w:noWrap/>
            <w:vAlign w:val="center"/>
            <w:hideMark/>
          </w:tcPr>
          <w:p w14:paraId="557E5D1E"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22/12/2011</w:t>
            </w:r>
          </w:p>
        </w:tc>
        <w:tc>
          <w:tcPr>
            <w:tcW w:w="1754" w:type="dxa"/>
            <w:tcBorders>
              <w:top w:val="nil"/>
              <w:left w:val="nil"/>
              <w:bottom w:val="single" w:sz="4" w:space="0" w:color="auto"/>
              <w:right w:val="single" w:sz="4" w:space="0" w:color="auto"/>
            </w:tcBorders>
            <w:shd w:val="clear" w:color="auto" w:fill="auto"/>
            <w:noWrap/>
            <w:vAlign w:val="center"/>
            <w:hideMark/>
          </w:tcPr>
          <w:p w14:paraId="6BC7360A"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15/1/2016</w:t>
            </w:r>
          </w:p>
        </w:tc>
      </w:tr>
      <w:tr w:rsidR="002C3A1A" w:rsidRPr="001715D3" w14:paraId="7A6F2B61" w14:textId="77777777" w:rsidTr="00D23079">
        <w:trPr>
          <w:trHeight w:val="6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2A3ABB7"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Next Coupon Date*</w:t>
            </w:r>
          </w:p>
        </w:tc>
        <w:tc>
          <w:tcPr>
            <w:tcW w:w="2410" w:type="dxa"/>
            <w:tcBorders>
              <w:top w:val="nil"/>
              <w:left w:val="nil"/>
              <w:bottom w:val="single" w:sz="4" w:space="0" w:color="auto"/>
              <w:right w:val="single" w:sz="4" w:space="0" w:color="auto"/>
            </w:tcBorders>
            <w:shd w:val="clear" w:color="auto" w:fill="auto"/>
            <w:noWrap/>
            <w:vAlign w:val="center"/>
            <w:hideMark/>
          </w:tcPr>
          <w:p w14:paraId="2BFF531D"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28/4/2016</w:t>
            </w:r>
          </w:p>
        </w:tc>
        <w:tc>
          <w:tcPr>
            <w:tcW w:w="2410" w:type="dxa"/>
            <w:tcBorders>
              <w:top w:val="nil"/>
              <w:left w:val="nil"/>
              <w:bottom w:val="single" w:sz="4" w:space="0" w:color="auto"/>
              <w:right w:val="single" w:sz="4" w:space="0" w:color="auto"/>
            </w:tcBorders>
            <w:shd w:val="clear" w:color="auto" w:fill="auto"/>
            <w:noWrap/>
            <w:vAlign w:val="center"/>
            <w:hideMark/>
          </w:tcPr>
          <w:p w14:paraId="7D244BE2"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8/5/2016</w:t>
            </w:r>
          </w:p>
        </w:tc>
        <w:tc>
          <w:tcPr>
            <w:tcW w:w="1753" w:type="dxa"/>
            <w:tcBorders>
              <w:top w:val="nil"/>
              <w:left w:val="nil"/>
              <w:bottom w:val="single" w:sz="4" w:space="0" w:color="auto"/>
              <w:right w:val="single" w:sz="4" w:space="0" w:color="auto"/>
            </w:tcBorders>
            <w:shd w:val="clear" w:color="auto" w:fill="auto"/>
            <w:noWrap/>
            <w:vAlign w:val="center"/>
            <w:hideMark/>
          </w:tcPr>
          <w:p w14:paraId="748020D3"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9/3/2016</w:t>
            </w:r>
          </w:p>
        </w:tc>
        <w:tc>
          <w:tcPr>
            <w:tcW w:w="1754" w:type="dxa"/>
            <w:tcBorders>
              <w:top w:val="nil"/>
              <w:left w:val="nil"/>
              <w:bottom w:val="single" w:sz="4" w:space="0" w:color="auto"/>
              <w:right w:val="single" w:sz="4" w:space="0" w:color="auto"/>
            </w:tcBorders>
            <w:shd w:val="clear" w:color="auto" w:fill="auto"/>
            <w:noWrap/>
            <w:vAlign w:val="center"/>
            <w:hideMark/>
          </w:tcPr>
          <w:p w14:paraId="72782514"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22/6/2016</w:t>
            </w:r>
          </w:p>
        </w:tc>
        <w:tc>
          <w:tcPr>
            <w:tcW w:w="1754" w:type="dxa"/>
            <w:tcBorders>
              <w:top w:val="nil"/>
              <w:left w:val="nil"/>
              <w:bottom w:val="single" w:sz="4" w:space="0" w:color="auto"/>
              <w:right w:val="single" w:sz="4" w:space="0" w:color="auto"/>
            </w:tcBorders>
            <w:shd w:val="clear" w:color="auto" w:fill="auto"/>
            <w:noWrap/>
            <w:vAlign w:val="center"/>
            <w:hideMark/>
          </w:tcPr>
          <w:p w14:paraId="063355CC" w14:textId="77777777" w:rsidR="00B17169" w:rsidRPr="001715D3" w:rsidRDefault="00B17169" w:rsidP="00D23079">
            <w:pPr>
              <w:rPr>
                <w:rFonts w:ascii="Arial" w:hAnsi="Arial" w:cs="Arial"/>
                <w:sz w:val="18"/>
                <w:szCs w:val="18"/>
                <w:lang w:val="en-GB" w:eastAsia="en-SG"/>
              </w:rPr>
            </w:pPr>
            <w:r w:rsidRPr="001715D3">
              <w:rPr>
                <w:rFonts w:ascii="Arial" w:hAnsi="Arial" w:cs="Arial"/>
                <w:sz w:val="18"/>
                <w:szCs w:val="18"/>
                <w:lang w:val="en-GB" w:eastAsia="en-SG"/>
              </w:rPr>
              <w:t>15/7/2016</w:t>
            </w:r>
          </w:p>
        </w:tc>
      </w:tr>
      <w:tr w:rsidR="002C3A1A" w:rsidRPr="001715D3" w14:paraId="4C38A513" w14:textId="77777777" w:rsidTr="00D23079">
        <w:trPr>
          <w:trHeight w:val="60"/>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009913F" w14:textId="64907C71"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Last Coupon Date**</w:t>
            </w:r>
          </w:p>
        </w:tc>
        <w:tc>
          <w:tcPr>
            <w:tcW w:w="2410" w:type="dxa"/>
            <w:tcBorders>
              <w:top w:val="nil"/>
              <w:left w:val="nil"/>
              <w:bottom w:val="single" w:sz="4" w:space="0" w:color="auto"/>
              <w:right w:val="single" w:sz="4" w:space="0" w:color="auto"/>
            </w:tcBorders>
            <w:shd w:val="clear" w:color="auto" w:fill="auto"/>
            <w:noWrap/>
            <w:vAlign w:val="center"/>
          </w:tcPr>
          <w:p w14:paraId="7A15DEFF" w14:textId="30F69F85"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29/10/2016</w:t>
            </w:r>
          </w:p>
        </w:tc>
        <w:tc>
          <w:tcPr>
            <w:tcW w:w="2410" w:type="dxa"/>
            <w:tcBorders>
              <w:top w:val="nil"/>
              <w:left w:val="nil"/>
              <w:bottom w:val="single" w:sz="4" w:space="0" w:color="auto"/>
              <w:right w:val="single" w:sz="4" w:space="0" w:color="auto"/>
            </w:tcBorders>
            <w:shd w:val="clear" w:color="auto" w:fill="auto"/>
            <w:noWrap/>
            <w:vAlign w:val="center"/>
          </w:tcPr>
          <w:p w14:paraId="3418D6EC" w14:textId="00528C0F"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8/5/2019</w:t>
            </w:r>
          </w:p>
        </w:tc>
        <w:tc>
          <w:tcPr>
            <w:tcW w:w="1753" w:type="dxa"/>
            <w:tcBorders>
              <w:top w:val="nil"/>
              <w:left w:val="nil"/>
              <w:bottom w:val="single" w:sz="4" w:space="0" w:color="auto"/>
              <w:right w:val="single" w:sz="4" w:space="0" w:color="auto"/>
            </w:tcBorders>
            <w:shd w:val="clear" w:color="auto" w:fill="auto"/>
            <w:noWrap/>
            <w:vAlign w:val="center"/>
          </w:tcPr>
          <w:p w14:paraId="37F9DFFF" w14:textId="79D3CDA6"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9/3/2020</w:t>
            </w:r>
          </w:p>
        </w:tc>
        <w:tc>
          <w:tcPr>
            <w:tcW w:w="1754" w:type="dxa"/>
            <w:tcBorders>
              <w:top w:val="nil"/>
              <w:left w:val="nil"/>
              <w:bottom w:val="single" w:sz="4" w:space="0" w:color="auto"/>
              <w:right w:val="single" w:sz="4" w:space="0" w:color="auto"/>
            </w:tcBorders>
            <w:shd w:val="clear" w:color="auto" w:fill="auto"/>
            <w:noWrap/>
            <w:vAlign w:val="center"/>
          </w:tcPr>
          <w:p w14:paraId="0812FF53" w14:textId="4D854DF8"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22/12/2020</w:t>
            </w:r>
          </w:p>
        </w:tc>
        <w:tc>
          <w:tcPr>
            <w:tcW w:w="1754" w:type="dxa"/>
            <w:tcBorders>
              <w:top w:val="nil"/>
              <w:left w:val="nil"/>
              <w:bottom w:val="single" w:sz="4" w:space="0" w:color="auto"/>
              <w:right w:val="single" w:sz="4" w:space="0" w:color="auto"/>
            </w:tcBorders>
            <w:shd w:val="clear" w:color="auto" w:fill="auto"/>
            <w:noWrap/>
            <w:vAlign w:val="center"/>
          </w:tcPr>
          <w:p w14:paraId="5BD9C3C8" w14:textId="0E0D0447"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15/7/2020</w:t>
            </w:r>
          </w:p>
        </w:tc>
      </w:tr>
      <w:tr w:rsidR="008E5A7E" w:rsidRPr="001715D3" w14:paraId="57AE70FD" w14:textId="77777777" w:rsidTr="00D23079">
        <w:trPr>
          <w:trHeight w:val="159"/>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5E011E4" w14:textId="08026EA4"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Bond Feature</w:t>
            </w:r>
          </w:p>
        </w:tc>
        <w:tc>
          <w:tcPr>
            <w:tcW w:w="2410" w:type="dxa"/>
            <w:tcBorders>
              <w:top w:val="nil"/>
              <w:left w:val="nil"/>
              <w:bottom w:val="single" w:sz="4" w:space="0" w:color="auto"/>
              <w:right w:val="single" w:sz="4" w:space="0" w:color="auto"/>
            </w:tcBorders>
            <w:shd w:val="clear" w:color="auto" w:fill="auto"/>
            <w:noWrap/>
            <w:vAlign w:val="center"/>
            <w:hideMark/>
          </w:tcPr>
          <w:p w14:paraId="4135230A" w14:textId="250E3707"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-Coupon Step</w:t>
            </w:r>
            <w:r w:rsidR="004E1778" w:rsidRPr="001715D3">
              <w:rPr>
                <w:rFonts w:ascii="Arial" w:hAnsi="Arial" w:cs="Arial"/>
                <w:sz w:val="18"/>
                <w:szCs w:val="18"/>
                <w:lang w:val="en-GB" w:eastAsia="en-SG"/>
              </w:rPr>
              <w:t>***</w:t>
            </w:r>
          </w:p>
          <w:p w14:paraId="501B0FCD" w14:textId="1A5614B9"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-Change of Control Call</w:t>
            </w:r>
            <w:r w:rsidR="004E1778" w:rsidRPr="001715D3">
              <w:rPr>
                <w:rFonts w:ascii="Arial" w:hAnsi="Arial" w:cs="Arial"/>
                <w:sz w:val="18"/>
                <w:szCs w:val="18"/>
                <w:lang w:val="en-GB" w:eastAsia="en-SG"/>
              </w:rPr>
              <w:t>****</w:t>
            </w:r>
          </w:p>
        </w:tc>
        <w:tc>
          <w:tcPr>
            <w:tcW w:w="2410" w:type="dxa"/>
            <w:tcBorders>
              <w:top w:val="nil"/>
              <w:left w:val="nil"/>
              <w:bottom w:val="single" w:sz="4" w:space="0" w:color="auto"/>
              <w:right w:val="single" w:sz="4" w:space="0" w:color="auto"/>
            </w:tcBorders>
            <w:shd w:val="clear" w:color="auto" w:fill="auto"/>
            <w:noWrap/>
            <w:vAlign w:val="center"/>
            <w:hideMark/>
          </w:tcPr>
          <w:p w14:paraId="458F8831" w14:textId="4C7EE137"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-Callable</w:t>
            </w:r>
          </w:p>
          <w:p w14:paraId="7C42CC9C" w14:textId="2D61C1D7"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-Coupon Step</w:t>
            </w:r>
            <w:r w:rsidR="004E1778" w:rsidRPr="001715D3">
              <w:rPr>
                <w:rFonts w:ascii="Arial" w:hAnsi="Arial" w:cs="Arial"/>
                <w:sz w:val="18"/>
                <w:szCs w:val="18"/>
                <w:lang w:val="en-GB" w:eastAsia="en-SG"/>
              </w:rPr>
              <w:t>***</w:t>
            </w:r>
          </w:p>
          <w:p w14:paraId="3939F940" w14:textId="7365B8D9"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-Change of Control Call</w:t>
            </w:r>
            <w:r w:rsidR="004E1778" w:rsidRPr="001715D3">
              <w:rPr>
                <w:rFonts w:ascii="Arial" w:hAnsi="Arial" w:cs="Arial"/>
                <w:sz w:val="18"/>
                <w:szCs w:val="18"/>
                <w:lang w:val="en-GB" w:eastAsia="en-SG"/>
              </w:rPr>
              <w:t>****</w:t>
            </w:r>
          </w:p>
        </w:tc>
        <w:tc>
          <w:tcPr>
            <w:tcW w:w="1753" w:type="dxa"/>
            <w:tcBorders>
              <w:top w:val="nil"/>
              <w:left w:val="nil"/>
              <w:bottom w:val="single" w:sz="4" w:space="0" w:color="auto"/>
              <w:right w:val="single" w:sz="4" w:space="0" w:color="auto"/>
            </w:tcBorders>
            <w:shd w:val="clear" w:color="auto" w:fill="auto"/>
            <w:noWrap/>
            <w:vAlign w:val="center"/>
            <w:hideMark/>
          </w:tcPr>
          <w:p w14:paraId="001BD48F" w14:textId="6C6396C1"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Callable</w:t>
            </w:r>
          </w:p>
        </w:tc>
        <w:tc>
          <w:tcPr>
            <w:tcW w:w="1754" w:type="dxa"/>
            <w:tcBorders>
              <w:top w:val="nil"/>
              <w:left w:val="nil"/>
              <w:bottom w:val="single" w:sz="4" w:space="0" w:color="auto"/>
              <w:right w:val="single" w:sz="4" w:space="0" w:color="auto"/>
            </w:tcBorders>
            <w:shd w:val="clear" w:color="auto" w:fill="auto"/>
            <w:noWrap/>
            <w:vAlign w:val="center"/>
            <w:hideMark/>
          </w:tcPr>
          <w:p w14:paraId="46B6304A" w14:textId="22004E24"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Callable</w:t>
            </w:r>
          </w:p>
        </w:tc>
        <w:tc>
          <w:tcPr>
            <w:tcW w:w="1754" w:type="dxa"/>
            <w:tcBorders>
              <w:top w:val="nil"/>
              <w:left w:val="nil"/>
              <w:bottom w:val="single" w:sz="4" w:space="0" w:color="auto"/>
              <w:right w:val="single" w:sz="4" w:space="0" w:color="auto"/>
            </w:tcBorders>
            <w:shd w:val="clear" w:color="auto" w:fill="auto"/>
            <w:noWrap/>
            <w:vAlign w:val="center"/>
            <w:hideMark/>
          </w:tcPr>
          <w:p w14:paraId="56676585" w14:textId="31433DD4" w:rsidR="008E5A7E" w:rsidRPr="001715D3" w:rsidRDefault="008E5A7E" w:rsidP="00D23079">
            <w:pPr>
              <w:rPr>
                <w:rFonts w:ascii="Arial" w:hAnsi="Arial" w:cs="Arial"/>
                <w:sz w:val="18"/>
                <w:szCs w:val="18"/>
                <w:lang w:val="en-GB" w:eastAsia="en-SG"/>
              </w:rPr>
            </w:pPr>
            <w:r w:rsidRPr="001715D3">
              <w:rPr>
                <w:rFonts w:ascii="Arial" w:hAnsi="Arial" w:cs="Arial"/>
                <w:sz w:val="18"/>
                <w:szCs w:val="18"/>
                <w:lang w:val="en-GB" w:eastAsia="en-SG"/>
              </w:rPr>
              <w:t>Callable</w:t>
            </w:r>
          </w:p>
        </w:tc>
      </w:tr>
    </w:tbl>
    <w:p w14:paraId="5D758A99" w14:textId="29B0862B" w:rsidR="00232448" w:rsidRPr="001715D3" w:rsidRDefault="00232448" w:rsidP="00043E40">
      <w:pPr>
        <w:spacing w:line="276" w:lineRule="auto"/>
        <w:rPr>
          <w:rFonts w:ascii="Arial" w:hAnsi="Arial" w:cs="Arial"/>
          <w:i/>
          <w:sz w:val="17"/>
          <w:szCs w:val="17"/>
          <w:lang w:val="en-GB"/>
        </w:rPr>
      </w:pPr>
    </w:p>
    <w:p w14:paraId="468C229A" w14:textId="1967090A" w:rsidR="004E1778" w:rsidRPr="001715D3" w:rsidRDefault="00FF1584" w:rsidP="00D23079">
      <w:pPr>
        <w:rPr>
          <w:rFonts w:ascii="Arial" w:hAnsi="Arial" w:cs="Arial"/>
          <w:sz w:val="17"/>
          <w:szCs w:val="17"/>
          <w:lang w:val="en-GB"/>
        </w:rPr>
      </w:pPr>
      <w:r w:rsidRPr="001715D3">
        <w:rPr>
          <w:rFonts w:ascii="Arial" w:hAnsi="Arial" w:cs="Arial"/>
          <w:sz w:val="17"/>
          <w:szCs w:val="17"/>
          <w:lang w:val="en-GB"/>
        </w:rPr>
        <w:t xml:space="preserve">Note: </w:t>
      </w:r>
      <w:r w:rsidR="00043E40" w:rsidRPr="001715D3">
        <w:rPr>
          <w:rFonts w:ascii="Arial" w:hAnsi="Arial" w:cs="Arial"/>
          <w:sz w:val="17"/>
          <w:szCs w:val="17"/>
          <w:lang w:val="en-GB"/>
        </w:rPr>
        <w:t>*</w:t>
      </w:r>
      <w:r w:rsidR="008E405E" w:rsidRPr="001715D3">
        <w:rPr>
          <w:rFonts w:ascii="Arial" w:hAnsi="Arial" w:cs="Arial"/>
          <w:sz w:val="17"/>
          <w:szCs w:val="17"/>
          <w:lang w:val="en-GB"/>
        </w:rPr>
        <w:t>A</w:t>
      </w:r>
      <w:r w:rsidR="00043E40" w:rsidRPr="001715D3">
        <w:rPr>
          <w:rFonts w:ascii="Arial" w:hAnsi="Arial" w:cs="Arial"/>
          <w:sz w:val="17"/>
          <w:szCs w:val="17"/>
          <w:lang w:val="en-GB"/>
        </w:rPr>
        <w:t>s of February 16, 2016</w:t>
      </w:r>
      <w:r w:rsidRPr="001715D3">
        <w:rPr>
          <w:rFonts w:ascii="Arial" w:hAnsi="Arial" w:cs="Arial"/>
          <w:sz w:val="17"/>
          <w:szCs w:val="17"/>
          <w:lang w:val="en-GB"/>
        </w:rPr>
        <w:t xml:space="preserve">; </w:t>
      </w:r>
      <w:r w:rsidR="00043E40" w:rsidRPr="001715D3">
        <w:rPr>
          <w:rFonts w:ascii="Arial" w:hAnsi="Arial" w:cs="Arial"/>
          <w:sz w:val="17"/>
          <w:szCs w:val="17"/>
          <w:lang w:val="en-GB"/>
        </w:rPr>
        <w:t>**</w:t>
      </w:r>
      <w:r w:rsidR="008E405E" w:rsidRPr="001715D3">
        <w:rPr>
          <w:rFonts w:ascii="Arial" w:hAnsi="Arial" w:cs="Arial"/>
          <w:sz w:val="17"/>
          <w:szCs w:val="17"/>
          <w:lang w:val="en-GB"/>
        </w:rPr>
        <w:t>L</w:t>
      </w:r>
      <w:r w:rsidR="00043E40" w:rsidRPr="001715D3">
        <w:rPr>
          <w:rFonts w:ascii="Arial" w:hAnsi="Arial" w:cs="Arial"/>
          <w:sz w:val="17"/>
          <w:szCs w:val="17"/>
          <w:lang w:val="en-GB"/>
        </w:rPr>
        <w:t>ast coupon date refers to the last interest payment date prior to maturity</w:t>
      </w:r>
      <w:r w:rsidRPr="001715D3">
        <w:rPr>
          <w:rFonts w:ascii="Arial" w:hAnsi="Arial" w:cs="Arial"/>
          <w:sz w:val="17"/>
          <w:szCs w:val="17"/>
          <w:lang w:val="en-GB"/>
        </w:rPr>
        <w:t xml:space="preserve">; </w:t>
      </w:r>
      <w:r w:rsidR="004E1778" w:rsidRPr="001715D3">
        <w:rPr>
          <w:rFonts w:ascii="Arial" w:hAnsi="Arial" w:cs="Arial"/>
          <w:sz w:val="17"/>
          <w:szCs w:val="17"/>
          <w:lang w:val="en-GB"/>
        </w:rPr>
        <w:t>***If NOL d</w:t>
      </w:r>
      <w:r w:rsidR="007021CC" w:rsidRPr="001715D3">
        <w:rPr>
          <w:rFonts w:ascii="Arial" w:hAnsi="Arial" w:cs="Arial"/>
          <w:sz w:val="17"/>
          <w:szCs w:val="17"/>
          <w:lang w:val="en-GB"/>
        </w:rPr>
        <w:t>id</w:t>
      </w:r>
      <w:r w:rsidR="004E1778" w:rsidRPr="001715D3">
        <w:rPr>
          <w:rFonts w:ascii="Arial" w:hAnsi="Arial" w:cs="Arial"/>
          <w:sz w:val="17"/>
          <w:szCs w:val="17"/>
          <w:lang w:val="en-GB"/>
        </w:rPr>
        <w:t xml:space="preserve"> not repay the bonds within 60 days of a change in control, the prevailing coupon rate would increase by 1.5%</w:t>
      </w:r>
      <w:r w:rsidRPr="001715D3">
        <w:rPr>
          <w:rFonts w:ascii="Arial" w:hAnsi="Arial" w:cs="Arial"/>
          <w:sz w:val="17"/>
          <w:szCs w:val="17"/>
          <w:lang w:val="en-GB"/>
        </w:rPr>
        <w:t xml:space="preserve">; </w:t>
      </w:r>
      <w:r w:rsidR="004E1778" w:rsidRPr="001715D3">
        <w:rPr>
          <w:rFonts w:ascii="Arial" w:hAnsi="Arial" w:cs="Arial"/>
          <w:sz w:val="17"/>
          <w:szCs w:val="17"/>
          <w:lang w:val="en-GB"/>
        </w:rPr>
        <w:t>****</w:t>
      </w:r>
      <w:r w:rsidR="008E405E" w:rsidRPr="001715D3">
        <w:rPr>
          <w:rFonts w:ascii="Arial" w:hAnsi="Arial" w:cs="Arial"/>
          <w:sz w:val="17"/>
          <w:szCs w:val="17"/>
          <w:lang w:val="en-GB"/>
        </w:rPr>
        <w:t>B</w:t>
      </w:r>
      <w:r w:rsidR="004E1778" w:rsidRPr="001715D3">
        <w:rPr>
          <w:rFonts w:ascii="Arial" w:hAnsi="Arial" w:cs="Arial"/>
          <w:sz w:val="17"/>
          <w:szCs w:val="17"/>
          <w:lang w:val="en-GB"/>
        </w:rPr>
        <w:t xml:space="preserve">y giving not less than 30 days and not more than 60 days of irrevocable notice to bondholders, </w:t>
      </w:r>
      <w:r w:rsidR="008E405E" w:rsidRPr="001715D3">
        <w:rPr>
          <w:rFonts w:ascii="Arial" w:hAnsi="Arial" w:cs="Arial"/>
          <w:sz w:val="17"/>
          <w:szCs w:val="17"/>
          <w:lang w:val="en-GB"/>
        </w:rPr>
        <w:t xml:space="preserve">NOL might </w:t>
      </w:r>
      <w:r w:rsidR="004E1778" w:rsidRPr="001715D3">
        <w:rPr>
          <w:rFonts w:ascii="Arial" w:hAnsi="Arial" w:cs="Arial"/>
          <w:sz w:val="17"/>
          <w:szCs w:val="17"/>
          <w:lang w:val="en-GB"/>
        </w:rPr>
        <w:t>opt for early redemption of bonds at 100</w:t>
      </w:r>
      <w:r w:rsidR="00CD01C5" w:rsidRPr="001715D3">
        <w:rPr>
          <w:rFonts w:ascii="Arial" w:hAnsi="Arial" w:cs="Arial"/>
          <w:sz w:val="17"/>
          <w:szCs w:val="17"/>
          <w:lang w:val="en-GB"/>
        </w:rPr>
        <w:t xml:space="preserve"> per cent </w:t>
      </w:r>
      <w:r w:rsidR="004E1778" w:rsidRPr="001715D3">
        <w:rPr>
          <w:rFonts w:ascii="Arial" w:hAnsi="Arial" w:cs="Arial"/>
          <w:sz w:val="17"/>
          <w:szCs w:val="17"/>
          <w:lang w:val="en-GB"/>
        </w:rPr>
        <w:t xml:space="preserve">of </w:t>
      </w:r>
      <w:r w:rsidR="00D23079">
        <w:rPr>
          <w:rFonts w:ascii="Arial" w:hAnsi="Arial" w:cs="Arial"/>
          <w:sz w:val="17"/>
          <w:szCs w:val="17"/>
          <w:lang w:val="en-GB"/>
        </w:rPr>
        <w:t xml:space="preserve">the </w:t>
      </w:r>
      <w:r w:rsidR="004E1778" w:rsidRPr="001715D3">
        <w:rPr>
          <w:rFonts w:ascii="Arial" w:hAnsi="Arial" w:cs="Arial"/>
          <w:sz w:val="17"/>
          <w:szCs w:val="17"/>
          <w:lang w:val="en-GB"/>
        </w:rPr>
        <w:t>final redemption amount (par value) plus interest following the change of control</w:t>
      </w:r>
      <w:r w:rsidR="008E405E" w:rsidRPr="001715D3">
        <w:rPr>
          <w:rFonts w:ascii="Arial" w:hAnsi="Arial" w:cs="Arial"/>
          <w:sz w:val="17"/>
          <w:szCs w:val="17"/>
          <w:lang w:val="en-GB"/>
        </w:rPr>
        <w:t>.</w:t>
      </w:r>
      <w:r w:rsidR="004E1778" w:rsidRPr="001715D3">
        <w:rPr>
          <w:rFonts w:ascii="Arial" w:hAnsi="Arial" w:cs="Arial"/>
          <w:sz w:val="17"/>
          <w:szCs w:val="17"/>
          <w:lang w:val="en-GB"/>
        </w:rPr>
        <w:t xml:space="preserve"> </w:t>
      </w:r>
    </w:p>
    <w:p w14:paraId="42E124E7" w14:textId="08939F23" w:rsidR="00043E40" w:rsidRPr="001715D3" w:rsidRDefault="00043E40" w:rsidP="00D23079">
      <w:pPr>
        <w:rPr>
          <w:rFonts w:ascii="Arial" w:hAnsi="Arial" w:cs="Arial"/>
          <w:sz w:val="17"/>
          <w:szCs w:val="17"/>
          <w:lang w:val="en-GB"/>
        </w:rPr>
      </w:pPr>
      <w:r w:rsidRPr="001715D3">
        <w:rPr>
          <w:rFonts w:ascii="Arial" w:hAnsi="Arial" w:cs="Arial"/>
          <w:sz w:val="17"/>
          <w:szCs w:val="17"/>
          <w:lang w:val="en-GB"/>
        </w:rPr>
        <w:t xml:space="preserve">Source: </w:t>
      </w:r>
      <w:proofErr w:type="spellStart"/>
      <w:r w:rsidRPr="001715D3">
        <w:rPr>
          <w:rFonts w:ascii="Arial" w:hAnsi="Arial" w:cs="Arial"/>
          <w:sz w:val="17"/>
          <w:szCs w:val="17"/>
          <w:lang w:val="en-GB"/>
        </w:rPr>
        <w:t>Fact</w:t>
      </w:r>
      <w:r w:rsidR="008E405E" w:rsidRPr="001715D3">
        <w:rPr>
          <w:rFonts w:ascii="Arial" w:hAnsi="Arial" w:cs="Arial"/>
          <w:sz w:val="17"/>
          <w:szCs w:val="17"/>
          <w:lang w:val="en-GB"/>
        </w:rPr>
        <w:t>S</w:t>
      </w:r>
      <w:r w:rsidRPr="001715D3">
        <w:rPr>
          <w:rFonts w:ascii="Arial" w:hAnsi="Arial" w:cs="Arial"/>
          <w:sz w:val="17"/>
          <w:szCs w:val="17"/>
          <w:lang w:val="en-GB"/>
        </w:rPr>
        <w:t>et</w:t>
      </w:r>
      <w:proofErr w:type="spellEnd"/>
      <w:r w:rsidR="00232448" w:rsidRPr="001715D3">
        <w:rPr>
          <w:rFonts w:ascii="Arial" w:hAnsi="Arial" w:cs="Arial"/>
          <w:sz w:val="17"/>
          <w:szCs w:val="17"/>
          <w:lang w:val="en-GB"/>
        </w:rPr>
        <w:t>, accessed February 16, 2016</w:t>
      </w:r>
      <w:r w:rsidR="00FF1584" w:rsidRPr="001715D3">
        <w:rPr>
          <w:rFonts w:ascii="Arial" w:hAnsi="Arial" w:cs="Arial"/>
          <w:sz w:val="17"/>
          <w:szCs w:val="17"/>
          <w:lang w:val="en-GB"/>
        </w:rPr>
        <w:t>.</w:t>
      </w:r>
    </w:p>
    <w:p w14:paraId="166E067E" w14:textId="0129944A" w:rsidR="005242B3" w:rsidRPr="001715D3" w:rsidRDefault="005242B3">
      <w:pPr>
        <w:spacing w:after="200" w:line="276" w:lineRule="auto"/>
        <w:rPr>
          <w:rFonts w:ascii="Arial" w:hAnsi="Arial" w:cs="Arial"/>
          <w:i/>
          <w:sz w:val="17"/>
          <w:szCs w:val="17"/>
          <w:lang w:val="en-GB"/>
        </w:rPr>
      </w:pPr>
      <w:r w:rsidRPr="001715D3">
        <w:rPr>
          <w:lang w:val="en-GB"/>
        </w:rPr>
        <w:br w:type="page"/>
      </w:r>
    </w:p>
    <w:p w14:paraId="7A18F668" w14:textId="77777777" w:rsidR="00A50DB5" w:rsidRPr="001715D3" w:rsidRDefault="00A50DB5" w:rsidP="00A50DB5">
      <w:pPr>
        <w:pStyle w:val="Footnote"/>
        <w:ind w:left="810"/>
        <w:jc w:val="left"/>
        <w:rPr>
          <w:lang w:val="en-GB"/>
        </w:rPr>
        <w:sectPr w:rsidR="00A50DB5" w:rsidRPr="001715D3" w:rsidSect="00202DAD">
          <w:headerReference w:type="default" r:id="rId18"/>
          <w:endnotePr>
            <w:numFmt w:val="decimal"/>
          </w:endnotePr>
          <w:pgSz w:w="15840" w:h="12240" w:orient="landscape" w:code="1"/>
          <w:pgMar w:top="1440" w:right="1077" w:bottom="1440" w:left="1440" w:header="1077" w:footer="720" w:gutter="0"/>
          <w:cols w:space="720"/>
          <w:docGrid w:linePitch="360"/>
        </w:sectPr>
      </w:pPr>
    </w:p>
    <w:p w14:paraId="468ECB96" w14:textId="799CDF77" w:rsidR="00B17169" w:rsidRPr="001715D3" w:rsidRDefault="00627489" w:rsidP="009E4667">
      <w:pPr>
        <w:pStyle w:val="ExhibitHeading"/>
        <w:tabs>
          <w:tab w:val="center" w:pos="4680"/>
          <w:tab w:val="left" w:pos="8627"/>
        </w:tabs>
        <w:outlineLvl w:val="0"/>
        <w:rPr>
          <w:lang w:val="en-GB"/>
        </w:rPr>
      </w:pPr>
      <w:r w:rsidRPr="001715D3">
        <w:rPr>
          <w:lang w:val="en-GB"/>
        </w:rPr>
        <w:lastRenderedPageBreak/>
        <w:t>Exhibit 8</w:t>
      </w:r>
      <w:r w:rsidR="00B17169" w:rsidRPr="001715D3">
        <w:rPr>
          <w:lang w:val="en-GB"/>
        </w:rPr>
        <w:t>: prices</w:t>
      </w:r>
      <w:r w:rsidR="00B47AD7" w:rsidRPr="001715D3">
        <w:rPr>
          <w:lang w:val="en-GB"/>
        </w:rPr>
        <w:t xml:space="preserve"> of the four NOL Bonds and one CMA CGM BOND (CMA CGM 2021) </w:t>
      </w:r>
    </w:p>
    <w:p w14:paraId="6E824243" w14:textId="77777777" w:rsidR="00FF1584" w:rsidRPr="001715D3" w:rsidRDefault="00FF1584" w:rsidP="00A34C92">
      <w:pPr>
        <w:pStyle w:val="ExhibitHeading"/>
        <w:tabs>
          <w:tab w:val="center" w:pos="4680"/>
          <w:tab w:val="left" w:pos="8627"/>
        </w:tabs>
        <w:rPr>
          <w:sz w:val="6"/>
          <w:lang w:val="en-GB"/>
        </w:rPr>
      </w:pP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034"/>
        <w:gridCol w:w="1134"/>
        <w:gridCol w:w="1134"/>
        <w:gridCol w:w="992"/>
        <w:gridCol w:w="1276"/>
      </w:tblGrid>
      <w:tr w:rsidR="002C3A1A" w:rsidRPr="001715D3" w14:paraId="19E71AC8" w14:textId="77777777" w:rsidTr="00FF1584">
        <w:trPr>
          <w:trHeight w:hRule="exact" w:val="170"/>
          <w:jc w:val="center"/>
        </w:trPr>
        <w:tc>
          <w:tcPr>
            <w:tcW w:w="1660" w:type="dxa"/>
            <w:shd w:val="clear" w:color="auto" w:fill="auto"/>
            <w:noWrap/>
            <w:vAlign w:val="center"/>
            <w:hideMark/>
          </w:tcPr>
          <w:p w14:paraId="7109043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Date</w:t>
            </w:r>
          </w:p>
        </w:tc>
        <w:tc>
          <w:tcPr>
            <w:tcW w:w="1034" w:type="dxa"/>
            <w:shd w:val="clear" w:color="000000" w:fill="F9F9F9"/>
            <w:vAlign w:val="center"/>
            <w:hideMark/>
          </w:tcPr>
          <w:p w14:paraId="01F35C8B"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NOL 2017</w:t>
            </w:r>
          </w:p>
        </w:tc>
        <w:tc>
          <w:tcPr>
            <w:tcW w:w="1134" w:type="dxa"/>
            <w:shd w:val="clear" w:color="auto" w:fill="auto"/>
            <w:vAlign w:val="center"/>
            <w:hideMark/>
          </w:tcPr>
          <w:p w14:paraId="7031FA90"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NOL 2019</w:t>
            </w:r>
          </w:p>
        </w:tc>
        <w:tc>
          <w:tcPr>
            <w:tcW w:w="1134" w:type="dxa"/>
            <w:shd w:val="clear" w:color="auto" w:fill="auto"/>
            <w:noWrap/>
            <w:vAlign w:val="center"/>
            <w:hideMark/>
          </w:tcPr>
          <w:p w14:paraId="48665DC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NOL 2020</w:t>
            </w:r>
          </w:p>
        </w:tc>
        <w:tc>
          <w:tcPr>
            <w:tcW w:w="992" w:type="dxa"/>
            <w:shd w:val="clear" w:color="auto" w:fill="auto"/>
            <w:vAlign w:val="center"/>
            <w:hideMark/>
          </w:tcPr>
          <w:p w14:paraId="1A276DD6"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NOL 2021</w:t>
            </w:r>
          </w:p>
        </w:tc>
        <w:tc>
          <w:tcPr>
            <w:tcW w:w="1276" w:type="dxa"/>
            <w:shd w:val="clear" w:color="auto" w:fill="auto"/>
            <w:noWrap/>
            <w:vAlign w:val="center"/>
            <w:hideMark/>
          </w:tcPr>
          <w:p w14:paraId="75AD7179" w14:textId="6DAA8C2C"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CMA</w:t>
            </w:r>
            <w:r w:rsidR="00892296" w:rsidRPr="001715D3">
              <w:rPr>
                <w:rFonts w:ascii="Arial" w:hAnsi="Arial" w:cs="Arial"/>
                <w:sz w:val="14"/>
                <w:szCs w:val="14"/>
                <w:lang w:val="en-GB" w:eastAsia="en-SG"/>
              </w:rPr>
              <w:t xml:space="preserve"> CGM</w:t>
            </w:r>
            <w:r w:rsidRPr="001715D3">
              <w:rPr>
                <w:rFonts w:ascii="Arial" w:hAnsi="Arial" w:cs="Arial"/>
                <w:sz w:val="14"/>
                <w:szCs w:val="14"/>
                <w:lang w:val="en-GB" w:eastAsia="en-SG"/>
              </w:rPr>
              <w:t xml:space="preserve"> 2021</w:t>
            </w:r>
          </w:p>
        </w:tc>
      </w:tr>
      <w:tr w:rsidR="002C3A1A" w:rsidRPr="001715D3" w14:paraId="3161B7D7" w14:textId="77777777" w:rsidTr="00FF1584">
        <w:trPr>
          <w:trHeight w:hRule="exact" w:val="170"/>
          <w:jc w:val="center"/>
        </w:trPr>
        <w:tc>
          <w:tcPr>
            <w:tcW w:w="1660" w:type="dxa"/>
            <w:shd w:val="clear" w:color="auto" w:fill="auto"/>
            <w:vAlign w:val="center"/>
            <w:hideMark/>
          </w:tcPr>
          <w:p w14:paraId="51FB2CD1"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16/11/2015</w:t>
            </w:r>
          </w:p>
        </w:tc>
        <w:tc>
          <w:tcPr>
            <w:tcW w:w="1034" w:type="dxa"/>
            <w:shd w:val="clear" w:color="auto" w:fill="auto"/>
            <w:noWrap/>
            <w:vAlign w:val="center"/>
            <w:hideMark/>
          </w:tcPr>
          <w:p w14:paraId="2BF336A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98.66</w:t>
            </w:r>
          </w:p>
        </w:tc>
        <w:tc>
          <w:tcPr>
            <w:tcW w:w="1134" w:type="dxa"/>
            <w:shd w:val="clear" w:color="auto" w:fill="auto"/>
            <w:noWrap/>
            <w:vAlign w:val="center"/>
            <w:hideMark/>
          </w:tcPr>
          <w:p w14:paraId="2C85622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96.62</w:t>
            </w:r>
          </w:p>
        </w:tc>
        <w:tc>
          <w:tcPr>
            <w:tcW w:w="1134" w:type="dxa"/>
            <w:shd w:val="clear" w:color="auto" w:fill="auto"/>
            <w:noWrap/>
            <w:vAlign w:val="center"/>
            <w:hideMark/>
          </w:tcPr>
          <w:p w14:paraId="1412CA0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93.54</w:t>
            </w:r>
          </w:p>
        </w:tc>
        <w:tc>
          <w:tcPr>
            <w:tcW w:w="992" w:type="dxa"/>
            <w:shd w:val="clear" w:color="auto" w:fill="auto"/>
            <w:noWrap/>
            <w:vAlign w:val="center"/>
            <w:hideMark/>
          </w:tcPr>
          <w:p w14:paraId="2FDC7AC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92.34</w:t>
            </w:r>
          </w:p>
        </w:tc>
        <w:tc>
          <w:tcPr>
            <w:tcW w:w="1276" w:type="dxa"/>
            <w:shd w:val="clear" w:color="auto" w:fill="auto"/>
            <w:noWrap/>
            <w:vAlign w:val="center"/>
            <w:hideMark/>
          </w:tcPr>
          <w:p w14:paraId="385F0C2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92.50</w:t>
            </w:r>
          </w:p>
        </w:tc>
      </w:tr>
      <w:tr w:rsidR="002C3A1A" w:rsidRPr="001715D3" w14:paraId="4BE32400" w14:textId="77777777" w:rsidTr="00FF1584">
        <w:trPr>
          <w:trHeight w:hRule="exact" w:val="170"/>
          <w:jc w:val="center"/>
        </w:trPr>
        <w:tc>
          <w:tcPr>
            <w:tcW w:w="1660" w:type="dxa"/>
            <w:shd w:val="clear" w:color="000000" w:fill="F9F9F9"/>
            <w:vAlign w:val="center"/>
            <w:hideMark/>
          </w:tcPr>
          <w:p w14:paraId="0CD68920"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17/11/2015</w:t>
            </w:r>
          </w:p>
        </w:tc>
        <w:tc>
          <w:tcPr>
            <w:tcW w:w="1034" w:type="dxa"/>
            <w:shd w:val="clear" w:color="auto" w:fill="auto"/>
            <w:noWrap/>
            <w:vAlign w:val="center"/>
            <w:hideMark/>
          </w:tcPr>
          <w:p w14:paraId="1D57582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98.73</w:t>
            </w:r>
          </w:p>
        </w:tc>
        <w:tc>
          <w:tcPr>
            <w:tcW w:w="1134" w:type="dxa"/>
            <w:shd w:val="clear" w:color="auto" w:fill="auto"/>
            <w:noWrap/>
            <w:vAlign w:val="center"/>
            <w:hideMark/>
          </w:tcPr>
          <w:p w14:paraId="3ADEC87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96.40</w:t>
            </w:r>
          </w:p>
        </w:tc>
        <w:tc>
          <w:tcPr>
            <w:tcW w:w="1134" w:type="dxa"/>
            <w:shd w:val="clear" w:color="auto" w:fill="auto"/>
            <w:noWrap/>
            <w:vAlign w:val="center"/>
            <w:hideMark/>
          </w:tcPr>
          <w:p w14:paraId="0FBD11F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93.16</w:t>
            </w:r>
          </w:p>
        </w:tc>
        <w:tc>
          <w:tcPr>
            <w:tcW w:w="992" w:type="dxa"/>
            <w:shd w:val="clear" w:color="auto" w:fill="auto"/>
            <w:noWrap/>
            <w:vAlign w:val="center"/>
            <w:hideMark/>
          </w:tcPr>
          <w:p w14:paraId="6367D67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92.27</w:t>
            </w:r>
          </w:p>
        </w:tc>
        <w:tc>
          <w:tcPr>
            <w:tcW w:w="1276" w:type="dxa"/>
            <w:shd w:val="clear" w:color="auto" w:fill="auto"/>
            <w:noWrap/>
            <w:vAlign w:val="center"/>
            <w:hideMark/>
          </w:tcPr>
          <w:p w14:paraId="219AD4D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93.00</w:t>
            </w:r>
          </w:p>
        </w:tc>
      </w:tr>
      <w:tr w:rsidR="002C3A1A" w:rsidRPr="001715D3" w14:paraId="6FFFD7C2" w14:textId="77777777" w:rsidTr="00FF1584">
        <w:trPr>
          <w:trHeight w:hRule="exact" w:val="170"/>
          <w:jc w:val="center"/>
        </w:trPr>
        <w:tc>
          <w:tcPr>
            <w:tcW w:w="1660" w:type="dxa"/>
            <w:shd w:val="clear" w:color="auto" w:fill="auto"/>
            <w:vAlign w:val="center"/>
            <w:hideMark/>
          </w:tcPr>
          <w:p w14:paraId="63E8F82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18/11/2015</w:t>
            </w:r>
          </w:p>
        </w:tc>
        <w:tc>
          <w:tcPr>
            <w:tcW w:w="1034" w:type="dxa"/>
            <w:shd w:val="clear" w:color="auto" w:fill="auto"/>
            <w:noWrap/>
            <w:vAlign w:val="center"/>
            <w:hideMark/>
          </w:tcPr>
          <w:p w14:paraId="7B85D0E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99.44</w:t>
            </w:r>
          </w:p>
        </w:tc>
        <w:tc>
          <w:tcPr>
            <w:tcW w:w="1134" w:type="dxa"/>
            <w:shd w:val="clear" w:color="auto" w:fill="auto"/>
            <w:noWrap/>
            <w:vAlign w:val="center"/>
            <w:hideMark/>
          </w:tcPr>
          <w:p w14:paraId="57AD1A9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96.28</w:t>
            </w:r>
          </w:p>
        </w:tc>
        <w:tc>
          <w:tcPr>
            <w:tcW w:w="1134" w:type="dxa"/>
            <w:shd w:val="clear" w:color="auto" w:fill="auto"/>
            <w:noWrap/>
            <w:vAlign w:val="center"/>
            <w:hideMark/>
          </w:tcPr>
          <w:p w14:paraId="26E214D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93.13</w:t>
            </w:r>
          </w:p>
        </w:tc>
        <w:tc>
          <w:tcPr>
            <w:tcW w:w="992" w:type="dxa"/>
            <w:shd w:val="clear" w:color="auto" w:fill="auto"/>
            <w:noWrap/>
            <w:vAlign w:val="center"/>
            <w:hideMark/>
          </w:tcPr>
          <w:p w14:paraId="4A46F50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92.27</w:t>
            </w:r>
          </w:p>
        </w:tc>
        <w:tc>
          <w:tcPr>
            <w:tcW w:w="1276" w:type="dxa"/>
            <w:shd w:val="clear" w:color="auto" w:fill="auto"/>
            <w:noWrap/>
            <w:vAlign w:val="center"/>
            <w:hideMark/>
          </w:tcPr>
          <w:p w14:paraId="1F32840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93.01</w:t>
            </w:r>
          </w:p>
        </w:tc>
      </w:tr>
      <w:tr w:rsidR="002C3A1A" w:rsidRPr="001715D3" w14:paraId="6D2B9472" w14:textId="77777777" w:rsidTr="00FF1584">
        <w:trPr>
          <w:trHeight w:hRule="exact" w:val="170"/>
          <w:jc w:val="center"/>
        </w:trPr>
        <w:tc>
          <w:tcPr>
            <w:tcW w:w="1660" w:type="dxa"/>
            <w:shd w:val="clear" w:color="000000" w:fill="F9F9F9"/>
            <w:vAlign w:val="center"/>
            <w:hideMark/>
          </w:tcPr>
          <w:p w14:paraId="450517C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19/11/2015</w:t>
            </w:r>
          </w:p>
        </w:tc>
        <w:tc>
          <w:tcPr>
            <w:tcW w:w="1034" w:type="dxa"/>
            <w:shd w:val="clear" w:color="auto" w:fill="auto"/>
            <w:noWrap/>
            <w:vAlign w:val="center"/>
            <w:hideMark/>
          </w:tcPr>
          <w:p w14:paraId="6F6EE3B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99.33</w:t>
            </w:r>
          </w:p>
        </w:tc>
        <w:tc>
          <w:tcPr>
            <w:tcW w:w="1134" w:type="dxa"/>
            <w:shd w:val="clear" w:color="auto" w:fill="auto"/>
            <w:noWrap/>
            <w:vAlign w:val="center"/>
            <w:hideMark/>
          </w:tcPr>
          <w:p w14:paraId="0C22F84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96.27</w:t>
            </w:r>
          </w:p>
        </w:tc>
        <w:tc>
          <w:tcPr>
            <w:tcW w:w="1134" w:type="dxa"/>
            <w:shd w:val="clear" w:color="auto" w:fill="auto"/>
            <w:noWrap/>
            <w:vAlign w:val="center"/>
            <w:hideMark/>
          </w:tcPr>
          <w:p w14:paraId="349BFED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93.27</w:t>
            </w:r>
          </w:p>
        </w:tc>
        <w:tc>
          <w:tcPr>
            <w:tcW w:w="992" w:type="dxa"/>
            <w:shd w:val="clear" w:color="auto" w:fill="auto"/>
            <w:noWrap/>
            <w:vAlign w:val="center"/>
            <w:hideMark/>
          </w:tcPr>
          <w:p w14:paraId="5F8C03F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92.27</w:t>
            </w:r>
          </w:p>
        </w:tc>
        <w:tc>
          <w:tcPr>
            <w:tcW w:w="1276" w:type="dxa"/>
            <w:shd w:val="clear" w:color="auto" w:fill="auto"/>
            <w:noWrap/>
            <w:vAlign w:val="center"/>
            <w:hideMark/>
          </w:tcPr>
          <w:p w14:paraId="1980619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93.20</w:t>
            </w:r>
          </w:p>
        </w:tc>
      </w:tr>
      <w:tr w:rsidR="002C3A1A" w:rsidRPr="001715D3" w14:paraId="0BAED7D1" w14:textId="77777777" w:rsidTr="00FF1584">
        <w:trPr>
          <w:trHeight w:hRule="exact" w:val="170"/>
          <w:jc w:val="center"/>
        </w:trPr>
        <w:tc>
          <w:tcPr>
            <w:tcW w:w="1660" w:type="dxa"/>
            <w:shd w:val="clear" w:color="auto" w:fill="auto"/>
            <w:vAlign w:val="center"/>
            <w:hideMark/>
          </w:tcPr>
          <w:p w14:paraId="3BEAD007"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20/11/2015</w:t>
            </w:r>
          </w:p>
        </w:tc>
        <w:tc>
          <w:tcPr>
            <w:tcW w:w="1034" w:type="dxa"/>
            <w:shd w:val="clear" w:color="auto" w:fill="auto"/>
            <w:noWrap/>
            <w:vAlign w:val="center"/>
            <w:hideMark/>
          </w:tcPr>
          <w:p w14:paraId="3A3B64B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99.18</w:t>
            </w:r>
          </w:p>
        </w:tc>
        <w:tc>
          <w:tcPr>
            <w:tcW w:w="1134" w:type="dxa"/>
            <w:shd w:val="clear" w:color="auto" w:fill="auto"/>
            <w:noWrap/>
            <w:vAlign w:val="center"/>
            <w:hideMark/>
          </w:tcPr>
          <w:p w14:paraId="1392FDC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96.23</w:t>
            </w:r>
          </w:p>
        </w:tc>
        <w:tc>
          <w:tcPr>
            <w:tcW w:w="1134" w:type="dxa"/>
            <w:shd w:val="clear" w:color="auto" w:fill="auto"/>
            <w:noWrap/>
            <w:vAlign w:val="center"/>
            <w:hideMark/>
          </w:tcPr>
          <w:p w14:paraId="091F3BA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93.31</w:t>
            </w:r>
          </w:p>
        </w:tc>
        <w:tc>
          <w:tcPr>
            <w:tcW w:w="992" w:type="dxa"/>
            <w:shd w:val="clear" w:color="auto" w:fill="auto"/>
            <w:noWrap/>
            <w:vAlign w:val="center"/>
            <w:hideMark/>
          </w:tcPr>
          <w:p w14:paraId="0E3F2BA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92.10</w:t>
            </w:r>
          </w:p>
        </w:tc>
        <w:tc>
          <w:tcPr>
            <w:tcW w:w="1276" w:type="dxa"/>
            <w:shd w:val="clear" w:color="auto" w:fill="auto"/>
            <w:noWrap/>
            <w:vAlign w:val="center"/>
            <w:hideMark/>
          </w:tcPr>
          <w:p w14:paraId="287AD7A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92.95</w:t>
            </w:r>
          </w:p>
        </w:tc>
      </w:tr>
      <w:tr w:rsidR="002C3A1A" w:rsidRPr="001715D3" w14:paraId="3B9C476E" w14:textId="77777777" w:rsidTr="00FF1584">
        <w:trPr>
          <w:trHeight w:hRule="exact" w:val="170"/>
          <w:jc w:val="center"/>
        </w:trPr>
        <w:tc>
          <w:tcPr>
            <w:tcW w:w="1660" w:type="dxa"/>
            <w:shd w:val="clear" w:color="000000" w:fill="F9F9F9"/>
            <w:vAlign w:val="center"/>
            <w:hideMark/>
          </w:tcPr>
          <w:p w14:paraId="4D9A135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23/11/2015</w:t>
            </w:r>
          </w:p>
        </w:tc>
        <w:tc>
          <w:tcPr>
            <w:tcW w:w="1034" w:type="dxa"/>
            <w:shd w:val="clear" w:color="auto" w:fill="auto"/>
            <w:noWrap/>
            <w:vAlign w:val="center"/>
            <w:hideMark/>
          </w:tcPr>
          <w:p w14:paraId="2AE5B79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99.43</w:t>
            </w:r>
          </w:p>
        </w:tc>
        <w:tc>
          <w:tcPr>
            <w:tcW w:w="1134" w:type="dxa"/>
            <w:shd w:val="clear" w:color="auto" w:fill="auto"/>
            <w:noWrap/>
            <w:vAlign w:val="center"/>
            <w:hideMark/>
          </w:tcPr>
          <w:p w14:paraId="49C10FC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95.20</w:t>
            </w:r>
          </w:p>
        </w:tc>
        <w:tc>
          <w:tcPr>
            <w:tcW w:w="1134" w:type="dxa"/>
            <w:shd w:val="clear" w:color="auto" w:fill="auto"/>
            <w:noWrap/>
            <w:vAlign w:val="center"/>
            <w:hideMark/>
          </w:tcPr>
          <w:p w14:paraId="0E86D25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93.16</w:t>
            </w:r>
          </w:p>
        </w:tc>
        <w:tc>
          <w:tcPr>
            <w:tcW w:w="992" w:type="dxa"/>
            <w:shd w:val="clear" w:color="auto" w:fill="auto"/>
            <w:noWrap/>
            <w:vAlign w:val="center"/>
            <w:hideMark/>
          </w:tcPr>
          <w:p w14:paraId="653FD19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92.19</w:t>
            </w:r>
          </w:p>
        </w:tc>
        <w:tc>
          <w:tcPr>
            <w:tcW w:w="1276" w:type="dxa"/>
            <w:shd w:val="clear" w:color="auto" w:fill="auto"/>
            <w:noWrap/>
            <w:vAlign w:val="center"/>
            <w:hideMark/>
          </w:tcPr>
          <w:p w14:paraId="5C581EA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90.95</w:t>
            </w:r>
          </w:p>
        </w:tc>
      </w:tr>
      <w:tr w:rsidR="002C3A1A" w:rsidRPr="001715D3" w14:paraId="74221E0E" w14:textId="77777777" w:rsidTr="00FF1584">
        <w:trPr>
          <w:trHeight w:hRule="exact" w:val="170"/>
          <w:jc w:val="center"/>
        </w:trPr>
        <w:tc>
          <w:tcPr>
            <w:tcW w:w="1660" w:type="dxa"/>
            <w:shd w:val="clear" w:color="auto" w:fill="auto"/>
            <w:vAlign w:val="center"/>
            <w:hideMark/>
          </w:tcPr>
          <w:p w14:paraId="756D163B"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24/11/2015</w:t>
            </w:r>
          </w:p>
        </w:tc>
        <w:tc>
          <w:tcPr>
            <w:tcW w:w="1034" w:type="dxa"/>
            <w:shd w:val="clear" w:color="auto" w:fill="auto"/>
            <w:noWrap/>
            <w:vAlign w:val="center"/>
            <w:hideMark/>
          </w:tcPr>
          <w:p w14:paraId="74FADC6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99.29</w:t>
            </w:r>
          </w:p>
        </w:tc>
        <w:tc>
          <w:tcPr>
            <w:tcW w:w="1134" w:type="dxa"/>
            <w:shd w:val="clear" w:color="auto" w:fill="auto"/>
            <w:noWrap/>
            <w:vAlign w:val="center"/>
            <w:hideMark/>
          </w:tcPr>
          <w:p w14:paraId="56E5545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95.05</w:t>
            </w:r>
          </w:p>
        </w:tc>
        <w:tc>
          <w:tcPr>
            <w:tcW w:w="1134" w:type="dxa"/>
            <w:shd w:val="clear" w:color="auto" w:fill="auto"/>
            <w:noWrap/>
            <w:vAlign w:val="center"/>
            <w:hideMark/>
          </w:tcPr>
          <w:p w14:paraId="36E0BAF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93.41</w:t>
            </w:r>
          </w:p>
        </w:tc>
        <w:tc>
          <w:tcPr>
            <w:tcW w:w="992" w:type="dxa"/>
            <w:shd w:val="clear" w:color="auto" w:fill="auto"/>
            <w:noWrap/>
            <w:vAlign w:val="center"/>
            <w:hideMark/>
          </w:tcPr>
          <w:p w14:paraId="66713BC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92.09</w:t>
            </w:r>
          </w:p>
        </w:tc>
        <w:tc>
          <w:tcPr>
            <w:tcW w:w="1276" w:type="dxa"/>
            <w:shd w:val="clear" w:color="auto" w:fill="auto"/>
            <w:noWrap/>
            <w:vAlign w:val="center"/>
            <w:hideMark/>
          </w:tcPr>
          <w:p w14:paraId="210FBF1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89.97</w:t>
            </w:r>
          </w:p>
        </w:tc>
      </w:tr>
      <w:tr w:rsidR="002C3A1A" w:rsidRPr="001715D3" w14:paraId="74EA3F40" w14:textId="77777777" w:rsidTr="00FF1584">
        <w:trPr>
          <w:trHeight w:hRule="exact" w:val="170"/>
          <w:jc w:val="center"/>
        </w:trPr>
        <w:tc>
          <w:tcPr>
            <w:tcW w:w="1660" w:type="dxa"/>
            <w:shd w:val="clear" w:color="000000" w:fill="F9F9F9"/>
            <w:vAlign w:val="center"/>
            <w:hideMark/>
          </w:tcPr>
          <w:p w14:paraId="5BE7FD57"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25/11/2015</w:t>
            </w:r>
          </w:p>
        </w:tc>
        <w:tc>
          <w:tcPr>
            <w:tcW w:w="1034" w:type="dxa"/>
            <w:shd w:val="clear" w:color="auto" w:fill="auto"/>
            <w:noWrap/>
            <w:vAlign w:val="center"/>
            <w:hideMark/>
          </w:tcPr>
          <w:p w14:paraId="6DEECEF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99.37</w:t>
            </w:r>
          </w:p>
        </w:tc>
        <w:tc>
          <w:tcPr>
            <w:tcW w:w="1134" w:type="dxa"/>
            <w:shd w:val="clear" w:color="auto" w:fill="auto"/>
            <w:noWrap/>
            <w:vAlign w:val="center"/>
            <w:hideMark/>
          </w:tcPr>
          <w:p w14:paraId="7D87BEA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94.94</w:t>
            </w:r>
          </w:p>
        </w:tc>
        <w:tc>
          <w:tcPr>
            <w:tcW w:w="1134" w:type="dxa"/>
            <w:shd w:val="clear" w:color="auto" w:fill="auto"/>
            <w:noWrap/>
            <w:vAlign w:val="center"/>
            <w:hideMark/>
          </w:tcPr>
          <w:p w14:paraId="5BAB4CA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93.50</w:t>
            </w:r>
          </w:p>
        </w:tc>
        <w:tc>
          <w:tcPr>
            <w:tcW w:w="992" w:type="dxa"/>
            <w:shd w:val="clear" w:color="auto" w:fill="auto"/>
            <w:noWrap/>
            <w:vAlign w:val="center"/>
            <w:hideMark/>
          </w:tcPr>
          <w:p w14:paraId="55A8F0C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92.09</w:t>
            </w:r>
          </w:p>
        </w:tc>
        <w:tc>
          <w:tcPr>
            <w:tcW w:w="1276" w:type="dxa"/>
            <w:shd w:val="clear" w:color="auto" w:fill="auto"/>
            <w:noWrap/>
            <w:vAlign w:val="center"/>
            <w:hideMark/>
          </w:tcPr>
          <w:p w14:paraId="4D2A902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89.97</w:t>
            </w:r>
          </w:p>
        </w:tc>
      </w:tr>
      <w:tr w:rsidR="002C3A1A" w:rsidRPr="001715D3" w14:paraId="0B345BE3" w14:textId="77777777" w:rsidTr="00FF1584">
        <w:trPr>
          <w:trHeight w:hRule="exact" w:val="170"/>
          <w:jc w:val="center"/>
        </w:trPr>
        <w:tc>
          <w:tcPr>
            <w:tcW w:w="1660" w:type="dxa"/>
            <w:shd w:val="clear" w:color="auto" w:fill="auto"/>
            <w:vAlign w:val="center"/>
            <w:hideMark/>
          </w:tcPr>
          <w:p w14:paraId="598974D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26/11/2015</w:t>
            </w:r>
          </w:p>
        </w:tc>
        <w:tc>
          <w:tcPr>
            <w:tcW w:w="1034" w:type="dxa"/>
            <w:shd w:val="clear" w:color="auto" w:fill="auto"/>
            <w:noWrap/>
            <w:vAlign w:val="center"/>
            <w:hideMark/>
          </w:tcPr>
          <w:p w14:paraId="0953EF8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98.93</w:t>
            </w:r>
          </w:p>
        </w:tc>
        <w:tc>
          <w:tcPr>
            <w:tcW w:w="1134" w:type="dxa"/>
            <w:shd w:val="clear" w:color="auto" w:fill="auto"/>
            <w:noWrap/>
            <w:vAlign w:val="center"/>
            <w:hideMark/>
          </w:tcPr>
          <w:p w14:paraId="7418502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95.31</w:t>
            </w:r>
          </w:p>
        </w:tc>
        <w:tc>
          <w:tcPr>
            <w:tcW w:w="1134" w:type="dxa"/>
            <w:shd w:val="clear" w:color="auto" w:fill="auto"/>
            <w:noWrap/>
            <w:vAlign w:val="center"/>
            <w:hideMark/>
          </w:tcPr>
          <w:p w14:paraId="63C7C0A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93.73</w:t>
            </w:r>
          </w:p>
        </w:tc>
        <w:tc>
          <w:tcPr>
            <w:tcW w:w="992" w:type="dxa"/>
            <w:shd w:val="clear" w:color="auto" w:fill="auto"/>
            <w:noWrap/>
            <w:vAlign w:val="center"/>
            <w:hideMark/>
          </w:tcPr>
          <w:p w14:paraId="0136DAC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92.09</w:t>
            </w:r>
          </w:p>
        </w:tc>
        <w:tc>
          <w:tcPr>
            <w:tcW w:w="1276" w:type="dxa"/>
            <w:shd w:val="clear" w:color="auto" w:fill="auto"/>
            <w:noWrap/>
            <w:vAlign w:val="center"/>
            <w:hideMark/>
          </w:tcPr>
          <w:p w14:paraId="3074C84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90.97</w:t>
            </w:r>
          </w:p>
        </w:tc>
      </w:tr>
      <w:tr w:rsidR="002C3A1A" w:rsidRPr="001715D3" w14:paraId="3F0EA8A8" w14:textId="77777777" w:rsidTr="00FF1584">
        <w:trPr>
          <w:trHeight w:hRule="exact" w:val="170"/>
          <w:jc w:val="center"/>
        </w:trPr>
        <w:tc>
          <w:tcPr>
            <w:tcW w:w="1660" w:type="dxa"/>
            <w:shd w:val="clear" w:color="000000" w:fill="F9F9F9"/>
            <w:vAlign w:val="center"/>
            <w:hideMark/>
          </w:tcPr>
          <w:p w14:paraId="72B5B764"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27/11/2015</w:t>
            </w:r>
          </w:p>
        </w:tc>
        <w:tc>
          <w:tcPr>
            <w:tcW w:w="1034" w:type="dxa"/>
            <w:shd w:val="clear" w:color="auto" w:fill="auto"/>
            <w:noWrap/>
            <w:vAlign w:val="center"/>
            <w:hideMark/>
          </w:tcPr>
          <w:p w14:paraId="4049680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98.88</w:t>
            </w:r>
          </w:p>
        </w:tc>
        <w:tc>
          <w:tcPr>
            <w:tcW w:w="1134" w:type="dxa"/>
            <w:shd w:val="clear" w:color="auto" w:fill="auto"/>
            <w:noWrap/>
            <w:vAlign w:val="center"/>
            <w:hideMark/>
          </w:tcPr>
          <w:p w14:paraId="5B29D8E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95.35</w:t>
            </w:r>
          </w:p>
        </w:tc>
        <w:tc>
          <w:tcPr>
            <w:tcW w:w="1134" w:type="dxa"/>
            <w:shd w:val="clear" w:color="auto" w:fill="auto"/>
            <w:noWrap/>
            <w:vAlign w:val="center"/>
            <w:hideMark/>
          </w:tcPr>
          <w:p w14:paraId="6F72B40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93.83</w:t>
            </w:r>
          </w:p>
        </w:tc>
        <w:tc>
          <w:tcPr>
            <w:tcW w:w="992" w:type="dxa"/>
            <w:shd w:val="clear" w:color="auto" w:fill="auto"/>
            <w:noWrap/>
            <w:vAlign w:val="center"/>
            <w:hideMark/>
          </w:tcPr>
          <w:p w14:paraId="1E71BE3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92.09</w:t>
            </w:r>
          </w:p>
        </w:tc>
        <w:tc>
          <w:tcPr>
            <w:tcW w:w="1276" w:type="dxa"/>
            <w:shd w:val="clear" w:color="auto" w:fill="auto"/>
            <w:noWrap/>
            <w:vAlign w:val="center"/>
            <w:hideMark/>
          </w:tcPr>
          <w:p w14:paraId="0C9B5B6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90.97</w:t>
            </w:r>
          </w:p>
        </w:tc>
      </w:tr>
      <w:tr w:rsidR="002C3A1A" w:rsidRPr="001715D3" w14:paraId="430DAA63" w14:textId="77777777" w:rsidTr="00FF1584">
        <w:trPr>
          <w:trHeight w:hRule="exact" w:val="170"/>
          <w:jc w:val="center"/>
        </w:trPr>
        <w:tc>
          <w:tcPr>
            <w:tcW w:w="1660" w:type="dxa"/>
            <w:shd w:val="clear" w:color="auto" w:fill="auto"/>
            <w:vAlign w:val="center"/>
            <w:hideMark/>
          </w:tcPr>
          <w:p w14:paraId="306902E2"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30/11/2015</w:t>
            </w:r>
          </w:p>
        </w:tc>
        <w:tc>
          <w:tcPr>
            <w:tcW w:w="1034" w:type="dxa"/>
            <w:shd w:val="clear" w:color="auto" w:fill="auto"/>
            <w:noWrap/>
            <w:vAlign w:val="center"/>
            <w:hideMark/>
          </w:tcPr>
          <w:p w14:paraId="47A0676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98.74</w:t>
            </w:r>
          </w:p>
        </w:tc>
        <w:tc>
          <w:tcPr>
            <w:tcW w:w="1134" w:type="dxa"/>
            <w:shd w:val="clear" w:color="auto" w:fill="auto"/>
            <w:noWrap/>
            <w:vAlign w:val="center"/>
            <w:hideMark/>
          </w:tcPr>
          <w:p w14:paraId="6FAAAE7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95.17</w:t>
            </w:r>
          </w:p>
        </w:tc>
        <w:tc>
          <w:tcPr>
            <w:tcW w:w="1134" w:type="dxa"/>
            <w:shd w:val="clear" w:color="auto" w:fill="auto"/>
            <w:noWrap/>
            <w:vAlign w:val="center"/>
            <w:hideMark/>
          </w:tcPr>
          <w:p w14:paraId="01F39D8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93.75</w:t>
            </w:r>
          </w:p>
        </w:tc>
        <w:tc>
          <w:tcPr>
            <w:tcW w:w="992" w:type="dxa"/>
            <w:shd w:val="clear" w:color="auto" w:fill="auto"/>
            <w:noWrap/>
            <w:vAlign w:val="center"/>
            <w:hideMark/>
          </w:tcPr>
          <w:p w14:paraId="79EE90B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92.01</w:t>
            </w:r>
          </w:p>
        </w:tc>
        <w:tc>
          <w:tcPr>
            <w:tcW w:w="1276" w:type="dxa"/>
            <w:shd w:val="clear" w:color="auto" w:fill="auto"/>
            <w:noWrap/>
            <w:vAlign w:val="center"/>
            <w:hideMark/>
          </w:tcPr>
          <w:p w14:paraId="5032AC6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91.69</w:t>
            </w:r>
          </w:p>
        </w:tc>
      </w:tr>
      <w:tr w:rsidR="002C3A1A" w:rsidRPr="001715D3" w14:paraId="25BC300A" w14:textId="77777777" w:rsidTr="00FF1584">
        <w:trPr>
          <w:trHeight w:hRule="exact" w:val="170"/>
          <w:jc w:val="center"/>
        </w:trPr>
        <w:tc>
          <w:tcPr>
            <w:tcW w:w="1660" w:type="dxa"/>
            <w:shd w:val="clear" w:color="000000" w:fill="F9F9F9"/>
            <w:vAlign w:val="center"/>
            <w:hideMark/>
          </w:tcPr>
          <w:p w14:paraId="7E4E7B2B"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1/12/2015</w:t>
            </w:r>
          </w:p>
        </w:tc>
        <w:tc>
          <w:tcPr>
            <w:tcW w:w="1034" w:type="dxa"/>
            <w:shd w:val="clear" w:color="auto" w:fill="auto"/>
            <w:noWrap/>
            <w:vAlign w:val="center"/>
            <w:hideMark/>
          </w:tcPr>
          <w:p w14:paraId="23D80D5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98.74</w:t>
            </w:r>
          </w:p>
        </w:tc>
        <w:tc>
          <w:tcPr>
            <w:tcW w:w="1134" w:type="dxa"/>
            <w:shd w:val="clear" w:color="auto" w:fill="auto"/>
            <w:noWrap/>
            <w:vAlign w:val="center"/>
            <w:hideMark/>
          </w:tcPr>
          <w:p w14:paraId="3284B20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95.12</w:t>
            </w:r>
          </w:p>
        </w:tc>
        <w:tc>
          <w:tcPr>
            <w:tcW w:w="1134" w:type="dxa"/>
            <w:shd w:val="clear" w:color="auto" w:fill="auto"/>
            <w:noWrap/>
            <w:vAlign w:val="center"/>
            <w:hideMark/>
          </w:tcPr>
          <w:p w14:paraId="27AE6DD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93.84</w:t>
            </w:r>
          </w:p>
        </w:tc>
        <w:tc>
          <w:tcPr>
            <w:tcW w:w="992" w:type="dxa"/>
            <w:shd w:val="clear" w:color="auto" w:fill="auto"/>
            <w:noWrap/>
            <w:vAlign w:val="center"/>
            <w:hideMark/>
          </w:tcPr>
          <w:p w14:paraId="69B8ACE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92.01</w:t>
            </w:r>
          </w:p>
        </w:tc>
        <w:tc>
          <w:tcPr>
            <w:tcW w:w="1276" w:type="dxa"/>
            <w:shd w:val="clear" w:color="auto" w:fill="auto"/>
            <w:noWrap/>
            <w:vAlign w:val="center"/>
            <w:hideMark/>
          </w:tcPr>
          <w:p w14:paraId="6CCD943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90.45</w:t>
            </w:r>
          </w:p>
        </w:tc>
      </w:tr>
      <w:tr w:rsidR="002C3A1A" w:rsidRPr="001715D3" w14:paraId="05635190" w14:textId="77777777" w:rsidTr="00FF1584">
        <w:trPr>
          <w:trHeight w:hRule="exact" w:val="170"/>
          <w:jc w:val="center"/>
        </w:trPr>
        <w:tc>
          <w:tcPr>
            <w:tcW w:w="1660" w:type="dxa"/>
            <w:shd w:val="clear" w:color="auto" w:fill="auto"/>
            <w:vAlign w:val="center"/>
            <w:hideMark/>
          </w:tcPr>
          <w:p w14:paraId="3F8BC7A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2/12/2015</w:t>
            </w:r>
          </w:p>
        </w:tc>
        <w:tc>
          <w:tcPr>
            <w:tcW w:w="1034" w:type="dxa"/>
            <w:shd w:val="clear" w:color="auto" w:fill="auto"/>
            <w:noWrap/>
            <w:vAlign w:val="center"/>
            <w:hideMark/>
          </w:tcPr>
          <w:p w14:paraId="7077FBB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98.99</w:t>
            </w:r>
          </w:p>
        </w:tc>
        <w:tc>
          <w:tcPr>
            <w:tcW w:w="1134" w:type="dxa"/>
            <w:shd w:val="clear" w:color="auto" w:fill="auto"/>
            <w:noWrap/>
            <w:vAlign w:val="center"/>
            <w:hideMark/>
          </w:tcPr>
          <w:p w14:paraId="4601248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94.63</w:t>
            </w:r>
          </w:p>
        </w:tc>
        <w:tc>
          <w:tcPr>
            <w:tcW w:w="1134" w:type="dxa"/>
            <w:shd w:val="clear" w:color="auto" w:fill="auto"/>
            <w:noWrap/>
            <w:vAlign w:val="center"/>
            <w:hideMark/>
          </w:tcPr>
          <w:p w14:paraId="34E22E2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94.02</w:t>
            </w:r>
          </w:p>
        </w:tc>
        <w:tc>
          <w:tcPr>
            <w:tcW w:w="992" w:type="dxa"/>
            <w:shd w:val="clear" w:color="auto" w:fill="auto"/>
            <w:noWrap/>
            <w:vAlign w:val="center"/>
            <w:hideMark/>
          </w:tcPr>
          <w:p w14:paraId="6412287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91.47</w:t>
            </w:r>
          </w:p>
        </w:tc>
        <w:tc>
          <w:tcPr>
            <w:tcW w:w="1276" w:type="dxa"/>
            <w:shd w:val="clear" w:color="auto" w:fill="auto"/>
            <w:noWrap/>
            <w:vAlign w:val="center"/>
            <w:hideMark/>
          </w:tcPr>
          <w:p w14:paraId="27A87A2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90.45</w:t>
            </w:r>
          </w:p>
        </w:tc>
      </w:tr>
      <w:tr w:rsidR="002C3A1A" w:rsidRPr="001715D3" w14:paraId="24AC3EFC" w14:textId="77777777" w:rsidTr="00FF1584">
        <w:trPr>
          <w:trHeight w:hRule="exact" w:val="170"/>
          <w:jc w:val="center"/>
        </w:trPr>
        <w:tc>
          <w:tcPr>
            <w:tcW w:w="1660" w:type="dxa"/>
            <w:shd w:val="clear" w:color="000000" w:fill="F9F9F9"/>
            <w:vAlign w:val="center"/>
            <w:hideMark/>
          </w:tcPr>
          <w:p w14:paraId="4E3CAC8C"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3/12/2015</w:t>
            </w:r>
          </w:p>
        </w:tc>
        <w:tc>
          <w:tcPr>
            <w:tcW w:w="1034" w:type="dxa"/>
            <w:shd w:val="clear" w:color="auto" w:fill="auto"/>
            <w:noWrap/>
            <w:vAlign w:val="center"/>
            <w:hideMark/>
          </w:tcPr>
          <w:p w14:paraId="08B4494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99.12</w:t>
            </w:r>
          </w:p>
        </w:tc>
        <w:tc>
          <w:tcPr>
            <w:tcW w:w="1134" w:type="dxa"/>
            <w:shd w:val="clear" w:color="auto" w:fill="auto"/>
            <w:noWrap/>
            <w:vAlign w:val="center"/>
            <w:hideMark/>
          </w:tcPr>
          <w:p w14:paraId="076C218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94.52</w:t>
            </w:r>
          </w:p>
        </w:tc>
        <w:tc>
          <w:tcPr>
            <w:tcW w:w="1134" w:type="dxa"/>
            <w:shd w:val="clear" w:color="auto" w:fill="auto"/>
            <w:noWrap/>
            <w:vAlign w:val="center"/>
            <w:hideMark/>
          </w:tcPr>
          <w:p w14:paraId="5A4E1D3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93.97</w:t>
            </w:r>
          </w:p>
        </w:tc>
        <w:tc>
          <w:tcPr>
            <w:tcW w:w="992" w:type="dxa"/>
            <w:shd w:val="clear" w:color="auto" w:fill="auto"/>
            <w:noWrap/>
            <w:vAlign w:val="center"/>
            <w:hideMark/>
          </w:tcPr>
          <w:p w14:paraId="01C4A30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92.07</w:t>
            </w:r>
          </w:p>
        </w:tc>
        <w:tc>
          <w:tcPr>
            <w:tcW w:w="1276" w:type="dxa"/>
            <w:shd w:val="clear" w:color="auto" w:fill="auto"/>
            <w:noWrap/>
            <w:vAlign w:val="center"/>
            <w:hideMark/>
          </w:tcPr>
          <w:p w14:paraId="6FAEEC4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89.25</w:t>
            </w:r>
          </w:p>
        </w:tc>
      </w:tr>
      <w:tr w:rsidR="002C3A1A" w:rsidRPr="001715D3" w14:paraId="453E48C5" w14:textId="77777777" w:rsidTr="00FF1584">
        <w:trPr>
          <w:trHeight w:hRule="exact" w:val="170"/>
          <w:jc w:val="center"/>
        </w:trPr>
        <w:tc>
          <w:tcPr>
            <w:tcW w:w="1660" w:type="dxa"/>
            <w:shd w:val="clear" w:color="auto" w:fill="auto"/>
            <w:vAlign w:val="center"/>
            <w:hideMark/>
          </w:tcPr>
          <w:p w14:paraId="7EF9216F"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4/12/2015</w:t>
            </w:r>
          </w:p>
        </w:tc>
        <w:tc>
          <w:tcPr>
            <w:tcW w:w="1034" w:type="dxa"/>
            <w:shd w:val="clear" w:color="auto" w:fill="auto"/>
            <w:noWrap/>
            <w:vAlign w:val="center"/>
            <w:hideMark/>
          </w:tcPr>
          <w:p w14:paraId="3684A20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99.09</w:t>
            </w:r>
          </w:p>
        </w:tc>
        <w:tc>
          <w:tcPr>
            <w:tcW w:w="1134" w:type="dxa"/>
            <w:shd w:val="clear" w:color="auto" w:fill="auto"/>
            <w:noWrap/>
            <w:vAlign w:val="center"/>
            <w:hideMark/>
          </w:tcPr>
          <w:p w14:paraId="1947AB7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94.56</w:t>
            </w:r>
          </w:p>
        </w:tc>
        <w:tc>
          <w:tcPr>
            <w:tcW w:w="1134" w:type="dxa"/>
            <w:shd w:val="clear" w:color="auto" w:fill="auto"/>
            <w:noWrap/>
            <w:vAlign w:val="center"/>
            <w:hideMark/>
          </w:tcPr>
          <w:p w14:paraId="6D891F4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93.76</w:t>
            </w:r>
          </w:p>
        </w:tc>
        <w:tc>
          <w:tcPr>
            <w:tcW w:w="992" w:type="dxa"/>
            <w:shd w:val="clear" w:color="auto" w:fill="auto"/>
            <w:noWrap/>
            <w:vAlign w:val="center"/>
            <w:hideMark/>
          </w:tcPr>
          <w:p w14:paraId="408127E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92.08</w:t>
            </w:r>
          </w:p>
        </w:tc>
        <w:tc>
          <w:tcPr>
            <w:tcW w:w="1276" w:type="dxa"/>
            <w:shd w:val="clear" w:color="auto" w:fill="auto"/>
            <w:noWrap/>
            <w:vAlign w:val="center"/>
            <w:hideMark/>
          </w:tcPr>
          <w:p w14:paraId="35E5A02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89.00</w:t>
            </w:r>
          </w:p>
        </w:tc>
      </w:tr>
      <w:tr w:rsidR="002C3A1A" w:rsidRPr="001715D3" w14:paraId="237AAEB8" w14:textId="77777777" w:rsidTr="00FF1584">
        <w:trPr>
          <w:trHeight w:hRule="exact" w:val="170"/>
          <w:jc w:val="center"/>
        </w:trPr>
        <w:tc>
          <w:tcPr>
            <w:tcW w:w="1660" w:type="dxa"/>
            <w:shd w:val="clear" w:color="000000" w:fill="F9F9F9"/>
            <w:vAlign w:val="center"/>
            <w:hideMark/>
          </w:tcPr>
          <w:p w14:paraId="017A7B6C"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7/12/2015</w:t>
            </w:r>
          </w:p>
        </w:tc>
        <w:tc>
          <w:tcPr>
            <w:tcW w:w="1034" w:type="dxa"/>
            <w:shd w:val="clear" w:color="auto" w:fill="auto"/>
            <w:noWrap/>
            <w:vAlign w:val="center"/>
            <w:hideMark/>
          </w:tcPr>
          <w:p w14:paraId="52DD872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98.97</w:t>
            </w:r>
          </w:p>
        </w:tc>
        <w:tc>
          <w:tcPr>
            <w:tcW w:w="1134" w:type="dxa"/>
            <w:shd w:val="clear" w:color="auto" w:fill="auto"/>
            <w:noWrap/>
            <w:vAlign w:val="center"/>
            <w:hideMark/>
          </w:tcPr>
          <w:p w14:paraId="1796770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91.99</w:t>
            </w:r>
          </w:p>
        </w:tc>
        <w:tc>
          <w:tcPr>
            <w:tcW w:w="1134" w:type="dxa"/>
            <w:shd w:val="clear" w:color="auto" w:fill="auto"/>
            <w:noWrap/>
            <w:vAlign w:val="center"/>
            <w:hideMark/>
          </w:tcPr>
          <w:p w14:paraId="02610BA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93.80</w:t>
            </w:r>
          </w:p>
        </w:tc>
        <w:tc>
          <w:tcPr>
            <w:tcW w:w="992" w:type="dxa"/>
            <w:shd w:val="clear" w:color="auto" w:fill="auto"/>
            <w:noWrap/>
            <w:vAlign w:val="center"/>
            <w:hideMark/>
          </w:tcPr>
          <w:p w14:paraId="6008E3C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84.94</w:t>
            </w:r>
          </w:p>
        </w:tc>
        <w:tc>
          <w:tcPr>
            <w:tcW w:w="1276" w:type="dxa"/>
            <w:shd w:val="clear" w:color="auto" w:fill="auto"/>
            <w:noWrap/>
            <w:vAlign w:val="center"/>
            <w:hideMark/>
          </w:tcPr>
          <w:p w14:paraId="5017288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87.98</w:t>
            </w:r>
          </w:p>
        </w:tc>
      </w:tr>
      <w:tr w:rsidR="002C3A1A" w:rsidRPr="001715D3" w14:paraId="04FB8DA6" w14:textId="77777777" w:rsidTr="00FF1584">
        <w:trPr>
          <w:trHeight w:hRule="exact" w:val="170"/>
          <w:jc w:val="center"/>
        </w:trPr>
        <w:tc>
          <w:tcPr>
            <w:tcW w:w="1660" w:type="dxa"/>
            <w:shd w:val="clear" w:color="auto" w:fill="auto"/>
            <w:vAlign w:val="center"/>
            <w:hideMark/>
          </w:tcPr>
          <w:p w14:paraId="348D7CFF"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8/12/2015</w:t>
            </w:r>
          </w:p>
        </w:tc>
        <w:tc>
          <w:tcPr>
            <w:tcW w:w="1034" w:type="dxa"/>
            <w:shd w:val="clear" w:color="auto" w:fill="auto"/>
            <w:noWrap/>
            <w:vAlign w:val="center"/>
            <w:hideMark/>
          </w:tcPr>
          <w:p w14:paraId="3301064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99.45</w:t>
            </w:r>
          </w:p>
        </w:tc>
        <w:tc>
          <w:tcPr>
            <w:tcW w:w="1134" w:type="dxa"/>
            <w:shd w:val="clear" w:color="auto" w:fill="auto"/>
            <w:noWrap/>
            <w:vAlign w:val="center"/>
            <w:hideMark/>
          </w:tcPr>
          <w:p w14:paraId="495B6C4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93.94</w:t>
            </w:r>
          </w:p>
        </w:tc>
        <w:tc>
          <w:tcPr>
            <w:tcW w:w="1134" w:type="dxa"/>
            <w:shd w:val="clear" w:color="auto" w:fill="auto"/>
            <w:noWrap/>
            <w:vAlign w:val="center"/>
            <w:hideMark/>
          </w:tcPr>
          <w:p w14:paraId="53558B0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93.78</w:t>
            </w:r>
          </w:p>
        </w:tc>
        <w:tc>
          <w:tcPr>
            <w:tcW w:w="992" w:type="dxa"/>
            <w:shd w:val="clear" w:color="auto" w:fill="auto"/>
            <w:noWrap/>
            <w:vAlign w:val="center"/>
            <w:hideMark/>
          </w:tcPr>
          <w:p w14:paraId="13C35DF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78.68</w:t>
            </w:r>
          </w:p>
        </w:tc>
        <w:tc>
          <w:tcPr>
            <w:tcW w:w="1276" w:type="dxa"/>
            <w:shd w:val="clear" w:color="auto" w:fill="auto"/>
            <w:noWrap/>
            <w:vAlign w:val="center"/>
            <w:hideMark/>
          </w:tcPr>
          <w:p w14:paraId="48F89F1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87.70</w:t>
            </w:r>
          </w:p>
        </w:tc>
      </w:tr>
      <w:tr w:rsidR="002C3A1A" w:rsidRPr="001715D3" w14:paraId="0DFBC63F" w14:textId="77777777" w:rsidTr="00FF1584">
        <w:trPr>
          <w:trHeight w:hRule="exact" w:val="170"/>
          <w:jc w:val="center"/>
        </w:trPr>
        <w:tc>
          <w:tcPr>
            <w:tcW w:w="1660" w:type="dxa"/>
            <w:shd w:val="clear" w:color="000000" w:fill="F9F9F9"/>
            <w:vAlign w:val="center"/>
            <w:hideMark/>
          </w:tcPr>
          <w:p w14:paraId="4175C271"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9/12/2015</w:t>
            </w:r>
          </w:p>
        </w:tc>
        <w:tc>
          <w:tcPr>
            <w:tcW w:w="1034" w:type="dxa"/>
            <w:shd w:val="clear" w:color="auto" w:fill="auto"/>
            <w:noWrap/>
            <w:vAlign w:val="center"/>
            <w:hideMark/>
          </w:tcPr>
          <w:p w14:paraId="5DB1382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94.00</w:t>
            </w:r>
          </w:p>
        </w:tc>
        <w:tc>
          <w:tcPr>
            <w:tcW w:w="1134" w:type="dxa"/>
            <w:shd w:val="clear" w:color="auto" w:fill="auto"/>
            <w:noWrap/>
            <w:vAlign w:val="center"/>
            <w:hideMark/>
          </w:tcPr>
          <w:p w14:paraId="72C4E8F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84.94</w:t>
            </w:r>
          </w:p>
        </w:tc>
        <w:tc>
          <w:tcPr>
            <w:tcW w:w="1134" w:type="dxa"/>
            <w:shd w:val="clear" w:color="auto" w:fill="auto"/>
            <w:noWrap/>
            <w:vAlign w:val="center"/>
            <w:hideMark/>
          </w:tcPr>
          <w:p w14:paraId="072B3F8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93.78</w:t>
            </w:r>
          </w:p>
        </w:tc>
        <w:tc>
          <w:tcPr>
            <w:tcW w:w="992" w:type="dxa"/>
            <w:shd w:val="clear" w:color="auto" w:fill="auto"/>
            <w:noWrap/>
            <w:vAlign w:val="center"/>
            <w:hideMark/>
          </w:tcPr>
          <w:p w14:paraId="2130DD3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78.57</w:t>
            </w:r>
          </w:p>
        </w:tc>
        <w:tc>
          <w:tcPr>
            <w:tcW w:w="1276" w:type="dxa"/>
            <w:shd w:val="clear" w:color="auto" w:fill="auto"/>
            <w:noWrap/>
            <w:vAlign w:val="center"/>
            <w:hideMark/>
          </w:tcPr>
          <w:p w14:paraId="6AA318D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87.98</w:t>
            </w:r>
          </w:p>
        </w:tc>
      </w:tr>
      <w:tr w:rsidR="002C3A1A" w:rsidRPr="001715D3" w14:paraId="7AC334DA" w14:textId="77777777" w:rsidTr="00FF1584">
        <w:trPr>
          <w:trHeight w:hRule="exact" w:val="170"/>
          <w:jc w:val="center"/>
        </w:trPr>
        <w:tc>
          <w:tcPr>
            <w:tcW w:w="1660" w:type="dxa"/>
            <w:shd w:val="clear" w:color="auto" w:fill="auto"/>
            <w:vAlign w:val="center"/>
            <w:hideMark/>
          </w:tcPr>
          <w:p w14:paraId="0EF11AD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10/12/2015</w:t>
            </w:r>
          </w:p>
        </w:tc>
        <w:tc>
          <w:tcPr>
            <w:tcW w:w="1034" w:type="dxa"/>
            <w:shd w:val="clear" w:color="auto" w:fill="auto"/>
            <w:noWrap/>
            <w:vAlign w:val="center"/>
            <w:hideMark/>
          </w:tcPr>
          <w:p w14:paraId="529F1CD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97.73</w:t>
            </w:r>
          </w:p>
        </w:tc>
        <w:tc>
          <w:tcPr>
            <w:tcW w:w="1134" w:type="dxa"/>
            <w:shd w:val="clear" w:color="auto" w:fill="auto"/>
            <w:noWrap/>
            <w:vAlign w:val="center"/>
            <w:hideMark/>
          </w:tcPr>
          <w:p w14:paraId="3D225E8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84.50</w:t>
            </w:r>
          </w:p>
        </w:tc>
        <w:tc>
          <w:tcPr>
            <w:tcW w:w="1134" w:type="dxa"/>
            <w:shd w:val="clear" w:color="auto" w:fill="auto"/>
            <w:noWrap/>
            <w:vAlign w:val="center"/>
            <w:hideMark/>
          </w:tcPr>
          <w:p w14:paraId="6A91A65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93.78</w:t>
            </w:r>
          </w:p>
        </w:tc>
        <w:tc>
          <w:tcPr>
            <w:tcW w:w="992" w:type="dxa"/>
            <w:shd w:val="clear" w:color="auto" w:fill="auto"/>
            <w:noWrap/>
            <w:vAlign w:val="center"/>
            <w:hideMark/>
          </w:tcPr>
          <w:p w14:paraId="70A6C85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78.23</w:t>
            </w:r>
          </w:p>
        </w:tc>
        <w:tc>
          <w:tcPr>
            <w:tcW w:w="1276" w:type="dxa"/>
            <w:shd w:val="clear" w:color="auto" w:fill="auto"/>
            <w:noWrap/>
            <w:vAlign w:val="center"/>
            <w:hideMark/>
          </w:tcPr>
          <w:p w14:paraId="495FC98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88.15</w:t>
            </w:r>
          </w:p>
        </w:tc>
      </w:tr>
      <w:tr w:rsidR="002C3A1A" w:rsidRPr="001715D3" w14:paraId="62C5BD13" w14:textId="77777777" w:rsidTr="00FF1584">
        <w:trPr>
          <w:trHeight w:hRule="exact" w:val="170"/>
          <w:jc w:val="center"/>
        </w:trPr>
        <w:tc>
          <w:tcPr>
            <w:tcW w:w="1660" w:type="dxa"/>
            <w:shd w:val="clear" w:color="000000" w:fill="F9F9F9"/>
            <w:vAlign w:val="center"/>
            <w:hideMark/>
          </w:tcPr>
          <w:p w14:paraId="2DCF9638"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11/12/2015</w:t>
            </w:r>
          </w:p>
        </w:tc>
        <w:tc>
          <w:tcPr>
            <w:tcW w:w="1034" w:type="dxa"/>
            <w:shd w:val="clear" w:color="auto" w:fill="auto"/>
            <w:noWrap/>
            <w:vAlign w:val="center"/>
            <w:hideMark/>
          </w:tcPr>
          <w:p w14:paraId="0FC2A21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94.00</w:t>
            </w:r>
          </w:p>
        </w:tc>
        <w:tc>
          <w:tcPr>
            <w:tcW w:w="1134" w:type="dxa"/>
            <w:shd w:val="clear" w:color="auto" w:fill="auto"/>
            <w:noWrap/>
            <w:vAlign w:val="center"/>
            <w:hideMark/>
          </w:tcPr>
          <w:p w14:paraId="38D1D5C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84.50</w:t>
            </w:r>
          </w:p>
        </w:tc>
        <w:tc>
          <w:tcPr>
            <w:tcW w:w="1134" w:type="dxa"/>
            <w:shd w:val="clear" w:color="auto" w:fill="auto"/>
            <w:noWrap/>
            <w:vAlign w:val="center"/>
            <w:hideMark/>
          </w:tcPr>
          <w:p w14:paraId="65020ED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93.78</w:t>
            </w:r>
          </w:p>
        </w:tc>
        <w:tc>
          <w:tcPr>
            <w:tcW w:w="992" w:type="dxa"/>
            <w:shd w:val="clear" w:color="auto" w:fill="auto"/>
            <w:noWrap/>
            <w:vAlign w:val="center"/>
            <w:hideMark/>
          </w:tcPr>
          <w:p w14:paraId="1AFF99F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77.43</w:t>
            </w:r>
          </w:p>
        </w:tc>
        <w:tc>
          <w:tcPr>
            <w:tcW w:w="1276" w:type="dxa"/>
            <w:shd w:val="clear" w:color="auto" w:fill="auto"/>
            <w:noWrap/>
            <w:vAlign w:val="center"/>
            <w:hideMark/>
          </w:tcPr>
          <w:p w14:paraId="5AC215A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87.08</w:t>
            </w:r>
          </w:p>
        </w:tc>
      </w:tr>
      <w:tr w:rsidR="002C3A1A" w:rsidRPr="001715D3" w14:paraId="13CBCCD0" w14:textId="77777777" w:rsidTr="00FF1584">
        <w:trPr>
          <w:trHeight w:hRule="exact" w:val="170"/>
          <w:jc w:val="center"/>
        </w:trPr>
        <w:tc>
          <w:tcPr>
            <w:tcW w:w="1660" w:type="dxa"/>
            <w:shd w:val="clear" w:color="auto" w:fill="auto"/>
            <w:vAlign w:val="center"/>
            <w:hideMark/>
          </w:tcPr>
          <w:p w14:paraId="56F3631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14/12/2015</w:t>
            </w:r>
          </w:p>
        </w:tc>
        <w:tc>
          <w:tcPr>
            <w:tcW w:w="1034" w:type="dxa"/>
            <w:shd w:val="clear" w:color="auto" w:fill="auto"/>
            <w:noWrap/>
            <w:vAlign w:val="center"/>
            <w:hideMark/>
          </w:tcPr>
          <w:p w14:paraId="522D0D0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95.25</w:t>
            </w:r>
          </w:p>
        </w:tc>
        <w:tc>
          <w:tcPr>
            <w:tcW w:w="1134" w:type="dxa"/>
            <w:shd w:val="clear" w:color="auto" w:fill="auto"/>
            <w:noWrap/>
            <w:vAlign w:val="center"/>
            <w:hideMark/>
          </w:tcPr>
          <w:p w14:paraId="2559645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85.47</w:t>
            </w:r>
          </w:p>
        </w:tc>
        <w:tc>
          <w:tcPr>
            <w:tcW w:w="1134" w:type="dxa"/>
            <w:shd w:val="clear" w:color="auto" w:fill="auto"/>
            <w:noWrap/>
            <w:vAlign w:val="center"/>
            <w:hideMark/>
          </w:tcPr>
          <w:p w14:paraId="716B2A2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93.78</w:t>
            </w:r>
          </w:p>
        </w:tc>
        <w:tc>
          <w:tcPr>
            <w:tcW w:w="992" w:type="dxa"/>
            <w:shd w:val="clear" w:color="auto" w:fill="auto"/>
            <w:noWrap/>
            <w:vAlign w:val="center"/>
            <w:hideMark/>
          </w:tcPr>
          <w:p w14:paraId="373E18F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76.09</w:t>
            </w:r>
          </w:p>
        </w:tc>
        <w:tc>
          <w:tcPr>
            <w:tcW w:w="1276" w:type="dxa"/>
            <w:shd w:val="clear" w:color="auto" w:fill="auto"/>
            <w:noWrap/>
            <w:vAlign w:val="center"/>
            <w:hideMark/>
          </w:tcPr>
          <w:p w14:paraId="645108C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84.01</w:t>
            </w:r>
          </w:p>
        </w:tc>
      </w:tr>
      <w:tr w:rsidR="002C3A1A" w:rsidRPr="001715D3" w14:paraId="0ECA9A75" w14:textId="77777777" w:rsidTr="00FF1584">
        <w:trPr>
          <w:trHeight w:hRule="exact" w:val="170"/>
          <w:jc w:val="center"/>
        </w:trPr>
        <w:tc>
          <w:tcPr>
            <w:tcW w:w="1660" w:type="dxa"/>
            <w:shd w:val="clear" w:color="000000" w:fill="F9F9F9"/>
            <w:vAlign w:val="center"/>
            <w:hideMark/>
          </w:tcPr>
          <w:p w14:paraId="0C7CF25A"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15/12/2015</w:t>
            </w:r>
          </w:p>
        </w:tc>
        <w:tc>
          <w:tcPr>
            <w:tcW w:w="1034" w:type="dxa"/>
            <w:shd w:val="clear" w:color="auto" w:fill="auto"/>
            <w:noWrap/>
            <w:vAlign w:val="center"/>
            <w:hideMark/>
          </w:tcPr>
          <w:p w14:paraId="306A0F4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95.04</w:t>
            </w:r>
          </w:p>
        </w:tc>
        <w:tc>
          <w:tcPr>
            <w:tcW w:w="1134" w:type="dxa"/>
            <w:shd w:val="clear" w:color="auto" w:fill="auto"/>
            <w:noWrap/>
            <w:vAlign w:val="center"/>
            <w:hideMark/>
          </w:tcPr>
          <w:p w14:paraId="6FDA0E6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85.47</w:t>
            </w:r>
          </w:p>
        </w:tc>
        <w:tc>
          <w:tcPr>
            <w:tcW w:w="1134" w:type="dxa"/>
            <w:shd w:val="clear" w:color="auto" w:fill="auto"/>
            <w:noWrap/>
            <w:vAlign w:val="center"/>
            <w:hideMark/>
          </w:tcPr>
          <w:p w14:paraId="1B679B4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93.78</w:t>
            </w:r>
          </w:p>
        </w:tc>
        <w:tc>
          <w:tcPr>
            <w:tcW w:w="992" w:type="dxa"/>
            <w:shd w:val="clear" w:color="auto" w:fill="auto"/>
            <w:noWrap/>
            <w:vAlign w:val="center"/>
            <w:hideMark/>
          </w:tcPr>
          <w:p w14:paraId="70BCB10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75.88</w:t>
            </w:r>
          </w:p>
        </w:tc>
        <w:tc>
          <w:tcPr>
            <w:tcW w:w="1276" w:type="dxa"/>
            <w:shd w:val="clear" w:color="auto" w:fill="auto"/>
            <w:noWrap/>
            <w:vAlign w:val="center"/>
            <w:hideMark/>
          </w:tcPr>
          <w:p w14:paraId="11E1641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86.95</w:t>
            </w:r>
          </w:p>
        </w:tc>
      </w:tr>
      <w:tr w:rsidR="002C3A1A" w:rsidRPr="001715D3" w14:paraId="346DDAAC" w14:textId="77777777" w:rsidTr="00FF1584">
        <w:trPr>
          <w:trHeight w:hRule="exact" w:val="170"/>
          <w:jc w:val="center"/>
        </w:trPr>
        <w:tc>
          <w:tcPr>
            <w:tcW w:w="1660" w:type="dxa"/>
            <w:shd w:val="clear" w:color="auto" w:fill="auto"/>
            <w:vAlign w:val="center"/>
            <w:hideMark/>
          </w:tcPr>
          <w:p w14:paraId="0D943FE4"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16/12/2015</w:t>
            </w:r>
          </w:p>
        </w:tc>
        <w:tc>
          <w:tcPr>
            <w:tcW w:w="1034" w:type="dxa"/>
            <w:shd w:val="clear" w:color="auto" w:fill="auto"/>
            <w:noWrap/>
            <w:vAlign w:val="center"/>
            <w:hideMark/>
          </w:tcPr>
          <w:p w14:paraId="0B63C8F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95.29</w:t>
            </w:r>
          </w:p>
        </w:tc>
        <w:tc>
          <w:tcPr>
            <w:tcW w:w="1134" w:type="dxa"/>
            <w:shd w:val="clear" w:color="auto" w:fill="auto"/>
            <w:noWrap/>
            <w:vAlign w:val="center"/>
            <w:hideMark/>
          </w:tcPr>
          <w:p w14:paraId="0E20D1D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85.70</w:t>
            </w:r>
          </w:p>
        </w:tc>
        <w:tc>
          <w:tcPr>
            <w:tcW w:w="1134" w:type="dxa"/>
            <w:shd w:val="clear" w:color="auto" w:fill="auto"/>
            <w:noWrap/>
            <w:vAlign w:val="center"/>
            <w:hideMark/>
          </w:tcPr>
          <w:p w14:paraId="1C1E19F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87.71</w:t>
            </w:r>
          </w:p>
        </w:tc>
        <w:tc>
          <w:tcPr>
            <w:tcW w:w="992" w:type="dxa"/>
            <w:shd w:val="clear" w:color="auto" w:fill="auto"/>
            <w:noWrap/>
            <w:vAlign w:val="center"/>
            <w:hideMark/>
          </w:tcPr>
          <w:p w14:paraId="49D6E6C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74.14</w:t>
            </w:r>
          </w:p>
        </w:tc>
        <w:tc>
          <w:tcPr>
            <w:tcW w:w="1276" w:type="dxa"/>
            <w:shd w:val="clear" w:color="auto" w:fill="auto"/>
            <w:noWrap/>
            <w:vAlign w:val="center"/>
            <w:hideMark/>
          </w:tcPr>
          <w:p w14:paraId="5461510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87.45</w:t>
            </w:r>
          </w:p>
        </w:tc>
      </w:tr>
      <w:tr w:rsidR="002C3A1A" w:rsidRPr="001715D3" w14:paraId="4754BE10" w14:textId="77777777" w:rsidTr="00FF1584">
        <w:trPr>
          <w:trHeight w:hRule="exact" w:val="170"/>
          <w:jc w:val="center"/>
        </w:trPr>
        <w:tc>
          <w:tcPr>
            <w:tcW w:w="1660" w:type="dxa"/>
            <w:shd w:val="clear" w:color="000000" w:fill="F9F9F9"/>
            <w:vAlign w:val="center"/>
            <w:hideMark/>
          </w:tcPr>
          <w:p w14:paraId="756AD89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17/12/2015</w:t>
            </w:r>
          </w:p>
        </w:tc>
        <w:tc>
          <w:tcPr>
            <w:tcW w:w="1034" w:type="dxa"/>
            <w:shd w:val="clear" w:color="auto" w:fill="auto"/>
            <w:noWrap/>
            <w:vAlign w:val="center"/>
            <w:hideMark/>
          </w:tcPr>
          <w:p w14:paraId="1F0500F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95.52</w:t>
            </w:r>
          </w:p>
        </w:tc>
        <w:tc>
          <w:tcPr>
            <w:tcW w:w="1134" w:type="dxa"/>
            <w:shd w:val="clear" w:color="auto" w:fill="auto"/>
            <w:noWrap/>
            <w:vAlign w:val="center"/>
            <w:hideMark/>
          </w:tcPr>
          <w:p w14:paraId="1E02B60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86.28</w:t>
            </w:r>
          </w:p>
        </w:tc>
        <w:tc>
          <w:tcPr>
            <w:tcW w:w="1134" w:type="dxa"/>
            <w:shd w:val="clear" w:color="auto" w:fill="auto"/>
            <w:noWrap/>
            <w:vAlign w:val="center"/>
            <w:hideMark/>
          </w:tcPr>
          <w:p w14:paraId="690D3FF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87.77</w:t>
            </w:r>
          </w:p>
        </w:tc>
        <w:tc>
          <w:tcPr>
            <w:tcW w:w="992" w:type="dxa"/>
            <w:shd w:val="clear" w:color="auto" w:fill="auto"/>
            <w:noWrap/>
            <w:vAlign w:val="center"/>
            <w:hideMark/>
          </w:tcPr>
          <w:p w14:paraId="3C5CE83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74.27</w:t>
            </w:r>
          </w:p>
        </w:tc>
        <w:tc>
          <w:tcPr>
            <w:tcW w:w="1276" w:type="dxa"/>
            <w:shd w:val="clear" w:color="auto" w:fill="auto"/>
            <w:noWrap/>
            <w:vAlign w:val="center"/>
            <w:hideMark/>
          </w:tcPr>
          <w:p w14:paraId="5346346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89.25</w:t>
            </w:r>
          </w:p>
        </w:tc>
      </w:tr>
      <w:tr w:rsidR="002C3A1A" w:rsidRPr="001715D3" w14:paraId="1105D7F0" w14:textId="77777777" w:rsidTr="00FF1584">
        <w:trPr>
          <w:trHeight w:hRule="exact" w:val="170"/>
          <w:jc w:val="center"/>
        </w:trPr>
        <w:tc>
          <w:tcPr>
            <w:tcW w:w="1660" w:type="dxa"/>
            <w:shd w:val="clear" w:color="auto" w:fill="auto"/>
            <w:vAlign w:val="center"/>
            <w:hideMark/>
          </w:tcPr>
          <w:p w14:paraId="190C4E92"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18/12/2015</w:t>
            </w:r>
          </w:p>
        </w:tc>
        <w:tc>
          <w:tcPr>
            <w:tcW w:w="1034" w:type="dxa"/>
            <w:shd w:val="clear" w:color="auto" w:fill="auto"/>
            <w:noWrap/>
            <w:vAlign w:val="center"/>
            <w:hideMark/>
          </w:tcPr>
          <w:p w14:paraId="082EF9F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95.63</w:t>
            </w:r>
          </w:p>
        </w:tc>
        <w:tc>
          <w:tcPr>
            <w:tcW w:w="1134" w:type="dxa"/>
            <w:shd w:val="clear" w:color="auto" w:fill="auto"/>
            <w:noWrap/>
            <w:vAlign w:val="center"/>
            <w:hideMark/>
          </w:tcPr>
          <w:p w14:paraId="0D37C0F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86.43</w:t>
            </w:r>
          </w:p>
        </w:tc>
        <w:tc>
          <w:tcPr>
            <w:tcW w:w="1134" w:type="dxa"/>
            <w:shd w:val="clear" w:color="auto" w:fill="auto"/>
            <w:noWrap/>
            <w:vAlign w:val="center"/>
            <w:hideMark/>
          </w:tcPr>
          <w:p w14:paraId="2EF357F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87.94</w:t>
            </w:r>
          </w:p>
        </w:tc>
        <w:tc>
          <w:tcPr>
            <w:tcW w:w="992" w:type="dxa"/>
            <w:shd w:val="clear" w:color="auto" w:fill="auto"/>
            <w:noWrap/>
            <w:vAlign w:val="center"/>
            <w:hideMark/>
          </w:tcPr>
          <w:p w14:paraId="488379F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74.15</w:t>
            </w:r>
          </w:p>
        </w:tc>
        <w:tc>
          <w:tcPr>
            <w:tcW w:w="1276" w:type="dxa"/>
            <w:shd w:val="clear" w:color="auto" w:fill="auto"/>
            <w:noWrap/>
            <w:vAlign w:val="center"/>
            <w:hideMark/>
          </w:tcPr>
          <w:p w14:paraId="76EA2E7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87.03</w:t>
            </w:r>
          </w:p>
        </w:tc>
      </w:tr>
      <w:tr w:rsidR="002C3A1A" w:rsidRPr="001715D3" w14:paraId="51708900" w14:textId="77777777" w:rsidTr="00FF1584">
        <w:trPr>
          <w:trHeight w:hRule="exact" w:val="170"/>
          <w:jc w:val="center"/>
        </w:trPr>
        <w:tc>
          <w:tcPr>
            <w:tcW w:w="1660" w:type="dxa"/>
            <w:shd w:val="clear" w:color="000000" w:fill="F9F9F9"/>
            <w:vAlign w:val="center"/>
            <w:hideMark/>
          </w:tcPr>
          <w:p w14:paraId="2839CEF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21/12/2015</w:t>
            </w:r>
          </w:p>
        </w:tc>
        <w:tc>
          <w:tcPr>
            <w:tcW w:w="1034" w:type="dxa"/>
            <w:shd w:val="clear" w:color="auto" w:fill="auto"/>
            <w:noWrap/>
            <w:vAlign w:val="center"/>
            <w:hideMark/>
          </w:tcPr>
          <w:p w14:paraId="4CC54C6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95.99</w:t>
            </w:r>
          </w:p>
        </w:tc>
        <w:tc>
          <w:tcPr>
            <w:tcW w:w="1134" w:type="dxa"/>
            <w:shd w:val="clear" w:color="auto" w:fill="auto"/>
            <w:noWrap/>
            <w:vAlign w:val="center"/>
            <w:hideMark/>
          </w:tcPr>
          <w:p w14:paraId="48108BC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86.44</w:t>
            </w:r>
          </w:p>
        </w:tc>
        <w:tc>
          <w:tcPr>
            <w:tcW w:w="1134" w:type="dxa"/>
            <w:shd w:val="clear" w:color="auto" w:fill="auto"/>
            <w:noWrap/>
            <w:vAlign w:val="center"/>
            <w:hideMark/>
          </w:tcPr>
          <w:p w14:paraId="3DCFC11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87.91</w:t>
            </w:r>
          </w:p>
        </w:tc>
        <w:tc>
          <w:tcPr>
            <w:tcW w:w="992" w:type="dxa"/>
            <w:shd w:val="clear" w:color="auto" w:fill="auto"/>
            <w:noWrap/>
            <w:vAlign w:val="center"/>
            <w:hideMark/>
          </w:tcPr>
          <w:p w14:paraId="662E663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74.14</w:t>
            </w:r>
          </w:p>
        </w:tc>
        <w:tc>
          <w:tcPr>
            <w:tcW w:w="1276" w:type="dxa"/>
            <w:shd w:val="clear" w:color="auto" w:fill="auto"/>
            <w:noWrap/>
            <w:vAlign w:val="center"/>
            <w:hideMark/>
          </w:tcPr>
          <w:p w14:paraId="1D1533C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87.00</w:t>
            </w:r>
          </w:p>
        </w:tc>
      </w:tr>
      <w:tr w:rsidR="002C3A1A" w:rsidRPr="001715D3" w14:paraId="2F17F713" w14:textId="77777777" w:rsidTr="00FF1584">
        <w:trPr>
          <w:trHeight w:hRule="exact" w:val="170"/>
          <w:jc w:val="center"/>
        </w:trPr>
        <w:tc>
          <w:tcPr>
            <w:tcW w:w="1660" w:type="dxa"/>
            <w:shd w:val="clear" w:color="auto" w:fill="auto"/>
            <w:vAlign w:val="center"/>
            <w:hideMark/>
          </w:tcPr>
          <w:p w14:paraId="65449CD0"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22/12/2015</w:t>
            </w:r>
          </w:p>
        </w:tc>
        <w:tc>
          <w:tcPr>
            <w:tcW w:w="1034" w:type="dxa"/>
            <w:shd w:val="clear" w:color="auto" w:fill="auto"/>
            <w:noWrap/>
            <w:vAlign w:val="center"/>
            <w:hideMark/>
          </w:tcPr>
          <w:p w14:paraId="1440D34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96.35</w:t>
            </w:r>
          </w:p>
        </w:tc>
        <w:tc>
          <w:tcPr>
            <w:tcW w:w="1134" w:type="dxa"/>
            <w:shd w:val="clear" w:color="auto" w:fill="auto"/>
            <w:noWrap/>
            <w:vAlign w:val="center"/>
            <w:hideMark/>
          </w:tcPr>
          <w:p w14:paraId="15F5D3A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86.50</w:t>
            </w:r>
          </w:p>
        </w:tc>
        <w:tc>
          <w:tcPr>
            <w:tcW w:w="1134" w:type="dxa"/>
            <w:shd w:val="clear" w:color="auto" w:fill="auto"/>
            <w:noWrap/>
            <w:vAlign w:val="center"/>
            <w:hideMark/>
          </w:tcPr>
          <w:p w14:paraId="12C4D85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87.98</w:t>
            </w:r>
          </w:p>
        </w:tc>
        <w:tc>
          <w:tcPr>
            <w:tcW w:w="992" w:type="dxa"/>
            <w:shd w:val="clear" w:color="auto" w:fill="auto"/>
            <w:noWrap/>
            <w:vAlign w:val="center"/>
            <w:hideMark/>
          </w:tcPr>
          <w:p w14:paraId="24ABC64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74.15</w:t>
            </w:r>
          </w:p>
        </w:tc>
        <w:tc>
          <w:tcPr>
            <w:tcW w:w="1276" w:type="dxa"/>
            <w:shd w:val="clear" w:color="auto" w:fill="auto"/>
            <w:noWrap/>
            <w:vAlign w:val="center"/>
            <w:hideMark/>
          </w:tcPr>
          <w:p w14:paraId="6CE1D79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87.01</w:t>
            </w:r>
          </w:p>
        </w:tc>
      </w:tr>
      <w:tr w:rsidR="002C3A1A" w:rsidRPr="001715D3" w14:paraId="65B1C4FA" w14:textId="77777777" w:rsidTr="00FF1584">
        <w:trPr>
          <w:trHeight w:hRule="exact" w:val="170"/>
          <w:jc w:val="center"/>
        </w:trPr>
        <w:tc>
          <w:tcPr>
            <w:tcW w:w="1660" w:type="dxa"/>
            <w:shd w:val="clear" w:color="000000" w:fill="F9F9F9"/>
            <w:vAlign w:val="center"/>
            <w:hideMark/>
          </w:tcPr>
          <w:p w14:paraId="456E514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23/12/2015</w:t>
            </w:r>
          </w:p>
        </w:tc>
        <w:tc>
          <w:tcPr>
            <w:tcW w:w="1034" w:type="dxa"/>
            <w:shd w:val="clear" w:color="auto" w:fill="auto"/>
            <w:noWrap/>
            <w:vAlign w:val="center"/>
            <w:hideMark/>
          </w:tcPr>
          <w:p w14:paraId="343094D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96.38</w:t>
            </w:r>
          </w:p>
        </w:tc>
        <w:tc>
          <w:tcPr>
            <w:tcW w:w="1134" w:type="dxa"/>
            <w:shd w:val="clear" w:color="auto" w:fill="auto"/>
            <w:noWrap/>
            <w:vAlign w:val="center"/>
            <w:hideMark/>
          </w:tcPr>
          <w:p w14:paraId="46CACE9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86.49</w:t>
            </w:r>
          </w:p>
        </w:tc>
        <w:tc>
          <w:tcPr>
            <w:tcW w:w="1134" w:type="dxa"/>
            <w:shd w:val="clear" w:color="auto" w:fill="auto"/>
            <w:noWrap/>
            <w:vAlign w:val="center"/>
            <w:hideMark/>
          </w:tcPr>
          <w:p w14:paraId="6D64C34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87.95</w:t>
            </w:r>
          </w:p>
        </w:tc>
        <w:tc>
          <w:tcPr>
            <w:tcW w:w="992" w:type="dxa"/>
            <w:shd w:val="clear" w:color="auto" w:fill="auto"/>
            <w:noWrap/>
            <w:vAlign w:val="center"/>
            <w:hideMark/>
          </w:tcPr>
          <w:p w14:paraId="4DA3A89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74.15</w:t>
            </w:r>
          </w:p>
        </w:tc>
        <w:tc>
          <w:tcPr>
            <w:tcW w:w="1276" w:type="dxa"/>
            <w:shd w:val="clear" w:color="auto" w:fill="auto"/>
            <w:noWrap/>
            <w:vAlign w:val="center"/>
            <w:hideMark/>
          </w:tcPr>
          <w:p w14:paraId="1A87C58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86.83</w:t>
            </w:r>
          </w:p>
        </w:tc>
      </w:tr>
      <w:tr w:rsidR="002C3A1A" w:rsidRPr="001715D3" w14:paraId="551CDA08" w14:textId="77777777" w:rsidTr="00FF1584">
        <w:trPr>
          <w:trHeight w:hRule="exact" w:val="170"/>
          <w:jc w:val="center"/>
        </w:trPr>
        <w:tc>
          <w:tcPr>
            <w:tcW w:w="1660" w:type="dxa"/>
            <w:shd w:val="clear" w:color="auto" w:fill="auto"/>
            <w:vAlign w:val="center"/>
            <w:hideMark/>
          </w:tcPr>
          <w:p w14:paraId="6FDE8B1A"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24/12/2015</w:t>
            </w:r>
          </w:p>
        </w:tc>
        <w:tc>
          <w:tcPr>
            <w:tcW w:w="1034" w:type="dxa"/>
            <w:shd w:val="clear" w:color="auto" w:fill="auto"/>
            <w:noWrap/>
            <w:vAlign w:val="center"/>
            <w:hideMark/>
          </w:tcPr>
          <w:p w14:paraId="478B4DF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96.27</w:t>
            </w:r>
          </w:p>
        </w:tc>
        <w:tc>
          <w:tcPr>
            <w:tcW w:w="1134" w:type="dxa"/>
            <w:shd w:val="clear" w:color="auto" w:fill="auto"/>
            <w:noWrap/>
            <w:vAlign w:val="center"/>
            <w:hideMark/>
          </w:tcPr>
          <w:p w14:paraId="463A0D2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86.64</w:t>
            </w:r>
          </w:p>
        </w:tc>
        <w:tc>
          <w:tcPr>
            <w:tcW w:w="1134" w:type="dxa"/>
            <w:shd w:val="clear" w:color="auto" w:fill="auto"/>
            <w:noWrap/>
            <w:vAlign w:val="center"/>
            <w:hideMark/>
          </w:tcPr>
          <w:p w14:paraId="3C17CC5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87.96</w:t>
            </w:r>
          </w:p>
        </w:tc>
        <w:tc>
          <w:tcPr>
            <w:tcW w:w="992" w:type="dxa"/>
            <w:shd w:val="clear" w:color="auto" w:fill="auto"/>
            <w:noWrap/>
            <w:vAlign w:val="center"/>
            <w:hideMark/>
          </w:tcPr>
          <w:p w14:paraId="7806F56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74.15</w:t>
            </w:r>
          </w:p>
        </w:tc>
        <w:tc>
          <w:tcPr>
            <w:tcW w:w="1276" w:type="dxa"/>
            <w:shd w:val="clear" w:color="auto" w:fill="auto"/>
            <w:noWrap/>
            <w:vAlign w:val="center"/>
            <w:hideMark/>
          </w:tcPr>
          <w:p w14:paraId="3E015B6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87.42</w:t>
            </w:r>
          </w:p>
        </w:tc>
      </w:tr>
      <w:tr w:rsidR="002C3A1A" w:rsidRPr="001715D3" w14:paraId="1D8DB7A3" w14:textId="77777777" w:rsidTr="00FF1584">
        <w:trPr>
          <w:trHeight w:hRule="exact" w:val="170"/>
          <w:jc w:val="center"/>
        </w:trPr>
        <w:tc>
          <w:tcPr>
            <w:tcW w:w="1660" w:type="dxa"/>
            <w:shd w:val="clear" w:color="000000" w:fill="F9F9F9"/>
            <w:vAlign w:val="center"/>
            <w:hideMark/>
          </w:tcPr>
          <w:p w14:paraId="4EE54DA8"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25/12/2015</w:t>
            </w:r>
          </w:p>
        </w:tc>
        <w:tc>
          <w:tcPr>
            <w:tcW w:w="1034" w:type="dxa"/>
            <w:shd w:val="clear" w:color="auto" w:fill="auto"/>
            <w:noWrap/>
            <w:vAlign w:val="center"/>
            <w:hideMark/>
          </w:tcPr>
          <w:p w14:paraId="4DE0FD5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96.27</w:t>
            </w:r>
          </w:p>
        </w:tc>
        <w:tc>
          <w:tcPr>
            <w:tcW w:w="1134" w:type="dxa"/>
            <w:shd w:val="clear" w:color="auto" w:fill="auto"/>
            <w:noWrap/>
            <w:vAlign w:val="center"/>
            <w:hideMark/>
          </w:tcPr>
          <w:p w14:paraId="4B63241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86.64</w:t>
            </w:r>
          </w:p>
        </w:tc>
        <w:tc>
          <w:tcPr>
            <w:tcW w:w="1134" w:type="dxa"/>
            <w:shd w:val="clear" w:color="auto" w:fill="auto"/>
            <w:noWrap/>
            <w:vAlign w:val="center"/>
            <w:hideMark/>
          </w:tcPr>
          <w:p w14:paraId="356C05A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87.96</w:t>
            </w:r>
          </w:p>
        </w:tc>
        <w:tc>
          <w:tcPr>
            <w:tcW w:w="992" w:type="dxa"/>
            <w:shd w:val="clear" w:color="auto" w:fill="auto"/>
            <w:noWrap/>
            <w:vAlign w:val="center"/>
            <w:hideMark/>
          </w:tcPr>
          <w:p w14:paraId="0C22CC1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74.15</w:t>
            </w:r>
          </w:p>
        </w:tc>
        <w:tc>
          <w:tcPr>
            <w:tcW w:w="1276" w:type="dxa"/>
            <w:shd w:val="clear" w:color="auto" w:fill="auto"/>
            <w:noWrap/>
            <w:vAlign w:val="center"/>
            <w:hideMark/>
          </w:tcPr>
          <w:p w14:paraId="2DFB523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87.42</w:t>
            </w:r>
          </w:p>
        </w:tc>
      </w:tr>
      <w:tr w:rsidR="002C3A1A" w:rsidRPr="001715D3" w14:paraId="06CA35EE" w14:textId="77777777" w:rsidTr="00FF1584">
        <w:trPr>
          <w:trHeight w:hRule="exact" w:val="170"/>
          <w:jc w:val="center"/>
        </w:trPr>
        <w:tc>
          <w:tcPr>
            <w:tcW w:w="1660" w:type="dxa"/>
            <w:shd w:val="clear" w:color="auto" w:fill="auto"/>
            <w:vAlign w:val="center"/>
            <w:hideMark/>
          </w:tcPr>
          <w:p w14:paraId="60CAAFC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28/12/2015</w:t>
            </w:r>
          </w:p>
        </w:tc>
        <w:tc>
          <w:tcPr>
            <w:tcW w:w="1034" w:type="dxa"/>
            <w:shd w:val="clear" w:color="auto" w:fill="auto"/>
            <w:noWrap/>
            <w:vAlign w:val="center"/>
            <w:hideMark/>
          </w:tcPr>
          <w:p w14:paraId="5AC6045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96.31</w:t>
            </w:r>
          </w:p>
        </w:tc>
        <w:tc>
          <w:tcPr>
            <w:tcW w:w="1134" w:type="dxa"/>
            <w:shd w:val="clear" w:color="auto" w:fill="auto"/>
            <w:noWrap/>
            <w:vAlign w:val="center"/>
            <w:hideMark/>
          </w:tcPr>
          <w:p w14:paraId="79A0528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86.60</w:t>
            </w:r>
          </w:p>
        </w:tc>
        <w:tc>
          <w:tcPr>
            <w:tcW w:w="1134" w:type="dxa"/>
            <w:shd w:val="clear" w:color="auto" w:fill="auto"/>
            <w:noWrap/>
            <w:vAlign w:val="center"/>
            <w:hideMark/>
          </w:tcPr>
          <w:p w14:paraId="168B846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87.90</w:t>
            </w:r>
          </w:p>
        </w:tc>
        <w:tc>
          <w:tcPr>
            <w:tcW w:w="992" w:type="dxa"/>
            <w:shd w:val="clear" w:color="auto" w:fill="auto"/>
            <w:noWrap/>
            <w:vAlign w:val="center"/>
            <w:hideMark/>
          </w:tcPr>
          <w:p w14:paraId="0163181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74.09</w:t>
            </w:r>
          </w:p>
        </w:tc>
        <w:tc>
          <w:tcPr>
            <w:tcW w:w="1276" w:type="dxa"/>
            <w:shd w:val="clear" w:color="auto" w:fill="auto"/>
            <w:noWrap/>
            <w:vAlign w:val="center"/>
            <w:hideMark/>
          </w:tcPr>
          <w:p w14:paraId="51A01EC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85.50</w:t>
            </w:r>
          </w:p>
        </w:tc>
      </w:tr>
      <w:tr w:rsidR="002C3A1A" w:rsidRPr="001715D3" w14:paraId="22D319BC" w14:textId="77777777" w:rsidTr="00FF1584">
        <w:trPr>
          <w:trHeight w:hRule="exact" w:val="170"/>
          <w:jc w:val="center"/>
        </w:trPr>
        <w:tc>
          <w:tcPr>
            <w:tcW w:w="1660" w:type="dxa"/>
            <w:shd w:val="clear" w:color="000000" w:fill="F9F9F9"/>
            <w:vAlign w:val="center"/>
            <w:hideMark/>
          </w:tcPr>
          <w:p w14:paraId="1683A4C9"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29/12/2015</w:t>
            </w:r>
          </w:p>
        </w:tc>
        <w:tc>
          <w:tcPr>
            <w:tcW w:w="1034" w:type="dxa"/>
            <w:shd w:val="clear" w:color="auto" w:fill="auto"/>
            <w:noWrap/>
            <w:vAlign w:val="center"/>
            <w:hideMark/>
          </w:tcPr>
          <w:p w14:paraId="535564C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95.95</w:t>
            </w:r>
          </w:p>
        </w:tc>
        <w:tc>
          <w:tcPr>
            <w:tcW w:w="1134" w:type="dxa"/>
            <w:shd w:val="clear" w:color="auto" w:fill="auto"/>
            <w:noWrap/>
            <w:vAlign w:val="center"/>
            <w:hideMark/>
          </w:tcPr>
          <w:p w14:paraId="0E07CAC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86.60</w:t>
            </w:r>
          </w:p>
        </w:tc>
        <w:tc>
          <w:tcPr>
            <w:tcW w:w="1134" w:type="dxa"/>
            <w:shd w:val="clear" w:color="auto" w:fill="auto"/>
            <w:noWrap/>
            <w:vAlign w:val="center"/>
            <w:hideMark/>
          </w:tcPr>
          <w:p w14:paraId="5BFB461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87.78</w:t>
            </w:r>
          </w:p>
        </w:tc>
        <w:tc>
          <w:tcPr>
            <w:tcW w:w="992" w:type="dxa"/>
            <w:shd w:val="clear" w:color="auto" w:fill="auto"/>
            <w:noWrap/>
            <w:vAlign w:val="center"/>
            <w:hideMark/>
          </w:tcPr>
          <w:p w14:paraId="51BD3F6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74.13</w:t>
            </w:r>
          </w:p>
        </w:tc>
        <w:tc>
          <w:tcPr>
            <w:tcW w:w="1276" w:type="dxa"/>
            <w:shd w:val="clear" w:color="auto" w:fill="auto"/>
            <w:noWrap/>
            <w:vAlign w:val="center"/>
            <w:hideMark/>
          </w:tcPr>
          <w:p w14:paraId="6436BBE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87.50</w:t>
            </w:r>
          </w:p>
        </w:tc>
      </w:tr>
      <w:tr w:rsidR="002C3A1A" w:rsidRPr="001715D3" w14:paraId="7A0B145E" w14:textId="77777777" w:rsidTr="00FF1584">
        <w:trPr>
          <w:trHeight w:hRule="exact" w:val="170"/>
          <w:jc w:val="center"/>
        </w:trPr>
        <w:tc>
          <w:tcPr>
            <w:tcW w:w="1660" w:type="dxa"/>
            <w:shd w:val="clear" w:color="auto" w:fill="auto"/>
            <w:vAlign w:val="center"/>
            <w:hideMark/>
          </w:tcPr>
          <w:p w14:paraId="178EF719"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30/12/2015</w:t>
            </w:r>
          </w:p>
        </w:tc>
        <w:tc>
          <w:tcPr>
            <w:tcW w:w="1034" w:type="dxa"/>
            <w:shd w:val="clear" w:color="auto" w:fill="auto"/>
            <w:noWrap/>
            <w:vAlign w:val="center"/>
            <w:hideMark/>
          </w:tcPr>
          <w:p w14:paraId="62AA3D9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95.94</w:t>
            </w:r>
          </w:p>
        </w:tc>
        <w:tc>
          <w:tcPr>
            <w:tcW w:w="1134" w:type="dxa"/>
            <w:shd w:val="clear" w:color="auto" w:fill="auto"/>
            <w:noWrap/>
            <w:vAlign w:val="center"/>
            <w:hideMark/>
          </w:tcPr>
          <w:p w14:paraId="3809BCF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86.59</w:t>
            </w:r>
          </w:p>
        </w:tc>
        <w:tc>
          <w:tcPr>
            <w:tcW w:w="1134" w:type="dxa"/>
            <w:shd w:val="clear" w:color="auto" w:fill="auto"/>
            <w:noWrap/>
            <w:vAlign w:val="center"/>
            <w:hideMark/>
          </w:tcPr>
          <w:p w14:paraId="68A269C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87.54</w:t>
            </w:r>
          </w:p>
        </w:tc>
        <w:tc>
          <w:tcPr>
            <w:tcW w:w="992" w:type="dxa"/>
            <w:shd w:val="clear" w:color="auto" w:fill="auto"/>
            <w:noWrap/>
            <w:vAlign w:val="center"/>
            <w:hideMark/>
          </w:tcPr>
          <w:p w14:paraId="39BFE2C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74.14</w:t>
            </w:r>
          </w:p>
        </w:tc>
        <w:tc>
          <w:tcPr>
            <w:tcW w:w="1276" w:type="dxa"/>
            <w:shd w:val="clear" w:color="auto" w:fill="auto"/>
            <w:noWrap/>
            <w:vAlign w:val="center"/>
            <w:hideMark/>
          </w:tcPr>
          <w:p w14:paraId="116C126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87.50</w:t>
            </w:r>
          </w:p>
        </w:tc>
      </w:tr>
      <w:tr w:rsidR="002C3A1A" w:rsidRPr="001715D3" w14:paraId="7BA120FA" w14:textId="77777777" w:rsidTr="00FF1584">
        <w:trPr>
          <w:trHeight w:hRule="exact" w:val="170"/>
          <w:jc w:val="center"/>
        </w:trPr>
        <w:tc>
          <w:tcPr>
            <w:tcW w:w="1660" w:type="dxa"/>
            <w:shd w:val="clear" w:color="000000" w:fill="F9F9F9"/>
            <w:vAlign w:val="center"/>
            <w:hideMark/>
          </w:tcPr>
          <w:p w14:paraId="16194C44"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31/12/2015</w:t>
            </w:r>
          </w:p>
        </w:tc>
        <w:tc>
          <w:tcPr>
            <w:tcW w:w="1034" w:type="dxa"/>
            <w:shd w:val="clear" w:color="auto" w:fill="auto"/>
            <w:noWrap/>
            <w:vAlign w:val="center"/>
            <w:hideMark/>
          </w:tcPr>
          <w:p w14:paraId="638F98C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95.45</w:t>
            </w:r>
          </w:p>
        </w:tc>
        <w:tc>
          <w:tcPr>
            <w:tcW w:w="1134" w:type="dxa"/>
            <w:shd w:val="clear" w:color="auto" w:fill="auto"/>
            <w:noWrap/>
            <w:vAlign w:val="center"/>
            <w:hideMark/>
          </w:tcPr>
          <w:p w14:paraId="16E40BF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86.54</w:t>
            </w:r>
          </w:p>
        </w:tc>
        <w:tc>
          <w:tcPr>
            <w:tcW w:w="1134" w:type="dxa"/>
            <w:shd w:val="clear" w:color="auto" w:fill="auto"/>
            <w:noWrap/>
            <w:vAlign w:val="center"/>
            <w:hideMark/>
          </w:tcPr>
          <w:p w14:paraId="45ABD32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85.28</w:t>
            </w:r>
          </w:p>
        </w:tc>
        <w:tc>
          <w:tcPr>
            <w:tcW w:w="992" w:type="dxa"/>
            <w:shd w:val="clear" w:color="auto" w:fill="auto"/>
            <w:noWrap/>
            <w:vAlign w:val="center"/>
            <w:hideMark/>
          </w:tcPr>
          <w:p w14:paraId="6BCF6F0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74.15</w:t>
            </w:r>
          </w:p>
        </w:tc>
        <w:tc>
          <w:tcPr>
            <w:tcW w:w="1276" w:type="dxa"/>
            <w:shd w:val="clear" w:color="auto" w:fill="auto"/>
            <w:noWrap/>
            <w:vAlign w:val="center"/>
            <w:hideMark/>
          </w:tcPr>
          <w:p w14:paraId="0FE2674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87.50</w:t>
            </w:r>
          </w:p>
        </w:tc>
      </w:tr>
      <w:tr w:rsidR="002C3A1A" w:rsidRPr="001715D3" w14:paraId="5AF367D5" w14:textId="77777777" w:rsidTr="00FF1584">
        <w:trPr>
          <w:trHeight w:hRule="exact" w:val="170"/>
          <w:jc w:val="center"/>
        </w:trPr>
        <w:tc>
          <w:tcPr>
            <w:tcW w:w="1660" w:type="dxa"/>
            <w:shd w:val="clear" w:color="auto" w:fill="auto"/>
            <w:noWrap/>
            <w:vAlign w:val="center"/>
            <w:hideMark/>
          </w:tcPr>
          <w:p w14:paraId="6F7AFF4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1/1/2016</w:t>
            </w:r>
          </w:p>
        </w:tc>
        <w:tc>
          <w:tcPr>
            <w:tcW w:w="1034" w:type="dxa"/>
            <w:shd w:val="clear" w:color="auto" w:fill="auto"/>
            <w:noWrap/>
            <w:vAlign w:val="center"/>
            <w:hideMark/>
          </w:tcPr>
          <w:p w14:paraId="5C9FDBF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95.41</w:t>
            </w:r>
          </w:p>
        </w:tc>
        <w:tc>
          <w:tcPr>
            <w:tcW w:w="1134" w:type="dxa"/>
            <w:shd w:val="clear" w:color="auto" w:fill="auto"/>
            <w:noWrap/>
            <w:vAlign w:val="center"/>
            <w:hideMark/>
          </w:tcPr>
          <w:p w14:paraId="7BC7AF0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86.53</w:t>
            </w:r>
          </w:p>
        </w:tc>
        <w:tc>
          <w:tcPr>
            <w:tcW w:w="1134" w:type="dxa"/>
            <w:shd w:val="clear" w:color="auto" w:fill="auto"/>
            <w:noWrap/>
            <w:vAlign w:val="center"/>
            <w:hideMark/>
          </w:tcPr>
          <w:p w14:paraId="3693C21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85.28</w:t>
            </w:r>
          </w:p>
        </w:tc>
        <w:tc>
          <w:tcPr>
            <w:tcW w:w="992" w:type="dxa"/>
            <w:shd w:val="clear" w:color="auto" w:fill="auto"/>
            <w:noWrap/>
            <w:vAlign w:val="center"/>
            <w:hideMark/>
          </w:tcPr>
          <w:p w14:paraId="5D89DF1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74.15</w:t>
            </w:r>
          </w:p>
        </w:tc>
        <w:tc>
          <w:tcPr>
            <w:tcW w:w="1276" w:type="dxa"/>
            <w:shd w:val="clear" w:color="auto" w:fill="auto"/>
            <w:noWrap/>
            <w:vAlign w:val="center"/>
            <w:hideMark/>
          </w:tcPr>
          <w:p w14:paraId="0D3F92E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87.50</w:t>
            </w:r>
          </w:p>
        </w:tc>
      </w:tr>
      <w:tr w:rsidR="002C3A1A" w:rsidRPr="001715D3" w14:paraId="630B62D1" w14:textId="77777777" w:rsidTr="00FF1584">
        <w:trPr>
          <w:trHeight w:hRule="exact" w:val="170"/>
          <w:jc w:val="center"/>
        </w:trPr>
        <w:tc>
          <w:tcPr>
            <w:tcW w:w="1660" w:type="dxa"/>
            <w:shd w:val="clear" w:color="auto" w:fill="auto"/>
            <w:noWrap/>
            <w:vAlign w:val="center"/>
            <w:hideMark/>
          </w:tcPr>
          <w:p w14:paraId="46E32DE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4/1/2016</w:t>
            </w:r>
          </w:p>
        </w:tc>
        <w:tc>
          <w:tcPr>
            <w:tcW w:w="1034" w:type="dxa"/>
            <w:shd w:val="clear" w:color="auto" w:fill="auto"/>
            <w:noWrap/>
            <w:vAlign w:val="center"/>
            <w:hideMark/>
          </w:tcPr>
          <w:p w14:paraId="14648A0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95.28</w:t>
            </w:r>
          </w:p>
        </w:tc>
        <w:tc>
          <w:tcPr>
            <w:tcW w:w="1134" w:type="dxa"/>
            <w:shd w:val="clear" w:color="auto" w:fill="auto"/>
            <w:noWrap/>
            <w:vAlign w:val="center"/>
            <w:hideMark/>
          </w:tcPr>
          <w:p w14:paraId="700FEE3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86.54</w:t>
            </w:r>
          </w:p>
        </w:tc>
        <w:tc>
          <w:tcPr>
            <w:tcW w:w="1134" w:type="dxa"/>
            <w:shd w:val="clear" w:color="auto" w:fill="auto"/>
            <w:noWrap/>
            <w:vAlign w:val="center"/>
            <w:hideMark/>
          </w:tcPr>
          <w:p w14:paraId="2E33366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85.30</w:t>
            </w:r>
          </w:p>
        </w:tc>
        <w:tc>
          <w:tcPr>
            <w:tcW w:w="992" w:type="dxa"/>
            <w:shd w:val="clear" w:color="auto" w:fill="auto"/>
            <w:noWrap/>
            <w:vAlign w:val="center"/>
            <w:hideMark/>
          </w:tcPr>
          <w:p w14:paraId="7DBB200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73.92</w:t>
            </w:r>
          </w:p>
        </w:tc>
        <w:tc>
          <w:tcPr>
            <w:tcW w:w="1276" w:type="dxa"/>
            <w:shd w:val="clear" w:color="auto" w:fill="auto"/>
            <w:noWrap/>
            <w:vAlign w:val="center"/>
            <w:hideMark/>
          </w:tcPr>
          <w:p w14:paraId="0EC97E9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86.08</w:t>
            </w:r>
          </w:p>
        </w:tc>
      </w:tr>
      <w:tr w:rsidR="002C3A1A" w:rsidRPr="001715D3" w14:paraId="4BDBA001" w14:textId="77777777" w:rsidTr="00FF1584">
        <w:trPr>
          <w:trHeight w:hRule="exact" w:val="170"/>
          <w:jc w:val="center"/>
        </w:trPr>
        <w:tc>
          <w:tcPr>
            <w:tcW w:w="1660" w:type="dxa"/>
            <w:shd w:val="clear" w:color="auto" w:fill="auto"/>
            <w:noWrap/>
            <w:vAlign w:val="center"/>
            <w:hideMark/>
          </w:tcPr>
          <w:p w14:paraId="46DAC996"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5/1/2016</w:t>
            </w:r>
          </w:p>
        </w:tc>
        <w:tc>
          <w:tcPr>
            <w:tcW w:w="1034" w:type="dxa"/>
            <w:shd w:val="clear" w:color="auto" w:fill="auto"/>
            <w:noWrap/>
            <w:vAlign w:val="center"/>
            <w:hideMark/>
          </w:tcPr>
          <w:p w14:paraId="52745B4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95.57</w:t>
            </w:r>
          </w:p>
        </w:tc>
        <w:tc>
          <w:tcPr>
            <w:tcW w:w="1134" w:type="dxa"/>
            <w:shd w:val="clear" w:color="auto" w:fill="auto"/>
            <w:noWrap/>
            <w:vAlign w:val="center"/>
            <w:hideMark/>
          </w:tcPr>
          <w:p w14:paraId="54DEA03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85.82</w:t>
            </w:r>
          </w:p>
        </w:tc>
        <w:tc>
          <w:tcPr>
            <w:tcW w:w="1134" w:type="dxa"/>
            <w:shd w:val="clear" w:color="auto" w:fill="auto"/>
            <w:noWrap/>
            <w:vAlign w:val="center"/>
            <w:hideMark/>
          </w:tcPr>
          <w:p w14:paraId="7BB432C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85.44</w:t>
            </w:r>
          </w:p>
        </w:tc>
        <w:tc>
          <w:tcPr>
            <w:tcW w:w="992" w:type="dxa"/>
            <w:shd w:val="clear" w:color="auto" w:fill="auto"/>
            <w:noWrap/>
            <w:vAlign w:val="center"/>
            <w:hideMark/>
          </w:tcPr>
          <w:p w14:paraId="4B0C878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73.74</w:t>
            </w:r>
          </w:p>
        </w:tc>
        <w:tc>
          <w:tcPr>
            <w:tcW w:w="1276" w:type="dxa"/>
            <w:shd w:val="clear" w:color="auto" w:fill="auto"/>
            <w:noWrap/>
            <w:vAlign w:val="center"/>
            <w:hideMark/>
          </w:tcPr>
          <w:p w14:paraId="3AB84FD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86.50</w:t>
            </w:r>
          </w:p>
        </w:tc>
      </w:tr>
      <w:tr w:rsidR="002C3A1A" w:rsidRPr="001715D3" w14:paraId="15E0101D" w14:textId="77777777" w:rsidTr="00FF1584">
        <w:trPr>
          <w:trHeight w:hRule="exact" w:val="170"/>
          <w:jc w:val="center"/>
        </w:trPr>
        <w:tc>
          <w:tcPr>
            <w:tcW w:w="1660" w:type="dxa"/>
            <w:shd w:val="clear" w:color="auto" w:fill="auto"/>
            <w:noWrap/>
            <w:vAlign w:val="center"/>
            <w:hideMark/>
          </w:tcPr>
          <w:p w14:paraId="43962958"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6/1/2016</w:t>
            </w:r>
          </w:p>
        </w:tc>
        <w:tc>
          <w:tcPr>
            <w:tcW w:w="1034" w:type="dxa"/>
            <w:shd w:val="clear" w:color="auto" w:fill="auto"/>
            <w:noWrap/>
            <w:vAlign w:val="center"/>
            <w:hideMark/>
          </w:tcPr>
          <w:p w14:paraId="72BCECC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96.41</w:t>
            </w:r>
          </w:p>
        </w:tc>
        <w:tc>
          <w:tcPr>
            <w:tcW w:w="1134" w:type="dxa"/>
            <w:shd w:val="clear" w:color="auto" w:fill="auto"/>
            <w:noWrap/>
            <w:vAlign w:val="center"/>
            <w:hideMark/>
          </w:tcPr>
          <w:p w14:paraId="54D4B05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85.92</w:t>
            </w:r>
          </w:p>
        </w:tc>
        <w:tc>
          <w:tcPr>
            <w:tcW w:w="1134" w:type="dxa"/>
            <w:shd w:val="clear" w:color="auto" w:fill="auto"/>
            <w:noWrap/>
            <w:vAlign w:val="center"/>
            <w:hideMark/>
          </w:tcPr>
          <w:p w14:paraId="7E7EB56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85.45</w:t>
            </w:r>
          </w:p>
        </w:tc>
        <w:tc>
          <w:tcPr>
            <w:tcW w:w="992" w:type="dxa"/>
            <w:shd w:val="clear" w:color="auto" w:fill="auto"/>
            <w:noWrap/>
            <w:vAlign w:val="center"/>
            <w:hideMark/>
          </w:tcPr>
          <w:p w14:paraId="5E03080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73.82</w:t>
            </w:r>
          </w:p>
        </w:tc>
        <w:tc>
          <w:tcPr>
            <w:tcW w:w="1276" w:type="dxa"/>
            <w:shd w:val="clear" w:color="auto" w:fill="auto"/>
            <w:noWrap/>
            <w:vAlign w:val="center"/>
            <w:hideMark/>
          </w:tcPr>
          <w:p w14:paraId="355841C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86.00</w:t>
            </w:r>
          </w:p>
        </w:tc>
      </w:tr>
      <w:tr w:rsidR="002C3A1A" w:rsidRPr="001715D3" w14:paraId="3D5180A9" w14:textId="77777777" w:rsidTr="00FF1584">
        <w:trPr>
          <w:trHeight w:hRule="exact" w:val="170"/>
          <w:jc w:val="center"/>
        </w:trPr>
        <w:tc>
          <w:tcPr>
            <w:tcW w:w="1660" w:type="dxa"/>
            <w:shd w:val="clear" w:color="auto" w:fill="auto"/>
            <w:noWrap/>
            <w:vAlign w:val="center"/>
            <w:hideMark/>
          </w:tcPr>
          <w:p w14:paraId="4FD6F171"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7/1/2016</w:t>
            </w:r>
          </w:p>
        </w:tc>
        <w:tc>
          <w:tcPr>
            <w:tcW w:w="1034" w:type="dxa"/>
            <w:shd w:val="clear" w:color="auto" w:fill="auto"/>
            <w:noWrap/>
            <w:vAlign w:val="center"/>
            <w:hideMark/>
          </w:tcPr>
          <w:p w14:paraId="03F94BC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97.17</w:t>
            </w:r>
          </w:p>
        </w:tc>
        <w:tc>
          <w:tcPr>
            <w:tcW w:w="1134" w:type="dxa"/>
            <w:shd w:val="clear" w:color="auto" w:fill="auto"/>
            <w:noWrap/>
            <w:vAlign w:val="center"/>
            <w:hideMark/>
          </w:tcPr>
          <w:p w14:paraId="0DDCCEF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86.35</w:t>
            </w:r>
          </w:p>
        </w:tc>
        <w:tc>
          <w:tcPr>
            <w:tcW w:w="1134" w:type="dxa"/>
            <w:shd w:val="clear" w:color="auto" w:fill="auto"/>
            <w:noWrap/>
            <w:vAlign w:val="center"/>
            <w:hideMark/>
          </w:tcPr>
          <w:p w14:paraId="6AFC79A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85.73</w:t>
            </w:r>
          </w:p>
        </w:tc>
        <w:tc>
          <w:tcPr>
            <w:tcW w:w="992" w:type="dxa"/>
            <w:shd w:val="clear" w:color="auto" w:fill="auto"/>
            <w:noWrap/>
            <w:vAlign w:val="center"/>
            <w:hideMark/>
          </w:tcPr>
          <w:p w14:paraId="72D3BDA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74.02</w:t>
            </w:r>
          </w:p>
        </w:tc>
        <w:tc>
          <w:tcPr>
            <w:tcW w:w="1276" w:type="dxa"/>
            <w:shd w:val="clear" w:color="auto" w:fill="auto"/>
            <w:noWrap/>
            <w:vAlign w:val="center"/>
            <w:hideMark/>
          </w:tcPr>
          <w:p w14:paraId="4020971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84.45</w:t>
            </w:r>
          </w:p>
        </w:tc>
      </w:tr>
      <w:tr w:rsidR="002C3A1A" w:rsidRPr="001715D3" w14:paraId="1703CA07" w14:textId="77777777" w:rsidTr="00FF1584">
        <w:trPr>
          <w:trHeight w:hRule="exact" w:val="170"/>
          <w:jc w:val="center"/>
        </w:trPr>
        <w:tc>
          <w:tcPr>
            <w:tcW w:w="1660" w:type="dxa"/>
            <w:shd w:val="clear" w:color="auto" w:fill="auto"/>
            <w:noWrap/>
            <w:vAlign w:val="center"/>
            <w:hideMark/>
          </w:tcPr>
          <w:p w14:paraId="7AC1A06B"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8/1/2016</w:t>
            </w:r>
          </w:p>
        </w:tc>
        <w:tc>
          <w:tcPr>
            <w:tcW w:w="1034" w:type="dxa"/>
            <w:shd w:val="clear" w:color="auto" w:fill="auto"/>
            <w:noWrap/>
            <w:vAlign w:val="center"/>
            <w:hideMark/>
          </w:tcPr>
          <w:p w14:paraId="71341E9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97.12</w:t>
            </w:r>
          </w:p>
        </w:tc>
        <w:tc>
          <w:tcPr>
            <w:tcW w:w="1134" w:type="dxa"/>
            <w:shd w:val="clear" w:color="auto" w:fill="auto"/>
            <w:noWrap/>
            <w:vAlign w:val="center"/>
            <w:hideMark/>
          </w:tcPr>
          <w:p w14:paraId="778621C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86.08</w:t>
            </w:r>
          </w:p>
        </w:tc>
        <w:tc>
          <w:tcPr>
            <w:tcW w:w="1134" w:type="dxa"/>
            <w:shd w:val="clear" w:color="auto" w:fill="auto"/>
            <w:noWrap/>
            <w:vAlign w:val="center"/>
            <w:hideMark/>
          </w:tcPr>
          <w:p w14:paraId="6FC9CB0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85.58</w:t>
            </w:r>
          </w:p>
        </w:tc>
        <w:tc>
          <w:tcPr>
            <w:tcW w:w="992" w:type="dxa"/>
            <w:shd w:val="clear" w:color="auto" w:fill="auto"/>
            <w:noWrap/>
            <w:vAlign w:val="center"/>
            <w:hideMark/>
          </w:tcPr>
          <w:p w14:paraId="2B7F4E6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74.22</w:t>
            </w:r>
          </w:p>
        </w:tc>
        <w:tc>
          <w:tcPr>
            <w:tcW w:w="1276" w:type="dxa"/>
            <w:shd w:val="clear" w:color="auto" w:fill="auto"/>
            <w:noWrap/>
            <w:vAlign w:val="center"/>
            <w:hideMark/>
          </w:tcPr>
          <w:p w14:paraId="4DF04E9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83.70</w:t>
            </w:r>
          </w:p>
        </w:tc>
      </w:tr>
      <w:tr w:rsidR="002C3A1A" w:rsidRPr="001715D3" w14:paraId="09C0EFA3" w14:textId="77777777" w:rsidTr="00FF1584">
        <w:trPr>
          <w:trHeight w:hRule="exact" w:val="170"/>
          <w:jc w:val="center"/>
        </w:trPr>
        <w:tc>
          <w:tcPr>
            <w:tcW w:w="1660" w:type="dxa"/>
            <w:shd w:val="clear" w:color="auto" w:fill="auto"/>
            <w:noWrap/>
            <w:vAlign w:val="center"/>
            <w:hideMark/>
          </w:tcPr>
          <w:p w14:paraId="076A39DA"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11/1/2016</w:t>
            </w:r>
          </w:p>
        </w:tc>
        <w:tc>
          <w:tcPr>
            <w:tcW w:w="1034" w:type="dxa"/>
            <w:shd w:val="clear" w:color="auto" w:fill="auto"/>
            <w:noWrap/>
            <w:vAlign w:val="center"/>
            <w:hideMark/>
          </w:tcPr>
          <w:p w14:paraId="113A025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97.73</w:t>
            </w:r>
          </w:p>
        </w:tc>
        <w:tc>
          <w:tcPr>
            <w:tcW w:w="1134" w:type="dxa"/>
            <w:shd w:val="clear" w:color="auto" w:fill="auto"/>
            <w:noWrap/>
            <w:vAlign w:val="center"/>
            <w:hideMark/>
          </w:tcPr>
          <w:p w14:paraId="79797D0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86.04</w:t>
            </w:r>
          </w:p>
        </w:tc>
        <w:tc>
          <w:tcPr>
            <w:tcW w:w="1134" w:type="dxa"/>
            <w:shd w:val="clear" w:color="auto" w:fill="auto"/>
            <w:noWrap/>
            <w:vAlign w:val="center"/>
            <w:hideMark/>
          </w:tcPr>
          <w:p w14:paraId="44BE6E2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85.60</w:t>
            </w:r>
          </w:p>
        </w:tc>
        <w:tc>
          <w:tcPr>
            <w:tcW w:w="992" w:type="dxa"/>
            <w:shd w:val="clear" w:color="auto" w:fill="auto"/>
            <w:noWrap/>
            <w:vAlign w:val="center"/>
            <w:hideMark/>
          </w:tcPr>
          <w:p w14:paraId="58959F4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74.22</w:t>
            </w:r>
          </w:p>
        </w:tc>
        <w:tc>
          <w:tcPr>
            <w:tcW w:w="1276" w:type="dxa"/>
            <w:shd w:val="clear" w:color="auto" w:fill="auto"/>
            <w:noWrap/>
            <w:vAlign w:val="center"/>
            <w:hideMark/>
          </w:tcPr>
          <w:p w14:paraId="7F0BFB9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83.25</w:t>
            </w:r>
          </w:p>
        </w:tc>
      </w:tr>
      <w:tr w:rsidR="002C3A1A" w:rsidRPr="001715D3" w14:paraId="7304F297" w14:textId="77777777" w:rsidTr="00FF1584">
        <w:trPr>
          <w:trHeight w:hRule="exact" w:val="170"/>
          <w:jc w:val="center"/>
        </w:trPr>
        <w:tc>
          <w:tcPr>
            <w:tcW w:w="1660" w:type="dxa"/>
            <w:shd w:val="clear" w:color="auto" w:fill="auto"/>
            <w:noWrap/>
            <w:vAlign w:val="center"/>
            <w:hideMark/>
          </w:tcPr>
          <w:p w14:paraId="49B5F0D8"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12/1/2016</w:t>
            </w:r>
          </w:p>
        </w:tc>
        <w:tc>
          <w:tcPr>
            <w:tcW w:w="1034" w:type="dxa"/>
            <w:shd w:val="clear" w:color="auto" w:fill="auto"/>
            <w:noWrap/>
            <w:vAlign w:val="center"/>
            <w:hideMark/>
          </w:tcPr>
          <w:p w14:paraId="63E563E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97.84</w:t>
            </w:r>
          </w:p>
        </w:tc>
        <w:tc>
          <w:tcPr>
            <w:tcW w:w="1134" w:type="dxa"/>
            <w:shd w:val="clear" w:color="auto" w:fill="auto"/>
            <w:noWrap/>
            <w:vAlign w:val="center"/>
            <w:hideMark/>
          </w:tcPr>
          <w:p w14:paraId="7235D80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85.33</w:t>
            </w:r>
          </w:p>
        </w:tc>
        <w:tc>
          <w:tcPr>
            <w:tcW w:w="1134" w:type="dxa"/>
            <w:shd w:val="clear" w:color="auto" w:fill="auto"/>
            <w:noWrap/>
            <w:vAlign w:val="center"/>
            <w:hideMark/>
          </w:tcPr>
          <w:p w14:paraId="16AC5E5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85.56</w:t>
            </w:r>
          </w:p>
        </w:tc>
        <w:tc>
          <w:tcPr>
            <w:tcW w:w="992" w:type="dxa"/>
            <w:shd w:val="clear" w:color="auto" w:fill="auto"/>
            <w:noWrap/>
            <w:vAlign w:val="center"/>
            <w:hideMark/>
          </w:tcPr>
          <w:p w14:paraId="6DAC815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74.23</w:t>
            </w:r>
          </w:p>
        </w:tc>
        <w:tc>
          <w:tcPr>
            <w:tcW w:w="1276" w:type="dxa"/>
            <w:shd w:val="clear" w:color="auto" w:fill="auto"/>
            <w:noWrap/>
            <w:vAlign w:val="center"/>
            <w:hideMark/>
          </w:tcPr>
          <w:p w14:paraId="0DEA5D2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82.42</w:t>
            </w:r>
          </w:p>
        </w:tc>
      </w:tr>
      <w:tr w:rsidR="002C3A1A" w:rsidRPr="001715D3" w14:paraId="04CA79A9" w14:textId="77777777" w:rsidTr="00FF1584">
        <w:trPr>
          <w:trHeight w:hRule="exact" w:val="170"/>
          <w:jc w:val="center"/>
        </w:trPr>
        <w:tc>
          <w:tcPr>
            <w:tcW w:w="1660" w:type="dxa"/>
            <w:shd w:val="clear" w:color="auto" w:fill="auto"/>
            <w:noWrap/>
            <w:vAlign w:val="center"/>
            <w:hideMark/>
          </w:tcPr>
          <w:p w14:paraId="1FDB7EFF"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13/1/2016</w:t>
            </w:r>
          </w:p>
        </w:tc>
        <w:tc>
          <w:tcPr>
            <w:tcW w:w="1034" w:type="dxa"/>
            <w:shd w:val="clear" w:color="auto" w:fill="auto"/>
            <w:noWrap/>
            <w:vAlign w:val="center"/>
            <w:hideMark/>
          </w:tcPr>
          <w:p w14:paraId="42A3C51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97.97</w:t>
            </w:r>
          </w:p>
        </w:tc>
        <w:tc>
          <w:tcPr>
            <w:tcW w:w="1134" w:type="dxa"/>
            <w:shd w:val="clear" w:color="auto" w:fill="auto"/>
            <w:noWrap/>
            <w:vAlign w:val="center"/>
            <w:hideMark/>
          </w:tcPr>
          <w:p w14:paraId="1FCCF5F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85.21</w:t>
            </w:r>
          </w:p>
        </w:tc>
        <w:tc>
          <w:tcPr>
            <w:tcW w:w="1134" w:type="dxa"/>
            <w:shd w:val="clear" w:color="auto" w:fill="auto"/>
            <w:noWrap/>
            <w:vAlign w:val="center"/>
            <w:hideMark/>
          </w:tcPr>
          <w:p w14:paraId="15060E0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87.20</w:t>
            </w:r>
          </w:p>
        </w:tc>
        <w:tc>
          <w:tcPr>
            <w:tcW w:w="992" w:type="dxa"/>
            <w:shd w:val="clear" w:color="auto" w:fill="auto"/>
            <w:noWrap/>
            <w:vAlign w:val="center"/>
            <w:hideMark/>
          </w:tcPr>
          <w:p w14:paraId="24550CF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74.23</w:t>
            </w:r>
          </w:p>
        </w:tc>
        <w:tc>
          <w:tcPr>
            <w:tcW w:w="1276" w:type="dxa"/>
            <w:shd w:val="clear" w:color="auto" w:fill="auto"/>
            <w:noWrap/>
            <w:vAlign w:val="center"/>
            <w:hideMark/>
          </w:tcPr>
          <w:p w14:paraId="6DDE50B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81.08</w:t>
            </w:r>
          </w:p>
        </w:tc>
      </w:tr>
      <w:tr w:rsidR="002C3A1A" w:rsidRPr="001715D3" w14:paraId="4016C5E7" w14:textId="77777777" w:rsidTr="00FF1584">
        <w:trPr>
          <w:trHeight w:hRule="exact" w:val="170"/>
          <w:jc w:val="center"/>
        </w:trPr>
        <w:tc>
          <w:tcPr>
            <w:tcW w:w="1660" w:type="dxa"/>
            <w:shd w:val="clear" w:color="auto" w:fill="auto"/>
            <w:noWrap/>
            <w:vAlign w:val="center"/>
            <w:hideMark/>
          </w:tcPr>
          <w:p w14:paraId="66A9F679"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14/1/2016</w:t>
            </w:r>
          </w:p>
        </w:tc>
        <w:tc>
          <w:tcPr>
            <w:tcW w:w="1034" w:type="dxa"/>
            <w:shd w:val="clear" w:color="auto" w:fill="auto"/>
            <w:noWrap/>
            <w:vAlign w:val="center"/>
            <w:hideMark/>
          </w:tcPr>
          <w:p w14:paraId="216174F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97.79</w:t>
            </w:r>
          </w:p>
        </w:tc>
        <w:tc>
          <w:tcPr>
            <w:tcW w:w="1134" w:type="dxa"/>
            <w:shd w:val="clear" w:color="auto" w:fill="auto"/>
            <w:noWrap/>
            <w:vAlign w:val="center"/>
            <w:hideMark/>
          </w:tcPr>
          <w:p w14:paraId="32D229D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84.14</w:t>
            </w:r>
          </w:p>
        </w:tc>
        <w:tc>
          <w:tcPr>
            <w:tcW w:w="1134" w:type="dxa"/>
            <w:shd w:val="clear" w:color="auto" w:fill="auto"/>
            <w:noWrap/>
            <w:vAlign w:val="center"/>
            <w:hideMark/>
          </w:tcPr>
          <w:p w14:paraId="439BD05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87.48</w:t>
            </w:r>
          </w:p>
        </w:tc>
        <w:tc>
          <w:tcPr>
            <w:tcW w:w="992" w:type="dxa"/>
            <w:shd w:val="clear" w:color="auto" w:fill="auto"/>
            <w:noWrap/>
            <w:vAlign w:val="center"/>
            <w:hideMark/>
          </w:tcPr>
          <w:p w14:paraId="4B95163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74.09</w:t>
            </w:r>
          </w:p>
        </w:tc>
        <w:tc>
          <w:tcPr>
            <w:tcW w:w="1276" w:type="dxa"/>
            <w:shd w:val="clear" w:color="auto" w:fill="auto"/>
            <w:noWrap/>
            <w:vAlign w:val="center"/>
            <w:hideMark/>
          </w:tcPr>
          <w:p w14:paraId="3181153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76.18</w:t>
            </w:r>
          </w:p>
        </w:tc>
      </w:tr>
      <w:tr w:rsidR="002C3A1A" w:rsidRPr="001715D3" w14:paraId="64673BEE" w14:textId="77777777" w:rsidTr="00FF1584">
        <w:trPr>
          <w:trHeight w:hRule="exact" w:val="170"/>
          <w:jc w:val="center"/>
        </w:trPr>
        <w:tc>
          <w:tcPr>
            <w:tcW w:w="1660" w:type="dxa"/>
            <w:shd w:val="clear" w:color="auto" w:fill="auto"/>
            <w:noWrap/>
            <w:vAlign w:val="center"/>
            <w:hideMark/>
          </w:tcPr>
          <w:p w14:paraId="44B3053C"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15/1/2016</w:t>
            </w:r>
          </w:p>
        </w:tc>
        <w:tc>
          <w:tcPr>
            <w:tcW w:w="1034" w:type="dxa"/>
            <w:shd w:val="clear" w:color="auto" w:fill="auto"/>
            <w:noWrap/>
            <w:vAlign w:val="center"/>
            <w:hideMark/>
          </w:tcPr>
          <w:p w14:paraId="22DCB23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97.77</w:t>
            </w:r>
          </w:p>
        </w:tc>
        <w:tc>
          <w:tcPr>
            <w:tcW w:w="1134" w:type="dxa"/>
            <w:shd w:val="clear" w:color="auto" w:fill="auto"/>
            <w:noWrap/>
            <w:vAlign w:val="center"/>
            <w:hideMark/>
          </w:tcPr>
          <w:p w14:paraId="07AE365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84.00</w:t>
            </w:r>
          </w:p>
        </w:tc>
        <w:tc>
          <w:tcPr>
            <w:tcW w:w="1134" w:type="dxa"/>
            <w:shd w:val="clear" w:color="auto" w:fill="auto"/>
            <w:noWrap/>
            <w:vAlign w:val="center"/>
            <w:hideMark/>
          </w:tcPr>
          <w:p w14:paraId="41673DD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87.48</w:t>
            </w:r>
          </w:p>
        </w:tc>
        <w:tc>
          <w:tcPr>
            <w:tcW w:w="992" w:type="dxa"/>
            <w:shd w:val="clear" w:color="auto" w:fill="auto"/>
            <w:noWrap/>
            <w:vAlign w:val="center"/>
            <w:hideMark/>
          </w:tcPr>
          <w:p w14:paraId="30BCF8B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73.63</w:t>
            </w:r>
          </w:p>
        </w:tc>
        <w:tc>
          <w:tcPr>
            <w:tcW w:w="1276" w:type="dxa"/>
            <w:shd w:val="clear" w:color="auto" w:fill="auto"/>
            <w:noWrap/>
            <w:vAlign w:val="center"/>
            <w:hideMark/>
          </w:tcPr>
          <w:p w14:paraId="5C9F400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76.50</w:t>
            </w:r>
          </w:p>
        </w:tc>
      </w:tr>
      <w:tr w:rsidR="002C3A1A" w:rsidRPr="001715D3" w14:paraId="2ABAFD0E" w14:textId="77777777" w:rsidTr="00FF1584">
        <w:trPr>
          <w:trHeight w:hRule="exact" w:val="170"/>
          <w:jc w:val="center"/>
        </w:trPr>
        <w:tc>
          <w:tcPr>
            <w:tcW w:w="1660" w:type="dxa"/>
            <w:shd w:val="clear" w:color="auto" w:fill="auto"/>
            <w:noWrap/>
            <w:vAlign w:val="center"/>
            <w:hideMark/>
          </w:tcPr>
          <w:p w14:paraId="677303EF"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18/1/2016</w:t>
            </w:r>
          </w:p>
        </w:tc>
        <w:tc>
          <w:tcPr>
            <w:tcW w:w="1034" w:type="dxa"/>
            <w:shd w:val="clear" w:color="auto" w:fill="auto"/>
            <w:noWrap/>
            <w:vAlign w:val="center"/>
            <w:hideMark/>
          </w:tcPr>
          <w:p w14:paraId="426AC5E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98.11</w:t>
            </w:r>
          </w:p>
        </w:tc>
        <w:tc>
          <w:tcPr>
            <w:tcW w:w="1134" w:type="dxa"/>
            <w:shd w:val="clear" w:color="auto" w:fill="auto"/>
            <w:noWrap/>
            <w:vAlign w:val="center"/>
            <w:hideMark/>
          </w:tcPr>
          <w:p w14:paraId="1538411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84.27</w:t>
            </w:r>
          </w:p>
        </w:tc>
        <w:tc>
          <w:tcPr>
            <w:tcW w:w="1134" w:type="dxa"/>
            <w:shd w:val="clear" w:color="auto" w:fill="auto"/>
            <w:noWrap/>
            <w:vAlign w:val="center"/>
            <w:hideMark/>
          </w:tcPr>
          <w:p w14:paraId="2A24B11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87.48</w:t>
            </w:r>
          </w:p>
        </w:tc>
        <w:tc>
          <w:tcPr>
            <w:tcW w:w="992" w:type="dxa"/>
            <w:shd w:val="clear" w:color="auto" w:fill="auto"/>
            <w:noWrap/>
            <w:vAlign w:val="center"/>
            <w:hideMark/>
          </w:tcPr>
          <w:p w14:paraId="5CABAF7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73.63</w:t>
            </w:r>
          </w:p>
        </w:tc>
        <w:tc>
          <w:tcPr>
            <w:tcW w:w="1276" w:type="dxa"/>
            <w:shd w:val="clear" w:color="auto" w:fill="auto"/>
            <w:noWrap/>
            <w:vAlign w:val="center"/>
            <w:hideMark/>
          </w:tcPr>
          <w:p w14:paraId="4177C48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76.50</w:t>
            </w:r>
          </w:p>
        </w:tc>
      </w:tr>
      <w:tr w:rsidR="002C3A1A" w:rsidRPr="001715D3" w14:paraId="0FD34FC5" w14:textId="77777777" w:rsidTr="00FF1584">
        <w:trPr>
          <w:trHeight w:hRule="exact" w:val="170"/>
          <w:jc w:val="center"/>
        </w:trPr>
        <w:tc>
          <w:tcPr>
            <w:tcW w:w="1660" w:type="dxa"/>
            <w:shd w:val="clear" w:color="auto" w:fill="auto"/>
            <w:noWrap/>
            <w:vAlign w:val="center"/>
            <w:hideMark/>
          </w:tcPr>
          <w:p w14:paraId="628ADAA6"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19/1/2016</w:t>
            </w:r>
          </w:p>
        </w:tc>
        <w:tc>
          <w:tcPr>
            <w:tcW w:w="1034" w:type="dxa"/>
            <w:shd w:val="clear" w:color="auto" w:fill="auto"/>
            <w:noWrap/>
            <w:vAlign w:val="center"/>
            <w:hideMark/>
          </w:tcPr>
          <w:p w14:paraId="03F306F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98.12</w:t>
            </w:r>
          </w:p>
        </w:tc>
        <w:tc>
          <w:tcPr>
            <w:tcW w:w="1134" w:type="dxa"/>
            <w:shd w:val="clear" w:color="auto" w:fill="auto"/>
            <w:noWrap/>
            <w:vAlign w:val="center"/>
            <w:hideMark/>
          </w:tcPr>
          <w:p w14:paraId="1D5F2AD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84.32</w:t>
            </w:r>
          </w:p>
        </w:tc>
        <w:tc>
          <w:tcPr>
            <w:tcW w:w="1134" w:type="dxa"/>
            <w:shd w:val="clear" w:color="auto" w:fill="auto"/>
            <w:noWrap/>
            <w:vAlign w:val="center"/>
            <w:hideMark/>
          </w:tcPr>
          <w:p w14:paraId="66FA5BC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87.48</w:t>
            </w:r>
          </w:p>
        </w:tc>
        <w:tc>
          <w:tcPr>
            <w:tcW w:w="992" w:type="dxa"/>
            <w:shd w:val="clear" w:color="auto" w:fill="auto"/>
            <w:noWrap/>
            <w:vAlign w:val="center"/>
            <w:hideMark/>
          </w:tcPr>
          <w:p w14:paraId="2D9FE8E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73.64</w:t>
            </w:r>
          </w:p>
        </w:tc>
        <w:tc>
          <w:tcPr>
            <w:tcW w:w="1276" w:type="dxa"/>
            <w:shd w:val="clear" w:color="auto" w:fill="auto"/>
            <w:noWrap/>
            <w:vAlign w:val="center"/>
            <w:hideMark/>
          </w:tcPr>
          <w:p w14:paraId="6AB72A0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75.43</w:t>
            </w:r>
          </w:p>
        </w:tc>
      </w:tr>
      <w:tr w:rsidR="002C3A1A" w:rsidRPr="001715D3" w14:paraId="57CACA9F" w14:textId="77777777" w:rsidTr="00FF1584">
        <w:trPr>
          <w:trHeight w:hRule="exact" w:val="170"/>
          <w:jc w:val="center"/>
        </w:trPr>
        <w:tc>
          <w:tcPr>
            <w:tcW w:w="1660" w:type="dxa"/>
            <w:shd w:val="clear" w:color="auto" w:fill="auto"/>
            <w:noWrap/>
            <w:vAlign w:val="center"/>
            <w:hideMark/>
          </w:tcPr>
          <w:p w14:paraId="38A7DF28"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20/1/2016</w:t>
            </w:r>
          </w:p>
        </w:tc>
        <w:tc>
          <w:tcPr>
            <w:tcW w:w="1034" w:type="dxa"/>
            <w:shd w:val="clear" w:color="auto" w:fill="auto"/>
            <w:noWrap/>
            <w:vAlign w:val="center"/>
            <w:hideMark/>
          </w:tcPr>
          <w:p w14:paraId="1B28C9E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98.14</w:t>
            </w:r>
          </w:p>
        </w:tc>
        <w:tc>
          <w:tcPr>
            <w:tcW w:w="1134" w:type="dxa"/>
            <w:shd w:val="clear" w:color="auto" w:fill="auto"/>
            <w:noWrap/>
            <w:vAlign w:val="center"/>
            <w:hideMark/>
          </w:tcPr>
          <w:p w14:paraId="06D6DB5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84.32</w:t>
            </w:r>
          </w:p>
        </w:tc>
        <w:tc>
          <w:tcPr>
            <w:tcW w:w="1134" w:type="dxa"/>
            <w:shd w:val="clear" w:color="auto" w:fill="auto"/>
            <w:noWrap/>
            <w:vAlign w:val="center"/>
            <w:hideMark/>
          </w:tcPr>
          <w:p w14:paraId="7BA88CF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87.48</w:t>
            </w:r>
          </w:p>
        </w:tc>
        <w:tc>
          <w:tcPr>
            <w:tcW w:w="992" w:type="dxa"/>
            <w:shd w:val="clear" w:color="auto" w:fill="auto"/>
            <w:noWrap/>
            <w:vAlign w:val="center"/>
            <w:hideMark/>
          </w:tcPr>
          <w:p w14:paraId="0C33BD3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73.64</w:t>
            </w:r>
          </w:p>
        </w:tc>
        <w:tc>
          <w:tcPr>
            <w:tcW w:w="1276" w:type="dxa"/>
            <w:shd w:val="clear" w:color="auto" w:fill="auto"/>
            <w:noWrap/>
            <w:vAlign w:val="center"/>
            <w:hideMark/>
          </w:tcPr>
          <w:p w14:paraId="37EE9B5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75.00</w:t>
            </w:r>
          </w:p>
        </w:tc>
      </w:tr>
      <w:tr w:rsidR="002C3A1A" w:rsidRPr="001715D3" w14:paraId="6F774573" w14:textId="77777777" w:rsidTr="00FF1584">
        <w:trPr>
          <w:trHeight w:hRule="exact" w:val="170"/>
          <w:jc w:val="center"/>
        </w:trPr>
        <w:tc>
          <w:tcPr>
            <w:tcW w:w="1660" w:type="dxa"/>
            <w:shd w:val="clear" w:color="auto" w:fill="auto"/>
            <w:noWrap/>
            <w:vAlign w:val="center"/>
            <w:hideMark/>
          </w:tcPr>
          <w:p w14:paraId="19CC2A6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21/1/2016</w:t>
            </w:r>
          </w:p>
        </w:tc>
        <w:tc>
          <w:tcPr>
            <w:tcW w:w="1034" w:type="dxa"/>
            <w:shd w:val="clear" w:color="auto" w:fill="auto"/>
            <w:noWrap/>
            <w:vAlign w:val="center"/>
            <w:hideMark/>
          </w:tcPr>
          <w:p w14:paraId="48846A5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97.95</w:t>
            </w:r>
          </w:p>
        </w:tc>
        <w:tc>
          <w:tcPr>
            <w:tcW w:w="1134" w:type="dxa"/>
            <w:shd w:val="clear" w:color="auto" w:fill="auto"/>
            <w:noWrap/>
            <w:vAlign w:val="center"/>
            <w:hideMark/>
          </w:tcPr>
          <w:p w14:paraId="1AEF93A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84.31</w:t>
            </w:r>
          </w:p>
        </w:tc>
        <w:tc>
          <w:tcPr>
            <w:tcW w:w="1134" w:type="dxa"/>
            <w:shd w:val="clear" w:color="auto" w:fill="auto"/>
            <w:noWrap/>
            <w:vAlign w:val="center"/>
            <w:hideMark/>
          </w:tcPr>
          <w:p w14:paraId="7400023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87.48</w:t>
            </w:r>
          </w:p>
        </w:tc>
        <w:tc>
          <w:tcPr>
            <w:tcW w:w="992" w:type="dxa"/>
            <w:shd w:val="clear" w:color="auto" w:fill="auto"/>
            <w:noWrap/>
            <w:vAlign w:val="center"/>
            <w:hideMark/>
          </w:tcPr>
          <w:p w14:paraId="3F612F8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73.64</w:t>
            </w:r>
          </w:p>
        </w:tc>
        <w:tc>
          <w:tcPr>
            <w:tcW w:w="1276" w:type="dxa"/>
            <w:shd w:val="clear" w:color="auto" w:fill="auto"/>
            <w:noWrap/>
            <w:vAlign w:val="center"/>
            <w:hideMark/>
          </w:tcPr>
          <w:p w14:paraId="0E690F2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74.50</w:t>
            </w:r>
          </w:p>
        </w:tc>
      </w:tr>
      <w:tr w:rsidR="002C3A1A" w:rsidRPr="001715D3" w14:paraId="5AA43396" w14:textId="77777777" w:rsidTr="00FF1584">
        <w:trPr>
          <w:trHeight w:hRule="exact" w:val="170"/>
          <w:jc w:val="center"/>
        </w:trPr>
        <w:tc>
          <w:tcPr>
            <w:tcW w:w="1660" w:type="dxa"/>
            <w:shd w:val="clear" w:color="auto" w:fill="auto"/>
            <w:noWrap/>
            <w:vAlign w:val="center"/>
            <w:hideMark/>
          </w:tcPr>
          <w:p w14:paraId="4DB03766"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22/1/2016</w:t>
            </w:r>
          </w:p>
        </w:tc>
        <w:tc>
          <w:tcPr>
            <w:tcW w:w="1034" w:type="dxa"/>
            <w:shd w:val="clear" w:color="auto" w:fill="auto"/>
            <w:noWrap/>
            <w:vAlign w:val="center"/>
            <w:hideMark/>
          </w:tcPr>
          <w:p w14:paraId="7C4A302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97.92</w:t>
            </w:r>
          </w:p>
        </w:tc>
        <w:tc>
          <w:tcPr>
            <w:tcW w:w="1134" w:type="dxa"/>
            <w:shd w:val="clear" w:color="auto" w:fill="auto"/>
            <w:noWrap/>
            <w:vAlign w:val="center"/>
            <w:hideMark/>
          </w:tcPr>
          <w:p w14:paraId="45270C4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84.26</w:t>
            </w:r>
          </w:p>
        </w:tc>
        <w:tc>
          <w:tcPr>
            <w:tcW w:w="1134" w:type="dxa"/>
            <w:shd w:val="clear" w:color="auto" w:fill="auto"/>
            <w:noWrap/>
            <w:vAlign w:val="center"/>
            <w:hideMark/>
          </w:tcPr>
          <w:p w14:paraId="0610042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76.17</w:t>
            </w:r>
          </w:p>
        </w:tc>
        <w:tc>
          <w:tcPr>
            <w:tcW w:w="992" w:type="dxa"/>
            <w:shd w:val="clear" w:color="auto" w:fill="auto"/>
            <w:noWrap/>
            <w:vAlign w:val="center"/>
            <w:hideMark/>
          </w:tcPr>
          <w:p w14:paraId="2F7BEA4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72.07</w:t>
            </w:r>
          </w:p>
        </w:tc>
        <w:tc>
          <w:tcPr>
            <w:tcW w:w="1276" w:type="dxa"/>
            <w:shd w:val="clear" w:color="auto" w:fill="auto"/>
            <w:noWrap/>
            <w:vAlign w:val="center"/>
            <w:hideMark/>
          </w:tcPr>
          <w:p w14:paraId="3FD7F37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75.00</w:t>
            </w:r>
          </w:p>
        </w:tc>
      </w:tr>
      <w:tr w:rsidR="002C3A1A" w:rsidRPr="001715D3" w14:paraId="06987CC1" w14:textId="77777777" w:rsidTr="00FF1584">
        <w:trPr>
          <w:trHeight w:hRule="exact" w:val="170"/>
          <w:jc w:val="center"/>
        </w:trPr>
        <w:tc>
          <w:tcPr>
            <w:tcW w:w="1660" w:type="dxa"/>
            <w:shd w:val="clear" w:color="auto" w:fill="auto"/>
            <w:noWrap/>
            <w:vAlign w:val="center"/>
            <w:hideMark/>
          </w:tcPr>
          <w:p w14:paraId="685BD808"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25/1/2016</w:t>
            </w:r>
          </w:p>
        </w:tc>
        <w:tc>
          <w:tcPr>
            <w:tcW w:w="1034" w:type="dxa"/>
            <w:shd w:val="clear" w:color="auto" w:fill="auto"/>
            <w:noWrap/>
            <w:vAlign w:val="center"/>
            <w:hideMark/>
          </w:tcPr>
          <w:p w14:paraId="267BA33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97.98</w:t>
            </w:r>
          </w:p>
        </w:tc>
        <w:tc>
          <w:tcPr>
            <w:tcW w:w="1134" w:type="dxa"/>
            <w:shd w:val="clear" w:color="auto" w:fill="auto"/>
            <w:noWrap/>
            <w:vAlign w:val="center"/>
            <w:hideMark/>
          </w:tcPr>
          <w:p w14:paraId="7032506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84.01</w:t>
            </w:r>
          </w:p>
        </w:tc>
        <w:tc>
          <w:tcPr>
            <w:tcW w:w="1134" w:type="dxa"/>
            <w:shd w:val="clear" w:color="auto" w:fill="auto"/>
            <w:noWrap/>
            <w:vAlign w:val="center"/>
            <w:hideMark/>
          </w:tcPr>
          <w:p w14:paraId="5544235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76.13</w:t>
            </w:r>
          </w:p>
        </w:tc>
        <w:tc>
          <w:tcPr>
            <w:tcW w:w="992" w:type="dxa"/>
            <w:shd w:val="clear" w:color="auto" w:fill="auto"/>
            <w:noWrap/>
            <w:vAlign w:val="center"/>
            <w:hideMark/>
          </w:tcPr>
          <w:p w14:paraId="320C8DD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72.06</w:t>
            </w:r>
          </w:p>
        </w:tc>
        <w:tc>
          <w:tcPr>
            <w:tcW w:w="1276" w:type="dxa"/>
            <w:shd w:val="clear" w:color="auto" w:fill="auto"/>
            <w:noWrap/>
            <w:vAlign w:val="center"/>
            <w:hideMark/>
          </w:tcPr>
          <w:p w14:paraId="26AAEED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76.00</w:t>
            </w:r>
          </w:p>
        </w:tc>
      </w:tr>
      <w:tr w:rsidR="002C3A1A" w:rsidRPr="001715D3" w14:paraId="72B9DEE0" w14:textId="77777777" w:rsidTr="00FF1584">
        <w:trPr>
          <w:trHeight w:hRule="exact" w:val="170"/>
          <w:jc w:val="center"/>
        </w:trPr>
        <w:tc>
          <w:tcPr>
            <w:tcW w:w="1660" w:type="dxa"/>
            <w:shd w:val="clear" w:color="auto" w:fill="auto"/>
            <w:noWrap/>
            <w:vAlign w:val="center"/>
            <w:hideMark/>
          </w:tcPr>
          <w:p w14:paraId="22F6ADC4"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26/1/2016</w:t>
            </w:r>
          </w:p>
        </w:tc>
        <w:tc>
          <w:tcPr>
            <w:tcW w:w="1034" w:type="dxa"/>
            <w:shd w:val="clear" w:color="auto" w:fill="auto"/>
            <w:noWrap/>
            <w:vAlign w:val="center"/>
            <w:hideMark/>
          </w:tcPr>
          <w:p w14:paraId="6C74EDC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98.00</w:t>
            </w:r>
          </w:p>
        </w:tc>
        <w:tc>
          <w:tcPr>
            <w:tcW w:w="1134" w:type="dxa"/>
            <w:shd w:val="clear" w:color="auto" w:fill="auto"/>
            <w:noWrap/>
            <w:vAlign w:val="center"/>
            <w:hideMark/>
          </w:tcPr>
          <w:p w14:paraId="5CD2C04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84.15</w:t>
            </w:r>
          </w:p>
        </w:tc>
        <w:tc>
          <w:tcPr>
            <w:tcW w:w="1134" w:type="dxa"/>
            <w:shd w:val="clear" w:color="auto" w:fill="auto"/>
            <w:noWrap/>
            <w:vAlign w:val="center"/>
            <w:hideMark/>
          </w:tcPr>
          <w:p w14:paraId="1C26A39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76.21</w:t>
            </w:r>
          </w:p>
        </w:tc>
        <w:tc>
          <w:tcPr>
            <w:tcW w:w="992" w:type="dxa"/>
            <w:shd w:val="clear" w:color="auto" w:fill="auto"/>
            <w:noWrap/>
            <w:vAlign w:val="center"/>
            <w:hideMark/>
          </w:tcPr>
          <w:p w14:paraId="115E4B6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72.15</w:t>
            </w:r>
          </w:p>
        </w:tc>
        <w:tc>
          <w:tcPr>
            <w:tcW w:w="1276" w:type="dxa"/>
            <w:shd w:val="clear" w:color="auto" w:fill="auto"/>
            <w:noWrap/>
            <w:vAlign w:val="center"/>
            <w:hideMark/>
          </w:tcPr>
          <w:p w14:paraId="69801BD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76.00</w:t>
            </w:r>
          </w:p>
        </w:tc>
      </w:tr>
      <w:tr w:rsidR="002C3A1A" w:rsidRPr="001715D3" w14:paraId="70B63073" w14:textId="77777777" w:rsidTr="00FF1584">
        <w:trPr>
          <w:trHeight w:hRule="exact" w:val="170"/>
          <w:jc w:val="center"/>
        </w:trPr>
        <w:tc>
          <w:tcPr>
            <w:tcW w:w="1660" w:type="dxa"/>
            <w:shd w:val="clear" w:color="auto" w:fill="auto"/>
            <w:noWrap/>
            <w:vAlign w:val="center"/>
            <w:hideMark/>
          </w:tcPr>
          <w:p w14:paraId="5FA81F4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27/1/2016</w:t>
            </w:r>
          </w:p>
        </w:tc>
        <w:tc>
          <w:tcPr>
            <w:tcW w:w="1034" w:type="dxa"/>
            <w:shd w:val="clear" w:color="auto" w:fill="auto"/>
            <w:noWrap/>
            <w:vAlign w:val="center"/>
            <w:hideMark/>
          </w:tcPr>
          <w:p w14:paraId="4FC5A46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97.73</w:t>
            </w:r>
          </w:p>
        </w:tc>
        <w:tc>
          <w:tcPr>
            <w:tcW w:w="1134" w:type="dxa"/>
            <w:shd w:val="clear" w:color="auto" w:fill="auto"/>
            <w:noWrap/>
            <w:vAlign w:val="center"/>
            <w:hideMark/>
          </w:tcPr>
          <w:p w14:paraId="6C414F5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84.17</w:t>
            </w:r>
          </w:p>
        </w:tc>
        <w:tc>
          <w:tcPr>
            <w:tcW w:w="1134" w:type="dxa"/>
            <w:shd w:val="clear" w:color="auto" w:fill="auto"/>
            <w:noWrap/>
            <w:vAlign w:val="center"/>
            <w:hideMark/>
          </w:tcPr>
          <w:p w14:paraId="208ED9B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76.26</w:t>
            </w:r>
          </w:p>
        </w:tc>
        <w:tc>
          <w:tcPr>
            <w:tcW w:w="992" w:type="dxa"/>
            <w:shd w:val="clear" w:color="auto" w:fill="auto"/>
            <w:noWrap/>
            <w:vAlign w:val="center"/>
            <w:hideMark/>
          </w:tcPr>
          <w:p w14:paraId="2341F74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72.05</w:t>
            </w:r>
          </w:p>
        </w:tc>
        <w:tc>
          <w:tcPr>
            <w:tcW w:w="1276" w:type="dxa"/>
            <w:shd w:val="clear" w:color="auto" w:fill="auto"/>
            <w:noWrap/>
            <w:vAlign w:val="center"/>
            <w:hideMark/>
          </w:tcPr>
          <w:p w14:paraId="34B7229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75.58</w:t>
            </w:r>
          </w:p>
        </w:tc>
      </w:tr>
      <w:tr w:rsidR="002C3A1A" w:rsidRPr="001715D3" w14:paraId="3A266C61" w14:textId="77777777" w:rsidTr="00FF1584">
        <w:trPr>
          <w:trHeight w:hRule="exact" w:val="170"/>
          <w:jc w:val="center"/>
        </w:trPr>
        <w:tc>
          <w:tcPr>
            <w:tcW w:w="1660" w:type="dxa"/>
            <w:shd w:val="clear" w:color="auto" w:fill="auto"/>
            <w:noWrap/>
            <w:vAlign w:val="center"/>
            <w:hideMark/>
          </w:tcPr>
          <w:p w14:paraId="186D9DD2"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28/1/2016</w:t>
            </w:r>
          </w:p>
        </w:tc>
        <w:tc>
          <w:tcPr>
            <w:tcW w:w="1034" w:type="dxa"/>
            <w:shd w:val="clear" w:color="auto" w:fill="auto"/>
            <w:noWrap/>
            <w:vAlign w:val="center"/>
            <w:hideMark/>
          </w:tcPr>
          <w:p w14:paraId="404C467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97.92</w:t>
            </w:r>
          </w:p>
        </w:tc>
        <w:tc>
          <w:tcPr>
            <w:tcW w:w="1134" w:type="dxa"/>
            <w:shd w:val="clear" w:color="auto" w:fill="auto"/>
            <w:noWrap/>
            <w:vAlign w:val="center"/>
            <w:hideMark/>
          </w:tcPr>
          <w:p w14:paraId="4937765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84.18</w:t>
            </w:r>
          </w:p>
        </w:tc>
        <w:tc>
          <w:tcPr>
            <w:tcW w:w="1134" w:type="dxa"/>
            <w:shd w:val="clear" w:color="auto" w:fill="auto"/>
            <w:noWrap/>
            <w:vAlign w:val="center"/>
            <w:hideMark/>
          </w:tcPr>
          <w:p w14:paraId="6FC44CF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76.20</w:t>
            </w:r>
          </w:p>
        </w:tc>
        <w:tc>
          <w:tcPr>
            <w:tcW w:w="992" w:type="dxa"/>
            <w:shd w:val="clear" w:color="auto" w:fill="auto"/>
            <w:noWrap/>
            <w:vAlign w:val="center"/>
            <w:hideMark/>
          </w:tcPr>
          <w:p w14:paraId="58C9534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72.07</w:t>
            </w:r>
          </w:p>
        </w:tc>
        <w:tc>
          <w:tcPr>
            <w:tcW w:w="1276" w:type="dxa"/>
            <w:shd w:val="clear" w:color="auto" w:fill="auto"/>
            <w:noWrap/>
            <w:vAlign w:val="center"/>
            <w:hideMark/>
          </w:tcPr>
          <w:p w14:paraId="3E8CC9C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76.22</w:t>
            </w:r>
          </w:p>
        </w:tc>
      </w:tr>
      <w:tr w:rsidR="002C3A1A" w:rsidRPr="001715D3" w14:paraId="7DB63A07" w14:textId="77777777" w:rsidTr="00FF1584">
        <w:trPr>
          <w:trHeight w:hRule="exact" w:val="170"/>
          <w:jc w:val="center"/>
        </w:trPr>
        <w:tc>
          <w:tcPr>
            <w:tcW w:w="1660" w:type="dxa"/>
            <w:shd w:val="clear" w:color="auto" w:fill="auto"/>
            <w:noWrap/>
            <w:vAlign w:val="center"/>
            <w:hideMark/>
          </w:tcPr>
          <w:p w14:paraId="6F1893D6"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29/1/2016</w:t>
            </w:r>
          </w:p>
        </w:tc>
        <w:tc>
          <w:tcPr>
            <w:tcW w:w="1034" w:type="dxa"/>
            <w:shd w:val="clear" w:color="auto" w:fill="auto"/>
            <w:noWrap/>
            <w:vAlign w:val="center"/>
            <w:hideMark/>
          </w:tcPr>
          <w:p w14:paraId="1CEC675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98.08</w:t>
            </w:r>
          </w:p>
        </w:tc>
        <w:tc>
          <w:tcPr>
            <w:tcW w:w="1134" w:type="dxa"/>
            <w:shd w:val="clear" w:color="auto" w:fill="auto"/>
            <w:noWrap/>
            <w:vAlign w:val="center"/>
            <w:hideMark/>
          </w:tcPr>
          <w:p w14:paraId="34452BF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84.18</w:t>
            </w:r>
          </w:p>
        </w:tc>
        <w:tc>
          <w:tcPr>
            <w:tcW w:w="1134" w:type="dxa"/>
            <w:shd w:val="clear" w:color="auto" w:fill="auto"/>
            <w:noWrap/>
            <w:vAlign w:val="center"/>
            <w:hideMark/>
          </w:tcPr>
          <w:p w14:paraId="5CB4F89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76.50</w:t>
            </w:r>
          </w:p>
        </w:tc>
        <w:tc>
          <w:tcPr>
            <w:tcW w:w="992" w:type="dxa"/>
            <w:shd w:val="clear" w:color="auto" w:fill="auto"/>
            <w:noWrap/>
            <w:vAlign w:val="center"/>
            <w:hideMark/>
          </w:tcPr>
          <w:p w14:paraId="25B108A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72.28</w:t>
            </w:r>
          </w:p>
        </w:tc>
        <w:tc>
          <w:tcPr>
            <w:tcW w:w="1276" w:type="dxa"/>
            <w:shd w:val="clear" w:color="auto" w:fill="auto"/>
            <w:noWrap/>
            <w:vAlign w:val="center"/>
            <w:hideMark/>
          </w:tcPr>
          <w:p w14:paraId="13A6B68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77.22</w:t>
            </w:r>
          </w:p>
        </w:tc>
      </w:tr>
      <w:tr w:rsidR="002C3A1A" w:rsidRPr="001715D3" w14:paraId="0759E7B3" w14:textId="77777777" w:rsidTr="00FF1584">
        <w:trPr>
          <w:trHeight w:hRule="exact" w:val="170"/>
          <w:jc w:val="center"/>
        </w:trPr>
        <w:tc>
          <w:tcPr>
            <w:tcW w:w="1660" w:type="dxa"/>
            <w:shd w:val="clear" w:color="auto" w:fill="auto"/>
            <w:noWrap/>
            <w:vAlign w:val="center"/>
            <w:hideMark/>
          </w:tcPr>
          <w:p w14:paraId="52DD1395"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1/2/2016</w:t>
            </w:r>
          </w:p>
        </w:tc>
        <w:tc>
          <w:tcPr>
            <w:tcW w:w="1034" w:type="dxa"/>
            <w:shd w:val="clear" w:color="auto" w:fill="auto"/>
            <w:noWrap/>
            <w:vAlign w:val="center"/>
            <w:hideMark/>
          </w:tcPr>
          <w:p w14:paraId="06450A7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98.08</w:t>
            </w:r>
          </w:p>
        </w:tc>
        <w:tc>
          <w:tcPr>
            <w:tcW w:w="1134" w:type="dxa"/>
            <w:shd w:val="clear" w:color="auto" w:fill="auto"/>
            <w:noWrap/>
            <w:vAlign w:val="center"/>
            <w:hideMark/>
          </w:tcPr>
          <w:p w14:paraId="21AFD1E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84.20</w:t>
            </w:r>
          </w:p>
        </w:tc>
        <w:tc>
          <w:tcPr>
            <w:tcW w:w="1134" w:type="dxa"/>
            <w:shd w:val="clear" w:color="auto" w:fill="auto"/>
            <w:noWrap/>
            <w:vAlign w:val="center"/>
            <w:hideMark/>
          </w:tcPr>
          <w:p w14:paraId="711332E6"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76.55</w:t>
            </w:r>
          </w:p>
        </w:tc>
        <w:tc>
          <w:tcPr>
            <w:tcW w:w="992" w:type="dxa"/>
            <w:shd w:val="clear" w:color="auto" w:fill="auto"/>
            <w:noWrap/>
            <w:vAlign w:val="center"/>
            <w:hideMark/>
          </w:tcPr>
          <w:p w14:paraId="0894880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72.28</w:t>
            </w:r>
          </w:p>
        </w:tc>
        <w:tc>
          <w:tcPr>
            <w:tcW w:w="1276" w:type="dxa"/>
            <w:shd w:val="clear" w:color="auto" w:fill="auto"/>
            <w:noWrap/>
            <w:vAlign w:val="center"/>
            <w:hideMark/>
          </w:tcPr>
          <w:p w14:paraId="45346D8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77.47</w:t>
            </w:r>
          </w:p>
        </w:tc>
      </w:tr>
      <w:tr w:rsidR="002C3A1A" w:rsidRPr="001715D3" w14:paraId="0A166936" w14:textId="77777777" w:rsidTr="00FF1584">
        <w:trPr>
          <w:trHeight w:hRule="exact" w:val="170"/>
          <w:jc w:val="center"/>
        </w:trPr>
        <w:tc>
          <w:tcPr>
            <w:tcW w:w="1660" w:type="dxa"/>
            <w:shd w:val="clear" w:color="auto" w:fill="auto"/>
            <w:noWrap/>
            <w:vAlign w:val="center"/>
            <w:hideMark/>
          </w:tcPr>
          <w:p w14:paraId="1F1A7ED8"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2/2/2016</w:t>
            </w:r>
          </w:p>
        </w:tc>
        <w:tc>
          <w:tcPr>
            <w:tcW w:w="1034" w:type="dxa"/>
            <w:shd w:val="clear" w:color="auto" w:fill="auto"/>
            <w:noWrap/>
            <w:vAlign w:val="center"/>
            <w:hideMark/>
          </w:tcPr>
          <w:p w14:paraId="5680DC8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98.08</w:t>
            </w:r>
          </w:p>
        </w:tc>
        <w:tc>
          <w:tcPr>
            <w:tcW w:w="1134" w:type="dxa"/>
            <w:shd w:val="clear" w:color="auto" w:fill="auto"/>
            <w:noWrap/>
            <w:vAlign w:val="center"/>
            <w:hideMark/>
          </w:tcPr>
          <w:p w14:paraId="289888B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84.20</w:t>
            </w:r>
          </w:p>
        </w:tc>
        <w:tc>
          <w:tcPr>
            <w:tcW w:w="1134" w:type="dxa"/>
            <w:shd w:val="clear" w:color="auto" w:fill="auto"/>
            <w:noWrap/>
            <w:vAlign w:val="center"/>
            <w:hideMark/>
          </w:tcPr>
          <w:p w14:paraId="7EC0FF3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76.54</w:t>
            </w:r>
          </w:p>
        </w:tc>
        <w:tc>
          <w:tcPr>
            <w:tcW w:w="992" w:type="dxa"/>
            <w:shd w:val="clear" w:color="auto" w:fill="auto"/>
            <w:noWrap/>
            <w:vAlign w:val="center"/>
            <w:hideMark/>
          </w:tcPr>
          <w:p w14:paraId="4D0B9FB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72.29</w:t>
            </w:r>
          </w:p>
        </w:tc>
        <w:tc>
          <w:tcPr>
            <w:tcW w:w="1276" w:type="dxa"/>
            <w:shd w:val="clear" w:color="auto" w:fill="auto"/>
            <w:noWrap/>
            <w:vAlign w:val="center"/>
            <w:hideMark/>
          </w:tcPr>
          <w:p w14:paraId="51FA4AD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76.47</w:t>
            </w:r>
          </w:p>
        </w:tc>
      </w:tr>
      <w:tr w:rsidR="002C3A1A" w:rsidRPr="001715D3" w14:paraId="0DD8FEEB" w14:textId="77777777" w:rsidTr="00FF1584">
        <w:trPr>
          <w:trHeight w:hRule="exact" w:val="170"/>
          <w:jc w:val="center"/>
        </w:trPr>
        <w:tc>
          <w:tcPr>
            <w:tcW w:w="1660" w:type="dxa"/>
            <w:shd w:val="clear" w:color="auto" w:fill="auto"/>
            <w:noWrap/>
            <w:vAlign w:val="center"/>
            <w:hideMark/>
          </w:tcPr>
          <w:p w14:paraId="18CEF232"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3/2/2016</w:t>
            </w:r>
          </w:p>
        </w:tc>
        <w:tc>
          <w:tcPr>
            <w:tcW w:w="1034" w:type="dxa"/>
            <w:shd w:val="clear" w:color="auto" w:fill="auto"/>
            <w:noWrap/>
            <w:vAlign w:val="center"/>
            <w:hideMark/>
          </w:tcPr>
          <w:p w14:paraId="562E16C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97.89</w:t>
            </w:r>
          </w:p>
        </w:tc>
        <w:tc>
          <w:tcPr>
            <w:tcW w:w="1134" w:type="dxa"/>
            <w:shd w:val="clear" w:color="auto" w:fill="auto"/>
            <w:noWrap/>
            <w:vAlign w:val="center"/>
            <w:hideMark/>
          </w:tcPr>
          <w:p w14:paraId="412C5CA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84.20</w:t>
            </w:r>
          </w:p>
        </w:tc>
        <w:tc>
          <w:tcPr>
            <w:tcW w:w="1134" w:type="dxa"/>
            <w:shd w:val="clear" w:color="auto" w:fill="auto"/>
            <w:noWrap/>
            <w:vAlign w:val="center"/>
            <w:hideMark/>
          </w:tcPr>
          <w:p w14:paraId="5DEB71B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76.59</w:t>
            </w:r>
          </w:p>
        </w:tc>
        <w:tc>
          <w:tcPr>
            <w:tcW w:w="992" w:type="dxa"/>
            <w:shd w:val="clear" w:color="auto" w:fill="auto"/>
            <w:noWrap/>
            <w:vAlign w:val="center"/>
            <w:hideMark/>
          </w:tcPr>
          <w:p w14:paraId="2C7788A0"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72.29</w:t>
            </w:r>
          </w:p>
        </w:tc>
        <w:tc>
          <w:tcPr>
            <w:tcW w:w="1276" w:type="dxa"/>
            <w:shd w:val="clear" w:color="auto" w:fill="auto"/>
            <w:noWrap/>
            <w:vAlign w:val="center"/>
            <w:hideMark/>
          </w:tcPr>
          <w:p w14:paraId="00C12C9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75.72</w:t>
            </w:r>
          </w:p>
        </w:tc>
      </w:tr>
      <w:tr w:rsidR="002C3A1A" w:rsidRPr="001715D3" w14:paraId="1E466809" w14:textId="77777777" w:rsidTr="00FF1584">
        <w:trPr>
          <w:trHeight w:hRule="exact" w:val="170"/>
          <w:jc w:val="center"/>
        </w:trPr>
        <w:tc>
          <w:tcPr>
            <w:tcW w:w="1660" w:type="dxa"/>
            <w:shd w:val="clear" w:color="auto" w:fill="auto"/>
            <w:noWrap/>
            <w:vAlign w:val="center"/>
            <w:hideMark/>
          </w:tcPr>
          <w:p w14:paraId="58B83139"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4/2/2016</w:t>
            </w:r>
          </w:p>
        </w:tc>
        <w:tc>
          <w:tcPr>
            <w:tcW w:w="1034" w:type="dxa"/>
            <w:shd w:val="clear" w:color="auto" w:fill="auto"/>
            <w:noWrap/>
            <w:vAlign w:val="center"/>
            <w:hideMark/>
          </w:tcPr>
          <w:p w14:paraId="2D45315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98.07</w:t>
            </w:r>
          </w:p>
        </w:tc>
        <w:tc>
          <w:tcPr>
            <w:tcW w:w="1134" w:type="dxa"/>
            <w:shd w:val="clear" w:color="auto" w:fill="auto"/>
            <w:noWrap/>
            <w:vAlign w:val="center"/>
            <w:hideMark/>
          </w:tcPr>
          <w:p w14:paraId="528369E4"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84.00</w:t>
            </w:r>
          </w:p>
        </w:tc>
        <w:tc>
          <w:tcPr>
            <w:tcW w:w="1134" w:type="dxa"/>
            <w:shd w:val="clear" w:color="auto" w:fill="auto"/>
            <w:noWrap/>
            <w:vAlign w:val="center"/>
            <w:hideMark/>
          </w:tcPr>
          <w:p w14:paraId="1682370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76.66</w:t>
            </w:r>
          </w:p>
        </w:tc>
        <w:tc>
          <w:tcPr>
            <w:tcW w:w="992" w:type="dxa"/>
            <w:shd w:val="clear" w:color="auto" w:fill="auto"/>
            <w:noWrap/>
            <w:vAlign w:val="center"/>
            <w:hideMark/>
          </w:tcPr>
          <w:p w14:paraId="1C84FFC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72.32</w:t>
            </w:r>
          </w:p>
        </w:tc>
        <w:tc>
          <w:tcPr>
            <w:tcW w:w="1276" w:type="dxa"/>
            <w:shd w:val="clear" w:color="auto" w:fill="auto"/>
            <w:noWrap/>
            <w:vAlign w:val="center"/>
            <w:hideMark/>
          </w:tcPr>
          <w:p w14:paraId="355523A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75.72</w:t>
            </w:r>
          </w:p>
        </w:tc>
      </w:tr>
      <w:tr w:rsidR="002C3A1A" w:rsidRPr="001715D3" w14:paraId="61CF9611" w14:textId="77777777" w:rsidTr="00FF1584">
        <w:trPr>
          <w:trHeight w:hRule="exact" w:val="170"/>
          <w:jc w:val="center"/>
        </w:trPr>
        <w:tc>
          <w:tcPr>
            <w:tcW w:w="1660" w:type="dxa"/>
            <w:shd w:val="clear" w:color="auto" w:fill="auto"/>
            <w:noWrap/>
            <w:vAlign w:val="center"/>
            <w:hideMark/>
          </w:tcPr>
          <w:p w14:paraId="0E11DFFD"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5/2/2016</w:t>
            </w:r>
          </w:p>
        </w:tc>
        <w:tc>
          <w:tcPr>
            <w:tcW w:w="1034" w:type="dxa"/>
            <w:shd w:val="clear" w:color="auto" w:fill="auto"/>
            <w:noWrap/>
            <w:vAlign w:val="center"/>
            <w:hideMark/>
          </w:tcPr>
          <w:p w14:paraId="5ECAA1A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98.05</w:t>
            </w:r>
          </w:p>
        </w:tc>
        <w:tc>
          <w:tcPr>
            <w:tcW w:w="1134" w:type="dxa"/>
            <w:shd w:val="clear" w:color="auto" w:fill="auto"/>
            <w:noWrap/>
            <w:vAlign w:val="center"/>
            <w:hideMark/>
          </w:tcPr>
          <w:p w14:paraId="1EA8A57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83.95</w:t>
            </w:r>
          </w:p>
        </w:tc>
        <w:tc>
          <w:tcPr>
            <w:tcW w:w="1134" w:type="dxa"/>
            <w:shd w:val="clear" w:color="auto" w:fill="auto"/>
            <w:noWrap/>
            <w:vAlign w:val="center"/>
            <w:hideMark/>
          </w:tcPr>
          <w:p w14:paraId="46DF99B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76.76</w:t>
            </w:r>
          </w:p>
        </w:tc>
        <w:tc>
          <w:tcPr>
            <w:tcW w:w="992" w:type="dxa"/>
            <w:shd w:val="clear" w:color="auto" w:fill="auto"/>
            <w:noWrap/>
            <w:vAlign w:val="center"/>
            <w:hideMark/>
          </w:tcPr>
          <w:p w14:paraId="0B1A08F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72.32</w:t>
            </w:r>
          </w:p>
        </w:tc>
        <w:tc>
          <w:tcPr>
            <w:tcW w:w="1276" w:type="dxa"/>
            <w:shd w:val="clear" w:color="auto" w:fill="auto"/>
            <w:noWrap/>
            <w:vAlign w:val="center"/>
            <w:hideMark/>
          </w:tcPr>
          <w:p w14:paraId="00D761C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75.72</w:t>
            </w:r>
          </w:p>
        </w:tc>
      </w:tr>
      <w:tr w:rsidR="002C3A1A" w:rsidRPr="001715D3" w14:paraId="488D7924" w14:textId="77777777" w:rsidTr="00FF1584">
        <w:trPr>
          <w:trHeight w:hRule="exact" w:val="170"/>
          <w:jc w:val="center"/>
        </w:trPr>
        <w:tc>
          <w:tcPr>
            <w:tcW w:w="1660" w:type="dxa"/>
            <w:shd w:val="clear" w:color="auto" w:fill="auto"/>
            <w:noWrap/>
            <w:vAlign w:val="center"/>
            <w:hideMark/>
          </w:tcPr>
          <w:p w14:paraId="73BCE48A"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8/2/2016</w:t>
            </w:r>
          </w:p>
        </w:tc>
        <w:tc>
          <w:tcPr>
            <w:tcW w:w="1034" w:type="dxa"/>
            <w:shd w:val="clear" w:color="auto" w:fill="auto"/>
            <w:noWrap/>
            <w:vAlign w:val="center"/>
            <w:hideMark/>
          </w:tcPr>
          <w:p w14:paraId="309869AF"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98.02</w:t>
            </w:r>
          </w:p>
        </w:tc>
        <w:tc>
          <w:tcPr>
            <w:tcW w:w="1134" w:type="dxa"/>
            <w:shd w:val="clear" w:color="auto" w:fill="auto"/>
            <w:noWrap/>
            <w:vAlign w:val="center"/>
            <w:hideMark/>
          </w:tcPr>
          <w:p w14:paraId="621B399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83.95</w:t>
            </w:r>
          </w:p>
        </w:tc>
        <w:tc>
          <w:tcPr>
            <w:tcW w:w="1134" w:type="dxa"/>
            <w:shd w:val="clear" w:color="auto" w:fill="auto"/>
            <w:noWrap/>
            <w:vAlign w:val="center"/>
            <w:hideMark/>
          </w:tcPr>
          <w:p w14:paraId="497E0A1C"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76.81</w:t>
            </w:r>
          </w:p>
        </w:tc>
        <w:tc>
          <w:tcPr>
            <w:tcW w:w="992" w:type="dxa"/>
            <w:shd w:val="clear" w:color="auto" w:fill="auto"/>
            <w:noWrap/>
            <w:vAlign w:val="center"/>
            <w:hideMark/>
          </w:tcPr>
          <w:p w14:paraId="0356B85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72.32</w:t>
            </w:r>
          </w:p>
        </w:tc>
        <w:tc>
          <w:tcPr>
            <w:tcW w:w="1276" w:type="dxa"/>
            <w:shd w:val="clear" w:color="auto" w:fill="auto"/>
            <w:noWrap/>
            <w:vAlign w:val="center"/>
            <w:hideMark/>
          </w:tcPr>
          <w:p w14:paraId="30EB28E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75.22</w:t>
            </w:r>
          </w:p>
        </w:tc>
      </w:tr>
      <w:tr w:rsidR="002C3A1A" w:rsidRPr="001715D3" w14:paraId="4941251E" w14:textId="77777777" w:rsidTr="00FF1584">
        <w:trPr>
          <w:trHeight w:hRule="exact" w:val="170"/>
          <w:jc w:val="center"/>
        </w:trPr>
        <w:tc>
          <w:tcPr>
            <w:tcW w:w="1660" w:type="dxa"/>
            <w:shd w:val="clear" w:color="auto" w:fill="auto"/>
            <w:noWrap/>
            <w:vAlign w:val="center"/>
            <w:hideMark/>
          </w:tcPr>
          <w:p w14:paraId="766D35A3"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9/2/2016</w:t>
            </w:r>
          </w:p>
        </w:tc>
        <w:tc>
          <w:tcPr>
            <w:tcW w:w="1034" w:type="dxa"/>
            <w:shd w:val="clear" w:color="auto" w:fill="auto"/>
            <w:noWrap/>
            <w:vAlign w:val="center"/>
            <w:hideMark/>
          </w:tcPr>
          <w:p w14:paraId="56AFAD1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98.02</w:t>
            </w:r>
          </w:p>
        </w:tc>
        <w:tc>
          <w:tcPr>
            <w:tcW w:w="1134" w:type="dxa"/>
            <w:shd w:val="clear" w:color="auto" w:fill="auto"/>
            <w:noWrap/>
            <w:vAlign w:val="center"/>
            <w:hideMark/>
          </w:tcPr>
          <w:p w14:paraId="2C8F52F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83.95</w:t>
            </w:r>
          </w:p>
        </w:tc>
        <w:tc>
          <w:tcPr>
            <w:tcW w:w="1134" w:type="dxa"/>
            <w:shd w:val="clear" w:color="auto" w:fill="auto"/>
            <w:noWrap/>
            <w:vAlign w:val="center"/>
            <w:hideMark/>
          </w:tcPr>
          <w:p w14:paraId="116DEBB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76.81</w:t>
            </w:r>
          </w:p>
        </w:tc>
        <w:tc>
          <w:tcPr>
            <w:tcW w:w="992" w:type="dxa"/>
            <w:shd w:val="clear" w:color="auto" w:fill="auto"/>
            <w:noWrap/>
            <w:vAlign w:val="center"/>
            <w:hideMark/>
          </w:tcPr>
          <w:p w14:paraId="40F901E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72.32</w:t>
            </w:r>
          </w:p>
        </w:tc>
        <w:tc>
          <w:tcPr>
            <w:tcW w:w="1276" w:type="dxa"/>
            <w:shd w:val="clear" w:color="auto" w:fill="auto"/>
            <w:noWrap/>
            <w:vAlign w:val="center"/>
            <w:hideMark/>
          </w:tcPr>
          <w:p w14:paraId="2BCBEC9E"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74.72</w:t>
            </w:r>
          </w:p>
        </w:tc>
      </w:tr>
      <w:tr w:rsidR="002C3A1A" w:rsidRPr="001715D3" w14:paraId="04ECF953" w14:textId="77777777" w:rsidTr="00FF1584">
        <w:trPr>
          <w:trHeight w:hRule="exact" w:val="170"/>
          <w:jc w:val="center"/>
        </w:trPr>
        <w:tc>
          <w:tcPr>
            <w:tcW w:w="1660" w:type="dxa"/>
            <w:shd w:val="clear" w:color="auto" w:fill="auto"/>
            <w:noWrap/>
            <w:vAlign w:val="center"/>
            <w:hideMark/>
          </w:tcPr>
          <w:p w14:paraId="6339C0D2"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10/2/2016</w:t>
            </w:r>
          </w:p>
        </w:tc>
        <w:tc>
          <w:tcPr>
            <w:tcW w:w="1034" w:type="dxa"/>
            <w:shd w:val="clear" w:color="auto" w:fill="auto"/>
            <w:noWrap/>
            <w:vAlign w:val="center"/>
            <w:hideMark/>
          </w:tcPr>
          <w:p w14:paraId="39A718B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98.02</w:t>
            </w:r>
          </w:p>
        </w:tc>
        <w:tc>
          <w:tcPr>
            <w:tcW w:w="1134" w:type="dxa"/>
            <w:shd w:val="clear" w:color="auto" w:fill="auto"/>
            <w:noWrap/>
            <w:vAlign w:val="center"/>
            <w:hideMark/>
          </w:tcPr>
          <w:p w14:paraId="5A6C424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83.88</w:t>
            </w:r>
          </w:p>
        </w:tc>
        <w:tc>
          <w:tcPr>
            <w:tcW w:w="1134" w:type="dxa"/>
            <w:shd w:val="clear" w:color="auto" w:fill="auto"/>
            <w:noWrap/>
            <w:vAlign w:val="center"/>
            <w:hideMark/>
          </w:tcPr>
          <w:p w14:paraId="06378C2B"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77.04</w:t>
            </w:r>
          </w:p>
        </w:tc>
        <w:tc>
          <w:tcPr>
            <w:tcW w:w="992" w:type="dxa"/>
            <w:shd w:val="clear" w:color="auto" w:fill="auto"/>
            <w:noWrap/>
            <w:vAlign w:val="center"/>
            <w:hideMark/>
          </w:tcPr>
          <w:p w14:paraId="1C08F017"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72.24</w:t>
            </w:r>
          </w:p>
        </w:tc>
        <w:tc>
          <w:tcPr>
            <w:tcW w:w="1276" w:type="dxa"/>
            <w:shd w:val="clear" w:color="auto" w:fill="auto"/>
            <w:noWrap/>
            <w:vAlign w:val="center"/>
            <w:hideMark/>
          </w:tcPr>
          <w:p w14:paraId="1DEF6B1D"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73.96</w:t>
            </w:r>
          </w:p>
        </w:tc>
      </w:tr>
      <w:tr w:rsidR="002C3A1A" w:rsidRPr="001715D3" w14:paraId="5B1765F7" w14:textId="77777777" w:rsidTr="00FF1584">
        <w:trPr>
          <w:trHeight w:hRule="exact" w:val="170"/>
          <w:jc w:val="center"/>
        </w:trPr>
        <w:tc>
          <w:tcPr>
            <w:tcW w:w="1660" w:type="dxa"/>
            <w:shd w:val="clear" w:color="auto" w:fill="auto"/>
            <w:noWrap/>
            <w:vAlign w:val="center"/>
            <w:hideMark/>
          </w:tcPr>
          <w:p w14:paraId="1225AB10"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11/2/2016</w:t>
            </w:r>
          </w:p>
        </w:tc>
        <w:tc>
          <w:tcPr>
            <w:tcW w:w="1034" w:type="dxa"/>
            <w:shd w:val="clear" w:color="auto" w:fill="auto"/>
            <w:noWrap/>
            <w:vAlign w:val="center"/>
            <w:hideMark/>
          </w:tcPr>
          <w:p w14:paraId="4A204A58"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98.01</w:t>
            </w:r>
          </w:p>
        </w:tc>
        <w:tc>
          <w:tcPr>
            <w:tcW w:w="1134" w:type="dxa"/>
            <w:shd w:val="clear" w:color="auto" w:fill="auto"/>
            <w:noWrap/>
            <w:vAlign w:val="center"/>
            <w:hideMark/>
          </w:tcPr>
          <w:p w14:paraId="53D10163"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83.44</w:t>
            </w:r>
          </w:p>
        </w:tc>
        <w:tc>
          <w:tcPr>
            <w:tcW w:w="1134" w:type="dxa"/>
            <w:shd w:val="clear" w:color="auto" w:fill="auto"/>
            <w:noWrap/>
            <w:vAlign w:val="center"/>
            <w:hideMark/>
          </w:tcPr>
          <w:p w14:paraId="142F10A1"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77.37</w:t>
            </w:r>
          </w:p>
        </w:tc>
        <w:tc>
          <w:tcPr>
            <w:tcW w:w="992" w:type="dxa"/>
            <w:shd w:val="clear" w:color="auto" w:fill="auto"/>
            <w:noWrap/>
            <w:vAlign w:val="center"/>
            <w:hideMark/>
          </w:tcPr>
          <w:p w14:paraId="6C9DA5E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72.25</w:t>
            </w:r>
          </w:p>
        </w:tc>
        <w:tc>
          <w:tcPr>
            <w:tcW w:w="1276" w:type="dxa"/>
            <w:shd w:val="clear" w:color="auto" w:fill="auto"/>
            <w:noWrap/>
            <w:vAlign w:val="center"/>
            <w:hideMark/>
          </w:tcPr>
          <w:p w14:paraId="76F2C90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73.20</w:t>
            </w:r>
          </w:p>
        </w:tc>
      </w:tr>
      <w:tr w:rsidR="002C3A1A" w:rsidRPr="001715D3" w14:paraId="73B690CB" w14:textId="77777777" w:rsidTr="00FF1584">
        <w:trPr>
          <w:trHeight w:hRule="exact" w:val="170"/>
          <w:jc w:val="center"/>
        </w:trPr>
        <w:tc>
          <w:tcPr>
            <w:tcW w:w="1660" w:type="dxa"/>
            <w:shd w:val="clear" w:color="auto" w:fill="auto"/>
            <w:noWrap/>
            <w:vAlign w:val="center"/>
            <w:hideMark/>
          </w:tcPr>
          <w:p w14:paraId="2BAF8CC6" w14:textId="77777777" w:rsidR="004A68CE" w:rsidRPr="001715D3" w:rsidRDefault="004A68CE" w:rsidP="004A68CE">
            <w:pPr>
              <w:jc w:val="center"/>
              <w:rPr>
                <w:rFonts w:ascii="Arial" w:hAnsi="Arial" w:cs="Arial"/>
                <w:sz w:val="14"/>
                <w:szCs w:val="14"/>
                <w:lang w:val="en-GB" w:eastAsia="en-SG"/>
              </w:rPr>
            </w:pPr>
            <w:r w:rsidRPr="001715D3">
              <w:rPr>
                <w:rFonts w:ascii="Arial" w:hAnsi="Arial" w:cs="Arial"/>
                <w:sz w:val="14"/>
                <w:szCs w:val="14"/>
                <w:lang w:val="en-GB" w:eastAsia="en-SG"/>
              </w:rPr>
              <w:t>12/2/2016</w:t>
            </w:r>
          </w:p>
        </w:tc>
        <w:tc>
          <w:tcPr>
            <w:tcW w:w="1034" w:type="dxa"/>
            <w:shd w:val="clear" w:color="auto" w:fill="auto"/>
            <w:noWrap/>
            <w:vAlign w:val="center"/>
            <w:hideMark/>
          </w:tcPr>
          <w:p w14:paraId="08B84BD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97.87</w:t>
            </w:r>
          </w:p>
        </w:tc>
        <w:tc>
          <w:tcPr>
            <w:tcW w:w="1134" w:type="dxa"/>
            <w:shd w:val="clear" w:color="auto" w:fill="auto"/>
            <w:noWrap/>
            <w:vAlign w:val="center"/>
            <w:hideMark/>
          </w:tcPr>
          <w:p w14:paraId="21415A22"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83.46</w:t>
            </w:r>
          </w:p>
        </w:tc>
        <w:tc>
          <w:tcPr>
            <w:tcW w:w="1134" w:type="dxa"/>
            <w:shd w:val="clear" w:color="auto" w:fill="auto"/>
            <w:noWrap/>
            <w:vAlign w:val="center"/>
            <w:hideMark/>
          </w:tcPr>
          <w:p w14:paraId="632B8F95"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77.04</w:t>
            </w:r>
          </w:p>
        </w:tc>
        <w:tc>
          <w:tcPr>
            <w:tcW w:w="992" w:type="dxa"/>
            <w:shd w:val="clear" w:color="auto" w:fill="auto"/>
            <w:noWrap/>
            <w:vAlign w:val="center"/>
            <w:hideMark/>
          </w:tcPr>
          <w:p w14:paraId="1930410A"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71.89</w:t>
            </w:r>
          </w:p>
        </w:tc>
        <w:tc>
          <w:tcPr>
            <w:tcW w:w="1276" w:type="dxa"/>
            <w:shd w:val="clear" w:color="auto" w:fill="auto"/>
            <w:noWrap/>
            <w:vAlign w:val="center"/>
            <w:hideMark/>
          </w:tcPr>
          <w:p w14:paraId="6B3BE469" w14:textId="77777777" w:rsidR="004A68CE" w:rsidRPr="001715D3" w:rsidRDefault="004A68CE" w:rsidP="004A68CE">
            <w:pPr>
              <w:jc w:val="right"/>
              <w:rPr>
                <w:rFonts w:ascii="Arial" w:hAnsi="Arial" w:cs="Arial"/>
                <w:sz w:val="14"/>
                <w:szCs w:val="14"/>
                <w:lang w:val="en-GB" w:eastAsia="en-SG"/>
              </w:rPr>
            </w:pPr>
            <w:r w:rsidRPr="001715D3">
              <w:rPr>
                <w:rFonts w:ascii="Arial" w:hAnsi="Arial" w:cs="Arial"/>
                <w:sz w:val="14"/>
                <w:szCs w:val="14"/>
                <w:lang w:val="en-GB" w:eastAsia="en-SG"/>
              </w:rPr>
              <w:t>72.72</w:t>
            </w:r>
          </w:p>
        </w:tc>
      </w:tr>
    </w:tbl>
    <w:p w14:paraId="51DED724" w14:textId="77777777" w:rsidR="00D23079" w:rsidRPr="00D23079" w:rsidRDefault="00D23079" w:rsidP="00D23079">
      <w:pPr>
        <w:pStyle w:val="PlainText"/>
        <w:jc w:val="both"/>
        <w:rPr>
          <w:rFonts w:ascii="Arial" w:hAnsi="Arial" w:cs="Arial"/>
          <w:spacing w:val="-14"/>
          <w:kern w:val="17"/>
          <w:sz w:val="6"/>
          <w:szCs w:val="17"/>
        </w:rPr>
      </w:pPr>
    </w:p>
    <w:p w14:paraId="77667362" w14:textId="37083B7C" w:rsidR="00F923D1" w:rsidRPr="00D23079" w:rsidRDefault="00FF1584" w:rsidP="00D23079">
      <w:pPr>
        <w:pStyle w:val="PlainText"/>
        <w:jc w:val="both"/>
        <w:rPr>
          <w:rFonts w:ascii="Arial" w:hAnsi="Arial" w:cs="Arial"/>
          <w:spacing w:val="-14"/>
          <w:kern w:val="17"/>
          <w:sz w:val="17"/>
          <w:szCs w:val="17"/>
          <w:lang w:val="en-GB"/>
        </w:rPr>
      </w:pPr>
      <w:r w:rsidRPr="00D23079">
        <w:rPr>
          <w:rFonts w:ascii="Arial" w:hAnsi="Arial" w:cs="Arial"/>
          <w:spacing w:val="-14"/>
          <w:kern w:val="17"/>
          <w:sz w:val="17"/>
          <w:szCs w:val="17"/>
          <w:lang w:val="en-GB"/>
        </w:rPr>
        <w:t xml:space="preserve">Source: </w:t>
      </w:r>
      <w:r w:rsidR="0080720B" w:rsidRPr="00D23079">
        <w:rPr>
          <w:rFonts w:ascii="Arial" w:hAnsi="Arial" w:cs="Arial"/>
          <w:spacing w:val="-14"/>
          <w:kern w:val="17"/>
          <w:sz w:val="17"/>
          <w:szCs w:val="17"/>
          <w:lang w:val="en-GB"/>
        </w:rPr>
        <w:t xml:space="preserve">“Neptune Orient Lines, </w:t>
      </w:r>
      <w:r w:rsidR="009E4667" w:rsidRPr="00D23079">
        <w:rPr>
          <w:rFonts w:ascii="Arial" w:hAnsi="Arial" w:cs="Arial"/>
          <w:spacing w:val="-14"/>
          <w:kern w:val="17"/>
          <w:sz w:val="17"/>
          <w:szCs w:val="17"/>
          <w:lang w:val="en-GB"/>
        </w:rPr>
        <w:t>NOL 2017</w:t>
      </w:r>
      <w:r w:rsidR="0080720B" w:rsidRPr="00D23079">
        <w:rPr>
          <w:rFonts w:ascii="Arial" w:hAnsi="Arial" w:cs="Arial"/>
          <w:spacing w:val="-14"/>
          <w:kern w:val="17"/>
          <w:sz w:val="17"/>
          <w:szCs w:val="17"/>
          <w:lang w:val="en-GB"/>
        </w:rPr>
        <w:t xml:space="preserve">,” Bond Factsheet, </w:t>
      </w:r>
      <w:r w:rsidR="009C337A" w:rsidRPr="00D23079">
        <w:rPr>
          <w:rFonts w:ascii="Arial" w:hAnsi="Arial" w:cs="Arial"/>
          <w:spacing w:val="-14"/>
          <w:kern w:val="17"/>
          <w:sz w:val="17"/>
          <w:szCs w:val="17"/>
          <w:lang w:val="en-GB"/>
        </w:rPr>
        <w:t xml:space="preserve">accessed February 16 2016, </w:t>
      </w:r>
      <w:r w:rsidR="00BE222A" w:rsidRPr="00D23079">
        <w:rPr>
          <w:rFonts w:ascii="Arial" w:hAnsi="Arial" w:cs="Arial"/>
          <w:spacing w:val="-14"/>
          <w:kern w:val="17"/>
          <w:sz w:val="17"/>
          <w:szCs w:val="17"/>
          <w:lang w:val="en-GB"/>
        </w:rPr>
        <w:t>www.bondsupermart.com/main/bond-info/bond-factsheet/SG6U79981465</w:t>
      </w:r>
      <w:r w:rsidR="009C337A" w:rsidRPr="00D23079">
        <w:rPr>
          <w:rFonts w:ascii="Arial" w:hAnsi="Arial" w:cs="Arial"/>
          <w:spacing w:val="-14"/>
          <w:kern w:val="17"/>
          <w:sz w:val="17"/>
          <w:szCs w:val="17"/>
          <w:lang w:val="en-GB"/>
        </w:rPr>
        <w:t>;</w:t>
      </w:r>
      <w:r w:rsidR="00BE222A" w:rsidRPr="00D23079">
        <w:rPr>
          <w:rFonts w:ascii="Arial" w:hAnsi="Arial" w:cs="Arial"/>
          <w:spacing w:val="-14"/>
          <w:kern w:val="17"/>
          <w:sz w:val="17"/>
          <w:szCs w:val="17"/>
          <w:lang w:val="en-GB"/>
        </w:rPr>
        <w:t xml:space="preserve"> </w:t>
      </w:r>
      <w:r w:rsidR="0080720B" w:rsidRPr="00D23079">
        <w:rPr>
          <w:rFonts w:ascii="Arial" w:hAnsi="Arial" w:cs="Arial"/>
          <w:spacing w:val="-14"/>
          <w:kern w:val="17"/>
          <w:sz w:val="17"/>
          <w:szCs w:val="17"/>
          <w:lang w:val="en-GB"/>
        </w:rPr>
        <w:t xml:space="preserve">“Neptune Orient Lines, </w:t>
      </w:r>
      <w:r w:rsidR="004A68CE" w:rsidRPr="00D23079">
        <w:rPr>
          <w:rFonts w:ascii="Arial" w:hAnsi="Arial" w:cs="Arial"/>
          <w:spacing w:val="-14"/>
          <w:kern w:val="17"/>
          <w:sz w:val="17"/>
          <w:szCs w:val="17"/>
          <w:lang w:val="en-GB"/>
        </w:rPr>
        <w:t>NOL 2019,</w:t>
      </w:r>
      <w:r w:rsidR="0080720B" w:rsidRPr="00D23079">
        <w:rPr>
          <w:rFonts w:ascii="Arial" w:hAnsi="Arial" w:cs="Arial"/>
          <w:spacing w:val="-14"/>
          <w:kern w:val="17"/>
          <w:sz w:val="17"/>
          <w:szCs w:val="17"/>
          <w:lang w:val="en-GB"/>
        </w:rPr>
        <w:t>”</w:t>
      </w:r>
      <w:r w:rsidR="004A68CE" w:rsidRPr="00D23079">
        <w:rPr>
          <w:rFonts w:ascii="Arial" w:hAnsi="Arial" w:cs="Arial"/>
          <w:spacing w:val="-14"/>
          <w:kern w:val="17"/>
          <w:sz w:val="17"/>
          <w:szCs w:val="17"/>
          <w:lang w:val="en-GB"/>
        </w:rPr>
        <w:t xml:space="preserve"> </w:t>
      </w:r>
      <w:r w:rsidR="0080720B" w:rsidRPr="00D23079">
        <w:rPr>
          <w:rFonts w:ascii="Arial" w:hAnsi="Arial" w:cs="Arial"/>
          <w:spacing w:val="-14"/>
          <w:kern w:val="17"/>
          <w:sz w:val="17"/>
          <w:szCs w:val="17"/>
          <w:lang w:val="en-GB"/>
        </w:rPr>
        <w:t xml:space="preserve">Bond Factsheet, </w:t>
      </w:r>
      <w:r w:rsidR="009C337A" w:rsidRPr="00D23079">
        <w:rPr>
          <w:rFonts w:ascii="Arial" w:hAnsi="Arial" w:cs="Arial"/>
          <w:spacing w:val="-14"/>
          <w:kern w:val="17"/>
          <w:sz w:val="17"/>
          <w:szCs w:val="17"/>
          <w:lang w:val="en-GB"/>
        </w:rPr>
        <w:t xml:space="preserve">accessed February 16, 2016, </w:t>
      </w:r>
      <w:r w:rsidR="00E342A8" w:rsidRPr="00D23079">
        <w:rPr>
          <w:rFonts w:ascii="Arial" w:hAnsi="Arial" w:cs="Arial"/>
          <w:spacing w:val="-14"/>
          <w:kern w:val="17"/>
          <w:sz w:val="17"/>
          <w:szCs w:val="17"/>
          <w:lang w:val="en-GB"/>
        </w:rPr>
        <w:t>www.bondsupermart.com/main</w:t>
      </w:r>
      <w:r w:rsidR="00BE222A" w:rsidRPr="00D23079">
        <w:rPr>
          <w:rFonts w:ascii="Arial" w:hAnsi="Arial" w:cs="Arial"/>
          <w:spacing w:val="-14"/>
          <w:kern w:val="17"/>
          <w:sz w:val="17"/>
          <w:szCs w:val="17"/>
          <w:lang w:val="en-GB"/>
        </w:rPr>
        <w:t>/bond-info/bond-factsheet/SG6Y06987482</w:t>
      </w:r>
      <w:r w:rsidRPr="00D23079">
        <w:rPr>
          <w:rFonts w:ascii="Arial" w:hAnsi="Arial" w:cs="Arial"/>
          <w:spacing w:val="-14"/>
          <w:kern w:val="17"/>
          <w:sz w:val="17"/>
          <w:szCs w:val="17"/>
          <w:lang w:val="en-GB"/>
        </w:rPr>
        <w:t xml:space="preserve">; </w:t>
      </w:r>
      <w:r w:rsidR="0080720B" w:rsidRPr="00D23079">
        <w:rPr>
          <w:rFonts w:ascii="Arial" w:hAnsi="Arial" w:cs="Arial"/>
          <w:spacing w:val="-14"/>
          <w:kern w:val="17"/>
          <w:sz w:val="17"/>
          <w:szCs w:val="17"/>
          <w:lang w:val="en-GB"/>
        </w:rPr>
        <w:t xml:space="preserve">“Neptune Orient Lines, </w:t>
      </w:r>
      <w:r w:rsidR="004A68CE" w:rsidRPr="00D23079">
        <w:rPr>
          <w:rFonts w:ascii="Arial" w:hAnsi="Arial" w:cs="Arial"/>
          <w:spacing w:val="-14"/>
          <w:kern w:val="17"/>
          <w:sz w:val="17"/>
          <w:szCs w:val="17"/>
          <w:lang w:val="en-GB"/>
        </w:rPr>
        <w:t>NOL</w:t>
      </w:r>
      <w:r w:rsidR="009C337A" w:rsidRPr="00D23079">
        <w:rPr>
          <w:rFonts w:ascii="Arial" w:hAnsi="Arial" w:cs="Arial"/>
          <w:spacing w:val="-14"/>
          <w:kern w:val="17"/>
          <w:sz w:val="17"/>
          <w:szCs w:val="17"/>
          <w:lang w:val="en-GB"/>
        </w:rPr>
        <w:t xml:space="preserve"> </w:t>
      </w:r>
      <w:r w:rsidR="004A68CE" w:rsidRPr="00D23079">
        <w:rPr>
          <w:rFonts w:ascii="Arial" w:hAnsi="Arial" w:cs="Arial"/>
          <w:spacing w:val="-14"/>
          <w:kern w:val="17"/>
          <w:sz w:val="17"/>
          <w:szCs w:val="17"/>
          <w:lang w:val="en-GB"/>
        </w:rPr>
        <w:t>2020,</w:t>
      </w:r>
      <w:r w:rsidR="0080720B" w:rsidRPr="00D23079">
        <w:rPr>
          <w:rFonts w:ascii="Arial" w:hAnsi="Arial" w:cs="Arial"/>
          <w:spacing w:val="-14"/>
          <w:kern w:val="17"/>
          <w:sz w:val="17"/>
          <w:szCs w:val="17"/>
          <w:lang w:val="en-GB"/>
        </w:rPr>
        <w:t>” Bond Factsheet,</w:t>
      </w:r>
      <w:r w:rsidR="004A68CE" w:rsidRPr="00D23079">
        <w:rPr>
          <w:rFonts w:ascii="Arial" w:hAnsi="Arial" w:cs="Arial"/>
          <w:spacing w:val="-14"/>
          <w:kern w:val="17"/>
          <w:sz w:val="17"/>
          <w:szCs w:val="17"/>
          <w:lang w:val="en-GB"/>
        </w:rPr>
        <w:t xml:space="preserve"> </w:t>
      </w:r>
      <w:r w:rsidR="009C337A" w:rsidRPr="00D23079">
        <w:rPr>
          <w:rFonts w:ascii="Arial" w:hAnsi="Arial" w:cs="Arial"/>
          <w:spacing w:val="-14"/>
          <w:kern w:val="17"/>
          <w:sz w:val="17"/>
          <w:szCs w:val="17"/>
          <w:lang w:val="en-GB"/>
        </w:rPr>
        <w:t xml:space="preserve">accessed February 17, 2016, </w:t>
      </w:r>
      <w:r w:rsidR="00E342A8" w:rsidRPr="00D23079">
        <w:rPr>
          <w:rFonts w:ascii="Arial" w:hAnsi="Arial" w:cs="Arial"/>
          <w:spacing w:val="-14"/>
          <w:kern w:val="17"/>
          <w:sz w:val="17"/>
          <w:szCs w:val="17"/>
          <w:lang w:val="en-GB"/>
        </w:rPr>
        <w:t>www.bond</w:t>
      </w:r>
      <w:r w:rsidR="001964AE" w:rsidRPr="00D23079">
        <w:rPr>
          <w:rFonts w:ascii="Arial" w:hAnsi="Arial" w:cs="Arial"/>
          <w:spacing w:val="-14"/>
          <w:kern w:val="17"/>
          <w:sz w:val="17"/>
          <w:szCs w:val="17"/>
          <w:lang w:val="en-GB"/>
        </w:rPr>
        <w:t>supermart.com/main/bond-info/bond-factsheet/SG7X44961531</w:t>
      </w:r>
      <w:r w:rsidR="009C337A" w:rsidRPr="00D23079">
        <w:rPr>
          <w:rFonts w:ascii="Arial" w:hAnsi="Arial" w:cs="Arial"/>
          <w:spacing w:val="-14"/>
          <w:kern w:val="17"/>
          <w:sz w:val="17"/>
          <w:szCs w:val="17"/>
          <w:lang w:val="en-GB"/>
        </w:rPr>
        <w:t>;</w:t>
      </w:r>
      <w:r w:rsidR="004A68CE" w:rsidRPr="00D23079">
        <w:rPr>
          <w:rFonts w:ascii="Arial" w:hAnsi="Arial" w:cs="Arial"/>
          <w:spacing w:val="-14"/>
          <w:kern w:val="17"/>
          <w:sz w:val="17"/>
          <w:szCs w:val="17"/>
          <w:lang w:val="en-GB"/>
        </w:rPr>
        <w:t xml:space="preserve"> </w:t>
      </w:r>
      <w:r w:rsidR="0080720B" w:rsidRPr="00D23079">
        <w:rPr>
          <w:rFonts w:ascii="Arial" w:hAnsi="Arial" w:cs="Arial"/>
          <w:spacing w:val="-14"/>
          <w:kern w:val="17"/>
          <w:sz w:val="17"/>
          <w:szCs w:val="17"/>
          <w:lang w:val="en-GB"/>
        </w:rPr>
        <w:t xml:space="preserve">“Neptune Orient Lines, </w:t>
      </w:r>
      <w:r w:rsidR="004A68CE" w:rsidRPr="00D23079">
        <w:rPr>
          <w:rFonts w:ascii="Arial" w:hAnsi="Arial" w:cs="Arial"/>
          <w:spacing w:val="-14"/>
          <w:kern w:val="17"/>
          <w:sz w:val="17"/>
          <w:szCs w:val="17"/>
          <w:lang w:val="en-GB"/>
        </w:rPr>
        <w:t>NOL 2021,</w:t>
      </w:r>
      <w:r w:rsidR="0080720B" w:rsidRPr="00D23079">
        <w:rPr>
          <w:rFonts w:ascii="Arial" w:hAnsi="Arial" w:cs="Arial"/>
          <w:spacing w:val="-14"/>
          <w:kern w:val="17"/>
          <w:sz w:val="17"/>
          <w:szCs w:val="17"/>
          <w:lang w:val="en-GB"/>
        </w:rPr>
        <w:t>” Bond Factsheet,</w:t>
      </w:r>
      <w:r w:rsidR="009C337A" w:rsidRPr="00D23079">
        <w:rPr>
          <w:rFonts w:ascii="Arial" w:hAnsi="Arial" w:cs="Arial"/>
          <w:spacing w:val="-14"/>
          <w:kern w:val="17"/>
          <w:sz w:val="17"/>
          <w:szCs w:val="17"/>
          <w:lang w:val="en-GB"/>
        </w:rPr>
        <w:t xml:space="preserve"> accessed February 17, 2016,</w:t>
      </w:r>
      <w:r w:rsidR="009E4667" w:rsidRPr="00D23079">
        <w:rPr>
          <w:rFonts w:ascii="Arial" w:hAnsi="Arial" w:cs="Arial"/>
          <w:spacing w:val="-14"/>
          <w:kern w:val="17"/>
          <w:sz w:val="17"/>
          <w:szCs w:val="17"/>
          <w:lang w:val="en-GB"/>
        </w:rPr>
        <w:t xml:space="preserve"> </w:t>
      </w:r>
      <w:r w:rsidR="00BE222A" w:rsidRPr="00D23079">
        <w:rPr>
          <w:rFonts w:ascii="Arial" w:hAnsi="Arial" w:cs="Arial"/>
          <w:spacing w:val="-14"/>
          <w:kern w:val="17"/>
          <w:sz w:val="17"/>
          <w:szCs w:val="17"/>
          <w:lang w:val="en-GB"/>
        </w:rPr>
        <w:t>www.bondsupermart.com/main/bond-info/bond-factsheet/SG6P73971303</w:t>
      </w:r>
      <w:r w:rsidR="009C337A" w:rsidRPr="00D23079">
        <w:rPr>
          <w:rFonts w:ascii="Arial" w:hAnsi="Arial" w:cs="Arial"/>
          <w:spacing w:val="-14"/>
          <w:kern w:val="17"/>
          <w:sz w:val="17"/>
          <w:szCs w:val="17"/>
          <w:lang w:val="en-GB"/>
        </w:rPr>
        <w:t>;</w:t>
      </w:r>
      <w:r w:rsidR="004A68CE" w:rsidRPr="00D23079">
        <w:rPr>
          <w:rFonts w:ascii="Arial" w:hAnsi="Arial" w:cs="Arial"/>
          <w:spacing w:val="-14"/>
          <w:kern w:val="17"/>
          <w:sz w:val="17"/>
          <w:szCs w:val="17"/>
          <w:lang w:val="en-GB"/>
        </w:rPr>
        <w:t xml:space="preserve"> </w:t>
      </w:r>
      <w:r w:rsidR="0080720B" w:rsidRPr="00D23079">
        <w:rPr>
          <w:rFonts w:ascii="Arial" w:hAnsi="Arial" w:cs="Arial"/>
          <w:spacing w:val="-14"/>
          <w:kern w:val="17"/>
          <w:sz w:val="17"/>
          <w:szCs w:val="17"/>
          <w:lang w:val="en-GB"/>
        </w:rPr>
        <w:t>“</w:t>
      </w:r>
      <w:r w:rsidR="004A68CE" w:rsidRPr="00D23079">
        <w:rPr>
          <w:rFonts w:ascii="Arial" w:hAnsi="Arial" w:cs="Arial"/>
          <w:spacing w:val="-14"/>
          <w:kern w:val="17"/>
          <w:sz w:val="17"/>
          <w:szCs w:val="17"/>
          <w:lang w:val="en-GB"/>
        </w:rPr>
        <w:t>CMA CG</w:t>
      </w:r>
      <w:r w:rsidR="00D06F1D" w:rsidRPr="00D23079">
        <w:rPr>
          <w:rFonts w:ascii="Arial" w:hAnsi="Arial" w:cs="Arial"/>
          <w:spacing w:val="-14"/>
          <w:kern w:val="17"/>
          <w:sz w:val="17"/>
          <w:szCs w:val="17"/>
          <w:lang w:val="en-GB"/>
        </w:rPr>
        <w:t>M</w:t>
      </w:r>
      <w:r w:rsidR="004A68CE" w:rsidRPr="00D23079">
        <w:rPr>
          <w:rFonts w:ascii="Arial" w:hAnsi="Arial" w:cs="Arial"/>
          <w:spacing w:val="-14"/>
          <w:kern w:val="17"/>
          <w:sz w:val="17"/>
          <w:szCs w:val="17"/>
          <w:lang w:val="en-GB"/>
        </w:rPr>
        <w:t xml:space="preserve"> 2021,</w:t>
      </w:r>
      <w:r w:rsidR="0080720B" w:rsidRPr="00D23079">
        <w:rPr>
          <w:rFonts w:ascii="Arial" w:hAnsi="Arial" w:cs="Arial"/>
          <w:spacing w:val="-14"/>
          <w:kern w:val="17"/>
          <w:sz w:val="17"/>
          <w:szCs w:val="17"/>
          <w:lang w:val="en-GB"/>
        </w:rPr>
        <w:t>”</w:t>
      </w:r>
      <w:r w:rsidR="009C337A" w:rsidRPr="00D23079">
        <w:rPr>
          <w:rFonts w:ascii="Arial" w:hAnsi="Arial" w:cs="Arial"/>
          <w:spacing w:val="-14"/>
          <w:kern w:val="17"/>
          <w:sz w:val="17"/>
          <w:szCs w:val="17"/>
          <w:lang w:val="en-GB"/>
        </w:rPr>
        <w:t xml:space="preserve"> </w:t>
      </w:r>
      <w:proofErr w:type="spellStart"/>
      <w:r w:rsidR="00164D28" w:rsidRPr="00D23079">
        <w:rPr>
          <w:rFonts w:ascii="Arial" w:hAnsi="Arial" w:cs="Arial"/>
          <w:spacing w:val="-14"/>
          <w:kern w:val="17"/>
          <w:sz w:val="17"/>
          <w:szCs w:val="17"/>
          <w:lang w:val="en-GB"/>
        </w:rPr>
        <w:t>FactSet</w:t>
      </w:r>
      <w:proofErr w:type="spellEnd"/>
      <w:r w:rsidR="00164D28" w:rsidRPr="00D23079">
        <w:rPr>
          <w:rFonts w:ascii="Arial" w:hAnsi="Arial" w:cs="Arial"/>
          <w:spacing w:val="-14"/>
          <w:kern w:val="17"/>
          <w:sz w:val="17"/>
          <w:szCs w:val="17"/>
          <w:lang w:val="en-GB"/>
        </w:rPr>
        <w:t xml:space="preserve">, </w:t>
      </w:r>
      <w:r w:rsidR="009C337A" w:rsidRPr="00D23079">
        <w:rPr>
          <w:rFonts w:ascii="Arial" w:hAnsi="Arial" w:cs="Arial"/>
          <w:spacing w:val="-14"/>
          <w:kern w:val="17"/>
          <w:sz w:val="17"/>
          <w:szCs w:val="17"/>
          <w:lang w:val="en-GB"/>
        </w:rPr>
        <w:t>accessed February 16, 2016.</w:t>
      </w:r>
      <w:r w:rsidR="004A68CE" w:rsidRPr="001715D3">
        <w:rPr>
          <w:rFonts w:ascii="Arial" w:hAnsi="Arial" w:cs="Arial"/>
          <w:spacing w:val="-8"/>
          <w:kern w:val="17"/>
          <w:sz w:val="17"/>
          <w:szCs w:val="17"/>
          <w:lang w:val="en-GB"/>
        </w:rPr>
        <w:t xml:space="preserve"> </w:t>
      </w:r>
      <w:r w:rsidR="009E4667" w:rsidRPr="001715D3">
        <w:rPr>
          <w:rFonts w:ascii="Arial" w:hAnsi="Arial" w:cs="Arial"/>
          <w:spacing w:val="-8"/>
          <w:kern w:val="17"/>
          <w:sz w:val="17"/>
          <w:szCs w:val="17"/>
          <w:lang w:val="en-GB"/>
        </w:rPr>
        <w:br w:type="page"/>
      </w:r>
    </w:p>
    <w:p w14:paraId="5F424E5A" w14:textId="3E74DEE2" w:rsidR="009E4667" w:rsidRPr="001715D3" w:rsidRDefault="009E4667" w:rsidP="009E4667">
      <w:pPr>
        <w:pStyle w:val="Casehead1"/>
        <w:rPr>
          <w:lang w:val="en-GB"/>
        </w:rPr>
      </w:pPr>
      <w:r w:rsidRPr="001715D3">
        <w:rPr>
          <w:lang w:val="en-GB"/>
        </w:rPr>
        <w:lastRenderedPageBreak/>
        <w:t>ENDNOTES</w:t>
      </w:r>
    </w:p>
    <w:sectPr w:rsidR="009E4667" w:rsidRPr="001715D3" w:rsidSect="00202DAD">
      <w:endnotePr>
        <w:numFmt w:val="decimal"/>
      </w:endnotePr>
      <w:pgSz w:w="12240" w:h="15840" w:code="1"/>
      <w:pgMar w:top="1077" w:right="1440" w:bottom="1440" w:left="1440" w:header="107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9DB73" w14:textId="77777777" w:rsidR="00CC6083" w:rsidRDefault="00CC6083" w:rsidP="00D75295">
      <w:r>
        <w:separator/>
      </w:r>
    </w:p>
  </w:endnote>
  <w:endnote w:type="continuationSeparator" w:id="0">
    <w:p w14:paraId="650CCB83" w14:textId="77777777" w:rsidR="00CC6083" w:rsidRDefault="00CC6083" w:rsidP="00D75295">
      <w:r>
        <w:continuationSeparator/>
      </w:r>
    </w:p>
  </w:endnote>
  <w:endnote w:type="continuationNotice" w:id="1">
    <w:p w14:paraId="04A75D19" w14:textId="77777777" w:rsidR="00CC6083" w:rsidRDefault="00CC6083"/>
  </w:endnote>
  <w:endnote w:id="2">
    <w:p w14:paraId="6B0183C7" w14:textId="4648EEB9" w:rsidR="00CC6083" w:rsidRPr="00FF1584" w:rsidRDefault="00CC6083" w:rsidP="002C3A1A">
      <w:pPr>
        <w:pStyle w:val="Footnote"/>
        <w:rPr>
          <w:i/>
        </w:rPr>
      </w:pPr>
      <w:r w:rsidRPr="00FF1584">
        <w:rPr>
          <w:rStyle w:val="EndnoteReference"/>
        </w:rPr>
        <w:endnoteRef/>
      </w:r>
      <w:r>
        <w:t xml:space="preserve"> </w:t>
      </w:r>
      <w:r w:rsidRPr="00FF1584">
        <w:t>This case has been written on the basis of published sources only. Consequently, the interpretation and perspectives presented in this case are not necessarily those of</w:t>
      </w:r>
      <w:r>
        <w:t xml:space="preserve"> CMA CGM,</w:t>
      </w:r>
      <w:r w:rsidRPr="00FF1584">
        <w:t xml:space="preserve"> </w:t>
      </w:r>
      <w:proofErr w:type="spellStart"/>
      <w:r w:rsidRPr="00FF1584">
        <w:t>Temasek</w:t>
      </w:r>
      <w:proofErr w:type="spellEnd"/>
      <w:r w:rsidRPr="00FF1584">
        <w:t>, NOL</w:t>
      </w:r>
      <w:r>
        <w:t>,</w:t>
      </w:r>
      <w:r w:rsidRPr="00FF1584">
        <w:t xml:space="preserve"> or any of their employees.</w:t>
      </w:r>
    </w:p>
  </w:endnote>
  <w:endnote w:id="3">
    <w:p w14:paraId="61451C8C" w14:textId="6CF06AC6" w:rsidR="00CC6083" w:rsidRPr="00D23079" w:rsidRDefault="00CC6083" w:rsidP="002C3A1A">
      <w:pPr>
        <w:pStyle w:val="Footnote"/>
        <w:rPr>
          <w:spacing w:val="-2"/>
          <w:kern w:val="17"/>
        </w:rPr>
      </w:pPr>
      <w:r w:rsidRPr="00D23079">
        <w:rPr>
          <w:rStyle w:val="EndnoteReference"/>
          <w:spacing w:val="-2"/>
          <w:kern w:val="17"/>
        </w:rPr>
        <w:endnoteRef/>
      </w:r>
      <w:r w:rsidRPr="00D23079">
        <w:rPr>
          <w:spacing w:val="-2"/>
          <w:kern w:val="17"/>
        </w:rPr>
        <w:t xml:space="preserve"> SG$ = Singapore dollar; all currency amounts are in S</w:t>
      </w:r>
      <w:r w:rsidR="00D23079" w:rsidRPr="00D23079">
        <w:rPr>
          <w:spacing w:val="-2"/>
          <w:kern w:val="17"/>
        </w:rPr>
        <w:t>G</w:t>
      </w:r>
      <w:r w:rsidRPr="00D23079">
        <w:rPr>
          <w:spacing w:val="-2"/>
          <w:kern w:val="17"/>
        </w:rPr>
        <w:t xml:space="preserve">$ unless otherwise stated; US$1.00 = SG$1.40 on December 7, 2015. </w:t>
      </w:r>
    </w:p>
  </w:endnote>
  <w:endnote w:id="4">
    <w:p w14:paraId="2D630DED" w14:textId="57AD1B13" w:rsidR="00CC6083" w:rsidRDefault="00CC6083" w:rsidP="002C3A1A">
      <w:pPr>
        <w:pStyle w:val="EndnoteText"/>
        <w:jc w:val="both"/>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 xml:space="preserve">P.R. </w:t>
      </w:r>
      <w:proofErr w:type="spellStart"/>
      <w:r>
        <w:rPr>
          <w:rFonts w:ascii="Arial" w:hAnsi="Arial" w:cs="Arial"/>
          <w:sz w:val="17"/>
          <w:szCs w:val="17"/>
        </w:rPr>
        <w:t>Venkat</w:t>
      </w:r>
      <w:proofErr w:type="spellEnd"/>
      <w:r>
        <w:rPr>
          <w:rFonts w:ascii="Arial" w:hAnsi="Arial" w:cs="Arial"/>
          <w:sz w:val="17"/>
          <w:szCs w:val="17"/>
        </w:rPr>
        <w:t xml:space="preserve"> and Costas Paris, </w:t>
      </w:r>
      <w:r w:rsidRPr="00FF1584">
        <w:rPr>
          <w:rFonts w:ascii="Arial" w:hAnsi="Arial" w:cs="Arial"/>
          <w:sz w:val="17"/>
          <w:szCs w:val="17"/>
        </w:rPr>
        <w:t xml:space="preserve">“French </w:t>
      </w:r>
      <w:r>
        <w:rPr>
          <w:rFonts w:ascii="Arial" w:hAnsi="Arial" w:cs="Arial"/>
          <w:sz w:val="17"/>
          <w:szCs w:val="17"/>
        </w:rPr>
        <w:t>S</w:t>
      </w:r>
      <w:r w:rsidRPr="00FF1584">
        <w:rPr>
          <w:rFonts w:ascii="Arial" w:hAnsi="Arial" w:cs="Arial"/>
          <w:sz w:val="17"/>
          <w:szCs w:val="17"/>
        </w:rPr>
        <w:t xml:space="preserve">hipping </w:t>
      </w:r>
      <w:r>
        <w:rPr>
          <w:rFonts w:ascii="Arial" w:hAnsi="Arial" w:cs="Arial"/>
          <w:sz w:val="17"/>
          <w:szCs w:val="17"/>
        </w:rPr>
        <w:t>C</w:t>
      </w:r>
      <w:r w:rsidRPr="00FF1584">
        <w:rPr>
          <w:rFonts w:ascii="Arial" w:hAnsi="Arial" w:cs="Arial"/>
          <w:sz w:val="17"/>
          <w:szCs w:val="17"/>
        </w:rPr>
        <w:t xml:space="preserve">ompany CMA CGM to </w:t>
      </w:r>
      <w:r>
        <w:rPr>
          <w:rFonts w:ascii="Arial" w:hAnsi="Arial" w:cs="Arial"/>
          <w:sz w:val="17"/>
          <w:szCs w:val="17"/>
        </w:rPr>
        <w:t>B</w:t>
      </w:r>
      <w:r w:rsidRPr="00FF1584">
        <w:rPr>
          <w:rFonts w:ascii="Arial" w:hAnsi="Arial" w:cs="Arial"/>
          <w:sz w:val="17"/>
          <w:szCs w:val="17"/>
        </w:rPr>
        <w:t xml:space="preserve">uy Neptune Orient Lines for $2.4 </w:t>
      </w:r>
      <w:r>
        <w:rPr>
          <w:rFonts w:ascii="Arial" w:hAnsi="Arial" w:cs="Arial"/>
          <w:sz w:val="17"/>
          <w:szCs w:val="17"/>
        </w:rPr>
        <w:t>B</w:t>
      </w:r>
      <w:r w:rsidRPr="00FF1584">
        <w:rPr>
          <w:rFonts w:ascii="Arial" w:hAnsi="Arial" w:cs="Arial"/>
          <w:sz w:val="17"/>
          <w:szCs w:val="17"/>
        </w:rPr>
        <w:t>illion</w:t>
      </w:r>
      <w:r>
        <w:rPr>
          <w:rFonts w:ascii="Arial" w:hAnsi="Arial" w:cs="Arial"/>
          <w:sz w:val="17"/>
          <w:szCs w:val="17"/>
        </w:rPr>
        <w:t>,</w:t>
      </w:r>
      <w:r w:rsidRPr="00FF1584">
        <w:rPr>
          <w:rFonts w:ascii="Arial" w:hAnsi="Arial" w:cs="Arial"/>
          <w:sz w:val="17"/>
          <w:szCs w:val="17"/>
        </w:rPr>
        <w:t xml:space="preserve">” </w:t>
      </w:r>
      <w:r w:rsidRPr="00620D48">
        <w:rPr>
          <w:rFonts w:ascii="Arial" w:hAnsi="Arial" w:cs="Arial"/>
          <w:i/>
          <w:sz w:val="17"/>
          <w:szCs w:val="17"/>
        </w:rPr>
        <w:t>Wall Street Journal</w:t>
      </w:r>
      <w:r w:rsidRPr="00FF1584">
        <w:rPr>
          <w:rFonts w:ascii="Arial" w:hAnsi="Arial" w:cs="Arial"/>
          <w:sz w:val="17"/>
          <w:szCs w:val="17"/>
        </w:rPr>
        <w:t xml:space="preserve">, December 7, 2015, </w:t>
      </w:r>
      <w:r>
        <w:rPr>
          <w:rFonts w:ascii="Arial" w:hAnsi="Arial" w:cs="Arial"/>
          <w:sz w:val="17"/>
          <w:szCs w:val="17"/>
        </w:rPr>
        <w:t>accessed December 18, 2015, www</w:t>
      </w:r>
      <w:r w:rsidRPr="00FF1584">
        <w:rPr>
          <w:rFonts w:ascii="Arial" w:hAnsi="Arial" w:cs="Arial"/>
          <w:sz w:val="17"/>
          <w:szCs w:val="17"/>
        </w:rPr>
        <w:t>.wsj.com/articles/french-shipper-cma-cgm-to-make-offer-to-buy-neptune-orient-lines-1449454066.</w:t>
      </w:r>
    </w:p>
  </w:endnote>
  <w:endnote w:id="5">
    <w:p w14:paraId="1F9188EC" w14:textId="7009F6DE"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Pr>
          <w:rFonts w:ascii="Arial" w:hAnsi="Arial" w:cs="Arial"/>
          <w:sz w:val="17"/>
          <w:szCs w:val="17"/>
        </w:rPr>
        <w:t xml:space="preserve"> ST Graphics, </w:t>
      </w:r>
      <w:r w:rsidRPr="00FF1584">
        <w:rPr>
          <w:rFonts w:ascii="Arial" w:hAnsi="Arial" w:cs="Arial"/>
          <w:sz w:val="17"/>
          <w:szCs w:val="17"/>
        </w:rPr>
        <w:t xml:space="preserve">“NOL through the </w:t>
      </w:r>
      <w:r>
        <w:rPr>
          <w:rFonts w:ascii="Arial" w:hAnsi="Arial" w:cs="Arial"/>
          <w:sz w:val="17"/>
          <w:szCs w:val="17"/>
        </w:rPr>
        <w:t>Y</w:t>
      </w:r>
      <w:r w:rsidRPr="00FF1584">
        <w:rPr>
          <w:rFonts w:ascii="Arial" w:hAnsi="Arial" w:cs="Arial"/>
          <w:sz w:val="17"/>
          <w:szCs w:val="17"/>
        </w:rPr>
        <w:t>ears</w:t>
      </w:r>
      <w:r>
        <w:rPr>
          <w:rFonts w:ascii="Arial" w:hAnsi="Arial" w:cs="Arial"/>
          <w:sz w:val="17"/>
          <w:szCs w:val="17"/>
        </w:rPr>
        <w:t>,</w:t>
      </w:r>
      <w:r w:rsidRPr="00FF1584">
        <w:rPr>
          <w:rFonts w:ascii="Arial" w:hAnsi="Arial" w:cs="Arial"/>
          <w:sz w:val="17"/>
          <w:szCs w:val="17"/>
        </w:rPr>
        <w:t xml:space="preserve">” </w:t>
      </w:r>
      <w:r w:rsidRPr="00620D48">
        <w:rPr>
          <w:rFonts w:ascii="Arial" w:hAnsi="Arial" w:cs="Arial"/>
          <w:i/>
          <w:sz w:val="17"/>
          <w:szCs w:val="17"/>
        </w:rPr>
        <w:t>The Straits Times</w:t>
      </w:r>
      <w:r>
        <w:rPr>
          <w:rFonts w:ascii="Arial" w:hAnsi="Arial" w:cs="Arial"/>
          <w:sz w:val="17"/>
          <w:szCs w:val="17"/>
        </w:rPr>
        <w:t>,</w:t>
      </w:r>
      <w:r w:rsidRPr="00FF1584">
        <w:rPr>
          <w:rFonts w:ascii="Arial" w:hAnsi="Arial" w:cs="Arial"/>
          <w:sz w:val="17"/>
          <w:szCs w:val="17"/>
        </w:rPr>
        <w:t xml:space="preserve"> December 8, 2015, </w:t>
      </w:r>
      <w:r>
        <w:rPr>
          <w:rFonts w:ascii="Arial" w:hAnsi="Arial" w:cs="Arial"/>
          <w:sz w:val="17"/>
          <w:szCs w:val="17"/>
        </w:rPr>
        <w:t>accessed December 18, 2015, www</w:t>
      </w:r>
      <w:r w:rsidRPr="00FF1584">
        <w:rPr>
          <w:rFonts w:ascii="Arial" w:hAnsi="Arial" w:cs="Arial"/>
          <w:sz w:val="17"/>
          <w:szCs w:val="17"/>
        </w:rPr>
        <w:t>.straitstimes.com/sites/default/files/attachments/2015/12/08/ST_20151208_ALNOL08NEW_1898700.pdf</w:t>
      </w:r>
      <w:r>
        <w:rPr>
          <w:rFonts w:ascii="Arial" w:hAnsi="Arial" w:cs="Arial"/>
          <w:sz w:val="17"/>
          <w:szCs w:val="17"/>
        </w:rPr>
        <w:t>.</w:t>
      </w:r>
      <w:r w:rsidRPr="00FF1584">
        <w:rPr>
          <w:rFonts w:ascii="Arial" w:hAnsi="Arial" w:cs="Arial"/>
          <w:sz w:val="17"/>
          <w:szCs w:val="17"/>
        </w:rPr>
        <w:t xml:space="preserve"> </w:t>
      </w:r>
    </w:p>
  </w:endnote>
  <w:endnote w:id="6">
    <w:p w14:paraId="2D3E79A9" w14:textId="4460556F" w:rsidR="00CC6083" w:rsidRPr="00FF1584" w:rsidRDefault="00CC6083" w:rsidP="002C3A1A">
      <w:pPr>
        <w:pStyle w:val="EndnoteText"/>
        <w:jc w:val="both"/>
        <w:rPr>
          <w:rFonts w:ascii="Arial" w:hAnsi="Arial" w:cs="Arial"/>
          <w:sz w:val="17"/>
          <w:szCs w:val="17"/>
        </w:rPr>
      </w:pPr>
      <w:r w:rsidRPr="00E342A8">
        <w:rPr>
          <w:rStyle w:val="EndnoteReference"/>
          <w:rFonts w:ascii="Arial" w:hAnsi="Arial" w:cs="Arial"/>
          <w:sz w:val="17"/>
          <w:szCs w:val="17"/>
        </w:rPr>
        <w:endnoteRef/>
      </w:r>
      <w:r w:rsidRPr="00E342A8">
        <w:rPr>
          <w:rFonts w:ascii="Arial" w:hAnsi="Arial" w:cs="Arial"/>
          <w:sz w:val="17"/>
          <w:szCs w:val="17"/>
        </w:rPr>
        <w:t xml:space="preserve"> Aaron Low, “Good Ship NOL Deserves Final Berth in Safe </w:t>
      </w:r>
      <w:proofErr w:type="spellStart"/>
      <w:r w:rsidRPr="00E342A8">
        <w:rPr>
          <w:rFonts w:ascii="Arial" w:hAnsi="Arial" w:cs="Arial"/>
          <w:sz w:val="17"/>
          <w:szCs w:val="17"/>
        </w:rPr>
        <w:t>Harbour</w:t>
      </w:r>
      <w:proofErr w:type="spellEnd"/>
      <w:r w:rsidRPr="00E342A8">
        <w:rPr>
          <w:rFonts w:ascii="Arial" w:hAnsi="Arial" w:cs="Arial"/>
          <w:sz w:val="17"/>
          <w:szCs w:val="17"/>
        </w:rPr>
        <w:t xml:space="preserve">,” </w:t>
      </w:r>
      <w:r w:rsidRPr="00E342A8">
        <w:rPr>
          <w:rFonts w:ascii="Arial" w:hAnsi="Arial" w:cs="Arial"/>
          <w:i/>
          <w:sz w:val="17"/>
          <w:szCs w:val="17"/>
        </w:rPr>
        <w:t>The Straits Times</w:t>
      </w:r>
      <w:r w:rsidRPr="00E342A8">
        <w:rPr>
          <w:rFonts w:ascii="Arial" w:hAnsi="Arial" w:cs="Arial"/>
          <w:sz w:val="17"/>
          <w:szCs w:val="17"/>
        </w:rPr>
        <w:t>, December 8, 2015, acc</w:t>
      </w:r>
      <w:r w:rsidR="00D23079">
        <w:rPr>
          <w:rFonts w:ascii="Arial" w:hAnsi="Arial" w:cs="Arial"/>
          <w:sz w:val="17"/>
          <w:szCs w:val="17"/>
        </w:rPr>
        <w:t xml:space="preserve">essed February 28, 2017, </w:t>
      </w:r>
      <w:r w:rsidRPr="00E342A8">
        <w:rPr>
          <w:rFonts w:ascii="Arial" w:hAnsi="Arial" w:cs="Arial"/>
          <w:sz w:val="17"/>
          <w:szCs w:val="17"/>
        </w:rPr>
        <w:t>www.straitstimes.com/business/companies-markets/good-ship-nol-deserves-final-berth-in-safe-harbour.</w:t>
      </w:r>
      <w:r w:rsidRPr="00FF1584">
        <w:rPr>
          <w:rFonts w:ascii="Arial" w:hAnsi="Arial" w:cs="Arial"/>
          <w:sz w:val="17"/>
          <w:szCs w:val="17"/>
        </w:rPr>
        <w:t xml:space="preserve"> </w:t>
      </w:r>
    </w:p>
  </w:endnote>
  <w:endnote w:id="7">
    <w:p w14:paraId="58314FAA" w14:textId="10808D58" w:rsidR="00CC6083" w:rsidRPr="002C3A1A" w:rsidRDefault="00CC6083" w:rsidP="00D23079">
      <w:pPr>
        <w:pStyle w:val="Footnote"/>
      </w:pPr>
      <w:r w:rsidRPr="00D23079">
        <w:rPr>
          <w:rStyle w:val="FootnoteChar"/>
          <w:vertAlign w:val="superscript"/>
        </w:rPr>
        <w:endnoteRef/>
      </w:r>
      <w:r w:rsidRPr="00D23079">
        <w:rPr>
          <w:rStyle w:val="FootnoteChar"/>
        </w:rPr>
        <w:t xml:space="preserve"> Neptune Orient Lines (NOL),</w:t>
      </w:r>
      <w:r>
        <w:t xml:space="preserve"> </w:t>
      </w:r>
      <w:r w:rsidRPr="00AA4A49">
        <w:t>“</w:t>
      </w:r>
      <w:r w:rsidRPr="00F232B7">
        <w:t xml:space="preserve">NOL </w:t>
      </w:r>
      <w:r w:rsidRPr="00AA4A49">
        <w:t>Reports</w:t>
      </w:r>
      <w:r w:rsidRPr="00F232B7">
        <w:t xml:space="preserve"> US$208 </w:t>
      </w:r>
      <w:r w:rsidRPr="00AA4A49">
        <w:t>Million Year</w:t>
      </w:r>
      <w:r w:rsidRPr="00F232B7">
        <w:t>-on-</w:t>
      </w:r>
      <w:r w:rsidRPr="00AA4A49">
        <w:t>Year Improvement</w:t>
      </w:r>
      <w:r w:rsidRPr="00F232B7">
        <w:t xml:space="preserve"> in 4Q Core EBIT</w:t>
      </w:r>
      <w:r w:rsidRPr="00AA4A49">
        <w:t>,” News Release,</w:t>
      </w:r>
      <w:r>
        <w:rPr>
          <w:i/>
        </w:rPr>
        <w:t xml:space="preserve"> </w:t>
      </w:r>
      <w:r w:rsidRPr="001B1586">
        <w:t>February 22, 2013</w:t>
      </w:r>
      <w:r w:rsidRPr="00F232B7">
        <w:t xml:space="preserve">, </w:t>
      </w:r>
      <w:r w:rsidRPr="001B1586">
        <w:t>accessed</w:t>
      </w:r>
      <w:r>
        <w:t xml:space="preserve"> December 18, 2015, </w:t>
      </w:r>
      <w:r w:rsidRPr="007D30E0">
        <w:t>https://www.nol.com.sg/wps/wcm/connect/2c62ab86-7d28-453b-bb68-355e30683d60/NOL_FY2012_Results_Press_Release.pdf?MOD=AJPERES&amp;CACHEID=ROOTWORKSPACE-2c62ab86-7d28-453b-bb68-355e30683d60-lhrlGSN</w:t>
      </w:r>
      <w:r>
        <w:t>.</w:t>
      </w:r>
    </w:p>
  </w:endnote>
  <w:endnote w:id="8">
    <w:p w14:paraId="2B3007F5" w14:textId="0642FB54" w:rsidR="00CC6083" w:rsidRDefault="00CC6083" w:rsidP="002C3A1A">
      <w:pPr>
        <w:pStyle w:val="Footnote"/>
      </w:pPr>
      <w:r>
        <w:rPr>
          <w:rStyle w:val="EndnoteReference"/>
        </w:rPr>
        <w:endnoteRef/>
      </w:r>
      <w:r>
        <w:t xml:space="preserve"> Ibid.</w:t>
      </w:r>
    </w:p>
  </w:endnote>
  <w:endnote w:id="9">
    <w:p w14:paraId="01EE86E0" w14:textId="7EA23505" w:rsidR="00CC6083" w:rsidRDefault="00CC6083" w:rsidP="001B1586">
      <w:pPr>
        <w:pStyle w:val="EndnoteText"/>
        <w:jc w:val="both"/>
        <w:rPr>
          <w:rFonts w:ascii="Arial" w:hAnsi="Arial" w:cs="Arial"/>
          <w:spacing w:val="-6"/>
          <w:kern w:val="2"/>
          <w:sz w:val="17"/>
          <w:szCs w:val="17"/>
        </w:rPr>
      </w:pPr>
      <w:r w:rsidRPr="00D23079">
        <w:rPr>
          <w:rStyle w:val="FootnoteChar"/>
          <w:rFonts w:eastAsia="Calibri"/>
          <w:vertAlign w:val="superscript"/>
        </w:rPr>
        <w:endnoteRef/>
      </w:r>
      <w:r w:rsidRPr="00E342A8">
        <w:rPr>
          <w:spacing w:val="-6"/>
          <w:kern w:val="2"/>
        </w:rPr>
        <w:t xml:space="preserve"> </w:t>
      </w:r>
      <w:r w:rsidRPr="00E342A8">
        <w:rPr>
          <w:rFonts w:ascii="Arial" w:hAnsi="Arial" w:cs="Arial"/>
          <w:spacing w:val="-6"/>
          <w:kern w:val="2"/>
          <w:sz w:val="17"/>
          <w:szCs w:val="17"/>
        </w:rPr>
        <w:t>Neptune Orie</w:t>
      </w:r>
      <w:bookmarkStart w:id="0" w:name="_GoBack"/>
      <w:bookmarkEnd w:id="0"/>
      <w:r w:rsidRPr="00E342A8">
        <w:rPr>
          <w:rFonts w:ascii="Arial" w:hAnsi="Arial" w:cs="Arial"/>
          <w:spacing w:val="-6"/>
          <w:kern w:val="2"/>
          <w:sz w:val="17"/>
          <w:szCs w:val="17"/>
        </w:rPr>
        <w:t>nt Lines (NOL), “</w:t>
      </w:r>
      <w:r w:rsidRPr="00E342A8">
        <w:rPr>
          <w:rFonts w:ascii="Arial" w:hAnsi="Arial"/>
          <w:spacing w:val="-6"/>
          <w:kern w:val="2"/>
          <w:sz w:val="17"/>
        </w:rPr>
        <w:t xml:space="preserve">NOL </w:t>
      </w:r>
      <w:r w:rsidRPr="00E342A8">
        <w:rPr>
          <w:rFonts w:ascii="Arial" w:hAnsi="Arial" w:cs="Arial"/>
          <w:spacing w:val="-6"/>
          <w:kern w:val="2"/>
          <w:sz w:val="17"/>
          <w:szCs w:val="17"/>
        </w:rPr>
        <w:t>Narrows</w:t>
      </w:r>
      <w:r w:rsidRPr="00E342A8">
        <w:rPr>
          <w:rFonts w:ascii="Arial" w:hAnsi="Arial"/>
          <w:spacing w:val="-6"/>
          <w:kern w:val="2"/>
          <w:sz w:val="17"/>
        </w:rPr>
        <w:t xml:space="preserve"> Fourth Quarter Core EBIT </w:t>
      </w:r>
      <w:r w:rsidRPr="00E342A8">
        <w:rPr>
          <w:rFonts w:ascii="Arial" w:hAnsi="Arial" w:cs="Arial"/>
          <w:spacing w:val="-6"/>
          <w:kern w:val="2"/>
          <w:sz w:val="17"/>
          <w:szCs w:val="17"/>
        </w:rPr>
        <w:t>Loss</w:t>
      </w:r>
      <w:r w:rsidRPr="00E342A8">
        <w:rPr>
          <w:rFonts w:ascii="Arial" w:hAnsi="Arial"/>
          <w:spacing w:val="-6"/>
          <w:kern w:val="2"/>
          <w:sz w:val="17"/>
        </w:rPr>
        <w:t xml:space="preserve"> by 79</w:t>
      </w:r>
      <w:r w:rsidRPr="00E342A8">
        <w:rPr>
          <w:rFonts w:ascii="Arial" w:hAnsi="Arial" w:cs="Arial"/>
          <w:spacing w:val="-6"/>
          <w:kern w:val="2"/>
          <w:sz w:val="17"/>
          <w:szCs w:val="17"/>
        </w:rPr>
        <w:t>%,” News Release, February 13, 2015,</w:t>
      </w:r>
      <w:r w:rsidRPr="00E342A8">
        <w:rPr>
          <w:rFonts w:ascii="Arial" w:hAnsi="Arial"/>
          <w:spacing w:val="-6"/>
          <w:kern w:val="2"/>
          <w:sz w:val="17"/>
        </w:rPr>
        <w:t xml:space="preserve"> </w:t>
      </w:r>
      <w:r w:rsidRPr="00E342A8">
        <w:rPr>
          <w:rFonts w:ascii="Arial" w:hAnsi="Arial" w:cs="Arial"/>
          <w:spacing w:val="-6"/>
          <w:kern w:val="2"/>
          <w:sz w:val="17"/>
          <w:szCs w:val="17"/>
        </w:rPr>
        <w:t>accessed December 18, 2015,</w:t>
      </w:r>
      <w:r w:rsidRPr="00E342A8">
        <w:rPr>
          <w:spacing w:val="-6"/>
          <w:kern w:val="2"/>
        </w:rPr>
        <w:t xml:space="preserve"> </w:t>
      </w:r>
      <w:r w:rsidRPr="00E342A8">
        <w:rPr>
          <w:rFonts w:ascii="Arial" w:hAnsi="Arial" w:cs="Arial"/>
          <w:spacing w:val="-6"/>
          <w:kern w:val="2"/>
          <w:sz w:val="17"/>
          <w:szCs w:val="17"/>
        </w:rPr>
        <w:t>https://www.nol.com.sg/wps/wcm/connect/64b9723f-a09b-4b79-9798-7c0ead30437c/NOL_FY2014_Results</w:t>
      </w:r>
    </w:p>
    <w:p w14:paraId="2F67F979" w14:textId="18A1600D" w:rsidR="00CC6083" w:rsidRPr="00E342A8" w:rsidRDefault="00CC6083" w:rsidP="001B1586">
      <w:pPr>
        <w:pStyle w:val="EndnoteText"/>
        <w:jc w:val="both"/>
        <w:rPr>
          <w:spacing w:val="-6"/>
          <w:kern w:val="2"/>
        </w:rPr>
      </w:pPr>
      <w:r w:rsidRPr="00E342A8">
        <w:rPr>
          <w:rFonts w:ascii="Arial" w:hAnsi="Arial" w:cs="Arial"/>
          <w:spacing w:val="-6"/>
          <w:kern w:val="2"/>
          <w:sz w:val="17"/>
          <w:szCs w:val="17"/>
        </w:rPr>
        <w:t>_Press_Release.pdf</w:t>
      </w:r>
      <w:proofErr w:type="gramStart"/>
      <w:r w:rsidRPr="00E342A8">
        <w:rPr>
          <w:rFonts w:ascii="Arial" w:hAnsi="Arial" w:cs="Arial"/>
          <w:spacing w:val="-6"/>
          <w:kern w:val="2"/>
          <w:sz w:val="17"/>
          <w:szCs w:val="17"/>
        </w:rPr>
        <w:t>?MOD</w:t>
      </w:r>
      <w:proofErr w:type="gramEnd"/>
      <w:r w:rsidRPr="00E342A8">
        <w:rPr>
          <w:rFonts w:ascii="Arial" w:hAnsi="Arial" w:cs="Arial"/>
          <w:spacing w:val="-6"/>
          <w:kern w:val="2"/>
          <w:sz w:val="17"/>
          <w:szCs w:val="17"/>
        </w:rPr>
        <w:t>=AJPERES&amp;CACHEID=ROOTWORKSPACE-64b9723f-a09b-4b79-9798-7c0ead30437c-lhrlGSN.</w:t>
      </w:r>
    </w:p>
  </w:endnote>
  <w:endnote w:id="10">
    <w:p w14:paraId="5D4FD303" w14:textId="1F49AE2A" w:rsidR="00CC6083" w:rsidRDefault="00CC6083" w:rsidP="00D23079">
      <w:pPr>
        <w:pStyle w:val="Footnote"/>
      </w:pPr>
      <w:r>
        <w:rPr>
          <w:rStyle w:val="EndnoteReference"/>
        </w:rPr>
        <w:endnoteRef/>
      </w:r>
      <w:r>
        <w:t xml:space="preserve"> Ibid.</w:t>
      </w:r>
    </w:p>
  </w:endnote>
  <w:endnote w:id="11">
    <w:p w14:paraId="0E4F119F" w14:textId="0899FD78"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ST Graphics, op. cit.</w:t>
      </w:r>
    </w:p>
  </w:endnote>
  <w:endnote w:id="12">
    <w:p w14:paraId="593D54E7" w14:textId="25EAAAEE"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 xml:space="preserve">Jacqueline Woo, </w:t>
      </w:r>
      <w:r w:rsidRPr="00FF1584">
        <w:rPr>
          <w:rFonts w:ascii="Arial" w:hAnsi="Arial" w:cs="Arial"/>
          <w:sz w:val="17"/>
          <w:szCs w:val="17"/>
        </w:rPr>
        <w:t xml:space="preserve">“Countdown </w:t>
      </w:r>
      <w:r>
        <w:rPr>
          <w:rFonts w:ascii="Arial" w:hAnsi="Arial" w:cs="Arial"/>
          <w:sz w:val="17"/>
          <w:szCs w:val="17"/>
        </w:rPr>
        <w:t>B</w:t>
      </w:r>
      <w:r w:rsidRPr="00FF1584">
        <w:rPr>
          <w:rFonts w:ascii="Arial" w:hAnsi="Arial" w:cs="Arial"/>
          <w:sz w:val="17"/>
          <w:szCs w:val="17"/>
        </w:rPr>
        <w:t xml:space="preserve">egins for NOL </w:t>
      </w:r>
      <w:r>
        <w:rPr>
          <w:rFonts w:ascii="Arial" w:hAnsi="Arial" w:cs="Arial"/>
          <w:sz w:val="17"/>
          <w:szCs w:val="17"/>
        </w:rPr>
        <w:t>B</w:t>
      </w:r>
      <w:r w:rsidRPr="00FF1584">
        <w:rPr>
          <w:rFonts w:ascii="Arial" w:hAnsi="Arial" w:cs="Arial"/>
          <w:sz w:val="17"/>
          <w:szCs w:val="17"/>
        </w:rPr>
        <w:t xml:space="preserve">uyout </w:t>
      </w:r>
      <w:r>
        <w:rPr>
          <w:rFonts w:ascii="Arial" w:hAnsi="Arial" w:cs="Arial"/>
          <w:sz w:val="17"/>
          <w:szCs w:val="17"/>
        </w:rPr>
        <w:t>O</w:t>
      </w:r>
      <w:r w:rsidRPr="00FF1584">
        <w:rPr>
          <w:rFonts w:ascii="Arial" w:hAnsi="Arial" w:cs="Arial"/>
          <w:sz w:val="17"/>
          <w:szCs w:val="17"/>
        </w:rPr>
        <w:t>ffer</w:t>
      </w:r>
      <w:r>
        <w:rPr>
          <w:rFonts w:ascii="Arial" w:hAnsi="Arial" w:cs="Arial"/>
          <w:sz w:val="17"/>
          <w:szCs w:val="17"/>
        </w:rPr>
        <w:t>,</w:t>
      </w:r>
      <w:r w:rsidRPr="00FF1584">
        <w:rPr>
          <w:rFonts w:ascii="Arial" w:hAnsi="Arial" w:cs="Arial"/>
          <w:sz w:val="17"/>
          <w:szCs w:val="17"/>
        </w:rPr>
        <w:t xml:space="preserve">” </w:t>
      </w:r>
      <w:r w:rsidRPr="00CA7722">
        <w:rPr>
          <w:rFonts w:ascii="Arial" w:hAnsi="Arial" w:cs="Arial"/>
          <w:i/>
          <w:sz w:val="17"/>
          <w:szCs w:val="17"/>
        </w:rPr>
        <w:t>The Straits Times</w:t>
      </w:r>
      <w:r>
        <w:rPr>
          <w:rFonts w:ascii="Arial" w:hAnsi="Arial" w:cs="Arial"/>
          <w:sz w:val="17"/>
          <w:szCs w:val="17"/>
        </w:rPr>
        <w:t>,</w:t>
      </w:r>
      <w:r w:rsidRPr="00FF1584">
        <w:rPr>
          <w:rFonts w:ascii="Arial" w:hAnsi="Arial" w:cs="Arial"/>
          <w:sz w:val="17"/>
          <w:szCs w:val="17"/>
        </w:rPr>
        <w:t xml:space="preserve"> December 5, 2015, </w:t>
      </w:r>
      <w:r>
        <w:rPr>
          <w:rFonts w:ascii="Arial" w:hAnsi="Arial" w:cs="Arial"/>
          <w:sz w:val="17"/>
          <w:szCs w:val="17"/>
        </w:rPr>
        <w:t>accessed December 19, 2015, www</w:t>
      </w:r>
      <w:r w:rsidRPr="00FF1584">
        <w:rPr>
          <w:rFonts w:ascii="Arial" w:hAnsi="Arial" w:cs="Arial"/>
          <w:sz w:val="17"/>
          <w:szCs w:val="17"/>
        </w:rPr>
        <w:t>.straitstimes.com/business/companies-markets/countdown-begins-for-nol-buyout-offer</w:t>
      </w:r>
      <w:r>
        <w:rPr>
          <w:rFonts w:ascii="Arial" w:hAnsi="Arial" w:cs="Arial"/>
          <w:sz w:val="17"/>
          <w:szCs w:val="17"/>
        </w:rPr>
        <w:t>.</w:t>
      </w:r>
      <w:r w:rsidRPr="00FF1584">
        <w:rPr>
          <w:rFonts w:ascii="Arial" w:hAnsi="Arial" w:cs="Arial"/>
          <w:sz w:val="17"/>
          <w:szCs w:val="17"/>
        </w:rPr>
        <w:t xml:space="preserve"> </w:t>
      </w:r>
    </w:p>
  </w:endnote>
  <w:endnote w:id="13">
    <w:p w14:paraId="573AF36C" w14:textId="7841B2CA"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 xml:space="preserve">Jacqueline Woo, </w:t>
      </w:r>
      <w:r w:rsidRPr="00FF1584">
        <w:rPr>
          <w:rFonts w:ascii="Arial" w:hAnsi="Arial" w:cs="Arial"/>
          <w:sz w:val="17"/>
          <w:szCs w:val="17"/>
        </w:rPr>
        <w:t xml:space="preserve">“French </w:t>
      </w:r>
      <w:r>
        <w:rPr>
          <w:rFonts w:ascii="Arial" w:hAnsi="Arial" w:cs="Arial"/>
          <w:sz w:val="17"/>
          <w:szCs w:val="17"/>
        </w:rPr>
        <w:t>C</w:t>
      </w:r>
      <w:r w:rsidRPr="00FF1584">
        <w:rPr>
          <w:rFonts w:ascii="Arial" w:hAnsi="Arial" w:cs="Arial"/>
          <w:sz w:val="17"/>
          <w:szCs w:val="17"/>
        </w:rPr>
        <w:t xml:space="preserve">arrier </w:t>
      </w:r>
      <w:r>
        <w:rPr>
          <w:rFonts w:ascii="Arial" w:hAnsi="Arial" w:cs="Arial"/>
          <w:sz w:val="17"/>
          <w:szCs w:val="17"/>
        </w:rPr>
        <w:t>O</w:t>
      </w:r>
      <w:r w:rsidRPr="00FF1584">
        <w:rPr>
          <w:rFonts w:ascii="Arial" w:hAnsi="Arial" w:cs="Arial"/>
          <w:sz w:val="17"/>
          <w:szCs w:val="17"/>
        </w:rPr>
        <w:t xml:space="preserve">ffers $3.38b to </w:t>
      </w:r>
      <w:r>
        <w:rPr>
          <w:rFonts w:ascii="Arial" w:hAnsi="Arial" w:cs="Arial"/>
          <w:sz w:val="17"/>
          <w:szCs w:val="17"/>
        </w:rPr>
        <w:t>B</w:t>
      </w:r>
      <w:r w:rsidRPr="00FF1584">
        <w:rPr>
          <w:rFonts w:ascii="Arial" w:hAnsi="Arial" w:cs="Arial"/>
          <w:sz w:val="17"/>
          <w:szCs w:val="17"/>
        </w:rPr>
        <w:t>uy out NOL</w:t>
      </w:r>
      <w:r>
        <w:rPr>
          <w:rFonts w:ascii="Arial" w:hAnsi="Arial" w:cs="Arial"/>
          <w:sz w:val="17"/>
          <w:szCs w:val="17"/>
        </w:rPr>
        <w:t>,</w:t>
      </w:r>
      <w:r w:rsidRPr="00FF1584">
        <w:rPr>
          <w:rFonts w:ascii="Arial" w:hAnsi="Arial" w:cs="Arial"/>
          <w:sz w:val="17"/>
          <w:szCs w:val="17"/>
        </w:rPr>
        <w:t>”</w:t>
      </w:r>
      <w:r w:rsidRPr="00C50943">
        <w:rPr>
          <w:rFonts w:ascii="Arial" w:hAnsi="Arial" w:cs="Arial"/>
          <w:i/>
          <w:sz w:val="17"/>
          <w:szCs w:val="17"/>
        </w:rPr>
        <w:t xml:space="preserve"> </w:t>
      </w:r>
      <w:r w:rsidRPr="00CA7722">
        <w:rPr>
          <w:rFonts w:ascii="Arial" w:hAnsi="Arial" w:cs="Arial"/>
          <w:i/>
          <w:sz w:val="17"/>
          <w:szCs w:val="17"/>
        </w:rPr>
        <w:t>The Straits Times</w:t>
      </w:r>
      <w:r>
        <w:rPr>
          <w:rFonts w:ascii="Arial" w:hAnsi="Arial" w:cs="Arial"/>
          <w:sz w:val="17"/>
          <w:szCs w:val="17"/>
        </w:rPr>
        <w:t>,</w:t>
      </w:r>
      <w:r w:rsidRPr="00FF1584">
        <w:rPr>
          <w:rFonts w:ascii="Arial" w:hAnsi="Arial" w:cs="Arial"/>
          <w:sz w:val="17"/>
          <w:szCs w:val="17"/>
        </w:rPr>
        <w:t xml:space="preserve"> December 8, 2015, </w:t>
      </w:r>
      <w:r>
        <w:rPr>
          <w:rFonts w:ascii="Arial" w:hAnsi="Arial" w:cs="Arial"/>
          <w:sz w:val="17"/>
          <w:szCs w:val="17"/>
        </w:rPr>
        <w:t>accessed Dece</w:t>
      </w:r>
      <w:r w:rsidRPr="00620D48">
        <w:rPr>
          <w:rStyle w:val="FootnoteChar"/>
          <w:rFonts w:eastAsia="Calibri"/>
        </w:rPr>
        <w:t>mber 19, 2015, www.straitstimes.com/business/companies-markets/french-carrier-offers-338b-to-buy-out-nol.</w:t>
      </w:r>
      <w:r w:rsidRPr="00FF1584">
        <w:rPr>
          <w:rFonts w:ascii="Arial" w:hAnsi="Arial" w:cs="Arial"/>
          <w:sz w:val="17"/>
          <w:szCs w:val="17"/>
        </w:rPr>
        <w:t xml:space="preserve"> </w:t>
      </w:r>
    </w:p>
  </w:endnote>
  <w:endnote w:id="14">
    <w:p w14:paraId="20EEFF48" w14:textId="169D8F75"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Ibid.</w:t>
      </w:r>
    </w:p>
  </w:endnote>
  <w:endnote w:id="15">
    <w:p w14:paraId="4BE5445C" w14:textId="3DA2D643"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Rachel Boon, “CMA CGM Buys NOL Shares on Open M</w:t>
      </w:r>
      <w:r w:rsidRPr="00FF1584">
        <w:rPr>
          <w:rFonts w:ascii="Arial" w:hAnsi="Arial" w:cs="Arial"/>
          <w:sz w:val="17"/>
          <w:szCs w:val="17"/>
        </w:rPr>
        <w:t>arket</w:t>
      </w:r>
      <w:r>
        <w:rPr>
          <w:rFonts w:ascii="Arial" w:hAnsi="Arial" w:cs="Arial"/>
          <w:sz w:val="17"/>
          <w:szCs w:val="17"/>
        </w:rPr>
        <w:t>,”</w:t>
      </w:r>
      <w:r w:rsidRPr="00FF1584">
        <w:rPr>
          <w:rFonts w:ascii="Arial" w:hAnsi="Arial" w:cs="Arial"/>
          <w:sz w:val="17"/>
          <w:szCs w:val="17"/>
        </w:rPr>
        <w:t xml:space="preserve"> </w:t>
      </w:r>
      <w:r w:rsidRPr="00CA7722">
        <w:rPr>
          <w:rFonts w:ascii="Arial" w:hAnsi="Arial" w:cs="Arial"/>
          <w:i/>
          <w:sz w:val="17"/>
          <w:szCs w:val="17"/>
        </w:rPr>
        <w:t>The Straits Times</w:t>
      </w:r>
      <w:r>
        <w:rPr>
          <w:rFonts w:ascii="Arial" w:hAnsi="Arial" w:cs="Arial"/>
          <w:sz w:val="17"/>
          <w:szCs w:val="17"/>
        </w:rPr>
        <w:t>,</w:t>
      </w:r>
      <w:r w:rsidRPr="00FF1584">
        <w:rPr>
          <w:rFonts w:ascii="Arial" w:hAnsi="Arial" w:cs="Arial"/>
          <w:sz w:val="17"/>
          <w:szCs w:val="17"/>
        </w:rPr>
        <w:t xml:space="preserve"> December 15, 2015, </w:t>
      </w:r>
      <w:r>
        <w:rPr>
          <w:rFonts w:ascii="Arial" w:hAnsi="Arial" w:cs="Arial"/>
          <w:sz w:val="17"/>
          <w:szCs w:val="17"/>
        </w:rPr>
        <w:t>accessed December 19, 2015, www</w:t>
      </w:r>
      <w:r w:rsidRPr="00FF1584">
        <w:rPr>
          <w:rFonts w:ascii="Arial" w:hAnsi="Arial" w:cs="Arial"/>
          <w:sz w:val="17"/>
          <w:szCs w:val="17"/>
        </w:rPr>
        <w:t>.straitstimes.com/business/companies-markets/cma-cgm</w:t>
      </w:r>
      <w:r>
        <w:rPr>
          <w:rFonts w:ascii="Arial" w:hAnsi="Arial" w:cs="Arial"/>
          <w:sz w:val="17"/>
          <w:szCs w:val="17"/>
        </w:rPr>
        <w:t>-buys-nol-shares-on-open-market.</w:t>
      </w:r>
      <w:r w:rsidRPr="00FF1584">
        <w:rPr>
          <w:rFonts w:ascii="Arial" w:hAnsi="Arial" w:cs="Arial"/>
          <w:sz w:val="17"/>
          <w:szCs w:val="17"/>
        </w:rPr>
        <w:t xml:space="preserve"> </w:t>
      </w:r>
    </w:p>
  </w:endnote>
  <w:endnote w:id="16">
    <w:p w14:paraId="357C67D2" w14:textId="35952B16"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Jacqueline Woo, “French S</w:t>
      </w:r>
      <w:r w:rsidRPr="00FF1584">
        <w:rPr>
          <w:rFonts w:ascii="Arial" w:hAnsi="Arial" w:cs="Arial"/>
          <w:sz w:val="17"/>
          <w:szCs w:val="17"/>
        </w:rPr>
        <w:t>hippin</w:t>
      </w:r>
      <w:r>
        <w:rPr>
          <w:rFonts w:ascii="Arial" w:hAnsi="Arial" w:cs="Arial"/>
          <w:sz w:val="17"/>
          <w:szCs w:val="17"/>
        </w:rPr>
        <w:t>g Giant CMA CGM to Reinforce Singapore’s Hub Status,”</w:t>
      </w:r>
      <w:r w:rsidRPr="00FF1584">
        <w:rPr>
          <w:rFonts w:ascii="Arial" w:hAnsi="Arial" w:cs="Arial"/>
          <w:sz w:val="17"/>
          <w:szCs w:val="17"/>
        </w:rPr>
        <w:t xml:space="preserve"> </w:t>
      </w:r>
      <w:r w:rsidRPr="00CA7722">
        <w:rPr>
          <w:rFonts w:ascii="Arial" w:hAnsi="Arial" w:cs="Arial"/>
          <w:i/>
          <w:sz w:val="17"/>
          <w:szCs w:val="17"/>
        </w:rPr>
        <w:t>The Straits Times</w:t>
      </w:r>
      <w:r>
        <w:rPr>
          <w:rFonts w:ascii="Arial" w:hAnsi="Arial" w:cs="Arial"/>
          <w:sz w:val="17"/>
          <w:szCs w:val="17"/>
        </w:rPr>
        <w:t>,</w:t>
      </w:r>
      <w:r w:rsidRPr="00FF1584">
        <w:rPr>
          <w:rFonts w:ascii="Arial" w:hAnsi="Arial" w:cs="Arial"/>
          <w:sz w:val="17"/>
          <w:szCs w:val="17"/>
        </w:rPr>
        <w:t xml:space="preserve"> December 8, 2015, </w:t>
      </w:r>
      <w:r>
        <w:rPr>
          <w:rFonts w:ascii="Arial" w:hAnsi="Arial" w:cs="Arial"/>
          <w:sz w:val="17"/>
          <w:szCs w:val="17"/>
        </w:rPr>
        <w:t xml:space="preserve">accessed December 19, 2015, </w:t>
      </w:r>
      <w:r w:rsidRPr="00632691">
        <w:rPr>
          <w:rFonts w:ascii="Arial" w:hAnsi="Arial" w:cs="Arial"/>
          <w:sz w:val="17"/>
          <w:szCs w:val="17"/>
        </w:rPr>
        <w:t>www.straitstimes.com/business/companies-markets/french-shipping-giant-cma-cgm-to-reinforce-singapores-hub-status</w:t>
      </w:r>
      <w:r>
        <w:rPr>
          <w:rFonts w:ascii="Arial" w:hAnsi="Arial" w:cs="Arial"/>
          <w:sz w:val="17"/>
          <w:szCs w:val="17"/>
        </w:rPr>
        <w:t>.</w:t>
      </w:r>
    </w:p>
  </w:endnote>
  <w:endnote w:id="17">
    <w:p w14:paraId="0BC42D13" w14:textId="671A7144"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 xml:space="preserve">Jacqueline Woo, </w:t>
      </w:r>
      <w:r w:rsidRPr="00FF1584">
        <w:rPr>
          <w:rFonts w:ascii="Arial" w:hAnsi="Arial" w:cs="Arial"/>
          <w:sz w:val="17"/>
          <w:szCs w:val="17"/>
        </w:rPr>
        <w:t xml:space="preserve">“Analysts </w:t>
      </w:r>
      <w:r>
        <w:rPr>
          <w:rFonts w:ascii="Arial" w:hAnsi="Arial" w:cs="Arial"/>
          <w:sz w:val="17"/>
          <w:szCs w:val="17"/>
        </w:rPr>
        <w:t>G</w:t>
      </w:r>
      <w:r w:rsidRPr="00FF1584">
        <w:rPr>
          <w:rFonts w:ascii="Arial" w:hAnsi="Arial" w:cs="Arial"/>
          <w:sz w:val="17"/>
          <w:szCs w:val="17"/>
        </w:rPr>
        <w:t xml:space="preserve">ive </w:t>
      </w:r>
      <w:r>
        <w:rPr>
          <w:rFonts w:ascii="Arial" w:hAnsi="Arial" w:cs="Arial"/>
          <w:sz w:val="17"/>
          <w:szCs w:val="17"/>
        </w:rPr>
        <w:t>T</w:t>
      </w:r>
      <w:r w:rsidRPr="00FF1584">
        <w:rPr>
          <w:rFonts w:ascii="Arial" w:hAnsi="Arial" w:cs="Arial"/>
          <w:sz w:val="17"/>
          <w:szCs w:val="17"/>
        </w:rPr>
        <w:t xml:space="preserve">humbs up for NOL </w:t>
      </w:r>
      <w:r>
        <w:rPr>
          <w:rFonts w:ascii="Arial" w:hAnsi="Arial" w:cs="Arial"/>
          <w:sz w:val="17"/>
          <w:szCs w:val="17"/>
        </w:rPr>
        <w:t>B</w:t>
      </w:r>
      <w:r w:rsidRPr="00FF1584">
        <w:rPr>
          <w:rFonts w:ascii="Arial" w:hAnsi="Arial" w:cs="Arial"/>
          <w:sz w:val="17"/>
          <w:szCs w:val="17"/>
        </w:rPr>
        <w:t>uyout</w:t>
      </w:r>
      <w:r>
        <w:rPr>
          <w:rFonts w:ascii="Arial" w:hAnsi="Arial" w:cs="Arial"/>
          <w:sz w:val="17"/>
          <w:szCs w:val="17"/>
        </w:rPr>
        <w:t>,</w:t>
      </w:r>
      <w:r w:rsidRPr="00FF1584">
        <w:rPr>
          <w:rFonts w:ascii="Arial" w:hAnsi="Arial" w:cs="Arial"/>
          <w:sz w:val="17"/>
          <w:szCs w:val="17"/>
        </w:rPr>
        <w:t>”</w:t>
      </w:r>
      <w:r>
        <w:rPr>
          <w:rFonts w:ascii="Arial" w:hAnsi="Arial" w:cs="Arial"/>
          <w:sz w:val="17"/>
          <w:szCs w:val="17"/>
        </w:rPr>
        <w:t xml:space="preserve"> </w:t>
      </w:r>
      <w:r w:rsidRPr="00CA7722">
        <w:rPr>
          <w:rFonts w:ascii="Arial" w:hAnsi="Arial" w:cs="Arial"/>
          <w:i/>
          <w:sz w:val="17"/>
          <w:szCs w:val="17"/>
        </w:rPr>
        <w:t>The Straits Times</w:t>
      </w:r>
      <w:r>
        <w:rPr>
          <w:rFonts w:ascii="Arial" w:hAnsi="Arial" w:cs="Arial"/>
          <w:sz w:val="17"/>
          <w:szCs w:val="17"/>
        </w:rPr>
        <w:t>,</w:t>
      </w:r>
      <w:r w:rsidRPr="00FF1584">
        <w:rPr>
          <w:rFonts w:ascii="Arial" w:hAnsi="Arial" w:cs="Arial"/>
          <w:sz w:val="17"/>
          <w:szCs w:val="17"/>
        </w:rPr>
        <w:t xml:space="preserve"> </w:t>
      </w:r>
      <w:r>
        <w:rPr>
          <w:rFonts w:ascii="Arial" w:hAnsi="Arial" w:cs="Arial"/>
          <w:sz w:val="17"/>
          <w:szCs w:val="17"/>
        </w:rPr>
        <w:t xml:space="preserve">December 9, 2015, </w:t>
      </w:r>
      <w:r w:rsidRPr="00FF1584">
        <w:rPr>
          <w:rFonts w:ascii="Arial" w:hAnsi="Arial" w:cs="Arial"/>
          <w:sz w:val="17"/>
          <w:szCs w:val="17"/>
        </w:rPr>
        <w:t>accessed Decembe</w:t>
      </w:r>
      <w:r>
        <w:rPr>
          <w:rFonts w:ascii="Arial" w:hAnsi="Arial" w:cs="Arial"/>
          <w:sz w:val="17"/>
          <w:szCs w:val="17"/>
        </w:rPr>
        <w:t>r 18, 2015, www</w:t>
      </w:r>
      <w:r w:rsidRPr="00FF1584">
        <w:rPr>
          <w:rFonts w:ascii="Arial" w:hAnsi="Arial" w:cs="Arial"/>
          <w:sz w:val="17"/>
          <w:szCs w:val="17"/>
        </w:rPr>
        <w:t>.straitstimes.com/business/companies-markets/analysts-give-thumbs-up-for-nol-buyout</w:t>
      </w:r>
      <w:r>
        <w:rPr>
          <w:rStyle w:val="Hyperlink"/>
          <w:rFonts w:ascii="Arial" w:hAnsi="Arial" w:cs="Arial"/>
          <w:color w:val="auto"/>
          <w:sz w:val="17"/>
          <w:szCs w:val="17"/>
          <w:u w:val="none"/>
        </w:rPr>
        <w:t>.</w:t>
      </w:r>
      <w:r w:rsidRPr="00A36265">
        <w:rPr>
          <w:rStyle w:val="Hyperlink"/>
          <w:rFonts w:ascii="Arial" w:hAnsi="Arial" w:cs="Arial"/>
          <w:color w:val="auto"/>
          <w:sz w:val="17"/>
          <w:szCs w:val="17"/>
          <w:u w:val="none"/>
        </w:rPr>
        <w:t xml:space="preserve"> </w:t>
      </w:r>
    </w:p>
  </w:endnote>
  <w:endnote w:id="18">
    <w:p w14:paraId="6C4F656F" w14:textId="36A2AB95"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Ibid</w:t>
      </w:r>
      <w:r>
        <w:rPr>
          <w:rStyle w:val="Hyperlink"/>
          <w:rFonts w:ascii="Arial" w:hAnsi="Arial" w:cs="Arial"/>
          <w:color w:val="auto"/>
          <w:sz w:val="17"/>
          <w:szCs w:val="17"/>
          <w:u w:val="none"/>
        </w:rPr>
        <w:t>.</w:t>
      </w:r>
    </w:p>
  </w:endnote>
  <w:endnote w:id="19">
    <w:p w14:paraId="0C53D4ED" w14:textId="4CDE3E0F"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 xml:space="preserve">Ibid. </w:t>
      </w:r>
    </w:p>
  </w:endnote>
  <w:endnote w:id="20">
    <w:p w14:paraId="24FA4BFA" w14:textId="7B9F304E"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Jacqueline Woo, “French S</w:t>
      </w:r>
      <w:r w:rsidRPr="00FF1584">
        <w:rPr>
          <w:rFonts w:ascii="Arial" w:hAnsi="Arial" w:cs="Arial"/>
          <w:sz w:val="17"/>
          <w:szCs w:val="17"/>
        </w:rPr>
        <w:t>hippin</w:t>
      </w:r>
      <w:r>
        <w:rPr>
          <w:rFonts w:ascii="Arial" w:hAnsi="Arial" w:cs="Arial"/>
          <w:sz w:val="17"/>
          <w:szCs w:val="17"/>
        </w:rPr>
        <w:t>g Giant CMA CGM to Reinforce Singapore’s Hub Status,”</w:t>
      </w:r>
      <w:r w:rsidRPr="00FF1584">
        <w:rPr>
          <w:rFonts w:ascii="Arial" w:hAnsi="Arial" w:cs="Arial"/>
          <w:sz w:val="17"/>
          <w:szCs w:val="17"/>
        </w:rPr>
        <w:t xml:space="preserve"> </w:t>
      </w:r>
      <w:r>
        <w:rPr>
          <w:rFonts w:ascii="Arial" w:hAnsi="Arial" w:cs="Arial"/>
          <w:sz w:val="17"/>
          <w:szCs w:val="17"/>
        </w:rPr>
        <w:t>op. cit.</w:t>
      </w:r>
    </w:p>
  </w:endnote>
  <w:endnote w:id="21">
    <w:p w14:paraId="5890D20B" w14:textId="1EA67AC0"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Jamie Lee,</w:t>
      </w:r>
      <w:r w:rsidRPr="00FF1584">
        <w:rPr>
          <w:rFonts w:ascii="Arial" w:hAnsi="Arial" w:cs="Arial"/>
          <w:sz w:val="17"/>
          <w:szCs w:val="17"/>
        </w:rPr>
        <w:t xml:space="preserve"> “Update: </w:t>
      </w:r>
      <w:proofErr w:type="spellStart"/>
      <w:r w:rsidRPr="00FF1584">
        <w:rPr>
          <w:rFonts w:ascii="Arial" w:hAnsi="Arial" w:cs="Arial"/>
          <w:sz w:val="17"/>
          <w:szCs w:val="17"/>
        </w:rPr>
        <w:t>Temasek</w:t>
      </w:r>
      <w:proofErr w:type="spellEnd"/>
      <w:r w:rsidRPr="00FF1584">
        <w:rPr>
          <w:rFonts w:ascii="Arial" w:hAnsi="Arial" w:cs="Arial"/>
          <w:sz w:val="17"/>
          <w:szCs w:val="17"/>
        </w:rPr>
        <w:t xml:space="preserve"> </w:t>
      </w:r>
      <w:r>
        <w:rPr>
          <w:rFonts w:ascii="Arial" w:hAnsi="Arial" w:cs="Arial"/>
          <w:sz w:val="17"/>
          <w:szCs w:val="17"/>
        </w:rPr>
        <w:t>S</w:t>
      </w:r>
      <w:r w:rsidRPr="00FF1584">
        <w:rPr>
          <w:rFonts w:ascii="Arial" w:hAnsi="Arial" w:cs="Arial"/>
          <w:sz w:val="17"/>
          <w:szCs w:val="17"/>
        </w:rPr>
        <w:t>upports</w:t>
      </w:r>
      <w:r>
        <w:rPr>
          <w:rFonts w:ascii="Arial" w:hAnsi="Arial" w:cs="Arial"/>
          <w:sz w:val="17"/>
          <w:szCs w:val="17"/>
        </w:rPr>
        <w:t xml:space="preserve"> SG$</w:t>
      </w:r>
      <w:r w:rsidRPr="00FF1584">
        <w:rPr>
          <w:rFonts w:ascii="Arial" w:hAnsi="Arial" w:cs="Arial"/>
          <w:sz w:val="17"/>
          <w:szCs w:val="17"/>
        </w:rPr>
        <w:t xml:space="preserve">3.4 </w:t>
      </w:r>
      <w:r>
        <w:rPr>
          <w:rFonts w:ascii="Arial" w:hAnsi="Arial" w:cs="Arial"/>
          <w:sz w:val="17"/>
          <w:szCs w:val="17"/>
        </w:rPr>
        <w:t>B</w:t>
      </w:r>
      <w:r w:rsidRPr="00FF1584">
        <w:rPr>
          <w:rFonts w:ascii="Arial" w:hAnsi="Arial" w:cs="Arial"/>
          <w:sz w:val="17"/>
          <w:szCs w:val="17"/>
        </w:rPr>
        <w:t xml:space="preserve">illion CMA CGM </w:t>
      </w:r>
      <w:r>
        <w:rPr>
          <w:rFonts w:ascii="Arial" w:hAnsi="Arial" w:cs="Arial"/>
          <w:sz w:val="17"/>
          <w:szCs w:val="17"/>
        </w:rPr>
        <w:t>O</w:t>
      </w:r>
      <w:r w:rsidRPr="00FF1584">
        <w:rPr>
          <w:rFonts w:ascii="Arial" w:hAnsi="Arial" w:cs="Arial"/>
          <w:sz w:val="17"/>
          <w:szCs w:val="17"/>
        </w:rPr>
        <w:t>ffer for NOL</w:t>
      </w:r>
      <w:r>
        <w:rPr>
          <w:rFonts w:ascii="Arial" w:hAnsi="Arial" w:cs="Arial"/>
          <w:sz w:val="17"/>
          <w:szCs w:val="17"/>
        </w:rPr>
        <w:t>,</w:t>
      </w:r>
      <w:r w:rsidRPr="00FF1584">
        <w:rPr>
          <w:rFonts w:ascii="Arial" w:hAnsi="Arial" w:cs="Arial"/>
          <w:sz w:val="17"/>
          <w:szCs w:val="17"/>
        </w:rPr>
        <w:t xml:space="preserve">” </w:t>
      </w:r>
      <w:r w:rsidRPr="00620D48">
        <w:rPr>
          <w:rFonts w:ascii="Arial" w:hAnsi="Arial" w:cs="Arial"/>
          <w:i/>
          <w:sz w:val="17"/>
          <w:szCs w:val="17"/>
        </w:rPr>
        <w:t>The Business Times</w:t>
      </w:r>
      <w:r>
        <w:rPr>
          <w:rFonts w:ascii="Arial" w:hAnsi="Arial" w:cs="Arial"/>
          <w:sz w:val="17"/>
          <w:szCs w:val="17"/>
        </w:rPr>
        <w:t xml:space="preserve">, </w:t>
      </w:r>
      <w:r w:rsidRPr="00FF1584">
        <w:rPr>
          <w:rFonts w:ascii="Arial" w:hAnsi="Arial" w:cs="Arial"/>
          <w:sz w:val="17"/>
          <w:szCs w:val="17"/>
        </w:rPr>
        <w:t xml:space="preserve">December 7, 2015, </w:t>
      </w:r>
      <w:r>
        <w:rPr>
          <w:rFonts w:ascii="Arial" w:hAnsi="Arial" w:cs="Arial"/>
          <w:sz w:val="17"/>
          <w:szCs w:val="17"/>
        </w:rPr>
        <w:t>accessed December 19, 2015, www</w:t>
      </w:r>
      <w:r w:rsidRPr="00FF1584">
        <w:rPr>
          <w:rFonts w:ascii="Arial" w:hAnsi="Arial" w:cs="Arial"/>
          <w:sz w:val="17"/>
          <w:szCs w:val="17"/>
        </w:rPr>
        <w:t>.businesstimes.com.sg/companies-markets/update-temasek-supports-s34b-cma-cgm-offer-for-nol</w:t>
      </w:r>
      <w:r>
        <w:rPr>
          <w:rFonts w:ascii="Arial" w:hAnsi="Arial" w:cs="Arial"/>
          <w:sz w:val="17"/>
          <w:szCs w:val="17"/>
        </w:rPr>
        <w:t>.</w:t>
      </w:r>
      <w:r w:rsidRPr="00FF1584">
        <w:rPr>
          <w:rFonts w:ascii="Arial" w:hAnsi="Arial" w:cs="Arial"/>
          <w:sz w:val="17"/>
          <w:szCs w:val="17"/>
        </w:rPr>
        <w:t xml:space="preserve"> </w:t>
      </w:r>
    </w:p>
  </w:endnote>
  <w:endnote w:id="22">
    <w:p w14:paraId="38E1AA3A" w14:textId="56832B7F"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Jacqueline Woo, “French S</w:t>
      </w:r>
      <w:r w:rsidRPr="00FF1584">
        <w:rPr>
          <w:rFonts w:ascii="Arial" w:hAnsi="Arial" w:cs="Arial"/>
          <w:sz w:val="17"/>
          <w:szCs w:val="17"/>
        </w:rPr>
        <w:t>hippin</w:t>
      </w:r>
      <w:r>
        <w:rPr>
          <w:rFonts w:ascii="Arial" w:hAnsi="Arial" w:cs="Arial"/>
          <w:sz w:val="17"/>
          <w:szCs w:val="17"/>
        </w:rPr>
        <w:t>g Giant CMA CGM to Reinforce Singapore’s Hub Status,”</w:t>
      </w:r>
      <w:r w:rsidRPr="00FF1584">
        <w:rPr>
          <w:rFonts w:ascii="Arial" w:hAnsi="Arial" w:cs="Arial"/>
          <w:sz w:val="17"/>
          <w:szCs w:val="17"/>
        </w:rPr>
        <w:t xml:space="preserve"> </w:t>
      </w:r>
      <w:r>
        <w:rPr>
          <w:rFonts w:ascii="Arial" w:hAnsi="Arial" w:cs="Arial"/>
          <w:sz w:val="17"/>
          <w:szCs w:val="17"/>
        </w:rPr>
        <w:t>op. cit.</w:t>
      </w:r>
    </w:p>
  </w:endnote>
  <w:endnote w:id="23">
    <w:p w14:paraId="08F2F57B" w14:textId="402BF3F5" w:rsidR="00CC6083" w:rsidRPr="00620D48" w:rsidRDefault="00CC6083" w:rsidP="002C3A1A">
      <w:pPr>
        <w:pStyle w:val="EndnoteText"/>
        <w:jc w:val="both"/>
        <w:rPr>
          <w:lang w:val="en-CA"/>
        </w:rPr>
      </w:pPr>
      <w:r>
        <w:rPr>
          <w:rStyle w:val="FootnoteChar"/>
          <w:rFonts w:eastAsia="Calibri"/>
          <w:vertAlign w:val="superscript"/>
        </w:rPr>
        <w:t>23</w:t>
      </w:r>
      <w:r w:rsidRPr="00620D48">
        <w:rPr>
          <w:rStyle w:val="FootnoteChar"/>
          <w:rFonts w:eastAsia="Calibri"/>
          <w:vertAlign w:val="superscript"/>
        </w:rPr>
        <w:t xml:space="preserve"> </w:t>
      </w:r>
      <w:r w:rsidRPr="00620D48">
        <w:rPr>
          <w:rStyle w:val="FootnoteChar"/>
          <w:rFonts w:eastAsia="Calibri"/>
        </w:rPr>
        <w:t xml:space="preserve">Except where indicated, all information in this section is taken from Marissa Lee, “CMA CGM Exec Gives His Take on the NOL Takeover,” </w:t>
      </w:r>
      <w:r w:rsidRPr="00F232B7">
        <w:rPr>
          <w:rStyle w:val="FootnoteChar"/>
          <w:rFonts w:eastAsia="Calibri"/>
          <w:i/>
        </w:rPr>
        <w:t>The Straits Times</w:t>
      </w:r>
      <w:r w:rsidRPr="00620D48">
        <w:rPr>
          <w:rStyle w:val="FootnoteChar"/>
          <w:rFonts w:eastAsia="Calibri"/>
        </w:rPr>
        <w:t xml:space="preserve">, December 10, 2015, accessed </w:t>
      </w:r>
      <w:r w:rsidRPr="00FF1584">
        <w:rPr>
          <w:rFonts w:ascii="Arial" w:hAnsi="Arial" w:cs="Arial"/>
          <w:sz w:val="17"/>
          <w:szCs w:val="17"/>
        </w:rPr>
        <w:t>December 19, 2015</w:t>
      </w:r>
      <w:r>
        <w:rPr>
          <w:rFonts w:ascii="Arial" w:hAnsi="Arial" w:cs="Arial"/>
          <w:sz w:val="17"/>
          <w:szCs w:val="17"/>
        </w:rPr>
        <w:t xml:space="preserve">, </w:t>
      </w:r>
      <w:r w:rsidRPr="00FF1584">
        <w:rPr>
          <w:rFonts w:ascii="Arial" w:hAnsi="Arial" w:cs="Arial"/>
          <w:sz w:val="17"/>
          <w:szCs w:val="17"/>
        </w:rPr>
        <w:t>www.straitstimes.com/business/cma-cgm-exec-gives-his-take-on-the-nol-takeover</w:t>
      </w:r>
      <w:r>
        <w:rPr>
          <w:rFonts w:ascii="Arial" w:hAnsi="Arial" w:cs="Arial"/>
          <w:sz w:val="17"/>
          <w:szCs w:val="17"/>
        </w:rPr>
        <w:t>.</w:t>
      </w:r>
    </w:p>
  </w:endnote>
  <w:endnote w:id="24">
    <w:p w14:paraId="3B43F9F1" w14:textId="590EC863"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 xml:space="preserve">Ibid. </w:t>
      </w:r>
    </w:p>
  </w:endnote>
  <w:endnote w:id="25">
    <w:p w14:paraId="36402391" w14:textId="09C086E1"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“CMA CGM </w:t>
      </w:r>
      <w:r>
        <w:rPr>
          <w:rFonts w:ascii="Arial" w:hAnsi="Arial" w:cs="Arial"/>
          <w:sz w:val="17"/>
          <w:szCs w:val="17"/>
        </w:rPr>
        <w:t>F</w:t>
      </w:r>
      <w:r w:rsidRPr="00FF1584">
        <w:rPr>
          <w:rFonts w:ascii="Arial" w:hAnsi="Arial" w:cs="Arial"/>
          <w:sz w:val="17"/>
          <w:szCs w:val="17"/>
        </w:rPr>
        <w:t xml:space="preserve">avorite to </w:t>
      </w:r>
      <w:r>
        <w:rPr>
          <w:rFonts w:ascii="Arial" w:hAnsi="Arial" w:cs="Arial"/>
          <w:sz w:val="17"/>
          <w:szCs w:val="17"/>
        </w:rPr>
        <w:t>B</w:t>
      </w:r>
      <w:r w:rsidRPr="00FF1584">
        <w:rPr>
          <w:rFonts w:ascii="Arial" w:hAnsi="Arial" w:cs="Arial"/>
          <w:sz w:val="17"/>
          <w:szCs w:val="17"/>
        </w:rPr>
        <w:t>uy Neptune Orient Lines</w:t>
      </w:r>
      <w:r>
        <w:rPr>
          <w:rFonts w:ascii="Arial" w:hAnsi="Arial" w:cs="Arial"/>
          <w:sz w:val="17"/>
          <w:szCs w:val="17"/>
        </w:rPr>
        <w:t>,</w:t>
      </w:r>
      <w:r w:rsidRPr="00FF1584">
        <w:rPr>
          <w:rFonts w:ascii="Arial" w:hAnsi="Arial" w:cs="Arial"/>
          <w:sz w:val="17"/>
          <w:szCs w:val="17"/>
        </w:rPr>
        <w:t xml:space="preserve">” </w:t>
      </w:r>
      <w:r w:rsidRPr="00620D48">
        <w:rPr>
          <w:rFonts w:ascii="Arial" w:hAnsi="Arial" w:cs="Arial"/>
          <w:i/>
          <w:sz w:val="17"/>
          <w:szCs w:val="17"/>
        </w:rPr>
        <w:t>Supply Chains Magazine</w:t>
      </w:r>
      <w:r>
        <w:rPr>
          <w:rFonts w:ascii="Arial" w:hAnsi="Arial" w:cs="Arial"/>
          <w:sz w:val="17"/>
          <w:szCs w:val="17"/>
        </w:rPr>
        <w:t xml:space="preserve">, </w:t>
      </w:r>
      <w:r w:rsidRPr="00FF1584">
        <w:rPr>
          <w:rFonts w:ascii="Arial" w:hAnsi="Arial" w:cs="Arial"/>
          <w:sz w:val="17"/>
          <w:szCs w:val="17"/>
        </w:rPr>
        <w:t>November 20, 2015, accessed December 22, 2015</w:t>
      </w:r>
      <w:r>
        <w:rPr>
          <w:rFonts w:ascii="Arial" w:hAnsi="Arial" w:cs="Arial"/>
          <w:sz w:val="17"/>
          <w:szCs w:val="17"/>
        </w:rPr>
        <w:t xml:space="preserve">, </w:t>
      </w:r>
      <w:r w:rsidRPr="00FF1584">
        <w:rPr>
          <w:rFonts w:ascii="Arial" w:hAnsi="Arial" w:cs="Arial"/>
          <w:sz w:val="17"/>
          <w:szCs w:val="17"/>
        </w:rPr>
        <w:t>http://supplychains.com/cma-cgm-emerging-as-favorite-to-buy-singapores-neptune-orient-lines/</w:t>
      </w:r>
      <w:r>
        <w:rPr>
          <w:rFonts w:ascii="Arial" w:hAnsi="Arial" w:cs="Arial"/>
          <w:sz w:val="17"/>
          <w:szCs w:val="17"/>
        </w:rPr>
        <w:t>.</w:t>
      </w:r>
      <w:r w:rsidRPr="00FF1584">
        <w:rPr>
          <w:rFonts w:ascii="Arial" w:hAnsi="Arial" w:cs="Arial"/>
          <w:sz w:val="17"/>
          <w:szCs w:val="17"/>
        </w:rPr>
        <w:t xml:space="preserve"> </w:t>
      </w:r>
    </w:p>
  </w:endnote>
  <w:endnote w:id="26">
    <w:p w14:paraId="66061B47" w14:textId="24751E72"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“NOL </w:t>
      </w:r>
      <w:r>
        <w:rPr>
          <w:rFonts w:ascii="Arial" w:hAnsi="Arial" w:cs="Arial"/>
          <w:sz w:val="17"/>
          <w:szCs w:val="17"/>
        </w:rPr>
        <w:t>B</w:t>
      </w:r>
      <w:r w:rsidRPr="00FF1584">
        <w:rPr>
          <w:rFonts w:ascii="Arial" w:hAnsi="Arial" w:cs="Arial"/>
          <w:sz w:val="17"/>
          <w:szCs w:val="17"/>
        </w:rPr>
        <w:t>ond</w:t>
      </w:r>
      <w:r>
        <w:rPr>
          <w:rFonts w:ascii="Arial" w:hAnsi="Arial" w:cs="Arial"/>
          <w:sz w:val="17"/>
          <w:szCs w:val="17"/>
        </w:rPr>
        <w:t xml:space="preserve"> H</w:t>
      </w:r>
      <w:r w:rsidRPr="00FF1584">
        <w:rPr>
          <w:rFonts w:ascii="Arial" w:hAnsi="Arial" w:cs="Arial"/>
          <w:sz w:val="17"/>
          <w:szCs w:val="17"/>
        </w:rPr>
        <w:t xml:space="preserve">olders </w:t>
      </w:r>
      <w:r>
        <w:rPr>
          <w:rFonts w:ascii="Arial" w:hAnsi="Arial" w:cs="Arial"/>
          <w:sz w:val="17"/>
          <w:szCs w:val="17"/>
        </w:rPr>
        <w:t>H</w:t>
      </w:r>
      <w:r w:rsidRPr="00FF1584">
        <w:rPr>
          <w:rFonts w:ascii="Arial" w:hAnsi="Arial" w:cs="Arial"/>
          <w:sz w:val="17"/>
          <w:szCs w:val="17"/>
        </w:rPr>
        <w:t xml:space="preserve">it by </w:t>
      </w:r>
      <w:r>
        <w:rPr>
          <w:rFonts w:ascii="Arial" w:hAnsi="Arial" w:cs="Arial"/>
          <w:sz w:val="17"/>
          <w:szCs w:val="17"/>
        </w:rPr>
        <w:t>C</w:t>
      </w:r>
      <w:r w:rsidRPr="00FF1584">
        <w:rPr>
          <w:rFonts w:ascii="Arial" w:hAnsi="Arial" w:cs="Arial"/>
          <w:sz w:val="17"/>
          <w:szCs w:val="17"/>
        </w:rPr>
        <w:t xml:space="preserve">hange in </w:t>
      </w:r>
      <w:r>
        <w:rPr>
          <w:rFonts w:ascii="Arial" w:hAnsi="Arial" w:cs="Arial"/>
          <w:sz w:val="17"/>
          <w:szCs w:val="17"/>
        </w:rPr>
        <w:t>C</w:t>
      </w:r>
      <w:r w:rsidRPr="00FF1584">
        <w:rPr>
          <w:rFonts w:ascii="Arial" w:hAnsi="Arial" w:cs="Arial"/>
          <w:sz w:val="17"/>
          <w:szCs w:val="17"/>
        </w:rPr>
        <w:t>ontrol</w:t>
      </w:r>
      <w:r>
        <w:rPr>
          <w:rFonts w:ascii="Arial" w:hAnsi="Arial" w:cs="Arial"/>
          <w:sz w:val="17"/>
          <w:szCs w:val="17"/>
        </w:rPr>
        <w:t>,</w:t>
      </w:r>
      <w:r w:rsidRPr="00FF1584">
        <w:rPr>
          <w:rFonts w:ascii="Arial" w:hAnsi="Arial" w:cs="Arial"/>
          <w:sz w:val="17"/>
          <w:szCs w:val="17"/>
        </w:rPr>
        <w:t xml:space="preserve">” </w:t>
      </w:r>
      <w:r w:rsidRPr="00CA7722">
        <w:rPr>
          <w:rFonts w:ascii="Arial" w:hAnsi="Arial" w:cs="Arial"/>
          <w:i/>
          <w:sz w:val="17"/>
          <w:szCs w:val="17"/>
        </w:rPr>
        <w:t>The Straits Times</w:t>
      </w:r>
      <w:r>
        <w:rPr>
          <w:rFonts w:ascii="Arial" w:hAnsi="Arial" w:cs="Arial"/>
          <w:sz w:val="17"/>
          <w:szCs w:val="17"/>
        </w:rPr>
        <w:t>,</w:t>
      </w:r>
      <w:r w:rsidRPr="00FF1584">
        <w:rPr>
          <w:rFonts w:ascii="Arial" w:hAnsi="Arial" w:cs="Arial"/>
          <w:sz w:val="17"/>
          <w:szCs w:val="17"/>
        </w:rPr>
        <w:t xml:space="preserve"> January 9, 2016,</w:t>
      </w:r>
      <w:r w:rsidRPr="005B5D9B">
        <w:rPr>
          <w:rFonts w:ascii="Arial" w:hAnsi="Arial" w:cs="Arial"/>
          <w:sz w:val="17"/>
          <w:szCs w:val="17"/>
        </w:rPr>
        <w:t xml:space="preserve"> </w:t>
      </w:r>
      <w:r w:rsidRPr="00FF1584">
        <w:rPr>
          <w:rFonts w:ascii="Arial" w:hAnsi="Arial" w:cs="Arial"/>
          <w:sz w:val="17"/>
          <w:szCs w:val="17"/>
        </w:rPr>
        <w:t>accessed February 10</w:t>
      </w:r>
      <w:r>
        <w:rPr>
          <w:rFonts w:ascii="Arial" w:hAnsi="Arial" w:cs="Arial"/>
          <w:sz w:val="17"/>
          <w:szCs w:val="17"/>
        </w:rPr>
        <w:t>, 2016,</w:t>
      </w:r>
      <w:r w:rsidRPr="00A15740">
        <w:rPr>
          <w:rFonts w:ascii="Arial" w:hAnsi="Arial" w:cs="Arial"/>
          <w:sz w:val="17"/>
          <w:szCs w:val="17"/>
        </w:rPr>
        <w:t xml:space="preserve"> </w:t>
      </w:r>
      <w:r>
        <w:rPr>
          <w:rFonts w:ascii="Arial" w:hAnsi="Arial" w:cs="Arial"/>
          <w:sz w:val="17"/>
          <w:szCs w:val="17"/>
        </w:rPr>
        <w:t>www</w:t>
      </w:r>
      <w:r w:rsidRPr="00FF1584">
        <w:rPr>
          <w:rFonts w:ascii="Arial" w:hAnsi="Arial" w:cs="Arial"/>
          <w:sz w:val="17"/>
          <w:szCs w:val="17"/>
        </w:rPr>
        <w:t>.straitstimes.com/business/nol-bond-holders-hit-by-change-in-control</w:t>
      </w:r>
      <w:r>
        <w:rPr>
          <w:rFonts w:ascii="Arial" w:hAnsi="Arial" w:cs="Arial"/>
          <w:sz w:val="17"/>
          <w:szCs w:val="17"/>
        </w:rPr>
        <w:t>.</w:t>
      </w:r>
    </w:p>
  </w:endnote>
  <w:endnote w:id="27">
    <w:p w14:paraId="59028E16" w14:textId="3C1DCECF" w:rsidR="00CC6083" w:rsidRPr="00FF1584" w:rsidRDefault="00CC6083" w:rsidP="002C3A1A">
      <w:pPr>
        <w:pStyle w:val="EndnoteText"/>
        <w:jc w:val="both"/>
        <w:rPr>
          <w:rFonts w:ascii="Arial" w:hAnsi="Arial" w:cs="Arial"/>
          <w:sz w:val="17"/>
          <w:szCs w:val="17"/>
        </w:rPr>
      </w:pPr>
      <w:r w:rsidRPr="00FF1584">
        <w:rPr>
          <w:rStyle w:val="EndnoteReference"/>
          <w:rFonts w:ascii="Arial" w:hAnsi="Arial" w:cs="Arial"/>
          <w:sz w:val="17"/>
          <w:szCs w:val="17"/>
        </w:rPr>
        <w:endnoteRef/>
      </w:r>
      <w:r w:rsidRPr="00FF1584">
        <w:rPr>
          <w:rFonts w:ascii="Arial" w:hAnsi="Arial" w:cs="Arial"/>
          <w:sz w:val="17"/>
          <w:szCs w:val="17"/>
        </w:rPr>
        <w:t xml:space="preserve"> </w:t>
      </w:r>
      <w:r>
        <w:rPr>
          <w:rFonts w:ascii="Arial" w:hAnsi="Arial" w:cs="Arial"/>
          <w:sz w:val="17"/>
          <w:szCs w:val="17"/>
        </w:rP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6AA1E" w14:textId="77777777" w:rsidR="00CC6083" w:rsidRDefault="00CC6083" w:rsidP="00D75295">
      <w:r>
        <w:separator/>
      </w:r>
    </w:p>
  </w:footnote>
  <w:footnote w:type="continuationSeparator" w:id="0">
    <w:p w14:paraId="5CE6DDC6" w14:textId="77777777" w:rsidR="00CC6083" w:rsidRDefault="00CC6083" w:rsidP="00D75295">
      <w:r>
        <w:continuationSeparator/>
      </w:r>
    </w:p>
  </w:footnote>
  <w:footnote w:type="continuationNotice" w:id="1">
    <w:p w14:paraId="39C0BD41" w14:textId="77777777" w:rsidR="00CC6083" w:rsidRDefault="00CC60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F30E5" w14:textId="73FC3138" w:rsidR="00CC6083" w:rsidRDefault="00CC6083"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3079">
      <w:rPr>
        <w:rFonts w:ascii="Arial" w:hAnsi="Arial"/>
        <w:b/>
        <w:noProof/>
      </w:rPr>
      <w:t>9</w:t>
    </w:r>
    <w:r>
      <w:rPr>
        <w:rFonts w:ascii="Arial" w:hAnsi="Arial"/>
        <w:b/>
      </w:rPr>
      <w:fldChar w:fldCharType="end"/>
    </w:r>
    <w:r>
      <w:rPr>
        <w:rFonts w:ascii="Arial" w:hAnsi="Arial"/>
        <w:b/>
      </w:rPr>
      <w:tab/>
      <w:t>9B17N007</w:t>
    </w:r>
  </w:p>
  <w:p w14:paraId="532369BA" w14:textId="77777777" w:rsidR="00CC6083" w:rsidRPr="00C92CC4" w:rsidRDefault="00CC6083" w:rsidP="00D13667">
    <w:pPr>
      <w:pStyle w:val="Header"/>
      <w:tabs>
        <w:tab w:val="clear" w:pos="4680"/>
      </w:tabs>
      <w:rPr>
        <w:sz w:val="18"/>
        <w:szCs w:val="18"/>
      </w:rPr>
    </w:pPr>
  </w:p>
  <w:p w14:paraId="109BE8AE" w14:textId="77777777" w:rsidR="00CC6083" w:rsidRPr="00C92CC4" w:rsidRDefault="00CC6083"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7298C" w14:textId="144A1BC9" w:rsidR="00CC6083" w:rsidRDefault="00CC6083" w:rsidP="00C17DAF">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3079">
      <w:rPr>
        <w:rFonts w:ascii="Arial" w:hAnsi="Arial"/>
        <w:b/>
        <w:noProof/>
      </w:rPr>
      <w:t>10</w:t>
    </w:r>
    <w:r>
      <w:rPr>
        <w:rFonts w:ascii="Arial" w:hAnsi="Arial"/>
        <w:b/>
      </w:rPr>
      <w:fldChar w:fldCharType="end"/>
    </w:r>
    <w:r>
      <w:rPr>
        <w:rFonts w:ascii="Arial" w:hAnsi="Arial"/>
        <w:b/>
      </w:rPr>
      <w:ptab w:relativeTo="margin" w:alignment="right" w:leader="none"/>
    </w:r>
    <w:r>
      <w:rPr>
        <w:rFonts w:ascii="Arial" w:hAnsi="Arial"/>
        <w:b/>
      </w:rPr>
      <w:t>9B17N</w:t>
    </w:r>
    <w:r w:rsidR="00D23079">
      <w:rPr>
        <w:rFonts w:ascii="Arial" w:hAnsi="Arial"/>
        <w:b/>
      </w:rPr>
      <w:t>0</w:t>
    </w:r>
  </w:p>
  <w:p w14:paraId="5771D0B3" w14:textId="77777777" w:rsidR="00CC6083" w:rsidRPr="00C92CC4" w:rsidRDefault="00CC6083" w:rsidP="00C17DAF">
    <w:pPr>
      <w:pStyle w:val="Header"/>
      <w:tabs>
        <w:tab w:val="clear" w:pos="4680"/>
        <w:tab w:val="clear" w:pos="9360"/>
        <w:tab w:val="right" w:pos="12960"/>
      </w:tabs>
      <w:rPr>
        <w:sz w:val="18"/>
        <w:szCs w:val="18"/>
      </w:rPr>
    </w:pPr>
  </w:p>
  <w:p w14:paraId="44605225" w14:textId="77777777" w:rsidR="00CC6083" w:rsidRPr="00C92CC4" w:rsidRDefault="00CC6083" w:rsidP="00C17DAF">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3B621" w14:textId="510BDE50" w:rsidR="00CC6083" w:rsidRDefault="00CC6083" w:rsidP="00C17DAF">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3079">
      <w:rPr>
        <w:rFonts w:ascii="Arial" w:hAnsi="Arial"/>
        <w:b/>
        <w:noProof/>
      </w:rPr>
      <w:t>14</w:t>
    </w:r>
    <w:r>
      <w:rPr>
        <w:rFonts w:ascii="Arial" w:hAnsi="Arial"/>
        <w:b/>
      </w:rPr>
      <w:fldChar w:fldCharType="end"/>
    </w:r>
    <w:r>
      <w:rPr>
        <w:rFonts w:ascii="Arial" w:hAnsi="Arial"/>
        <w:b/>
      </w:rPr>
      <w:ptab w:relativeTo="margin" w:alignment="right" w:leader="none"/>
    </w:r>
    <w:r>
      <w:rPr>
        <w:rFonts w:ascii="Arial" w:hAnsi="Arial"/>
        <w:b/>
      </w:rPr>
      <w:t>9B17N007</w:t>
    </w:r>
  </w:p>
  <w:p w14:paraId="173ED586" w14:textId="77777777" w:rsidR="00CC6083" w:rsidRPr="00C92CC4" w:rsidRDefault="00CC6083" w:rsidP="00C17DAF">
    <w:pPr>
      <w:pStyle w:val="Header"/>
      <w:tabs>
        <w:tab w:val="clear" w:pos="4680"/>
        <w:tab w:val="clear" w:pos="9360"/>
        <w:tab w:val="right" w:pos="12960"/>
      </w:tabs>
      <w:rPr>
        <w:sz w:val="18"/>
        <w:szCs w:val="18"/>
      </w:rPr>
    </w:pPr>
  </w:p>
  <w:p w14:paraId="60923EBC" w14:textId="77777777" w:rsidR="00CC6083" w:rsidRPr="00C92CC4" w:rsidRDefault="00CC6083" w:rsidP="00C17DAF">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403A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742296"/>
    <w:multiLevelType w:val="hybridMultilevel"/>
    <w:tmpl w:val="3AB49506"/>
    <w:lvl w:ilvl="0" w:tplc="60E80258">
      <w:start w:val="1"/>
      <w:numFmt w:val="bullet"/>
      <w:lvlText w:val=""/>
      <w:lvlJc w:val="left"/>
      <w:pPr>
        <w:ind w:left="720" w:hanging="360"/>
      </w:pPr>
      <w:rPr>
        <w:rFonts w:ascii="Symbol" w:hAnsi="Symbol" w:hint="default"/>
        <w:sz w:val="1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7D7B92"/>
    <w:multiLevelType w:val="hybridMultilevel"/>
    <w:tmpl w:val="AFC0EC10"/>
    <w:lvl w:ilvl="0" w:tplc="60E80258">
      <w:start w:val="1"/>
      <w:numFmt w:val="bullet"/>
      <w:lvlText w:val=""/>
      <w:lvlJc w:val="left"/>
      <w:pPr>
        <w:ind w:left="720" w:hanging="360"/>
      </w:pPr>
      <w:rPr>
        <w:rFonts w:ascii="Symbol" w:hAnsi="Symbol" w:hint="default"/>
        <w:sz w:val="1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A91381"/>
    <w:multiLevelType w:val="hybridMultilevel"/>
    <w:tmpl w:val="675A68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4325E0C"/>
    <w:multiLevelType w:val="hybridMultilevel"/>
    <w:tmpl w:val="10BAEFE0"/>
    <w:lvl w:ilvl="0" w:tplc="1E38ADA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601BF"/>
    <w:multiLevelType w:val="hybridMultilevel"/>
    <w:tmpl w:val="3B802A9E"/>
    <w:lvl w:ilvl="0" w:tplc="00760196">
      <w:numFmt w:val="bullet"/>
      <w:lvlText w:val="-"/>
      <w:lvlJc w:val="left"/>
      <w:pPr>
        <w:ind w:left="360" w:hanging="360"/>
      </w:pPr>
      <w:rPr>
        <w:rFonts w:ascii="Times" w:eastAsiaTheme="minorEastAsia" w:hAnsi="Time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172265"/>
    <w:multiLevelType w:val="hybridMultilevel"/>
    <w:tmpl w:val="473E8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6E240A"/>
    <w:multiLevelType w:val="hybridMultilevel"/>
    <w:tmpl w:val="78085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F17EE"/>
    <w:multiLevelType w:val="hybridMultilevel"/>
    <w:tmpl w:val="6DCCB11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4E4B05"/>
    <w:multiLevelType w:val="hybridMultilevel"/>
    <w:tmpl w:val="BEE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9C1B9B"/>
    <w:multiLevelType w:val="hybridMultilevel"/>
    <w:tmpl w:val="B666F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5" w15:restartNumberingAfterBreak="0">
    <w:nsid w:val="4A641D45"/>
    <w:multiLevelType w:val="hybridMultilevel"/>
    <w:tmpl w:val="65C6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34795"/>
    <w:multiLevelType w:val="hybridMultilevel"/>
    <w:tmpl w:val="CFE646C0"/>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C05D95"/>
    <w:multiLevelType w:val="hybridMultilevel"/>
    <w:tmpl w:val="AAFE850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4F6B3F"/>
    <w:multiLevelType w:val="hybridMultilevel"/>
    <w:tmpl w:val="1292E2EE"/>
    <w:lvl w:ilvl="0" w:tplc="5846DD4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752E7"/>
    <w:multiLevelType w:val="hybridMultilevel"/>
    <w:tmpl w:val="745EA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DC56BE"/>
    <w:multiLevelType w:val="hybridMultilevel"/>
    <w:tmpl w:val="6C90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B6894"/>
    <w:multiLevelType w:val="hybridMultilevel"/>
    <w:tmpl w:val="8D80123C"/>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330C1D"/>
    <w:multiLevelType w:val="hybridMultilevel"/>
    <w:tmpl w:val="E8F6A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8"/>
  </w:num>
  <w:num w:numId="3">
    <w:abstractNumId w:val="17"/>
  </w:num>
  <w:num w:numId="4">
    <w:abstractNumId w:val="6"/>
  </w:num>
  <w:num w:numId="5">
    <w:abstractNumId w:val="14"/>
  </w:num>
  <w:num w:numId="6">
    <w:abstractNumId w:val="1"/>
  </w:num>
  <w:num w:numId="7">
    <w:abstractNumId w:val="5"/>
  </w:num>
  <w:num w:numId="8">
    <w:abstractNumId w:val="8"/>
  </w:num>
  <w:num w:numId="9">
    <w:abstractNumId w:val="21"/>
  </w:num>
  <w:num w:numId="10">
    <w:abstractNumId w:val="7"/>
  </w:num>
  <w:num w:numId="11">
    <w:abstractNumId w:val="22"/>
  </w:num>
  <w:num w:numId="12">
    <w:abstractNumId w:val="11"/>
  </w:num>
  <w:num w:numId="13">
    <w:abstractNumId w:val="20"/>
  </w:num>
  <w:num w:numId="14">
    <w:abstractNumId w:val="0"/>
  </w:num>
  <w:num w:numId="15">
    <w:abstractNumId w:val="15"/>
  </w:num>
  <w:num w:numId="16">
    <w:abstractNumId w:val="9"/>
  </w:num>
  <w:num w:numId="17">
    <w:abstractNumId w:val="13"/>
  </w:num>
  <w:num w:numId="18">
    <w:abstractNumId w:val="24"/>
  </w:num>
  <w:num w:numId="19">
    <w:abstractNumId w:val="3"/>
  </w:num>
  <w:num w:numId="20">
    <w:abstractNumId w:val="2"/>
  </w:num>
  <w:num w:numId="21">
    <w:abstractNumId w:val="4"/>
  </w:num>
  <w:num w:numId="22">
    <w:abstractNumId w:val="10"/>
  </w:num>
  <w:num w:numId="23">
    <w:abstractNumId w:val="19"/>
  </w:num>
  <w:num w:numId="24">
    <w:abstractNumId w:val="23"/>
  </w:num>
  <w:num w:numId="2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1024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0294E"/>
    <w:rsid w:val="000032EF"/>
    <w:rsid w:val="00006818"/>
    <w:rsid w:val="0000700E"/>
    <w:rsid w:val="00010C17"/>
    <w:rsid w:val="00012139"/>
    <w:rsid w:val="00013360"/>
    <w:rsid w:val="00014416"/>
    <w:rsid w:val="00016759"/>
    <w:rsid w:val="00016BCA"/>
    <w:rsid w:val="000216CE"/>
    <w:rsid w:val="00022020"/>
    <w:rsid w:val="00022117"/>
    <w:rsid w:val="00022640"/>
    <w:rsid w:val="00023680"/>
    <w:rsid w:val="00025DC7"/>
    <w:rsid w:val="00036ED4"/>
    <w:rsid w:val="000379AF"/>
    <w:rsid w:val="0004181E"/>
    <w:rsid w:val="00043E40"/>
    <w:rsid w:val="00044ECC"/>
    <w:rsid w:val="00046023"/>
    <w:rsid w:val="0004619F"/>
    <w:rsid w:val="00047F75"/>
    <w:rsid w:val="00050885"/>
    <w:rsid w:val="000531D3"/>
    <w:rsid w:val="000545E8"/>
    <w:rsid w:val="0005646B"/>
    <w:rsid w:val="00057CEA"/>
    <w:rsid w:val="000654D1"/>
    <w:rsid w:val="00072E9B"/>
    <w:rsid w:val="000742EB"/>
    <w:rsid w:val="00076EB3"/>
    <w:rsid w:val="00077A04"/>
    <w:rsid w:val="0008102D"/>
    <w:rsid w:val="00091A80"/>
    <w:rsid w:val="000922DF"/>
    <w:rsid w:val="00092D0B"/>
    <w:rsid w:val="00094AD8"/>
    <w:rsid w:val="00094C0E"/>
    <w:rsid w:val="000A0D41"/>
    <w:rsid w:val="000A6568"/>
    <w:rsid w:val="000A6820"/>
    <w:rsid w:val="000B0AE7"/>
    <w:rsid w:val="000B0DB6"/>
    <w:rsid w:val="000B2903"/>
    <w:rsid w:val="000B46E6"/>
    <w:rsid w:val="000B6B85"/>
    <w:rsid w:val="000B6D0E"/>
    <w:rsid w:val="000B7221"/>
    <w:rsid w:val="000C02CD"/>
    <w:rsid w:val="000C0599"/>
    <w:rsid w:val="000D131F"/>
    <w:rsid w:val="000E299F"/>
    <w:rsid w:val="000F03F8"/>
    <w:rsid w:val="000F0C22"/>
    <w:rsid w:val="000F6B09"/>
    <w:rsid w:val="000F6FDC"/>
    <w:rsid w:val="00100E74"/>
    <w:rsid w:val="001037CB"/>
    <w:rsid w:val="00103E81"/>
    <w:rsid w:val="00104567"/>
    <w:rsid w:val="00104916"/>
    <w:rsid w:val="00104AA7"/>
    <w:rsid w:val="001068AA"/>
    <w:rsid w:val="00107DCA"/>
    <w:rsid w:val="00120B41"/>
    <w:rsid w:val="00123189"/>
    <w:rsid w:val="0012630A"/>
    <w:rsid w:val="0012732D"/>
    <w:rsid w:val="001339D6"/>
    <w:rsid w:val="001342E6"/>
    <w:rsid w:val="00134796"/>
    <w:rsid w:val="00135533"/>
    <w:rsid w:val="00143F25"/>
    <w:rsid w:val="00144469"/>
    <w:rsid w:val="00144921"/>
    <w:rsid w:val="00152682"/>
    <w:rsid w:val="00154302"/>
    <w:rsid w:val="00154FC9"/>
    <w:rsid w:val="00164271"/>
    <w:rsid w:val="00164D28"/>
    <w:rsid w:val="001715D3"/>
    <w:rsid w:val="001835EE"/>
    <w:rsid w:val="0018393E"/>
    <w:rsid w:val="00183E97"/>
    <w:rsid w:val="00186BC0"/>
    <w:rsid w:val="00186EB5"/>
    <w:rsid w:val="0019241A"/>
    <w:rsid w:val="00193649"/>
    <w:rsid w:val="0019515A"/>
    <w:rsid w:val="001964AE"/>
    <w:rsid w:val="00196E76"/>
    <w:rsid w:val="001A3200"/>
    <w:rsid w:val="001A4330"/>
    <w:rsid w:val="001A71AD"/>
    <w:rsid w:val="001A752D"/>
    <w:rsid w:val="001A757E"/>
    <w:rsid w:val="001B121F"/>
    <w:rsid w:val="001B1586"/>
    <w:rsid w:val="001B5032"/>
    <w:rsid w:val="001B575C"/>
    <w:rsid w:val="001C1F3D"/>
    <w:rsid w:val="001C34E6"/>
    <w:rsid w:val="001C35B7"/>
    <w:rsid w:val="001C6AF2"/>
    <w:rsid w:val="001C6EEE"/>
    <w:rsid w:val="001C7BEB"/>
    <w:rsid w:val="001D2C54"/>
    <w:rsid w:val="001D5957"/>
    <w:rsid w:val="001D5F5F"/>
    <w:rsid w:val="001E0341"/>
    <w:rsid w:val="001E364F"/>
    <w:rsid w:val="001E64DE"/>
    <w:rsid w:val="001E74A3"/>
    <w:rsid w:val="001F0232"/>
    <w:rsid w:val="001F0729"/>
    <w:rsid w:val="001F11CD"/>
    <w:rsid w:val="001F5761"/>
    <w:rsid w:val="001F5C62"/>
    <w:rsid w:val="001F7B14"/>
    <w:rsid w:val="00200EEA"/>
    <w:rsid w:val="00202DAD"/>
    <w:rsid w:val="00203AA1"/>
    <w:rsid w:val="00203D21"/>
    <w:rsid w:val="00205AEA"/>
    <w:rsid w:val="00213036"/>
    <w:rsid w:val="00213E98"/>
    <w:rsid w:val="0022002B"/>
    <w:rsid w:val="0022230E"/>
    <w:rsid w:val="00226E1A"/>
    <w:rsid w:val="0022761C"/>
    <w:rsid w:val="002323F9"/>
    <w:rsid w:val="00232448"/>
    <w:rsid w:val="0023338D"/>
    <w:rsid w:val="00234AD2"/>
    <w:rsid w:val="00245A8A"/>
    <w:rsid w:val="00252C43"/>
    <w:rsid w:val="00255199"/>
    <w:rsid w:val="00262B27"/>
    <w:rsid w:val="00262FE6"/>
    <w:rsid w:val="00264DF2"/>
    <w:rsid w:val="00265D38"/>
    <w:rsid w:val="0026638A"/>
    <w:rsid w:val="00270B7D"/>
    <w:rsid w:val="00273420"/>
    <w:rsid w:val="00273CFB"/>
    <w:rsid w:val="00273F0E"/>
    <w:rsid w:val="00277249"/>
    <w:rsid w:val="002810E4"/>
    <w:rsid w:val="00282626"/>
    <w:rsid w:val="002828EB"/>
    <w:rsid w:val="0028353E"/>
    <w:rsid w:val="0028360B"/>
    <w:rsid w:val="00285DBF"/>
    <w:rsid w:val="0029163B"/>
    <w:rsid w:val="00296E12"/>
    <w:rsid w:val="00296E32"/>
    <w:rsid w:val="002A4031"/>
    <w:rsid w:val="002A441A"/>
    <w:rsid w:val="002B16C8"/>
    <w:rsid w:val="002B218E"/>
    <w:rsid w:val="002B5D9D"/>
    <w:rsid w:val="002B6292"/>
    <w:rsid w:val="002B683D"/>
    <w:rsid w:val="002C28E7"/>
    <w:rsid w:val="002C351E"/>
    <w:rsid w:val="002C3A1A"/>
    <w:rsid w:val="002C738F"/>
    <w:rsid w:val="002D1655"/>
    <w:rsid w:val="002D4268"/>
    <w:rsid w:val="002D623B"/>
    <w:rsid w:val="002E0A73"/>
    <w:rsid w:val="002E5FD1"/>
    <w:rsid w:val="002F294B"/>
    <w:rsid w:val="002F37D9"/>
    <w:rsid w:val="002F460C"/>
    <w:rsid w:val="002F48D6"/>
    <w:rsid w:val="00303338"/>
    <w:rsid w:val="00303FE6"/>
    <w:rsid w:val="00304759"/>
    <w:rsid w:val="0030551C"/>
    <w:rsid w:val="00305839"/>
    <w:rsid w:val="0030695B"/>
    <w:rsid w:val="00307748"/>
    <w:rsid w:val="00307A61"/>
    <w:rsid w:val="00307B58"/>
    <w:rsid w:val="00315DE2"/>
    <w:rsid w:val="00317391"/>
    <w:rsid w:val="00326216"/>
    <w:rsid w:val="00330A24"/>
    <w:rsid w:val="0033247A"/>
    <w:rsid w:val="00333F32"/>
    <w:rsid w:val="00336362"/>
    <w:rsid w:val="00336580"/>
    <w:rsid w:val="00341F32"/>
    <w:rsid w:val="00343448"/>
    <w:rsid w:val="003446DD"/>
    <w:rsid w:val="0034490C"/>
    <w:rsid w:val="003503B7"/>
    <w:rsid w:val="003508B7"/>
    <w:rsid w:val="00351F01"/>
    <w:rsid w:val="00354899"/>
    <w:rsid w:val="00355BB1"/>
    <w:rsid w:val="00355FD6"/>
    <w:rsid w:val="00356260"/>
    <w:rsid w:val="00360F26"/>
    <w:rsid w:val="00361FB0"/>
    <w:rsid w:val="00363254"/>
    <w:rsid w:val="0036436B"/>
    <w:rsid w:val="00364A5C"/>
    <w:rsid w:val="00372F0E"/>
    <w:rsid w:val="00373FB1"/>
    <w:rsid w:val="003764E3"/>
    <w:rsid w:val="0038107F"/>
    <w:rsid w:val="00381319"/>
    <w:rsid w:val="00381D83"/>
    <w:rsid w:val="00385E2B"/>
    <w:rsid w:val="00391677"/>
    <w:rsid w:val="00395BCD"/>
    <w:rsid w:val="00395BF0"/>
    <w:rsid w:val="00396C76"/>
    <w:rsid w:val="003A1CC2"/>
    <w:rsid w:val="003A4F93"/>
    <w:rsid w:val="003A61B9"/>
    <w:rsid w:val="003A65A6"/>
    <w:rsid w:val="003B1CB4"/>
    <w:rsid w:val="003B227C"/>
    <w:rsid w:val="003B2975"/>
    <w:rsid w:val="003B30D8"/>
    <w:rsid w:val="003B500D"/>
    <w:rsid w:val="003B61E5"/>
    <w:rsid w:val="003B6362"/>
    <w:rsid w:val="003B76BD"/>
    <w:rsid w:val="003B7EF2"/>
    <w:rsid w:val="003C101A"/>
    <w:rsid w:val="003C273F"/>
    <w:rsid w:val="003C3D73"/>
    <w:rsid w:val="003C3FA4"/>
    <w:rsid w:val="003C6842"/>
    <w:rsid w:val="003C6D9A"/>
    <w:rsid w:val="003D1C00"/>
    <w:rsid w:val="003D654B"/>
    <w:rsid w:val="003D6DD0"/>
    <w:rsid w:val="003D7639"/>
    <w:rsid w:val="003E2446"/>
    <w:rsid w:val="003F2B0C"/>
    <w:rsid w:val="003F587C"/>
    <w:rsid w:val="0040098B"/>
    <w:rsid w:val="0040381D"/>
    <w:rsid w:val="00406439"/>
    <w:rsid w:val="0042054A"/>
    <w:rsid w:val="004221E4"/>
    <w:rsid w:val="004273F8"/>
    <w:rsid w:val="00431C31"/>
    <w:rsid w:val="00432B9A"/>
    <w:rsid w:val="004334B2"/>
    <w:rsid w:val="00434720"/>
    <w:rsid w:val="004355A3"/>
    <w:rsid w:val="00445396"/>
    <w:rsid w:val="00446546"/>
    <w:rsid w:val="00447270"/>
    <w:rsid w:val="00452769"/>
    <w:rsid w:val="00452FA3"/>
    <w:rsid w:val="004531EE"/>
    <w:rsid w:val="00454EB7"/>
    <w:rsid w:val="004551DE"/>
    <w:rsid w:val="00455BF8"/>
    <w:rsid w:val="00465550"/>
    <w:rsid w:val="00470E8F"/>
    <w:rsid w:val="00473E49"/>
    <w:rsid w:val="00495CF1"/>
    <w:rsid w:val="00496C5F"/>
    <w:rsid w:val="00497B5A"/>
    <w:rsid w:val="004A0554"/>
    <w:rsid w:val="004A28EE"/>
    <w:rsid w:val="004A36F6"/>
    <w:rsid w:val="004A68CE"/>
    <w:rsid w:val="004B0D50"/>
    <w:rsid w:val="004B1CCB"/>
    <w:rsid w:val="004B3D56"/>
    <w:rsid w:val="004B50CF"/>
    <w:rsid w:val="004B632F"/>
    <w:rsid w:val="004C04D5"/>
    <w:rsid w:val="004D003B"/>
    <w:rsid w:val="004D03C5"/>
    <w:rsid w:val="004D08A0"/>
    <w:rsid w:val="004D3FB1"/>
    <w:rsid w:val="004D5B5D"/>
    <w:rsid w:val="004D6F21"/>
    <w:rsid w:val="004D73A5"/>
    <w:rsid w:val="004D75A9"/>
    <w:rsid w:val="004E1778"/>
    <w:rsid w:val="004E3285"/>
    <w:rsid w:val="00501370"/>
    <w:rsid w:val="005066DB"/>
    <w:rsid w:val="0051119E"/>
    <w:rsid w:val="00512488"/>
    <w:rsid w:val="0051309F"/>
    <w:rsid w:val="005160F1"/>
    <w:rsid w:val="005242B3"/>
    <w:rsid w:val="00524F2F"/>
    <w:rsid w:val="00527E5C"/>
    <w:rsid w:val="005320BE"/>
    <w:rsid w:val="00532CF5"/>
    <w:rsid w:val="005344AA"/>
    <w:rsid w:val="00534545"/>
    <w:rsid w:val="00550021"/>
    <w:rsid w:val="005515A3"/>
    <w:rsid w:val="005528CB"/>
    <w:rsid w:val="00553F9A"/>
    <w:rsid w:val="005571E0"/>
    <w:rsid w:val="0056039C"/>
    <w:rsid w:val="00561003"/>
    <w:rsid w:val="00566771"/>
    <w:rsid w:val="00567343"/>
    <w:rsid w:val="00567D11"/>
    <w:rsid w:val="0057079C"/>
    <w:rsid w:val="00581E2E"/>
    <w:rsid w:val="00584F15"/>
    <w:rsid w:val="005867BE"/>
    <w:rsid w:val="00592940"/>
    <w:rsid w:val="0059514B"/>
    <w:rsid w:val="005A345F"/>
    <w:rsid w:val="005A73C0"/>
    <w:rsid w:val="005B0F4A"/>
    <w:rsid w:val="005B16D0"/>
    <w:rsid w:val="005B5158"/>
    <w:rsid w:val="005B5746"/>
    <w:rsid w:val="005B5D9B"/>
    <w:rsid w:val="005C1A8E"/>
    <w:rsid w:val="005C286C"/>
    <w:rsid w:val="005C33C5"/>
    <w:rsid w:val="005C3570"/>
    <w:rsid w:val="005C54F9"/>
    <w:rsid w:val="005E2823"/>
    <w:rsid w:val="005E7FB5"/>
    <w:rsid w:val="005F0626"/>
    <w:rsid w:val="005F2F36"/>
    <w:rsid w:val="005F5DBC"/>
    <w:rsid w:val="00600843"/>
    <w:rsid w:val="00604136"/>
    <w:rsid w:val="00604312"/>
    <w:rsid w:val="006058A7"/>
    <w:rsid w:val="006111E0"/>
    <w:rsid w:val="0061269E"/>
    <w:rsid w:val="00613EAC"/>
    <w:rsid w:val="006163F7"/>
    <w:rsid w:val="00620D48"/>
    <w:rsid w:val="00620EB7"/>
    <w:rsid w:val="00625C5C"/>
    <w:rsid w:val="00627489"/>
    <w:rsid w:val="00627C63"/>
    <w:rsid w:val="00630C22"/>
    <w:rsid w:val="00631C98"/>
    <w:rsid w:val="00631D4D"/>
    <w:rsid w:val="00632691"/>
    <w:rsid w:val="00636211"/>
    <w:rsid w:val="006425C8"/>
    <w:rsid w:val="0064541C"/>
    <w:rsid w:val="0064583F"/>
    <w:rsid w:val="00646C12"/>
    <w:rsid w:val="0065103E"/>
    <w:rsid w:val="00652606"/>
    <w:rsid w:val="00654938"/>
    <w:rsid w:val="00657743"/>
    <w:rsid w:val="00660433"/>
    <w:rsid w:val="00660CCF"/>
    <w:rsid w:val="00661673"/>
    <w:rsid w:val="006640BE"/>
    <w:rsid w:val="00664CC7"/>
    <w:rsid w:val="00665D97"/>
    <w:rsid w:val="0067096B"/>
    <w:rsid w:val="00671EE6"/>
    <w:rsid w:val="006747F1"/>
    <w:rsid w:val="00675A5F"/>
    <w:rsid w:val="00680C3B"/>
    <w:rsid w:val="006818A0"/>
    <w:rsid w:val="0069230E"/>
    <w:rsid w:val="006940A3"/>
    <w:rsid w:val="006946EE"/>
    <w:rsid w:val="00697563"/>
    <w:rsid w:val="006A0A3C"/>
    <w:rsid w:val="006A2A40"/>
    <w:rsid w:val="006A405A"/>
    <w:rsid w:val="006A58A9"/>
    <w:rsid w:val="006A606D"/>
    <w:rsid w:val="006B41F5"/>
    <w:rsid w:val="006B7BDA"/>
    <w:rsid w:val="006C018E"/>
    <w:rsid w:val="006C0371"/>
    <w:rsid w:val="006C08B6"/>
    <w:rsid w:val="006C0B1A"/>
    <w:rsid w:val="006C2523"/>
    <w:rsid w:val="006C6065"/>
    <w:rsid w:val="006C7AC6"/>
    <w:rsid w:val="006C7F9F"/>
    <w:rsid w:val="006D4533"/>
    <w:rsid w:val="006D799E"/>
    <w:rsid w:val="006E0554"/>
    <w:rsid w:val="006E2F6D"/>
    <w:rsid w:val="006E58F6"/>
    <w:rsid w:val="006E77E1"/>
    <w:rsid w:val="006F131D"/>
    <w:rsid w:val="006F1E29"/>
    <w:rsid w:val="006F72A3"/>
    <w:rsid w:val="00701EDC"/>
    <w:rsid w:val="007021CC"/>
    <w:rsid w:val="00702652"/>
    <w:rsid w:val="007069C2"/>
    <w:rsid w:val="00711642"/>
    <w:rsid w:val="00711A40"/>
    <w:rsid w:val="00721355"/>
    <w:rsid w:val="007256C8"/>
    <w:rsid w:val="00726004"/>
    <w:rsid w:val="00727180"/>
    <w:rsid w:val="00732052"/>
    <w:rsid w:val="00734BAE"/>
    <w:rsid w:val="00735163"/>
    <w:rsid w:val="0073640B"/>
    <w:rsid w:val="00736446"/>
    <w:rsid w:val="00740C8F"/>
    <w:rsid w:val="00742D2B"/>
    <w:rsid w:val="00743028"/>
    <w:rsid w:val="00743690"/>
    <w:rsid w:val="00747DFB"/>
    <w:rsid w:val="007507C6"/>
    <w:rsid w:val="00751E0B"/>
    <w:rsid w:val="00752BCD"/>
    <w:rsid w:val="00755275"/>
    <w:rsid w:val="00755D25"/>
    <w:rsid w:val="00757B32"/>
    <w:rsid w:val="00766DA1"/>
    <w:rsid w:val="00772A23"/>
    <w:rsid w:val="00777E7F"/>
    <w:rsid w:val="00782CEA"/>
    <w:rsid w:val="00784A10"/>
    <w:rsid w:val="007866A6"/>
    <w:rsid w:val="00786E48"/>
    <w:rsid w:val="00787BC9"/>
    <w:rsid w:val="00793458"/>
    <w:rsid w:val="007945D1"/>
    <w:rsid w:val="007A0990"/>
    <w:rsid w:val="007A130D"/>
    <w:rsid w:val="007A369D"/>
    <w:rsid w:val="007A49F7"/>
    <w:rsid w:val="007C4780"/>
    <w:rsid w:val="007C6236"/>
    <w:rsid w:val="007C69C2"/>
    <w:rsid w:val="007C6A10"/>
    <w:rsid w:val="007C7FCE"/>
    <w:rsid w:val="007D0244"/>
    <w:rsid w:val="007D1A2D"/>
    <w:rsid w:val="007D30E0"/>
    <w:rsid w:val="007D4102"/>
    <w:rsid w:val="007D642D"/>
    <w:rsid w:val="007E0371"/>
    <w:rsid w:val="007E55FC"/>
    <w:rsid w:val="007F1280"/>
    <w:rsid w:val="007F19D3"/>
    <w:rsid w:val="007F43B7"/>
    <w:rsid w:val="0080720B"/>
    <w:rsid w:val="008107E0"/>
    <w:rsid w:val="00816911"/>
    <w:rsid w:val="00821FFC"/>
    <w:rsid w:val="00826FD6"/>
    <w:rsid w:val="00827021"/>
    <w:rsid w:val="008271CA"/>
    <w:rsid w:val="008277B9"/>
    <w:rsid w:val="00830524"/>
    <w:rsid w:val="00831F2C"/>
    <w:rsid w:val="008365E7"/>
    <w:rsid w:val="00842F74"/>
    <w:rsid w:val="00843F79"/>
    <w:rsid w:val="008467D5"/>
    <w:rsid w:val="00850557"/>
    <w:rsid w:val="00855EB8"/>
    <w:rsid w:val="00865190"/>
    <w:rsid w:val="00870A42"/>
    <w:rsid w:val="00872195"/>
    <w:rsid w:val="00874FAE"/>
    <w:rsid w:val="008755B6"/>
    <w:rsid w:val="008826F3"/>
    <w:rsid w:val="00885A80"/>
    <w:rsid w:val="00887961"/>
    <w:rsid w:val="008911EE"/>
    <w:rsid w:val="00892296"/>
    <w:rsid w:val="008A096D"/>
    <w:rsid w:val="008A0E5A"/>
    <w:rsid w:val="008A33CD"/>
    <w:rsid w:val="008A3FEE"/>
    <w:rsid w:val="008A4DC4"/>
    <w:rsid w:val="008A52AF"/>
    <w:rsid w:val="008A562B"/>
    <w:rsid w:val="008A6CC9"/>
    <w:rsid w:val="008B0830"/>
    <w:rsid w:val="008B1AC0"/>
    <w:rsid w:val="008B1C9B"/>
    <w:rsid w:val="008B324B"/>
    <w:rsid w:val="008B438C"/>
    <w:rsid w:val="008B56ED"/>
    <w:rsid w:val="008B7B2C"/>
    <w:rsid w:val="008C0337"/>
    <w:rsid w:val="008C0DAB"/>
    <w:rsid w:val="008C2C61"/>
    <w:rsid w:val="008C5384"/>
    <w:rsid w:val="008C5F5A"/>
    <w:rsid w:val="008D3A46"/>
    <w:rsid w:val="008D54E7"/>
    <w:rsid w:val="008D6A7B"/>
    <w:rsid w:val="008E1BC4"/>
    <w:rsid w:val="008E3BB9"/>
    <w:rsid w:val="008E405E"/>
    <w:rsid w:val="008E5A7E"/>
    <w:rsid w:val="008F1047"/>
    <w:rsid w:val="008F2CF0"/>
    <w:rsid w:val="008F4678"/>
    <w:rsid w:val="009029F2"/>
    <w:rsid w:val="00903F22"/>
    <w:rsid w:val="00904F6F"/>
    <w:rsid w:val="009067A4"/>
    <w:rsid w:val="009107E7"/>
    <w:rsid w:val="00910E8E"/>
    <w:rsid w:val="009117B9"/>
    <w:rsid w:val="00912164"/>
    <w:rsid w:val="00923E7C"/>
    <w:rsid w:val="00924B3C"/>
    <w:rsid w:val="00925931"/>
    <w:rsid w:val="00925AF7"/>
    <w:rsid w:val="009262A2"/>
    <w:rsid w:val="009265A2"/>
    <w:rsid w:val="0092797F"/>
    <w:rsid w:val="009301CD"/>
    <w:rsid w:val="00930808"/>
    <w:rsid w:val="00933CFC"/>
    <w:rsid w:val="00933D68"/>
    <w:rsid w:val="009340DB"/>
    <w:rsid w:val="00934B9B"/>
    <w:rsid w:val="00934E93"/>
    <w:rsid w:val="009375E5"/>
    <w:rsid w:val="00940A7A"/>
    <w:rsid w:val="00945D16"/>
    <w:rsid w:val="0094618C"/>
    <w:rsid w:val="00946F40"/>
    <w:rsid w:val="00952EE8"/>
    <w:rsid w:val="0095684B"/>
    <w:rsid w:val="00965595"/>
    <w:rsid w:val="0097011D"/>
    <w:rsid w:val="0097121C"/>
    <w:rsid w:val="00972498"/>
    <w:rsid w:val="0097481F"/>
    <w:rsid w:val="00974CC6"/>
    <w:rsid w:val="00976AD4"/>
    <w:rsid w:val="00980AC7"/>
    <w:rsid w:val="00982530"/>
    <w:rsid w:val="0098274C"/>
    <w:rsid w:val="00995547"/>
    <w:rsid w:val="00997DBD"/>
    <w:rsid w:val="009A312F"/>
    <w:rsid w:val="009A4820"/>
    <w:rsid w:val="009A5348"/>
    <w:rsid w:val="009B0AB7"/>
    <w:rsid w:val="009B1565"/>
    <w:rsid w:val="009C1FBB"/>
    <w:rsid w:val="009C337A"/>
    <w:rsid w:val="009C3C38"/>
    <w:rsid w:val="009C41F8"/>
    <w:rsid w:val="009C5D76"/>
    <w:rsid w:val="009C76D5"/>
    <w:rsid w:val="009D33A5"/>
    <w:rsid w:val="009D5404"/>
    <w:rsid w:val="009D5507"/>
    <w:rsid w:val="009E0576"/>
    <w:rsid w:val="009E4667"/>
    <w:rsid w:val="009E4B37"/>
    <w:rsid w:val="009E6C2D"/>
    <w:rsid w:val="009F02B6"/>
    <w:rsid w:val="009F0AE9"/>
    <w:rsid w:val="009F4F98"/>
    <w:rsid w:val="009F7AA4"/>
    <w:rsid w:val="00A0530B"/>
    <w:rsid w:val="00A10AD7"/>
    <w:rsid w:val="00A10FEE"/>
    <w:rsid w:val="00A15740"/>
    <w:rsid w:val="00A23BF8"/>
    <w:rsid w:val="00A23C78"/>
    <w:rsid w:val="00A24F2F"/>
    <w:rsid w:val="00A25C78"/>
    <w:rsid w:val="00A27951"/>
    <w:rsid w:val="00A31547"/>
    <w:rsid w:val="00A34157"/>
    <w:rsid w:val="00A342C4"/>
    <w:rsid w:val="00A34C92"/>
    <w:rsid w:val="00A36265"/>
    <w:rsid w:val="00A37A3E"/>
    <w:rsid w:val="00A37F76"/>
    <w:rsid w:val="00A4019C"/>
    <w:rsid w:val="00A40EA2"/>
    <w:rsid w:val="00A4225B"/>
    <w:rsid w:val="00A44A15"/>
    <w:rsid w:val="00A50DB5"/>
    <w:rsid w:val="00A559DB"/>
    <w:rsid w:val="00A57643"/>
    <w:rsid w:val="00A647C7"/>
    <w:rsid w:val="00A665AE"/>
    <w:rsid w:val="00A73797"/>
    <w:rsid w:val="00A74CD6"/>
    <w:rsid w:val="00A76483"/>
    <w:rsid w:val="00A8268D"/>
    <w:rsid w:val="00A93CF7"/>
    <w:rsid w:val="00AA4A49"/>
    <w:rsid w:val="00AB087A"/>
    <w:rsid w:val="00AB42B2"/>
    <w:rsid w:val="00AB5DFB"/>
    <w:rsid w:val="00AC20F2"/>
    <w:rsid w:val="00AC577A"/>
    <w:rsid w:val="00AC6616"/>
    <w:rsid w:val="00AD20BA"/>
    <w:rsid w:val="00AD2EF1"/>
    <w:rsid w:val="00AD5158"/>
    <w:rsid w:val="00AD5294"/>
    <w:rsid w:val="00AD681F"/>
    <w:rsid w:val="00AD7129"/>
    <w:rsid w:val="00AE229C"/>
    <w:rsid w:val="00AE7A8D"/>
    <w:rsid w:val="00AF10A8"/>
    <w:rsid w:val="00AF35FC"/>
    <w:rsid w:val="00AF436D"/>
    <w:rsid w:val="00AF5556"/>
    <w:rsid w:val="00B018DF"/>
    <w:rsid w:val="00B03639"/>
    <w:rsid w:val="00B0652A"/>
    <w:rsid w:val="00B121C8"/>
    <w:rsid w:val="00B13C3F"/>
    <w:rsid w:val="00B15B6A"/>
    <w:rsid w:val="00B15F3B"/>
    <w:rsid w:val="00B17169"/>
    <w:rsid w:val="00B20721"/>
    <w:rsid w:val="00B20EE6"/>
    <w:rsid w:val="00B25DF0"/>
    <w:rsid w:val="00B27AF3"/>
    <w:rsid w:val="00B34ABD"/>
    <w:rsid w:val="00B351D6"/>
    <w:rsid w:val="00B35927"/>
    <w:rsid w:val="00B40937"/>
    <w:rsid w:val="00B423EF"/>
    <w:rsid w:val="00B438B3"/>
    <w:rsid w:val="00B453DE"/>
    <w:rsid w:val="00B476B3"/>
    <w:rsid w:val="00B47AD7"/>
    <w:rsid w:val="00B57348"/>
    <w:rsid w:val="00B63969"/>
    <w:rsid w:val="00B63FF5"/>
    <w:rsid w:val="00B64537"/>
    <w:rsid w:val="00B64662"/>
    <w:rsid w:val="00B657B0"/>
    <w:rsid w:val="00B70E21"/>
    <w:rsid w:val="00B71010"/>
    <w:rsid w:val="00B754A1"/>
    <w:rsid w:val="00B75C83"/>
    <w:rsid w:val="00B8314C"/>
    <w:rsid w:val="00B86613"/>
    <w:rsid w:val="00B901F9"/>
    <w:rsid w:val="00B93E4C"/>
    <w:rsid w:val="00B959A2"/>
    <w:rsid w:val="00B964C8"/>
    <w:rsid w:val="00BA4CCC"/>
    <w:rsid w:val="00BB0DE4"/>
    <w:rsid w:val="00BB20E2"/>
    <w:rsid w:val="00BB2BFB"/>
    <w:rsid w:val="00BB483D"/>
    <w:rsid w:val="00BC195E"/>
    <w:rsid w:val="00BC24F7"/>
    <w:rsid w:val="00BC4145"/>
    <w:rsid w:val="00BC47C5"/>
    <w:rsid w:val="00BC6B8B"/>
    <w:rsid w:val="00BD2DED"/>
    <w:rsid w:val="00BD325F"/>
    <w:rsid w:val="00BD5BE3"/>
    <w:rsid w:val="00BD5C21"/>
    <w:rsid w:val="00BD6EFB"/>
    <w:rsid w:val="00BE0ABD"/>
    <w:rsid w:val="00BE13EF"/>
    <w:rsid w:val="00BE222A"/>
    <w:rsid w:val="00BF021F"/>
    <w:rsid w:val="00BF14B8"/>
    <w:rsid w:val="00BF1FB4"/>
    <w:rsid w:val="00C02515"/>
    <w:rsid w:val="00C02657"/>
    <w:rsid w:val="00C02FFC"/>
    <w:rsid w:val="00C054D7"/>
    <w:rsid w:val="00C1214D"/>
    <w:rsid w:val="00C14E54"/>
    <w:rsid w:val="00C15770"/>
    <w:rsid w:val="00C1584D"/>
    <w:rsid w:val="00C15BE2"/>
    <w:rsid w:val="00C17DAF"/>
    <w:rsid w:val="00C20100"/>
    <w:rsid w:val="00C225BF"/>
    <w:rsid w:val="00C24435"/>
    <w:rsid w:val="00C30807"/>
    <w:rsid w:val="00C30C65"/>
    <w:rsid w:val="00C340F3"/>
    <w:rsid w:val="00C3447F"/>
    <w:rsid w:val="00C35A58"/>
    <w:rsid w:val="00C3756E"/>
    <w:rsid w:val="00C413D4"/>
    <w:rsid w:val="00C42434"/>
    <w:rsid w:val="00C47358"/>
    <w:rsid w:val="00C47F68"/>
    <w:rsid w:val="00C50943"/>
    <w:rsid w:val="00C5195A"/>
    <w:rsid w:val="00C63D42"/>
    <w:rsid w:val="00C670B6"/>
    <w:rsid w:val="00C73574"/>
    <w:rsid w:val="00C7707C"/>
    <w:rsid w:val="00C81491"/>
    <w:rsid w:val="00C81676"/>
    <w:rsid w:val="00C83673"/>
    <w:rsid w:val="00C85C5D"/>
    <w:rsid w:val="00C86DBF"/>
    <w:rsid w:val="00C87FA9"/>
    <w:rsid w:val="00C92CC4"/>
    <w:rsid w:val="00C93859"/>
    <w:rsid w:val="00C954C1"/>
    <w:rsid w:val="00C96200"/>
    <w:rsid w:val="00C9682D"/>
    <w:rsid w:val="00CA0AFB"/>
    <w:rsid w:val="00CA1322"/>
    <w:rsid w:val="00CA2CE1"/>
    <w:rsid w:val="00CA3976"/>
    <w:rsid w:val="00CA50E3"/>
    <w:rsid w:val="00CA53BF"/>
    <w:rsid w:val="00CA757B"/>
    <w:rsid w:val="00CB6F66"/>
    <w:rsid w:val="00CC09A4"/>
    <w:rsid w:val="00CC1787"/>
    <w:rsid w:val="00CC182C"/>
    <w:rsid w:val="00CC3191"/>
    <w:rsid w:val="00CC42DE"/>
    <w:rsid w:val="00CC6083"/>
    <w:rsid w:val="00CC6847"/>
    <w:rsid w:val="00CC734D"/>
    <w:rsid w:val="00CD01C5"/>
    <w:rsid w:val="00CD0824"/>
    <w:rsid w:val="00CD11A7"/>
    <w:rsid w:val="00CD1522"/>
    <w:rsid w:val="00CD2908"/>
    <w:rsid w:val="00CD5197"/>
    <w:rsid w:val="00CE52DE"/>
    <w:rsid w:val="00CE6DD1"/>
    <w:rsid w:val="00CF116B"/>
    <w:rsid w:val="00CF664B"/>
    <w:rsid w:val="00D03A82"/>
    <w:rsid w:val="00D06F1D"/>
    <w:rsid w:val="00D07889"/>
    <w:rsid w:val="00D13667"/>
    <w:rsid w:val="00D13DEF"/>
    <w:rsid w:val="00D15344"/>
    <w:rsid w:val="00D161B2"/>
    <w:rsid w:val="00D16B84"/>
    <w:rsid w:val="00D23079"/>
    <w:rsid w:val="00D25EF1"/>
    <w:rsid w:val="00D270BB"/>
    <w:rsid w:val="00D31BEC"/>
    <w:rsid w:val="00D3335D"/>
    <w:rsid w:val="00D33EB8"/>
    <w:rsid w:val="00D365D9"/>
    <w:rsid w:val="00D42C37"/>
    <w:rsid w:val="00D46635"/>
    <w:rsid w:val="00D4692D"/>
    <w:rsid w:val="00D506A2"/>
    <w:rsid w:val="00D50AE2"/>
    <w:rsid w:val="00D529A2"/>
    <w:rsid w:val="00D62B5B"/>
    <w:rsid w:val="00D63150"/>
    <w:rsid w:val="00D636BA"/>
    <w:rsid w:val="00D642AF"/>
    <w:rsid w:val="00D6463D"/>
    <w:rsid w:val="00D64A32"/>
    <w:rsid w:val="00D64EFC"/>
    <w:rsid w:val="00D6640C"/>
    <w:rsid w:val="00D67601"/>
    <w:rsid w:val="00D71C95"/>
    <w:rsid w:val="00D72925"/>
    <w:rsid w:val="00D72CCB"/>
    <w:rsid w:val="00D7431B"/>
    <w:rsid w:val="00D75295"/>
    <w:rsid w:val="00D76CE9"/>
    <w:rsid w:val="00D77579"/>
    <w:rsid w:val="00D812DE"/>
    <w:rsid w:val="00D915C9"/>
    <w:rsid w:val="00D92389"/>
    <w:rsid w:val="00D97F12"/>
    <w:rsid w:val="00DA453A"/>
    <w:rsid w:val="00DA6095"/>
    <w:rsid w:val="00DA6486"/>
    <w:rsid w:val="00DA6D8D"/>
    <w:rsid w:val="00DB42E7"/>
    <w:rsid w:val="00DC21AA"/>
    <w:rsid w:val="00DC701F"/>
    <w:rsid w:val="00DC79EA"/>
    <w:rsid w:val="00DD03AB"/>
    <w:rsid w:val="00DD247A"/>
    <w:rsid w:val="00DD2B54"/>
    <w:rsid w:val="00DD59BF"/>
    <w:rsid w:val="00DD7FB9"/>
    <w:rsid w:val="00DE01A6"/>
    <w:rsid w:val="00DE0593"/>
    <w:rsid w:val="00DE07E2"/>
    <w:rsid w:val="00DE1B74"/>
    <w:rsid w:val="00DE2ED7"/>
    <w:rsid w:val="00DE7A98"/>
    <w:rsid w:val="00DF1032"/>
    <w:rsid w:val="00DF32C2"/>
    <w:rsid w:val="00DF4028"/>
    <w:rsid w:val="00DF675E"/>
    <w:rsid w:val="00E00B0F"/>
    <w:rsid w:val="00E12FB3"/>
    <w:rsid w:val="00E165D3"/>
    <w:rsid w:val="00E21808"/>
    <w:rsid w:val="00E26540"/>
    <w:rsid w:val="00E269E3"/>
    <w:rsid w:val="00E3095F"/>
    <w:rsid w:val="00E342A8"/>
    <w:rsid w:val="00E36A01"/>
    <w:rsid w:val="00E372A7"/>
    <w:rsid w:val="00E413F8"/>
    <w:rsid w:val="00E41C65"/>
    <w:rsid w:val="00E44B11"/>
    <w:rsid w:val="00E44E1A"/>
    <w:rsid w:val="00E471A7"/>
    <w:rsid w:val="00E517E3"/>
    <w:rsid w:val="00E53C54"/>
    <w:rsid w:val="00E56AAA"/>
    <w:rsid w:val="00E619C2"/>
    <w:rsid w:val="00E63504"/>
    <w:rsid w:val="00E635CF"/>
    <w:rsid w:val="00E70151"/>
    <w:rsid w:val="00E72ED4"/>
    <w:rsid w:val="00E7530A"/>
    <w:rsid w:val="00E84417"/>
    <w:rsid w:val="00E96749"/>
    <w:rsid w:val="00EA168D"/>
    <w:rsid w:val="00EA71AE"/>
    <w:rsid w:val="00EB3824"/>
    <w:rsid w:val="00EB4B5E"/>
    <w:rsid w:val="00EB675A"/>
    <w:rsid w:val="00EC47FD"/>
    <w:rsid w:val="00EC6AD1"/>
    <w:rsid w:val="00EC6E0A"/>
    <w:rsid w:val="00ED0322"/>
    <w:rsid w:val="00ED4E18"/>
    <w:rsid w:val="00ED55CE"/>
    <w:rsid w:val="00ED6B72"/>
    <w:rsid w:val="00EE1F37"/>
    <w:rsid w:val="00EE2233"/>
    <w:rsid w:val="00EE2552"/>
    <w:rsid w:val="00EE2A90"/>
    <w:rsid w:val="00EE6309"/>
    <w:rsid w:val="00EE642E"/>
    <w:rsid w:val="00EE7612"/>
    <w:rsid w:val="00EE7E95"/>
    <w:rsid w:val="00EF02C1"/>
    <w:rsid w:val="00EF3A8D"/>
    <w:rsid w:val="00EF5458"/>
    <w:rsid w:val="00F00B3E"/>
    <w:rsid w:val="00F0159C"/>
    <w:rsid w:val="00F056AE"/>
    <w:rsid w:val="00F105B7"/>
    <w:rsid w:val="00F110A4"/>
    <w:rsid w:val="00F13220"/>
    <w:rsid w:val="00F15BA7"/>
    <w:rsid w:val="00F15DA3"/>
    <w:rsid w:val="00F15FE4"/>
    <w:rsid w:val="00F17A21"/>
    <w:rsid w:val="00F211DF"/>
    <w:rsid w:val="00F232B7"/>
    <w:rsid w:val="00F25EA5"/>
    <w:rsid w:val="00F307B3"/>
    <w:rsid w:val="00F30BA1"/>
    <w:rsid w:val="00F34432"/>
    <w:rsid w:val="00F35576"/>
    <w:rsid w:val="00F37B27"/>
    <w:rsid w:val="00F4030D"/>
    <w:rsid w:val="00F41333"/>
    <w:rsid w:val="00F44E36"/>
    <w:rsid w:val="00F45271"/>
    <w:rsid w:val="00F46556"/>
    <w:rsid w:val="00F50E91"/>
    <w:rsid w:val="00F50FDC"/>
    <w:rsid w:val="00F51C0D"/>
    <w:rsid w:val="00F53E82"/>
    <w:rsid w:val="00F57AE3"/>
    <w:rsid w:val="00F57D29"/>
    <w:rsid w:val="00F606C2"/>
    <w:rsid w:val="00F63030"/>
    <w:rsid w:val="00F64957"/>
    <w:rsid w:val="00F67066"/>
    <w:rsid w:val="00F70402"/>
    <w:rsid w:val="00F71DD1"/>
    <w:rsid w:val="00F733CF"/>
    <w:rsid w:val="00F81E04"/>
    <w:rsid w:val="00F83F79"/>
    <w:rsid w:val="00F84A34"/>
    <w:rsid w:val="00F923D1"/>
    <w:rsid w:val="00F9434E"/>
    <w:rsid w:val="00F96201"/>
    <w:rsid w:val="00FB5390"/>
    <w:rsid w:val="00FB5A0E"/>
    <w:rsid w:val="00FC2C28"/>
    <w:rsid w:val="00FC3C7A"/>
    <w:rsid w:val="00FC4CFD"/>
    <w:rsid w:val="00FC5163"/>
    <w:rsid w:val="00FC54B5"/>
    <w:rsid w:val="00FC6FD6"/>
    <w:rsid w:val="00FD0B18"/>
    <w:rsid w:val="00FD2FAD"/>
    <w:rsid w:val="00FD4FC3"/>
    <w:rsid w:val="00FD56CF"/>
    <w:rsid w:val="00FD5D80"/>
    <w:rsid w:val="00FE17B9"/>
    <w:rsid w:val="00FE39F1"/>
    <w:rsid w:val="00FE4098"/>
    <w:rsid w:val="00FE509D"/>
    <w:rsid w:val="00FE6625"/>
    <w:rsid w:val="00FE714F"/>
    <w:rsid w:val="00FF1584"/>
    <w:rsid w:val="00FF57AC"/>
    <w:rsid w:val="00FF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5395DB7"/>
  <w15:docId w15:val="{B821CDEE-4D15-41A4-8ABB-21F0014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qFormat/>
    <w:rsid w:val="00787BC9"/>
    <w:pPr>
      <w:keepNext/>
      <w:tabs>
        <w:tab w:val="num" w:pos="864"/>
      </w:tabs>
      <w:spacing w:before="240" w:after="60"/>
      <w:ind w:left="864" w:hanging="864"/>
      <w:jc w:val="both"/>
      <w:outlineLvl w:val="3"/>
    </w:pPr>
    <w:rPr>
      <w:rFonts w:ascii="Georgia" w:hAnsi="Georgia"/>
      <w:b/>
    </w:rPr>
  </w:style>
  <w:style w:type="paragraph" w:styleId="Heading5">
    <w:name w:val="heading 5"/>
    <w:basedOn w:val="Normal"/>
    <w:next w:val="Normal"/>
    <w:link w:val="Heading5Char"/>
    <w:qFormat/>
    <w:rsid w:val="00787BC9"/>
    <w:pPr>
      <w:tabs>
        <w:tab w:val="num" w:pos="1008"/>
      </w:tabs>
      <w:spacing w:before="240" w:after="60"/>
      <w:ind w:left="1008" w:hanging="1008"/>
      <w:jc w:val="both"/>
      <w:outlineLvl w:val="4"/>
    </w:pPr>
    <w:rPr>
      <w:rFonts w:ascii="Georgia" w:hAnsi="Georgia"/>
      <w:b/>
      <w:i/>
    </w:rPr>
  </w:style>
  <w:style w:type="paragraph" w:styleId="Heading6">
    <w:name w:val="heading 6"/>
    <w:basedOn w:val="Normal"/>
    <w:next w:val="Normal"/>
    <w:link w:val="Heading6Char"/>
    <w:qFormat/>
    <w:rsid w:val="00787BC9"/>
    <w:pPr>
      <w:tabs>
        <w:tab w:val="num" w:pos="1152"/>
      </w:tabs>
      <w:spacing w:before="240" w:after="60"/>
      <w:ind w:left="1152" w:hanging="1152"/>
      <w:jc w:val="both"/>
      <w:outlineLvl w:val="5"/>
    </w:pPr>
    <w:rPr>
      <w:rFonts w:ascii="Georgia" w:hAnsi="Georgia"/>
      <w:b/>
      <w:sz w:val="22"/>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aliases w:val="Char"/>
    <w:basedOn w:val="Normal"/>
    <w:link w:val="FootnoteTextChar"/>
    <w:uiPriority w:val="99"/>
    <w:unhideWhenUsed/>
    <w:rsid w:val="006C0B1A"/>
  </w:style>
  <w:style w:type="character" w:customStyle="1" w:styleId="FootnoteTextChar">
    <w:name w:val="Footnote Text Char"/>
    <w:aliases w:val="Char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2C3A1A"/>
    <w:pPr>
      <w:jc w:val="both"/>
    </w:pPr>
    <w:rPr>
      <w:rFonts w:ascii="Arial" w:hAnsi="Arial" w:cs="Arial"/>
      <w:sz w:val="17"/>
      <w:szCs w:val="17"/>
    </w:rPr>
  </w:style>
  <w:style w:type="character" w:customStyle="1" w:styleId="FootnoteChar">
    <w:name w:val="Footnote Char"/>
    <w:basedOn w:val="FootnoteTextChar"/>
    <w:link w:val="Footnote"/>
    <w:rsid w:val="002C3A1A"/>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Heading4Char">
    <w:name w:val="Heading 4 Char"/>
    <w:basedOn w:val="DefaultParagraphFont"/>
    <w:link w:val="Heading4"/>
    <w:rsid w:val="00787BC9"/>
    <w:rPr>
      <w:rFonts w:ascii="Georgia" w:eastAsia="Times New Roman" w:hAnsi="Georgia" w:cs="Times New Roman"/>
      <w:b/>
      <w:sz w:val="20"/>
      <w:szCs w:val="20"/>
    </w:rPr>
  </w:style>
  <w:style w:type="character" w:customStyle="1" w:styleId="Heading5Char">
    <w:name w:val="Heading 5 Char"/>
    <w:basedOn w:val="DefaultParagraphFont"/>
    <w:link w:val="Heading5"/>
    <w:rsid w:val="00787BC9"/>
    <w:rPr>
      <w:rFonts w:ascii="Georgia" w:eastAsia="Times New Roman" w:hAnsi="Georgia" w:cs="Times New Roman"/>
      <w:b/>
      <w:i/>
      <w:sz w:val="20"/>
      <w:szCs w:val="20"/>
    </w:rPr>
  </w:style>
  <w:style w:type="character" w:customStyle="1" w:styleId="Heading6Char">
    <w:name w:val="Heading 6 Char"/>
    <w:basedOn w:val="DefaultParagraphFont"/>
    <w:link w:val="Heading6"/>
    <w:rsid w:val="00787BC9"/>
    <w:rPr>
      <w:rFonts w:ascii="Georgia" w:eastAsia="Times New Roman" w:hAnsi="Georgia" w:cs="Times New Roman"/>
      <w:b/>
      <w:szCs w:val="20"/>
    </w:rPr>
  </w:style>
  <w:style w:type="numbering" w:customStyle="1" w:styleId="NoList1">
    <w:name w:val="No List1"/>
    <w:next w:val="NoList"/>
    <w:uiPriority w:val="99"/>
    <w:semiHidden/>
    <w:unhideWhenUsed/>
    <w:rsid w:val="00787BC9"/>
  </w:style>
  <w:style w:type="table" w:customStyle="1" w:styleId="TableGrid1">
    <w:name w:val="Table Grid1"/>
    <w:basedOn w:val="TableNormal"/>
    <w:next w:val="TableGrid"/>
    <w:uiPriority w:val="59"/>
    <w:rsid w:val="00787BC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87BC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787BC9"/>
    <w:rPr>
      <w:rFonts w:ascii="Consolas" w:eastAsiaTheme="minorEastAsia" w:hAnsi="Consolas" w:cs="Consolas"/>
      <w:sz w:val="21"/>
      <w:szCs w:val="21"/>
      <w:lang w:eastAsia="zh-CN"/>
    </w:rPr>
  </w:style>
  <w:style w:type="character" w:customStyle="1" w:styleId="Title1">
    <w:name w:val="Title1"/>
    <w:basedOn w:val="DefaultParagraphFont"/>
    <w:uiPriority w:val="99"/>
    <w:rsid w:val="00787BC9"/>
  </w:style>
  <w:style w:type="paragraph" w:styleId="Revision">
    <w:name w:val="Revision"/>
    <w:hidden/>
    <w:uiPriority w:val="99"/>
    <w:semiHidden/>
    <w:rsid w:val="00787BC9"/>
    <w:pPr>
      <w:spacing w:after="0" w:line="240" w:lineRule="auto"/>
    </w:pPr>
    <w:rPr>
      <w:rFonts w:ascii="Calibri" w:eastAsiaTheme="minorEastAsia" w:hAnsi="Calibri" w:cs="Calibri"/>
      <w:lang w:eastAsia="zh-CN"/>
    </w:rPr>
  </w:style>
  <w:style w:type="paragraph" w:customStyle="1" w:styleId="Body1">
    <w:name w:val="Body 1"/>
    <w:rsid w:val="00787BC9"/>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787BC9"/>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787BC9"/>
    <w:rPr>
      <w:color w:val="0000FE"/>
      <w:sz w:val="20"/>
      <w:u w:val="single"/>
    </w:rPr>
  </w:style>
  <w:style w:type="character" w:customStyle="1" w:styleId="HTMLCite1">
    <w:name w:val="HTML Cite1"/>
    <w:rsid w:val="00787BC9"/>
    <w:rPr>
      <w:rFonts w:ascii="Lucida Grande" w:eastAsia="ヒラギノ角ゴ Pro W3" w:hAnsi="Lucida Grande"/>
      <w:b w:val="0"/>
      <w:i w:val="0"/>
      <w:color w:val="000000"/>
      <w:sz w:val="20"/>
    </w:rPr>
  </w:style>
  <w:style w:type="character" w:customStyle="1" w:styleId="submitted">
    <w:name w:val="submitted"/>
    <w:basedOn w:val="DefaultParagraphFont"/>
    <w:rsid w:val="00787BC9"/>
  </w:style>
  <w:style w:type="paragraph" w:styleId="BodyText2">
    <w:name w:val="Body Text 2"/>
    <w:basedOn w:val="Normal"/>
    <w:link w:val="BodyText2Char"/>
    <w:uiPriority w:val="99"/>
    <w:unhideWhenUsed/>
    <w:rsid w:val="00787BC9"/>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787BC9"/>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7B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7B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7B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7BC9"/>
    <w:rPr>
      <w:rFonts w:ascii="Arial" w:eastAsia="Times New Roman" w:hAnsi="Arial" w:cs="Arial"/>
      <w:vanish/>
      <w:sz w:val="16"/>
      <w:szCs w:val="16"/>
    </w:rPr>
  </w:style>
  <w:style w:type="character" w:styleId="SubtleReference">
    <w:name w:val="Subtle Reference"/>
    <w:uiPriority w:val="31"/>
    <w:qFormat/>
    <w:rsid w:val="00787BC9"/>
    <w:rPr>
      <w:smallCaps/>
      <w:color w:val="5A5A5A"/>
    </w:rPr>
  </w:style>
  <w:style w:type="paragraph" w:customStyle="1" w:styleId="Default">
    <w:name w:val="Default"/>
    <w:rsid w:val="00787BC9"/>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787BC9"/>
    <w:pPr>
      <w:spacing w:after="200" w:line="276" w:lineRule="auto"/>
    </w:pPr>
    <w:rPr>
      <w:rFonts w:ascii="Calibri" w:eastAsia="Calibri" w:hAnsi="Calibri"/>
      <w:sz w:val="22"/>
      <w:szCs w:val="22"/>
    </w:rPr>
  </w:style>
  <w:style w:type="paragraph" w:customStyle="1" w:styleId="Author">
    <w:name w:val="Author"/>
    <w:basedOn w:val="Normal"/>
    <w:next w:val="Affiliation"/>
    <w:rsid w:val="00787BC9"/>
    <w:pPr>
      <w:jc w:val="center"/>
    </w:pPr>
    <w:rPr>
      <w:rFonts w:ascii="Georgia" w:hAnsi="Georgia"/>
      <w:b/>
      <w:color w:val="000000"/>
      <w:sz w:val="26"/>
    </w:rPr>
  </w:style>
  <w:style w:type="paragraph" w:customStyle="1" w:styleId="Affiliation">
    <w:name w:val="Affiliation"/>
    <w:basedOn w:val="Normal"/>
    <w:next w:val="Email"/>
    <w:rsid w:val="00787BC9"/>
    <w:pPr>
      <w:jc w:val="center"/>
    </w:pPr>
    <w:rPr>
      <w:rFonts w:ascii="Georgia" w:hAnsi="Georgia"/>
      <w:sz w:val="26"/>
    </w:rPr>
  </w:style>
  <w:style w:type="paragraph" w:customStyle="1" w:styleId="Email">
    <w:name w:val="Email"/>
    <w:basedOn w:val="Affiliation"/>
    <w:rsid w:val="00787BC9"/>
  </w:style>
  <w:style w:type="paragraph" w:styleId="Caption">
    <w:name w:val="caption"/>
    <w:basedOn w:val="Normal"/>
    <w:next w:val="Normal"/>
    <w:qFormat/>
    <w:rsid w:val="00787BC9"/>
    <w:pPr>
      <w:keepNext/>
      <w:spacing w:before="120" w:after="120"/>
      <w:jc w:val="center"/>
    </w:pPr>
    <w:rPr>
      <w:rFonts w:ascii="Georgia" w:hAnsi="Georgia"/>
      <w:b/>
    </w:rPr>
  </w:style>
  <w:style w:type="paragraph" w:styleId="Date">
    <w:name w:val="Date"/>
    <w:basedOn w:val="Normal"/>
    <w:next w:val="Normal"/>
    <w:link w:val="DateChar"/>
    <w:rsid w:val="00787BC9"/>
    <w:pPr>
      <w:spacing w:after="120"/>
      <w:jc w:val="both"/>
    </w:pPr>
    <w:rPr>
      <w:rFonts w:ascii="Georgia" w:hAnsi="Georgia"/>
    </w:rPr>
  </w:style>
  <w:style w:type="character" w:customStyle="1" w:styleId="DateChar">
    <w:name w:val="Date Char"/>
    <w:basedOn w:val="DefaultParagraphFont"/>
    <w:link w:val="Date"/>
    <w:rsid w:val="00787BC9"/>
    <w:rPr>
      <w:rFonts w:ascii="Georgia" w:eastAsia="Times New Roman" w:hAnsi="Georgia" w:cs="Times New Roman"/>
      <w:sz w:val="20"/>
      <w:szCs w:val="20"/>
    </w:rPr>
  </w:style>
  <w:style w:type="paragraph" w:styleId="DocumentMap">
    <w:name w:val="Document Map"/>
    <w:basedOn w:val="Normal"/>
    <w:link w:val="DocumentMapChar"/>
    <w:semiHidden/>
    <w:rsid w:val="00787BC9"/>
    <w:pPr>
      <w:shd w:val="clear" w:color="auto" w:fill="000080"/>
      <w:spacing w:after="120"/>
      <w:jc w:val="both"/>
    </w:pPr>
    <w:rPr>
      <w:rFonts w:ascii="Tahoma" w:hAnsi="Tahoma"/>
    </w:rPr>
  </w:style>
  <w:style w:type="character" w:customStyle="1" w:styleId="DocumentMapChar">
    <w:name w:val="Document Map Char"/>
    <w:basedOn w:val="DefaultParagraphFont"/>
    <w:link w:val="DocumentMap"/>
    <w:semiHidden/>
    <w:rsid w:val="00787BC9"/>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787BC9"/>
    <w:pPr>
      <w:spacing w:after="120"/>
      <w:ind w:left="240" w:hanging="240"/>
      <w:jc w:val="both"/>
    </w:pPr>
    <w:rPr>
      <w:rFonts w:ascii="Georgia" w:hAnsi="Georgia"/>
    </w:rPr>
  </w:style>
  <w:style w:type="paragraph" w:styleId="Index2">
    <w:name w:val="index 2"/>
    <w:basedOn w:val="Normal"/>
    <w:next w:val="Normal"/>
    <w:autoRedefine/>
    <w:semiHidden/>
    <w:rsid w:val="00787BC9"/>
    <w:pPr>
      <w:spacing w:after="120"/>
      <w:ind w:left="480" w:hanging="240"/>
      <w:jc w:val="both"/>
    </w:pPr>
    <w:rPr>
      <w:rFonts w:ascii="Georgia" w:hAnsi="Georgia"/>
    </w:rPr>
  </w:style>
  <w:style w:type="paragraph" w:styleId="Index3">
    <w:name w:val="index 3"/>
    <w:basedOn w:val="Normal"/>
    <w:next w:val="Normal"/>
    <w:autoRedefine/>
    <w:semiHidden/>
    <w:rsid w:val="00787BC9"/>
    <w:pPr>
      <w:spacing w:after="120"/>
      <w:ind w:left="720" w:hanging="240"/>
      <w:jc w:val="both"/>
    </w:pPr>
    <w:rPr>
      <w:rFonts w:ascii="Georgia" w:hAnsi="Georgia"/>
    </w:rPr>
  </w:style>
  <w:style w:type="paragraph" w:styleId="Index4">
    <w:name w:val="index 4"/>
    <w:basedOn w:val="Normal"/>
    <w:next w:val="Normal"/>
    <w:autoRedefine/>
    <w:semiHidden/>
    <w:rsid w:val="00787BC9"/>
    <w:pPr>
      <w:spacing w:after="120"/>
      <w:ind w:left="960" w:hanging="240"/>
      <w:jc w:val="both"/>
    </w:pPr>
    <w:rPr>
      <w:rFonts w:ascii="Georgia" w:hAnsi="Georgia"/>
    </w:rPr>
  </w:style>
  <w:style w:type="paragraph" w:styleId="Index5">
    <w:name w:val="index 5"/>
    <w:basedOn w:val="Normal"/>
    <w:next w:val="Normal"/>
    <w:autoRedefine/>
    <w:semiHidden/>
    <w:rsid w:val="00787BC9"/>
    <w:pPr>
      <w:spacing w:after="120"/>
      <w:ind w:left="1200" w:hanging="240"/>
      <w:jc w:val="both"/>
    </w:pPr>
    <w:rPr>
      <w:rFonts w:ascii="Georgia" w:hAnsi="Georgia"/>
    </w:rPr>
  </w:style>
  <w:style w:type="paragraph" w:styleId="Index6">
    <w:name w:val="index 6"/>
    <w:basedOn w:val="Normal"/>
    <w:next w:val="Normal"/>
    <w:autoRedefine/>
    <w:semiHidden/>
    <w:rsid w:val="00787BC9"/>
    <w:pPr>
      <w:spacing w:after="120"/>
      <w:ind w:left="1440" w:hanging="240"/>
      <w:jc w:val="both"/>
    </w:pPr>
    <w:rPr>
      <w:rFonts w:ascii="Georgia" w:hAnsi="Georgia"/>
    </w:rPr>
  </w:style>
  <w:style w:type="paragraph" w:styleId="Index7">
    <w:name w:val="index 7"/>
    <w:basedOn w:val="Normal"/>
    <w:next w:val="Normal"/>
    <w:autoRedefine/>
    <w:semiHidden/>
    <w:rsid w:val="00787BC9"/>
    <w:pPr>
      <w:spacing w:after="120"/>
      <w:ind w:left="1680" w:hanging="240"/>
      <w:jc w:val="both"/>
    </w:pPr>
    <w:rPr>
      <w:rFonts w:ascii="Georgia" w:hAnsi="Georgia"/>
    </w:rPr>
  </w:style>
  <w:style w:type="paragraph" w:styleId="Index8">
    <w:name w:val="index 8"/>
    <w:basedOn w:val="Normal"/>
    <w:next w:val="Normal"/>
    <w:autoRedefine/>
    <w:semiHidden/>
    <w:rsid w:val="00787BC9"/>
    <w:pPr>
      <w:spacing w:after="120"/>
      <w:ind w:left="1920" w:hanging="240"/>
      <w:jc w:val="both"/>
    </w:pPr>
    <w:rPr>
      <w:rFonts w:ascii="Georgia" w:hAnsi="Georgia"/>
    </w:rPr>
  </w:style>
  <w:style w:type="paragraph" w:styleId="Index9">
    <w:name w:val="index 9"/>
    <w:basedOn w:val="Normal"/>
    <w:next w:val="Normal"/>
    <w:autoRedefine/>
    <w:semiHidden/>
    <w:rsid w:val="00787BC9"/>
    <w:pPr>
      <w:spacing w:after="120"/>
      <w:ind w:left="2160" w:hanging="240"/>
      <w:jc w:val="both"/>
    </w:pPr>
    <w:rPr>
      <w:rFonts w:ascii="Georgia" w:hAnsi="Georgia"/>
    </w:rPr>
  </w:style>
  <w:style w:type="paragraph" w:styleId="IndexHeading">
    <w:name w:val="index heading"/>
    <w:basedOn w:val="Normal"/>
    <w:next w:val="Index1"/>
    <w:semiHidden/>
    <w:rsid w:val="00787BC9"/>
    <w:pPr>
      <w:spacing w:after="120"/>
      <w:jc w:val="both"/>
    </w:pPr>
    <w:rPr>
      <w:rFonts w:ascii="Arial" w:hAnsi="Arial"/>
      <w:b/>
    </w:rPr>
  </w:style>
  <w:style w:type="paragraph" w:styleId="ListBullet">
    <w:name w:val="List Bullet"/>
    <w:basedOn w:val="Normal"/>
    <w:autoRedefine/>
    <w:rsid w:val="00787BC9"/>
    <w:pPr>
      <w:tabs>
        <w:tab w:val="num" w:pos="360"/>
      </w:tabs>
      <w:spacing w:after="120"/>
      <w:ind w:left="360" w:hanging="360"/>
      <w:jc w:val="both"/>
    </w:pPr>
    <w:rPr>
      <w:rFonts w:ascii="Georgia" w:hAnsi="Georgia"/>
    </w:rPr>
  </w:style>
  <w:style w:type="paragraph" w:styleId="ListBullet2">
    <w:name w:val="List Bullet 2"/>
    <w:basedOn w:val="Normal"/>
    <w:autoRedefine/>
    <w:rsid w:val="00787BC9"/>
    <w:pPr>
      <w:tabs>
        <w:tab w:val="num" w:pos="720"/>
      </w:tabs>
      <w:spacing w:after="120"/>
      <w:ind w:left="720" w:hanging="360"/>
      <w:jc w:val="both"/>
    </w:pPr>
    <w:rPr>
      <w:rFonts w:ascii="Georgia" w:hAnsi="Georgia"/>
    </w:rPr>
  </w:style>
  <w:style w:type="paragraph" w:styleId="ListBullet3">
    <w:name w:val="List Bullet 3"/>
    <w:basedOn w:val="Normal"/>
    <w:autoRedefine/>
    <w:rsid w:val="00787BC9"/>
    <w:pPr>
      <w:tabs>
        <w:tab w:val="num" w:pos="1080"/>
      </w:tabs>
      <w:spacing w:after="120"/>
      <w:ind w:left="1080" w:hanging="360"/>
      <w:jc w:val="both"/>
    </w:pPr>
    <w:rPr>
      <w:rFonts w:ascii="Georgia" w:hAnsi="Georgia"/>
    </w:rPr>
  </w:style>
  <w:style w:type="paragraph" w:styleId="ListBullet4">
    <w:name w:val="List Bullet 4"/>
    <w:basedOn w:val="Normal"/>
    <w:autoRedefine/>
    <w:rsid w:val="00787BC9"/>
    <w:pPr>
      <w:tabs>
        <w:tab w:val="num" w:pos="1440"/>
      </w:tabs>
      <w:spacing w:after="120"/>
      <w:ind w:left="1440" w:hanging="360"/>
      <w:jc w:val="both"/>
    </w:pPr>
    <w:rPr>
      <w:rFonts w:ascii="Georgia" w:hAnsi="Georgia"/>
    </w:rPr>
  </w:style>
  <w:style w:type="paragraph" w:styleId="ListBullet5">
    <w:name w:val="List Bullet 5"/>
    <w:basedOn w:val="Normal"/>
    <w:autoRedefine/>
    <w:rsid w:val="00787BC9"/>
    <w:pPr>
      <w:tabs>
        <w:tab w:val="num" w:pos="1800"/>
      </w:tabs>
      <w:spacing w:after="120"/>
      <w:ind w:left="1800" w:hanging="360"/>
      <w:jc w:val="both"/>
    </w:pPr>
    <w:rPr>
      <w:rFonts w:ascii="Georgia" w:hAnsi="Georgia"/>
    </w:rPr>
  </w:style>
  <w:style w:type="paragraph" w:styleId="ListNumber">
    <w:name w:val="List Number"/>
    <w:basedOn w:val="Normal"/>
    <w:rsid w:val="00787BC9"/>
    <w:pPr>
      <w:tabs>
        <w:tab w:val="num" w:pos="360"/>
      </w:tabs>
      <w:spacing w:after="120"/>
      <w:ind w:left="360" w:hanging="360"/>
      <w:jc w:val="both"/>
    </w:pPr>
    <w:rPr>
      <w:rFonts w:ascii="Georgia" w:hAnsi="Georgia"/>
    </w:rPr>
  </w:style>
  <w:style w:type="paragraph" w:styleId="ListNumber2">
    <w:name w:val="List Number 2"/>
    <w:basedOn w:val="Normal"/>
    <w:rsid w:val="00787BC9"/>
    <w:pPr>
      <w:tabs>
        <w:tab w:val="num" w:pos="720"/>
      </w:tabs>
      <w:spacing w:after="120"/>
      <w:ind w:left="720" w:hanging="360"/>
      <w:jc w:val="both"/>
    </w:pPr>
    <w:rPr>
      <w:rFonts w:ascii="Georgia" w:hAnsi="Georgia"/>
    </w:rPr>
  </w:style>
  <w:style w:type="paragraph" w:styleId="ListNumber3">
    <w:name w:val="List Number 3"/>
    <w:basedOn w:val="Normal"/>
    <w:rsid w:val="00787BC9"/>
    <w:pPr>
      <w:tabs>
        <w:tab w:val="num" w:pos="1080"/>
      </w:tabs>
      <w:spacing w:after="120"/>
      <w:ind w:left="1080" w:hanging="360"/>
      <w:jc w:val="both"/>
    </w:pPr>
    <w:rPr>
      <w:rFonts w:ascii="Georgia" w:hAnsi="Georgia"/>
    </w:rPr>
  </w:style>
  <w:style w:type="paragraph" w:styleId="ListNumber4">
    <w:name w:val="List Number 4"/>
    <w:basedOn w:val="Normal"/>
    <w:rsid w:val="00787BC9"/>
    <w:pPr>
      <w:tabs>
        <w:tab w:val="num" w:pos="1440"/>
      </w:tabs>
      <w:spacing w:after="120"/>
      <w:ind w:left="1440" w:hanging="360"/>
      <w:jc w:val="both"/>
    </w:pPr>
    <w:rPr>
      <w:rFonts w:ascii="Georgia" w:hAnsi="Georgia"/>
    </w:rPr>
  </w:style>
  <w:style w:type="paragraph" w:styleId="ListNumber5">
    <w:name w:val="List Number 5"/>
    <w:basedOn w:val="Normal"/>
    <w:rsid w:val="00787BC9"/>
    <w:pPr>
      <w:tabs>
        <w:tab w:val="num" w:pos="1800"/>
      </w:tabs>
      <w:spacing w:after="120"/>
      <w:ind w:left="1800" w:hanging="360"/>
      <w:jc w:val="both"/>
    </w:pPr>
    <w:rPr>
      <w:rFonts w:ascii="Georgia" w:hAnsi="Georgia"/>
    </w:rPr>
  </w:style>
  <w:style w:type="paragraph" w:styleId="MacroText">
    <w:name w:val="macro"/>
    <w:link w:val="MacroTextChar"/>
    <w:semiHidden/>
    <w:rsid w:val="00787B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787BC9"/>
    <w:rPr>
      <w:rFonts w:ascii="Courier New" w:eastAsia="Times New Roman" w:hAnsi="Courier New" w:cs="Times New Roman"/>
      <w:sz w:val="20"/>
      <w:szCs w:val="20"/>
    </w:rPr>
  </w:style>
  <w:style w:type="paragraph" w:styleId="NoteHeading">
    <w:name w:val="Note Heading"/>
    <w:basedOn w:val="Normal"/>
    <w:next w:val="Normal"/>
    <w:link w:val="NoteHeadingChar"/>
    <w:rsid w:val="00787BC9"/>
    <w:pPr>
      <w:spacing w:after="120"/>
      <w:jc w:val="both"/>
    </w:pPr>
    <w:rPr>
      <w:rFonts w:ascii="Georgia" w:hAnsi="Georgia"/>
    </w:rPr>
  </w:style>
  <w:style w:type="character" w:customStyle="1" w:styleId="NoteHeadingChar">
    <w:name w:val="Note Heading Char"/>
    <w:basedOn w:val="DefaultParagraphFont"/>
    <w:link w:val="NoteHeading"/>
    <w:rsid w:val="00787BC9"/>
    <w:rPr>
      <w:rFonts w:ascii="Georgia" w:eastAsia="Times New Roman" w:hAnsi="Georgia" w:cs="Times New Roman"/>
      <w:sz w:val="20"/>
      <w:szCs w:val="20"/>
    </w:rPr>
  </w:style>
  <w:style w:type="paragraph" w:styleId="TableofAuthorities">
    <w:name w:val="table of authorities"/>
    <w:basedOn w:val="Normal"/>
    <w:next w:val="Normal"/>
    <w:semiHidden/>
    <w:rsid w:val="00787BC9"/>
    <w:pPr>
      <w:spacing w:after="120"/>
      <w:ind w:left="240" w:hanging="240"/>
      <w:jc w:val="both"/>
    </w:pPr>
    <w:rPr>
      <w:rFonts w:ascii="Georgia" w:hAnsi="Georgia"/>
    </w:rPr>
  </w:style>
  <w:style w:type="paragraph" w:styleId="TableofFigures">
    <w:name w:val="table of figures"/>
    <w:basedOn w:val="Normal"/>
    <w:next w:val="Normal"/>
    <w:semiHidden/>
    <w:rsid w:val="00787BC9"/>
    <w:pPr>
      <w:spacing w:after="120"/>
      <w:ind w:left="480" w:hanging="480"/>
      <w:jc w:val="both"/>
    </w:pPr>
    <w:rPr>
      <w:rFonts w:ascii="Georgia" w:hAnsi="Georgia"/>
    </w:rPr>
  </w:style>
  <w:style w:type="paragraph" w:styleId="TOAHeading">
    <w:name w:val="toa heading"/>
    <w:basedOn w:val="Normal"/>
    <w:next w:val="Normal"/>
    <w:semiHidden/>
    <w:rsid w:val="00787BC9"/>
    <w:pPr>
      <w:spacing w:before="120" w:after="120"/>
      <w:jc w:val="both"/>
    </w:pPr>
    <w:rPr>
      <w:rFonts w:ascii="Arial" w:hAnsi="Arial"/>
      <w:b/>
    </w:rPr>
  </w:style>
  <w:style w:type="paragraph" w:styleId="TOC1">
    <w:name w:val="toc 1"/>
    <w:basedOn w:val="Normal"/>
    <w:next w:val="Normal"/>
    <w:autoRedefine/>
    <w:semiHidden/>
    <w:rsid w:val="00787BC9"/>
    <w:pPr>
      <w:spacing w:after="120"/>
      <w:jc w:val="both"/>
    </w:pPr>
    <w:rPr>
      <w:rFonts w:ascii="Georgia" w:hAnsi="Georgia"/>
    </w:rPr>
  </w:style>
  <w:style w:type="paragraph" w:styleId="TOC2">
    <w:name w:val="toc 2"/>
    <w:basedOn w:val="Normal"/>
    <w:next w:val="Normal"/>
    <w:autoRedefine/>
    <w:semiHidden/>
    <w:rsid w:val="00787BC9"/>
    <w:pPr>
      <w:spacing w:after="120"/>
      <w:ind w:left="240"/>
      <w:jc w:val="both"/>
    </w:pPr>
    <w:rPr>
      <w:rFonts w:ascii="Georgia" w:hAnsi="Georgia"/>
    </w:rPr>
  </w:style>
  <w:style w:type="paragraph" w:styleId="TOC3">
    <w:name w:val="toc 3"/>
    <w:basedOn w:val="Normal"/>
    <w:next w:val="Normal"/>
    <w:autoRedefine/>
    <w:semiHidden/>
    <w:rsid w:val="00787BC9"/>
    <w:pPr>
      <w:spacing w:after="120"/>
      <w:ind w:left="480"/>
      <w:jc w:val="both"/>
    </w:pPr>
    <w:rPr>
      <w:rFonts w:ascii="Georgia" w:hAnsi="Georgia"/>
    </w:rPr>
  </w:style>
  <w:style w:type="paragraph" w:styleId="TOC4">
    <w:name w:val="toc 4"/>
    <w:basedOn w:val="Normal"/>
    <w:next w:val="Normal"/>
    <w:autoRedefine/>
    <w:semiHidden/>
    <w:rsid w:val="00787BC9"/>
    <w:pPr>
      <w:spacing w:after="120"/>
      <w:ind w:left="720"/>
      <w:jc w:val="both"/>
    </w:pPr>
    <w:rPr>
      <w:rFonts w:ascii="Georgia" w:hAnsi="Georgia"/>
    </w:rPr>
  </w:style>
  <w:style w:type="paragraph" w:styleId="TOC5">
    <w:name w:val="toc 5"/>
    <w:basedOn w:val="Normal"/>
    <w:next w:val="Normal"/>
    <w:autoRedefine/>
    <w:semiHidden/>
    <w:rsid w:val="00787BC9"/>
    <w:pPr>
      <w:spacing w:after="120"/>
      <w:ind w:left="960"/>
      <w:jc w:val="both"/>
    </w:pPr>
    <w:rPr>
      <w:rFonts w:ascii="Georgia" w:hAnsi="Georgia"/>
    </w:rPr>
  </w:style>
  <w:style w:type="paragraph" w:styleId="TOC6">
    <w:name w:val="toc 6"/>
    <w:basedOn w:val="Normal"/>
    <w:next w:val="Normal"/>
    <w:autoRedefine/>
    <w:semiHidden/>
    <w:rsid w:val="00787BC9"/>
    <w:pPr>
      <w:spacing w:after="120"/>
      <w:ind w:left="1200"/>
      <w:jc w:val="both"/>
    </w:pPr>
    <w:rPr>
      <w:rFonts w:ascii="Georgia" w:hAnsi="Georgia"/>
    </w:rPr>
  </w:style>
  <w:style w:type="paragraph" w:styleId="TOC7">
    <w:name w:val="toc 7"/>
    <w:basedOn w:val="Normal"/>
    <w:next w:val="Normal"/>
    <w:autoRedefine/>
    <w:semiHidden/>
    <w:rsid w:val="00787BC9"/>
    <w:pPr>
      <w:spacing w:after="120"/>
      <w:ind w:left="1440"/>
      <w:jc w:val="both"/>
    </w:pPr>
    <w:rPr>
      <w:rFonts w:ascii="Georgia" w:hAnsi="Georgia"/>
    </w:rPr>
  </w:style>
  <w:style w:type="paragraph" w:styleId="TOC8">
    <w:name w:val="toc 8"/>
    <w:basedOn w:val="Normal"/>
    <w:next w:val="Normal"/>
    <w:autoRedefine/>
    <w:semiHidden/>
    <w:rsid w:val="00787BC9"/>
    <w:pPr>
      <w:spacing w:after="120"/>
      <w:ind w:left="1680"/>
      <w:jc w:val="both"/>
    </w:pPr>
    <w:rPr>
      <w:rFonts w:ascii="Georgia" w:hAnsi="Georgia"/>
    </w:rPr>
  </w:style>
  <w:style w:type="paragraph" w:styleId="TOC9">
    <w:name w:val="toc 9"/>
    <w:basedOn w:val="Normal"/>
    <w:next w:val="Normal"/>
    <w:autoRedefine/>
    <w:semiHidden/>
    <w:rsid w:val="00787BC9"/>
    <w:pPr>
      <w:spacing w:after="120"/>
      <w:ind w:left="1920"/>
      <w:jc w:val="both"/>
    </w:pPr>
    <w:rPr>
      <w:rFonts w:ascii="Georgia" w:hAnsi="Georgia"/>
    </w:rPr>
  </w:style>
  <w:style w:type="paragraph" w:customStyle="1" w:styleId="Bullet">
    <w:name w:val="Bullet"/>
    <w:basedOn w:val="Normal"/>
    <w:rsid w:val="00787BC9"/>
    <w:pPr>
      <w:numPr>
        <w:numId w:val="6"/>
      </w:numPr>
      <w:tabs>
        <w:tab w:val="clear" w:pos="720"/>
        <w:tab w:val="left" w:pos="180"/>
      </w:tabs>
      <w:overflowPunct w:val="0"/>
      <w:autoSpaceDE w:val="0"/>
      <w:autoSpaceDN w:val="0"/>
      <w:adjustRightInd w:val="0"/>
      <w:spacing w:after="80"/>
      <w:ind w:left="180" w:hanging="180"/>
      <w:jc w:val="both"/>
      <w:textAlignment w:val="baseline"/>
    </w:pPr>
    <w:rPr>
      <w:rFonts w:ascii="Georgia" w:hAnsi="Georgia"/>
    </w:rPr>
  </w:style>
  <w:style w:type="paragraph" w:customStyle="1" w:styleId="References">
    <w:name w:val="References"/>
    <w:basedOn w:val="Normal"/>
    <w:autoRedefine/>
    <w:rsid w:val="00787BC9"/>
    <w:pPr>
      <w:overflowPunct w:val="0"/>
      <w:autoSpaceDE w:val="0"/>
      <w:autoSpaceDN w:val="0"/>
      <w:adjustRightInd w:val="0"/>
      <w:ind w:left="360" w:hanging="360"/>
      <w:jc w:val="both"/>
      <w:textAlignment w:val="baseline"/>
    </w:pPr>
    <w:rPr>
      <w:rFonts w:ascii="Georgia" w:hAnsi="Georgia"/>
    </w:rPr>
  </w:style>
  <w:style w:type="paragraph" w:customStyle="1" w:styleId="AbstractHeader">
    <w:name w:val="AbstractHeader"/>
    <w:basedOn w:val="Normal"/>
    <w:next w:val="AbstractText"/>
    <w:rsid w:val="00787BC9"/>
    <w:pPr>
      <w:spacing w:before="200" w:after="200"/>
      <w:jc w:val="center"/>
    </w:pPr>
    <w:rPr>
      <w:rFonts w:ascii="Georgia" w:hAnsi="Georgia"/>
      <w:b/>
      <w:kern w:val="28"/>
      <w:sz w:val="26"/>
      <w:szCs w:val="26"/>
    </w:rPr>
  </w:style>
  <w:style w:type="paragraph" w:customStyle="1" w:styleId="AbstractText">
    <w:name w:val="AbstractText"/>
    <w:basedOn w:val="Normal"/>
    <w:next w:val="Keyword"/>
    <w:rsid w:val="00787BC9"/>
    <w:pPr>
      <w:spacing w:after="200"/>
      <w:ind w:left="720" w:right="720"/>
      <w:jc w:val="both"/>
    </w:pPr>
    <w:rPr>
      <w:rFonts w:ascii="Georgia" w:hAnsi="Georgia"/>
      <w:i/>
    </w:rPr>
  </w:style>
  <w:style w:type="paragraph" w:customStyle="1" w:styleId="Keyword">
    <w:name w:val="Keyword"/>
    <w:basedOn w:val="Normal"/>
    <w:next w:val="Heading1"/>
    <w:link w:val="KeywordChar"/>
    <w:rsid w:val="00787BC9"/>
    <w:pPr>
      <w:ind w:firstLine="720"/>
      <w:jc w:val="both"/>
    </w:pPr>
    <w:rPr>
      <w:rFonts w:ascii="Arial" w:eastAsia="SimSun" w:hAnsi="Arial"/>
    </w:rPr>
  </w:style>
  <w:style w:type="character" w:customStyle="1" w:styleId="KeywordChar">
    <w:name w:val="Keyword Char"/>
    <w:link w:val="Keyword"/>
    <w:rsid w:val="00787BC9"/>
    <w:rPr>
      <w:rFonts w:ascii="Arial" w:eastAsia="SimSun" w:hAnsi="Arial" w:cs="Times New Roman"/>
      <w:sz w:val="20"/>
      <w:szCs w:val="20"/>
    </w:rPr>
  </w:style>
  <w:style w:type="paragraph" w:customStyle="1" w:styleId="Figure">
    <w:name w:val="Figure"/>
    <w:basedOn w:val="Normal"/>
    <w:rsid w:val="00787BC9"/>
    <w:pPr>
      <w:jc w:val="both"/>
    </w:pPr>
    <w:rPr>
      <w:rFonts w:ascii="Georgia" w:hAnsi="Georgia"/>
    </w:rPr>
  </w:style>
  <w:style w:type="paragraph" w:customStyle="1" w:styleId="Copyright">
    <w:name w:val="Copyright"/>
    <w:basedOn w:val="Normal"/>
    <w:rsid w:val="00787BC9"/>
    <w:pPr>
      <w:framePr w:w="4680" w:h="1977" w:hRule="exact" w:hSpace="187" w:wrap="auto" w:vAnchor="page" w:hAnchor="page" w:x="1155" w:y="12605" w:anchorLock="1"/>
      <w:jc w:val="both"/>
    </w:pPr>
    <w:rPr>
      <w:rFonts w:ascii="Georgia" w:hAnsi="Georgia"/>
      <w:sz w:val="16"/>
    </w:rPr>
  </w:style>
  <w:style w:type="paragraph" w:customStyle="1" w:styleId="TableText">
    <w:name w:val="Table Text"/>
    <w:basedOn w:val="Normal"/>
    <w:rsid w:val="00787BC9"/>
    <w:pPr>
      <w:keepLines/>
      <w:spacing w:before="40" w:after="40"/>
    </w:pPr>
    <w:rPr>
      <w:rFonts w:ascii="Georgia" w:hAnsi="Georgia"/>
    </w:rPr>
  </w:style>
  <w:style w:type="paragraph" w:customStyle="1" w:styleId="SpecialStyle">
    <w:name w:val="SpecialStyle"/>
    <w:basedOn w:val="Normal"/>
    <w:link w:val="SpecialStyleChar"/>
    <w:rsid w:val="00787BC9"/>
    <w:pPr>
      <w:spacing w:after="120"/>
      <w:jc w:val="both"/>
    </w:pPr>
    <w:rPr>
      <w:rFonts w:ascii="Courier New" w:eastAsia="SimSun" w:hAnsi="Courier New"/>
    </w:rPr>
  </w:style>
  <w:style w:type="character" w:customStyle="1" w:styleId="SpecialStyleChar">
    <w:name w:val="SpecialStyle Char"/>
    <w:link w:val="SpecialStyle"/>
    <w:rsid w:val="00787BC9"/>
    <w:rPr>
      <w:rFonts w:ascii="Courier New" w:eastAsia="SimSun" w:hAnsi="Courier New" w:cs="Times New Roman"/>
      <w:sz w:val="20"/>
      <w:szCs w:val="20"/>
    </w:rPr>
  </w:style>
  <w:style w:type="paragraph" w:customStyle="1" w:styleId="FigureCaption">
    <w:name w:val="FigureCaption"/>
    <w:autoRedefine/>
    <w:rsid w:val="00787BC9"/>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787BC9"/>
  </w:style>
  <w:style w:type="paragraph" w:customStyle="1" w:styleId="TrackName">
    <w:name w:val="TrackName"/>
    <w:basedOn w:val="Email"/>
    <w:rsid w:val="00787BC9"/>
    <w:pPr>
      <w:spacing w:after="120"/>
    </w:pPr>
    <w:rPr>
      <w:i/>
      <w:sz w:val="24"/>
    </w:rPr>
  </w:style>
  <w:style w:type="paragraph" w:customStyle="1" w:styleId="Basictext">
    <w:name w:val="Basic text"/>
    <w:uiPriority w:val="99"/>
    <w:rsid w:val="00787BC9"/>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787BC9"/>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787BC9"/>
    <w:pPr>
      <w:spacing w:before="0"/>
      <w:ind w:left="284" w:hanging="284"/>
      <w:jc w:val="left"/>
    </w:pPr>
  </w:style>
  <w:style w:type="table" w:customStyle="1" w:styleId="TableGrid2">
    <w:name w:val="Table Grid2"/>
    <w:basedOn w:val="TableNormal"/>
    <w:next w:val="TableGrid"/>
    <w:uiPriority w:val="59"/>
    <w:rsid w:val="000A656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30C65"/>
  </w:style>
  <w:style w:type="table" w:customStyle="1" w:styleId="TableGrid11">
    <w:name w:val="Table Grid11"/>
    <w:basedOn w:val="TableNormal"/>
    <w:next w:val="TableGrid"/>
    <w:uiPriority w:val="59"/>
    <w:rsid w:val="00CC09A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3E2446"/>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C225BF"/>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imertqticker">
    <w:name w:val="time_rtq_ticker"/>
    <w:basedOn w:val="DefaultParagraphFont"/>
    <w:rsid w:val="009C1FBB"/>
  </w:style>
  <w:style w:type="table" w:customStyle="1" w:styleId="TableGrid3">
    <w:name w:val="Table Grid3"/>
    <w:basedOn w:val="TableNormal"/>
    <w:next w:val="TableGrid"/>
    <w:uiPriority w:val="59"/>
    <w:rsid w:val="005A34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1">
    <w:name w:val="Table Grid41"/>
    <w:basedOn w:val="TableNormal"/>
    <w:next w:val="TableGrid"/>
    <w:uiPriority w:val="59"/>
    <w:rsid w:val="00AD515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E66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FE66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4891">
      <w:bodyDiv w:val="1"/>
      <w:marLeft w:val="0"/>
      <w:marRight w:val="0"/>
      <w:marTop w:val="0"/>
      <w:marBottom w:val="0"/>
      <w:divBdr>
        <w:top w:val="none" w:sz="0" w:space="0" w:color="auto"/>
        <w:left w:val="none" w:sz="0" w:space="0" w:color="auto"/>
        <w:bottom w:val="none" w:sz="0" w:space="0" w:color="auto"/>
        <w:right w:val="none" w:sz="0" w:space="0" w:color="auto"/>
      </w:divBdr>
    </w:div>
    <w:div w:id="88358792">
      <w:bodyDiv w:val="1"/>
      <w:marLeft w:val="0"/>
      <w:marRight w:val="0"/>
      <w:marTop w:val="0"/>
      <w:marBottom w:val="0"/>
      <w:divBdr>
        <w:top w:val="none" w:sz="0" w:space="0" w:color="auto"/>
        <w:left w:val="none" w:sz="0" w:space="0" w:color="auto"/>
        <w:bottom w:val="none" w:sz="0" w:space="0" w:color="auto"/>
        <w:right w:val="none" w:sz="0" w:space="0" w:color="auto"/>
      </w:divBdr>
    </w:div>
    <w:div w:id="132136685">
      <w:bodyDiv w:val="1"/>
      <w:marLeft w:val="0"/>
      <w:marRight w:val="0"/>
      <w:marTop w:val="0"/>
      <w:marBottom w:val="0"/>
      <w:divBdr>
        <w:top w:val="none" w:sz="0" w:space="0" w:color="auto"/>
        <w:left w:val="none" w:sz="0" w:space="0" w:color="auto"/>
        <w:bottom w:val="none" w:sz="0" w:space="0" w:color="auto"/>
        <w:right w:val="none" w:sz="0" w:space="0" w:color="auto"/>
      </w:divBdr>
    </w:div>
    <w:div w:id="483934652">
      <w:bodyDiv w:val="1"/>
      <w:marLeft w:val="0"/>
      <w:marRight w:val="0"/>
      <w:marTop w:val="0"/>
      <w:marBottom w:val="0"/>
      <w:divBdr>
        <w:top w:val="none" w:sz="0" w:space="0" w:color="auto"/>
        <w:left w:val="none" w:sz="0" w:space="0" w:color="auto"/>
        <w:bottom w:val="none" w:sz="0" w:space="0" w:color="auto"/>
        <w:right w:val="none" w:sz="0" w:space="0" w:color="auto"/>
      </w:divBdr>
    </w:div>
    <w:div w:id="793214029">
      <w:bodyDiv w:val="1"/>
      <w:marLeft w:val="0"/>
      <w:marRight w:val="0"/>
      <w:marTop w:val="0"/>
      <w:marBottom w:val="0"/>
      <w:divBdr>
        <w:top w:val="none" w:sz="0" w:space="0" w:color="auto"/>
        <w:left w:val="none" w:sz="0" w:space="0" w:color="auto"/>
        <w:bottom w:val="none" w:sz="0" w:space="0" w:color="auto"/>
        <w:right w:val="none" w:sz="0" w:space="0" w:color="auto"/>
      </w:divBdr>
    </w:div>
    <w:div w:id="1031762413">
      <w:bodyDiv w:val="1"/>
      <w:marLeft w:val="0"/>
      <w:marRight w:val="0"/>
      <w:marTop w:val="0"/>
      <w:marBottom w:val="0"/>
      <w:divBdr>
        <w:top w:val="none" w:sz="0" w:space="0" w:color="auto"/>
        <w:left w:val="none" w:sz="0" w:space="0" w:color="auto"/>
        <w:bottom w:val="none" w:sz="0" w:space="0" w:color="auto"/>
        <w:right w:val="none" w:sz="0" w:space="0" w:color="auto"/>
      </w:divBdr>
    </w:div>
    <w:div w:id="1044406174">
      <w:bodyDiv w:val="1"/>
      <w:marLeft w:val="0"/>
      <w:marRight w:val="0"/>
      <w:marTop w:val="0"/>
      <w:marBottom w:val="0"/>
      <w:divBdr>
        <w:top w:val="none" w:sz="0" w:space="0" w:color="auto"/>
        <w:left w:val="none" w:sz="0" w:space="0" w:color="auto"/>
        <w:bottom w:val="none" w:sz="0" w:space="0" w:color="auto"/>
        <w:right w:val="none" w:sz="0" w:space="0" w:color="auto"/>
      </w:divBdr>
    </w:div>
    <w:div w:id="1048451518">
      <w:bodyDiv w:val="1"/>
      <w:marLeft w:val="0"/>
      <w:marRight w:val="0"/>
      <w:marTop w:val="0"/>
      <w:marBottom w:val="0"/>
      <w:divBdr>
        <w:top w:val="none" w:sz="0" w:space="0" w:color="auto"/>
        <w:left w:val="none" w:sz="0" w:space="0" w:color="auto"/>
        <w:bottom w:val="none" w:sz="0" w:space="0" w:color="auto"/>
        <w:right w:val="none" w:sz="0" w:space="0" w:color="auto"/>
      </w:divBdr>
    </w:div>
    <w:div w:id="1114327749">
      <w:bodyDiv w:val="1"/>
      <w:marLeft w:val="0"/>
      <w:marRight w:val="0"/>
      <w:marTop w:val="0"/>
      <w:marBottom w:val="0"/>
      <w:divBdr>
        <w:top w:val="none" w:sz="0" w:space="0" w:color="auto"/>
        <w:left w:val="none" w:sz="0" w:space="0" w:color="auto"/>
        <w:bottom w:val="none" w:sz="0" w:space="0" w:color="auto"/>
        <w:right w:val="none" w:sz="0" w:space="0" w:color="auto"/>
      </w:divBdr>
    </w:div>
    <w:div w:id="1260986052">
      <w:bodyDiv w:val="1"/>
      <w:marLeft w:val="0"/>
      <w:marRight w:val="0"/>
      <w:marTop w:val="0"/>
      <w:marBottom w:val="0"/>
      <w:divBdr>
        <w:top w:val="none" w:sz="0" w:space="0" w:color="auto"/>
        <w:left w:val="none" w:sz="0" w:space="0" w:color="auto"/>
        <w:bottom w:val="none" w:sz="0" w:space="0" w:color="auto"/>
        <w:right w:val="none" w:sz="0" w:space="0" w:color="auto"/>
      </w:divBdr>
    </w:div>
    <w:div w:id="139153786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80836116">
      <w:bodyDiv w:val="1"/>
      <w:marLeft w:val="0"/>
      <w:marRight w:val="0"/>
      <w:marTop w:val="0"/>
      <w:marBottom w:val="0"/>
      <w:divBdr>
        <w:top w:val="none" w:sz="0" w:space="0" w:color="auto"/>
        <w:left w:val="none" w:sz="0" w:space="0" w:color="auto"/>
        <w:bottom w:val="none" w:sz="0" w:space="0" w:color="auto"/>
        <w:right w:val="none" w:sz="0" w:space="0" w:color="auto"/>
      </w:divBdr>
    </w:div>
    <w:div w:id="1881086722">
      <w:bodyDiv w:val="1"/>
      <w:marLeft w:val="0"/>
      <w:marRight w:val="0"/>
      <w:marTop w:val="0"/>
      <w:marBottom w:val="0"/>
      <w:divBdr>
        <w:top w:val="none" w:sz="0" w:space="0" w:color="auto"/>
        <w:left w:val="none" w:sz="0" w:space="0" w:color="auto"/>
        <w:bottom w:val="none" w:sz="0" w:space="0" w:color="auto"/>
        <w:right w:val="none" w:sz="0" w:space="0" w:color="auto"/>
      </w:divBdr>
    </w:div>
    <w:div w:id="1919973097">
      <w:bodyDiv w:val="1"/>
      <w:marLeft w:val="0"/>
      <w:marRight w:val="0"/>
      <w:marTop w:val="0"/>
      <w:marBottom w:val="0"/>
      <w:divBdr>
        <w:top w:val="none" w:sz="0" w:space="0" w:color="auto"/>
        <w:left w:val="none" w:sz="0" w:space="0" w:color="auto"/>
        <w:bottom w:val="none" w:sz="0" w:space="0" w:color="auto"/>
        <w:right w:val="none" w:sz="0" w:space="0" w:color="auto"/>
      </w:divBdr>
    </w:div>
    <w:div w:id="1974870709">
      <w:bodyDiv w:val="1"/>
      <w:marLeft w:val="0"/>
      <w:marRight w:val="0"/>
      <w:marTop w:val="0"/>
      <w:marBottom w:val="0"/>
      <w:divBdr>
        <w:top w:val="none" w:sz="0" w:space="0" w:color="auto"/>
        <w:left w:val="none" w:sz="0" w:space="0" w:color="auto"/>
        <w:bottom w:val="none" w:sz="0" w:space="0" w:color="auto"/>
        <w:right w:val="none" w:sz="0" w:space="0" w:color="auto"/>
      </w:divBdr>
    </w:div>
    <w:div w:id="206051834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151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C9EBA5-C152-4485-8A82-5597482F219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7626193-5EC6-4D1A-AE76-A9175A5CAEC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EA80-DAC7-4F32-814D-329CB224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2017-03-02T20:39:00Z</cp:lastPrinted>
  <dcterms:created xsi:type="dcterms:W3CDTF">2017-03-02T20:38:00Z</dcterms:created>
  <dcterms:modified xsi:type="dcterms:W3CDTF">2017-03-29T16:21:00Z</dcterms:modified>
</cp:coreProperties>
</file>